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68ECA" w14:textId="78FEDC89" w:rsidR="001E3A83" w:rsidRPr="001A01A3" w:rsidRDefault="001E3A83" w:rsidP="00DF04B9">
      <w:pPr>
        <w:spacing w:line="360" w:lineRule="auto"/>
        <w:rPr>
          <w:rFonts w:cs="Times New Roman"/>
          <w:noProof/>
        </w:rPr>
      </w:pPr>
    </w:p>
    <w:p w14:paraId="5951D6E0" w14:textId="77777777" w:rsidR="004C7784" w:rsidRPr="001A01A3" w:rsidRDefault="004C7784" w:rsidP="00DF04B9">
      <w:pPr>
        <w:spacing w:line="360" w:lineRule="auto"/>
        <w:rPr>
          <w:rFonts w:cs="Times New Roman"/>
        </w:rPr>
      </w:pPr>
    </w:p>
    <w:p w14:paraId="17D05519" w14:textId="4AEF26A8" w:rsidR="004C7784" w:rsidRPr="001A01A3" w:rsidRDefault="004C7784" w:rsidP="00DF04B9">
      <w:pPr>
        <w:spacing w:line="360" w:lineRule="auto"/>
        <w:rPr>
          <w:rFonts w:cs="Times New Roman"/>
        </w:rPr>
      </w:pPr>
    </w:p>
    <w:p w14:paraId="51D37326" w14:textId="48CD7A66" w:rsidR="004C7784" w:rsidRPr="001A01A3" w:rsidRDefault="00F61B26" w:rsidP="00131E3C">
      <w:pPr>
        <w:spacing w:line="360" w:lineRule="auto"/>
        <w:jc w:val="center"/>
        <w:rPr>
          <w:rFonts w:cs="Times New Roman"/>
        </w:rPr>
      </w:pPr>
      <w:r w:rsidRPr="001A01A3">
        <w:rPr>
          <w:rFonts w:cs="Times New Roman"/>
          <w:noProof/>
        </w:rPr>
        <w:drawing>
          <wp:anchor distT="0" distB="0" distL="114300" distR="114300" simplePos="0" relativeHeight="251659264" behindDoc="0" locked="0" layoutInCell="1" allowOverlap="1" wp14:anchorId="4E85BEB4" wp14:editId="7BBFA3BB">
            <wp:simplePos x="0" y="0"/>
            <wp:positionH relativeFrom="column">
              <wp:posOffset>1695450</wp:posOffset>
            </wp:positionH>
            <wp:positionV relativeFrom="paragraph">
              <wp:posOffset>373380</wp:posOffset>
            </wp:positionV>
            <wp:extent cx="2400300" cy="103759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00300" cy="1037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14B7F6" w14:textId="426F744D" w:rsidR="004A21F2" w:rsidRDefault="004A21F2" w:rsidP="00131E3C">
      <w:pPr>
        <w:spacing w:line="360" w:lineRule="auto"/>
        <w:jc w:val="center"/>
        <w:rPr>
          <w:rFonts w:cs="Times New Roman"/>
          <w:noProof/>
          <w:sz w:val="36"/>
          <w:szCs w:val="36"/>
        </w:rPr>
      </w:pPr>
      <w:bookmarkStart w:id="0" w:name="_Toc232809040"/>
    </w:p>
    <w:p w14:paraId="137DEA03" w14:textId="77777777" w:rsidR="004A21F2" w:rsidRPr="004A21F2" w:rsidRDefault="004A21F2" w:rsidP="00131E3C">
      <w:pPr>
        <w:spacing w:line="360" w:lineRule="auto"/>
        <w:jc w:val="center"/>
        <w:rPr>
          <w:rFonts w:cs="Times New Roman"/>
          <w:b/>
          <w:bCs/>
          <w:noProof/>
          <w:sz w:val="36"/>
          <w:szCs w:val="36"/>
        </w:rPr>
      </w:pPr>
    </w:p>
    <w:p w14:paraId="11E274A2" w14:textId="77777777" w:rsidR="004A21F2" w:rsidRPr="004A21F2" w:rsidRDefault="004A21F2" w:rsidP="00131E3C">
      <w:pPr>
        <w:spacing w:line="240" w:lineRule="auto"/>
        <w:jc w:val="center"/>
        <w:rPr>
          <w:rFonts w:cs="Times New Roman"/>
          <w:b/>
          <w:bCs/>
          <w:noProof/>
          <w:sz w:val="36"/>
          <w:szCs w:val="36"/>
        </w:rPr>
      </w:pPr>
    </w:p>
    <w:p w14:paraId="06F5E567" w14:textId="77777777" w:rsidR="00F61B26" w:rsidRPr="00FB5D50" w:rsidRDefault="00F61B26" w:rsidP="00131E3C">
      <w:pPr>
        <w:spacing w:line="240" w:lineRule="auto"/>
        <w:jc w:val="center"/>
        <w:rPr>
          <w:b/>
          <w:bCs/>
          <w:color w:val="000000" w:themeColor="text1"/>
          <w:sz w:val="28"/>
          <w:szCs w:val="28"/>
        </w:rPr>
      </w:pPr>
      <w:r w:rsidRPr="00FB5D50">
        <w:rPr>
          <w:b/>
          <w:bCs/>
          <w:color w:val="000000" w:themeColor="text1"/>
          <w:sz w:val="28"/>
          <w:szCs w:val="28"/>
        </w:rPr>
        <w:t>MA</w:t>
      </w:r>
      <w:r>
        <w:rPr>
          <w:b/>
          <w:bCs/>
          <w:color w:val="000000" w:themeColor="text1"/>
          <w:sz w:val="28"/>
          <w:szCs w:val="28"/>
        </w:rPr>
        <w:t>STER OF BUSINESS ADMINISTRATION</w:t>
      </w:r>
    </w:p>
    <w:p w14:paraId="226E45F6" w14:textId="77777777" w:rsidR="00F61B26" w:rsidRPr="00FB5D50" w:rsidRDefault="00F61B26" w:rsidP="00131E3C">
      <w:pPr>
        <w:spacing w:line="240" w:lineRule="auto"/>
        <w:jc w:val="center"/>
        <w:rPr>
          <w:b/>
          <w:bCs/>
          <w:sz w:val="40"/>
          <w:szCs w:val="40"/>
        </w:rPr>
      </w:pPr>
      <w:r w:rsidRPr="00FB5D50">
        <w:rPr>
          <w:b/>
          <w:bCs/>
          <w:sz w:val="40"/>
          <w:szCs w:val="40"/>
        </w:rPr>
        <w:t>MARKETING MANAGEMENT</w:t>
      </w:r>
    </w:p>
    <w:p w14:paraId="7B7EA1EA" w14:textId="77777777" w:rsidR="00F61B26" w:rsidRPr="00FB5D50" w:rsidRDefault="00F61B26" w:rsidP="00131E3C">
      <w:pPr>
        <w:spacing w:line="240" w:lineRule="auto"/>
        <w:jc w:val="center"/>
        <w:rPr>
          <w:b/>
          <w:bCs/>
          <w:sz w:val="28"/>
          <w:szCs w:val="28"/>
        </w:rPr>
      </w:pPr>
      <w:r w:rsidRPr="00FB5D50">
        <w:rPr>
          <w:b/>
          <w:bCs/>
          <w:sz w:val="28"/>
          <w:szCs w:val="28"/>
        </w:rPr>
        <w:t>Module Code: LCMB7024</w:t>
      </w:r>
    </w:p>
    <w:p w14:paraId="44168D03" w14:textId="77777777" w:rsidR="00F61B26" w:rsidRPr="00FB5D50" w:rsidRDefault="00F61B26" w:rsidP="00131E3C">
      <w:pPr>
        <w:spacing w:line="240" w:lineRule="auto"/>
        <w:jc w:val="center"/>
        <w:rPr>
          <w:b/>
          <w:bCs/>
          <w:sz w:val="28"/>
          <w:szCs w:val="28"/>
        </w:rPr>
      </w:pPr>
      <w:r w:rsidRPr="00FB5D50">
        <w:rPr>
          <w:b/>
          <w:bCs/>
          <w:sz w:val="28"/>
          <w:szCs w:val="28"/>
        </w:rPr>
        <w:t>COMPONENT 2</w:t>
      </w:r>
    </w:p>
    <w:p w14:paraId="302C816F" w14:textId="77777777" w:rsidR="00F61B26" w:rsidRPr="00FB5D50" w:rsidRDefault="00F61B26" w:rsidP="00131E3C">
      <w:pPr>
        <w:spacing w:line="240" w:lineRule="auto"/>
        <w:jc w:val="center"/>
        <w:rPr>
          <w:b/>
          <w:bCs/>
          <w:sz w:val="28"/>
          <w:szCs w:val="28"/>
        </w:rPr>
      </w:pPr>
      <w:r>
        <w:rPr>
          <w:b/>
          <w:bCs/>
          <w:sz w:val="28"/>
          <w:szCs w:val="28"/>
        </w:rPr>
        <w:t>Assignment Title: Portfolio (Brand Development)</w:t>
      </w:r>
    </w:p>
    <w:p w14:paraId="366E54E5" w14:textId="77777777" w:rsidR="00F61B26" w:rsidRPr="00FB5D50" w:rsidRDefault="00F61B26" w:rsidP="00131E3C">
      <w:pPr>
        <w:spacing w:line="240" w:lineRule="auto"/>
        <w:jc w:val="center"/>
        <w:rPr>
          <w:b/>
          <w:bCs/>
          <w:sz w:val="28"/>
          <w:szCs w:val="28"/>
        </w:rPr>
      </w:pPr>
      <w:r>
        <w:rPr>
          <w:b/>
          <w:bCs/>
          <w:sz w:val="28"/>
          <w:szCs w:val="28"/>
        </w:rPr>
        <w:t>LECTURER</w:t>
      </w:r>
      <w:r w:rsidRPr="00FB5D50">
        <w:rPr>
          <w:b/>
          <w:bCs/>
          <w:sz w:val="28"/>
          <w:szCs w:val="28"/>
        </w:rPr>
        <w:t>: TAONGA KAONGA SOBERA-SNITHERS</w:t>
      </w:r>
    </w:p>
    <w:p w14:paraId="41BB994D" w14:textId="77777777" w:rsidR="00F61B26" w:rsidRPr="00FB5D50" w:rsidRDefault="00F61B26" w:rsidP="00131E3C">
      <w:pPr>
        <w:spacing w:line="240" w:lineRule="auto"/>
        <w:jc w:val="center"/>
        <w:rPr>
          <w:b/>
          <w:bCs/>
          <w:sz w:val="28"/>
          <w:szCs w:val="28"/>
        </w:rPr>
      </w:pPr>
      <w:r w:rsidRPr="00FB5D50">
        <w:rPr>
          <w:b/>
          <w:bCs/>
          <w:sz w:val="28"/>
          <w:szCs w:val="28"/>
        </w:rPr>
        <w:t>S</w:t>
      </w:r>
      <w:r>
        <w:rPr>
          <w:b/>
          <w:bCs/>
          <w:sz w:val="28"/>
          <w:szCs w:val="28"/>
        </w:rPr>
        <w:t>ubmitted</w:t>
      </w:r>
      <w:r w:rsidRPr="00FB5D50">
        <w:rPr>
          <w:b/>
          <w:bCs/>
          <w:sz w:val="28"/>
          <w:szCs w:val="28"/>
        </w:rPr>
        <w:t xml:space="preserve"> </w:t>
      </w:r>
      <w:r>
        <w:rPr>
          <w:b/>
          <w:bCs/>
          <w:sz w:val="28"/>
          <w:szCs w:val="28"/>
        </w:rPr>
        <w:t>by</w:t>
      </w:r>
    </w:p>
    <w:p w14:paraId="54F4FD15" w14:textId="77777777" w:rsidR="00F61B26" w:rsidRPr="00FB5D50" w:rsidRDefault="00F61B26" w:rsidP="00131E3C">
      <w:pPr>
        <w:spacing w:line="240" w:lineRule="auto"/>
        <w:jc w:val="center"/>
        <w:rPr>
          <w:b/>
          <w:bCs/>
          <w:sz w:val="28"/>
          <w:szCs w:val="28"/>
        </w:rPr>
      </w:pPr>
      <w:proofErr w:type="spellStart"/>
      <w:r w:rsidRPr="00FB5D50">
        <w:rPr>
          <w:b/>
          <w:bCs/>
          <w:sz w:val="28"/>
          <w:szCs w:val="28"/>
        </w:rPr>
        <w:t>Ritiben</w:t>
      </w:r>
      <w:proofErr w:type="spellEnd"/>
      <w:r w:rsidRPr="00FB5D50">
        <w:rPr>
          <w:b/>
          <w:bCs/>
          <w:sz w:val="28"/>
          <w:szCs w:val="28"/>
        </w:rPr>
        <w:t xml:space="preserve"> Vishwanath Machhi</w:t>
      </w:r>
    </w:p>
    <w:p w14:paraId="559DEDDD" w14:textId="77777777" w:rsidR="00F61B26" w:rsidRPr="00FB5D50" w:rsidRDefault="00F61B26" w:rsidP="00131E3C">
      <w:pPr>
        <w:spacing w:line="240" w:lineRule="auto"/>
        <w:jc w:val="center"/>
        <w:rPr>
          <w:b/>
          <w:bCs/>
          <w:sz w:val="28"/>
          <w:szCs w:val="28"/>
        </w:rPr>
      </w:pPr>
      <w:r w:rsidRPr="00FB5D50">
        <w:rPr>
          <w:b/>
          <w:bCs/>
          <w:sz w:val="28"/>
          <w:szCs w:val="28"/>
        </w:rPr>
        <w:t>Student ID: 2538062</w:t>
      </w:r>
    </w:p>
    <w:p w14:paraId="26BB0BF5" w14:textId="77777777" w:rsidR="00F61B26" w:rsidRPr="00FB5D50" w:rsidRDefault="00F61B26" w:rsidP="00131E3C">
      <w:pPr>
        <w:spacing w:line="360" w:lineRule="auto"/>
        <w:jc w:val="center"/>
        <w:rPr>
          <w:b/>
          <w:bCs/>
          <w:sz w:val="28"/>
          <w:szCs w:val="28"/>
        </w:rPr>
      </w:pPr>
    </w:p>
    <w:p w14:paraId="3F34316E" w14:textId="77777777" w:rsidR="004A21F2" w:rsidRDefault="004A21F2" w:rsidP="00131E3C">
      <w:pPr>
        <w:spacing w:line="240" w:lineRule="auto"/>
        <w:jc w:val="center"/>
        <w:rPr>
          <w:rFonts w:cs="Times New Roman"/>
          <w:b/>
          <w:bCs/>
          <w:noProof/>
          <w:sz w:val="36"/>
          <w:szCs w:val="36"/>
        </w:rPr>
      </w:pPr>
    </w:p>
    <w:p w14:paraId="0FF83B3B" w14:textId="77777777" w:rsidR="00F61B26" w:rsidRDefault="00F61B26" w:rsidP="00131E3C">
      <w:pPr>
        <w:spacing w:line="240" w:lineRule="auto"/>
        <w:jc w:val="center"/>
        <w:rPr>
          <w:rFonts w:cs="Times New Roman"/>
          <w:b/>
          <w:bCs/>
          <w:noProof/>
          <w:sz w:val="36"/>
          <w:szCs w:val="36"/>
        </w:rPr>
      </w:pPr>
    </w:p>
    <w:p w14:paraId="79109900" w14:textId="3E9D705C" w:rsidR="00F61B26" w:rsidRDefault="00131E3C" w:rsidP="00131E3C">
      <w:pPr>
        <w:tabs>
          <w:tab w:val="left" w:pos="1770"/>
        </w:tabs>
        <w:spacing w:line="240" w:lineRule="auto"/>
        <w:rPr>
          <w:rFonts w:cs="Times New Roman"/>
          <w:b/>
          <w:bCs/>
          <w:noProof/>
          <w:sz w:val="36"/>
          <w:szCs w:val="36"/>
        </w:rPr>
      </w:pPr>
      <w:r>
        <w:rPr>
          <w:rFonts w:cs="Times New Roman"/>
          <w:b/>
          <w:bCs/>
          <w:noProof/>
          <w:sz w:val="36"/>
          <w:szCs w:val="36"/>
        </w:rPr>
        <w:tab/>
      </w:r>
    </w:p>
    <w:p w14:paraId="0681E52F" w14:textId="77777777" w:rsidR="004A21F2" w:rsidRDefault="004A21F2" w:rsidP="004A21F2">
      <w:pPr>
        <w:spacing w:line="240" w:lineRule="auto"/>
        <w:jc w:val="center"/>
        <w:rPr>
          <w:rFonts w:cs="Times New Roman"/>
          <w:b/>
          <w:bCs/>
          <w:noProof/>
          <w:sz w:val="36"/>
          <w:szCs w:val="36"/>
        </w:rPr>
      </w:pPr>
    </w:p>
    <w:p w14:paraId="3BAF8FFC" w14:textId="77777777" w:rsidR="004A21F2" w:rsidRDefault="004A21F2" w:rsidP="004A21F2">
      <w:pPr>
        <w:spacing w:line="240" w:lineRule="auto"/>
        <w:jc w:val="center"/>
        <w:rPr>
          <w:rFonts w:cs="Times New Roman"/>
          <w:b/>
          <w:bCs/>
          <w:noProof/>
          <w:sz w:val="36"/>
          <w:szCs w:val="36"/>
        </w:rPr>
      </w:pPr>
    </w:p>
    <w:p w14:paraId="24084BE2" w14:textId="77777777" w:rsidR="004A21F2" w:rsidRDefault="004A21F2" w:rsidP="004A21F2">
      <w:pPr>
        <w:spacing w:line="240" w:lineRule="auto"/>
        <w:jc w:val="center"/>
        <w:rPr>
          <w:rFonts w:cs="Times New Roman"/>
          <w:b/>
          <w:bCs/>
          <w:noProof/>
          <w:sz w:val="36"/>
          <w:szCs w:val="36"/>
        </w:rPr>
      </w:pPr>
    </w:p>
    <w:p w14:paraId="43FF893B" w14:textId="77777777" w:rsidR="004A21F2" w:rsidRPr="004A21F2" w:rsidRDefault="004A21F2" w:rsidP="004A21F2">
      <w:pPr>
        <w:spacing w:line="240" w:lineRule="auto"/>
        <w:jc w:val="center"/>
        <w:rPr>
          <w:rFonts w:cs="Times New Roman"/>
          <w:b/>
          <w:bCs/>
          <w:noProof/>
          <w:sz w:val="36"/>
          <w:szCs w:val="36"/>
        </w:rPr>
      </w:pPr>
    </w:p>
    <w:sdt>
      <w:sdtPr>
        <w:rPr>
          <w:rFonts w:eastAsiaTheme="minorHAnsi" w:cs="Times New Roman"/>
          <w:b w:val="0"/>
          <w:kern w:val="2"/>
          <w:sz w:val="24"/>
          <w:szCs w:val="24"/>
          <w:lang w:val="en-IN"/>
          <w14:ligatures w14:val="standardContextual"/>
        </w:rPr>
        <w:id w:val="994689714"/>
        <w:docPartObj>
          <w:docPartGallery w:val="Table of Contents"/>
          <w:docPartUnique/>
        </w:docPartObj>
      </w:sdtPr>
      <w:sdtEndPr>
        <w:rPr>
          <w:bCs/>
          <w:noProof/>
        </w:rPr>
      </w:sdtEndPr>
      <w:sdtContent>
        <w:p w14:paraId="11FA0E2C" w14:textId="1B2D4013" w:rsidR="00FC7EDC" w:rsidRPr="001A01A3" w:rsidRDefault="00FC7EDC">
          <w:pPr>
            <w:pStyle w:val="TOCHeading"/>
            <w:rPr>
              <w:rFonts w:cs="Times New Roman"/>
            </w:rPr>
          </w:pPr>
          <w:r w:rsidRPr="001A01A3">
            <w:rPr>
              <w:rFonts w:cs="Times New Roman"/>
            </w:rPr>
            <w:t>Table of Contents</w:t>
          </w:r>
        </w:p>
        <w:p w14:paraId="5A317F53" w14:textId="44B7DBF9" w:rsidR="00FC7EDC" w:rsidRPr="001A01A3" w:rsidRDefault="00FC7EDC">
          <w:pPr>
            <w:pStyle w:val="TOC1"/>
            <w:tabs>
              <w:tab w:val="right" w:leader="dot" w:pos="9016"/>
            </w:tabs>
            <w:rPr>
              <w:rFonts w:eastAsiaTheme="minorEastAsia" w:cs="Times New Roman"/>
              <w:noProof/>
              <w:lang w:eastAsia="en-IN"/>
            </w:rPr>
          </w:pPr>
          <w:r w:rsidRPr="001A01A3">
            <w:rPr>
              <w:rFonts w:cs="Times New Roman"/>
            </w:rPr>
            <w:fldChar w:fldCharType="begin"/>
          </w:r>
          <w:r w:rsidRPr="001A01A3">
            <w:rPr>
              <w:rFonts w:cs="Times New Roman"/>
            </w:rPr>
            <w:instrText xml:space="preserve"> TOC \o "1-3" \h \z \u </w:instrText>
          </w:r>
          <w:r w:rsidRPr="001A01A3">
            <w:rPr>
              <w:rFonts w:cs="Times New Roman"/>
            </w:rPr>
            <w:fldChar w:fldCharType="separate"/>
          </w:r>
          <w:hyperlink w:anchor="_Toc236325758" w:history="1">
            <w:r w:rsidRPr="001A01A3">
              <w:rPr>
                <w:rStyle w:val="Hyperlink"/>
                <w:rFonts w:cs="Times New Roman"/>
                <w:noProof/>
              </w:rPr>
              <w:t>Element 1: Sustainable Brand Extension Poster Presentation</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_Toc236325758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3</w:t>
            </w:r>
            <w:r w:rsidRPr="001A01A3">
              <w:rPr>
                <w:rFonts w:cs="Times New Roman"/>
                <w:noProof/>
                <w:webHidden/>
              </w:rPr>
              <w:fldChar w:fldCharType="end"/>
            </w:r>
          </w:hyperlink>
        </w:p>
        <w:p w14:paraId="37EE675F" w14:textId="027B0299" w:rsidR="00FC7EDC" w:rsidRPr="001A01A3" w:rsidRDefault="00FC7EDC">
          <w:pPr>
            <w:pStyle w:val="TOC1"/>
            <w:tabs>
              <w:tab w:val="right" w:leader="dot" w:pos="9016"/>
            </w:tabs>
            <w:rPr>
              <w:rFonts w:eastAsiaTheme="minorEastAsia" w:cs="Times New Roman"/>
              <w:noProof/>
              <w:lang w:eastAsia="en-IN"/>
            </w:rPr>
          </w:pPr>
          <w:hyperlink w:anchor="_Toc236325759" w:history="1">
            <w:r w:rsidRPr="001A01A3">
              <w:rPr>
                <w:rStyle w:val="Hyperlink"/>
                <w:rFonts w:cs="Times New Roman"/>
                <w:noProof/>
              </w:rPr>
              <w:t>Element 2: Segmentation, Targeting, Differentiation, and Positioning (STDP) Analysis</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_Toc236325759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4</w:t>
            </w:r>
            <w:r w:rsidRPr="001A01A3">
              <w:rPr>
                <w:rFonts w:cs="Times New Roman"/>
                <w:noProof/>
                <w:webHidden/>
              </w:rPr>
              <w:fldChar w:fldCharType="end"/>
            </w:r>
          </w:hyperlink>
        </w:p>
        <w:p w14:paraId="500087A5" w14:textId="030353F9" w:rsidR="00FC7EDC" w:rsidRPr="001A01A3" w:rsidRDefault="00FC7EDC">
          <w:pPr>
            <w:pStyle w:val="TOC2"/>
            <w:tabs>
              <w:tab w:val="right" w:leader="dot" w:pos="9016"/>
            </w:tabs>
            <w:rPr>
              <w:rFonts w:eastAsiaTheme="minorEastAsia" w:cs="Times New Roman"/>
              <w:noProof/>
              <w:lang w:eastAsia="en-IN"/>
            </w:rPr>
          </w:pPr>
          <w:hyperlink w:anchor="_Toc236325760" w:history="1">
            <w:r w:rsidRPr="001A01A3">
              <w:rPr>
                <w:rStyle w:val="Hyperlink"/>
                <w:rFonts w:cs="Times New Roman"/>
                <w:noProof/>
              </w:rPr>
              <w:t>Market segmentation</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_Toc236325760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4</w:t>
            </w:r>
            <w:r w:rsidRPr="001A01A3">
              <w:rPr>
                <w:rFonts w:cs="Times New Roman"/>
                <w:noProof/>
                <w:webHidden/>
              </w:rPr>
              <w:fldChar w:fldCharType="end"/>
            </w:r>
          </w:hyperlink>
        </w:p>
        <w:p w14:paraId="3F60A081" w14:textId="24C2A641" w:rsidR="00FC7EDC" w:rsidRPr="001A01A3" w:rsidRDefault="00FC7EDC">
          <w:pPr>
            <w:pStyle w:val="TOC2"/>
            <w:tabs>
              <w:tab w:val="right" w:leader="dot" w:pos="9016"/>
            </w:tabs>
            <w:rPr>
              <w:rFonts w:eastAsiaTheme="minorEastAsia" w:cs="Times New Roman"/>
              <w:noProof/>
              <w:lang w:eastAsia="en-IN"/>
            </w:rPr>
          </w:pPr>
          <w:hyperlink w:anchor="_Toc236325761" w:history="1">
            <w:r w:rsidRPr="001A01A3">
              <w:rPr>
                <w:rStyle w:val="Hyperlink"/>
                <w:rFonts w:cs="Times New Roman"/>
                <w:noProof/>
              </w:rPr>
              <w:t>Targeting strategy</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_Toc236325761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5</w:t>
            </w:r>
            <w:r w:rsidRPr="001A01A3">
              <w:rPr>
                <w:rFonts w:cs="Times New Roman"/>
                <w:noProof/>
                <w:webHidden/>
              </w:rPr>
              <w:fldChar w:fldCharType="end"/>
            </w:r>
          </w:hyperlink>
        </w:p>
        <w:p w14:paraId="78FA4D5A" w14:textId="35F77DA5" w:rsidR="00FC7EDC" w:rsidRPr="001A01A3" w:rsidRDefault="00FC7EDC">
          <w:pPr>
            <w:pStyle w:val="TOC2"/>
            <w:tabs>
              <w:tab w:val="right" w:leader="dot" w:pos="9016"/>
            </w:tabs>
            <w:rPr>
              <w:rFonts w:eastAsiaTheme="minorEastAsia" w:cs="Times New Roman"/>
              <w:noProof/>
              <w:lang w:eastAsia="en-IN"/>
            </w:rPr>
          </w:pPr>
          <w:hyperlink w:anchor="_Toc236325762" w:history="1">
            <w:r w:rsidRPr="001A01A3">
              <w:rPr>
                <w:rStyle w:val="Hyperlink"/>
                <w:rFonts w:cs="Times New Roman"/>
                <w:noProof/>
              </w:rPr>
              <w:t>Differentiation</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_Toc236325762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5</w:t>
            </w:r>
            <w:r w:rsidRPr="001A01A3">
              <w:rPr>
                <w:rFonts w:cs="Times New Roman"/>
                <w:noProof/>
                <w:webHidden/>
              </w:rPr>
              <w:fldChar w:fldCharType="end"/>
            </w:r>
          </w:hyperlink>
        </w:p>
        <w:p w14:paraId="35766364" w14:textId="63042FEF" w:rsidR="00FC7EDC" w:rsidRPr="001A01A3" w:rsidRDefault="00FC7EDC">
          <w:pPr>
            <w:pStyle w:val="TOC2"/>
            <w:tabs>
              <w:tab w:val="right" w:leader="dot" w:pos="9016"/>
            </w:tabs>
            <w:rPr>
              <w:rFonts w:eastAsiaTheme="minorEastAsia" w:cs="Times New Roman"/>
              <w:noProof/>
              <w:lang w:eastAsia="en-IN"/>
            </w:rPr>
          </w:pPr>
          <w:hyperlink w:anchor="_Toc236325763" w:history="1">
            <w:r w:rsidRPr="001A01A3">
              <w:rPr>
                <w:rStyle w:val="Hyperlink"/>
                <w:rFonts w:cs="Times New Roman"/>
                <w:noProof/>
              </w:rPr>
              <w:t>Positioning strategy</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_Toc236325763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6</w:t>
            </w:r>
            <w:r w:rsidRPr="001A01A3">
              <w:rPr>
                <w:rFonts w:cs="Times New Roman"/>
                <w:noProof/>
                <w:webHidden/>
              </w:rPr>
              <w:fldChar w:fldCharType="end"/>
            </w:r>
          </w:hyperlink>
        </w:p>
        <w:p w14:paraId="19CFCA2C" w14:textId="1C87635C" w:rsidR="00FC7EDC" w:rsidRPr="001A01A3" w:rsidRDefault="00FC7EDC">
          <w:pPr>
            <w:pStyle w:val="TOC1"/>
            <w:tabs>
              <w:tab w:val="right" w:leader="dot" w:pos="9016"/>
            </w:tabs>
            <w:rPr>
              <w:rFonts w:eastAsiaTheme="minorEastAsia" w:cs="Times New Roman"/>
              <w:noProof/>
              <w:lang w:eastAsia="en-IN"/>
            </w:rPr>
          </w:pPr>
          <w:hyperlink w:anchor="_Toc236325764" w:history="1">
            <w:r w:rsidRPr="001A01A3">
              <w:rPr>
                <w:rStyle w:val="Hyperlink"/>
                <w:rFonts w:cs="Times New Roman"/>
                <w:noProof/>
              </w:rPr>
              <w:t>Element 3: Marketing Mix (4Ps) Analysis</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_Toc236325764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7</w:t>
            </w:r>
            <w:r w:rsidRPr="001A01A3">
              <w:rPr>
                <w:rFonts w:cs="Times New Roman"/>
                <w:noProof/>
                <w:webHidden/>
              </w:rPr>
              <w:fldChar w:fldCharType="end"/>
            </w:r>
          </w:hyperlink>
        </w:p>
        <w:p w14:paraId="538BC177" w14:textId="1E401AB0" w:rsidR="00FC7EDC" w:rsidRPr="001A01A3" w:rsidRDefault="00FC7EDC">
          <w:pPr>
            <w:pStyle w:val="TOC2"/>
            <w:tabs>
              <w:tab w:val="right" w:leader="dot" w:pos="9016"/>
            </w:tabs>
            <w:rPr>
              <w:rFonts w:eastAsiaTheme="minorEastAsia" w:cs="Times New Roman"/>
              <w:noProof/>
              <w:lang w:eastAsia="en-IN"/>
            </w:rPr>
          </w:pPr>
          <w:hyperlink w:anchor="_Toc236325765" w:history="1">
            <w:r w:rsidRPr="001A01A3">
              <w:rPr>
                <w:rStyle w:val="Hyperlink"/>
                <w:rFonts w:cs="Times New Roman"/>
                <w:noProof/>
              </w:rPr>
              <w:t>Product (advanced material science and sustainable value creation)</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_Toc236325765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7</w:t>
            </w:r>
            <w:r w:rsidRPr="001A01A3">
              <w:rPr>
                <w:rFonts w:cs="Times New Roman"/>
                <w:noProof/>
                <w:webHidden/>
              </w:rPr>
              <w:fldChar w:fldCharType="end"/>
            </w:r>
          </w:hyperlink>
        </w:p>
        <w:p w14:paraId="3389D703" w14:textId="419DE30A" w:rsidR="00FC7EDC" w:rsidRPr="001A01A3" w:rsidRDefault="00FC7EDC">
          <w:pPr>
            <w:pStyle w:val="TOC2"/>
            <w:tabs>
              <w:tab w:val="right" w:leader="dot" w:pos="9016"/>
            </w:tabs>
            <w:rPr>
              <w:rFonts w:eastAsiaTheme="minorEastAsia" w:cs="Times New Roman"/>
              <w:noProof/>
              <w:lang w:eastAsia="en-IN"/>
            </w:rPr>
          </w:pPr>
          <w:hyperlink w:anchor="_Toc236325766" w:history="1">
            <w:r w:rsidRPr="001A01A3">
              <w:rPr>
                <w:rStyle w:val="Hyperlink"/>
                <w:rFonts w:cs="Times New Roman"/>
                <w:noProof/>
              </w:rPr>
              <w:t>Price (Value-based premium pricing and lifecycle costing)</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_Toc236325766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9</w:t>
            </w:r>
            <w:r w:rsidRPr="001A01A3">
              <w:rPr>
                <w:rFonts w:cs="Times New Roman"/>
                <w:noProof/>
                <w:webHidden/>
              </w:rPr>
              <w:fldChar w:fldCharType="end"/>
            </w:r>
          </w:hyperlink>
        </w:p>
        <w:p w14:paraId="4A0A4D54" w14:textId="00F75C34" w:rsidR="00FC7EDC" w:rsidRPr="001A01A3" w:rsidRDefault="00FC7EDC">
          <w:pPr>
            <w:pStyle w:val="TOC2"/>
            <w:tabs>
              <w:tab w:val="right" w:leader="dot" w:pos="9016"/>
            </w:tabs>
            <w:rPr>
              <w:rFonts w:eastAsiaTheme="minorEastAsia" w:cs="Times New Roman"/>
              <w:noProof/>
              <w:lang w:eastAsia="en-IN"/>
            </w:rPr>
          </w:pPr>
          <w:hyperlink w:anchor="_Toc236325767" w:history="1">
            <w:r w:rsidRPr="001A01A3">
              <w:rPr>
                <w:rStyle w:val="Hyperlink"/>
                <w:rFonts w:cs="Times New Roman"/>
                <w:noProof/>
              </w:rPr>
              <w:t>Place (Sustainable logistics and circular supply chains)</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_Toc236325767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9</w:t>
            </w:r>
            <w:r w:rsidRPr="001A01A3">
              <w:rPr>
                <w:rFonts w:cs="Times New Roman"/>
                <w:noProof/>
                <w:webHidden/>
              </w:rPr>
              <w:fldChar w:fldCharType="end"/>
            </w:r>
          </w:hyperlink>
        </w:p>
        <w:p w14:paraId="0845750C" w14:textId="03AE4F71" w:rsidR="00FC7EDC" w:rsidRPr="001A01A3" w:rsidRDefault="00FC7EDC">
          <w:pPr>
            <w:pStyle w:val="TOC2"/>
            <w:tabs>
              <w:tab w:val="right" w:leader="dot" w:pos="9016"/>
            </w:tabs>
            <w:rPr>
              <w:rFonts w:eastAsiaTheme="minorEastAsia" w:cs="Times New Roman"/>
              <w:noProof/>
              <w:lang w:eastAsia="en-IN"/>
            </w:rPr>
          </w:pPr>
          <w:hyperlink w:anchor="_Toc236325768" w:history="1">
            <w:r w:rsidRPr="001A01A3">
              <w:rPr>
                <w:rStyle w:val="Hyperlink"/>
                <w:rFonts w:cs="Times New Roman"/>
                <w:noProof/>
              </w:rPr>
              <w:t>Promotion (B2B relationship marketing and evidence-based credibility)</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_Toc236325768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10</w:t>
            </w:r>
            <w:r w:rsidRPr="001A01A3">
              <w:rPr>
                <w:rFonts w:cs="Times New Roman"/>
                <w:noProof/>
                <w:webHidden/>
              </w:rPr>
              <w:fldChar w:fldCharType="end"/>
            </w:r>
          </w:hyperlink>
        </w:p>
        <w:p w14:paraId="6BA8058E" w14:textId="624664F2" w:rsidR="00FC7EDC" w:rsidRPr="001A01A3" w:rsidRDefault="00FC7EDC">
          <w:pPr>
            <w:pStyle w:val="TOC1"/>
            <w:tabs>
              <w:tab w:val="right" w:leader="dot" w:pos="9016"/>
            </w:tabs>
            <w:rPr>
              <w:rFonts w:eastAsiaTheme="minorEastAsia" w:cs="Times New Roman"/>
              <w:noProof/>
              <w:lang w:eastAsia="en-IN"/>
            </w:rPr>
          </w:pPr>
          <w:hyperlink w:anchor="_Toc236325769" w:history="1">
            <w:r w:rsidRPr="001A01A3">
              <w:rPr>
                <w:rStyle w:val="Hyperlink"/>
                <w:rFonts w:cs="Times New Roman"/>
                <w:noProof/>
              </w:rPr>
              <w:t>Element 4: Personal and Professional Reflection</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_Toc236325769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11</w:t>
            </w:r>
            <w:r w:rsidRPr="001A01A3">
              <w:rPr>
                <w:rFonts w:cs="Times New Roman"/>
                <w:noProof/>
                <w:webHidden/>
              </w:rPr>
              <w:fldChar w:fldCharType="end"/>
            </w:r>
          </w:hyperlink>
        </w:p>
        <w:p w14:paraId="27E9FB45" w14:textId="08ABEE23" w:rsidR="00FC7EDC" w:rsidRPr="001A01A3" w:rsidRDefault="00FC7EDC">
          <w:pPr>
            <w:pStyle w:val="TOC2"/>
            <w:tabs>
              <w:tab w:val="right" w:leader="dot" w:pos="9016"/>
            </w:tabs>
            <w:rPr>
              <w:rFonts w:eastAsiaTheme="minorEastAsia" w:cs="Times New Roman"/>
              <w:noProof/>
              <w:lang w:eastAsia="en-IN"/>
            </w:rPr>
          </w:pPr>
          <w:hyperlink w:anchor="_Toc236325770" w:history="1">
            <w:r w:rsidRPr="001A01A3">
              <w:rPr>
                <w:rStyle w:val="Hyperlink"/>
                <w:rFonts w:cs="Times New Roman"/>
                <w:noProof/>
              </w:rPr>
              <w:t>Reflection on strategic development (the strategic process)</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_Toc236325770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11</w:t>
            </w:r>
            <w:r w:rsidRPr="001A01A3">
              <w:rPr>
                <w:rFonts w:cs="Times New Roman"/>
                <w:noProof/>
                <w:webHidden/>
              </w:rPr>
              <w:fldChar w:fldCharType="end"/>
            </w:r>
          </w:hyperlink>
        </w:p>
        <w:p w14:paraId="56594215" w14:textId="67F72B77" w:rsidR="00FC7EDC" w:rsidRPr="001A01A3" w:rsidRDefault="00FC7EDC">
          <w:pPr>
            <w:pStyle w:val="TOC2"/>
            <w:tabs>
              <w:tab w:val="right" w:leader="dot" w:pos="9016"/>
            </w:tabs>
            <w:rPr>
              <w:rFonts w:eastAsiaTheme="minorEastAsia" w:cs="Times New Roman"/>
              <w:noProof/>
              <w:lang w:eastAsia="en-IN"/>
            </w:rPr>
          </w:pPr>
          <w:hyperlink w:anchor="_Toc236325771" w:history="1">
            <w:r w:rsidRPr="001A01A3">
              <w:rPr>
                <w:rStyle w:val="Hyperlink"/>
                <w:rFonts w:cs="Times New Roman"/>
                <w:noProof/>
              </w:rPr>
              <w:t>Reflection on the poster presentation experience (the communication challenge)</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_Toc236325771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11</w:t>
            </w:r>
            <w:r w:rsidRPr="001A01A3">
              <w:rPr>
                <w:rFonts w:cs="Times New Roman"/>
                <w:noProof/>
                <w:webHidden/>
              </w:rPr>
              <w:fldChar w:fldCharType="end"/>
            </w:r>
          </w:hyperlink>
        </w:p>
        <w:p w14:paraId="39490C6D" w14:textId="375493CD" w:rsidR="00FC7EDC" w:rsidRPr="001A01A3" w:rsidRDefault="00FC7EDC">
          <w:pPr>
            <w:pStyle w:val="TOC2"/>
            <w:tabs>
              <w:tab w:val="right" w:leader="dot" w:pos="9016"/>
            </w:tabs>
            <w:rPr>
              <w:rFonts w:eastAsiaTheme="minorEastAsia" w:cs="Times New Roman"/>
              <w:noProof/>
              <w:lang w:eastAsia="en-IN"/>
            </w:rPr>
          </w:pPr>
          <w:hyperlink w:anchor="_Toc236325772" w:history="1">
            <w:r w:rsidRPr="001A01A3">
              <w:rPr>
                <w:rStyle w:val="Hyperlink"/>
                <w:rFonts w:cs="Times New Roman"/>
                <w:noProof/>
              </w:rPr>
              <w:t>Evaluation of professional skills and future action plan</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_Toc236325772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12</w:t>
            </w:r>
            <w:r w:rsidRPr="001A01A3">
              <w:rPr>
                <w:rFonts w:cs="Times New Roman"/>
                <w:noProof/>
                <w:webHidden/>
              </w:rPr>
              <w:fldChar w:fldCharType="end"/>
            </w:r>
          </w:hyperlink>
        </w:p>
        <w:p w14:paraId="426E818C" w14:textId="0102DE2D" w:rsidR="00FC7EDC" w:rsidRPr="001A01A3" w:rsidRDefault="00FC7EDC">
          <w:pPr>
            <w:pStyle w:val="TOC1"/>
            <w:tabs>
              <w:tab w:val="right" w:leader="dot" w:pos="9016"/>
            </w:tabs>
            <w:rPr>
              <w:rFonts w:eastAsiaTheme="minorEastAsia" w:cs="Times New Roman"/>
              <w:noProof/>
              <w:lang w:eastAsia="en-IN"/>
            </w:rPr>
          </w:pPr>
          <w:hyperlink w:anchor="_Toc236325773" w:history="1">
            <w:r w:rsidRPr="001A01A3">
              <w:rPr>
                <w:rStyle w:val="Hyperlink"/>
                <w:rFonts w:cs="Times New Roman"/>
                <w:noProof/>
              </w:rPr>
              <w:t>References</w:t>
            </w:r>
            <w:r w:rsidRPr="001A01A3">
              <w:rPr>
                <w:rFonts w:cs="Times New Roman"/>
                <w:noProof/>
                <w:webHidden/>
              </w:rPr>
              <w:tab/>
            </w:r>
            <w:r w:rsidRPr="001A01A3">
              <w:rPr>
                <w:rFonts w:cs="Times New Roman"/>
                <w:noProof/>
                <w:webHidden/>
              </w:rPr>
              <w:fldChar w:fldCharType="begin"/>
            </w:r>
            <w:r w:rsidRPr="001A01A3">
              <w:rPr>
                <w:rFonts w:cs="Times New Roman"/>
                <w:noProof/>
                <w:webHidden/>
              </w:rPr>
              <w:instrText xml:space="preserve"> PAGEREF _Toc236325773 \h </w:instrText>
            </w:r>
            <w:r w:rsidRPr="001A01A3">
              <w:rPr>
                <w:rFonts w:cs="Times New Roman"/>
                <w:noProof/>
                <w:webHidden/>
              </w:rPr>
            </w:r>
            <w:r w:rsidRPr="001A01A3">
              <w:rPr>
                <w:rFonts w:cs="Times New Roman"/>
                <w:noProof/>
                <w:webHidden/>
              </w:rPr>
              <w:fldChar w:fldCharType="separate"/>
            </w:r>
            <w:r w:rsidRPr="001A01A3">
              <w:rPr>
                <w:rFonts w:cs="Times New Roman"/>
                <w:noProof/>
                <w:webHidden/>
              </w:rPr>
              <w:t>13</w:t>
            </w:r>
            <w:r w:rsidRPr="001A01A3">
              <w:rPr>
                <w:rFonts w:cs="Times New Roman"/>
                <w:noProof/>
                <w:webHidden/>
              </w:rPr>
              <w:fldChar w:fldCharType="end"/>
            </w:r>
          </w:hyperlink>
        </w:p>
        <w:p w14:paraId="40FE6116" w14:textId="246CAA6F" w:rsidR="00FC7EDC" w:rsidRPr="001A01A3" w:rsidRDefault="00FC7EDC">
          <w:pPr>
            <w:rPr>
              <w:rFonts w:cs="Times New Roman"/>
            </w:rPr>
          </w:pPr>
          <w:r w:rsidRPr="001A01A3">
            <w:rPr>
              <w:rFonts w:cs="Times New Roman"/>
              <w:b/>
              <w:bCs/>
              <w:noProof/>
            </w:rPr>
            <w:fldChar w:fldCharType="end"/>
          </w:r>
        </w:p>
      </w:sdtContent>
    </w:sdt>
    <w:p w14:paraId="0FD10677" w14:textId="39DE23BA" w:rsidR="00FC7EDC" w:rsidRPr="001A01A3" w:rsidRDefault="00FC7EDC">
      <w:pPr>
        <w:jc w:val="left"/>
        <w:rPr>
          <w:rFonts w:cs="Times New Roman"/>
          <w:b/>
          <w:bCs/>
        </w:rPr>
      </w:pPr>
    </w:p>
    <w:p w14:paraId="74B99331" w14:textId="77777777" w:rsidR="00FC7EDC" w:rsidRPr="001A01A3" w:rsidRDefault="00FC7EDC">
      <w:pPr>
        <w:jc w:val="left"/>
        <w:rPr>
          <w:rFonts w:cs="Times New Roman"/>
          <w:b/>
          <w:bCs/>
        </w:rPr>
      </w:pPr>
      <w:r w:rsidRPr="001A01A3">
        <w:rPr>
          <w:rFonts w:cs="Times New Roman"/>
          <w:b/>
          <w:bCs/>
        </w:rPr>
        <w:br w:type="page"/>
      </w:r>
    </w:p>
    <w:p w14:paraId="17230596" w14:textId="3DA16C03" w:rsidR="00D00924" w:rsidRPr="001A01A3" w:rsidRDefault="00D00924" w:rsidP="00FC7EDC">
      <w:pPr>
        <w:pStyle w:val="Heading1"/>
        <w:rPr>
          <w:rFonts w:cs="Times New Roman"/>
        </w:rPr>
      </w:pPr>
      <w:bookmarkStart w:id="1" w:name="_Toc236325758"/>
      <w:r w:rsidRPr="001A01A3">
        <w:rPr>
          <w:rFonts w:cs="Times New Roman"/>
        </w:rPr>
        <w:lastRenderedPageBreak/>
        <w:t>Element 1: Sustainable Brand Extension Poster Presentation</w:t>
      </w:r>
      <w:bookmarkEnd w:id="0"/>
      <w:bookmarkEnd w:id="1"/>
      <w:r w:rsidRPr="001A01A3">
        <w:rPr>
          <w:rFonts w:cs="Times New Roman"/>
        </w:rPr>
        <w:t xml:space="preserve"> </w:t>
      </w:r>
    </w:p>
    <w:p w14:paraId="4ED96DB7" w14:textId="1D66F003" w:rsidR="00D00924" w:rsidRPr="001A01A3" w:rsidRDefault="00846B31" w:rsidP="00DF04B9">
      <w:pPr>
        <w:spacing w:line="360" w:lineRule="auto"/>
        <w:rPr>
          <w:rFonts w:cs="Times New Roman"/>
        </w:rPr>
      </w:pPr>
      <w:r w:rsidRPr="001A01A3">
        <w:rPr>
          <w:rFonts w:cs="Times New Roman"/>
          <w:noProof/>
        </w:rPr>
        <w:drawing>
          <wp:inline distT="0" distB="0" distL="0" distR="0" wp14:anchorId="53826128" wp14:editId="1DD77548">
            <wp:extent cx="5731510" cy="8100695"/>
            <wp:effectExtent l="0" t="0" r="2540" b="0"/>
            <wp:docPr id="818071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071102" name="Picture 818071102"/>
                    <pic:cNvPicPr/>
                  </pic:nvPicPr>
                  <pic:blipFill>
                    <a:blip r:embed="rId10">
                      <a:extLst>
                        <a:ext uri="{28A0092B-C50C-407E-A947-70E740481C1C}">
                          <a14:useLocalDpi xmlns:a14="http://schemas.microsoft.com/office/drawing/2010/main" val="0"/>
                        </a:ext>
                      </a:extLst>
                    </a:blip>
                    <a:stretch>
                      <a:fillRect/>
                    </a:stretch>
                  </pic:blipFill>
                  <pic:spPr>
                    <a:xfrm>
                      <a:off x="0" y="0"/>
                      <a:ext cx="5731510" cy="8100695"/>
                    </a:xfrm>
                    <a:prstGeom prst="rect">
                      <a:avLst/>
                    </a:prstGeom>
                  </pic:spPr>
                </pic:pic>
              </a:graphicData>
            </a:graphic>
          </wp:inline>
        </w:drawing>
      </w:r>
    </w:p>
    <w:p w14:paraId="11126A0D" w14:textId="77777777" w:rsidR="00D00924" w:rsidRPr="001A01A3" w:rsidRDefault="00D00924">
      <w:pPr>
        <w:jc w:val="left"/>
        <w:rPr>
          <w:rFonts w:cs="Times New Roman"/>
        </w:rPr>
      </w:pPr>
      <w:r w:rsidRPr="001A01A3">
        <w:rPr>
          <w:rFonts w:cs="Times New Roman"/>
        </w:rPr>
        <w:br w:type="page"/>
      </w:r>
    </w:p>
    <w:p w14:paraId="250DFA6F" w14:textId="77777777" w:rsidR="00D00924" w:rsidRPr="001A01A3" w:rsidRDefault="00D00924" w:rsidP="00FC7EDC">
      <w:pPr>
        <w:pStyle w:val="Heading1"/>
        <w:rPr>
          <w:rFonts w:cs="Times New Roman"/>
        </w:rPr>
      </w:pPr>
      <w:bookmarkStart w:id="2" w:name="_Toc232809041"/>
      <w:bookmarkStart w:id="3" w:name="_Toc236325759"/>
      <w:bookmarkStart w:id="4" w:name="_Toc232809042"/>
      <w:r w:rsidRPr="001A01A3">
        <w:rPr>
          <w:rFonts w:cs="Times New Roman"/>
        </w:rPr>
        <w:lastRenderedPageBreak/>
        <w:t>Element 2: Segmentation, Targeting, Differentiation, and Positioning (STDP) Analysis</w:t>
      </w:r>
      <w:bookmarkEnd w:id="2"/>
      <w:bookmarkEnd w:id="3"/>
    </w:p>
    <w:p w14:paraId="1F1152D5" w14:textId="55B96FD5" w:rsidR="00D00924" w:rsidRPr="001A01A3" w:rsidRDefault="00D00924" w:rsidP="00D00924">
      <w:pPr>
        <w:pStyle w:val="Heading2"/>
        <w:rPr>
          <w:rFonts w:cs="Times New Roman"/>
        </w:rPr>
      </w:pPr>
      <w:bookmarkStart w:id="5" w:name="_Toc236325760"/>
      <w:r w:rsidRPr="001A01A3">
        <w:rPr>
          <w:rFonts w:cs="Times New Roman"/>
        </w:rPr>
        <w:t>Market segmentation</w:t>
      </w:r>
      <w:bookmarkEnd w:id="4"/>
      <w:bookmarkEnd w:id="5"/>
    </w:p>
    <w:p w14:paraId="76A38519" w14:textId="77777777" w:rsidR="00D00924" w:rsidRPr="001A01A3" w:rsidRDefault="00D00924" w:rsidP="00D00924">
      <w:pPr>
        <w:spacing w:line="360" w:lineRule="auto"/>
        <w:rPr>
          <w:rFonts w:cs="Times New Roman"/>
        </w:rPr>
      </w:pPr>
      <w:r w:rsidRPr="001A01A3">
        <w:rPr>
          <w:rFonts w:cs="Times New Roman"/>
        </w:rPr>
        <w:t xml:space="preserve">To effectively introduce the sustainable brand extension into the traditionally critical market, which is given by commodity, the wider construction sector needs to use segmentation. Segmenting the market helps the organisation to divide the heterogeneous population into different, manageable divisions of consumers who can share the uniform features, needs or behaviours (Kotler and Keller, 2016). In the case of UltraTech </w:t>
      </w:r>
      <w:proofErr w:type="spellStart"/>
      <w:r w:rsidRPr="001A01A3">
        <w:rPr>
          <w:rFonts w:cs="Times New Roman"/>
        </w:rPr>
        <w:t>EcoBuild</w:t>
      </w:r>
      <w:proofErr w:type="spellEnd"/>
      <w:r w:rsidRPr="001A01A3">
        <w:rPr>
          <w:rFonts w:cs="Times New Roman"/>
        </w:rPr>
        <w:t xml:space="preserve">, a multidimensional segmentation approach is used through geographic, demographic, psychographic and behavioural variables. </w:t>
      </w:r>
    </w:p>
    <w:p w14:paraId="7A361A79" w14:textId="77777777" w:rsidR="00D00924" w:rsidRPr="001A01A3" w:rsidRDefault="00D00924" w:rsidP="00D00924">
      <w:pPr>
        <w:rPr>
          <w:rFonts w:cs="Times New Roman"/>
          <w:b/>
          <w:bCs/>
          <w:i/>
          <w:iCs/>
        </w:rPr>
      </w:pPr>
      <w:r w:rsidRPr="001A01A3">
        <w:rPr>
          <w:rFonts w:cs="Times New Roman"/>
          <w:b/>
          <w:bCs/>
          <w:i/>
          <w:iCs/>
        </w:rPr>
        <w:t>Geographic segmentation</w:t>
      </w:r>
    </w:p>
    <w:p w14:paraId="08A280AF" w14:textId="77777777" w:rsidR="00D00924" w:rsidRPr="001A01A3" w:rsidRDefault="00D00924" w:rsidP="00D00924">
      <w:pPr>
        <w:spacing w:line="360" w:lineRule="auto"/>
        <w:rPr>
          <w:rFonts w:cs="Times New Roman"/>
        </w:rPr>
      </w:pPr>
      <w:r w:rsidRPr="001A01A3">
        <w:rPr>
          <w:rFonts w:cs="Times New Roman"/>
        </w:rPr>
        <w:t xml:space="preserve">The geography strategy emphasises tier 1 and tier 2 metropolitan urban centres (including Bengaluru, Mumbai, Hyderabad, Delhi NCR, and Chennai) that are experiencing vast and rapid real estate expansion at present. These high-density urban areas are featured by large-scale commercial, </w:t>
      </w:r>
      <w:proofErr w:type="spellStart"/>
      <w:r w:rsidRPr="001A01A3">
        <w:rPr>
          <w:rFonts w:cs="Times New Roman"/>
        </w:rPr>
        <w:t>manipal</w:t>
      </w:r>
      <w:proofErr w:type="spellEnd"/>
      <w:r w:rsidRPr="001A01A3">
        <w:rPr>
          <w:rFonts w:cs="Times New Roman"/>
        </w:rPr>
        <w:t xml:space="preserve"> and luxury residential projects. Moreover, with the increasing global urbanisation, there is an increasing demand for residences, not only for exclusivity, but for wellbeing and sustainability (</w:t>
      </w:r>
      <w:proofErr w:type="spellStart"/>
      <w:r w:rsidRPr="001A01A3">
        <w:rPr>
          <w:rFonts w:cs="Times New Roman"/>
        </w:rPr>
        <w:t>Sehrawat</w:t>
      </w:r>
      <w:proofErr w:type="spellEnd"/>
      <w:r w:rsidRPr="001A01A3">
        <w:rPr>
          <w:rFonts w:cs="Times New Roman"/>
        </w:rPr>
        <w:t xml:space="preserve">, 2025). They are also subject to the district's local environmental regulations and laws, and smart city urban planning mandates, which make them highly receptive to low-carbon building materials. </w:t>
      </w:r>
    </w:p>
    <w:p w14:paraId="5D2F5C44" w14:textId="77777777" w:rsidR="00D00924" w:rsidRPr="001A01A3" w:rsidRDefault="00D00924" w:rsidP="00D00924">
      <w:pPr>
        <w:rPr>
          <w:rFonts w:cs="Times New Roman"/>
          <w:b/>
          <w:bCs/>
          <w:i/>
          <w:iCs/>
        </w:rPr>
      </w:pPr>
      <w:r w:rsidRPr="001A01A3">
        <w:rPr>
          <w:rFonts w:cs="Times New Roman"/>
          <w:b/>
          <w:bCs/>
          <w:i/>
          <w:iCs/>
        </w:rPr>
        <w:t>Demographic segmentation</w:t>
      </w:r>
    </w:p>
    <w:p w14:paraId="7CF37A5C" w14:textId="77777777" w:rsidR="00D00924" w:rsidRPr="001A01A3" w:rsidRDefault="00D00924" w:rsidP="00D00924">
      <w:pPr>
        <w:spacing w:line="360" w:lineRule="auto"/>
        <w:rPr>
          <w:rFonts w:cs="Times New Roman"/>
        </w:rPr>
      </w:pPr>
      <w:r w:rsidRPr="001A01A3">
        <w:rPr>
          <w:rFonts w:cs="Times New Roman"/>
        </w:rPr>
        <w:t xml:space="preserve">Demographically, the market is divided into the business-to-consumer (B2C) and business-to-business (B2B) segments: </w:t>
      </w:r>
    </w:p>
    <w:p w14:paraId="23AA1D93" w14:textId="77777777" w:rsidR="00D00924" w:rsidRPr="001A01A3" w:rsidRDefault="00D00924" w:rsidP="00D00924">
      <w:pPr>
        <w:pStyle w:val="ListParagraph"/>
        <w:numPr>
          <w:ilvl w:val="0"/>
          <w:numId w:val="1"/>
        </w:numPr>
        <w:spacing w:line="360" w:lineRule="auto"/>
        <w:rPr>
          <w:rFonts w:cs="Times New Roman"/>
        </w:rPr>
      </w:pPr>
      <w:r w:rsidRPr="001A01A3">
        <w:rPr>
          <w:rFonts w:cs="Times New Roman"/>
        </w:rPr>
        <w:t xml:space="preserve">The B2B segment: It includes tier-1 corporate real estate developers, public sector construction units, institutional infrastructure conglomerates and prominent structural and architectural engineering consultancies. </w:t>
      </w:r>
    </w:p>
    <w:p w14:paraId="503D5782" w14:textId="77777777" w:rsidR="00D00924" w:rsidRPr="001A01A3" w:rsidRDefault="00D00924" w:rsidP="00D00924">
      <w:pPr>
        <w:pStyle w:val="ListParagraph"/>
        <w:numPr>
          <w:ilvl w:val="0"/>
          <w:numId w:val="1"/>
        </w:numPr>
        <w:spacing w:line="360" w:lineRule="auto"/>
        <w:rPr>
          <w:rFonts w:cs="Times New Roman"/>
        </w:rPr>
      </w:pPr>
      <w:r w:rsidRPr="001A01A3">
        <w:rPr>
          <w:rFonts w:cs="Times New Roman"/>
        </w:rPr>
        <w:t xml:space="preserve">The B2C segment: It focuses on the affluent individual home builders (IHBs) who are aged between 35 and 60 years, with postgraduate or tertiary qualifications, high disposable income, and executive or professional roles. </w:t>
      </w:r>
    </w:p>
    <w:p w14:paraId="5C52FE86" w14:textId="77777777" w:rsidR="00D00924" w:rsidRPr="001A01A3" w:rsidRDefault="00D00924" w:rsidP="00D00924">
      <w:pPr>
        <w:rPr>
          <w:rFonts w:cs="Times New Roman"/>
          <w:b/>
          <w:bCs/>
          <w:i/>
          <w:iCs/>
        </w:rPr>
      </w:pPr>
      <w:r w:rsidRPr="001A01A3">
        <w:rPr>
          <w:rFonts w:cs="Times New Roman"/>
          <w:b/>
          <w:bCs/>
          <w:i/>
          <w:iCs/>
        </w:rPr>
        <w:t>Psychographic segmentation</w:t>
      </w:r>
    </w:p>
    <w:p w14:paraId="76FB54E2" w14:textId="77777777" w:rsidR="00D00924" w:rsidRPr="001A01A3" w:rsidRDefault="00D00924" w:rsidP="00D00924">
      <w:pPr>
        <w:spacing w:line="360" w:lineRule="auto"/>
        <w:rPr>
          <w:rFonts w:cs="Times New Roman"/>
        </w:rPr>
      </w:pPr>
      <w:r w:rsidRPr="001A01A3">
        <w:rPr>
          <w:rFonts w:cs="Times New Roman"/>
        </w:rPr>
        <w:t xml:space="preserve">Psychographic division moves beyond the outward demographics so that internal motivations, consumer values and lifestyles can be effectively evaluated (Wedel and Kamakura, 2012). </w:t>
      </w:r>
    </w:p>
    <w:p w14:paraId="22F46C1F" w14:textId="77777777" w:rsidR="00D00924" w:rsidRPr="001A01A3" w:rsidRDefault="00D00924" w:rsidP="00D00924">
      <w:pPr>
        <w:pStyle w:val="ListParagraph"/>
        <w:numPr>
          <w:ilvl w:val="0"/>
          <w:numId w:val="2"/>
        </w:numPr>
        <w:spacing w:line="360" w:lineRule="auto"/>
        <w:rPr>
          <w:rFonts w:cs="Times New Roman"/>
        </w:rPr>
      </w:pPr>
      <w:r w:rsidRPr="001A01A3">
        <w:rPr>
          <w:rFonts w:cs="Times New Roman"/>
        </w:rPr>
        <w:lastRenderedPageBreak/>
        <w:t xml:space="preserve">The B2C cluster: it aligns with LOHAS (lifestyle of health and sustainability) consumers. These are the people who view their choice of home architecture as the direct expression of their social responsibility and personal ethics. </w:t>
      </w:r>
    </w:p>
    <w:p w14:paraId="15E4AB38" w14:textId="77777777" w:rsidR="00D00924" w:rsidRPr="001A01A3" w:rsidRDefault="00D00924" w:rsidP="00D00924">
      <w:pPr>
        <w:pStyle w:val="ListParagraph"/>
        <w:numPr>
          <w:ilvl w:val="0"/>
          <w:numId w:val="2"/>
        </w:numPr>
        <w:spacing w:line="360" w:lineRule="auto"/>
        <w:rPr>
          <w:rFonts w:cs="Times New Roman"/>
        </w:rPr>
      </w:pPr>
      <w:r w:rsidRPr="001A01A3">
        <w:rPr>
          <w:rFonts w:cs="Times New Roman"/>
        </w:rPr>
        <w:t>The B2B cluster: It targets the teams of corporate leaders whose corporate culture focuses on compliance with ESG (environmental, social and governance), active alignment with the national carbon reduction goals and carbon accounting transparency.</w:t>
      </w:r>
    </w:p>
    <w:p w14:paraId="0089418A" w14:textId="77777777" w:rsidR="00D00924" w:rsidRPr="001A01A3" w:rsidRDefault="00D00924" w:rsidP="00D00924">
      <w:pPr>
        <w:rPr>
          <w:rFonts w:cs="Times New Roman"/>
          <w:b/>
          <w:bCs/>
          <w:i/>
          <w:iCs/>
        </w:rPr>
      </w:pPr>
      <w:r w:rsidRPr="001A01A3">
        <w:rPr>
          <w:rFonts w:cs="Times New Roman"/>
          <w:b/>
          <w:bCs/>
          <w:i/>
          <w:iCs/>
        </w:rPr>
        <w:t>Behavioural segmentation</w:t>
      </w:r>
    </w:p>
    <w:p w14:paraId="2CA3F578" w14:textId="77777777" w:rsidR="00D00924" w:rsidRPr="001A01A3" w:rsidRDefault="00D00924" w:rsidP="00D00924">
      <w:pPr>
        <w:spacing w:line="360" w:lineRule="auto"/>
        <w:rPr>
          <w:rFonts w:cs="Times New Roman"/>
        </w:rPr>
      </w:pPr>
      <w:r w:rsidRPr="001A01A3">
        <w:rPr>
          <w:rFonts w:cs="Times New Roman"/>
        </w:rPr>
        <w:t>Behavioural variables are helpful to assess the royalty status, usage rates and readiness stages. Behavioural segmentation is used to divide the clients as per the fact that how they act when making purchases (</w:t>
      </w:r>
      <w:proofErr w:type="spellStart"/>
      <w:r w:rsidRPr="001A01A3">
        <w:rPr>
          <w:rFonts w:cs="Times New Roman"/>
        </w:rPr>
        <w:t>Sakhawalkar</w:t>
      </w:r>
      <w:proofErr w:type="spellEnd"/>
      <w:r w:rsidRPr="001A01A3">
        <w:rPr>
          <w:rFonts w:cs="Times New Roman"/>
        </w:rPr>
        <w:t xml:space="preserve"> and Pawar, 2023). The market is divided into continuous buyers who need structural reliability and high volume, and those who need low volume, high margin and demand for premium quality. The major behavioural advantage sought across these segments is verified, 3rd party documented carbon reduction that assists in green certification (like BREEAM, LEED and </w:t>
      </w:r>
      <w:proofErr w:type="spellStart"/>
      <w:r w:rsidRPr="001A01A3">
        <w:rPr>
          <w:rFonts w:cs="Times New Roman"/>
        </w:rPr>
        <w:t>GreenPro</w:t>
      </w:r>
      <w:proofErr w:type="spellEnd"/>
      <w:r w:rsidRPr="001A01A3">
        <w:rPr>
          <w:rFonts w:cs="Times New Roman"/>
        </w:rPr>
        <w:t xml:space="preserve">) without compromising structural integrity or early setting compressive strength. </w:t>
      </w:r>
    </w:p>
    <w:p w14:paraId="290CC820" w14:textId="77777777" w:rsidR="00D00924" w:rsidRPr="001A01A3" w:rsidRDefault="00D00924" w:rsidP="00D00924">
      <w:pPr>
        <w:pStyle w:val="Heading2"/>
        <w:rPr>
          <w:rFonts w:cs="Times New Roman"/>
        </w:rPr>
      </w:pPr>
      <w:bookmarkStart w:id="6" w:name="_Toc232809043"/>
      <w:bookmarkStart w:id="7" w:name="_Toc236325761"/>
      <w:r w:rsidRPr="001A01A3">
        <w:rPr>
          <w:rFonts w:cs="Times New Roman"/>
        </w:rPr>
        <w:t>Targeting strategy</w:t>
      </w:r>
      <w:bookmarkEnd w:id="6"/>
      <w:bookmarkEnd w:id="7"/>
    </w:p>
    <w:p w14:paraId="6A663632" w14:textId="77777777" w:rsidR="00D00924" w:rsidRPr="001A01A3" w:rsidRDefault="00D00924" w:rsidP="00D00924">
      <w:pPr>
        <w:spacing w:line="360" w:lineRule="auto"/>
        <w:rPr>
          <w:rFonts w:cs="Times New Roman"/>
        </w:rPr>
      </w:pPr>
      <w:r w:rsidRPr="001A01A3">
        <w:rPr>
          <w:rFonts w:cs="Times New Roman"/>
          <w:i/>
          <w:iCs/>
        </w:rPr>
        <w:t xml:space="preserve">UltraTech </w:t>
      </w:r>
      <w:proofErr w:type="spellStart"/>
      <w:r w:rsidRPr="001A01A3">
        <w:rPr>
          <w:rFonts w:cs="Times New Roman"/>
          <w:i/>
          <w:iCs/>
        </w:rPr>
        <w:t>EcoBuild</w:t>
      </w:r>
      <w:proofErr w:type="spellEnd"/>
      <w:r w:rsidRPr="001A01A3">
        <w:rPr>
          <w:rFonts w:cs="Times New Roman"/>
          <w:i/>
          <w:iCs/>
        </w:rPr>
        <w:t xml:space="preserve"> </w:t>
      </w:r>
      <w:r w:rsidRPr="001A01A3">
        <w:rPr>
          <w:rFonts w:cs="Times New Roman"/>
        </w:rPr>
        <w:t>uses the</w:t>
      </w:r>
      <w:r w:rsidRPr="001A01A3">
        <w:rPr>
          <w:rFonts w:cs="Times New Roman"/>
          <w:b/>
          <w:bCs/>
        </w:rPr>
        <w:t xml:space="preserve"> concentrated (niche) targeting strategy</w:t>
      </w:r>
      <w:r w:rsidRPr="001A01A3">
        <w:rPr>
          <w:rFonts w:cs="Times New Roman"/>
        </w:rPr>
        <w:t xml:space="preserve"> during the initial entry into the market, before expanding into</w:t>
      </w:r>
      <w:r w:rsidRPr="001A01A3">
        <w:rPr>
          <w:rFonts w:cs="Times New Roman"/>
          <w:b/>
          <w:bCs/>
        </w:rPr>
        <w:t xml:space="preserve"> a differentiated strategy</w:t>
      </w:r>
      <w:r w:rsidRPr="001A01A3">
        <w:rPr>
          <w:rFonts w:cs="Times New Roman"/>
        </w:rPr>
        <w:t xml:space="preserve"> as the environmental development mandates have increased. The major target market includes</w:t>
      </w:r>
      <w:r w:rsidRPr="001A01A3">
        <w:rPr>
          <w:rFonts w:cs="Times New Roman"/>
          <w:i/>
          <w:iCs/>
        </w:rPr>
        <w:t xml:space="preserve"> institutional contractors and A-Grade corporate real estate developers</w:t>
      </w:r>
      <w:r w:rsidRPr="001A01A3">
        <w:rPr>
          <w:rFonts w:cs="Times New Roman"/>
        </w:rPr>
        <w:t xml:space="preserve"> who handle the commercial and premium residential green projects. The segment is focused, as it offers higher volume and immediate demand, as well as the technical potential to evaluate the long-term life cycle advantages of the low-carbon materials. By emphasising institutional buyers, UltraTech can establish high-profile case studies that prove the trustworthiness of its geopolymer technology, setting up the solid base to capture the secondary target segment, which is </w:t>
      </w:r>
      <w:r w:rsidRPr="001A01A3">
        <w:rPr>
          <w:rFonts w:cs="Times New Roman"/>
          <w:i/>
          <w:iCs/>
        </w:rPr>
        <w:t xml:space="preserve">eco-conscious individual home builders. </w:t>
      </w:r>
      <w:r w:rsidRPr="001A01A3">
        <w:rPr>
          <w:rFonts w:cs="Times New Roman"/>
        </w:rPr>
        <w:t xml:space="preserve">As per </w:t>
      </w:r>
      <w:proofErr w:type="spellStart"/>
      <w:r w:rsidRPr="001A01A3">
        <w:rPr>
          <w:rFonts w:cs="Times New Roman"/>
        </w:rPr>
        <w:t>Nodehi</w:t>
      </w:r>
      <w:proofErr w:type="spellEnd"/>
      <w:r w:rsidRPr="001A01A3">
        <w:rPr>
          <w:rFonts w:cs="Times New Roman"/>
        </w:rPr>
        <w:t xml:space="preserve"> and Aguayo (2021), the creation of such high-performance composite materials can be seen as the outcome of the increasing requirements for durable and long-lasting infrastructure materials. </w:t>
      </w:r>
    </w:p>
    <w:p w14:paraId="6E3A180E" w14:textId="77777777" w:rsidR="00D00924" w:rsidRPr="001A01A3" w:rsidRDefault="00D00924" w:rsidP="00D00924">
      <w:pPr>
        <w:pStyle w:val="Heading2"/>
        <w:rPr>
          <w:rFonts w:cs="Times New Roman"/>
        </w:rPr>
      </w:pPr>
      <w:bookmarkStart w:id="8" w:name="_Toc232809044"/>
      <w:bookmarkStart w:id="9" w:name="_Toc236325762"/>
      <w:r w:rsidRPr="001A01A3">
        <w:rPr>
          <w:rFonts w:cs="Times New Roman"/>
        </w:rPr>
        <w:t>Differentiation</w:t>
      </w:r>
      <w:bookmarkEnd w:id="8"/>
      <w:bookmarkEnd w:id="9"/>
      <w:r w:rsidRPr="001A01A3">
        <w:rPr>
          <w:rFonts w:cs="Times New Roman"/>
        </w:rPr>
        <w:t xml:space="preserve"> </w:t>
      </w:r>
    </w:p>
    <w:p w14:paraId="45B9CB38" w14:textId="77777777" w:rsidR="00D00924" w:rsidRPr="001A01A3" w:rsidRDefault="00D00924" w:rsidP="00D00924">
      <w:pPr>
        <w:spacing w:line="360" w:lineRule="auto"/>
        <w:rPr>
          <w:rFonts w:cs="Times New Roman"/>
        </w:rPr>
      </w:pPr>
      <w:r w:rsidRPr="001A01A3">
        <w:rPr>
          <w:rFonts w:cs="Times New Roman"/>
        </w:rPr>
        <w:t xml:space="preserve">To protect the project of </w:t>
      </w:r>
      <w:r w:rsidRPr="001A01A3">
        <w:rPr>
          <w:rFonts w:cs="Times New Roman"/>
          <w:i/>
          <w:iCs/>
        </w:rPr>
        <w:t xml:space="preserve">UltraTech </w:t>
      </w:r>
      <w:proofErr w:type="spellStart"/>
      <w:r w:rsidRPr="001A01A3">
        <w:rPr>
          <w:rFonts w:cs="Times New Roman"/>
          <w:i/>
          <w:iCs/>
        </w:rPr>
        <w:t>EcoBuild</w:t>
      </w:r>
      <w:proofErr w:type="spellEnd"/>
      <w:r w:rsidRPr="001A01A3">
        <w:rPr>
          <w:rFonts w:cs="Times New Roman"/>
          <w:i/>
          <w:iCs/>
        </w:rPr>
        <w:t xml:space="preserve"> </w:t>
      </w:r>
      <w:r w:rsidRPr="001A01A3">
        <w:rPr>
          <w:rFonts w:cs="Times New Roman"/>
        </w:rPr>
        <w:t xml:space="preserve">from falling into the standard commodity price trap, the company uses the strong differentiation strategy across the four different operational layers as given below: </w:t>
      </w:r>
    </w:p>
    <w:p w14:paraId="03B6002F" w14:textId="77777777" w:rsidR="00D00924" w:rsidRPr="001A01A3" w:rsidRDefault="00D00924" w:rsidP="00D00924">
      <w:pPr>
        <w:pStyle w:val="ListParagraph"/>
        <w:numPr>
          <w:ilvl w:val="0"/>
          <w:numId w:val="3"/>
        </w:numPr>
        <w:spacing w:line="360" w:lineRule="auto"/>
        <w:rPr>
          <w:rFonts w:cs="Times New Roman"/>
        </w:rPr>
      </w:pPr>
      <w:r w:rsidRPr="001A01A3">
        <w:rPr>
          <w:rFonts w:cs="Times New Roman"/>
        </w:rPr>
        <w:lastRenderedPageBreak/>
        <w:t xml:space="preserve">Service differentiation: UltraTech moves beyond the delivery of material to offering an integrated solution. Here, the construction managers handle the budgeting, scheduling, communication and safety compliance between distinct team members (UltraTech Cement, 2026). Every company client is paired with a dedicated </w:t>
      </w:r>
      <w:proofErr w:type="spellStart"/>
      <w:r w:rsidRPr="001A01A3">
        <w:rPr>
          <w:rFonts w:cs="Times New Roman"/>
          <w:i/>
          <w:iCs/>
        </w:rPr>
        <w:t>EcoBuild</w:t>
      </w:r>
      <w:proofErr w:type="spellEnd"/>
      <w:r w:rsidRPr="001A01A3">
        <w:rPr>
          <w:rFonts w:cs="Times New Roman"/>
          <w:i/>
          <w:iCs/>
        </w:rPr>
        <w:t xml:space="preserve"> Technical Consultant </w:t>
      </w:r>
      <w:r w:rsidRPr="001A01A3">
        <w:rPr>
          <w:rFonts w:cs="Times New Roman"/>
        </w:rPr>
        <w:t xml:space="preserve">who will offer on-site mix optimisation testing and issue the formal carbon offsetting certifications to feed directly into the corporate ESG audits of the clients. </w:t>
      </w:r>
    </w:p>
    <w:p w14:paraId="7831C092" w14:textId="77777777" w:rsidR="00D00924" w:rsidRPr="001A01A3" w:rsidRDefault="00D00924" w:rsidP="00D00924">
      <w:pPr>
        <w:pStyle w:val="ListParagraph"/>
        <w:numPr>
          <w:ilvl w:val="0"/>
          <w:numId w:val="3"/>
        </w:numPr>
        <w:spacing w:line="360" w:lineRule="auto"/>
        <w:rPr>
          <w:rFonts w:cs="Times New Roman"/>
        </w:rPr>
      </w:pPr>
      <w:r w:rsidRPr="001A01A3">
        <w:rPr>
          <w:rFonts w:cs="Times New Roman"/>
        </w:rPr>
        <w:t xml:space="preserve">Product differentiation: While standard cement depends on the traditional clinker burning, </w:t>
      </w:r>
      <w:proofErr w:type="spellStart"/>
      <w:r w:rsidRPr="001A01A3">
        <w:rPr>
          <w:rFonts w:cs="Times New Roman"/>
        </w:rPr>
        <w:t>EcoBuild</w:t>
      </w:r>
      <w:proofErr w:type="spellEnd"/>
      <w:r w:rsidRPr="001A01A3">
        <w:rPr>
          <w:rFonts w:cs="Times New Roman"/>
        </w:rPr>
        <w:t xml:space="preserve"> utilises an advanced geopolymer formula which is made of 100% recycled industrial by-waste (fly ash and slag). This proprietary chemical profile decreases the embodied carbon by about 60 per cent while matching the quick early compressive strength of traditional Ordinary Portland Cement (OPC) 53 grade. </w:t>
      </w:r>
    </w:p>
    <w:p w14:paraId="27B59568" w14:textId="77777777" w:rsidR="00D00924" w:rsidRPr="001A01A3" w:rsidRDefault="00D00924" w:rsidP="00D00924">
      <w:pPr>
        <w:pStyle w:val="ListParagraph"/>
        <w:numPr>
          <w:ilvl w:val="0"/>
          <w:numId w:val="3"/>
        </w:numPr>
        <w:spacing w:line="360" w:lineRule="auto"/>
        <w:rPr>
          <w:rFonts w:cs="Times New Roman"/>
        </w:rPr>
      </w:pPr>
      <w:r w:rsidRPr="001A01A3">
        <w:rPr>
          <w:rFonts w:cs="Times New Roman"/>
        </w:rPr>
        <w:t xml:space="preserve">Channel differentiation: The brand extension is backed by a dedicated network of green logistics. Shipments are made for the large B2B deliveries from the zero-emission production hubs </w:t>
      </w:r>
      <w:proofErr w:type="gramStart"/>
      <w:r w:rsidRPr="001A01A3">
        <w:rPr>
          <w:rFonts w:cs="Times New Roman"/>
        </w:rPr>
        <w:t>through the use of</w:t>
      </w:r>
      <w:proofErr w:type="gramEnd"/>
      <w:r w:rsidRPr="001A01A3">
        <w:rPr>
          <w:rFonts w:cs="Times New Roman"/>
        </w:rPr>
        <w:t xml:space="preserve"> liquefied natural gas (LNG) or electric bulk tankers, which decreases the Scope 3 transport emissions and protects the purity of the product. </w:t>
      </w:r>
    </w:p>
    <w:p w14:paraId="7C316DB3" w14:textId="77777777" w:rsidR="00D00924" w:rsidRPr="001A01A3" w:rsidRDefault="00D00924" w:rsidP="00D00924">
      <w:pPr>
        <w:pStyle w:val="ListParagraph"/>
        <w:numPr>
          <w:ilvl w:val="0"/>
          <w:numId w:val="3"/>
        </w:numPr>
        <w:spacing w:line="360" w:lineRule="auto"/>
        <w:rPr>
          <w:rFonts w:cs="Times New Roman"/>
        </w:rPr>
      </w:pPr>
      <w:r w:rsidRPr="001A01A3">
        <w:rPr>
          <w:rFonts w:cs="Times New Roman"/>
        </w:rPr>
        <w:t xml:space="preserve">Image differentiation: </w:t>
      </w:r>
      <w:proofErr w:type="spellStart"/>
      <w:r w:rsidRPr="001A01A3">
        <w:rPr>
          <w:rFonts w:cs="Times New Roman"/>
        </w:rPr>
        <w:t>EcoBuild</w:t>
      </w:r>
      <w:proofErr w:type="spellEnd"/>
      <w:r w:rsidRPr="001A01A3">
        <w:rPr>
          <w:rFonts w:cs="Times New Roman"/>
        </w:rPr>
        <w:t xml:space="preserve"> uses the market presence and extensive trust of the parent brand ‘UltraTech’ while establishing a different green identity. This credibility is validated through rigorous, international eco labels and certified 3rd party environmental production declarations (EPDs). </w:t>
      </w:r>
    </w:p>
    <w:p w14:paraId="0F4A71B4" w14:textId="77777777" w:rsidR="00D00924" w:rsidRPr="001A01A3" w:rsidRDefault="00D00924" w:rsidP="00D00924">
      <w:pPr>
        <w:pStyle w:val="Heading2"/>
        <w:rPr>
          <w:rFonts w:cs="Times New Roman"/>
        </w:rPr>
      </w:pPr>
      <w:bookmarkStart w:id="10" w:name="_Toc232809045"/>
      <w:bookmarkStart w:id="11" w:name="_Toc236325763"/>
      <w:r w:rsidRPr="001A01A3">
        <w:rPr>
          <w:rFonts w:cs="Times New Roman"/>
        </w:rPr>
        <w:t>Positioning strategy</w:t>
      </w:r>
      <w:bookmarkEnd w:id="10"/>
      <w:bookmarkEnd w:id="11"/>
      <w:r w:rsidRPr="001A01A3">
        <w:rPr>
          <w:rFonts w:cs="Times New Roman"/>
        </w:rPr>
        <w:t xml:space="preserve"> </w:t>
      </w:r>
    </w:p>
    <w:p w14:paraId="35F8BBAA" w14:textId="77777777" w:rsidR="00D00924" w:rsidRPr="001A01A3" w:rsidRDefault="00D00924" w:rsidP="00D00924">
      <w:pPr>
        <w:spacing w:line="360" w:lineRule="auto"/>
        <w:rPr>
          <w:rFonts w:cs="Times New Roman"/>
        </w:rPr>
      </w:pPr>
      <w:r w:rsidRPr="001A01A3">
        <w:rPr>
          <w:rFonts w:cs="Times New Roman"/>
        </w:rPr>
        <w:t xml:space="preserve">The positioning strategy for UltraTech </w:t>
      </w:r>
      <w:proofErr w:type="spellStart"/>
      <w:r w:rsidRPr="001A01A3">
        <w:rPr>
          <w:rFonts w:cs="Times New Roman"/>
        </w:rPr>
        <w:t>EcoBuild</w:t>
      </w:r>
      <w:proofErr w:type="spellEnd"/>
      <w:r w:rsidRPr="001A01A3">
        <w:rPr>
          <w:rFonts w:cs="Times New Roman"/>
        </w:rPr>
        <w:t xml:space="preserve"> is developed on the ‘More for More’ value proposition (Kotler et al., 2024). It positions the product as a premium and high-performance eco-engineered material that offers both top-tier industrial strength and environmental compliance</w:t>
      </w:r>
    </w:p>
    <w:p w14:paraId="22444838" w14:textId="77777777" w:rsidR="00D00924" w:rsidRPr="001A01A3" w:rsidRDefault="00D00924" w:rsidP="00D00924">
      <w:pPr>
        <w:keepNext/>
        <w:spacing w:line="360" w:lineRule="auto"/>
        <w:jc w:val="center"/>
        <w:rPr>
          <w:rFonts w:cs="Times New Roman"/>
        </w:rPr>
      </w:pPr>
      <w:r w:rsidRPr="001A01A3">
        <w:rPr>
          <w:rFonts w:cs="Times New Roman"/>
          <w:noProof/>
        </w:rPr>
        <w:lastRenderedPageBreak/>
        <w:drawing>
          <wp:inline distT="0" distB="0" distL="0" distR="0" wp14:anchorId="5F6717E7" wp14:editId="110CD169">
            <wp:extent cx="3714750" cy="3400425"/>
            <wp:effectExtent l="0" t="0" r="0" b="9525"/>
            <wp:docPr id="838325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325355" name="Picture 838325355"/>
                    <pic:cNvPicPr/>
                  </pic:nvPicPr>
                  <pic:blipFill>
                    <a:blip r:embed="rId11">
                      <a:extLst>
                        <a:ext uri="{28A0092B-C50C-407E-A947-70E740481C1C}">
                          <a14:useLocalDpi xmlns:a14="http://schemas.microsoft.com/office/drawing/2010/main" val="0"/>
                        </a:ext>
                      </a:extLst>
                    </a:blip>
                    <a:stretch>
                      <a:fillRect/>
                    </a:stretch>
                  </pic:blipFill>
                  <pic:spPr>
                    <a:xfrm>
                      <a:off x="0" y="0"/>
                      <a:ext cx="3714750" cy="3400425"/>
                    </a:xfrm>
                    <a:prstGeom prst="rect">
                      <a:avLst/>
                    </a:prstGeom>
                  </pic:spPr>
                </pic:pic>
              </a:graphicData>
            </a:graphic>
          </wp:inline>
        </w:drawing>
      </w:r>
    </w:p>
    <w:p w14:paraId="30934F8E" w14:textId="77777777" w:rsidR="00D00924" w:rsidRPr="001A01A3" w:rsidRDefault="00D00924" w:rsidP="00D00924">
      <w:pPr>
        <w:pStyle w:val="Caption"/>
        <w:spacing w:line="360" w:lineRule="auto"/>
        <w:jc w:val="center"/>
        <w:rPr>
          <w:rFonts w:cs="Times New Roman"/>
          <w:szCs w:val="24"/>
        </w:rPr>
      </w:pPr>
      <w:r w:rsidRPr="001A01A3">
        <w:rPr>
          <w:rFonts w:cs="Times New Roman"/>
          <w:szCs w:val="24"/>
        </w:rPr>
        <w:t xml:space="preserve">Figure </w:t>
      </w:r>
      <w:r w:rsidRPr="001A01A3">
        <w:rPr>
          <w:rFonts w:cs="Times New Roman"/>
          <w:szCs w:val="24"/>
        </w:rPr>
        <w:fldChar w:fldCharType="begin"/>
      </w:r>
      <w:r w:rsidRPr="001A01A3">
        <w:rPr>
          <w:rFonts w:cs="Times New Roman"/>
          <w:szCs w:val="24"/>
        </w:rPr>
        <w:instrText xml:space="preserve"> SEQ Figure \* ARABIC </w:instrText>
      </w:r>
      <w:r w:rsidRPr="001A01A3">
        <w:rPr>
          <w:rFonts w:cs="Times New Roman"/>
          <w:szCs w:val="24"/>
        </w:rPr>
        <w:fldChar w:fldCharType="separate"/>
      </w:r>
      <w:r w:rsidRPr="001A01A3">
        <w:rPr>
          <w:rFonts w:cs="Times New Roman"/>
          <w:noProof/>
          <w:szCs w:val="24"/>
        </w:rPr>
        <w:t>1</w:t>
      </w:r>
      <w:r w:rsidRPr="001A01A3">
        <w:rPr>
          <w:rFonts w:cs="Times New Roman"/>
          <w:noProof/>
          <w:szCs w:val="24"/>
        </w:rPr>
        <w:fldChar w:fldCharType="end"/>
      </w:r>
      <w:r w:rsidRPr="001A01A3">
        <w:rPr>
          <w:rFonts w:cs="Times New Roman"/>
          <w:szCs w:val="24"/>
        </w:rPr>
        <w:t>: Positioning strategy</w:t>
      </w:r>
    </w:p>
    <w:p w14:paraId="1E5FD1CE" w14:textId="77777777" w:rsidR="00D00924" w:rsidRPr="001A01A3" w:rsidRDefault="00D00924" w:rsidP="00D00924">
      <w:pPr>
        <w:spacing w:line="360" w:lineRule="auto"/>
        <w:jc w:val="center"/>
        <w:rPr>
          <w:rFonts w:cs="Times New Roman"/>
        </w:rPr>
      </w:pPr>
      <w:r w:rsidRPr="001A01A3">
        <w:rPr>
          <w:rFonts w:cs="Times New Roman"/>
        </w:rPr>
        <w:t>(Source: Author, 2026)</w:t>
      </w:r>
    </w:p>
    <w:p w14:paraId="5D008FCB" w14:textId="77777777" w:rsidR="00D00924" w:rsidRPr="001A01A3" w:rsidRDefault="00D00924" w:rsidP="00D00924">
      <w:pPr>
        <w:spacing w:line="360" w:lineRule="auto"/>
        <w:rPr>
          <w:rFonts w:cs="Times New Roman"/>
        </w:rPr>
      </w:pPr>
      <w:r w:rsidRPr="001A01A3">
        <w:rPr>
          <w:rFonts w:cs="Times New Roman"/>
        </w:rPr>
        <w:t xml:space="preserve">For the visionary corporate developer and the progressive home builders who want world-class structural integrity as well as urgent compliance with the environment, UltraTech </w:t>
      </w:r>
      <w:proofErr w:type="spellStart"/>
      <w:r w:rsidRPr="001A01A3">
        <w:rPr>
          <w:rFonts w:cs="Times New Roman"/>
        </w:rPr>
        <w:t>EcoBuild</w:t>
      </w:r>
      <w:proofErr w:type="spellEnd"/>
      <w:r w:rsidRPr="001A01A3">
        <w:rPr>
          <w:rFonts w:cs="Times New Roman"/>
        </w:rPr>
        <w:t xml:space="preserve"> is the ultra-low-carbon cement extension that offers peerless structural durability to consumers while also decreasing the carbon footprint by about 60%. Unlike conventional green cements, </w:t>
      </w:r>
      <w:proofErr w:type="spellStart"/>
      <w:r w:rsidRPr="001A01A3">
        <w:rPr>
          <w:rFonts w:cs="Times New Roman"/>
        </w:rPr>
        <w:t>EcoBuild</w:t>
      </w:r>
      <w:proofErr w:type="spellEnd"/>
      <w:r w:rsidRPr="001A01A3">
        <w:rPr>
          <w:rFonts w:cs="Times New Roman"/>
        </w:rPr>
        <w:t xml:space="preserve"> blends the advanced science of materials with verified ESG certifications to develop a sustainable future without compromising strength. </w:t>
      </w:r>
    </w:p>
    <w:p w14:paraId="79995548" w14:textId="77777777" w:rsidR="00D00924" w:rsidRPr="001A01A3" w:rsidRDefault="00D00924" w:rsidP="00D00924">
      <w:pPr>
        <w:pStyle w:val="Heading1"/>
        <w:rPr>
          <w:rFonts w:cs="Times New Roman"/>
        </w:rPr>
      </w:pPr>
      <w:bookmarkStart w:id="12" w:name="_Toc232809046"/>
      <w:bookmarkStart w:id="13" w:name="_Toc236325764"/>
      <w:r w:rsidRPr="001A01A3">
        <w:rPr>
          <w:rFonts w:cs="Times New Roman"/>
        </w:rPr>
        <w:t>Element 3: Marketing Mix (4Ps) Analysis</w:t>
      </w:r>
      <w:bookmarkEnd w:id="12"/>
      <w:bookmarkEnd w:id="13"/>
      <w:r w:rsidRPr="001A01A3">
        <w:rPr>
          <w:rFonts w:cs="Times New Roman"/>
        </w:rPr>
        <w:t xml:space="preserve"> </w:t>
      </w:r>
    </w:p>
    <w:p w14:paraId="0A6992A3" w14:textId="77777777" w:rsidR="00D00924" w:rsidRPr="001A01A3" w:rsidRDefault="00D00924" w:rsidP="00D00924">
      <w:pPr>
        <w:spacing w:line="360" w:lineRule="auto"/>
        <w:rPr>
          <w:rFonts w:cs="Times New Roman"/>
        </w:rPr>
      </w:pPr>
      <w:proofErr w:type="gramStart"/>
      <w:r w:rsidRPr="001A01A3">
        <w:rPr>
          <w:rFonts w:cs="Times New Roman"/>
        </w:rPr>
        <w:t>In order to</w:t>
      </w:r>
      <w:proofErr w:type="gramEnd"/>
      <w:r w:rsidRPr="001A01A3">
        <w:rPr>
          <w:rFonts w:cs="Times New Roman"/>
        </w:rPr>
        <w:t xml:space="preserve"> successfully commercialise the sustainable brand extension with the highly conservative, commodity-heavy industrial sector, the operational marketing mix needs to transcend the fundamental product-plus tactics. The 4 major elements of the marketing mix (product, price, place and promotion) need to act as an integrated and reinforcing system that translates the abstract ecological advantages into a commercially viable and clear value proposition for the target segments (Xia, 2023).  </w:t>
      </w:r>
    </w:p>
    <w:p w14:paraId="0F2B24D9" w14:textId="77777777" w:rsidR="00D00924" w:rsidRPr="001A01A3" w:rsidRDefault="00D00924" w:rsidP="00D00924">
      <w:pPr>
        <w:pStyle w:val="Heading2"/>
        <w:rPr>
          <w:rFonts w:cs="Times New Roman"/>
        </w:rPr>
      </w:pPr>
      <w:bookmarkStart w:id="14" w:name="_Toc232809047"/>
      <w:bookmarkStart w:id="15" w:name="_Toc236325765"/>
      <w:r w:rsidRPr="001A01A3">
        <w:rPr>
          <w:rFonts w:cs="Times New Roman"/>
        </w:rPr>
        <w:t>Product (advanced material science and sustainable value creation)</w:t>
      </w:r>
      <w:bookmarkEnd w:id="14"/>
      <w:bookmarkEnd w:id="15"/>
    </w:p>
    <w:p w14:paraId="05316410" w14:textId="77777777" w:rsidR="00D00924" w:rsidRPr="001A01A3" w:rsidRDefault="00D00924" w:rsidP="00D00924">
      <w:pPr>
        <w:spacing w:line="360" w:lineRule="auto"/>
        <w:rPr>
          <w:rFonts w:cs="Times New Roman"/>
        </w:rPr>
      </w:pPr>
      <w:r w:rsidRPr="001A01A3">
        <w:rPr>
          <w:rFonts w:cs="Times New Roman"/>
        </w:rPr>
        <w:t xml:space="preserve">The UltraTech </w:t>
      </w:r>
      <w:proofErr w:type="spellStart"/>
      <w:r w:rsidRPr="001A01A3">
        <w:rPr>
          <w:rFonts w:cs="Times New Roman"/>
        </w:rPr>
        <w:t>EcoBuild</w:t>
      </w:r>
      <w:proofErr w:type="spellEnd"/>
      <w:r w:rsidRPr="001A01A3">
        <w:rPr>
          <w:rFonts w:cs="Times New Roman"/>
        </w:rPr>
        <w:t xml:space="preserve"> productive strategies have been developed to redefine industrial materials by shifting cement from a basic structural object into an advanced eco-engineering </w:t>
      </w:r>
      <w:r w:rsidRPr="001A01A3">
        <w:rPr>
          <w:rFonts w:cs="Times New Roman"/>
        </w:rPr>
        <w:lastRenderedPageBreak/>
        <w:t xml:space="preserve">solution. To effectively analyse this, it can be mapped across 3 levels of the product network: the actual, the core and the augmented product layers. </w:t>
      </w:r>
    </w:p>
    <w:p w14:paraId="52D87B60" w14:textId="77777777" w:rsidR="00D00924" w:rsidRPr="001A01A3" w:rsidRDefault="00D00924" w:rsidP="00D00924">
      <w:pPr>
        <w:keepNext/>
        <w:spacing w:line="360" w:lineRule="auto"/>
        <w:jc w:val="center"/>
        <w:rPr>
          <w:rFonts w:cs="Times New Roman"/>
        </w:rPr>
      </w:pPr>
      <w:r w:rsidRPr="001A01A3">
        <w:rPr>
          <w:rFonts w:cs="Times New Roman"/>
          <w:noProof/>
        </w:rPr>
        <w:drawing>
          <wp:inline distT="0" distB="0" distL="0" distR="0" wp14:anchorId="33CA707A" wp14:editId="7849CF29">
            <wp:extent cx="5486400" cy="3200400"/>
            <wp:effectExtent l="0" t="57150" r="0" b="38100"/>
            <wp:docPr id="19238000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601E93E" w14:textId="77777777" w:rsidR="00D00924" w:rsidRPr="001A01A3" w:rsidRDefault="00D00924" w:rsidP="00D00924">
      <w:pPr>
        <w:pStyle w:val="Caption"/>
        <w:spacing w:line="360" w:lineRule="auto"/>
        <w:jc w:val="center"/>
        <w:rPr>
          <w:rFonts w:cs="Times New Roman"/>
          <w:szCs w:val="24"/>
        </w:rPr>
      </w:pPr>
      <w:r w:rsidRPr="001A01A3">
        <w:rPr>
          <w:rFonts w:cs="Times New Roman"/>
          <w:szCs w:val="24"/>
        </w:rPr>
        <w:t xml:space="preserve">Figure </w:t>
      </w:r>
      <w:r w:rsidRPr="001A01A3">
        <w:rPr>
          <w:rFonts w:cs="Times New Roman"/>
          <w:szCs w:val="24"/>
        </w:rPr>
        <w:fldChar w:fldCharType="begin"/>
      </w:r>
      <w:r w:rsidRPr="001A01A3">
        <w:rPr>
          <w:rFonts w:cs="Times New Roman"/>
          <w:szCs w:val="24"/>
        </w:rPr>
        <w:instrText xml:space="preserve"> SEQ Figure \* ARABIC </w:instrText>
      </w:r>
      <w:r w:rsidRPr="001A01A3">
        <w:rPr>
          <w:rFonts w:cs="Times New Roman"/>
          <w:szCs w:val="24"/>
        </w:rPr>
        <w:fldChar w:fldCharType="separate"/>
      </w:r>
      <w:r w:rsidRPr="001A01A3">
        <w:rPr>
          <w:rFonts w:cs="Times New Roman"/>
          <w:noProof/>
          <w:szCs w:val="24"/>
        </w:rPr>
        <w:t>2</w:t>
      </w:r>
      <w:r w:rsidRPr="001A01A3">
        <w:rPr>
          <w:rFonts w:cs="Times New Roman"/>
          <w:noProof/>
          <w:szCs w:val="24"/>
        </w:rPr>
        <w:fldChar w:fldCharType="end"/>
      </w:r>
      <w:r w:rsidRPr="001A01A3">
        <w:rPr>
          <w:rFonts w:cs="Times New Roman"/>
          <w:szCs w:val="24"/>
        </w:rPr>
        <w:t>: Product</w:t>
      </w:r>
    </w:p>
    <w:p w14:paraId="225DC16C" w14:textId="77777777" w:rsidR="00D00924" w:rsidRPr="001A01A3" w:rsidRDefault="00D00924" w:rsidP="00D00924">
      <w:pPr>
        <w:spacing w:line="360" w:lineRule="auto"/>
        <w:jc w:val="center"/>
        <w:rPr>
          <w:rFonts w:cs="Times New Roman"/>
        </w:rPr>
      </w:pPr>
      <w:r w:rsidRPr="001A01A3">
        <w:rPr>
          <w:rFonts w:cs="Times New Roman"/>
        </w:rPr>
        <w:t>(Source: Author, 2026)</w:t>
      </w:r>
    </w:p>
    <w:p w14:paraId="01D2142B" w14:textId="77777777" w:rsidR="00D00924" w:rsidRPr="001A01A3" w:rsidRDefault="00D00924" w:rsidP="00D00924">
      <w:pPr>
        <w:pStyle w:val="ListParagraph"/>
        <w:numPr>
          <w:ilvl w:val="0"/>
          <w:numId w:val="5"/>
        </w:numPr>
        <w:spacing w:line="360" w:lineRule="auto"/>
        <w:rPr>
          <w:rFonts w:cs="Times New Roman"/>
        </w:rPr>
      </w:pPr>
      <w:r w:rsidRPr="001A01A3">
        <w:rPr>
          <w:rFonts w:cs="Times New Roman"/>
        </w:rPr>
        <w:t xml:space="preserve">The core benefit: It goes beyond the fundamental development of material access, and it delivers long-term and high-performance structural durability combined with immediate compliance with contemporary decarbonization standards. </w:t>
      </w:r>
    </w:p>
    <w:p w14:paraId="735C777B" w14:textId="77777777" w:rsidR="00D00924" w:rsidRPr="001A01A3" w:rsidRDefault="00D00924" w:rsidP="00D00924">
      <w:pPr>
        <w:pStyle w:val="ListParagraph"/>
        <w:numPr>
          <w:ilvl w:val="0"/>
          <w:numId w:val="5"/>
        </w:numPr>
        <w:spacing w:line="360" w:lineRule="auto"/>
        <w:rPr>
          <w:rFonts w:cs="Times New Roman"/>
        </w:rPr>
      </w:pPr>
      <w:r w:rsidRPr="001A01A3">
        <w:rPr>
          <w:rFonts w:cs="Times New Roman"/>
        </w:rPr>
        <w:t xml:space="preserve">The actual product: This includes the physical, tangible formulation. Unlike the traditional OPC, which depends on the clinker-burning, energy-intensive procedure, </w:t>
      </w:r>
      <w:proofErr w:type="spellStart"/>
      <w:r w:rsidRPr="001A01A3">
        <w:rPr>
          <w:rFonts w:cs="Times New Roman"/>
        </w:rPr>
        <w:t>EcoBuild</w:t>
      </w:r>
      <w:proofErr w:type="spellEnd"/>
      <w:r w:rsidRPr="001A01A3">
        <w:rPr>
          <w:rFonts w:cs="Times New Roman"/>
        </w:rPr>
        <w:t xml:space="preserve"> leverages an advanced geopolymer matrix. This proprietary formula consists of 100% recycled industrial byproducts like fly ash and blast furnace slag. It decreases the carbon footprint by almost 60% while also matching or improving the early compressive strength of the traditional OPC 53-grade. The physical packaging also leads towards a green identity </w:t>
      </w:r>
      <w:proofErr w:type="gramStart"/>
      <w:r w:rsidRPr="001A01A3">
        <w:rPr>
          <w:rFonts w:cs="Times New Roman"/>
        </w:rPr>
        <w:t>through the use of</w:t>
      </w:r>
      <w:proofErr w:type="gramEnd"/>
      <w:r w:rsidRPr="001A01A3">
        <w:rPr>
          <w:rFonts w:cs="Times New Roman"/>
        </w:rPr>
        <w:t xml:space="preserve"> 100% moisture-proof, biodegradable recycled paper bags printed with soy-based inks </w:t>
      </w:r>
      <w:proofErr w:type="gramStart"/>
      <w:r w:rsidRPr="001A01A3">
        <w:rPr>
          <w:rFonts w:cs="Times New Roman"/>
        </w:rPr>
        <w:t>so as to</w:t>
      </w:r>
      <w:proofErr w:type="gramEnd"/>
      <w:r w:rsidRPr="001A01A3">
        <w:rPr>
          <w:rFonts w:cs="Times New Roman"/>
        </w:rPr>
        <w:t xml:space="preserve"> ensure zero generation of plastic waste. </w:t>
      </w:r>
    </w:p>
    <w:p w14:paraId="3D609CED" w14:textId="77777777" w:rsidR="00D00924" w:rsidRPr="001A01A3" w:rsidRDefault="00D00924" w:rsidP="00D00924">
      <w:pPr>
        <w:pStyle w:val="ListParagraph"/>
        <w:numPr>
          <w:ilvl w:val="0"/>
          <w:numId w:val="5"/>
        </w:numPr>
        <w:spacing w:line="360" w:lineRule="auto"/>
        <w:rPr>
          <w:rFonts w:cs="Times New Roman"/>
        </w:rPr>
      </w:pPr>
      <w:r w:rsidRPr="001A01A3">
        <w:rPr>
          <w:rFonts w:cs="Times New Roman"/>
        </w:rPr>
        <w:t xml:space="preserve">The augmented product: This layer offers the competitive rivalry that is needed to capture the large-scale enterprise consumers (Jobber and Ellis-Chadwick, 2020). UltraTech augments </w:t>
      </w:r>
      <w:proofErr w:type="spellStart"/>
      <w:r w:rsidRPr="001A01A3">
        <w:rPr>
          <w:rFonts w:cs="Times New Roman"/>
        </w:rPr>
        <w:t>EcoBuild</w:t>
      </w:r>
      <w:proofErr w:type="spellEnd"/>
      <w:r w:rsidRPr="001A01A3">
        <w:rPr>
          <w:rFonts w:cs="Times New Roman"/>
        </w:rPr>
        <w:t xml:space="preserve"> by using dedicated on-site technical mixing teams to </w:t>
      </w:r>
      <w:r w:rsidRPr="001A01A3">
        <w:rPr>
          <w:rFonts w:cs="Times New Roman"/>
        </w:rPr>
        <w:lastRenderedPageBreak/>
        <w:t xml:space="preserve">fine-tune the concrete mix </w:t>
      </w:r>
      <w:proofErr w:type="gramStart"/>
      <w:r w:rsidRPr="001A01A3">
        <w:rPr>
          <w:rFonts w:cs="Times New Roman"/>
        </w:rPr>
        <w:t>on the basis of</w:t>
      </w:r>
      <w:proofErr w:type="gramEnd"/>
      <w:r w:rsidRPr="001A01A3">
        <w:rPr>
          <w:rFonts w:cs="Times New Roman"/>
        </w:rPr>
        <w:t xml:space="preserve"> structural and local climate conditions. Moreover, the product offers independent, 3rd party validated environmental product declarations (EPDs) and issues the digitised ‘Carbon Offsetting Certificates’ to the clients. It allows the corporate developers to feed clean data directly into their formal audits of ESG. </w:t>
      </w:r>
    </w:p>
    <w:p w14:paraId="3E710897" w14:textId="77777777" w:rsidR="00D00924" w:rsidRPr="001A01A3" w:rsidRDefault="00D00924" w:rsidP="00D00924">
      <w:pPr>
        <w:pStyle w:val="Heading2"/>
        <w:rPr>
          <w:rFonts w:cs="Times New Roman"/>
        </w:rPr>
      </w:pPr>
      <w:bookmarkStart w:id="16" w:name="_Toc232809048"/>
      <w:bookmarkStart w:id="17" w:name="_Toc236325766"/>
      <w:r w:rsidRPr="001A01A3">
        <w:rPr>
          <w:rFonts w:cs="Times New Roman"/>
        </w:rPr>
        <w:t>Price (Value-based premium pricing and lifecycle costing)</w:t>
      </w:r>
      <w:bookmarkEnd w:id="16"/>
      <w:bookmarkEnd w:id="17"/>
      <w:r w:rsidRPr="001A01A3">
        <w:rPr>
          <w:rFonts w:cs="Times New Roman"/>
        </w:rPr>
        <w:t xml:space="preserve"> </w:t>
      </w:r>
    </w:p>
    <w:p w14:paraId="11635031" w14:textId="77777777" w:rsidR="00D00924" w:rsidRPr="001A01A3" w:rsidRDefault="00D00924" w:rsidP="00D00924">
      <w:pPr>
        <w:spacing w:line="360" w:lineRule="auto"/>
        <w:rPr>
          <w:rFonts w:cs="Times New Roman"/>
        </w:rPr>
      </w:pPr>
      <w:r w:rsidRPr="001A01A3">
        <w:rPr>
          <w:rFonts w:cs="Times New Roman"/>
        </w:rPr>
        <w:t xml:space="preserve">Pricing of an eco-friendly product material needs to move beyond cost-plus accounting towards a value-based, sophisticated pricing model. A value-based pricing model helps companies to justify the premium prices by signalling the added value (Huang et al., 2026). UltraTech </w:t>
      </w:r>
      <w:proofErr w:type="spellStart"/>
      <w:r w:rsidRPr="001A01A3">
        <w:rPr>
          <w:rFonts w:cs="Times New Roman"/>
        </w:rPr>
        <w:t>EcoBuild</w:t>
      </w:r>
      <w:proofErr w:type="spellEnd"/>
      <w:r w:rsidRPr="001A01A3">
        <w:rPr>
          <w:rFonts w:cs="Times New Roman"/>
        </w:rPr>
        <w:t xml:space="preserve"> will launch a </w:t>
      </w:r>
      <w:r w:rsidRPr="001A01A3">
        <w:rPr>
          <w:rFonts w:cs="Times New Roman"/>
          <w:b/>
          <w:bCs/>
        </w:rPr>
        <w:t>12% to 15% price premium</w:t>
      </w:r>
      <w:r w:rsidRPr="001A01A3">
        <w:rPr>
          <w:rFonts w:cs="Times New Roman"/>
        </w:rPr>
        <w:t xml:space="preserve"> over standard Portland Pozzolana Cement (PPC). While this premium price positions the company at the top of the category, it is also strategically justified to the target market segment through concrete life cycle value:</w:t>
      </w:r>
    </w:p>
    <w:p w14:paraId="2A081848" w14:textId="77777777" w:rsidR="00D00924" w:rsidRPr="001A01A3" w:rsidRDefault="00D00924" w:rsidP="00D00924">
      <w:pPr>
        <w:spacing w:line="360" w:lineRule="auto"/>
        <w:rPr>
          <w:rFonts w:cs="Times New Roman"/>
        </w:rPr>
      </w:pPr>
      <w:r w:rsidRPr="001A01A3">
        <w:rPr>
          <w:rFonts w:cs="Times New Roman"/>
        </w:rPr>
        <w:t xml:space="preserve">Value Proposition= Reduced Carbon Penalties + LEED Premium Capital + Parent Brand Trust </w:t>
      </w:r>
    </w:p>
    <w:p w14:paraId="139849A4" w14:textId="77777777" w:rsidR="00D00924" w:rsidRPr="001A01A3" w:rsidRDefault="00D00924" w:rsidP="00D00924">
      <w:pPr>
        <w:spacing w:line="360" w:lineRule="auto"/>
        <w:rPr>
          <w:rFonts w:cs="Times New Roman"/>
        </w:rPr>
      </w:pPr>
      <w:r w:rsidRPr="001A01A3">
        <w:rPr>
          <w:rFonts w:cs="Times New Roman"/>
        </w:rPr>
        <w:t xml:space="preserve">For the B2B institutional segment, this premium cost is offset by the economic returns that are generated by the green buildings. The commercial office spaces that will have the verified green ratings (like BREEAM or LEED) command a high volume of sales velocities and rental premiums from multinational tenants with strict mandates towards net zero. Hence, the premium payment on the raw material acts as the investment that improves the market value of the real estate asset. Moreover, this premium price acts as the strategic buffer against tightening environmental compliance audits and impeding carbon taxes. For premium individual home builders (B2C), the high prices use the behavioural principle of price-quality inference. In the areas of luxury residential construction, the premium price tag represents premium status, advanced engineering and elite social responsibility. As per Baum et al. (2021), in the property market, prices are not available, as each property is unique and the market is private, and there are no market makers. </w:t>
      </w:r>
    </w:p>
    <w:p w14:paraId="544DD6FE" w14:textId="77777777" w:rsidR="00D00924" w:rsidRPr="001A01A3" w:rsidRDefault="00D00924" w:rsidP="00D00924">
      <w:pPr>
        <w:pStyle w:val="Heading2"/>
        <w:rPr>
          <w:rFonts w:cs="Times New Roman"/>
        </w:rPr>
      </w:pPr>
      <w:bookmarkStart w:id="18" w:name="_Toc232809049"/>
      <w:bookmarkStart w:id="19" w:name="_Toc236325767"/>
      <w:r w:rsidRPr="001A01A3">
        <w:rPr>
          <w:rFonts w:cs="Times New Roman"/>
        </w:rPr>
        <w:t>Place (Sustainable logistics and circular supply chains)</w:t>
      </w:r>
      <w:bookmarkEnd w:id="18"/>
      <w:bookmarkEnd w:id="19"/>
    </w:p>
    <w:p w14:paraId="493DB3E0" w14:textId="77777777" w:rsidR="00D00924" w:rsidRPr="001A01A3" w:rsidRDefault="00D00924" w:rsidP="00D00924">
      <w:pPr>
        <w:spacing w:line="360" w:lineRule="auto"/>
        <w:rPr>
          <w:rFonts w:cs="Times New Roman"/>
        </w:rPr>
      </w:pPr>
      <w:r w:rsidRPr="001A01A3">
        <w:rPr>
          <w:rFonts w:cs="Times New Roman"/>
        </w:rPr>
        <w:t xml:space="preserve">Industrial logistics are inherently </w:t>
      </w:r>
      <w:proofErr w:type="gramStart"/>
      <w:r w:rsidRPr="001A01A3">
        <w:rPr>
          <w:rFonts w:cs="Times New Roman"/>
        </w:rPr>
        <w:t>carbon-heavy</w:t>
      </w:r>
      <w:proofErr w:type="gramEnd"/>
      <w:r w:rsidRPr="001A01A3">
        <w:rPr>
          <w:rFonts w:cs="Times New Roman"/>
        </w:rPr>
        <w:t xml:space="preserve">. That is why the distribution strategy used by UltraTech </w:t>
      </w:r>
      <w:proofErr w:type="spellStart"/>
      <w:r w:rsidRPr="001A01A3">
        <w:rPr>
          <w:rFonts w:cs="Times New Roman"/>
        </w:rPr>
        <w:t>EcoBuild</w:t>
      </w:r>
      <w:proofErr w:type="spellEnd"/>
      <w:r w:rsidRPr="001A01A3">
        <w:rPr>
          <w:rFonts w:cs="Times New Roman"/>
        </w:rPr>
        <w:t xml:space="preserve"> must carefully preserve the green narrative of the brand by decreasing the supply chain emissions. Let us use a regulatory framework that uses the split model, which is tailored to the needs of B2B and B2C. </w:t>
      </w:r>
    </w:p>
    <w:p w14:paraId="5F2A7DE7" w14:textId="77777777" w:rsidR="00D00924" w:rsidRPr="001A01A3" w:rsidRDefault="00D00924" w:rsidP="00D00924">
      <w:pPr>
        <w:spacing w:line="360" w:lineRule="auto"/>
        <w:rPr>
          <w:rFonts w:cs="Times New Roman"/>
          <w:b/>
          <w:bCs/>
          <w:i/>
          <w:iCs/>
        </w:rPr>
      </w:pPr>
      <w:r w:rsidRPr="001A01A3">
        <w:rPr>
          <w:rFonts w:cs="Times New Roman"/>
          <w:b/>
          <w:bCs/>
          <w:i/>
          <w:iCs/>
        </w:rPr>
        <w:t xml:space="preserve">The B2B Direct-to-Site Model </w:t>
      </w:r>
    </w:p>
    <w:p w14:paraId="7C2CE579" w14:textId="77777777" w:rsidR="00D00924" w:rsidRPr="001A01A3" w:rsidRDefault="00D00924" w:rsidP="00D00924">
      <w:pPr>
        <w:spacing w:line="360" w:lineRule="auto"/>
        <w:rPr>
          <w:rFonts w:cs="Times New Roman"/>
        </w:rPr>
      </w:pPr>
      <w:r w:rsidRPr="001A01A3">
        <w:rPr>
          <w:rFonts w:cs="Times New Roman"/>
        </w:rPr>
        <w:lastRenderedPageBreak/>
        <w:t xml:space="preserve">To decrease transit and handling emissions and the cost paid to middlemen, </w:t>
      </w:r>
      <w:proofErr w:type="spellStart"/>
      <w:r w:rsidRPr="001A01A3">
        <w:rPr>
          <w:rFonts w:cs="Times New Roman"/>
        </w:rPr>
        <w:t>EcoBuild</w:t>
      </w:r>
      <w:proofErr w:type="spellEnd"/>
      <w:r w:rsidRPr="001A01A3">
        <w:rPr>
          <w:rFonts w:cs="Times New Roman"/>
        </w:rPr>
        <w:t xml:space="preserve"> bypasses the traditional multi-tiered retail dealer network for the clients of the enterprise. The product directly moves from the dedicated eco-certified production plants to the construction site of the client.</w:t>
      </w:r>
    </w:p>
    <w:p w14:paraId="616C5C00" w14:textId="77777777" w:rsidR="00D00924" w:rsidRPr="001A01A3" w:rsidRDefault="00D00924" w:rsidP="00D00924">
      <w:pPr>
        <w:spacing w:line="360" w:lineRule="auto"/>
        <w:rPr>
          <w:rFonts w:cs="Times New Roman"/>
          <w:b/>
          <w:bCs/>
          <w:i/>
          <w:iCs/>
        </w:rPr>
      </w:pPr>
      <w:r w:rsidRPr="001A01A3">
        <w:rPr>
          <w:rFonts w:cs="Times New Roman"/>
          <w:b/>
          <w:bCs/>
          <w:i/>
          <w:iCs/>
        </w:rPr>
        <w:t xml:space="preserve">The B2C Green Hub Model </w:t>
      </w:r>
    </w:p>
    <w:p w14:paraId="15124E62" w14:textId="77777777" w:rsidR="00D00924" w:rsidRPr="001A01A3" w:rsidRDefault="00D00924" w:rsidP="00D00924">
      <w:pPr>
        <w:spacing w:line="360" w:lineRule="auto"/>
        <w:rPr>
          <w:rFonts w:cs="Times New Roman"/>
        </w:rPr>
      </w:pPr>
      <w:r w:rsidRPr="001A01A3">
        <w:rPr>
          <w:rFonts w:cs="Times New Roman"/>
        </w:rPr>
        <w:t xml:space="preserve">In the case of premium individual builders, the distribution process majorly emphasis on exclusive, franchise-owned ‘UltraTech Green Zones’ that </w:t>
      </w:r>
      <w:proofErr w:type="gramStart"/>
      <w:r w:rsidRPr="001A01A3">
        <w:rPr>
          <w:rFonts w:cs="Times New Roman"/>
        </w:rPr>
        <w:t>are located in</w:t>
      </w:r>
      <w:proofErr w:type="gramEnd"/>
      <w:r w:rsidRPr="001A01A3">
        <w:rPr>
          <w:rFonts w:cs="Times New Roman"/>
        </w:rPr>
        <w:t xml:space="preserve"> major markets, including urban buildings. These centres handle the specialised storage </w:t>
      </w:r>
      <w:proofErr w:type="gramStart"/>
      <w:r w:rsidRPr="001A01A3">
        <w:rPr>
          <w:rFonts w:cs="Times New Roman"/>
        </w:rPr>
        <w:t>so as to</w:t>
      </w:r>
      <w:proofErr w:type="gramEnd"/>
      <w:r w:rsidRPr="001A01A3">
        <w:rPr>
          <w:rFonts w:cs="Times New Roman"/>
        </w:rPr>
        <w:t xml:space="preserve"> protect the green polymer elements from moisture degradation without using the single-use plastic wraps.</w:t>
      </w:r>
    </w:p>
    <w:p w14:paraId="7A55CC08" w14:textId="77777777" w:rsidR="00D00924" w:rsidRPr="001A01A3" w:rsidRDefault="00D00924" w:rsidP="00D00924">
      <w:pPr>
        <w:spacing w:line="360" w:lineRule="auto"/>
        <w:rPr>
          <w:rFonts w:cs="Times New Roman"/>
          <w:b/>
          <w:bCs/>
          <w:i/>
          <w:iCs/>
        </w:rPr>
      </w:pPr>
      <w:r w:rsidRPr="001A01A3">
        <w:rPr>
          <w:rFonts w:cs="Times New Roman"/>
          <w:b/>
          <w:bCs/>
          <w:i/>
          <w:iCs/>
        </w:rPr>
        <w:t xml:space="preserve">Green Fleet Transport </w:t>
      </w:r>
    </w:p>
    <w:p w14:paraId="48814538" w14:textId="77777777" w:rsidR="00D00924" w:rsidRPr="001A01A3" w:rsidRDefault="00D00924" w:rsidP="00D00924">
      <w:pPr>
        <w:spacing w:line="360" w:lineRule="auto"/>
        <w:rPr>
          <w:rFonts w:cs="Times New Roman"/>
        </w:rPr>
      </w:pPr>
      <w:r w:rsidRPr="001A01A3">
        <w:rPr>
          <w:rFonts w:cs="Times New Roman"/>
        </w:rPr>
        <w:t>To decrease the scope 3 emissions within the distribution network, the company agrees with the specialised logistics partners who operate on liquefied natural gas (LNG) bulk trucks and electric delivery tankers for the short-mile urban transport. Contracts for the long-distance transport between the metropolitan distribution centres and plants, the brand is fully on the rail network, which is significantly less carbon-intensive in comparison to traditional road transport.</w:t>
      </w:r>
    </w:p>
    <w:p w14:paraId="224947FE" w14:textId="77777777" w:rsidR="00D00924" w:rsidRPr="001A01A3" w:rsidRDefault="00D00924" w:rsidP="00D00924">
      <w:pPr>
        <w:pStyle w:val="Heading2"/>
        <w:rPr>
          <w:rFonts w:cs="Times New Roman"/>
        </w:rPr>
      </w:pPr>
      <w:bookmarkStart w:id="20" w:name="_Toc232809050"/>
      <w:bookmarkStart w:id="21" w:name="_Toc236325768"/>
      <w:r w:rsidRPr="001A01A3">
        <w:rPr>
          <w:rFonts w:cs="Times New Roman"/>
        </w:rPr>
        <w:t>Promotion (B2B relationship marketing and evidence-based credibility)</w:t>
      </w:r>
      <w:bookmarkEnd w:id="20"/>
      <w:bookmarkEnd w:id="21"/>
    </w:p>
    <w:p w14:paraId="705B9C29" w14:textId="77777777" w:rsidR="00D00924" w:rsidRPr="001A01A3" w:rsidRDefault="00D00924" w:rsidP="00D00924">
      <w:pPr>
        <w:pStyle w:val="ListParagraph"/>
        <w:numPr>
          <w:ilvl w:val="0"/>
          <w:numId w:val="6"/>
        </w:numPr>
        <w:spacing w:line="360" w:lineRule="auto"/>
        <w:rPr>
          <w:rFonts w:cs="Times New Roman"/>
        </w:rPr>
      </w:pPr>
      <w:r w:rsidRPr="001A01A3">
        <w:rPr>
          <w:rFonts w:cs="Times New Roman"/>
        </w:rPr>
        <w:t xml:space="preserve">Fostering the industrial green brand extension needs a data-driven approach that focuses mainly on the development of credible and long-term relationships instead of broad consumer advertising that could be </w:t>
      </w:r>
      <w:proofErr w:type="spellStart"/>
      <w:r w:rsidRPr="001A01A3">
        <w:rPr>
          <w:rFonts w:cs="Times New Roman"/>
        </w:rPr>
        <w:t>misconceptualised</w:t>
      </w:r>
      <w:proofErr w:type="spellEnd"/>
      <w:r w:rsidRPr="001A01A3">
        <w:rPr>
          <w:rFonts w:cs="Times New Roman"/>
        </w:rPr>
        <w:t xml:space="preserve"> as greenwashing. </w:t>
      </w:r>
    </w:p>
    <w:p w14:paraId="0582B647" w14:textId="77777777" w:rsidR="00D00924" w:rsidRPr="001A01A3" w:rsidRDefault="00D00924" w:rsidP="00D00924">
      <w:pPr>
        <w:pStyle w:val="ListParagraph"/>
        <w:numPr>
          <w:ilvl w:val="0"/>
          <w:numId w:val="6"/>
        </w:numPr>
        <w:spacing w:line="360" w:lineRule="auto"/>
        <w:rPr>
          <w:rFonts w:cs="Times New Roman"/>
        </w:rPr>
      </w:pPr>
      <w:r w:rsidRPr="001A01A3">
        <w:rPr>
          <w:rFonts w:cs="Times New Roman"/>
        </w:rPr>
        <w:t xml:space="preserve">Digital tools and embodied carbon calculators: The company will launch an interactive platform of a web and mobile app that includes the ‘embodied carbon life cycle calculator’. This tool allows the structural engineers to instantly see the projected carbon savings and LEED points earned by selecting </w:t>
      </w:r>
      <w:proofErr w:type="spellStart"/>
      <w:r w:rsidRPr="001A01A3">
        <w:rPr>
          <w:rFonts w:cs="Times New Roman"/>
        </w:rPr>
        <w:t>EcoBuild</w:t>
      </w:r>
      <w:proofErr w:type="spellEnd"/>
      <w:r w:rsidRPr="001A01A3">
        <w:rPr>
          <w:rFonts w:cs="Times New Roman"/>
        </w:rPr>
        <w:t xml:space="preserve"> over the traditional options, and they can also input the building blueprints into it. </w:t>
      </w:r>
    </w:p>
    <w:p w14:paraId="02976C22" w14:textId="77777777" w:rsidR="00D00924" w:rsidRPr="001A01A3" w:rsidRDefault="00D00924" w:rsidP="00D00924">
      <w:pPr>
        <w:pStyle w:val="ListParagraph"/>
        <w:numPr>
          <w:ilvl w:val="0"/>
          <w:numId w:val="6"/>
        </w:numPr>
        <w:spacing w:line="360" w:lineRule="auto"/>
        <w:rPr>
          <w:rFonts w:cs="Times New Roman"/>
        </w:rPr>
      </w:pPr>
      <w:r w:rsidRPr="001A01A3">
        <w:rPr>
          <w:rFonts w:cs="Times New Roman"/>
        </w:rPr>
        <w:t xml:space="preserve">Consultative selling and expert advisory: a specialised industrial sales engineer will be deployed by UltraTech to contribute to the technical workshops directly with the top-tier architectural firms, and corporate sustainability heads will handle structural engineering councils. These sessions will cover low-carbon material durability, structural physics and green building calculations. </w:t>
      </w:r>
    </w:p>
    <w:p w14:paraId="061BF985" w14:textId="77777777" w:rsidR="00D00924" w:rsidRPr="001A01A3" w:rsidRDefault="00D00924" w:rsidP="00D00924">
      <w:pPr>
        <w:pStyle w:val="ListParagraph"/>
        <w:numPr>
          <w:ilvl w:val="0"/>
          <w:numId w:val="6"/>
        </w:numPr>
        <w:spacing w:line="360" w:lineRule="auto"/>
        <w:rPr>
          <w:rFonts w:cs="Times New Roman"/>
        </w:rPr>
      </w:pPr>
      <w:r w:rsidRPr="001A01A3">
        <w:rPr>
          <w:rFonts w:cs="Times New Roman"/>
        </w:rPr>
        <w:t xml:space="preserve">Ingredient branding and shared marketing: to foster adoption through B2B, UltraTech will offer the enterprise clients a co-branding package. The construction sites developed </w:t>
      </w:r>
      <w:r w:rsidRPr="001A01A3">
        <w:rPr>
          <w:rFonts w:cs="Times New Roman"/>
        </w:rPr>
        <w:lastRenderedPageBreak/>
        <w:t>with the product receive prominent structural signage and digital wedges reading “</w:t>
      </w:r>
      <w:r w:rsidRPr="001A01A3">
        <w:rPr>
          <w:rFonts w:cs="Times New Roman"/>
          <w:i/>
          <w:iCs/>
        </w:rPr>
        <w:t xml:space="preserve">Built for the Future with UltraTech </w:t>
      </w:r>
      <w:proofErr w:type="spellStart"/>
      <w:r w:rsidRPr="001A01A3">
        <w:rPr>
          <w:rFonts w:cs="Times New Roman"/>
          <w:i/>
          <w:iCs/>
        </w:rPr>
        <w:t>EcoBuild</w:t>
      </w:r>
      <w:proofErr w:type="spellEnd"/>
      <w:r w:rsidRPr="001A01A3">
        <w:rPr>
          <w:rFonts w:cs="Times New Roman"/>
          <w:i/>
          <w:iCs/>
        </w:rPr>
        <w:t xml:space="preserve">- 60% Carbon Reduced”. </w:t>
      </w:r>
      <w:r w:rsidRPr="001A01A3">
        <w:rPr>
          <w:rFonts w:cs="Times New Roman"/>
        </w:rPr>
        <w:t xml:space="preserve">Deswal encourages the green marketing efforts of the developers while also improving their awareness and the market for the </w:t>
      </w:r>
      <w:proofErr w:type="spellStart"/>
      <w:r w:rsidRPr="001A01A3">
        <w:rPr>
          <w:rFonts w:cs="Times New Roman"/>
        </w:rPr>
        <w:t>EcoBuild</w:t>
      </w:r>
      <w:proofErr w:type="spellEnd"/>
      <w:r w:rsidRPr="001A01A3">
        <w:rPr>
          <w:rFonts w:cs="Times New Roman"/>
        </w:rPr>
        <w:t xml:space="preserve"> brand. </w:t>
      </w:r>
    </w:p>
    <w:p w14:paraId="7A401A63" w14:textId="77777777" w:rsidR="00D00924" w:rsidRPr="001A01A3" w:rsidRDefault="00D00924" w:rsidP="00D00924">
      <w:pPr>
        <w:pStyle w:val="ListParagraph"/>
        <w:numPr>
          <w:ilvl w:val="0"/>
          <w:numId w:val="6"/>
        </w:numPr>
        <w:spacing w:line="360" w:lineRule="auto"/>
        <w:rPr>
          <w:rFonts w:cs="Times New Roman"/>
        </w:rPr>
      </w:pPr>
      <w:r w:rsidRPr="001A01A3">
        <w:rPr>
          <w:rFonts w:cs="Times New Roman"/>
        </w:rPr>
        <w:t>Targeted B2C air cover: to assist the premium consumer segment, the promotional efforts will focus on the premium programmatic digital advertisements, high-end architectural magazines and professional LinkedIn networks, which will present the real-world case studies of the iconic, low-carbon structures.</w:t>
      </w:r>
    </w:p>
    <w:p w14:paraId="08414C35" w14:textId="77777777" w:rsidR="00D00924" w:rsidRPr="001A01A3" w:rsidRDefault="00D00924" w:rsidP="00D00924">
      <w:pPr>
        <w:pStyle w:val="Heading1"/>
        <w:rPr>
          <w:rFonts w:cs="Times New Roman"/>
        </w:rPr>
      </w:pPr>
      <w:bookmarkStart w:id="22" w:name="_Toc232809051"/>
      <w:bookmarkStart w:id="23" w:name="_Toc236325769"/>
      <w:r w:rsidRPr="001A01A3">
        <w:rPr>
          <w:rFonts w:cs="Times New Roman"/>
        </w:rPr>
        <w:t>Element 4: Personal and Professional Reflection</w:t>
      </w:r>
      <w:bookmarkEnd w:id="22"/>
      <w:bookmarkEnd w:id="23"/>
      <w:r w:rsidRPr="001A01A3">
        <w:rPr>
          <w:rFonts w:cs="Times New Roman"/>
        </w:rPr>
        <w:t xml:space="preserve"> </w:t>
      </w:r>
    </w:p>
    <w:p w14:paraId="4C15485F" w14:textId="77777777" w:rsidR="00D00924" w:rsidRPr="001A01A3" w:rsidRDefault="00D00924" w:rsidP="00D00924">
      <w:pPr>
        <w:spacing w:line="360" w:lineRule="auto"/>
        <w:rPr>
          <w:rFonts w:cs="Times New Roman"/>
        </w:rPr>
      </w:pPr>
      <w:r w:rsidRPr="001A01A3">
        <w:rPr>
          <w:rFonts w:cs="Times New Roman"/>
        </w:rPr>
        <w:t xml:space="preserve">The creation of this sustainable brand extension for the industrial heavy brand like UltraTech Cement has provided me with a powerful context for examining how the traditional marketing framework engages with Urgent contemporary sustainability goals. This reflective section has used the adjusted experiential learning framework to analyse their strategic knowledge, skills and personal growth, which is developed throughout the creation of the presentation of this portfolio. </w:t>
      </w:r>
    </w:p>
    <w:p w14:paraId="67864A69" w14:textId="77777777" w:rsidR="00D00924" w:rsidRPr="001A01A3" w:rsidRDefault="00D00924" w:rsidP="00D00924">
      <w:pPr>
        <w:pStyle w:val="Heading2"/>
        <w:rPr>
          <w:rFonts w:cs="Times New Roman"/>
        </w:rPr>
      </w:pPr>
      <w:bookmarkStart w:id="24" w:name="_Toc232809052"/>
      <w:bookmarkStart w:id="25" w:name="_Toc236325770"/>
      <w:r w:rsidRPr="001A01A3">
        <w:rPr>
          <w:rFonts w:cs="Times New Roman"/>
        </w:rPr>
        <w:t>Reflection on strategic development (the strategic process)</w:t>
      </w:r>
      <w:bookmarkEnd w:id="24"/>
      <w:bookmarkEnd w:id="25"/>
    </w:p>
    <w:p w14:paraId="25E19F8C" w14:textId="77777777" w:rsidR="00D00924" w:rsidRPr="001A01A3" w:rsidRDefault="00D00924" w:rsidP="00D00924">
      <w:pPr>
        <w:spacing w:line="360" w:lineRule="auto"/>
        <w:rPr>
          <w:rFonts w:cs="Times New Roman"/>
        </w:rPr>
      </w:pPr>
      <w:r w:rsidRPr="001A01A3">
        <w:rPr>
          <w:rFonts w:cs="Times New Roman"/>
        </w:rPr>
        <w:t xml:space="preserve">At the start of this portfolio, I was feeling extremely challenged as I had to apply the sustainable brand theories to a highly commoditised, carbon-intensive industrial product like cement. Historically, B2B building materials have been bought purely on the technical and cost grade instead of ecological values. I have deeply researched and analysed the market dynamics of UltraTech, which has helped me to bridge this gap. I have understood that the successful sustainability strategy must connect the abstract carbon metrics with clear, bottom-line financial incentives for real estate builders, like the LEED certification points and access to green institutional capital. This process has taught me how one should shift from the fundamental cost-plus thinking towards the value-based, strategic pricing model. It also presented the significance of transparency in the supply chain, presenting that the green product cannot stand alone without an equally sustainable network of distribution to back up its claims. </w:t>
      </w:r>
    </w:p>
    <w:p w14:paraId="5BB28BEF" w14:textId="77777777" w:rsidR="00D00924" w:rsidRPr="001A01A3" w:rsidRDefault="00D00924" w:rsidP="00D00924">
      <w:pPr>
        <w:pStyle w:val="Heading2"/>
        <w:rPr>
          <w:rFonts w:cs="Times New Roman"/>
        </w:rPr>
      </w:pPr>
      <w:bookmarkStart w:id="26" w:name="_Toc232809053"/>
      <w:bookmarkStart w:id="27" w:name="_Toc236325771"/>
      <w:r w:rsidRPr="001A01A3">
        <w:rPr>
          <w:rFonts w:cs="Times New Roman"/>
        </w:rPr>
        <w:t>Reflection on the poster presentation experience (the communication challenge)</w:t>
      </w:r>
      <w:bookmarkEnd w:id="26"/>
      <w:bookmarkEnd w:id="27"/>
    </w:p>
    <w:p w14:paraId="6BAF3400" w14:textId="77777777" w:rsidR="00D00924" w:rsidRPr="001A01A3" w:rsidRDefault="00D00924" w:rsidP="00D00924">
      <w:pPr>
        <w:spacing w:line="360" w:lineRule="auto"/>
        <w:rPr>
          <w:rFonts w:cs="Times New Roman"/>
        </w:rPr>
      </w:pPr>
      <w:r w:rsidRPr="001A01A3">
        <w:rPr>
          <w:rFonts w:cs="Times New Roman"/>
        </w:rPr>
        <w:t xml:space="preserve">Making and delivering the concise, </w:t>
      </w:r>
      <w:proofErr w:type="gramStart"/>
      <w:r w:rsidRPr="001A01A3">
        <w:rPr>
          <w:rFonts w:cs="Times New Roman"/>
        </w:rPr>
        <w:t>3-5 minute</w:t>
      </w:r>
      <w:proofErr w:type="gramEnd"/>
      <w:r w:rsidRPr="001A01A3">
        <w:rPr>
          <w:rFonts w:cs="Times New Roman"/>
        </w:rPr>
        <w:t xml:space="preserve"> poster presentation led to the high-stakes, realistic professional challenge. I was initially anxious due to the density of the data, and it felt extremely tough to me to compress the whole low-carbon B2B marketing strategy into a single poster layout and the script, which was only 200 words roughly. This barrier forced me to </w:t>
      </w:r>
      <w:r w:rsidRPr="001A01A3">
        <w:rPr>
          <w:rFonts w:cs="Times New Roman"/>
        </w:rPr>
        <w:lastRenderedPageBreak/>
        <w:t xml:space="preserve">understand the art of executive-level brevity.  I learned to drop the highly critical descriptions and instead emphasise the high-impact data points, like the 60% carbon reduction metrics and explicit UN SDG alignments. I used the clean visual layout in Canva, which was presented by the delivery during the live presentation, shifting my initial nerves into an energetic and authoritative consulting pitch. This experience helped me to learn that visual clarity and structured data are vital tools for maintaining engagement with the audience when pitching critical industrial strategies. </w:t>
      </w:r>
    </w:p>
    <w:p w14:paraId="3B6ADE95" w14:textId="77777777" w:rsidR="00D00924" w:rsidRPr="001A01A3" w:rsidRDefault="00D00924" w:rsidP="00D00924">
      <w:pPr>
        <w:pStyle w:val="Heading2"/>
        <w:rPr>
          <w:rFonts w:cs="Times New Roman"/>
        </w:rPr>
      </w:pPr>
      <w:bookmarkStart w:id="28" w:name="_Toc232809054"/>
      <w:bookmarkStart w:id="29" w:name="_Toc236325772"/>
      <w:r w:rsidRPr="001A01A3">
        <w:rPr>
          <w:rFonts w:cs="Times New Roman"/>
        </w:rPr>
        <w:t>Evaluation of professional skills and future action plan</w:t>
      </w:r>
      <w:bookmarkEnd w:id="28"/>
      <w:bookmarkEnd w:id="29"/>
    </w:p>
    <w:p w14:paraId="0DE9DA44" w14:textId="77777777" w:rsidR="00D00924" w:rsidRPr="001A01A3" w:rsidRDefault="00D00924" w:rsidP="00D00924">
      <w:pPr>
        <w:spacing w:line="360" w:lineRule="auto"/>
        <w:rPr>
          <w:rFonts w:cs="Times New Roman"/>
        </w:rPr>
      </w:pPr>
      <w:r w:rsidRPr="001A01A3">
        <w:rPr>
          <w:rFonts w:cs="Times New Roman"/>
        </w:rPr>
        <w:t xml:space="preserve">This model has driven vital professional and personal growth, along with sharpening various critical transferable skills. I moved beyond the descriptive writing pattern to constructing data-backed arguments that present the ‘how’ and ‘why’ behind the strategic decisions. I have also learned to mix the traditional marketing models with the contemporary circular economy frameworks. Moreover, I have also learned to present the critical industrial material science clearly and persuasively to both the financial and technical stakeholders. </w:t>
      </w:r>
      <w:proofErr w:type="gramStart"/>
      <w:r w:rsidRPr="001A01A3">
        <w:rPr>
          <w:rFonts w:cs="Times New Roman"/>
        </w:rPr>
        <w:t>In order to</w:t>
      </w:r>
      <w:proofErr w:type="gramEnd"/>
      <w:r w:rsidRPr="001A01A3">
        <w:rPr>
          <w:rFonts w:cs="Times New Roman"/>
        </w:rPr>
        <w:t xml:space="preserve"> further improve my skill set in future projects, I plan to expand my training in quantitative carbon accounting and green supply chain analytics. Depending wholly on qualitative data and arguments is no longer enough, according to me, in the highly data-driven corporate business environment. Improving the mastery of environmental metrics will help me to create future marketing strategies backed by auditable ESG data, preparing me effectively to lead sustainable, authentic business growth as a forward-thinking corporate consultant. </w:t>
      </w:r>
    </w:p>
    <w:p w14:paraId="7E6FADAE" w14:textId="77777777" w:rsidR="004C7784" w:rsidRPr="001A01A3" w:rsidRDefault="004C7784" w:rsidP="00DF04B9">
      <w:pPr>
        <w:spacing w:line="360" w:lineRule="auto"/>
        <w:rPr>
          <w:rFonts w:cs="Times New Roman"/>
        </w:rPr>
      </w:pPr>
    </w:p>
    <w:p w14:paraId="34B599CE" w14:textId="77777777" w:rsidR="004C7784" w:rsidRPr="001A01A3" w:rsidRDefault="004C7784" w:rsidP="00DF04B9">
      <w:pPr>
        <w:spacing w:line="360" w:lineRule="auto"/>
        <w:rPr>
          <w:rFonts w:cs="Times New Roman"/>
        </w:rPr>
      </w:pPr>
      <w:r w:rsidRPr="001A01A3">
        <w:rPr>
          <w:rFonts w:cs="Times New Roman"/>
        </w:rPr>
        <w:br w:type="page"/>
      </w:r>
    </w:p>
    <w:p w14:paraId="7EE77BF1" w14:textId="77777777" w:rsidR="004C7784" w:rsidRPr="001A01A3" w:rsidRDefault="004C7784" w:rsidP="00FC7EDC">
      <w:pPr>
        <w:pStyle w:val="Heading1"/>
        <w:rPr>
          <w:rFonts w:cs="Times New Roman"/>
        </w:rPr>
      </w:pPr>
      <w:bookmarkStart w:id="30" w:name="_Toc232795947"/>
      <w:bookmarkStart w:id="31" w:name="_Toc232809055"/>
      <w:bookmarkStart w:id="32" w:name="_Toc236325773"/>
      <w:r w:rsidRPr="001A01A3">
        <w:rPr>
          <w:rFonts w:cs="Times New Roman"/>
        </w:rPr>
        <w:lastRenderedPageBreak/>
        <w:t>References</w:t>
      </w:r>
      <w:bookmarkEnd w:id="30"/>
      <w:bookmarkEnd w:id="31"/>
      <w:bookmarkEnd w:id="32"/>
    </w:p>
    <w:p w14:paraId="7FABB65D" w14:textId="77777777" w:rsidR="009330D4" w:rsidRPr="001A01A3" w:rsidRDefault="009330D4" w:rsidP="00AA639E">
      <w:pPr>
        <w:spacing w:line="360" w:lineRule="auto"/>
        <w:rPr>
          <w:rFonts w:cs="Times New Roman"/>
          <w:lang w:val="en-US"/>
        </w:rPr>
      </w:pPr>
      <w:r w:rsidRPr="001A01A3">
        <w:rPr>
          <w:rFonts w:cs="Times New Roman"/>
        </w:rPr>
        <w:t>Akintayo, B.D., Olanrewaju, O.A. and Olanrewaju, O.I., 2024. Life cycle assessment of ordinary Portland cement production in South Africa: mid-point and end-point approaches. </w:t>
      </w:r>
      <w:r w:rsidRPr="001A01A3">
        <w:rPr>
          <w:rFonts w:cs="Times New Roman"/>
          <w:i/>
          <w:iCs/>
        </w:rPr>
        <w:t>Sustainability</w:t>
      </w:r>
      <w:r w:rsidRPr="001A01A3">
        <w:rPr>
          <w:rFonts w:cs="Times New Roman"/>
        </w:rPr>
        <w:t>, </w:t>
      </w:r>
      <w:r w:rsidRPr="001A01A3">
        <w:rPr>
          <w:rFonts w:cs="Times New Roman"/>
          <w:i/>
          <w:iCs/>
        </w:rPr>
        <w:t>16</w:t>
      </w:r>
      <w:r w:rsidRPr="001A01A3">
        <w:rPr>
          <w:rFonts w:cs="Times New Roman"/>
        </w:rPr>
        <w:t xml:space="preserve">(7), p.3001. </w:t>
      </w:r>
      <w:hyperlink r:id="rId17" w:history="1">
        <w:r w:rsidRPr="001A01A3">
          <w:rPr>
            <w:rStyle w:val="Hyperlink"/>
            <w:rFonts w:cs="Times New Roman"/>
            <w:color w:val="auto"/>
          </w:rPr>
          <w:t>https://www.mdpi.com/2071-1050/16/7/3001</w:t>
        </w:r>
      </w:hyperlink>
    </w:p>
    <w:p w14:paraId="7980078A" w14:textId="77777777" w:rsidR="009330D4" w:rsidRPr="001A01A3" w:rsidRDefault="009330D4" w:rsidP="00AA639E">
      <w:pPr>
        <w:spacing w:line="360" w:lineRule="auto"/>
        <w:rPr>
          <w:rFonts w:cs="Times New Roman"/>
          <w:lang w:val="en-US"/>
        </w:rPr>
      </w:pPr>
      <w:r w:rsidRPr="001A01A3">
        <w:rPr>
          <w:rFonts w:cs="Times New Roman"/>
        </w:rPr>
        <w:t>Baum, A.E., Crosby, N. and Devaney, S., 2021. </w:t>
      </w:r>
      <w:r w:rsidRPr="001A01A3">
        <w:rPr>
          <w:rFonts w:cs="Times New Roman"/>
          <w:i/>
          <w:iCs/>
        </w:rPr>
        <w:t>Property investment appraisal</w:t>
      </w:r>
      <w:r w:rsidRPr="001A01A3">
        <w:rPr>
          <w:rFonts w:cs="Times New Roman"/>
        </w:rPr>
        <w:t xml:space="preserve">. John Wiley &amp; Sons. </w:t>
      </w:r>
    </w:p>
    <w:p w14:paraId="3FAE3FC8" w14:textId="77777777" w:rsidR="009330D4" w:rsidRPr="001A01A3" w:rsidRDefault="009330D4" w:rsidP="00AA639E">
      <w:pPr>
        <w:spacing w:line="360" w:lineRule="auto"/>
        <w:rPr>
          <w:rFonts w:cs="Times New Roman"/>
          <w:lang w:val="en-US"/>
        </w:rPr>
      </w:pPr>
      <w:r w:rsidRPr="001A01A3">
        <w:rPr>
          <w:rFonts w:cs="Times New Roman"/>
        </w:rPr>
        <w:t xml:space="preserve">Energy Solutions Intelligence, 2025. LEED, BREEAM &amp; WELL in 2026: Costs, Benefits, and Which Label Matters. (Online). Available at: </w:t>
      </w:r>
      <w:hyperlink r:id="rId18" w:history="1">
        <w:r w:rsidRPr="001A01A3">
          <w:rPr>
            <w:rStyle w:val="Hyperlink"/>
            <w:rFonts w:cs="Times New Roman"/>
            <w:color w:val="auto"/>
          </w:rPr>
          <w:t>https://energy-solutions.co/articles/sub/green-building-certifications-leed-breeam-well</w:t>
        </w:r>
      </w:hyperlink>
      <w:r w:rsidRPr="001A01A3">
        <w:rPr>
          <w:rFonts w:cs="Times New Roman"/>
        </w:rPr>
        <w:t xml:space="preserve"> (Accessed: 19 June 2026) </w:t>
      </w:r>
    </w:p>
    <w:p w14:paraId="1AD19EDF" w14:textId="77777777" w:rsidR="009330D4" w:rsidRPr="001A01A3" w:rsidRDefault="009330D4" w:rsidP="00AA639E">
      <w:pPr>
        <w:spacing w:line="360" w:lineRule="auto"/>
        <w:rPr>
          <w:rFonts w:cs="Times New Roman"/>
          <w:lang w:val="en-US"/>
        </w:rPr>
      </w:pPr>
      <w:r w:rsidRPr="001A01A3">
        <w:rPr>
          <w:rFonts w:cs="Times New Roman"/>
        </w:rPr>
        <w:t xml:space="preserve">Huang, G., </w:t>
      </w:r>
      <w:proofErr w:type="spellStart"/>
      <w:r w:rsidRPr="001A01A3">
        <w:rPr>
          <w:rFonts w:cs="Times New Roman"/>
        </w:rPr>
        <w:t>Lanzrath</w:t>
      </w:r>
      <w:proofErr w:type="spellEnd"/>
      <w:r w:rsidRPr="001A01A3">
        <w:rPr>
          <w:rFonts w:cs="Times New Roman"/>
        </w:rPr>
        <w:t>, A.I. and Homburg, C., 2026. When do high prices sell better for sustainable products in business-to-business markets? The role of price–sustainability fit. </w:t>
      </w:r>
      <w:r w:rsidRPr="001A01A3">
        <w:rPr>
          <w:rFonts w:cs="Times New Roman"/>
          <w:i/>
          <w:iCs/>
        </w:rPr>
        <w:t>Industrial Marketing Management</w:t>
      </w:r>
      <w:r w:rsidRPr="001A01A3">
        <w:rPr>
          <w:rFonts w:cs="Times New Roman"/>
        </w:rPr>
        <w:t>, </w:t>
      </w:r>
      <w:r w:rsidRPr="001A01A3">
        <w:rPr>
          <w:rFonts w:cs="Times New Roman"/>
          <w:i/>
          <w:iCs/>
        </w:rPr>
        <w:t>134</w:t>
      </w:r>
      <w:r w:rsidRPr="001A01A3">
        <w:rPr>
          <w:rFonts w:cs="Times New Roman"/>
        </w:rPr>
        <w:t xml:space="preserve">, pp.172-185. </w:t>
      </w:r>
      <w:hyperlink r:id="rId19" w:history="1">
        <w:r w:rsidRPr="001A01A3">
          <w:rPr>
            <w:rStyle w:val="Hyperlink"/>
            <w:rFonts w:cs="Times New Roman"/>
            <w:color w:val="auto"/>
          </w:rPr>
          <w:t>https://www.sciencedirect.com/science/article/pii/S0019850126000271</w:t>
        </w:r>
      </w:hyperlink>
    </w:p>
    <w:p w14:paraId="76C881DD" w14:textId="77777777" w:rsidR="009330D4" w:rsidRPr="001A01A3" w:rsidRDefault="009330D4" w:rsidP="00AA639E">
      <w:pPr>
        <w:spacing w:line="360" w:lineRule="auto"/>
        <w:rPr>
          <w:rFonts w:cs="Times New Roman"/>
        </w:rPr>
      </w:pPr>
      <w:r w:rsidRPr="001A01A3">
        <w:rPr>
          <w:rFonts w:cs="Times New Roman"/>
        </w:rPr>
        <w:t xml:space="preserve">Jobber, D. and Ellis-Chadwick, F., 2020. </w:t>
      </w:r>
      <w:r w:rsidRPr="001A01A3">
        <w:rPr>
          <w:rFonts w:cs="Times New Roman"/>
          <w:i/>
          <w:iCs/>
        </w:rPr>
        <w:t>Principles and Practice of Marketing</w:t>
      </w:r>
      <w:r w:rsidRPr="001A01A3">
        <w:rPr>
          <w:rFonts w:cs="Times New Roman"/>
        </w:rPr>
        <w:t>. 9th ed. London: McGraw-Hill Education.</w:t>
      </w:r>
    </w:p>
    <w:p w14:paraId="052AE59D" w14:textId="77777777" w:rsidR="009330D4" w:rsidRPr="001A01A3" w:rsidRDefault="009330D4" w:rsidP="00AA639E">
      <w:pPr>
        <w:spacing w:line="360" w:lineRule="auto"/>
        <w:rPr>
          <w:rFonts w:cs="Times New Roman"/>
        </w:rPr>
      </w:pPr>
      <w:r w:rsidRPr="001A01A3">
        <w:rPr>
          <w:rFonts w:cs="Times New Roman"/>
        </w:rPr>
        <w:t xml:space="preserve">Kotler, P. and Keller, K.L., 2016. </w:t>
      </w:r>
      <w:r w:rsidRPr="001A01A3">
        <w:rPr>
          <w:rFonts w:cs="Times New Roman"/>
          <w:i/>
          <w:iCs/>
        </w:rPr>
        <w:t>Marketing Management</w:t>
      </w:r>
      <w:r w:rsidRPr="001A01A3">
        <w:rPr>
          <w:rFonts w:cs="Times New Roman"/>
        </w:rPr>
        <w:t xml:space="preserve">. 15th global ed. Boston: Pearson. </w:t>
      </w:r>
    </w:p>
    <w:p w14:paraId="59B761EB" w14:textId="77777777" w:rsidR="009330D4" w:rsidRPr="001A01A3" w:rsidRDefault="009330D4" w:rsidP="00AA639E">
      <w:pPr>
        <w:spacing w:line="360" w:lineRule="auto"/>
        <w:rPr>
          <w:rFonts w:cs="Times New Roman"/>
        </w:rPr>
      </w:pPr>
      <w:r w:rsidRPr="001A01A3">
        <w:rPr>
          <w:rFonts w:cs="Times New Roman"/>
        </w:rPr>
        <w:t xml:space="preserve">Kotler, P., Armstrong, G., </w:t>
      </w:r>
      <w:proofErr w:type="spellStart"/>
      <w:r w:rsidRPr="001A01A3">
        <w:rPr>
          <w:rFonts w:cs="Times New Roman"/>
        </w:rPr>
        <w:t>Opresnik</w:t>
      </w:r>
      <w:proofErr w:type="spellEnd"/>
      <w:r w:rsidRPr="001A01A3">
        <w:rPr>
          <w:rFonts w:cs="Times New Roman"/>
        </w:rPr>
        <w:t xml:space="preserve">, M.O. and Barkin, L., 2024. </w:t>
      </w:r>
      <w:r w:rsidRPr="001A01A3">
        <w:rPr>
          <w:rFonts w:cs="Times New Roman"/>
          <w:i/>
          <w:iCs/>
        </w:rPr>
        <w:t>Principles of Marketing</w:t>
      </w:r>
      <w:r w:rsidRPr="001A01A3">
        <w:rPr>
          <w:rFonts w:cs="Times New Roman"/>
        </w:rPr>
        <w:t>. 19th global ed. London: Pearson.</w:t>
      </w:r>
    </w:p>
    <w:p w14:paraId="6B3462D0" w14:textId="77777777" w:rsidR="009330D4" w:rsidRPr="001A01A3" w:rsidRDefault="009330D4" w:rsidP="00DF04B9">
      <w:pPr>
        <w:spacing w:line="360" w:lineRule="auto"/>
        <w:rPr>
          <w:rFonts w:cs="Times New Roman"/>
        </w:rPr>
      </w:pPr>
      <w:r w:rsidRPr="001A01A3">
        <w:rPr>
          <w:rFonts w:cs="Times New Roman"/>
        </w:rPr>
        <w:t xml:space="preserve">Leskinen, N., </w:t>
      </w:r>
      <w:proofErr w:type="spellStart"/>
      <w:r w:rsidRPr="001A01A3">
        <w:rPr>
          <w:rFonts w:cs="Times New Roman"/>
        </w:rPr>
        <w:t>Vimpari</w:t>
      </w:r>
      <w:proofErr w:type="spellEnd"/>
      <w:r w:rsidRPr="001A01A3">
        <w:rPr>
          <w:rFonts w:cs="Times New Roman"/>
        </w:rPr>
        <w:t>, J. and Junnila, S., 2020. A review of the impact of green building certification on the cash flows and values of commercial properties. </w:t>
      </w:r>
      <w:r w:rsidRPr="001A01A3">
        <w:rPr>
          <w:rFonts w:cs="Times New Roman"/>
          <w:i/>
          <w:iCs/>
        </w:rPr>
        <w:t>Sustainability</w:t>
      </w:r>
      <w:r w:rsidRPr="001A01A3">
        <w:rPr>
          <w:rFonts w:cs="Times New Roman"/>
        </w:rPr>
        <w:t>, </w:t>
      </w:r>
      <w:r w:rsidRPr="001A01A3">
        <w:rPr>
          <w:rFonts w:cs="Times New Roman"/>
          <w:i/>
          <w:iCs/>
        </w:rPr>
        <w:t>12</w:t>
      </w:r>
      <w:r w:rsidRPr="001A01A3">
        <w:rPr>
          <w:rFonts w:cs="Times New Roman"/>
        </w:rPr>
        <w:t xml:space="preserve">(7), p.2729. </w:t>
      </w:r>
      <w:hyperlink r:id="rId20" w:history="1">
        <w:r w:rsidRPr="001A01A3">
          <w:rPr>
            <w:rStyle w:val="Hyperlink"/>
            <w:rFonts w:cs="Times New Roman"/>
          </w:rPr>
          <w:t>https://www.mdpi.com/2071-1050/12/7/2729</w:t>
        </w:r>
      </w:hyperlink>
    </w:p>
    <w:p w14:paraId="53BFBBB9" w14:textId="77777777" w:rsidR="009330D4" w:rsidRPr="001A01A3" w:rsidRDefault="009330D4" w:rsidP="00AA639E">
      <w:pPr>
        <w:spacing w:line="360" w:lineRule="auto"/>
        <w:rPr>
          <w:rFonts w:cs="Times New Roman"/>
        </w:rPr>
      </w:pPr>
      <w:proofErr w:type="spellStart"/>
      <w:r w:rsidRPr="001A01A3">
        <w:rPr>
          <w:rFonts w:cs="Times New Roman"/>
        </w:rPr>
        <w:t>Nodehi</w:t>
      </w:r>
      <w:proofErr w:type="spellEnd"/>
      <w:r w:rsidRPr="001A01A3">
        <w:rPr>
          <w:rFonts w:cs="Times New Roman"/>
        </w:rPr>
        <w:t xml:space="preserve">, M. and Aguayo, F., 2021. </w:t>
      </w:r>
      <w:proofErr w:type="spellStart"/>
      <w:r w:rsidRPr="001A01A3">
        <w:rPr>
          <w:rFonts w:cs="Times New Roman"/>
        </w:rPr>
        <w:t>Ultra high</w:t>
      </w:r>
      <w:proofErr w:type="spellEnd"/>
      <w:r w:rsidRPr="001A01A3">
        <w:rPr>
          <w:rFonts w:cs="Times New Roman"/>
        </w:rPr>
        <w:t xml:space="preserve"> performance and high strength geopolymer concrete. </w:t>
      </w:r>
      <w:r w:rsidRPr="001A01A3">
        <w:rPr>
          <w:rFonts w:cs="Times New Roman"/>
          <w:i/>
          <w:iCs/>
        </w:rPr>
        <w:t>Journal of Building Pathology and Rehabilitation</w:t>
      </w:r>
      <w:r w:rsidRPr="001A01A3">
        <w:rPr>
          <w:rFonts w:cs="Times New Roman"/>
        </w:rPr>
        <w:t>, </w:t>
      </w:r>
      <w:r w:rsidRPr="001A01A3">
        <w:rPr>
          <w:rFonts w:cs="Times New Roman"/>
          <w:i/>
          <w:iCs/>
        </w:rPr>
        <w:t>6</w:t>
      </w:r>
      <w:r w:rsidRPr="001A01A3">
        <w:rPr>
          <w:rFonts w:cs="Times New Roman"/>
        </w:rPr>
        <w:t xml:space="preserve">(1), p.34. </w:t>
      </w:r>
      <w:hyperlink r:id="rId21" w:history="1">
        <w:r w:rsidRPr="001A01A3">
          <w:rPr>
            <w:rStyle w:val="Hyperlink"/>
            <w:rFonts w:cs="Times New Roman"/>
            <w:color w:val="auto"/>
          </w:rPr>
          <w:t>https://www.researchgate.net/profile/Mehrab-Nodehi/publication/354870389_Ultra_high_performance_and_high_strength_geopolymer_concrete/links/61ba082063bbd9324295f31d/Ultra-high-performance-and-high-strength-geopolymer-concrete.pdf?_sg%5B0%5D=started_experiment_milestone&amp;_sg%5B1%5D=started_experiment_milestone&amp;origin=journalDetail</w:t>
        </w:r>
      </w:hyperlink>
    </w:p>
    <w:p w14:paraId="7D919347" w14:textId="77777777" w:rsidR="009330D4" w:rsidRPr="001A01A3" w:rsidRDefault="009330D4" w:rsidP="00DF04B9">
      <w:pPr>
        <w:spacing w:line="360" w:lineRule="auto"/>
        <w:rPr>
          <w:rFonts w:cs="Times New Roman"/>
        </w:rPr>
      </w:pPr>
      <w:r w:rsidRPr="001A01A3">
        <w:rPr>
          <w:rFonts w:cs="Times New Roman"/>
        </w:rPr>
        <w:lastRenderedPageBreak/>
        <w:t>Olagunju, B.D. and Olanrewaju, O.A., 2021, March. Life cycle assessment of ordinary Portland cement (OPC) using damage oriented (endpoint) approach. In </w:t>
      </w:r>
      <w:r w:rsidRPr="001A01A3">
        <w:rPr>
          <w:rFonts w:cs="Times New Roman"/>
          <w:i/>
          <w:iCs/>
        </w:rPr>
        <w:t>Proceedings of the International Conference on Industrial Engineering and Operations Management, Singapore</w:t>
      </w:r>
      <w:r w:rsidRPr="001A01A3">
        <w:rPr>
          <w:rFonts w:cs="Times New Roman"/>
        </w:rPr>
        <w:t xml:space="preserve"> (Vol. 7). </w:t>
      </w:r>
      <w:hyperlink r:id="rId22" w:history="1">
        <w:r w:rsidRPr="001A01A3">
          <w:rPr>
            <w:rStyle w:val="Hyperlink"/>
            <w:rFonts w:cs="Times New Roman"/>
          </w:rPr>
          <w:t>https://www.researchgate.net/profile/Busola-Akintayo/publication/349486014_Life_Cycle_Assessment_of_Ordinary_Portland_Cement_OPC_using_Problem_Oriented_Midpoint_Approach/links/605484a4a6fdccbfeaee4641/Life-Cycle-Assessment-of-Ordinary-Portland-Cement-OPC-using-Problem-Oriented-Midpoint-Approach</w:t>
        </w:r>
      </w:hyperlink>
    </w:p>
    <w:p w14:paraId="54CBFA49" w14:textId="77777777" w:rsidR="009330D4" w:rsidRPr="001A01A3" w:rsidRDefault="009330D4" w:rsidP="00AA639E">
      <w:pPr>
        <w:spacing w:line="360" w:lineRule="auto"/>
        <w:rPr>
          <w:rFonts w:cs="Times New Roman"/>
        </w:rPr>
      </w:pPr>
      <w:proofErr w:type="spellStart"/>
      <w:r w:rsidRPr="001A01A3">
        <w:rPr>
          <w:rFonts w:cs="Times New Roman"/>
        </w:rPr>
        <w:t>Sakhawalkar</w:t>
      </w:r>
      <w:proofErr w:type="spellEnd"/>
      <w:r w:rsidRPr="001A01A3">
        <w:rPr>
          <w:rFonts w:cs="Times New Roman"/>
        </w:rPr>
        <w:t xml:space="preserve">, A. and Pawar, S., 2023. Impact of </w:t>
      </w:r>
      <w:proofErr w:type="spellStart"/>
      <w:r w:rsidRPr="001A01A3">
        <w:rPr>
          <w:rFonts w:cs="Times New Roman"/>
        </w:rPr>
        <w:t>behavioral</w:t>
      </w:r>
      <w:proofErr w:type="spellEnd"/>
      <w:r w:rsidRPr="001A01A3">
        <w:rPr>
          <w:rFonts w:cs="Times New Roman"/>
        </w:rPr>
        <w:t xml:space="preserve"> segmentation on customer satisfaction–a conceptual review. </w:t>
      </w:r>
      <w:r w:rsidRPr="001A01A3">
        <w:rPr>
          <w:rFonts w:cs="Times New Roman"/>
          <w:i/>
          <w:iCs/>
        </w:rPr>
        <w:t>The Online Journal of Distance Education and e-Learning</w:t>
      </w:r>
      <w:r w:rsidRPr="001A01A3">
        <w:rPr>
          <w:rFonts w:cs="Times New Roman"/>
        </w:rPr>
        <w:t>, </w:t>
      </w:r>
      <w:r w:rsidRPr="001A01A3">
        <w:rPr>
          <w:rFonts w:cs="Times New Roman"/>
          <w:i/>
          <w:iCs/>
        </w:rPr>
        <w:t>11</w:t>
      </w:r>
      <w:r w:rsidRPr="001A01A3">
        <w:rPr>
          <w:rFonts w:cs="Times New Roman"/>
        </w:rPr>
        <w:t xml:space="preserve">(2). </w:t>
      </w:r>
      <w:hyperlink r:id="rId23" w:history="1">
        <w:r w:rsidRPr="001A01A3">
          <w:rPr>
            <w:rStyle w:val="Hyperlink"/>
            <w:rFonts w:cs="Times New Roman"/>
            <w:color w:val="auto"/>
          </w:rPr>
          <w:t>https://www.tojned.net/journals/tojdel/articles/v11i02b/v11i02b-65.pdf</w:t>
        </w:r>
      </w:hyperlink>
    </w:p>
    <w:p w14:paraId="304DA726" w14:textId="77777777" w:rsidR="009330D4" w:rsidRPr="001A01A3" w:rsidRDefault="009330D4" w:rsidP="00AA639E">
      <w:pPr>
        <w:spacing w:line="360" w:lineRule="auto"/>
        <w:rPr>
          <w:rFonts w:cs="Times New Roman"/>
        </w:rPr>
      </w:pPr>
      <w:proofErr w:type="spellStart"/>
      <w:r w:rsidRPr="001A01A3">
        <w:rPr>
          <w:rFonts w:cs="Times New Roman"/>
        </w:rPr>
        <w:t>Sehrawat</w:t>
      </w:r>
      <w:proofErr w:type="spellEnd"/>
      <w:r w:rsidRPr="001A01A3">
        <w:rPr>
          <w:rFonts w:cs="Times New Roman"/>
        </w:rPr>
        <w:t xml:space="preserve">, K., 2025. The future of high-rise luxury living. (Online). Available at: </w:t>
      </w:r>
      <w:hyperlink r:id="rId24" w:history="1">
        <w:r w:rsidRPr="001A01A3">
          <w:rPr>
            <w:rStyle w:val="Hyperlink"/>
            <w:rFonts w:cs="Times New Roman"/>
            <w:color w:val="auto"/>
          </w:rPr>
          <w:t>https://www.constructionweekonline.in/people/luxury-living-high-risen</w:t>
        </w:r>
      </w:hyperlink>
      <w:r w:rsidRPr="001A01A3">
        <w:rPr>
          <w:rFonts w:cs="Times New Roman"/>
        </w:rPr>
        <w:t xml:space="preserve"> (Accessed: 19 June 2026) </w:t>
      </w:r>
    </w:p>
    <w:p w14:paraId="2E123479" w14:textId="77777777" w:rsidR="009330D4" w:rsidRPr="001A01A3" w:rsidRDefault="009330D4" w:rsidP="00AA639E">
      <w:pPr>
        <w:spacing w:line="360" w:lineRule="auto"/>
        <w:rPr>
          <w:rFonts w:cs="Times New Roman"/>
          <w:lang w:val="en-US"/>
        </w:rPr>
      </w:pPr>
      <w:r w:rsidRPr="001A01A3">
        <w:rPr>
          <w:rFonts w:cs="Times New Roman"/>
        </w:rPr>
        <w:t xml:space="preserve">UltraTech Cement, 2026. Construction Management. (Online). Available at: </w:t>
      </w:r>
      <w:hyperlink r:id="rId25" w:history="1">
        <w:r w:rsidRPr="001A01A3">
          <w:rPr>
            <w:rStyle w:val="Hyperlink"/>
            <w:rFonts w:cs="Times New Roman"/>
            <w:color w:val="auto"/>
          </w:rPr>
          <w:t>https://www.ultratechcement.com/home-building-basics/construction-management</w:t>
        </w:r>
      </w:hyperlink>
      <w:r w:rsidRPr="001A01A3">
        <w:rPr>
          <w:rFonts w:cs="Times New Roman"/>
        </w:rPr>
        <w:t xml:space="preserve"> (Accessed: 20 June 2026) </w:t>
      </w:r>
    </w:p>
    <w:p w14:paraId="0B73CD5E" w14:textId="77777777" w:rsidR="009330D4" w:rsidRPr="001A01A3" w:rsidRDefault="009330D4" w:rsidP="00DF04B9">
      <w:pPr>
        <w:spacing w:line="360" w:lineRule="auto"/>
        <w:rPr>
          <w:rFonts w:cs="Times New Roman"/>
        </w:rPr>
      </w:pPr>
      <w:r w:rsidRPr="001A01A3">
        <w:rPr>
          <w:rFonts w:cs="Times New Roman"/>
        </w:rPr>
        <w:t xml:space="preserve">UltraTech Cement, 2026. Our Story. (Online). Available at: </w:t>
      </w:r>
      <w:hyperlink r:id="rId26" w:history="1">
        <w:r w:rsidRPr="001A01A3">
          <w:rPr>
            <w:rStyle w:val="Hyperlink"/>
            <w:rFonts w:cs="Times New Roman"/>
            <w:color w:val="auto"/>
          </w:rPr>
          <w:t>https://www.ultratechcement.com/about-us/our-story</w:t>
        </w:r>
      </w:hyperlink>
      <w:r w:rsidRPr="001A01A3">
        <w:rPr>
          <w:rFonts w:cs="Times New Roman"/>
        </w:rPr>
        <w:t xml:space="preserve"> (Accessed: 19 June 2026) </w:t>
      </w:r>
    </w:p>
    <w:p w14:paraId="749A4698" w14:textId="77777777" w:rsidR="009330D4" w:rsidRPr="001A01A3" w:rsidRDefault="009330D4" w:rsidP="00AA639E">
      <w:pPr>
        <w:spacing w:line="360" w:lineRule="auto"/>
        <w:rPr>
          <w:rFonts w:cs="Times New Roman"/>
          <w:lang w:val="en-US"/>
        </w:rPr>
      </w:pPr>
      <w:r w:rsidRPr="001A01A3">
        <w:rPr>
          <w:rFonts w:cs="Times New Roman"/>
        </w:rPr>
        <w:t xml:space="preserve">UltraTech Cement, 2026. Our Story. (Online). Available at: </w:t>
      </w:r>
      <w:hyperlink r:id="rId27" w:history="1">
        <w:r w:rsidRPr="001A01A3">
          <w:rPr>
            <w:rStyle w:val="Hyperlink"/>
            <w:rFonts w:cs="Times New Roman"/>
            <w:color w:val="auto"/>
          </w:rPr>
          <w:t>https://www.ultratechcement.com/about-us/our-story</w:t>
        </w:r>
      </w:hyperlink>
      <w:r w:rsidRPr="001A01A3">
        <w:rPr>
          <w:rFonts w:cs="Times New Roman"/>
        </w:rPr>
        <w:t xml:space="preserve"> (Accessed: 19 June 2026) </w:t>
      </w:r>
    </w:p>
    <w:p w14:paraId="5D931EF1" w14:textId="77777777" w:rsidR="009330D4" w:rsidRPr="001A01A3" w:rsidRDefault="009330D4" w:rsidP="00AA639E">
      <w:pPr>
        <w:spacing w:line="360" w:lineRule="auto"/>
        <w:rPr>
          <w:rFonts w:cs="Times New Roman"/>
        </w:rPr>
      </w:pPr>
      <w:r w:rsidRPr="001A01A3">
        <w:rPr>
          <w:rFonts w:cs="Times New Roman"/>
        </w:rPr>
        <w:t xml:space="preserve">Wedel, M. and Kamakura, W.A., 2012. </w:t>
      </w:r>
      <w:r w:rsidRPr="001A01A3">
        <w:rPr>
          <w:rFonts w:cs="Times New Roman"/>
          <w:i/>
          <w:iCs/>
        </w:rPr>
        <w:t>Market Segmentation: Conceptual and Methodological Foundations</w:t>
      </w:r>
      <w:r w:rsidRPr="001A01A3">
        <w:rPr>
          <w:rFonts w:cs="Times New Roman"/>
        </w:rPr>
        <w:t xml:space="preserve">. 2nd ed. Boston: Springer Science &amp; Business Media. </w:t>
      </w:r>
    </w:p>
    <w:p w14:paraId="7016E8C7" w14:textId="77777777" w:rsidR="009330D4" w:rsidRPr="001A01A3" w:rsidRDefault="009330D4" w:rsidP="00AA639E">
      <w:pPr>
        <w:spacing w:line="360" w:lineRule="auto"/>
        <w:rPr>
          <w:rFonts w:cs="Times New Roman"/>
          <w:lang w:val="en-US"/>
        </w:rPr>
      </w:pPr>
      <w:r w:rsidRPr="001A01A3">
        <w:rPr>
          <w:rFonts w:cs="Times New Roman"/>
        </w:rPr>
        <w:t>Xia, Y., 2023. The 4Ps of marketing and applications in various brands. </w:t>
      </w:r>
      <w:r w:rsidRPr="001A01A3">
        <w:rPr>
          <w:rFonts w:cs="Times New Roman"/>
          <w:i/>
          <w:iCs/>
        </w:rPr>
        <w:t>Journal of Education, Humanities and Social Sciences</w:t>
      </w:r>
      <w:r w:rsidRPr="001A01A3">
        <w:rPr>
          <w:rFonts w:cs="Times New Roman"/>
        </w:rPr>
        <w:t>, </w:t>
      </w:r>
      <w:r w:rsidRPr="001A01A3">
        <w:rPr>
          <w:rFonts w:cs="Times New Roman"/>
          <w:i/>
          <w:iCs/>
        </w:rPr>
        <w:t>16</w:t>
      </w:r>
      <w:r w:rsidRPr="001A01A3">
        <w:rPr>
          <w:rFonts w:cs="Times New Roman"/>
        </w:rPr>
        <w:t xml:space="preserve">, pp.165-170. </w:t>
      </w:r>
      <w:hyperlink r:id="rId28" w:history="1">
        <w:r w:rsidRPr="001A01A3">
          <w:rPr>
            <w:rStyle w:val="Hyperlink"/>
            <w:rFonts w:cs="Times New Roman"/>
            <w:color w:val="auto"/>
          </w:rPr>
          <w:t>https://pdfs.semanticscholar.org/0063/9e03801397b6d20ee1c059da83663e8ce065.pdf</w:t>
        </w:r>
      </w:hyperlink>
    </w:p>
    <w:p w14:paraId="7F40AA15" w14:textId="77777777" w:rsidR="00AA639E" w:rsidRPr="001A01A3" w:rsidRDefault="00AA639E" w:rsidP="00DF04B9">
      <w:pPr>
        <w:spacing w:line="360" w:lineRule="auto"/>
        <w:rPr>
          <w:rFonts w:cs="Times New Roman"/>
          <w:lang w:val="en-US"/>
        </w:rPr>
      </w:pPr>
    </w:p>
    <w:sectPr w:rsidR="00AA639E" w:rsidRPr="001A01A3" w:rsidSect="004A21F2">
      <w:footerReference w:type="default" r:id="rId2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D9193" w14:textId="77777777" w:rsidR="00D76BB3" w:rsidRDefault="00D76BB3" w:rsidP="0006646D">
      <w:pPr>
        <w:spacing w:after="0" w:line="240" w:lineRule="auto"/>
      </w:pPr>
      <w:r>
        <w:separator/>
      </w:r>
    </w:p>
  </w:endnote>
  <w:endnote w:type="continuationSeparator" w:id="0">
    <w:p w14:paraId="56FAD8A5" w14:textId="77777777" w:rsidR="00D76BB3" w:rsidRDefault="00D76BB3" w:rsidP="0006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359166"/>
      <w:docPartObj>
        <w:docPartGallery w:val="Page Numbers (Bottom of Page)"/>
        <w:docPartUnique/>
      </w:docPartObj>
    </w:sdtPr>
    <w:sdtEndPr>
      <w:rPr>
        <w:noProof/>
      </w:rPr>
    </w:sdtEndPr>
    <w:sdtContent>
      <w:p w14:paraId="4B6932A9" w14:textId="42538BF7" w:rsidR="0006646D" w:rsidRDefault="000664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048B13" w14:textId="77777777" w:rsidR="0006646D" w:rsidRDefault="00066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3D0D7" w14:textId="77777777" w:rsidR="00D76BB3" w:rsidRDefault="00D76BB3" w:rsidP="0006646D">
      <w:pPr>
        <w:spacing w:after="0" w:line="240" w:lineRule="auto"/>
      </w:pPr>
      <w:r>
        <w:separator/>
      </w:r>
    </w:p>
  </w:footnote>
  <w:footnote w:type="continuationSeparator" w:id="0">
    <w:p w14:paraId="63E9C9B8" w14:textId="77777777" w:rsidR="00D76BB3" w:rsidRDefault="00D76BB3" w:rsidP="00066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5C5F"/>
    <w:multiLevelType w:val="hybridMultilevel"/>
    <w:tmpl w:val="ED86D9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71540F4"/>
    <w:multiLevelType w:val="hybridMultilevel"/>
    <w:tmpl w:val="31A293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9017CBF"/>
    <w:multiLevelType w:val="hybridMultilevel"/>
    <w:tmpl w:val="EB48DB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A4D2A6E"/>
    <w:multiLevelType w:val="hybridMultilevel"/>
    <w:tmpl w:val="D34CA5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766056E"/>
    <w:multiLevelType w:val="hybridMultilevel"/>
    <w:tmpl w:val="974CE6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D945AC7"/>
    <w:multiLevelType w:val="hybridMultilevel"/>
    <w:tmpl w:val="7C94D4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06166342">
    <w:abstractNumId w:val="5"/>
  </w:num>
  <w:num w:numId="2" w16cid:durableId="1759865414">
    <w:abstractNumId w:val="1"/>
  </w:num>
  <w:num w:numId="3" w16cid:durableId="1683051340">
    <w:abstractNumId w:val="3"/>
  </w:num>
  <w:num w:numId="4" w16cid:durableId="1437822351">
    <w:abstractNumId w:val="2"/>
  </w:num>
  <w:num w:numId="5" w16cid:durableId="846098308">
    <w:abstractNumId w:val="4"/>
  </w:num>
  <w:num w:numId="6" w16cid:durableId="1334916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03E"/>
    <w:rsid w:val="0000147A"/>
    <w:rsid w:val="00015350"/>
    <w:rsid w:val="00053A65"/>
    <w:rsid w:val="0006646D"/>
    <w:rsid w:val="000A05FE"/>
    <w:rsid w:val="000D21CA"/>
    <w:rsid w:val="00106ED7"/>
    <w:rsid w:val="001115C3"/>
    <w:rsid w:val="00116352"/>
    <w:rsid w:val="00131E3C"/>
    <w:rsid w:val="0014639A"/>
    <w:rsid w:val="00147352"/>
    <w:rsid w:val="00151467"/>
    <w:rsid w:val="001A01A3"/>
    <w:rsid w:val="001C23A4"/>
    <w:rsid w:val="001E3A83"/>
    <w:rsid w:val="00252174"/>
    <w:rsid w:val="002B26F5"/>
    <w:rsid w:val="002E0D4C"/>
    <w:rsid w:val="002E59E8"/>
    <w:rsid w:val="003547B5"/>
    <w:rsid w:val="00391B20"/>
    <w:rsid w:val="0039547A"/>
    <w:rsid w:val="003A0E7A"/>
    <w:rsid w:val="003F4592"/>
    <w:rsid w:val="004139AE"/>
    <w:rsid w:val="00445B1D"/>
    <w:rsid w:val="00463A5D"/>
    <w:rsid w:val="004A21F2"/>
    <w:rsid w:val="004C7784"/>
    <w:rsid w:val="004D473D"/>
    <w:rsid w:val="004F2B7F"/>
    <w:rsid w:val="00500001"/>
    <w:rsid w:val="00540B8D"/>
    <w:rsid w:val="00561F88"/>
    <w:rsid w:val="00590660"/>
    <w:rsid w:val="005A0ACF"/>
    <w:rsid w:val="00634195"/>
    <w:rsid w:val="00635B1B"/>
    <w:rsid w:val="00725B88"/>
    <w:rsid w:val="00740C72"/>
    <w:rsid w:val="007A78D1"/>
    <w:rsid w:val="00825762"/>
    <w:rsid w:val="00826CF1"/>
    <w:rsid w:val="0084548A"/>
    <w:rsid w:val="00846B31"/>
    <w:rsid w:val="009330D4"/>
    <w:rsid w:val="00951BDB"/>
    <w:rsid w:val="0099256C"/>
    <w:rsid w:val="009C2231"/>
    <w:rsid w:val="00A12885"/>
    <w:rsid w:val="00A309CF"/>
    <w:rsid w:val="00A62E1E"/>
    <w:rsid w:val="00A63438"/>
    <w:rsid w:val="00A81C63"/>
    <w:rsid w:val="00AA639E"/>
    <w:rsid w:val="00B46F0A"/>
    <w:rsid w:val="00B8119E"/>
    <w:rsid w:val="00BA55DA"/>
    <w:rsid w:val="00BC53B5"/>
    <w:rsid w:val="00BD23E0"/>
    <w:rsid w:val="00C07D1C"/>
    <w:rsid w:val="00C26AB2"/>
    <w:rsid w:val="00C86875"/>
    <w:rsid w:val="00CA4B74"/>
    <w:rsid w:val="00CA56E7"/>
    <w:rsid w:val="00CF5545"/>
    <w:rsid w:val="00D00924"/>
    <w:rsid w:val="00D41410"/>
    <w:rsid w:val="00D57D55"/>
    <w:rsid w:val="00D76BB3"/>
    <w:rsid w:val="00DA1D59"/>
    <w:rsid w:val="00DD4F16"/>
    <w:rsid w:val="00DE05A4"/>
    <w:rsid w:val="00DF04B9"/>
    <w:rsid w:val="00E0003E"/>
    <w:rsid w:val="00E23DE2"/>
    <w:rsid w:val="00E54B42"/>
    <w:rsid w:val="00E90193"/>
    <w:rsid w:val="00EA2994"/>
    <w:rsid w:val="00EC2DE8"/>
    <w:rsid w:val="00EF06D5"/>
    <w:rsid w:val="00F120F7"/>
    <w:rsid w:val="00F26AEC"/>
    <w:rsid w:val="00F61B26"/>
    <w:rsid w:val="00FC0234"/>
    <w:rsid w:val="00FC7EDC"/>
    <w:rsid w:val="00FF0062"/>
    <w:rsid w:val="00FF0A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1282"/>
  <w15:chartTrackingRefBased/>
  <w15:docId w15:val="{F7707B3E-7385-4267-998D-70AC6CD9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0003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0003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000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00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00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00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E000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0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0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0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0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03E"/>
    <w:rPr>
      <w:rFonts w:eastAsiaTheme="majorEastAsia" w:cstheme="majorBidi"/>
      <w:color w:val="272727" w:themeColor="text1" w:themeTint="D8"/>
    </w:rPr>
  </w:style>
  <w:style w:type="paragraph" w:styleId="Title">
    <w:name w:val="Title"/>
    <w:basedOn w:val="Normal"/>
    <w:next w:val="Normal"/>
    <w:link w:val="TitleChar"/>
    <w:uiPriority w:val="10"/>
    <w:qFormat/>
    <w:rsid w:val="00E00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03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03E"/>
    <w:pPr>
      <w:spacing w:before="160"/>
      <w:jc w:val="center"/>
    </w:pPr>
    <w:rPr>
      <w:i/>
      <w:iCs/>
      <w:color w:val="404040" w:themeColor="text1" w:themeTint="BF"/>
    </w:rPr>
  </w:style>
  <w:style w:type="character" w:customStyle="1" w:styleId="QuoteChar">
    <w:name w:val="Quote Char"/>
    <w:basedOn w:val="DefaultParagraphFont"/>
    <w:link w:val="Quote"/>
    <w:uiPriority w:val="29"/>
    <w:rsid w:val="00E0003E"/>
    <w:rPr>
      <w:rFonts w:ascii="Times New Roman" w:hAnsi="Times New Roman"/>
      <w:i/>
      <w:iCs/>
      <w:color w:val="404040" w:themeColor="text1" w:themeTint="BF"/>
    </w:rPr>
  </w:style>
  <w:style w:type="paragraph" w:styleId="ListParagraph">
    <w:name w:val="List Paragraph"/>
    <w:basedOn w:val="Normal"/>
    <w:uiPriority w:val="34"/>
    <w:qFormat/>
    <w:rsid w:val="00E0003E"/>
    <w:pPr>
      <w:ind w:left="720"/>
      <w:contextualSpacing/>
    </w:pPr>
  </w:style>
  <w:style w:type="character" w:styleId="IntenseEmphasis">
    <w:name w:val="Intense Emphasis"/>
    <w:basedOn w:val="DefaultParagraphFont"/>
    <w:uiPriority w:val="21"/>
    <w:qFormat/>
    <w:rsid w:val="00E0003E"/>
    <w:rPr>
      <w:i/>
      <w:iCs/>
      <w:color w:val="0F4761" w:themeColor="accent1" w:themeShade="BF"/>
    </w:rPr>
  </w:style>
  <w:style w:type="paragraph" w:styleId="IntenseQuote">
    <w:name w:val="Intense Quote"/>
    <w:basedOn w:val="Normal"/>
    <w:next w:val="Normal"/>
    <w:link w:val="IntenseQuoteChar"/>
    <w:uiPriority w:val="30"/>
    <w:qFormat/>
    <w:rsid w:val="00E00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03E"/>
    <w:rPr>
      <w:rFonts w:ascii="Times New Roman" w:hAnsi="Times New Roman"/>
      <w:i/>
      <w:iCs/>
      <w:color w:val="0F4761" w:themeColor="accent1" w:themeShade="BF"/>
    </w:rPr>
  </w:style>
  <w:style w:type="character" w:styleId="IntenseReference">
    <w:name w:val="Intense Reference"/>
    <w:basedOn w:val="DefaultParagraphFont"/>
    <w:uiPriority w:val="32"/>
    <w:qFormat/>
    <w:rsid w:val="00E0003E"/>
    <w:rPr>
      <w:b/>
      <w:bCs/>
      <w:smallCaps/>
      <w:color w:val="0F4761" w:themeColor="accent1" w:themeShade="BF"/>
      <w:spacing w:val="5"/>
    </w:rPr>
  </w:style>
  <w:style w:type="character" w:styleId="Hyperlink">
    <w:name w:val="Hyperlink"/>
    <w:basedOn w:val="DefaultParagraphFont"/>
    <w:uiPriority w:val="99"/>
    <w:unhideWhenUsed/>
    <w:rsid w:val="004C7784"/>
    <w:rPr>
      <w:color w:val="467886" w:themeColor="hyperlink"/>
      <w:u w:val="single"/>
    </w:rPr>
  </w:style>
  <w:style w:type="character" w:styleId="UnresolvedMention">
    <w:name w:val="Unresolved Mention"/>
    <w:basedOn w:val="DefaultParagraphFont"/>
    <w:uiPriority w:val="99"/>
    <w:semiHidden/>
    <w:unhideWhenUsed/>
    <w:rsid w:val="00A81C63"/>
    <w:rPr>
      <w:color w:val="605E5C"/>
      <w:shd w:val="clear" w:color="auto" w:fill="E1DFDD"/>
    </w:rPr>
  </w:style>
  <w:style w:type="paragraph" w:styleId="Header">
    <w:name w:val="header"/>
    <w:basedOn w:val="Normal"/>
    <w:link w:val="HeaderChar"/>
    <w:uiPriority w:val="99"/>
    <w:unhideWhenUsed/>
    <w:rsid w:val="00066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46D"/>
    <w:rPr>
      <w:rFonts w:ascii="Times New Roman" w:hAnsi="Times New Roman"/>
    </w:rPr>
  </w:style>
  <w:style w:type="paragraph" w:styleId="Footer">
    <w:name w:val="footer"/>
    <w:basedOn w:val="Normal"/>
    <w:link w:val="FooterChar"/>
    <w:uiPriority w:val="99"/>
    <w:unhideWhenUsed/>
    <w:rsid w:val="00066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46D"/>
    <w:rPr>
      <w:rFonts w:ascii="Times New Roman" w:hAnsi="Times New Roman"/>
    </w:rPr>
  </w:style>
  <w:style w:type="paragraph" w:styleId="TOC1">
    <w:name w:val="toc 1"/>
    <w:basedOn w:val="Normal"/>
    <w:next w:val="Normal"/>
    <w:autoRedefine/>
    <w:uiPriority w:val="39"/>
    <w:unhideWhenUsed/>
    <w:rsid w:val="00DF04B9"/>
    <w:pPr>
      <w:spacing w:after="100"/>
    </w:pPr>
  </w:style>
  <w:style w:type="paragraph" w:styleId="TOC2">
    <w:name w:val="toc 2"/>
    <w:basedOn w:val="Normal"/>
    <w:next w:val="Normal"/>
    <w:autoRedefine/>
    <w:uiPriority w:val="39"/>
    <w:unhideWhenUsed/>
    <w:rsid w:val="00DF04B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energy-solutions.co/articles/sub/green-building-certifications-leed-breeam-well" TargetMode="External"/><Relationship Id="rId26" Type="http://schemas.openxmlformats.org/officeDocument/2006/relationships/hyperlink" Target="https://www.ultratechcement.com/about-us/our-story" TargetMode="External"/><Relationship Id="rId3" Type="http://schemas.openxmlformats.org/officeDocument/2006/relationships/styles" Target="styles.xml"/><Relationship Id="rId21" Type="http://schemas.openxmlformats.org/officeDocument/2006/relationships/hyperlink" Target="https://www.researchgate.net/profile/Mehrab-Nodehi/publication/354870389_Ultra_high_performance_and_high_strength_geopolymer_concrete/links/61ba082063bbd9324295f31d/Ultra-high-performance-and-high-strength-geopolymer-concrete.pdf?_sg%5B0%5D=started_experiment_milestone&amp;_sg%5B1%5D=started_experiment_milestone&amp;origin=journalDetail"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mdpi.com/2071-1050/16/7/3001" TargetMode="External"/><Relationship Id="rId25" Type="http://schemas.openxmlformats.org/officeDocument/2006/relationships/hyperlink" Target="https://www.ultratechcement.com/home-building-basics/construction-management"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mdpi.com/2071-1050/12/7/272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constructionweekonline.in/people/luxury-living-high-risen"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tojned.net/journals/tojdel/articles/v11i02b/v11i02b-65.pdf" TargetMode="External"/><Relationship Id="rId28" Type="http://schemas.openxmlformats.org/officeDocument/2006/relationships/hyperlink" Target="https://pdfs.semanticscholar.org/0063/9e03801397b6d20ee1c059da83663e8ce065.pdf" TargetMode="External"/><Relationship Id="rId10" Type="http://schemas.openxmlformats.org/officeDocument/2006/relationships/image" Target="media/image2.jpg"/><Relationship Id="rId19" Type="http://schemas.openxmlformats.org/officeDocument/2006/relationships/hyperlink" Target="https://www.sciencedirect.com/science/article/pii/S001985012600027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hyperlink" Target="https://www.researchgate.net/profile/Busola-Akintayo/publication/349486014_Life_Cycle_Assessment_of_Ordinary_Portland_Cement_OPC_using_Problem_Oriented_Midpoint_Approach/links/605484a4a6fdccbfeaee4641/Life-Cycle-Assessment-of-Ordinary-Portland-Cement-OPC-using-Problem-Oriented-Midpoint-Approach" TargetMode="External"/><Relationship Id="rId27" Type="http://schemas.openxmlformats.org/officeDocument/2006/relationships/hyperlink" Target="https://www.ultratechcement.com/about-us/our-story"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DDFC62-EA6B-4EAD-914D-C9727C2D25CB}" type="doc">
      <dgm:prSet loTypeId="urn:microsoft.com/office/officeart/2005/8/layout/venn2" loCatId="relationship" qsTypeId="urn:microsoft.com/office/officeart/2005/8/quickstyle/3d1" qsCatId="3D" csTypeId="urn:microsoft.com/office/officeart/2005/8/colors/accent1_2" csCatId="accent1" phldr="1"/>
      <dgm:spPr/>
      <dgm:t>
        <a:bodyPr/>
        <a:lstStyle/>
        <a:p>
          <a:endParaRPr lang="en-IN"/>
        </a:p>
      </dgm:t>
    </dgm:pt>
    <dgm:pt modelId="{4D840A4F-8412-47FF-879D-78A7C71C7F0E}">
      <dgm:prSet phldrT="[Text]"/>
      <dgm:spPr/>
      <dgm:t>
        <a:bodyPr/>
        <a:lstStyle/>
        <a:p>
          <a:r>
            <a:rPr lang="en-IN"/>
            <a:t>Augmented Product (On-Site Consultants and Carbon Carts)</a:t>
          </a:r>
        </a:p>
      </dgm:t>
    </dgm:pt>
    <dgm:pt modelId="{C2DE235D-E6C2-442C-95B3-44E2304641A7}" type="parTrans" cxnId="{DF162E24-E04E-4D7B-B47D-AEF22FC5D0C9}">
      <dgm:prSet/>
      <dgm:spPr/>
      <dgm:t>
        <a:bodyPr/>
        <a:lstStyle/>
        <a:p>
          <a:endParaRPr lang="en-IN"/>
        </a:p>
      </dgm:t>
    </dgm:pt>
    <dgm:pt modelId="{99A59857-CAAA-412B-A97F-4F8407BB9410}" type="sibTrans" cxnId="{DF162E24-E04E-4D7B-B47D-AEF22FC5D0C9}">
      <dgm:prSet/>
      <dgm:spPr/>
      <dgm:t>
        <a:bodyPr/>
        <a:lstStyle/>
        <a:p>
          <a:endParaRPr lang="en-IN"/>
        </a:p>
      </dgm:t>
    </dgm:pt>
    <dgm:pt modelId="{C87F77AA-BFD1-44AF-BE46-553354264F61}">
      <dgm:prSet phldrT="[Text]"/>
      <dgm:spPr/>
      <dgm:t>
        <a:bodyPr/>
        <a:lstStyle/>
        <a:p>
          <a:r>
            <a:rPr lang="en-IN"/>
            <a:t>Acutal  Product (Eco-Labels and Green Bagging) </a:t>
          </a:r>
        </a:p>
      </dgm:t>
    </dgm:pt>
    <dgm:pt modelId="{92FFF8D5-54CA-4B97-B68C-E861B4E952FB}" type="parTrans" cxnId="{5A3CFC70-251B-45BB-8F53-BCD99FA39BBE}">
      <dgm:prSet/>
      <dgm:spPr/>
      <dgm:t>
        <a:bodyPr/>
        <a:lstStyle/>
        <a:p>
          <a:endParaRPr lang="en-IN"/>
        </a:p>
      </dgm:t>
    </dgm:pt>
    <dgm:pt modelId="{5DDE6B54-6B2E-4DBB-9925-106B74BBBCD7}" type="sibTrans" cxnId="{5A3CFC70-251B-45BB-8F53-BCD99FA39BBE}">
      <dgm:prSet/>
      <dgm:spPr/>
      <dgm:t>
        <a:bodyPr/>
        <a:lstStyle/>
        <a:p>
          <a:endParaRPr lang="en-IN"/>
        </a:p>
      </dgm:t>
    </dgm:pt>
    <dgm:pt modelId="{F104A97F-A8CF-41C7-AEB7-5896626BAF6E}">
      <dgm:prSet phldrT="[Text]"/>
      <dgm:spPr/>
      <dgm:t>
        <a:bodyPr/>
        <a:lstStyle/>
        <a:p>
          <a:r>
            <a:rPr lang="en-IN"/>
            <a:t>Core Benefit (Sustainable Performance)</a:t>
          </a:r>
        </a:p>
      </dgm:t>
    </dgm:pt>
    <dgm:pt modelId="{74F496BE-87F9-4A8A-ABB9-6F0BAD99B6AE}" type="parTrans" cxnId="{2FE334E0-B8D4-49CA-9155-E739B1B46DDC}">
      <dgm:prSet/>
      <dgm:spPr/>
      <dgm:t>
        <a:bodyPr/>
        <a:lstStyle/>
        <a:p>
          <a:endParaRPr lang="en-IN"/>
        </a:p>
      </dgm:t>
    </dgm:pt>
    <dgm:pt modelId="{EE441A3E-09EE-47D2-A6EC-233E88421527}" type="sibTrans" cxnId="{2FE334E0-B8D4-49CA-9155-E739B1B46DDC}">
      <dgm:prSet/>
      <dgm:spPr/>
      <dgm:t>
        <a:bodyPr/>
        <a:lstStyle/>
        <a:p>
          <a:endParaRPr lang="en-IN"/>
        </a:p>
      </dgm:t>
    </dgm:pt>
    <dgm:pt modelId="{3C69EAC4-AB4C-4FE3-AE96-2EF3C2ABF590}" type="pres">
      <dgm:prSet presAssocID="{D8DDFC62-EA6B-4EAD-914D-C9727C2D25CB}" presName="Name0" presStyleCnt="0">
        <dgm:presLayoutVars>
          <dgm:chMax val="7"/>
          <dgm:resizeHandles val="exact"/>
        </dgm:presLayoutVars>
      </dgm:prSet>
      <dgm:spPr/>
    </dgm:pt>
    <dgm:pt modelId="{4B3BE103-870E-4D18-8100-34070907A304}" type="pres">
      <dgm:prSet presAssocID="{D8DDFC62-EA6B-4EAD-914D-C9727C2D25CB}" presName="comp1" presStyleCnt="0"/>
      <dgm:spPr/>
    </dgm:pt>
    <dgm:pt modelId="{26102D2F-3536-48D6-819D-5FFF7AA142C7}" type="pres">
      <dgm:prSet presAssocID="{D8DDFC62-EA6B-4EAD-914D-C9727C2D25CB}" presName="circle1" presStyleLbl="node1" presStyleIdx="0" presStyleCnt="3"/>
      <dgm:spPr/>
    </dgm:pt>
    <dgm:pt modelId="{6BB5A004-7EAC-4F7C-B974-332E77A7FB26}" type="pres">
      <dgm:prSet presAssocID="{D8DDFC62-EA6B-4EAD-914D-C9727C2D25CB}" presName="c1text" presStyleLbl="node1" presStyleIdx="0" presStyleCnt="3">
        <dgm:presLayoutVars>
          <dgm:bulletEnabled val="1"/>
        </dgm:presLayoutVars>
      </dgm:prSet>
      <dgm:spPr/>
    </dgm:pt>
    <dgm:pt modelId="{FB1549D6-DC4F-4757-B707-6FCD7EE20AAA}" type="pres">
      <dgm:prSet presAssocID="{D8DDFC62-EA6B-4EAD-914D-C9727C2D25CB}" presName="comp2" presStyleCnt="0"/>
      <dgm:spPr/>
    </dgm:pt>
    <dgm:pt modelId="{AD278F6C-0194-4909-8186-64E1197BA11C}" type="pres">
      <dgm:prSet presAssocID="{D8DDFC62-EA6B-4EAD-914D-C9727C2D25CB}" presName="circle2" presStyleLbl="node1" presStyleIdx="1" presStyleCnt="3"/>
      <dgm:spPr/>
    </dgm:pt>
    <dgm:pt modelId="{DAFEAE19-AE3A-4390-AA6D-7FF6D3AAACD1}" type="pres">
      <dgm:prSet presAssocID="{D8DDFC62-EA6B-4EAD-914D-C9727C2D25CB}" presName="c2text" presStyleLbl="node1" presStyleIdx="1" presStyleCnt="3">
        <dgm:presLayoutVars>
          <dgm:bulletEnabled val="1"/>
        </dgm:presLayoutVars>
      </dgm:prSet>
      <dgm:spPr/>
    </dgm:pt>
    <dgm:pt modelId="{988C364A-1891-4884-8D5E-D22B78353AC9}" type="pres">
      <dgm:prSet presAssocID="{D8DDFC62-EA6B-4EAD-914D-C9727C2D25CB}" presName="comp3" presStyleCnt="0"/>
      <dgm:spPr/>
    </dgm:pt>
    <dgm:pt modelId="{69A6667F-2BC7-4702-839F-18D235D270A0}" type="pres">
      <dgm:prSet presAssocID="{D8DDFC62-EA6B-4EAD-914D-C9727C2D25CB}" presName="circle3" presStyleLbl="node1" presStyleIdx="2" presStyleCnt="3"/>
      <dgm:spPr/>
    </dgm:pt>
    <dgm:pt modelId="{24BA4482-45BC-4282-8411-B7076C06A48A}" type="pres">
      <dgm:prSet presAssocID="{D8DDFC62-EA6B-4EAD-914D-C9727C2D25CB}" presName="c3text" presStyleLbl="node1" presStyleIdx="2" presStyleCnt="3">
        <dgm:presLayoutVars>
          <dgm:bulletEnabled val="1"/>
        </dgm:presLayoutVars>
      </dgm:prSet>
      <dgm:spPr/>
    </dgm:pt>
  </dgm:ptLst>
  <dgm:cxnLst>
    <dgm:cxn modelId="{AEF3D706-C9C1-43F5-9BD3-47D7DFAC1A50}" type="presOf" srcId="{4D840A4F-8412-47FF-879D-78A7C71C7F0E}" destId="{26102D2F-3536-48D6-819D-5FFF7AA142C7}" srcOrd="0" destOrd="0" presId="urn:microsoft.com/office/officeart/2005/8/layout/venn2"/>
    <dgm:cxn modelId="{1E97BE0F-D901-4463-A7DD-B6FBBF2095BF}" type="presOf" srcId="{C87F77AA-BFD1-44AF-BE46-553354264F61}" destId="{AD278F6C-0194-4909-8186-64E1197BA11C}" srcOrd="0" destOrd="0" presId="urn:microsoft.com/office/officeart/2005/8/layout/venn2"/>
    <dgm:cxn modelId="{DF162E24-E04E-4D7B-B47D-AEF22FC5D0C9}" srcId="{D8DDFC62-EA6B-4EAD-914D-C9727C2D25CB}" destId="{4D840A4F-8412-47FF-879D-78A7C71C7F0E}" srcOrd="0" destOrd="0" parTransId="{C2DE235D-E6C2-442C-95B3-44E2304641A7}" sibTransId="{99A59857-CAAA-412B-A97F-4F8407BB9410}"/>
    <dgm:cxn modelId="{569F3F46-90D4-4A58-9E39-1DDABB4F5007}" type="presOf" srcId="{F104A97F-A8CF-41C7-AEB7-5896626BAF6E}" destId="{69A6667F-2BC7-4702-839F-18D235D270A0}" srcOrd="0" destOrd="0" presId="urn:microsoft.com/office/officeart/2005/8/layout/venn2"/>
    <dgm:cxn modelId="{5A3CFC70-251B-45BB-8F53-BCD99FA39BBE}" srcId="{D8DDFC62-EA6B-4EAD-914D-C9727C2D25CB}" destId="{C87F77AA-BFD1-44AF-BE46-553354264F61}" srcOrd="1" destOrd="0" parTransId="{92FFF8D5-54CA-4B97-B68C-E861B4E952FB}" sibTransId="{5DDE6B54-6B2E-4DBB-9925-106B74BBBCD7}"/>
    <dgm:cxn modelId="{3610A0A7-7F8F-47D5-BD77-B47A2A27EE9B}" type="presOf" srcId="{F104A97F-A8CF-41C7-AEB7-5896626BAF6E}" destId="{24BA4482-45BC-4282-8411-B7076C06A48A}" srcOrd="1" destOrd="0" presId="urn:microsoft.com/office/officeart/2005/8/layout/venn2"/>
    <dgm:cxn modelId="{7B7AE3C0-DE88-476E-B7BD-903C6AF2EB5E}" type="presOf" srcId="{D8DDFC62-EA6B-4EAD-914D-C9727C2D25CB}" destId="{3C69EAC4-AB4C-4FE3-AE96-2EF3C2ABF590}" srcOrd="0" destOrd="0" presId="urn:microsoft.com/office/officeart/2005/8/layout/venn2"/>
    <dgm:cxn modelId="{550E08DF-E729-453A-A174-61ED5F064B4E}" type="presOf" srcId="{C87F77AA-BFD1-44AF-BE46-553354264F61}" destId="{DAFEAE19-AE3A-4390-AA6D-7FF6D3AAACD1}" srcOrd="1" destOrd="0" presId="urn:microsoft.com/office/officeart/2005/8/layout/venn2"/>
    <dgm:cxn modelId="{2FE334E0-B8D4-49CA-9155-E739B1B46DDC}" srcId="{D8DDFC62-EA6B-4EAD-914D-C9727C2D25CB}" destId="{F104A97F-A8CF-41C7-AEB7-5896626BAF6E}" srcOrd="2" destOrd="0" parTransId="{74F496BE-87F9-4A8A-ABB9-6F0BAD99B6AE}" sibTransId="{EE441A3E-09EE-47D2-A6EC-233E88421527}"/>
    <dgm:cxn modelId="{CCA8D0F9-70E6-4325-8C28-54E461E95835}" type="presOf" srcId="{4D840A4F-8412-47FF-879D-78A7C71C7F0E}" destId="{6BB5A004-7EAC-4F7C-B974-332E77A7FB26}" srcOrd="1" destOrd="0" presId="urn:microsoft.com/office/officeart/2005/8/layout/venn2"/>
    <dgm:cxn modelId="{19181840-7FF6-4806-AB60-903A8B3FA05A}" type="presParOf" srcId="{3C69EAC4-AB4C-4FE3-AE96-2EF3C2ABF590}" destId="{4B3BE103-870E-4D18-8100-34070907A304}" srcOrd="0" destOrd="0" presId="urn:microsoft.com/office/officeart/2005/8/layout/venn2"/>
    <dgm:cxn modelId="{BA1D9D98-EADC-4605-BB2B-7D8EFCB41BA6}" type="presParOf" srcId="{4B3BE103-870E-4D18-8100-34070907A304}" destId="{26102D2F-3536-48D6-819D-5FFF7AA142C7}" srcOrd="0" destOrd="0" presId="urn:microsoft.com/office/officeart/2005/8/layout/venn2"/>
    <dgm:cxn modelId="{38798C47-BF05-46BA-9D95-641B41AC76EE}" type="presParOf" srcId="{4B3BE103-870E-4D18-8100-34070907A304}" destId="{6BB5A004-7EAC-4F7C-B974-332E77A7FB26}" srcOrd="1" destOrd="0" presId="urn:microsoft.com/office/officeart/2005/8/layout/venn2"/>
    <dgm:cxn modelId="{1EBFA16D-798B-4753-A2C6-81FBE828627F}" type="presParOf" srcId="{3C69EAC4-AB4C-4FE3-AE96-2EF3C2ABF590}" destId="{FB1549D6-DC4F-4757-B707-6FCD7EE20AAA}" srcOrd="1" destOrd="0" presId="urn:microsoft.com/office/officeart/2005/8/layout/venn2"/>
    <dgm:cxn modelId="{5F33AF62-3338-42A8-8C0B-1182CAF7963D}" type="presParOf" srcId="{FB1549D6-DC4F-4757-B707-6FCD7EE20AAA}" destId="{AD278F6C-0194-4909-8186-64E1197BA11C}" srcOrd="0" destOrd="0" presId="urn:microsoft.com/office/officeart/2005/8/layout/venn2"/>
    <dgm:cxn modelId="{B495D1BD-D19E-4672-938A-B932BE9729D8}" type="presParOf" srcId="{FB1549D6-DC4F-4757-B707-6FCD7EE20AAA}" destId="{DAFEAE19-AE3A-4390-AA6D-7FF6D3AAACD1}" srcOrd="1" destOrd="0" presId="urn:microsoft.com/office/officeart/2005/8/layout/venn2"/>
    <dgm:cxn modelId="{32713191-5CD0-43EA-8F74-454FFAA4F6F5}" type="presParOf" srcId="{3C69EAC4-AB4C-4FE3-AE96-2EF3C2ABF590}" destId="{988C364A-1891-4884-8D5E-D22B78353AC9}" srcOrd="2" destOrd="0" presId="urn:microsoft.com/office/officeart/2005/8/layout/venn2"/>
    <dgm:cxn modelId="{9768303A-2EB8-4C9E-8DC1-0797CEA27E4A}" type="presParOf" srcId="{988C364A-1891-4884-8D5E-D22B78353AC9}" destId="{69A6667F-2BC7-4702-839F-18D235D270A0}" srcOrd="0" destOrd="0" presId="urn:microsoft.com/office/officeart/2005/8/layout/venn2"/>
    <dgm:cxn modelId="{A3E117EB-FCA2-4613-AB40-111B33807BBC}" type="presParOf" srcId="{988C364A-1891-4884-8D5E-D22B78353AC9}" destId="{24BA4482-45BC-4282-8411-B7076C06A48A}" srcOrd="1" destOrd="0" presId="urn:microsoft.com/office/officeart/2005/8/layout/ven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102D2F-3536-48D6-819D-5FFF7AA142C7}">
      <dsp:nvSpPr>
        <dsp:cNvPr id="0" name=""/>
        <dsp:cNvSpPr/>
      </dsp:nvSpPr>
      <dsp:spPr>
        <a:xfrm>
          <a:off x="1143000" y="0"/>
          <a:ext cx="3200400" cy="320040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kern="1200"/>
            <a:t>Augmented Product (On-Site Consultants and Carbon Carts)</a:t>
          </a:r>
        </a:p>
      </dsp:txBody>
      <dsp:txXfrm>
        <a:off x="2183930" y="160019"/>
        <a:ext cx="1118539" cy="480060"/>
      </dsp:txXfrm>
    </dsp:sp>
    <dsp:sp modelId="{AD278F6C-0194-4909-8186-64E1197BA11C}">
      <dsp:nvSpPr>
        <dsp:cNvPr id="0" name=""/>
        <dsp:cNvSpPr/>
      </dsp:nvSpPr>
      <dsp:spPr>
        <a:xfrm>
          <a:off x="1543049" y="800099"/>
          <a:ext cx="2400300" cy="240030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kern="1200"/>
            <a:t>Acutal  Product (Eco-Labels and Green Bagging) </a:t>
          </a:r>
        </a:p>
      </dsp:txBody>
      <dsp:txXfrm>
        <a:off x="2183930" y="950118"/>
        <a:ext cx="1118539" cy="450056"/>
      </dsp:txXfrm>
    </dsp:sp>
    <dsp:sp modelId="{69A6667F-2BC7-4702-839F-18D235D270A0}">
      <dsp:nvSpPr>
        <dsp:cNvPr id="0" name=""/>
        <dsp:cNvSpPr/>
      </dsp:nvSpPr>
      <dsp:spPr>
        <a:xfrm>
          <a:off x="1943100" y="1600200"/>
          <a:ext cx="1600200" cy="160020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kern="1200"/>
            <a:t>Core Benefit (Sustainable Performance)</a:t>
          </a:r>
        </a:p>
      </dsp:txBody>
      <dsp:txXfrm>
        <a:off x="2177443" y="2000250"/>
        <a:ext cx="1131512"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78711-B089-4FB5-AAC8-6665FB8BA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14</Pages>
  <Words>3881</Words>
  <Characters>22128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Riti Machhi</cp:lastModifiedBy>
  <cp:revision>92</cp:revision>
  <dcterms:created xsi:type="dcterms:W3CDTF">2026-06-19T15:55:00Z</dcterms:created>
  <dcterms:modified xsi:type="dcterms:W3CDTF">2026-07-30T22:22:00Z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b85b1d88-a898-4daf-90bf-2fce057ef03d</vt:lpwstr>
  </property>
</Properties>
</file>