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7284198"/>
        <w:docPartObj>
          <w:docPartGallery w:val="Cover Pages"/>
          <w:docPartUnique/>
        </w:docPartObj>
      </w:sdtPr>
      <w:sdtEndPr>
        <w:rPr>
          <w:sz w:val="2"/>
        </w:rPr>
      </w:sdtEndPr>
      <w:sdtContent>
        <w:p w14:paraId="557C0D49" w14:textId="7F74AAD9" w:rsidR="00DF7385" w:rsidRDefault="00DB20AA">
          <w:r>
            <w:rPr>
              <w:noProof/>
            </w:rPr>
            <mc:AlternateContent>
              <mc:Choice Requires="wps">
                <w:drawing>
                  <wp:anchor distT="0" distB="0" distL="114300" distR="114300" simplePos="0" relativeHeight="251657216" behindDoc="1" locked="0" layoutInCell="1" allowOverlap="0" wp14:anchorId="0A561348" wp14:editId="61CC8E1C">
                    <wp:simplePos x="0" y="0"/>
                    <wp:positionH relativeFrom="page">
                      <wp:align>center</wp:align>
                    </wp:positionH>
                    <wp:positionV relativeFrom="page">
                      <wp:align>center</wp:align>
                    </wp:positionV>
                    <wp:extent cx="6858000" cy="9144000"/>
                    <wp:effectExtent l="0" t="0" r="0" b="0"/>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Pr>
                                <w:tblGrid>
                                  <w:gridCol w:w="10805"/>
                                </w:tblGrid>
                                <w:tr w:rsidR="00DF7385" w14:paraId="67FA1953" w14:textId="77777777">
                                  <w:trPr>
                                    <w:trHeight w:hRule="exact" w:val="9360"/>
                                  </w:trPr>
                                  <w:tc>
                                    <w:tcPr>
                                      <w:tcW w:w="9350" w:type="dxa"/>
                                    </w:tcPr>
                                    <w:p w14:paraId="0D649D7A" w14:textId="7C867727" w:rsidR="00DF7385" w:rsidRDefault="00350AB6">
                                      <w:r>
                                        <w:rPr>
                                          <w:noProof/>
                                        </w:rPr>
                                        <w:drawing>
                                          <wp:inline distT="0" distB="0" distL="0" distR="0" wp14:anchorId="4D960DE6" wp14:editId="4EF88734">
                                            <wp:extent cx="6810510" cy="5638800"/>
                                            <wp:effectExtent l="0" t="0" r="9525"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referRelativeResize="0"/>
                                                  </pic:nvPicPr>
                                                  <pic:blipFill>
                                                    <a:blip r:embed="rId9"/>
                                                    <a:stretch>
                                                      <a:fillRect/>
                                                    </a:stretch>
                                                  </pic:blipFill>
                                                  <pic:spPr>
                                                    <a:xfrm>
                                                      <a:off x="0" y="0"/>
                                                      <a:ext cx="6810510" cy="5638800"/>
                                                    </a:xfrm>
                                                    <a:prstGeom prst="rect">
                                                      <a:avLst/>
                                                    </a:prstGeom>
                                                  </pic:spPr>
                                                </pic:pic>
                                              </a:graphicData>
                                            </a:graphic>
                                          </wp:inline>
                                        </w:drawing>
                                      </w:r>
                                    </w:p>
                                  </w:tc>
                                </w:tr>
                                <w:tr w:rsidR="00DF7385" w14:paraId="3DA08B25" w14:textId="77777777">
                                  <w:trPr>
                                    <w:trHeight w:hRule="exact" w:val="4320"/>
                                  </w:trPr>
                                  <w:tc>
                                    <w:tcPr>
                                      <w:tcW w:w="9350" w:type="dxa"/>
                                      <w:shd w:val="clear" w:color="auto" w:fill="44546A" w:themeFill="text2"/>
                                      <w:vAlign w:val="center"/>
                                    </w:tcPr>
                                    <w:p w14:paraId="00AA745A" w14:textId="7A459983" w:rsidR="00DF7385"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3EF1E639146D4490966658BBC1828E96"/>
                                          </w:placeholder>
                                          <w:dataBinding w:prefixMappings="xmlns:ns0='http://purl.org/dc/elements/1.1/' xmlns:ns1='http://schemas.openxmlformats.org/package/2006/metadata/core-properties' " w:xpath="/ns1:coreProperties[1]/ns0:title[1]" w:storeItemID="{6C3C8BC8-F283-45AE-878A-BAB7291924A1}"/>
                                          <w:text/>
                                        </w:sdtPr>
                                        <w:sdtContent>
                                          <w:r w:rsidR="00EB6C90" w:rsidRPr="00EB6C90">
                                            <w:rPr>
                                              <w:rFonts w:asciiTheme="majorHAnsi" w:hAnsiTheme="majorHAnsi"/>
                                              <w:color w:val="FFFFFF" w:themeColor="background1"/>
                                              <w:sz w:val="96"/>
                                              <w:szCs w:val="96"/>
                                            </w:rPr>
                                            <w:t xml:space="preserve">Reducing </w:t>
                                          </w:r>
                                          <w:r w:rsidR="005124F7">
                                            <w:rPr>
                                              <w:rFonts w:asciiTheme="majorHAnsi" w:hAnsiTheme="majorHAnsi"/>
                                              <w:color w:val="FFFFFF" w:themeColor="background1"/>
                                              <w:sz w:val="96"/>
                                              <w:szCs w:val="96"/>
                                            </w:rPr>
                                            <w:t xml:space="preserve">net </w:t>
                                          </w:r>
                                          <w:r w:rsidR="00EB6C90" w:rsidRPr="00EB6C90">
                                            <w:rPr>
                                              <w:rFonts w:asciiTheme="majorHAnsi" w:hAnsiTheme="majorHAnsi"/>
                                              <w:color w:val="FFFFFF" w:themeColor="background1"/>
                                              <w:sz w:val="96"/>
                                              <w:szCs w:val="96"/>
                                            </w:rPr>
                                            <w:t>CO2</w:t>
                                          </w:r>
                                          <w:r w:rsidR="00EB6C90">
                                            <w:rPr>
                                              <w:rFonts w:asciiTheme="majorHAnsi" w:hAnsiTheme="majorHAnsi"/>
                                              <w:color w:val="FFFFFF" w:themeColor="background1"/>
                                              <w:sz w:val="96"/>
                                              <w:szCs w:val="96"/>
                                            </w:rPr>
                                            <w:t xml:space="preserve"> emissions in steelmaking using Biochar</w:t>
                                          </w:r>
                                        </w:sdtContent>
                                      </w:sdt>
                                    </w:p>
                                    <w:p w14:paraId="263E4317" w14:textId="4C975F2B" w:rsidR="00DF7385"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CA9335657DAF49679A17106271C7812F"/>
                                          </w:placeholder>
                                          <w:dataBinding w:prefixMappings="xmlns:ns0='http://purl.org/dc/elements/1.1/' xmlns:ns1='http://schemas.openxmlformats.org/package/2006/metadata/core-properties' " w:xpath="/ns1:coreProperties[1]/ns0:subject[1]" w:storeItemID="{6C3C8BC8-F283-45AE-878A-BAB7291924A1}"/>
                                          <w:text/>
                                        </w:sdtPr>
                                        <w:sdtContent>
                                          <w:r w:rsidR="00DF7385">
                                            <w:rPr>
                                              <w:color w:val="FFFFFF" w:themeColor="background1"/>
                                              <w:sz w:val="32"/>
                                              <w:szCs w:val="32"/>
                                            </w:rPr>
                                            <w:t>Jamie Waters</w:t>
                                          </w:r>
                                        </w:sdtContent>
                                      </w:sdt>
                                    </w:p>
                                  </w:tc>
                                </w:tr>
                                <w:tr w:rsidR="00DF7385" w14:paraId="6DB2305E"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DF7385" w14:paraId="6319E724" w14:textId="77777777">
                                        <w:trPr>
                                          <w:trHeight w:hRule="exact" w:val="720"/>
                                        </w:trPr>
                                        <w:tc>
                                          <w:tcPr>
                                            <w:tcW w:w="3590" w:type="dxa"/>
                                            <w:vAlign w:val="center"/>
                                          </w:tcPr>
                                          <w:p w14:paraId="5306DBDA" w14:textId="649DBD17" w:rsidR="00DF7385" w:rsidRDefault="00000000">
                                            <w:pPr>
                                              <w:pStyle w:val="NoSpacing"/>
                                              <w:ind w:left="720" w:right="144"/>
                                              <w:rPr>
                                                <w:color w:val="FFFFFF" w:themeColor="background1"/>
                                              </w:rPr>
                                            </w:pPr>
                                            <w:sdt>
                                              <w:sdtPr>
                                                <w:rPr>
                                                  <w:color w:val="FFFFFF" w:themeColor="background1"/>
                                                </w:rPr>
                                                <w:alias w:val="Author"/>
                                                <w:tag w:val=""/>
                                                <w:id w:val="942812742"/>
                                                <w:placeholder>
                                                  <w:docPart w:val="E199B85B042C479FBF10073968473063"/>
                                                </w:placeholder>
                                                <w:dataBinding w:prefixMappings="xmlns:ns0='http://purl.org/dc/elements/1.1/' xmlns:ns1='http://schemas.openxmlformats.org/package/2006/metadata/core-properties' " w:xpath="/ns1:coreProperties[1]/ns0:creator[1]" w:storeItemID="{6C3C8BC8-F283-45AE-878A-BAB7291924A1}"/>
                                                <w:text/>
                                              </w:sdtPr>
                                              <w:sdtContent>
                                                <w:r w:rsidR="00DF7385">
                                                  <w:rPr>
                                                    <w:color w:val="FFFFFF" w:themeColor="background1"/>
                                                  </w:rPr>
                                                  <w:t>Jamie Waters (</w:t>
                                                </w:r>
                                                <w:r w:rsidR="00C00570">
                                                  <w:rPr>
                                                    <w:color w:val="FFFFFF" w:themeColor="background1"/>
                                                  </w:rPr>
                                                  <w:t>1551425</w:t>
                                                </w:r>
                                                <w:r w:rsidR="00DF7385">
                                                  <w:rPr>
                                                    <w:color w:val="FFFFFF" w:themeColor="background1"/>
                                                  </w:rPr>
                                                  <w:t>)</w:t>
                                                </w:r>
                                              </w:sdtContent>
                                            </w:sdt>
                                          </w:p>
                                        </w:tc>
                                        <w:tc>
                                          <w:tcPr>
                                            <w:tcW w:w="3591" w:type="dxa"/>
                                            <w:vAlign w:val="center"/>
                                          </w:tcPr>
                                          <w:p w14:paraId="492D0E6A" w14:textId="2219E86C" w:rsidR="00DF7385" w:rsidRDefault="00DF7385">
                                            <w:pPr>
                                              <w:pStyle w:val="NoSpacing"/>
                                              <w:ind w:left="144" w:right="144"/>
                                              <w:jc w:val="center"/>
                                              <w:rPr>
                                                <w:color w:val="FFFFFF" w:themeColor="background1"/>
                                              </w:rPr>
                                            </w:pPr>
                                          </w:p>
                                        </w:tc>
                                        <w:sdt>
                                          <w:sdtPr>
                                            <w:rPr>
                                              <w:color w:val="FFFFFF" w:themeColor="background1"/>
                                            </w:rPr>
                                            <w:alias w:val="Course title"/>
                                            <w:tag w:val=""/>
                                            <w:id w:val="-15923909"/>
                                            <w:placeholder>
                                              <w:docPart w:val="784B233B45F647E5B84CA2948984A770"/>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08ED8A4" w14:textId="718E6758" w:rsidR="00DF7385" w:rsidRDefault="00C00570">
                                                <w:pPr>
                                                  <w:pStyle w:val="NoSpacing"/>
                                                  <w:ind w:left="144" w:right="720"/>
                                                  <w:jc w:val="right"/>
                                                  <w:rPr>
                                                    <w:color w:val="FFFFFF" w:themeColor="background1"/>
                                                  </w:rPr>
                                                </w:pPr>
                                                <w:r>
                                                  <w:rPr>
                                                    <w:color w:val="FFFFFF" w:themeColor="background1"/>
                                                  </w:rPr>
                                                  <w:t>Lean &amp; Agile Operations</w:t>
                                                </w:r>
                                              </w:p>
                                            </w:tc>
                                          </w:sdtContent>
                                        </w:sdt>
                                      </w:tr>
                                    </w:tbl>
                                    <w:p w14:paraId="73C52891" w14:textId="77777777" w:rsidR="00DF7385" w:rsidRDefault="00DF7385"/>
                                  </w:tc>
                                </w:tr>
                              </w:tbl>
                              <w:p w14:paraId="67F6835A" w14:textId="77777777" w:rsidR="00DF7385" w:rsidRDefault="00DF738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561348" id="_x0000_t202" coordsize="21600,21600" o:spt="202" path="m,l,21600r21600,l21600,xe">
                    <v:stroke joinstyle="miter"/>
                    <v:path gradientshapeok="t" o:connecttype="rect"/>
                  </v:shapetype>
                  <v:shape id="Text Box 47" o:spid="_x0000_s1026" type="#_x0000_t202" style="position:absolute;margin-left:0;margin-top:0;width:540pt;height:10in;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GZobAIAAEcFAAAOAAAAZHJzL2Uyb0RvYy54bWysVE1v2zAMvQ/YfxB0X+10bdEZcYosRYcB&#10;QVssHXpWZCkxKouaxMTOfv0o2U6GbpcOu8i0+Pj1SGp60zWG7ZUPNdiST85yzpSVUNV2U/LvT3cf&#10;rjkLKGwlDFhV8oMK/Gb2/t20dYU6hy2YSnlGTmwoWlfyLaIrsizIrWpEOAOnLCk1+EYg/fpNVnnR&#10;kvfGZOd5fpW14CvnQaoQ6Pa2V/JZ8q+1kvigdVDITMkpN0ynT+c6ntlsKoqNF25byyEN8Q9ZNKK2&#10;FPTo6lagYDtf/+GqqaWHABrPJDQZaF1LlWqgaib5q2pWW+FUqoXICe5IU/h/buX9fuUePcPuM3TU&#10;wFREcEuQL4G4yVoXigETOQ1FIHQstNO+iV8qgZEhcXs48qk6ZJIur64vr/OcVJJ0nyYXF/Enej2Z&#10;Ox/wi4KGRaHknhqWUhD7ZcAeOkJiNAt3tTGpacaylkJ8vMyTwVFDzo2NWJXaP7g5pZ4kPBgVMcZ+&#10;U5rVVaogXqTBUwvj2V7QyAgplcXJkHRCR5SmJN5iOOBPWb3FuK+DLFJksHg0bmoLvu9Y3JdT2tXL&#10;mLLu8UMnQ193pAC7dUc8RnEN1YFGwEO/HcHJu5q6sRQBH4WndaAO0orjAx3aALEOg8TZFvzPv91H&#10;PE0paTlrab1KHn7shFecma+W5jfu4ij4UViPgt01CyD6J/R4OJlEMvBoRlF7aJ5p8+cxCqmElRSr&#10;5DiKC+yXnF4OqebzBKKNcwKXduXkOOlxtp66Z+HdMIBIs3sP4+KJ4tUc9tjYCAvzHYKu05CeWByI&#10;pm1NYz68LPE5+P0/oU7v3+wXAAAA//8DAFBLAwQUAAYACAAAACEAdPtmktoAAAAHAQAADwAAAGRy&#10;cy9kb3ducmV2LnhtbEyPS0/DMBCE70j8B2uRuFG7qEJViFMhHjdeLSDBzYmXJMJeR7aThn/Plgtc&#10;VjOa1ey35Wb2TkwYUx9Iw3KhQCA1wfbUanh9uTtbg0jZkDUuEGr4xgSb6vioNIUNe9ritMut4BJK&#10;hdHQ5TwUUqamQ2/SIgxInH2G6E1mG1tpo9lzuXfyXKkL6U1PfKEzA1532HztRq/Bvad4X6v8Md20&#10;D/n5SY5vt8tHrU9P5qtLEBnn/LcMB3xGh4qZ6jCSTcJp4Efy7zxkaq3Y16xWK1ayKuV//uoHAAD/&#10;/wMAUEsBAi0AFAAGAAgAAAAhALaDOJL+AAAA4QEAABMAAAAAAAAAAAAAAAAAAAAAAFtDb250ZW50&#10;X1R5cGVzXS54bWxQSwECLQAUAAYACAAAACEAOP0h/9YAAACUAQAACwAAAAAAAAAAAAAAAAAvAQAA&#10;X3JlbHMvLnJlbHNQSwECLQAUAAYACAAAACEAwlRmaGwCAABHBQAADgAAAAAAAAAAAAAAAAAuAgAA&#10;ZHJzL2Uyb0RvYy54bWxQSwECLQAUAAYACAAAACEAdPtmktoAAAAHAQAADwAAAAAAAAAAAAAAAADG&#10;BAAAZHJzL2Rvd25yZXYueG1sUEsFBgAAAAAEAAQA8wAAAM0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05"/>
                          </w:tblGrid>
                          <w:tr w:rsidR="00DF7385" w14:paraId="67FA1953" w14:textId="77777777">
                            <w:trPr>
                              <w:trHeight w:hRule="exact" w:val="9360"/>
                            </w:trPr>
                            <w:tc>
                              <w:tcPr>
                                <w:tcW w:w="9350" w:type="dxa"/>
                              </w:tcPr>
                              <w:p w14:paraId="0D649D7A" w14:textId="7C867727" w:rsidR="00DF7385" w:rsidRDefault="00350AB6">
                                <w:r>
                                  <w:rPr>
                                    <w:noProof/>
                                  </w:rPr>
                                  <w:drawing>
                                    <wp:inline distT="0" distB="0" distL="0" distR="0" wp14:anchorId="4D960DE6" wp14:editId="4EF88734">
                                      <wp:extent cx="6810510" cy="5638800"/>
                                      <wp:effectExtent l="0" t="0" r="9525"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referRelativeResize="0"/>
                                            </pic:nvPicPr>
                                            <pic:blipFill>
                                              <a:blip r:embed="rId9"/>
                                              <a:stretch>
                                                <a:fillRect/>
                                              </a:stretch>
                                            </pic:blipFill>
                                            <pic:spPr>
                                              <a:xfrm>
                                                <a:off x="0" y="0"/>
                                                <a:ext cx="6810510" cy="5638800"/>
                                              </a:xfrm>
                                              <a:prstGeom prst="rect">
                                                <a:avLst/>
                                              </a:prstGeom>
                                            </pic:spPr>
                                          </pic:pic>
                                        </a:graphicData>
                                      </a:graphic>
                                    </wp:inline>
                                  </w:drawing>
                                </w:r>
                              </w:p>
                            </w:tc>
                          </w:tr>
                          <w:tr w:rsidR="00DF7385" w14:paraId="3DA08B25" w14:textId="77777777">
                            <w:trPr>
                              <w:trHeight w:hRule="exact" w:val="4320"/>
                            </w:trPr>
                            <w:tc>
                              <w:tcPr>
                                <w:tcW w:w="9350" w:type="dxa"/>
                                <w:shd w:val="clear" w:color="auto" w:fill="44546A" w:themeFill="text2"/>
                                <w:vAlign w:val="center"/>
                              </w:tcPr>
                              <w:p w14:paraId="00AA745A" w14:textId="7A459983" w:rsidR="00DF7385"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3EF1E639146D4490966658BBC1828E96"/>
                                    </w:placeholder>
                                    <w:dataBinding w:prefixMappings="xmlns:ns0='http://purl.org/dc/elements/1.1/' xmlns:ns1='http://schemas.openxmlformats.org/package/2006/metadata/core-properties' " w:xpath="/ns1:coreProperties[1]/ns0:title[1]" w:storeItemID="{6C3C8BC8-F283-45AE-878A-BAB7291924A1}"/>
                                    <w:text/>
                                  </w:sdtPr>
                                  <w:sdtContent>
                                    <w:r w:rsidR="00EB6C90" w:rsidRPr="00EB6C90">
                                      <w:rPr>
                                        <w:rFonts w:asciiTheme="majorHAnsi" w:hAnsiTheme="majorHAnsi"/>
                                        <w:color w:val="FFFFFF" w:themeColor="background1"/>
                                        <w:sz w:val="96"/>
                                        <w:szCs w:val="96"/>
                                      </w:rPr>
                                      <w:t xml:space="preserve">Reducing </w:t>
                                    </w:r>
                                    <w:r w:rsidR="005124F7">
                                      <w:rPr>
                                        <w:rFonts w:asciiTheme="majorHAnsi" w:hAnsiTheme="majorHAnsi"/>
                                        <w:color w:val="FFFFFF" w:themeColor="background1"/>
                                        <w:sz w:val="96"/>
                                        <w:szCs w:val="96"/>
                                      </w:rPr>
                                      <w:t xml:space="preserve">net </w:t>
                                    </w:r>
                                    <w:r w:rsidR="00EB6C90" w:rsidRPr="00EB6C90">
                                      <w:rPr>
                                        <w:rFonts w:asciiTheme="majorHAnsi" w:hAnsiTheme="majorHAnsi"/>
                                        <w:color w:val="FFFFFF" w:themeColor="background1"/>
                                        <w:sz w:val="96"/>
                                        <w:szCs w:val="96"/>
                                      </w:rPr>
                                      <w:t>CO2</w:t>
                                    </w:r>
                                    <w:r w:rsidR="00EB6C90">
                                      <w:rPr>
                                        <w:rFonts w:asciiTheme="majorHAnsi" w:hAnsiTheme="majorHAnsi"/>
                                        <w:color w:val="FFFFFF" w:themeColor="background1"/>
                                        <w:sz w:val="96"/>
                                        <w:szCs w:val="96"/>
                                      </w:rPr>
                                      <w:t xml:space="preserve"> emissions in steelmaking using Biochar</w:t>
                                    </w:r>
                                  </w:sdtContent>
                                </w:sdt>
                              </w:p>
                              <w:p w14:paraId="263E4317" w14:textId="4C975F2B" w:rsidR="00DF7385"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CA9335657DAF49679A17106271C7812F"/>
                                    </w:placeholder>
                                    <w:dataBinding w:prefixMappings="xmlns:ns0='http://purl.org/dc/elements/1.1/' xmlns:ns1='http://schemas.openxmlformats.org/package/2006/metadata/core-properties' " w:xpath="/ns1:coreProperties[1]/ns0:subject[1]" w:storeItemID="{6C3C8BC8-F283-45AE-878A-BAB7291924A1}"/>
                                    <w:text/>
                                  </w:sdtPr>
                                  <w:sdtContent>
                                    <w:r w:rsidR="00DF7385">
                                      <w:rPr>
                                        <w:color w:val="FFFFFF" w:themeColor="background1"/>
                                        <w:sz w:val="32"/>
                                        <w:szCs w:val="32"/>
                                      </w:rPr>
                                      <w:t>Jamie Waters</w:t>
                                    </w:r>
                                  </w:sdtContent>
                                </w:sdt>
                              </w:p>
                            </w:tc>
                          </w:tr>
                          <w:tr w:rsidR="00DF7385" w14:paraId="6DB2305E"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Pr>
                                <w:tblGrid>
                                  <w:gridCol w:w="3601"/>
                                  <w:gridCol w:w="3602"/>
                                  <w:gridCol w:w="3602"/>
                                </w:tblGrid>
                                <w:tr w:rsidR="00DF7385" w14:paraId="6319E724" w14:textId="77777777">
                                  <w:trPr>
                                    <w:trHeight w:hRule="exact" w:val="720"/>
                                  </w:trPr>
                                  <w:tc>
                                    <w:tcPr>
                                      <w:tcW w:w="3590" w:type="dxa"/>
                                      <w:vAlign w:val="center"/>
                                    </w:tcPr>
                                    <w:p w14:paraId="5306DBDA" w14:textId="649DBD17" w:rsidR="00DF7385" w:rsidRDefault="00000000">
                                      <w:pPr>
                                        <w:pStyle w:val="NoSpacing"/>
                                        <w:ind w:left="720" w:right="144"/>
                                        <w:rPr>
                                          <w:color w:val="FFFFFF" w:themeColor="background1"/>
                                        </w:rPr>
                                      </w:pPr>
                                      <w:sdt>
                                        <w:sdtPr>
                                          <w:rPr>
                                            <w:color w:val="FFFFFF" w:themeColor="background1"/>
                                          </w:rPr>
                                          <w:alias w:val="Author"/>
                                          <w:tag w:val=""/>
                                          <w:id w:val="942812742"/>
                                          <w:placeholder>
                                            <w:docPart w:val="E199B85B042C479FBF10073968473063"/>
                                          </w:placeholder>
                                          <w:dataBinding w:prefixMappings="xmlns:ns0='http://purl.org/dc/elements/1.1/' xmlns:ns1='http://schemas.openxmlformats.org/package/2006/metadata/core-properties' " w:xpath="/ns1:coreProperties[1]/ns0:creator[1]" w:storeItemID="{6C3C8BC8-F283-45AE-878A-BAB7291924A1}"/>
                                          <w:text/>
                                        </w:sdtPr>
                                        <w:sdtContent>
                                          <w:r w:rsidR="00DF7385">
                                            <w:rPr>
                                              <w:color w:val="FFFFFF" w:themeColor="background1"/>
                                            </w:rPr>
                                            <w:t>Jamie Waters (</w:t>
                                          </w:r>
                                          <w:r w:rsidR="00C00570">
                                            <w:rPr>
                                              <w:color w:val="FFFFFF" w:themeColor="background1"/>
                                            </w:rPr>
                                            <w:t>1551425</w:t>
                                          </w:r>
                                          <w:r w:rsidR="00DF7385">
                                            <w:rPr>
                                              <w:color w:val="FFFFFF" w:themeColor="background1"/>
                                            </w:rPr>
                                            <w:t>)</w:t>
                                          </w:r>
                                        </w:sdtContent>
                                      </w:sdt>
                                    </w:p>
                                  </w:tc>
                                  <w:tc>
                                    <w:tcPr>
                                      <w:tcW w:w="3591" w:type="dxa"/>
                                      <w:vAlign w:val="center"/>
                                    </w:tcPr>
                                    <w:p w14:paraId="492D0E6A" w14:textId="2219E86C" w:rsidR="00DF7385" w:rsidRDefault="00DF7385">
                                      <w:pPr>
                                        <w:pStyle w:val="NoSpacing"/>
                                        <w:ind w:left="144" w:right="144"/>
                                        <w:jc w:val="center"/>
                                        <w:rPr>
                                          <w:color w:val="FFFFFF" w:themeColor="background1"/>
                                        </w:rPr>
                                      </w:pPr>
                                    </w:p>
                                  </w:tc>
                                  <w:sdt>
                                    <w:sdtPr>
                                      <w:rPr>
                                        <w:color w:val="FFFFFF" w:themeColor="background1"/>
                                      </w:rPr>
                                      <w:alias w:val="Course title"/>
                                      <w:tag w:val=""/>
                                      <w:id w:val="-15923909"/>
                                      <w:placeholder>
                                        <w:docPart w:val="784B233B45F647E5B84CA2948984A770"/>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08ED8A4" w14:textId="718E6758" w:rsidR="00DF7385" w:rsidRDefault="00C00570">
                                          <w:pPr>
                                            <w:pStyle w:val="NoSpacing"/>
                                            <w:ind w:left="144" w:right="720"/>
                                            <w:jc w:val="right"/>
                                            <w:rPr>
                                              <w:color w:val="FFFFFF" w:themeColor="background1"/>
                                            </w:rPr>
                                          </w:pPr>
                                          <w:r>
                                            <w:rPr>
                                              <w:color w:val="FFFFFF" w:themeColor="background1"/>
                                            </w:rPr>
                                            <w:t>Lean &amp; Agile Operations</w:t>
                                          </w:r>
                                        </w:p>
                                      </w:tc>
                                    </w:sdtContent>
                                  </w:sdt>
                                </w:tr>
                              </w:tbl>
                              <w:p w14:paraId="73C52891" w14:textId="77777777" w:rsidR="00DF7385" w:rsidRDefault="00DF7385"/>
                            </w:tc>
                          </w:tr>
                        </w:tbl>
                        <w:p w14:paraId="67F6835A" w14:textId="77777777" w:rsidR="00DF7385" w:rsidRDefault="00DF7385"/>
                      </w:txbxContent>
                    </v:textbox>
                    <w10:wrap anchorx="page" anchory="page"/>
                  </v:shape>
                </w:pict>
              </mc:Fallback>
            </mc:AlternateContent>
          </w:r>
        </w:p>
        <w:p w14:paraId="45028993" w14:textId="24D9D89C" w:rsidR="00DF7385" w:rsidRDefault="00DF7385">
          <w:pPr>
            <w:rPr>
              <w:sz w:val="2"/>
            </w:rPr>
          </w:pPr>
          <w:r>
            <w:rPr>
              <w:sz w:val="2"/>
            </w:rPr>
            <w:br w:type="page"/>
          </w:r>
        </w:p>
      </w:sdtContent>
    </w:sdt>
    <w:p w14:paraId="42727CAC" w14:textId="241513C4" w:rsidR="00EC325B" w:rsidRDefault="00DF7385" w:rsidP="00350AB6">
      <w:pPr>
        <w:pStyle w:val="Heading1"/>
        <w:spacing w:line="360" w:lineRule="auto"/>
        <w:jc w:val="both"/>
      </w:pPr>
      <w:bookmarkStart w:id="0" w:name="_Toc128599583"/>
      <w:r>
        <w:lastRenderedPageBreak/>
        <w:t>Abstract</w:t>
      </w:r>
      <w:bookmarkEnd w:id="0"/>
    </w:p>
    <w:p w14:paraId="42727CB0" w14:textId="4429AD47" w:rsidR="00196715" w:rsidRPr="00D531A4" w:rsidRDefault="008257BC" w:rsidP="00350AB6">
      <w:pPr>
        <w:spacing w:line="360" w:lineRule="auto"/>
        <w:jc w:val="both"/>
      </w:pPr>
      <w:r w:rsidRPr="00D531A4">
        <w:t>Steel is</w:t>
      </w:r>
      <w:r w:rsidR="00A1319D" w:rsidRPr="00D531A4">
        <w:t xml:space="preserve"> vital material</w:t>
      </w:r>
      <w:r w:rsidR="00874C45" w:rsidRPr="00D531A4">
        <w:t xml:space="preserve">, on which the </w:t>
      </w:r>
      <w:r w:rsidR="00BE166A" w:rsidRPr="00D531A4">
        <w:t>worlds’</w:t>
      </w:r>
      <w:r w:rsidR="009A02E0" w:rsidRPr="00D531A4">
        <w:t xml:space="preserve"> </w:t>
      </w:r>
      <w:r w:rsidR="00874C45" w:rsidRPr="00D531A4">
        <w:t xml:space="preserve">manufacturing industry is heavily </w:t>
      </w:r>
      <w:r w:rsidR="00557904" w:rsidRPr="00D531A4">
        <w:t xml:space="preserve">dependent. The production of steel </w:t>
      </w:r>
      <w:r w:rsidR="00A017BA" w:rsidRPr="00D531A4">
        <w:t>is</w:t>
      </w:r>
      <w:r w:rsidR="00557904" w:rsidRPr="00D531A4">
        <w:t xml:space="preserve"> </w:t>
      </w:r>
      <w:r w:rsidR="00A017BA" w:rsidRPr="00D531A4">
        <w:t xml:space="preserve">reliant on </w:t>
      </w:r>
      <w:r w:rsidR="0049721F" w:rsidRPr="00D531A4">
        <w:t>fossil fuels</w:t>
      </w:r>
      <w:r w:rsidR="00B26120" w:rsidRPr="00D531A4">
        <w:t>, these</w:t>
      </w:r>
      <w:r w:rsidR="003B6C90" w:rsidRPr="00D531A4">
        <w:t xml:space="preserve"> </w:t>
      </w:r>
      <w:r w:rsidR="00BE166A" w:rsidRPr="00D531A4">
        <w:t>carbon-based</w:t>
      </w:r>
      <w:r w:rsidR="00B26120" w:rsidRPr="00D531A4">
        <w:t xml:space="preserve"> energy sources</w:t>
      </w:r>
      <w:r w:rsidR="003B6C90" w:rsidRPr="00D531A4">
        <w:t xml:space="preserve"> result in </w:t>
      </w:r>
      <w:r w:rsidR="00D81505" w:rsidRPr="00D531A4">
        <w:t>high</w:t>
      </w:r>
      <w:r w:rsidR="003B6C90" w:rsidRPr="00D531A4">
        <w:t xml:space="preserve"> levels of greenhouse gas emissions.</w:t>
      </w:r>
      <w:r w:rsidR="00BE166A" w:rsidRPr="00D531A4">
        <w:t xml:space="preserve"> </w:t>
      </w:r>
      <w:r w:rsidR="00D81505" w:rsidRPr="00D531A4">
        <w:t>The iron and steel industry is respon</w:t>
      </w:r>
      <w:r w:rsidR="007F3229" w:rsidRPr="00D531A4">
        <w:t xml:space="preserve">sible for </w:t>
      </w:r>
      <w:r w:rsidR="00C04B43" w:rsidRPr="00D531A4">
        <w:t>approximately 25% of industrial and 9% total carbon dioxide</w:t>
      </w:r>
      <w:r w:rsidR="00C04B43" w:rsidRPr="00D531A4">
        <w:rPr>
          <w:vertAlign w:val="subscript"/>
        </w:rPr>
        <w:t xml:space="preserve"> </w:t>
      </w:r>
      <w:r w:rsidR="00C04B43" w:rsidRPr="00D531A4">
        <w:t>emissions making it the 2</w:t>
      </w:r>
      <w:r w:rsidR="00C04B43" w:rsidRPr="00D531A4">
        <w:rPr>
          <w:vertAlign w:val="superscript"/>
        </w:rPr>
        <w:t>nd</w:t>
      </w:r>
      <w:r w:rsidR="00C04B43" w:rsidRPr="00D531A4">
        <w:t xml:space="preserve"> largest </w:t>
      </w:r>
      <w:r w:rsidR="00F522C6" w:rsidRPr="00D531A4">
        <w:t xml:space="preserve">carbon dioxide </w:t>
      </w:r>
      <w:r w:rsidR="007767E0" w:rsidRPr="00D531A4">
        <w:t>contributor</w:t>
      </w:r>
      <w:r w:rsidR="00F522C6" w:rsidRPr="00D531A4">
        <w:t>.</w:t>
      </w:r>
      <w:r w:rsidR="0039237F" w:rsidRPr="00D531A4">
        <w:t xml:space="preserve"> Sustainably sourced</w:t>
      </w:r>
      <w:r w:rsidR="00582DED" w:rsidRPr="00D531A4">
        <w:t xml:space="preserve"> renewable</w:t>
      </w:r>
      <w:r w:rsidR="0039237F" w:rsidRPr="00D531A4">
        <w:t xml:space="preserve"> biomass converted to charcoal</w:t>
      </w:r>
      <w:r w:rsidR="009F0586" w:rsidRPr="00D531A4">
        <w:t xml:space="preserve"> </w:t>
      </w:r>
      <w:r w:rsidR="00582DED" w:rsidRPr="00D531A4">
        <w:t xml:space="preserve">could potentially </w:t>
      </w:r>
      <w:r w:rsidR="000868C3" w:rsidRPr="00D531A4">
        <w:t>provide a carbon neutral energy source to the industry</w:t>
      </w:r>
      <w:r w:rsidR="00491549" w:rsidRPr="00D531A4">
        <w:t xml:space="preserve">. The aim of this project </w:t>
      </w:r>
      <w:r w:rsidR="00517A5A" w:rsidRPr="00D531A4">
        <w:t xml:space="preserve">was to </w:t>
      </w:r>
      <w:r w:rsidR="00742E19" w:rsidRPr="00D531A4">
        <w:t>investigate</w:t>
      </w:r>
      <w:r w:rsidR="00517A5A" w:rsidRPr="00D531A4">
        <w:t xml:space="preserve"> </w:t>
      </w:r>
      <w:r w:rsidR="00F460BF" w:rsidRPr="00D531A4">
        <w:t xml:space="preserve">the use of </w:t>
      </w:r>
      <w:r w:rsidR="005520FA" w:rsidRPr="00D531A4">
        <w:t>two biochar sources</w:t>
      </w:r>
      <w:r w:rsidR="00F460BF" w:rsidRPr="00D531A4">
        <w:t xml:space="preserve"> as partial substitutions for the fossil fuels used in three ironmaking processes</w:t>
      </w:r>
      <w:r w:rsidR="00742E19" w:rsidRPr="00D531A4">
        <w:t xml:space="preserve">. Namely Iron making, coke making and sinter making. </w:t>
      </w:r>
      <w:r w:rsidR="00FF3BFC" w:rsidRPr="00D531A4">
        <w:t xml:space="preserve">Biochar 1 was </w:t>
      </w:r>
      <w:r w:rsidR="002B1DD1" w:rsidRPr="00D531A4">
        <w:t>produced by the pyrolysis of a softwood</w:t>
      </w:r>
      <w:r w:rsidR="00F068ED" w:rsidRPr="00D531A4">
        <w:t>,</w:t>
      </w:r>
      <w:r w:rsidR="000628D3" w:rsidRPr="00D531A4">
        <w:t xml:space="preserve"> th</w:t>
      </w:r>
      <w:r w:rsidR="00E00C97" w:rsidRPr="00D531A4">
        <w:t>e results show that this</w:t>
      </w:r>
      <w:r w:rsidR="00F068ED" w:rsidRPr="00D531A4">
        <w:t xml:space="preserve"> biochar</w:t>
      </w:r>
      <w:r w:rsidR="000628D3" w:rsidRPr="00D531A4">
        <w:t xml:space="preserve"> was found t</w:t>
      </w:r>
      <w:r w:rsidR="003847C3" w:rsidRPr="00D531A4">
        <w:t xml:space="preserve">o be more </w:t>
      </w:r>
      <w:r w:rsidR="00F068ED" w:rsidRPr="00D531A4">
        <w:t>suitable</w:t>
      </w:r>
      <w:r w:rsidR="000628D3" w:rsidRPr="00D531A4">
        <w:t xml:space="preserve"> </w:t>
      </w:r>
      <w:r w:rsidR="00F068ED" w:rsidRPr="00D531A4">
        <w:t>for use in the</w:t>
      </w:r>
      <w:r w:rsidR="008056CA" w:rsidRPr="00D531A4">
        <w:t xml:space="preserve"> processes assessed than the other biochar, </w:t>
      </w:r>
      <w:r w:rsidR="00076F8A" w:rsidRPr="00D531A4">
        <w:t xml:space="preserve">a </w:t>
      </w:r>
      <w:proofErr w:type="spellStart"/>
      <w:r w:rsidR="00076F8A" w:rsidRPr="00D531A4">
        <w:t>pyrolised</w:t>
      </w:r>
      <w:proofErr w:type="spellEnd"/>
      <w:r w:rsidR="00076F8A" w:rsidRPr="00D531A4">
        <w:t xml:space="preserve"> hardwood.</w:t>
      </w:r>
      <w:r w:rsidR="000628D3" w:rsidRPr="00D531A4">
        <w:t xml:space="preserve"> </w:t>
      </w:r>
      <w:r w:rsidR="00430201" w:rsidRPr="00D531A4">
        <w:t xml:space="preserve">The reasons for this </w:t>
      </w:r>
      <w:r w:rsidR="00A051DF" w:rsidRPr="00D531A4">
        <w:t>are</w:t>
      </w:r>
      <w:r w:rsidR="00430201" w:rsidRPr="00D531A4">
        <w:t xml:space="preserve"> likely to be a result of the pyrolysis conditions </w:t>
      </w:r>
      <w:r w:rsidR="00797E69" w:rsidRPr="00D531A4">
        <w:t xml:space="preserve">used in production of the </w:t>
      </w:r>
      <w:r w:rsidR="00A051DF" w:rsidRPr="00D531A4">
        <w:t>biochar</w:t>
      </w:r>
      <w:r w:rsidR="00797E69" w:rsidRPr="00D531A4">
        <w:t>.</w:t>
      </w:r>
      <w:r w:rsidR="00A051DF" w:rsidRPr="00D531A4">
        <w:t xml:space="preserve"> It was concluded that </w:t>
      </w:r>
      <w:r w:rsidR="00141CBD" w:rsidRPr="00D531A4">
        <w:t xml:space="preserve">biochar 1 would be suitable for up to 75% substitution of the pulverised coal used in blast furnace ironmaking, </w:t>
      </w:r>
      <w:r w:rsidR="00DE061E" w:rsidRPr="00D531A4">
        <w:t xml:space="preserve">up to 5% substitution of coking coals used in coke making and </w:t>
      </w:r>
      <w:r w:rsidR="00D051E4" w:rsidRPr="00D531A4">
        <w:t>up to 50% coke breeze replacement in sinter</w:t>
      </w:r>
      <w:r w:rsidR="005802D3" w:rsidRPr="00D531A4">
        <w:t xml:space="preserve"> </w:t>
      </w:r>
      <w:r w:rsidR="00D051E4" w:rsidRPr="00D531A4">
        <w:t>making</w:t>
      </w:r>
      <w:r w:rsidR="005802D3" w:rsidRPr="00D531A4">
        <w:t>.</w:t>
      </w:r>
      <w:r w:rsidR="007D64F3" w:rsidRPr="00D531A4">
        <w:t xml:space="preserve"> It was then calculated that using biochar in these concentrations could potentially save </w:t>
      </w:r>
      <w:r w:rsidR="00783D54" w:rsidRPr="00D531A4">
        <w:t>1.7 Mt of carbon dioxide</w:t>
      </w:r>
      <w:r w:rsidR="00F7015B" w:rsidRPr="00D531A4">
        <w:t xml:space="preserve"> annually at the Port talbot steelworks, 25.7% of its total carbon dioxide emissions.</w:t>
      </w:r>
    </w:p>
    <w:p w14:paraId="20113419" w14:textId="77777777" w:rsidR="00DF7385" w:rsidRDefault="00DF7385" w:rsidP="00350AB6">
      <w:pPr>
        <w:spacing w:line="360" w:lineRule="auto"/>
        <w:jc w:val="both"/>
        <w:rPr>
          <w:sz w:val="28"/>
          <w:szCs w:val="28"/>
        </w:rPr>
      </w:pPr>
    </w:p>
    <w:p w14:paraId="10AADE12" w14:textId="77777777" w:rsidR="00DF7385" w:rsidRDefault="00DF7385" w:rsidP="00350AB6">
      <w:pPr>
        <w:spacing w:line="360" w:lineRule="auto"/>
        <w:jc w:val="both"/>
        <w:rPr>
          <w:sz w:val="28"/>
          <w:szCs w:val="28"/>
        </w:rPr>
      </w:pPr>
    </w:p>
    <w:p w14:paraId="159015DF" w14:textId="3EC9852C" w:rsidR="00DF7385" w:rsidRDefault="00DF7385" w:rsidP="00350AB6">
      <w:pPr>
        <w:spacing w:line="360" w:lineRule="auto"/>
        <w:jc w:val="both"/>
        <w:rPr>
          <w:sz w:val="28"/>
          <w:szCs w:val="28"/>
        </w:rPr>
      </w:pPr>
    </w:p>
    <w:p w14:paraId="4D4EE090" w14:textId="77777777" w:rsidR="00DF7385" w:rsidRDefault="00DF7385" w:rsidP="00350AB6">
      <w:pPr>
        <w:spacing w:line="360" w:lineRule="auto"/>
        <w:jc w:val="both"/>
        <w:rPr>
          <w:sz w:val="28"/>
          <w:szCs w:val="28"/>
        </w:rPr>
      </w:pPr>
    </w:p>
    <w:p w14:paraId="21C63960" w14:textId="77777777" w:rsidR="00DF7385" w:rsidRDefault="00DF7385" w:rsidP="00350AB6">
      <w:pPr>
        <w:spacing w:line="360" w:lineRule="auto"/>
        <w:jc w:val="both"/>
        <w:rPr>
          <w:sz w:val="28"/>
          <w:szCs w:val="28"/>
        </w:rPr>
      </w:pPr>
    </w:p>
    <w:p w14:paraId="60796480" w14:textId="77777777" w:rsidR="00DF7385" w:rsidRDefault="00DF7385" w:rsidP="00350AB6">
      <w:pPr>
        <w:spacing w:line="360" w:lineRule="auto"/>
        <w:jc w:val="both"/>
        <w:rPr>
          <w:sz w:val="28"/>
          <w:szCs w:val="28"/>
        </w:rPr>
      </w:pPr>
    </w:p>
    <w:p w14:paraId="314F846F" w14:textId="77777777" w:rsidR="00DF7385" w:rsidRDefault="00DF7385" w:rsidP="00350AB6">
      <w:pPr>
        <w:spacing w:line="360" w:lineRule="auto"/>
        <w:jc w:val="both"/>
        <w:rPr>
          <w:sz w:val="28"/>
          <w:szCs w:val="28"/>
        </w:rPr>
      </w:pPr>
    </w:p>
    <w:p w14:paraId="3AEBE5C3" w14:textId="77777777" w:rsidR="00DF7385" w:rsidRDefault="00DF7385" w:rsidP="00350AB6">
      <w:pPr>
        <w:spacing w:line="360" w:lineRule="auto"/>
        <w:jc w:val="both"/>
        <w:rPr>
          <w:sz w:val="28"/>
          <w:szCs w:val="28"/>
        </w:rPr>
      </w:pPr>
    </w:p>
    <w:p w14:paraId="664269D0" w14:textId="34646A84" w:rsidR="00E44E2C" w:rsidRDefault="00E44E2C" w:rsidP="00350AB6">
      <w:pPr>
        <w:spacing w:line="360" w:lineRule="auto"/>
        <w:jc w:val="both"/>
        <w:rPr>
          <w:noProof/>
        </w:rPr>
      </w:pPr>
    </w:p>
    <w:p w14:paraId="78798532" w14:textId="77777777" w:rsidR="00646351" w:rsidRDefault="00646351" w:rsidP="00350AB6">
      <w:pPr>
        <w:spacing w:line="360" w:lineRule="auto"/>
        <w:jc w:val="both"/>
        <w:rPr>
          <w:noProof/>
        </w:rPr>
      </w:pPr>
    </w:p>
    <w:p w14:paraId="03F9A086" w14:textId="77777777" w:rsidR="00646351" w:rsidRDefault="00646351" w:rsidP="00350AB6">
      <w:pPr>
        <w:spacing w:line="360" w:lineRule="auto"/>
        <w:jc w:val="both"/>
        <w:rPr>
          <w:noProof/>
        </w:rPr>
      </w:pPr>
    </w:p>
    <w:p w14:paraId="7B5B9BE1" w14:textId="448234A5" w:rsidR="00646351" w:rsidRDefault="00646351" w:rsidP="00F304A6">
      <w:pPr>
        <w:pStyle w:val="Heading1"/>
        <w:spacing w:line="360" w:lineRule="auto"/>
        <w:jc w:val="both"/>
        <w:rPr>
          <w:noProof/>
        </w:rPr>
      </w:pPr>
      <w:bookmarkStart w:id="1" w:name="_Toc128599584"/>
      <w:r>
        <w:rPr>
          <w:noProof/>
        </w:rPr>
        <w:lastRenderedPageBreak/>
        <w:t>Acknowledgements</w:t>
      </w:r>
      <w:bookmarkEnd w:id="1"/>
      <w:r>
        <w:rPr>
          <w:noProof/>
        </w:rPr>
        <w:t xml:space="preserve"> </w:t>
      </w:r>
    </w:p>
    <w:p w14:paraId="6A48FE21" w14:textId="06F174ED" w:rsidR="00646351" w:rsidRDefault="00F304A6" w:rsidP="00F304A6">
      <w:pPr>
        <w:spacing w:line="360" w:lineRule="auto"/>
        <w:jc w:val="both"/>
      </w:pPr>
      <w:r>
        <w:t xml:space="preserve">I would like to thank </w:t>
      </w:r>
      <w:r w:rsidR="00631FEB">
        <w:t>Andrew Thorn</w:t>
      </w:r>
      <w:r w:rsidR="00C86FD2">
        <w:t xml:space="preserve"> </w:t>
      </w:r>
      <w:r w:rsidR="00DC4B51">
        <w:t xml:space="preserve">for his continual support throughout </w:t>
      </w:r>
      <w:r w:rsidR="00BD636F">
        <w:t xml:space="preserve">my time at the University of Wales Trinity Saint </w:t>
      </w:r>
      <w:r w:rsidR="00EC43D3">
        <w:t>David</w:t>
      </w:r>
      <w:r w:rsidR="002C1512">
        <w:t xml:space="preserve">. Without </w:t>
      </w:r>
      <w:r w:rsidR="002D5D64">
        <w:t xml:space="preserve">his encouragement </w:t>
      </w:r>
      <w:r w:rsidR="00A30BCE">
        <w:t xml:space="preserve">I would not have had the self-belief to take on this challenge. </w:t>
      </w:r>
    </w:p>
    <w:p w14:paraId="3E4D7573" w14:textId="3F3868AE" w:rsidR="00446F45" w:rsidRDefault="003670EE" w:rsidP="00F304A6">
      <w:pPr>
        <w:spacing w:line="360" w:lineRule="auto"/>
        <w:jc w:val="both"/>
      </w:pPr>
      <w:r>
        <w:t xml:space="preserve">The </w:t>
      </w:r>
      <w:r w:rsidR="003D0AFF">
        <w:t xml:space="preserve">skills, experience and qualifications provided to me </w:t>
      </w:r>
      <w:r w:rsidR="00BA0C23">
        <w:t>by</w:t>
      </w:r>
      <w:r w:rsidR="00E36F52">
        <w:t xml:space="preserve"> the University of Wales Trinity Saint David have been invaluable and enabled me to further my career</w:t>
      </w:r>
      <w:r w:rsidR="00063923">
        <w:t xml:space="preserve"> and fulfil </w:t>
      </w:r>
      <w:r w:rsidR="00130EA9">
        <w:t>many</w:t>
      </w:r>
      <w:r w:rsidR="00063923">
        <w:t xml:space="preserve"> of my ambitions</w:t>
      </w:r>
      <w:r w:rsidR="00130EA9">
        <w:t>,</w:t>
      </w:r>
      <w:r w:rsidR="00446F45">
        <w:t xml:space="preserve"> so I am forever grateful to the university and all the staff who have supported me along the way.</w:t>
      </w:r>
    </w:p>
    <w:p w14:paraId="36A2903B" w14:textId="6333BE9A" w:rsidR="00AA29A6" w:rsidRPr="00646351" w:rsidRDefault="00776070" w:rsidP="00F304A6">
      <w:pPr>
        <w:spacing w:line="360" w:lineRule="auto"/>
        <w:jc w:val="both"/>
      </w:pPr>
      <w:r>
        <w:t xml:space="preserve">Lastly a huge thank you to my wife and children for </w:t>
      </w:r>
      <w:r w:rsidR="00D26FC5">
        <w:t>their patience during this time</w:t>
      </w:r>
      <w:r w:rsidR="000350D6">
        <w:t xml:space="preserve">, without your love and support </w:t>
      </w:r>
      <w:r w:rsidR="00B4626C">
        <w:t xml:space="preserve">I would not have been able to complete my studies. </w:t>
      </w:r>
      <w:r w:rsidR="00312EBC">
        <w:t xml:space="preserve">I promise to try make up for all </w:t>
      </w:r>
      <w:r w:rsidR="005056C4">
        <w:t>the</w:t>
      </w:r>
      <w:r w:rsidR="00312EBC">
        <w:t xml:space="preserve"> lost time.</w:t>
      </w:r>
      <w:r>
        <w:t xml:space="preserve"> </w:t>
      </w:r>
    </w:p>
    <w:p w14:paraId="4A87F4BC" w14:textId="77777777" w:rsidR="00001558" w:rsidRDefault="00001558" w:rsidP="00350AB6">
      <w:pPr>
        <w:pStyle w:val="Heading1"/>
        <w:spacing w:line="360" w:lineRule="auto"/>
        <w:jc w:val="both"/>
      </w:pPr>
      <w:bookmarkStart w:id="2" w:name="_Toc128599585"/>
      <w:r>
        <w:t>Declaration</w:t>
      </w:r>
      <w:bookmarkEnd w:id="2"/>
      <w:r>
        <w:t xml:space="preserve"> </w:t>
      </w:r>
    </w:p>
    <w:p w14:paraId="4F65DE39" w14:textId="4090C50B" w:rsidR="003B72AF" w:rsidRDefault="005056C4" w:rsidP="003B72AF">
      <w:pPr>
        <w:spacing w:line="360" w:lineRule="auto"/>
        <w:jc w:val="both"/>
      </w:pPr>
      <w:r>
        <w:rPr>
          <w:noProof/>
        </w:rPr>
        <mc:AlternateContent>
          <mc:Choice Requires="wpi">
            <w:drawing>
              <wp:anchor distT="0" distB="0" distL="114300" distR="114300" simplePos="0" relativeHeight="251716608" behindDoc="0" locked="0" layoutInCell="1" allowOverlap="1" wp14:anchorId="0CE405D3" wp14:editId="30B07C2B">
                <wp:simplePos x="0" y="0"/>
                <wp:positionH relativeFrom="column">
                  <wp:posOffset>562968</wp:posOffset>
                </wp:positionH>
                <wp:positionV relativeFrom="paragraph">
                  <wp:posOffset>855003</wp:posOffset>
                </wp:positionV>
                <wp:extent cx="218880" cy="23400"/>
                <wp:effectExtent l="38100" t="38100" r="48260" b="34290"/>
                <wp:wrapNone/>
                <wp:docPr id="128" name="Ink 128"/>
                <wp:cNvGraphicFramePr/>
                <a:graphic xmlns:a="http://schemas.openxmlformats.org/drawingml/2006/main">
                  <a:graphicData uri="http://schemas.microsoft.com/office/word/2010/wordprocessingInk">
                    <w14:contentPart bwMode="auto" r:id="rId10">
                      <w14:nvContentPartPr>
                        <w14:cNvContentPartPr/>
                      </w14:nvContentPartPr>
                      <w14:xfrm>
                        <a:off x="0" y="0"/>
                        <a:ext cx="218880" cy="23400"/>
                      </w14:xfrm>
                    </w14:contentPart>
                  </a:graphicData>
                </a:graphic>
              </wp:anchor>
            </w:drawing>
          </mc:Choice>
          <mc:Fallback>
            <w:pict>
              <v:shapetype w14:anchorId="5DCA64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8" o:spid="_x0000_s1026" type="#_x0000_t75" style="position:absolute;margin-left:44pt;margin-top:66.95pt;width:17.95pt;height:2.5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n75VyAQAACAMAAA4AAABkcnMvZTJvRG9jLnhtbJxSy27CMBC8V+o/&#10;WL6XPEA0iggciipx6OPQfoDr2MRq7I3WhsDfd0lIgVZVJS7W7o48ntnxbLGzNdsq9AZcwZNRzJly&#10;Ekrj1gV/f3u8yzjzQbhS1OBUwffK88X89mbWNrlKoYK6VMiIxPm8bQpehdDkUeRlpazwI2iUI1AD&#10;WhGoxXVUomiJ3dZRGsfTqAUsGwSpvKfpsgf5vOPXWsnworVXgdUFn4xTkheGAqm4n9Lkg4qMimg+&#10;E/kaRVMZeZQkrlBkhXEk4JtqKYJgGzS/qKyRCB50GEmwEWhtpOr8kLMk/uFs5T4PrpKJ3GAuwQXl&#10;wqvAMOyuA655wta0gfYJSkpHbALwIyOt5/8wetFLkBtLevpEUNUi0HfwlWk8Z5ibsuC4KpOTfrd9&#10;ODl4xZOv50uAEomOlv+6stNoD8smJWxXcIpzfzi7LNUuMEnDNMmyjBBJUDqexB08EPcEQ3e2WXr7&#10;IsPz/qDr7APPvwAAAP//AwBQSwMEFAAGAAgAAAAhABdPwbb/AQAAzAQAABAAAABkcnMvaW5rL2lu&#10;azEueG1stFNNj9sgEL1X6n9A9JBLsAF/JdY6e2qkSq1UdbdSe/TabIzWxhHGcfLvO8YOyWqzPbUX&#10;YGaYx8ybx939sanRQehOtirDzKMYCVW0pVS7DP983JIVRp3JVZnXrRIZPokO328+friT6qWpU1gR&#10;IKhuPDV1hitj9qnvD8PgDYHX6p3PKQ38L+rl21e8mbNK8SyVNPBkd3YVrTLiaEawVJYZLsyRuvuA&#10;/dD2uhAuPHp0cblhdF6Ibaub3DjEKldK1EjlDdT9CyNz2sNBwjs7oTFqJDRMuMfCJFx9XoMjP2b4&#10;yu6hxA4qabB/G/P3f8DcvsUcywp4EicYzSWV4jDW5FvO0/d7/67bvdBGigvNEylz4ISKybb8TERp&#10;0bV1P84Go0Ne90AZoxRkMb/N/BuEvMUDbv4pHvDyLt51ca+pmdu75mEmzUnqPFojGwFCb/ZOY6YD&#10;4NH9YLT9DpzygNCA8PiRrVKepBTUAmO5jGJW8RnzSfdd5fCe9EWvNuJYmzobZGkqRzr1KI8c69ec&#10;38qthNxV5q/Jc+M222nnxk+0ckJzJz/Ec4Y/2c+IbObksK0wFAeIh1ESLRdrvmALugSpcEwCTJeE&#10;xWvCEF0ywmElzBp8RRgdzYCjNexwtut4haLx+uThEASDBAyFhAVxBACIkiiM2SvVuz5gnJs/AAAA&#10;//8DAFBLAwQUAAYACAAAACEAC0DaGN4AAAAKAQAADwAAAGRycy9kb3ducmV2LnhtbEyPQU/DMAyF&#10;70j8h8hI3Fi6bpq60nRCCCTECTaQdswar43WOFWTteXf457gZj8/PX+v2E2uFQP2wXpSsFwkIJAq&#10;byzVCr4Orw8ZiBA1Gd16QgU/GGBX3t4UOjd+pE8c9rEWHEIh1wqaGLtcylA16HRY+A6Jb2ffOx15&#10;7Wtpej1yuGtlmiQb6bQl/tDoDp8brC77q1Nw+R7CcW3HDxvWaXcwm7f39OWo1P3d9PQIIuIU/8ww&#10;4zM6lMx08lcyQbQKsoyrRNZXqy2I2ZDOw2lWtgnIspD/K5S/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B6n75VyAQAACAMAAA4AAAAAAAAAAAAAAAAAPAIA&#10;AGRycy9lMm9Eb2MueG1sUEsBAi0AFAAGAAgAAAAhABdPwbb/AQAAzAQAABAAAAAAAAAAAAAAAAAA&#10;2gMAAGRycy9pbmsvaW5rMS54bWxQSwECLQAUAAYACAAAACEAC0DaGN4AAAAKAQAADwAAAAAAAAAA&#10;AAAAAAAHBgAAZHJzL2Rvd25yZXYueG1sUEsBAi0AFAAGAAgAAAAhAHkYvJ2/AAAAIQEAABkAAAAA&#10;AAAAAAAAAAAAEgcAAGRycy9fcmVscy9lMm9Eb2MueG1sLnJlbHNQSwUGAAAAAAYABgB4AQAACAgA&#10;AAAA&#10;">
                <v:imagedata r:id="rId11" o:title=""/>
              </v:shape>
            </w:pict>
          </mc:Fallback>
        </mc:AlternateContent>
      </w:r>
      <w:r w:rsidR="003B72AF">
        <w:t>This thesis is the result of the author’s personal research and conducted work. It has been composed by the author with all relevant research cited and has not been previously submitted for examination for the award of an honour’s degree. Confirmation of work:</w:t>
      </w:r>
    </w:p>
    <w:p w14:paraId="1E0BCA5E" w14:textId="6C3AE735" w:rsidR="003B72AF" w:rsidRDefault="005056C4" w:rsidP="003B72AF">
      <w:pPr>
        <w:spacing w:line="360" w:lineRule="auto"/>
        <w:jc w:val="both"/>
      </w:pPr>
      <w:r>
        <w:rPr>
          <w:noProof/>
        </w:rPr>
        <mc:AlternateContent>
          <mc:Choice Requires="wpi">
            <w:drawing>
              <wp:anchor distT="0" distB="0" distL="114300" distR="114300" simplePos="0" relativeHeight="251723776" behindDoc="0" locked="0" layoutInCell="1" allowOverlap="1" wp14:anchorId="332573E8" wp14:editId="60F77496">
                <wp:simplePos x="0" y="0"/>
                <wp:positionH relativeFrom="column">
                  <wp:posOffset>1395095</wp:posOffset>
                </wp:positionH>
                <wp:positionV relativeFrom="paragraph">
                  <wp:posOffset>-16510</wp:posOffset>
                </wp:positionV>
                <wp:extent cx="449580" cy="275590"/>
                <wp:effectExtent l="38100" t="38100" r="26670" b="48260"/>
                <wp:wrapNone/>
                <wp:docPr id="158" name="Ink 158"/>
                <wp:cNvGraphicFramePr/>
                <a:graphic xmlns:a="http://schemas.openxmlformats.org/drawingml/2006/main">
                  <a:graphicData uri="http://schemas.microsoft.com/office/word/2010/wordprocessingInk">
                    <w14:contentPart bwMode="auto" r:id="rId12">
                      <w14:nvContentPartPr>
                        <w14:cNvContentPartPr/>
                      </w14:nvContentPartPr>
                      <w14:xfrm>
                        <a:off x="0" y="0"/>
                        <a:ext cx="449580" cy="275590"/>
                      </w14:xfrm>
                    </w14:contentPart>
                  </a:graphicData>
                </a:graphic>
              </wp:anchor>
            </w:drawing>
          </mc:Choice>
          <mc:Fallback>
            <w:pict>
              <v:shape w14:anchorId="60841430" id="Ink 158" o:spid="_x0000_s1026" type="#_x0000_t75" style="position:absolute;margin-left:109.5pt;margin-top:-1.65pt;width:36.1pt;height:22.4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fpQJ0AQAACQMAAA4AAABkcnMvZTJvRG9jLnhtbJxSy27CMBC8V+o/&#10;WL6XEBpeEYFDUSUObTm0H2Acm1iNvdHaIfD3XQIUaFVV4mJ5d+TxzM5OZltbso1Cb8BlPO50OVNO&#10;Qm7cOuMf788PI858EC4XJTiV8Z3yfDa9v5s0Vap6UECZK2RE4nzaVBkvQqjSKPKyUFb4DlTKEagB&#10;rQhU4jrKUTTEbsuo1+0OogYwrxCk8p668wPIpy2/1kqGN629CqzMePIYDzgL7WXIGZ46q/Yy4tF0&#10;ItI1iqow8ihJ3KDICuNIwDfVXATBajS/qKyRCB506EiwEWhtpGr9kLO4+8PZwn3uXcWJrDGV4IJy&#10;YSkwnGbXArd8YUvOVs0L5JSOqAPwIyON5/8wDqLnIGtLeg6JoCpFoHXwhak8jTk1ecZxkcdn/W7z&#10;dHawxLOv12uAEomOlv96stVo98MmJWybcdq/3f5ss1TbwCQ1k2TcHxEiCeoN+/1xi5+YDwyn6mK0&#10;9PlViJf1XtjFBk+/AAAA//8DAFBLAwQUAAYACAAAACEApqUtCjcGAADIFQAAEAAAAGRycy9pbmsv&#10;aW5rMS54bWy8WFtvo0YUfq/U/zCiD3nJ2DCAsa119qmRKrXqqruV2kevTWJrbRxhcvv3PbcZzhgS&#10;VVVbRcFwLt/5zjdnMObDx5fjwTzV7Xl/alZJNkkTUzeb03bf3K+S37/c2nlizt262a4Pp6ZeJa/1&#10;Ofl48/13H/bNt+NhCUcDCM0Zz46HVbLruofldPr8/Dx5zien9n7q0jSf/tR8++Xn5EaytvXdvtl3&#10;UPLsTZtT09UvHYIt99tVsule0hAP2J9Pj+2mDm60tJs+omvXm/r21B7XXUDcrZumPphmfQTefySm&#10;e32Akz3Uua/bxBz30LB1k6yoivmPCzCsX1aJun4Eimdgckym45h//geYt0NMpJW7alYlRiht6yfk&#10;NCXNl2/3/qk9PdRtt697mVkUcbyaDV+TPixUW59Ph0dcm8Q8rQ+PIFmWpjAWUjubjggyxANt/lU8&#10;0OVNPE0ulkba0zqIaGGk/NJ2+2MNg358CDPWnQEYzZ+7lraDS11u09y62ZdsvnTV0hWTclGppZAp&#10;9phf28fzLuB9bft5JU9QjTt73m+7XRA9naSuDKprzcdyd/X+fte9myyNU3aYnZGdSONkpJPf6rtV&#10;8gNtRkOZbKBWZpUps8q4oqzK66viyhZX6XWS4t91auAPjhkc4R/PLZ7DwaGJLtgBp+iJMsi9oKNd&#10;UIadKSx0qJT+PCD2Jo+Llv/RTdy5f2YwVnsQNEb23SBWVdcRiH+UZXldbDazBcgFg04w+cLMRuX2&#10;dKG3t7Xl5RVof0Hrx5J4EPiUgRk2pSORUqgnnRNNtsMpnAQ64tEmNY7x6M2Rgc1DtmdGyQTEFi4k&#10;XlVA82Yl2cJVKlMBss2czYYlsCMGFKEcdSEXuktNAWsHtv6CCMGhZ315McxRklwGRzCYGROgatH8&#10;aYuc92nO4vZP6cjkMSSgyoUfw9iDTDiT60kw6EnDCjOLujpTLggPV9OZHG2wqJh8iY42WSfRkaMw&#10;zt+1SEa/sEg0cFNBlKAXCXwQWhghhruHTToIQsDusREutpA3WkZdZ5gsXk5TR7LDgQgriLAlMRbt&#10;gWVGmwCEDZyiQQwXbxTxLSlcOA1YoGBJFWXhZNQLW9BXg8nwozAZLuPCloRSmhJzUlvRJSg7p5Pc&#10;ZpWInOW4v2AKePnRzT3BGaaqlWQtoC4OB3TjOACPQRTqXakV1n0IxnlKv0jM0QsFzGqBASv6ceyr&#10;A0WwlwVl2AKaRZYw3ER2pCgHSuuDOpAGiSM1MTJ4Srn/Uzo7xB+FMZiYgCHJCd/XvMepB1Zd2Aoc&#10;OiKdL0ApkWLhgBdalTB85NDAssJioo84kU2Rn+ADJAnAjKm8RowlIxBuP4jQMxXalncQ2FHY6Iix&#10;7yD27ojCACIMJSWQm6shfRRu2IxqzJb0lVTCp+fHCT6bYmNTRIFL4NFnjFFAP/wTHR2rmHjSUpAz&#10;qCdtUQmsXbynKYtiSrrx+sVntN6r7WEMlZuoRjMRZO6jHKtmc7gzhf7AfXmuObNXLByJPUYc0Bsw&#10;vCzKJCUUrGT4rhgxKoUmEYxu7FCQH3Uklj7m8LQHcXAOxwXffUFftnGgKhrNLl/4OaEoOGAOo0mD&#10;sB1QKrjt8n2+71OvozTI6RHW8CI1dMfJTYb9gAJ9BxoyYga1IdbzI0zIp+8Q+GXHjUa7BsMjhFGG&#10;GMU142GhalG614SXSPwDTkiMCouH8QemCCy+0HJB3iUY08zmIho8WOHi4BDkqCJnXHQEBWRJ41KE&#10;HknqO5a6mMi/KRg32l2+VSKclZa++B0MFT0vF5mh5wJPCBsZpYU1orFkjjpvTgtbOfo5Y+cF/Kj0&#10;DXn20gpzoXBPzzfZE+BqetLknEIjL1kcPw9GA+KFooI6XSSS3QJuWh6vO4XDZqbnWmcLXrJeAkaK&#10;ZPZCYJB3qKp4imowMl9wivdEAnAYvAGAnJyfFjSAz6QwqSznWN8/xmNFH8q/NW1FYSWMAfjKmcGf&#10;S7Py2s5gi9uymGXRay//puXvvrSg9zm/3t2d626VLBb5pJwnNw4eGbMUnlv4Tcb8qsQXGTZLMniT&#10;EQnibx5EDu42ND85/7Bz8ACENzb0wQfn+eYoIcr249HHSqLL5OELRkN6L/DWOWy9f5V18xcAAAD/&#10;/wMAUEsDBBQABgAIAAAAIQAIMgq33wAAAAkBAAAPAAAAZHJzL2Rvd25yZXYueG1sTI/NTsMwEITv&#10;SLyDtUjcWjsuRSTEqUorJK4t5cDNjbdJVP9EsduEt2c50eNoRjPflKvJWXbFIXbBK8jmAhj6OpjO&#10;NwoOn++zF2AxaW+0DR4V/GCEVXV/V+rChNHv8LpPDaMSHwutoE2pLziPdYtOx3no0ZN3CoPTieTQ&#10;cDPokcqd5VKIZ+5052mh1T1uWqzP+4ujkc1utF/f57ePpZCiWzfb0yHfKvX4MK1fgSWc0n8Y/vAJ&#10;HSpiOoaLN5FZBTLL6UtSMFssgFFA5pkEdlTwlC2BVyW/fVD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lfpQJ0AQAACQMAAA4AAAAAAAAAAAAAAAAAPAIA&#10;AGRycy9lMm9Eb2MueG1sUEsBAi0AFAAGAAgAAAAhAKalLQo3BgAAyBUAABAAAAAAAAAAAAAAAAAA&#10;3AMAAGRycy9pbmsvaW5rMS54bWxQSwECLQAUAAYACAAAACEACDIKt98AAAAJAQAADwAAAAAAAAAA&#10;AAAAAABBCgAAZHJzL2Rvd25yZXYueG1sUEsBAi0AFAAGAAgAAAAhAHkYvJ2/AAAAIQEAABkAAAAA&#10;AAAAAAAAAAAATQsAAGRycy9fcmVscy9lMm9Eb2MueG1sLnJlbHNQSwUGAAAAAAYABgB4AQAAQwwA&#10;AAAA&#10;">
                <v:imagedata r:id="rId13" o:title=""/>
              </v:shape>
            </w:pict>
          </mc:Fallback>
        </mc:AlternateContent>
      </w:r>
      <w:r>
        <w:rPr>
          <w:noProof/>
        </w:rPr>
        <mc:AlternateContent>
          <mc:Choice Requires="wpi">
            <w:drawing>
              <wp:anchor distT="0" distB="0" distL="114300" distR="114300" simplePos="0" relativeHeight="251724800" behindDoc="0" locked="0" layoutInCell="1" allowOverlap="1" wp14:anchorId="6823792A" wp14:editId="10407962">
                <wp:simplePos x="0" y="0"/>
                <wp:positionH relativeFrom="column">
                  <wp:posOffset>1155065</wp:posOffset>
                </wp:positionH>
                <wp:positionV relativeFrom="paragraph">
                  <wp:posOffset>-64135</wp:posOffset>
                </wp:positionV>
                <wp:extent cx="690030" cy="323385"/>
                <wp:effectExtent l="38100" t="38100" r="34290" b="38735"/>
                <wp:wrapNone/>
                <wp:docPr id="160" name="Ink 160"/>
                <wp:cNvGraphicFramePr/>
                <a:graphic xmlns:a="http://schemas.openxmlformats.org/drawingml/2006/main">
                  <a:graphicData uri="http://schemas.microsoft.com/office/word/2010/wordprocessingInk">
                    <w14:contentPart bwMode="auto" r:id="rId14">
                      <w14:nvContentPartPr>
                        <w14:cNvContentPartPr/>
                      </w14:nvContentPartPr>
                      <w14:xfrm>
                        <a:off x="0" y="0"/>
                        <a:ext cx="690030" cy="323385"/>
                      </w14:xfrm>
                    </w14:contentPart>
                  </a:graphicData>
                </a:graphic>
              </wp:anchor>
            </w:drawing>
          </mc:Choice>
          <mc:Fallback>
            <w:pict>
              <v:shape w14:anchorId="4A00E0BA" id="Ink 160" o:spid="_x0000_s1026" type="#_x0000_t75" style="position:absolute;margin-left:90.6pt;margin-top:-5.4pt;width:55.05pt;height:26.1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DULt4AQAACQMAAA4AAABkcnMvZTJvRG9jLnhtbJxSXU/CMBR9N/E/&#10;NH2XbQwRFgYPEhMeVB70B9SuZY1r73JbGPx77wYIaIwJL8ttz3p6PjqZbW3FNgq9AZfzpBdzppyE&#10;wrhVzt/fnu5GnPkgXCEqcCrnO+X5bHp7M2nqTPWhhKpQyIjE+aypc16GUGdR5GWprPA9qJUjUANa&#10;EWiJq6hA0RC7raJ+HA+jBrCoEaTynnbne5BPO36tlQyvWnsVWJXzQZqMOQvt0B9yhjQ8DEjwBw2D&#10;8ZBH04nIVijq0siDJHGFIiuMIwHfVHMRBFuj+UVljUTwoENPgo1AayNV54ecJfEPZwv32bpKBnKN&#10;mQQXlAtLgeGYXQdcc4WtKIHmGQpqR6wD8AMjxfN/GXvRc5BrS3r2jaCqRKDn4EtTe4o5M0XOcVEk&#10;J/1u83hysMSTr5dLgBqJDpb/OrLVaNuwSQnb5pzq3LXfrku1DUzS5nAcxykhkqC0n6aj+xY/Mu8Z&#10;jquzaOmXixLP1+3xsxc8/QIAAP//AwBQSwMEFAAGAAgAAAAhAD0xbiGiBwAANRsAABAAAABkcnMv&#10;aW5rL2luazEueG1sxFlLb+M2EL4X6H8g1EMuS1vUw5KDdfbUBQq0aNHdAu3R6yiJsX4EtrLJ/vvO&#10;NzOkSFve5tCiF4acxzczH0cUrbx997LdmC/d4bje7xaZm+SZ6Xar/e16d7/I/vj43raZOfbL3e1y&#10;s991i+xrd8ze3Xz/3dv17vN2c02jIYTdEbPtZpE99P3j9XT6/Pw8eS4n+8P9tMjzcvrT7vMvP2c3&#10;6nXb3a13655CHr1otd/13UsPsOv17SJb9S95sCfsD/unw6oLakgOq8GiPyxX3fv9YbvsA+LDcrfr&#10;Nma33FLef2am//pIkzXFue8OmdmuqWBbTFzVVO2PcxIsXxZZtH6iFI+UyTabjmP+9R9gvj/HRFpl&#10;0cyazGhKt90X5DRlzq8v1/7bYf/YHfp1N9AspKjiq1nJmvkRog7dcb95wt5k5sty80SUuTynttDY&#10;bjpCyDkecfOv4hEvF/Hi5FJqtLyYByUttJTf2n697ajRt4+hx/ojAUP8oT/w41DkRWnz0hazj669&#10;LpprN5s0dRlthXaxx/x0eDo+BLxPh6FfWRNYk8qe17f9QyA9n+RFHViPOR/zfejW9w/9N521cPYO&#10;vTPyJHI7Ga3k9+5ukf3AD6NhTxFwKc7MnCmquqnfXOVXdemu8jdZntm6qLL8jTPO0GgxYsCCRTmL&#10;REJSkssYTOExNw6a1sxpLEtTFvTXloUta0zczLqGJuKTx7g+IFC8eggSB/dZsYfkkIhczbjWtRbR&#10;xTWOJT46KgrCekuEtZKDlK6LxC9iQPwIaMhdE4pjnOqHiIUFObltQw5qq8BUBTQ8KrCtbVkhTaIY&#10;ytYUJZZx1okDRQMG3LGtnGkMqPpXiTSH17pISI486gJ9Sj1nodQX0iSSvswZSjZU6k0KkrI9IIOr&#10;M7NswFPaYLDxxIElrS+mXUElMS3lNO/GYANtax03PamBq7F5zo6KHisUndUyj7VhU4GhpoIaOaQQ&#10;5K4VaTRPByBczs+FdXQKAPEchdHVMzDMrrHGOyJYkqP3jI2DQWIteeKscHaGXMRFmefEyJE7nBYl&#10;zCWqdMUsqApkp3FRXTAM7jVtCz8ihZlhn0ozr6wrZzUFLW1dzVzyXvavgteeqvzC+fXu7tj1i6xp&#10;q3JSN9lNQw/prJr707a6spUctjmdtFKs9nGSMu/LSUdy7WIVnTNz4YgioP7Z+XPtgzAj7E5AA1f/&#10;q5pz14P5YmpnRnHKvpZvGsV9GjtflAvLFzC1kfEq4wO4oFca2mluhgZOogjat3cmec34RURJCsit&#10;cJaecCGWUFJSXjQ4iITUEPkFQ6WiiAJR+AzkHcVnqBaGQPFhLJaCrV5RgJh0PYUjbWNwO6AnlZ7M&#10;kKAPLYEw6h7IIaAL7SMGEw9fXkQFtMBlKxpoeWHBZmzsfaTc13mmCbBP3OcxCX6OgOJW6LUFj3RS&#10;g6h9Pj6TwZEkKEiOd4mnxsQnNyv1LHgtTI0zN+cXVmHongYvPl5P0QeGJLqEUM4luxHmfW7sHREX&#10;m4pzZTQxPD2X8DxHgJM0vESK5zAak/+8nuwYjlwHJM8f40limIYs6bVEcyI25JQ0YlhIhjyyLQ3s&#10;kjgKRdFIHSoXZt04bfXKVtIVfMWojMM2zm0NeLpE1nKPbHhJzLY8KenOrSS7Es8XdYFsP9RSE81o&#10;nm4P0qS4KJOq4TesmIXdjwvBPDxX52CQoGRY8fjPC2VoCEKCIUqcK6VIuDW9zxGlomLxl44q/JFw&#10;MvqFGIrMtxJ8/RyOMidLKNLK2L3W858XCTwkAYBmNFcRbhxY0fsa++jDcWi1UziIEp5PQNmFbWnA&#10;QjJMulYWpBywlLU4p9SRNd5FF4A/6WeIzrNPKWNvKT+QAL/AJePKE0RTICbjEMOXeEEdF3UOkYQT&#10;tURTRtPncQiqVNb8SqrlJxonIA7eG3+ppTF6UZIm6jqJd0E0lhujj+yjIGrhmgJgkz2JnEWuXiyv&#10;+eD1m8++kregqS/koQ2HAL6gyCrQPFgVwhp++8tPryhKzJGiEKjvgAhXt0HgfdzIe0REYU6oAB6J&#10;fLWIpKIRwvhgp6LlqqO2/Ic+KAyvKfrUIaeoE5kYxrXwnAZo/AZEVqohCacj1vItgI7d4e2v5UQw&#10;sSTwDuSRBf26AXxpHOohg6GCtH2izCg2pxQdLOTP7xD6iiaGZ+n4Z4DrGM0QoNrLUqyULraJuyhg&#10;xC4Yg4gmQ52JZsT4TB9gWOPTACYJ4jCDnr4jCWl0seKXMjVBCRbF46QiTm8E6pxSX7Eaw1F+Uwhu&#10;cuIqFbK/jn7LovUKaiq+L1fO8L3AJ4TcR9PiOuOiSRAVgnnLG9vQr2Ra2Lbi3+ViRo4A8AvGOSkC&#10;CJpr3F0jcwnMGKplSSH3wdDIAPQxzoyVIn1aSC13JgZSHT6QIenCVrJlWMQPfUIzRYOay/SKKCqm&#10;yIdFuhAXr9HQAiNmDWdVym0hBvCebCaLODF/jUdEbyq/NW3DLjW1AenqmcHPJfqQYfFh41/+lNG2&#10;ZTNxs+xmThfSghpNPxy3VzW+ZFiXOXw0llKlOn96sIyeHD5wSvllV9ANCCcbdIFJXx07JN6ej8FW&#10;HQunty/qDS2+snR2nn/GGf5vcPM3AAAA//8DAFBLAwQUAAYACAAAACEAiYILZ9wAAAAKAQAADwAA&#10;AGRycy9kb3ducmV2LnhtbEyPy07DMBBF90j8gzVI7FrbKaAS4lQIqUsk0vYDpsk0iYgfjZ02/XuG&#10;FSyv5ujOucVmtoO40Bh77wzopQJBrvZN71oDh/12sQYRE7oGB+/IwI0ibMr7uwLzxl9dRZddagWX&#10;uJijgS6lkEsZ644sxqUP5Ph28qPFxHFsZTPilcvtIDOlXqTF3vGHDgN9dFR/7yZrYNKfXvvtGatb&#10;tTqcVDh/BUJjHh/m9zcQieb0B8OvPqtDyU5HP7kmioHzWmeMGlhoxRuYyF71CsTRwJN+BlkW8v+E&#10;8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EQ1C7eAEA&#10;AAkDAAAOAAAAAAAAAAAAAAAAADwCAABkcnMvZTJvRG9jLnhtbFBLAQItABQABgAIAAAAIQA9MW4h&#10;ogcAADUbAAAQAAAAAAAAAAAAAAAAAOADAABkcnMvaW5rL2luazEueG1sUEsBAi0AFAAGAAgAAAAh&#10;AImCC2fcAAAACgEAAA8AAAAAAAAAAAAAAAAAsAsAAGRycy9kb3ducmV2LnhtbFBLAQItABQABgAI&#10;AAAAIQB5GLydvwAAACEBAAAZAAAAAAAAAAAAAAAAALkMAABkcnMvX3JlbHMvZTJvRG9jLnhtbC5y&#10;ZWxzUEsFBgAAAAAGAAYAeAEAAK8NAAAAAA==&#10;">
                <v:imagedata r:id="rId15" o:title=""/>
              </v:shape>
            </w:pict>
          </mc:Fallback>
        </mc:AlternateContent>
      </w:r>
      <w:r>
        <w:rPr>
          <w:noProof/>
        </w:rPr>
        <mc:AlternateContent>
          <mc:Choice Requires="wpi">
            <w:drawing>
              <wp:anchor distT="0" distB="0" distL="114300" distR="114300" simplePos="0" relativeHeight="251719680" behindDoc="0" locked="0" layoutInCell="1" allowOverlap="1" wp14:anchorId="7D69A0B7" wp14:editId="0D0FE958">
                <wp:simplePos x="0" y="0"/>
                <wp:positionH relativeFrom="column">
                  <wp:posOffset>907128</wp:posOffset>
                </wp:positionH>
                <wp:positionV relativeFrom="paragraph">
                  <wp:posOffset>51928</wp:posOffset>
                </wp:positionV>
                <wp:extent cx="360" cy="7560"/>
                <wp:effectExtent l="38100" t="38100" r="38100" b="31115"/>
                <wp:wrapNone/>
                <wp:docPr id="139" name="Ink 139"/>
                <wp:cNvGraphicFramePr/>
                <a:graphic xmlns:a="http://schemas.openxmlformats.org/drawingml/2006/main">
                  <a:graphicData uri="http://schemas.microsoft.com/office/word/2010/wordprocessingInk">
                    <w14:contentPart bwMode="auto" r:id="rId16">
                      <w14:nvContentPartPr>
                        <w14:cNvContentPartPr/>
                      </w14:nvContentPartPr>
                      <w14:xfrm>
                        <a:off x="0" y="0"/>
                        <a:ext cx="360" cy="7560"/>
                      </w14:xfrm>
                    </w14:contentPart>
                  </a:graphicData>
                </a:graphic>
              </wp:anchor>
            </w:drawing>
          </mc:Choice>
          <mc:Fallback>
            <w:pict>
              <v:shape w14:anchorId="48C5628C" id="Ink 139" o:spid="_x0000_s1026" type="#_x0000_t75" style="position:absolute;margin-left:71.1pt;margin-top:3.75pt;width:.75pt;height:1.3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iP0JwAQAABAMAAA4AAABkcnMvZTJvRG9jLnhtbJxSy07DMBC8I/EP&#10;lu806ZMSNe2BCqkHoAf4AOPYjUXsjdZOk/4927SlKQgh9WKtZ+XZmR3PFo0t2FahN+BS3u/FnCkn&#10;ITNuk/L3t6e7KWc+CJeJApxK+U55vpjf3szqMlEDyKHIFDIicT6py5TnIZRJFHmZKyt8D0rlqKkB&#10;rQh0xU2UoaiJ3RbRII4nUQ2YlQhSeU/o8tDk85ZfayXDq9ZeBVakfDQckLxwKpCKyZSQDyqmD2Me&#10;zWci2aAocyOPksQViqwwjgR8Uy1FEKxC84vKGongQYeeBBuB1kaq1g8568c/nK3c595VfyQrTCS4&#10;oFxYCwyn3bWNa0bYgjZQP0NG6YgqAD8y0nr+D+MgegmysqTnkAiqQgT6Dj43pecME5OlHFdZ/6zf&#10;bR/PDtZ49vVy2aBEoqPlv540Gu1+2aSENSmnOHf7s81SNYFJAocTgiXh92OqOqSHx6cRna3S3Iv8&#10;uve9ps7nnX8BAAD//wMAUEsDBBQABgAIAAAAIQC5Hm/Q0AEAAHYEAAAQAAAAZHJzL2luay9pbmsx&#10;LnhtbLSTwW6jMBCG75X2HazZQy4BbJOUFJX0tJEqdaVq25V2jxTcYBVMZExI3n4HQxyqpnvavSAz&#10;9vwz8/n37d2hKsle6EbWKgHmUyBCZXUu1TaBn88bbwWkManK07JWIoGjaOBu/eXqVqq3qozxS1BB&#10;Nf2qKhMojNnFQdB1nd+Ffq23Aac0DO7V2/cHWI9ZuXiVShos2ZxCWa2MOJheLJZ5Apk5UHcetZ/q&#10;VmfCbfcRnZ1PGJ1mYlPrKjVOsUiVEiVRaYV9/wJijjtcSKyzFRpIJXFgj/tsES1W324wkB4SmPy3&#10;2GKDnVQQXNb8/R80Nx81+7ZCHl1HQMaWcrHvewos8/jz2R91vRPaSHHGPEAZN44kG/4tnwGUFk1d&#10;tv3dANmnZYvIGKVoi7E2Cy4A+aiHbP6pHnL5VG/a3Hs043hTDiM0Z6nT1RpZCTR6tXMeMw0K9+En&#10;o+1z4JSHHg09fv3MVjGPYhb6EQ8nVzG6+KT5otumcHov+uxXu+OoDZN1MjeFg059ypeO+pT5pdxC&#10;yG1h/po8Dm6znXcuvERrJzJO8kO8JvDVPkZiM4eAHYUSRvhiGS3nMzoLZ3QOFJZA5xj3VuyGvfOn&#10;q4jg138AAAD//wMAUEsDBBQABgAIAAAAIQAJnd6/3QAAAAgBAAAPAAAAZHJzL2Rvd25yZXYueG1s&#10;TI/NTsMwEITvSLyDtUjcqN1QSJvGqVClckRQeuHmxJs4Il5HsfPD2+Oe4LajGc1+kx8W27EJB986&#10;krBeCWBIldMtNRIun6eHLTAfFGnVOUIJP+jhUNze5CrTbqYPnM6hYbGEfKYkmBD6jHNfGbTKr1yP&#10;FL3aDVaFKIeG60HNsdx2PBHimVvVUvxgVI9Hg9X3ebQSTvXl+PU2v6djW65r0U87U73upLy/W172&#10;wAIu4S8MV/yIDkVkKt1I2rMu6k2SxKiE9AnY1d88psDKeIgEeJHz/wOKX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Roj9CcAEAAAQDAAAOAAAAAAAAAAAA&#10;AAAAADwCAABkcnMvZTJvRG9jLnhtbFBLAQItABQABgAIAAAAIQC5Hm/Q0AEAAHYEAAAQAAAAAAAA&#10;AAAAAAAAANgDAABkcnMvaW5rL2luazEueG1sUEsBAi0AFAAGAAgAAAAhAAmd3r/dAAAACAEAAA8A&#10;AAAAAAAAAAAAAAAA1gUAAGRycy9kb3ducmV2LnhtbFBLAQItABQABgAIAAAAIQB5GLydvwAAACEB&#10;AAAZAAAAAAAAAAAAAAAAAOAGAABkcnMvX3JlbHMvZTJvRG9jLnhtbC5yZWxzUEsFBgAAAAAGAAYA&#10;eAEAANYHAAAAAA==&#10;">
                <v:imagedata r:id="rId17" o:title=""/>
              </v:shape>
            </w:pict>
          </mc:Fallback>
        </mc:AlternateContent>
      </w:r>
      <w:r>
        <w:rPr>
          <w:noProof/>
        </w:rPr>
        <mc:AlternateContent>
          <mc:Choice Requires="wpi">
            <w:drawing>
              <wp:anchor distT="0" distB="0" distL="114300" distR="114300" simplePos="0" relativeHeight="251718656" behindDoc="0" locked="0" layoutInCell="1" allowOverlap="1" wp14:anchorId="098A5042" wp14:editId="11145E70">
                <wp:simplePos x="0" y="0"/>
                <wp:positionH relativeFrom="column">
                  <wp:posOffset>691488</wp:posOffset>
                </wp:positionH>
                <wp:positionV relativeFrom="paragraph">
                  <wp:posOffset>131488</wp:posOffset>
                </wp:positionV>
                <wp:extent cx="334080" cy="118080"/>
                <wp:effectExtent l="38100" t="38100" r="46990" b="34925"/>
                <wp:wrapNone/>
                <wp:docPr id="136" name="Ink 136"/>
                <wp:cNvGraphicFramePr/>
                <a:graphic xmlns:a="http://schemas.openxmlformats.org/drawingml/2006/main">
                  <a:graphicData uri="http://schemas.microsoft.com/office/word/2010/wordprocessingInk">
                    <w14:contentPart bwMode="auto" r:id="rId18">
                      <w14:nvContentPartPr>
                        <w14:cNvContentPartPr/>
                      </w14:nvContentPartPr>
                      <w14:xfrm>
                        <a:off x="0" y="0"/>
                        <a:ext cx="334080" cy="118080"/>
                      </w14:xfrm>
                    </w14:contentPart>
                  </a:graphicData>
                </a:graphic>
              </wp:anchor>
            </w:drawing>
          </mc:Choice>
          <mc:Fallback>
            <w:pict>
              <v:shape w14:anchorId="10DB5484" id="Ink 136" o:spid="_x0000_s1026" type="#_x0000_t75" style="position:absolute;margin-left:54.1pt;margin-top:10pt;width:27pt;height:10.0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yGiRzAQAACQMAAA4AAABkcnMvZTJvRG9jLnhtbJxSy07DMBC8I/EP&#10;lu80jxbURk16oELqAegBPsA4dmMRe6O127R/z6YPmoIQUi/WekeendnxdLa1Ndso9AZczpNBzJly&#10;EkrjVjl/f3u6G3Pmg3ClqMGpnO+U57Pi9mbaNplKoYK6VMiIxPmsbXJehdBkUeRlpazwA2iUI1AD&#10;WhHoiquoRNESu62jNI4fohawbBCk8p668wPIiz2/1kqGV629CqzO+WiYkrxwKrArJtT5oGKS3vOo&#10;mIpshaKpjDxKElcossI4EvBNNRdBsDWaX1TWSAQPOgwk2Ai0NlLt/ZCzJP7hbOE+O1fJSK4xk+CC&#10;cmEpMJx2tweuGWFr2kD7DCWlI9YB+JGR1vN/GAfRc5BrS3oOiaCqRaDv4CvTeM4wM2XOcVEmZ/1u&#10;83h2sMSzr5dLgBKJjpb/erLVaLtlkxK2zTnFuevOfZZqG5ik5nA4iseESIKSZNzVPeYDw2lOb7U0&#10;/CLE/r0T1vvBxRcAAAD//wMAUEsDBBQABgAIAAAAIQA9HzPlBAYAAGQVAAAQAAAAZHJzL2luay9p&#10;bmsxLnhtbLRYW2/iRhR+r9T/MHIf8pIBjy+YoCX71EiVWqnqbqX2kQVvsBZMZExI/n3PbcZnwFR9&#10;2ErRxHMu3/nONxcDHz6+7Xfmte6OzaFdJm6SJqZu14dN0z4vkz8/P9l5Yo79qt2sdoe2Xibv9TH5&#10;+PjjDx+a9tt+t4DRAEJ7xKf9bpls+/5lMZ2ez+fJOZ8cuudplqb59Jf222+/Jo+Stam/Nm3TQ8mj&#10;N60PbV+/9Qi2aDbLZN2/pSEesD8dTt26Dm60dOshou9W6/rp0O1XfUDcrtq23pl2tQfefyWmf3+B&#10;hwbqPNddYvYNNGyziSuqYv7zAxhWb8tEzU9A8QhM9sl0HPPv/wHz6RoTaeVZNasSI5Q29StympLm&#10;i9u9/94dXuqub+pBZhZFHO9mzXPSh4Xq6uNhd8K1SczrancCyVyawraQ2m46Isg1HmjzXfFAl5t4&#10;mlwsjbSndRDRwpbyS9s3+xo2+v4l7LH+CMBo/tR3dByyNMttmtts9tnNF1m1cPkkK0u1FLKLPeaX&#10;7nTcBrwv3bBfyRNU487OzabfBtHTSZqVQXWt+Vjutm6et/2/JkvjlB32zshJpO1kpJM/6q/L5Cc6&#10;jIYy2UCtPBg3m5msKKvy/s7dWXeX3ifW4V96nxpnYLQ4Onq2jibsAHNwg5mjBpNkUxBmEcjg9oAM&#10;IiNi+HoYKnlSj2pHppxMpbNzDM6cKShpbmc057zcPGgooqDqcUsRLIRABhPRbYhdUba56KIB6VkA&#10;RSRWUiXGUEq7KEbrgc/QF/ZSWTdO0FdDrxDINBuuylERwWDCKnoFYp5UlQD1RoiQClNi8cJWA4eA&#10;jvk8YVyfif/9dlPw4pYloKAIikHCAiLI+ORWXa0N7yVnQTCvXVxMSCJWzF5QyF9ZXKA8tSXG2Xxu&#10;SjSwpBBBjV4hRXjRxHkdHfJil9bDW+C/F/AKXcr6JeNQHEcckelygjn+3ILPV4w0hxiMIrfky63h&#10;MzlAKYGxl8ixUljLRxHy9amEdZOogRhz0XJpWDhMdIwqui0kltAlilixnRnq56gpdgvDwtBtVFiX&#10;U1eQ5clrAH6OLhndmiISSikkIXSVoZuVCtcL4g84KhWudATnDN8NgcNdg1FzUleqEiLawRMFc/Ww&#10;+AyJ+b7NoQiXis7Ff4OK1OCCkQkmeANl1mFhPM6hvgUjnUZDpwmWGd8TcOTxbMFJxVlpKlo+B/cB&#10;2aFP2iZ66zBTaYGUgdWmi6M08BbyB8MHIIMgCruJlKIm68YWNd5OU8lMTRZEF+VnZhsWeiDgHape&#10;nPFdHFgPFKTlgCOHC2Af4MWJu4Le0zNb4gzfpaihswWugDMzfpsrEkzYbyZuhEbapLpzjsS1I0QO&#10;hQB/SSr1Cr7yS/nwcCtDSuhyClV7FWFNydPmHjEXk4jS9ajLKNqqjM+lSCIdDhMmsBvi0R/vIgUC&#10;kUQA9c/43vK46IBI2s6wdzJ8n3O4juCaXEXWD979vMgXtRFQp0bcGHlkHCGLQBKpvDd7DA7Oi/QY&#10;oJgZ4gX0kIgpUpDcsWOMw1DKr/oAGyPhboBr6aICx4QjOyTndGT85QZvmAzPEysdl0JI7oZHae3C&#10;xFF8wVm6DjU9fuYUT4kVUDLpLeCLUEMwEDxN5IKT56EhXQKdQQh5pgRxXLfpHRQV3aFiQTy4RmCU&#10;N0GUAZOBoajNJgmLJR3IeTtm87PH5VqaPNMqaOHkk7twcXAN4h0HCHQr5qmZ4TGT7AhKKeNL4X88&#10;okRCB3O+zelrEZxKFRdvXQYlnDHxBmDoHHmq0ZMYM3E9ghUqsc6KsfdLMGcqTO+P1on8kYfXIFo6&#10;7pTbAr0JGQ4byavKMIzuTCsRySXwhcG3FvyEEKD0bmA8HkUjrhomDj+eQAp/QVIqefrKxLzGOFIj&#10;FMl8Z4bwcvj+UYVNgVuadpOTXQpZwYLJOIH/4PaagwXbCRaCQK+3SFaKmkKhwsDnrVLgMRFVQWiB&#10;pFOFJJAKIl+89sBAJkmhRB2FfkqEdLAPflkmyWMQwrqByOmBBEfxJ5DUwneAqppHv8aF31fgZ6bH&#10;fwAAAP//AwBQSwMEFAAGAAgAAAAhAPoTze/cAAAACQEAAA8AAABkcnMvZG93bnJldi54bWxMj01L&#10;w0AQhu+C/2EZwZvdbZASYjalBBUheEhb79vsmASzsyG7bdP+eqcnPb4zD+9Hvp7dIE44hd6ThuVC&#10;gUBqvO2p1bDfvT2lIEI0ZM3gCTVcMMC6uL/LTWb9mWo8bWMr2IRCZjR0MY6ZlKHp0Jmw8CMS/779&#10;5ExkObXSTubM5m6QiVIr6UxPnNCZEcsOm5/t0WnYVFHWKe2q62f1Lr8+rmVdvl60fnyYNy8gIs7x&#10;D4Zbfa4OBXc6+CPZIAbWKk0Y1cAxIG7AKuHDQcOzWoIscvl/QfE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fLIaJHMBAAAJAwAADgAAAAAAAAAAAAAAAAA8&#10;AgAAZHJzL2Uyb0RvYy54bWxQSwECLQAUAAYACAAAACEAPR8z5QQGAABkFQAAEAAAAAAAAAAAAAAA&#10;AADbAwAAZHJzL2luay9pbmsxLnhtbFBLAQItABQABgAIAAAAIQD6E83v3AAAAAkBAAAPAAAAAAAA&#10;AAAAAAAAAA0KAABkcnMvZG93bnJldi54bWxQSwECLQAUAAYACAAAACEAeRi8nb8AAAAhAQAAGQAA&#10;AAAAAAAAAAAAAAAWCwAAZHJzL19yZWxzL2Uyb0RvYy54bWwucmVsc1BLBQYAAAAABgAGAHgBAAAM&#10;DAAAAAA=&#10;">
                <v:imagedata r:id="rId19" o:title=""/>
              </v:shape>
            </w:pict>
          </mc:Fallback>
        </mc:AlternateContent>
      </w:r>
      <w:r>
        <w:rPr>
          <w:noProof/>
        </w:rPr>
        <mc:AlternateContent>
          <mc:Choice Requires="wpi">
            <w:drawing>
              <wp:anchor distT="0" distB="0" distL="114300" distR="114300" simplePos="0" relativeHeight="251717632" behindDoc="0" locked="0" layoutInCell="1" allowOverlap="1" wp14:anchorId="60D74D6A" wp14:editId="3B770161">
                <wp:simplePos x="0" y="0"/>
                <wp:positionH relativeFrom="column">
                  <wp:posOffset>598608</wp:posOffset>
                </wp:positionH>
                <wp:positionV relativeFrom="paragraph">
                  <wp:posOffset>8008</wp:posOffset>
                </wp:positionV>
                <wp:extent cx="82440" cy="207720"/>
                <wp:effectExtent l="38100" t="38100" r="32385" b="40005"/>
                <wp:wrapNone/>
                <wp:docPr id="130" name="Ink 130"/>
                <wp:cNvGraphicFramePr/>
                <a:graphic xmlns:a="http://schemas.openxmlformats.org/drawingml/2006/main">
                  <a:graphicData uri="http://schemas.microsoft.com/office/word/2010/wordprocessingInk">
                    <w14:contentPart bwMode="auto" r:id="rId20">
                      <w14:nvContentPartPr>
                        <w14:cNvContentPartPr/>
                      </w14:nvContentPartPr>
                      <w14:xfrm>
                        <a:off x="0" y="0"/>
                        <a:ext cx="82440" cy="207720"/>
                      </w14:xfrm>
                    </w14:contentPart>
                  </a:graphicData>
                </a:graphic>
              </wp:anchor>
            </w:drawing>
          </mc:Choice>
          <mc:Fallback>
            <w:pict>
              <v:shape w14:anchorId="0D90034D" id="Ink 130" o:spid="_x0000_s1026" type="#_x0000_t75" style="position:absolute;margin-left:46.8pt;margin-top:.3pt;width:7.2pt;height:17.0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xS/Z0AQAACAMAAA4AAABkcnMvZTJvRG9jLnhtbJxSy07DMBC8I/EP&#10;lu80aUihRE17oELqAegBPsA4dmMRe6O107R/z6YPmoIQUi+WvSPPzuzsZLaxFVsr9AZczoeDmDPl&#10;JBTGrXL+/vZ0M+bMB+EKUYFTOd8qz2fT66tJW2cqgRKqQiEjEuezts55GUKdRZGXpbLCD6BWjkAN&#10;aEWgJ66iAkVL7LaKkji+i1rAokaQynuqzvcgn+74tVYyvGrtVWBVztPbhOSF4wXpMk5HnH10lYcR&#10;j6YTka1Q1KWRB0niAkVWGEcCvqnmIgjWoPlFZY1E8KDDQIKNQGsj1c4PORvGP5wt3GfnapjKBjMJ&#10;LigXlgLDcXY74JIWtqIJtM9QUDqiCcAPjDSe/8PYi56DbCzp2SeCqhKB1sGXpvacYWaKnOOiGJ70&#10;u/XjycEST75ezgFKJDpY/uvLRqPthk1K2CbnFPC2O3dZqk1gkorjJE0JkIQk8f09bUGPeE9wbNOb&#10;LPU+y7D/7nT1Fnj6BQAA//8DAFBLAwQUAAYACAAAACEAYjJNxE8CAAAkBgAAEAAAAGRycy9pbmsv&#10;aW5rMS54bWy0VMuOmzAU3VfqP1juIpsY/BggQUNm1UiVWqnqTKV2yYAnoAETGef1970YQ4iSdNUu&#10;Yuz7OPfc4+s8Ph3rCu2lbstGJZh5FCOpsiYv1SbBP1/WZIFRa1KVp1WjZIJPssVPq48fHkv1Xlcx&#10;rAgQVNvt6irBhTHb2PcPh4N3EF6jNz6nVPhf1Pu3r3jlsnL5VqrSQMl2MGWNMvJoOrC4zBOcmSMd&#10;4wH7udnpTI7uzqKzc4TRaSbXja5TMyIWqVKyQiqtgfcvjMxpC5sS6mykxqguoWHCPfYQPSw+L8GQ&#10;HhM8Oe+AYgtMauzfxvz9HzDX15gdLcGjMMLIUcrlvuPkW83j+71/181WalPKs8y9KM5xQll/tvr0&#10;QmnZNtWuuxuM9mm1A8kYpTAWrjbzbwhyjQfa/FM80OUu3pTcpTSuvakOTrRxpIarNWUtYdDr7Thj&#10;pgXgzvxstH0OnHJBqCA8fGGLmEcxDTwRislVuCkeMF/1ri1GvFd9nlfrGVXrOzuUuSlG0alHeTCq&#10;PtX8Vm4hy01h/prsGrfZ4+zceIl2nJDr5Id8S/An+xiRzewNthXOI8QQfwiiYD7jMyaWMzrHJMAs&#10;oJjOOeELiugcfrASRpg92NXuYbk4nIOHFJdJEROQyzhhi+7rzPZDr2Ah+lzvInY4XKUMjh7xLu6E&#10;4BVEX9WxsV4SEg5EQiRQOB9odhCX1Wxsr4TTqPf3GkzXXkGIh4D5IGcH2EHAh08bJ5xYrQBTUOFq&#10;OuS+JIyxJQMzHQZ8efFvMs4HPJPVHwAAAP//AwBQSwMEFAAGAAgAAAAhANVcYvneAAAABgEAAA8A&#10;AABkcnMvZG93bnJldi54bWxMj8FOwzAQRO9I/IO1SFxQ60BKKSGbChA9VQKRInF1YzeOiNeR7baB&#10;r2d7gstIqxnNvC2Xo+vFwYTYeUK4nmYgDDVed9QifGxWkwWImBRp1XsyCN8mwrI6PytVof2R3s2h&#10;Tq3gEoqFQrApDYWUsbHGqTj1gyH2dj44lfgMrdRBHbnc9fImy+bSqY54warBPFvTfNV7h/C0C7Z+&#10;uY3rz9duNYuZpbernxzx8mJ8fACRzJj+wnDCZ3SomGnr96Sj6BHu8zknEVhPbrbgz7YI+ewOZFXK&#10;//jVL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78Uv2&#10;dAEAAAgDAAAOAAAAAAAAAAAAAAAAADwCAABkcnMvZTJvRG9jLnhtbFBLAQItABQABgAIAAAAIQBi&#10;Mk3ETwIAACQGAAAQAAAAAAAAAAAAAAAAANwDAABkcnMvaW5rL2luazEueG1sUEsBAi0AFAAGAAgA&#10;AAAhANVcYvneAAAABgEAAA8AAAAAAAAAAAAAAAAAWQYAAGRycy9kb3ducmV2LnhtbFBLAQItABQA&#10;BgAIAAAAIQB5GLydvwAAACEBAAAZAAAAAAAAAAAAAAAAAGQHAABkcnMvX3JlbHMvZTJvRG9jLnht&#10;bC5yZWxzUEsFBgAAAAAGAAYAeAEAAFoIAAAAAA==&#10;">
                <v:imagedata r:id="rId21" o:title=""/>
              </v:shape>
            </w:pict>
          </mc:Fallback>
        </mc:AlternateContent>
      </w:r>
      <w:r w:rsidR="003B72AF">
        <w:t xml:space="preserve"> Signed:</w:t>
      </w:r>
      <w:r>
        <w:t xml:space="preserve"> </w:t>
      </w:r>
    </w:p>
    <w:p w14:paraId="02B3D061" w14:textId="5ECC3678" w:rsidR="00001558" w:rsidRDefault="005056C4" w:rsidP="003B72AF">
      <w:pPr>
        <w:spacing w:line="360" w:lineRule="auto"/>
        <w:jc w:val="both"/>
      </w:pPr>
      <w:r>
        <w:rPr>
          <w:noProof/>
        </w:rPr>
        <mc:AlternateContent>
          <mc:Choice Requires="wpi">
            <w:drawing>
              <wp:anchor distT="0" distB="0" distL="114300" distR="114300" simplePos="0" relativeHeight="251738112" behindDoc="0" locked="0" layoutInCell="1" allowOverlap="1" wp14:anchorId="0A1C4C59" wp14:editId="69F419C6">
                <wp:simplePos x="0" y="0"/>
                <wp:positionH relativeFrom="column">
                  <wp:posOffset>584835</wp:posOffset>
                </wp:positionH>
                <wp:positionV relativeFrom="paragraph">
                  <wp:posOffset>38100</wp:posOffset>
                </wp:positionV>
                <wp:extent cx="892480" cy="256625"/>
                <wp:effectExtent l="38100" t="38100" r="41275" b="48260"/>
                <wp:wrapNone/>
                <wp:docPr id="196" name="Ink 196"/>
                <wp:cNvGraphicFramePr/>
                <a:graphic xmlns:a="http://schemas.openxmlformats.org/drawingml/2006/main">
                  <a:graphicData uri="http://schemas.microsoft.com/office/word/2010/wordprocessingInk">
                    <w14:contentPart bwMode="auto" r:id="rId22">
                      <w14:nvContentPartPr>
                        <w14:cNvContentPartPr/>
                      </w14:nvContentPartPr>
                      <w14:xfrm>
                        <a:off x="0" y="0"/>
                        <a:ext cx="892480" cy="256625"/>
                      </w14:xfrm>
                    </w14:contentPart>
                  </a:graphicData>
                </a:graphic>
              </wp:anchor>
            </w:drawing>
          </mc:Choice>
          <mc:Fallback>
            <w:pict>
              <v:shape w14:anchorId="353DFB6A" id="Ink 196" o:spid="_x0000_s1026" type="#_x0000_t75" style="position:absolute;margin-left:45.7pt;margin-top:2.65pt;width:70.95pt;height:20.9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8nbDR2AQAACQMAAA4AAABkcnMvZTJvRG9jLnhtbJxSXU/CMBR9N/E/&#10;NH2XfTgILGw8SEx4UHnQH1C7ljWuvcttYfDvvQMU0BgTXpbbnuzc89HpbGsbtlHoDbiCJ4OYM+Uk&#10;VMatCv72+ng35swH4SrRgFMF3ynPZ+XtzbRrc5VCDU2lkBGJ83nXFrwOoc2jyMtaWeEH0CpHoAa0&#10;ItARV1GFoiN220RpHI+iDrBqEaTynm7nB5CXe36tlQwvWnsVWFPw7D4leaEfkglnSMMoHXL2TkMW&#10;ZzwqpyJfoWhrI4+SxBWKrDCOBHxTzUUQbI3mF5U1EsGDDgMJNgKtjVR7P+QsiX84W7iP3lWSyTXm&#10;ElxQLiwFhq/s9sA1K2xDCXRPUFE7Yh2AHxkpnv/LOIieg1xb0nNoBFUjAj0HX5vWU8y5qQqOiyo5&#10;6Xebh5ODJZ58PV8C1Eh0tPzXL1uNtg+blLBtwangXf/dd6m2gUm6HE/SbEyIJCgdjvrSz5gPDF97&#10;zqKl5Rclnp97YWcvuPwEAAD//wMAUEsDBBQABgAIAAAAIQAVW1xD5AcAAPcaAAAQAAAAZHJzL2lu&#10;ay9pbmsxLnhtbLRYS28bNxC+F+h/ILYHX0SZ5L4kI3ZPDVCgRYsmBdqjY69tIZZkSOvY+ff95kEu&#10;acltD85BXHIe3zw4w+Xq3Y/P63vzZdjtV9vNeeXnrjLD5mp7vdrcnld/fnxvF5XZj5eb68v77WY4&#10;r74O++rHi++/e7fafF7fn2E0QNjsaba+P6/uxvHh7PT06elp/lTPt7vb0+Bcffrz5vOvv1QXqnU9&#10;3Kw2qxEm95F0td2Mw/NIYGer6/Pqanx2SR7YH7aPu6shsYmyu5okxt3l1fB+u1tfjgnx7nKzGe7N&#10;5nINv/+qzPj1AZMV7NwOu8qsVwjYhrlv+mbx0xKEy+fzKls/wsU9PFlXp8cx//4GmO8PMcmtOvRd&#10;Xxl16Xr4Qj6dcs7PXo/99932YdiNq2FKsyRFGV/Nlaw5P5Ko3bDf3j/S3lTmy+X9I1LmnUNZqG1/&#10;eiQhh3jIzZviIS+v4uXOlanR8PI8aNJSScWtHVfrAYW+fkg1Nu4BTOQP447bIbhQW1fb0H30i7PQ&#10;n9V+Xrs+2wqt4oj5afe4v0t4n3ZTvTInZU0ie1pdj3cp6W7uQpuynuf8mO7dsLq9G/9VWQNn7VQ7&#10;RzqRy8loJH8MN+fVD9yMhjWFwKF4411tQtP27eykPrH+xM0qV1lfuRl4xs2st/RwvHA6d0zJRqZj&#10;INHWthh9b32Np/Wt8R0mwZA8CeKhcCwfKcomiEiiuWoEbxpahcbyU2yJoBoGAEPnIyEIXXEKDYkt&#10;qYs5EkzBH0A2ZkFuNBykYuaGC1JEZsg8hcrQ5BaZfqEzBUMgL6PR0HpsI3nlLaVciTFSMc6j2iuR&#10;ajhGO1YvbSD13IxAxd0iG4ramZ4WSCAIcY+itMgJg+2qkjxeLEjssK6gRoxYfIQoXqQtQz1FNtvI&#10;0xsdmbCT0SMkcZdGTUyywS5I1tlGMGQ1BC5FdVqM68hOsQKySUlF8RNu601tfc8eW6/x8m54CgIk&#10;3RoC9TMU+ZJowZnGdl3bFu+JeDT93y7nA/C3m5v9MOLluKy7+bK66Hvsdex89D13PvU9dT5HQ57A&#10;d/wwSkaJ/oIkjGMjKZcby3A5NhyAEB0UNfMaW0tzI11EAJfNMZPnQpHRmZqKsLYtPQ6LVJyCLrgL&#10;E0gIaWUdibAsGTIi/orKfwXLgSRR0o55Uw4DsnXdXBE+kitW6KRUYmzkdZk+pjCe0KODrI3AKD7f&#10;5LWpxvmRPCWYuGDVPHO5RTAphBjVIUoeSeGMICopl3J8eJcUsqGmCkbuvDCiDeEsrEeuZjj76PVS&#10;eJnE2X8WTyRMtJqFdKQIouUi+mJBhm1n6VEbmPbNrOFn0S4xmRIhtzmm6O9omXzBq4RhwO5659+u&#10;0xvn/byrLrxb9qZZLGOzuxN3Yhd++Yam+tC38xqmwgIt7aOlAEu4T8ihkqqhSCQt8jSlbWRGtnMx&#10;ZbkCpS/fPq0iiCTUgpRcEMV8PIQlripIH2DBr0feLsWNrk9QykhxTBzM2F8aFTgn6Zw4GpSeGmhs&#10;ufm0Bu8DHIqtvKejpQxWkqHxF3Q22pgl9PFmITyxp44UKpkL6hRDiYwqxMDFW0Iv2Cn8Qz6jp4yy&#10;ZmYwnZSsyAwMtBDIY9ut6gQV/S20J+8iexKFINSaTl5ETZBTNLDFKD2BqfWDzL4mSZ7lqSGkMjXq&#10;O5tg2drQtSE3pPFHGwSouCgIUrS9xZUkBl/aBB2cmG62pgIRjxFicklYGLi98J2ylWqJqBFhclgq&#10;AXQipeAYiIXLUJgEScjSlMzlUjpnunAzGVWw+qJsoYmrQ9fOGhyhtm26NzzRlj60877lIw3nWTrS&#10;bCNnmm34pkSvMwpFH5JtqiEQQXvjY9Y778K8D/Cqc61pv+mZ7kPdIAX0AukDrk9NE4/1pjmxHZ/s&#10;tu6qpuNvRYpYagAzmuP7jyrZBlTpVNK657Krkru8ckRXSqaskkxDDXDBFUUUy1xlAfCiIKVGo1ly&#10;U7DwCcyuFuVH6sKORlgxucV81sDAtjIf9Ryr+WsR5dORMRu8bTkpeNJasI4YUcSit+LrAIcTfYIG&#10;oDHmkcbTCNk5TUrIF0W7M4MGQluwwy16jNxDp7GfuIzXNGnxbc937UOwmPuME+PKSGom2qcAjkgJ&#10;qRgZIz9KlHtA1zhyC+JaPGegqDajaLZtogbQybOCVCyk6ZEQLp6243eHx7cbck3HEq6FKKw3Pph8&#10;2wV8vgXf03Ug9SSudL6jyxY+4ZapIbWROEk0IPTGyl8FuK7SjuZ5kpQey4rW02GllanlpB3siO5U&#10;lmV8CpPpmj8GxF6NPIFm8SZm/5IXLBkD4MVRZwqObDGR8pA6vr4hfL7AgUv8V5EPywWiuRXWLCqy&#10;oFADOdPxn0W42VOJOEvXr8Kk5ibT1C5XYGWQqzRlzGlUkhaltG7PRqKw6nMqdC5YvJCAksUJuChz&#10;zQRrYCAsVLbegsWpgMMeZJxL9EBpkUyXawAbtNDJVbbGhz6WEmSyzxBxdydnylSQkIARPBYyqmPy&#10;txQakFtSWCIdbWVJVADc/QgUfw3AvdfAJ3fU3ZiIDO+oW5yEaJwXUVMXhGx7/jtNGgJ08icvQBJ9&#10;QUplRAxh0/cwzqSZb4FHm5RbEJEomMEdJYGY9BlFnYrHBTudQ6o7cgYilaiBBe4ABh/pPf25RR/H&#10;5WFDNNpJ+jssuQNRPj4RPd5BXR9efA5P//xf/AMAAP//AwBQSwMEFAAGAAgAAAAhAC89qJTdAAAA&#10;BwEAAA8AAABkcnMvZG93bnJldi54bWxMjkFPg0AUhO8m/ofNM/FmF0rViiyNsZp44CI16nHLPoHI&#10;vgV2aem/93nS20xmMvNlm9l24oCjbx0piBcRCKTKmZZqBW+756s1CB80Gd05QgUn9LDJz88ynRp3&#10;pFc8lKEWPEI+1QqaEPpUSl81aLVfuB6Jsy83Wh3YjrU0oz7yuO3kMopupNUt8UOje3xssPouJ6vg&#10;4wWn3XYoTtvBVu9DQevy86lQ6vJifrgHEXAOf2X4xWd0yJlp7yYyXnQK7uIVNxVcJyA4XiYJi72C&#10;1W0MMs/kf/78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E8nbDR2AQAACQMAAA4AAAAAAAAAAAAAAAAAPAIAAGRycy9lMm9Eb2MueG1sUEsBAi0AFAAGAAgA&#10;AAAhABVbXEPkBwAA9xoAABAAAAAAAAAAAAAAAAAA3gMAAGRycy9pbmsvaW5rMS54bWxQSwECLQAU&#10;AAYACAAAACEALz2olN0AAAAHAQAADwAAAAAAAAAAAAAAAADwCwAAZHJzL2Rvd25yZXYueG1sUEsB&#10;Ai0AFAAGAAgAAAAhAHkYvJ2/AAAAIQEAABkAAAAAAAAAAAAAAAAA+gwAAGRycy9fcmVscy9lMm9E&#10;b2MueG1sLnJlbHNQSwUGAAAAAAYABgB4AQAA8A0AAAAA&#10;">
                <v:imagedata r:id="rId23" o:title=""/>
              </v:shape>
            </w:pict>
          </mc:Fallback>
        </mc:AlternateContent>
      </w:r>
      <w:r w:rsidR="003B72AF">
        <w:t xml:space="preserve"> Date: </w:t>
      </w:r>
    </w:p>
    <w:p w14:paraId="0D2F4B9E" w14:textId="77777777" w:rsidR="00001558" w:rsidRDefault="00001558" w:rsidP="00350AB6">
      <w:pPr>
        <w:pStyle w:val="Heading1"/>
        <w:spacing w:line="360" w:lineRule="auto"/>
        <w:jc w:val="both"/>
      </w:pPr>
    </w:p>
    <w:p w14:paraId="60B2FA7D" w14:textId="58B44355" w:rsidR="00001558" w:rsidRDefault="00001558" w:rsidP="00350AB6">
      <w:pPr>
        <w:pStyle w:val="Heading1"/>
        <w:spacing w:line="360" w:lineRule="auto"/>
        <w:jc w:val="both"/>
      </w:pPr>
    </w:p>
    <w:p w14:paraId="11980AD0" w14:textId="10E39652" w:rsidR="003B72AF" w:rsidRDefault="003B72AF" w:rsidP="003B72AF"/>
    <w:p w14:paraId="060A8994" w14:textId="63AA9AA8" w:rsidR="003B72AF" w:rsidRDefault="003B72AF" w:rsidP="003B72AF"/>
    <w:p w14:paraId="22FBFCB2" w14:textId="1B884A4D" w:rsidR="003B72AF" w:rsidRDefault="003B72AF" w:rsidP="003B72AF"/>
    <w:p w14:paraId="56971D93" w14:textId="1507DBC8" w:rsidR="003B72AF" w:rsidRDefault="003B72AF" w:rsidP="003B72AF"/>
    <w:p w14:paraId="6987385C" w14:textId="67025BC3" w:rsidR="003B72AF" w:rsidRDefault="003B72AF" w:rsidP="003B72AF"/>
    <w:p w14:paraId="608722CD" w14:textId="6703870A" w:rsidR="003B72AF" w:rsidRDefault="003B72AF" w:rsidP="003B72AF"/>
    <w:p w14:paraId="0D606E4A" w14:textId="1355C487" w:rsidR="003B72AF" w:rsidRDefault="003B72AF" w:rsidP="003B72AF"/>
    <w:p w14:paraId="5C6139D2" w14:textId="385F3F42" w:rsidR="003B72AF" w:rsidRDefault="003B72AF" w:rsidP="003B72AF"/>
    <w:p w14:paraId="390AA40A" w14:textId="271A2067" w:rsidR="003B72AF" w:rsidRDefault="003B72AF" w:rsidP="003B72AF"/>
    <w:p w14:paraId="3059DD32" w14:textId="4C91E93F" w:rsidR="003B72AF" w:rsidRDefault="003B72AF" w:rsidP="003B72AF"/>
    <w:p w14:paraId="14ADF02E" w14:textId="02F41B87" w:rsidR="003B72AF" w:rsidRDefault="003B72AF" w:rsidP="003B72AF"/>
    <w:p w14:paraId="69D0C7A2" w14:textId="60921900" w:rsidR="003B72AF" w:rsidRDefault="004B7326" w:rsidP="003B72AF">
      <w:r>
        <w:rPr>
          <w:noProof/>
        </w:rPr>
        <w:drawing>
          <wp:inline distT="0" distB="0" distL="0" distR="0" wp14:anchorId="260210AC" wp14:editId="38466310">
            <wp:extent cx="2800350" cy="1704975"/>
            <wp:effectExtent l="0" t="0" r="0" b="9525"/>
            <wp:docPr id="6"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00350" cy="1704975"/>
                    </a:xfrm>
                    <a:prstGeom prst="rect">
                      <a:avLst/>
                    </a:prstGeom>
                    <a:noFill/>
                    <a:ln>
                      <a:noFill/>
                    </a:ln>
                  </pic:spPr>
                </pic:pic>
              </a:graphicData>
            </a:graphic>
          </wp:inline>
        </w:drawing>
      </w:r>
      <w:r>
        <w:rPr>
          <w:noProof/>
        </w:rPr>
        <w:t xml:space="preserve">                     </w:t>
      </w:r>
      <w:r>
        <w:rPr>
          <w:noProof/>
        </w:rPr>
        <w:drawing>
          <wp:inline distT="0" distB="0" distL="0" distR="0" wp14:anchorId="48700DC7" wp14:editId="0DCD7758">
            <wp:extent cx="2266950" cy="1685925"/>
            <wp:effectExtent l="0" t="0" r="0" b="9525"/>
            <wp:docPr id="13" name="Picture 1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66950" cy="1685925"/>
                    </a:xfrm>
                    <a:prstGeom prst="rect">
                      <a:avLst/>
                    </a:prstGeom>
                    <a:noFill/>
                    <a:ln>
                      <a:noFill/>
                    </a:ln>
                  </pic:spPr>
                </pic:pic>
              </a:graphicData>
            </a:graphic>
          </wp:inline>
        </w:drawing>
      </w:r>
    </w:p>
    <w:p w14:paraId="28621A88" w14:textId="5FD5F3DC" w:rsidR="003B72AF" w:rsidRDefault="003B72AF" w:rsidP="003B72AF"/>
    <w:p w14:paraId="2DF9171D" w14:textId="47F8855B" w:rsidR="004B7326" w:rsidRDefault="004B7326" w:rsidP="003B72AF"/>
    <w:p w14:paraId="42727CB1" w14:textId="495920E9" w:rsidR="00196715" w:rsidRDefault="00196715" w:rsidP="00D531A4">
      <w:r>
        <w:br w:type="page"/>
      </w:r>
    </w:p>
    <w:sdt>
      <w:sdtPr>
        <w:rPr>
          <w:rFonts w:asciiTheme="minorHAnsi" w:eastAsiaTheme="minorHAnsi" w:hAnsiTheme="minorHAnsi" w:cstheme="minorBidi"/>
          <w:color w:val="auto"/>
          <w:sz w:val="22"/>
          <w:szCs w:val="22"/>
          <w:lang w:val="en-GB"/>
        </w:rPr>
        <w:id w:val="-1919091210"/>
        <w:docPartObj>
          <w:docPartGallery w:val="Table of Contents"/>
          <w:docPartUnique/>
        </w:docPartObj>
      </w:sdtPr>
      <w:sdtEndPr>
        <w:rPr>
          <w:b/>
          <w:bCs/>
          <w:noProof/>
        </w:rPr>
      </w:sdtEndPr>
      <w:sdtContent>
        <w:p w14:paraId="42727CB2" w14:textId="07AC24C1" w:rsidR="00196715" w:rsidRPr="00DF7385" w:rsidRDefault="00196715" w:rsidP="00350AB6">
          <w:pPr>
            <w:pStyle w:val="TOCHeading"/>
            <w:spacing w:line="360" w:lineRule="auto"/>
            <w:jc w:val="both"/>
            <w:rPr>
              <w:rFonts w:asciiTheme="minorHAnsi" w:eastAsiaTheme="minorHAnsi" w:hAnsiTheme="minorHAnsi" w:cstheme="minorBidi"/>
              <w:color w:val="auto"/>
              <w:sz w:val="22"/>
              <w:szCs w:val="22"/>
              <w:lang w:val="en-GB"/>
            </w:rPr>
          </w:pPr>
          <w:r>
            <w:t>Table of Contents</w:t>
          </w:r>
        </w:p>
        <w:p w14:paraId="5A597B40" w14:textId="38074A0D" w:rsidR="00A101A6" w:rsidRDefault="000C5EBB">
          <w:pPr>
            <w:pStyle w:val="TOC1"/>
            <w:tabs>
              <w:tab w:val="right" w:leader="dot" w:pos="9016"/>
            </w:tabs>
            <w:rPr>
              <w:rFonts w:eastAsiaTheme="minorEastAsia"/>
              <w:noProof/>
              <w:lang w:eastAsia="en-GB"/>
            </w:rPr>
          </w:pPr>
          <w:r>
            <w:fldChar w:fldCharType="begin"/>
          </w:r>
          <w:r w:rsidR="00196715">
            <w:instrText xml:space="preserve"> TOC \o "1-3" \h \z \u </w:instrText>
          </w:r>
          <w:r>
            <w:fldChar w:fldCharType="separate"/>
          </w:r>
          <w:hyperlink w:anchor="_Toc128599583" w:history="1">
            <w:r w:rsidR="00A101A6" w:rsidRPr="00243DE9">
              <w:rPr>
                <w:rStyle w:val="Hyperlink"/>
                <w:noProof/>
              </w:rPr>
              <w:t>Abstract</w:t>
            </w:r>
            <w:r w:rsidR="00A101A6">
              <w:rPr>
                <w:noProof/>
                <w:webHidden/>
              </w:rPr>
              <w:tab/>
            </w:r>
            <w:r w:rsidR="00A101A6">
              <w:rPr>
                <w:noProof/>
                <w:webHidden/>
              </w:rPr>
              <w:fldChar w:fldCharType="begin"/>
            </w:r>
            <w:r w:rsidR="00A101A6">
              <w:rPr>
                <w:noProof/>
                <w:webHidden/>
              </w:rPr>
              <w:instrText xml:space="preserve"> PAGEREF _Toc128599583 \h </w:instrText>
            </w:r>
            <w:r w:rsidR="00A101A6">
              <w:rPr>
                <w:noProof/>
                <w:webHidden/>
              </w:rPr>
            </w:r>
            <w:r w:rsidR="00A101A6">
              <w:rPr>
                <w:noProof/>
                <w:webHidden/>
              </w:rPr>
              <w:fldChar w:fldCharType="separate"/>
            </w:r>
            <w:r w:rsidR="00A101A6">
              <w:rPr>
                <w:noProof/>
                <w:webHidden/>
              </w:rPr>
              <w:t>1</w:t>
            </w:r>
            <w:r w:rsidR="00A101A6">
              <w:rPr>
                <w:noProof/>
                <w:webHidden/>
              </w:rPr>
              <w:fldChar w:fldCharType="end"/>
            </w:r>
          </w:hyperlink>
        </w:p>
        <w:p w14:paraId="35DA37EB" w14:textId="1F2B6E41" w:rsidR="00A101A6" w:rsidRDefault="00000000">
          <w:pPr>
            <w:pStyle w:val="TOC1"/>
            <w:tabs>
              <w:tab w:val="right" w:leader="dot" w:pos="9016"/>
            </w:tabs>
            <w:rPr>
              <w:rFonts w:eastAsiaTheme="minorEastAsia"/>
              <w:noProof/>
              <w:lang w:eastAsia="en-GB"/>
            </w:rPr>
          </w:pPr>
          <w:hyperlink w:anchor="_Toc128599584" w:history="1">
            <w:r w:rsidR="00A101A6" w:rsidRPr="00243DE9">
              <w:rPr>
                <w:rStyle w:val="Hyperlink"/>
                <w:noProof/>
              </w:rPr>
              <w:t>Acknowledgements</w:t>
            </w:r>
            <w:r w:rsidR="00A101A6">
              <w:rPr>
                <w:noProof/>
                <w:webHidden/>
              </w:rPr>
              <w:tab/>
            </w:r>
            <w:r w:rsidR="00A101A6">
              <w:rPr>
                <w:noProof/>
                <w:webHidden/>
              </w:rPr>
              <w:fldChar w:fldCharType="begin"/>
            </w:r>
            <w:r w:rsidR="00A101A6">
              <w:rPr>
                <w:noProof/>
                <w:webHidden/>
              </w:rPr>
              <w:instrText xml:space="preserve"> PAGEREF _Toc128599584 \h </w:instrText>
            </w:r>
            <w:r w:rsidR="00A101A6">
              <w:rPr>
                <w:noProof/>
                <w:webHidden/>
              </w:rPr>
            </w:r>
            <w:r w:rsidR="00A101A6">
              <w:rPr>
                <w:noProof/>
                <w:webHidden/>
              </w:rPr>
              <w:fldChar w:fldCharType="separate"/>
            </w:r>
            <w:r w:rsidR="00A101A6">
              <w:rPr>
                <w:noProof/>
                <w:webHidden/>
              </w:rPr>
              <w:t>2</w:t>
            </w:r>
            <w:r w:rsidR="00A101A6">
              <w:rPr>
                <w:noProof/>
                <w:webHidden/>
              </w:rPr>
              <w:fldChar w:fldCharType="end"/>
            </w:r>
          </w:hyperlink>
        </w:p>
        <w:p w14:paraId="0F9FFAE8" w14:textId="6DC4E773" w:rsidR="00A101A6" w:rsidRDefault="00000000">
          <w:pPr>
            <w:pStyle w:val="TOC1"/>
            <w:tabs>
              <w:tab w:val="right" w:leader="dot" w:pos="9016"/>
            </w:tabs>
            <w:rPr>
              <w:rFonts w:eastAsiaTheme="minorEastAsia"/>
              <w:noProof/>
              <w:lang w:eastAsia="en-GB"/>
            </w:rPr>
          </w:pPr>
          <w:hyperlink w:anchor="_Toc128599585" w:history="1">
            <w:r w:rsidR="00A101A6" w:rsidRPr="00243DE9">
              <w:rPr>
                <w:rStyle w:val="Hyperlink"/>
                <w:noProof/>
              </w:rPr>
              <w:t>Declaration</w:t>
            </w:r>
            <w:r w:rsidR="00A101A6">
              <w:rPr>
                <w:noProof/>
                <w:webHidden/>
              </w:rPr>
              <w:tab/>
            </w:r>
            <w:r w:rsidR="00A101A6">
              <w:rPr>
                <w:noProof/>
                <w:webHidden/>
              </w:rPr>
              <w:fldChar w:fldCharType="begin"/>
            </w:r>
            <w:r w:rsidR="00A101A6">
              <w:rPr>
                <w:noProof/>
                <w:webHidden/>
              </w:rPr>
              <w:instrText xml:space="preserve"> PAGEREF _Toc128599585 \h </w:instrText>
            </w:r>
            <w:r w:rsidR="00A101A6">
              <w:rPr>
                <w:noProof/>
                <w:webHidden/>
              </w:rPr>
            </w:r>
            <w:r w:rsidR="00A101A6">
              <w:rPr>
                <w:noProof/>
                <w:webHidden/>
              </w:rPr>
              <w:fldChar w:fldCharType="separate"/>
            </w:r>
            <w:r w:rsidR="00A101A6">
              <w:rPr>
                <w:noProof/>
                <w:webHidden/>
              </w:rPr>
              <w:t>2</w:t>
            </w:r>
            <w:r w:rsidR="00A101A6">
              <w:rPr>
                <w:noProof/>
                <w:webHidden/>
              </w:rPr>
              <w:fldChar w:fldCharType="end"/>
            </w:r>
          </w:hyperlink>
        </w:p>
        <w:p w14:paraId="0769432B" w14:textId="4D639A58" w:rsidR="00A101A6" w:rsidRDefault="00000000">
          <w:pPr>
            <w:pStyle w:val="TOC1"/>
            <w:tabs>
              <w:tab w:val="right" w:leader="dot" w:pos="9016"/>
            </w:tabs>
            <w:rPr>
              <w:rFonts w:eastAsiaTheme="minorEastAsia"/>
              <w:noProof/>
              <w:lang w:eastAsia="en-GB"/>
            </w:rPr>
          </w:pPr>
          <w:hyperlink w:anchor="_Toc128599586" w:history="1">
            <w:r w:rsidR="00A101A6" w:rsidRPr="00243DE9">
              <w:rPr>
                <w:rStyle w:val="Hyperlink"/>
                <w:noProof/>
              </w:rPr>
              <w:t>Table of Figures</w:t>
            </w:r>
            <w:r w:rsidR="00A101A6">
              <w:rPr>
                <w:noProof/>
                <w:webHidden/>
              </w:rPr>
              <w:tab/>
            </w:r>
            <w:r w:rsidR="00A101A6">
              <w:rPr>
                <w:noProof/>
                <w:webHidden/>
              </w:rPr>
              <w:fldChar w:fldCharType="begin"/>
            </w:r>
            <w:r w:rsidR="00A101A6">
              <w:rPr>
                <w:noProof/>
                <w:webHidden/>
              </w:rPr>
              <w:instrText xml:space="preserve"> PAGEREF _Toc128599586 \h </w:instrText>
            </w:r>
            <w:r w:rsidR="00A101A6">
              <w:rPr>
                <w:noProof/>
                <w:webHidden/>
              </w:rPr>
            </w:r>
            <w:r w:rsidR="00A101A6">
              <w:rPr>
                <w:noProof/>
                <w:webHidden/>
              </w:rPr>
              <w:fldChar w:fldCharType="separate"/>
            </w:r>
            <w:r w:rsidR="00A101A6">
              <w:rPr>
                <w:noProof/>
                <w:webHidden/>
              </w:rPr>
              <w:t>6</w:t>
            </w:r>
            <w:r w:rsidR="00A101A6">
              <w:rPr>
                <w:noProof/>
                <w:webHidden/>
              </w:rPr>
              <w:fldChar w:fldCharType="end"/>
            </w:r>
          </w:hyperlink>
        </w:p>
        <w:p w14:paraId="6C427487" w14:textId="40D21A08" w:rsidR="00A101A6" w:rsidRDefault="00000000">
          <w:pPr>
            <w:pStyle w:val="TOC1"/>
            <w:tabs>
              <w:tab w:val="right" w:leader="dot" w:pos="9016"/>
            </w:tabs>
            <w:rPr>
              <w:rFonts w:eastAsiaTheme="minorEastAsia"/>
              <w:noProof/>
              <w:lang w:eastAsia="en-GB"/>
            </w:rPr>
          </w:pPr>
          <w:hyperlink w:anchor="_Toc128599587" w:history="1">
            <w:r w:rsidR="00A101A6" w:rsidRPr="00243DE9">
              <w:rPr>
                <w:rStyle w:val="Hyperlink"/>
                <w:noProof/>
              </w:rPr>
              <w:t>Glossary</w:t>
            </w:r>
            <w:r w:rsidR="00A101A6">
              <w:rPr>
                <w:noProof/>
                <w:webHidden/>
              </w:rPr>
              <w:tab/>
            </w:r>
            <w:r w:rsidR="00A101A6">
              <w:rPr>
                <w:noProof/>
                <w:webHidden/>
              </w:rPr>
              <w:fldChar w:fldCharType="begin"/>
            </w:r>
            <w:r w:rsidR="00A101A6">
              <w:rPr>
                <w:noProof/>
                <w:webHidden/>
              </w:rPr>
              <w:instrText xml:space="preserve"> PAGEREF _Toc128599587 \h </w:instrText>
            </w:r>
            <w:r w:rsidR="00A101A6">
              <w:rPr>
                <w:noProof/>
                <w:webHidden/>
              </w:rPr>
            </w:r>
            <w:r w:rsidR="00A101A6">
              <w:rPr>
                <w:noProof/>
                <w:webHidden/>
              </w:rPr>
              <w:fldChar w:fldCharType="separate"/>
            </w:r>
            <w:r w:rsidR="00A101A6">
              <w:rPr>
                <w:noProof/>
                <w:webHidden/>
              </w:rPr>
              <w:t>8</w:t>
            </w:r>
            <w:r w:rsidR="00A101A6">
              <w:rPr>
                <w:noProof/>
                <w:webHidden/>
              </w:rPr>
              <w:fldChar w:fldCharType="end"/>
            </w:r>
          </w:hyperlink>
        </w:p>
        <w:p w14:paraId="4C7D49D1" w14:textId="4D174378" w:rsidR="00A101A6" w:rsidRDefault="00000000">
          <w:pPr>
            <w:pStyle w:val="TOC1"/>
            <w:tabs>
              <w:tab w:val="right" w:leader="dot" w:pos="9016"/>
            </w:tabs>
            <w:rPr>
              <w:rFonts w:eastAsiaTheme="minorEastAsia"/>
              <w:noProof/>
              <w:lang w:eastAsia="en-GB"/>
            </w:rPr>
          </w:pPr>
          <w:hyperlink w:anchor="_Toc128599588" w:history="1">
            <w:r w:rsidR="00A101A6" w:rsidRPr="00243DE9">
              <w:rPr>
                <w:rStyle w:val="Hyperlink"/>
                <w:noProof/>
              </w:rPr>
              <w:t>Introduction</w:t>
            </w:r>
            <w:r w:rsidR="00A101A6">
              <w:rPr>
                <w:noProof/>
                <w:webHidden/>
              </w:rPr>
              <w:tab/>
            </w:r>
            <w:r w:rsidR="00A101A6">
              <w:rPr>
                <w:noProof/>
                <w:webHidden/>
              </w:rPr>
              <w:fldChar w:fldCharType="begin"/>
            </w:r>
            <w:r w:rsidR="00A101A6">
              <w:rPr>
                <w:noProof/>
                <w:webHidden/>
              </w:rPr>
              <w:instrText xml:space="preserve"> PAGEREF _Toc128599588 \h </w:instrText>
            </w:r>
            <w:r w:rsidR="00A101A6">
              <w:rPr>
                <w:noProof/>
                <w:webHidden/>
              </w:rPr>
            </w:r>
            <w:r w:rsidR="00A101A6">
              <w:rPr>
                <w:noProof/>
                <w:webHidden/>
              </w:rPr>
              <w:fldChar w:fldCharType="separate"/>
            </w:r>
            <w:r w:rsidR="00A101A6">
              <w:rPr>
                <w:noProof/>
                <w:webHidden/>
              </w:rPr>
              <w:t>11</w:t>
            </w:r>
            <w:r w:rsidR="00A101A6">
              <w:rPr>
                <w:noProof/>
                <w:webHidden/>
              </w:rPr>
              <w:fldChar w:fldCharType="end"/>
            </w:r>
          </w:hyperlink>
        </w:p>
        <w:p w14:paraId="7D85AA9E" w14:textId="635521D7" w:rsidR="00A101A6" w:rsidRDefault="00000000">
          <w:pPr>
            <w:pStyle w:val="TOC2"/>
            <w:tabs>
              <w:tab w:val="right" w:leader="dot" w:pos="9016"/>
            </w:tabs>
            <w:rPr>
              <w:rFonts w:eastAsiaTheme="minorEastAsia"/>
              <w:noProof/>
              <w:lang w:eastAsia="en-GB"/>
            </w:rPr>
          </w:pPr>
          <w:hyperlink w:anchor="_Toc128599589" w:history="1">
            <w:r w:rsidR="00A101A6" w:rsidRPr="00243DE9">
              <w:rPr>
                <w:rStyle w:val="Hyperlink"/>
                <w:noProof/>
              </w:rPr>
              <w:t>Background</w:t>
            </w:r>
            <w:r w:rsidR="00A101A6">
              <w:rPr>
                <w:noProof/>
                <w:webHidden/>
              </w:rPr>
              <w:tab/>
            </w:r>
            <w:r w:rsidR="00A101A6">
              <w:rPr>
                <w:noProof/>
                <w:webHidden/>
              </w:rPr>
              <w:fldChar w:fldCharType="begin"/>
            </w:r>
            <w:r w:rsidR="00A101A6">
              <w:rPr>
                <w:noProof/>
                <w:webHidden/>
              </w:rPr>
              <w:instrText xml:space="preserve"> PAGEREF _Toc128599589 \h </w:instrText>
            </w:r>
            <w:r w:rsidR="00A101A6">
              <w:rPr>
                <w:noProof/>
                <w:webHidden/>
              </w:rPr>
            </w:r>
            <w:r w:rsidR="00A101A6">
              <w:rPr>
                <w:noProof/>
                <w:webHidden/>
              </w:rPr>
              <w:fldChar w:fldCharType="separate"/>
            </w:r>
            <w:r w:rsidR="00A101A6">
              <w:rPr>
                <w:noProof/>
                <w:webHidden/>
              </w:rPr>
              <w:t>11</w:t>
            </w:r>
            <w:r w:rsidR="00A101A6">
              <w:rPr>
                <w:noProof/>
                <w:webHidden/>
              </w:rPr>
              <w:fldChar w:fldCharType="end"/>
            </w:r>
          </w:hyperlink>
        </w:p>
        <w:p w14:paraId="0BEF6B7C" w14:textId="5C5A8FE8" w:rsidR="00A101A6" w:rsidRDefault="00000000">
          <w:pPr>
            <w:pStyle w:val="TOC2"/>
            <w:tabs>
              <w:tab w:val="right" w:leader="dot" w:pos="9016"/>
            </w:tabs>
            <w:rPr>
              <w:rFonts w:eastAsiaTheme="minorEastAsia"/>
              <w:noProof/>
              <w:lang w:eastAsia="en-GB"/>
            </w:rPr>
          </w:pPr>
          <w:hyperlink w:anchor="_Toc128599590" w:history="1">
            <w:r w:rsidR="00A101A6" w:rsidRPr="00243DE9">
              <w:rPr>
                <w:rStyle w:val="Hyperlink"/>
                <w:noProof/>
              </w:rPr>
              <w:t>Research aim</w:t>
            </w:r>
            <w:r w:rsidR="00A101A6">
              <w:rPr>
                <w:noProof/>
                <w:webHidden/>
              </w:rPr>
              <w:tab/>
            </w:r>
            <w:r w:rsidR="00A101A6">
              <w:rPr>
                <w:noProof/>
                <w:webHidden/>
              </w:rPr>
              <w:fldChar w:fldCharType="begin"/>
            </w:r>
            <w:r w:rsidR="00A101A6">
              <w:rPr>
                <w:noProof/>
                <w:webHidden/>
              </w:rPr>
              <w:instrText xml:space="preserve"> PAGEREF _Toc128599590 \h </w:instrText>
            </w:r>
            <w:r w:rsidR="00A101A6">
              <w:rPr>
                <w:noProof/>
                <w:webHidden/>
              </w:rPr>
            </w:r>
            <w:r w:rsidR="00A101A6">
              <w:rPr>
                <w:noProof/>
                <w:webHidden/>
              </w:rPr>
              <w:fldChar w:fldCharType="separate"/>
            </w:r>
            <w:r w:rsidR="00A101A6">
              <w:rPr>
                <w:noProof/>
                <w:webHidden/>
              </w:rPr>
              <w:t>15</w:t>
            </w:r>
            <w:r w:rsidR="00A101A6">
              <w:rPr>
                <w:noProof/>
                <w:webHidden/>
              </w:rPr>
              <w:fldChar w:fldCharType="end"/>
            </w:r>
          </w:hyperlink>
        </w:p>
        <w:p w14:paraId="7AFB1FBA" w14:textId="38BAC540" w:rsidR="00A101A6" w:rsidRDefault="00000000">
          <w:pPr>
            <w:pStyle w:val="TOC2"/>
            <w:tabs>
              <w:tab w:val="right" w:leader="dot" w:pos="9016"/>
            </w:tabs>
            <w:rPr>
              <w:rFonts w:eastAsiaTheme="minorEastAsia"/>
              <w:noProof/>
              <w:lang w:eastAsia="en-GB"/>
            </w:rPr>
          </w:pPr>
          <w:hyperlink w:anchor="_Toc128599591" w:history="1">
            <w:r w:rsidR="00A101A6" w:rsidRPr="00243DE9">
              <w:rPr>
                <w:rStyle w:val="Hyperlink"/>
                <w:noProof/>
              </w:rPr>
              <w:t>Objectives</w:t>
            </w:r>
            <w:r w:rsidR="00A101A6">
              <w:rPr>
                <w:noProof/>
                <w:webHidden/>
              </w:rPr>
              <w:tab/>
            </w:r>
            <w:r w:rsidR="00A101A6">
              <w:rPr>
                <w:noProof/>
                <w:webHidden/>
              </w:rPr>
              <w:fldChar w:fldCharType="begin"/>
            </w:r>
            <w:r w:rsidR="00A101A6">
              <w:rPr>
                <w:noProof/>
                <w:webHidden/>
              </w:rPr>
              <w:instrText xml:space="preserve"> PAGEREF _Toc128599591 \h </w:instrText>
            </w:r>
            <w:r w:rsidR="00A101A6">
              <w:rPr>
                <w:noProof/>
                <w:webHidden/>
              </w:rPr>
            </w:r>
            <w:r w:rsidR="00A101A6">
              <w:rPr>
                <w:noProof/>
                <w:webHidden/>
              </w:rPr>
              <w:fldChar w:fldCharType="separate"/>
            </w:r>
            <w:r w:rsidR="00A101A6">
              <w:rPr>
                <w:noProof/>
                <w:webHidden/>
              </w:rPr>
              <w:t>15</w:t>
            </w:r>
            <w:r w:rsidR="00A101A6">
              <w:rPr>
                <w:noProof/>
                <w:webHidden/>
              </w:rPr>
              <w:fldChar w:fldCharType="end"/>
            </w:r>
          </w:hyperlink>
        </w:p>
        <w:p w14:paraId="0EFD1ECE" w14:textId="06FC3B1F" w:rsidR="00A101A6" w:rsidRDefault="00000000">
          <w:pPr>
            <w:pStyle w:val="TOC1"/>
            <w:tabs>
              <w:tab w:val="right" w:leader="dot" w:pos="9016"/>
            </w:tabs>
            <w:rPr>
              <w:rFonts w:eastAsiaTheme="minorEastAsia"/>
              <w:noProof/>
              <w:lang w:eastAsia="en-GB"/>
            </w:rPr>
          </w:pPr>
          <w:hyperlink w:anchor="_Toc128599592" w:history="1">
            <w:r w:rsidR="00A101A6" w:rsidRPr="00243DE9">
              <w:rPr>
                <w:rStyle w:val="Hyperlink"/>
                <w:noProof/>
              </w:rPr>
              <w:t>Theory</w:t>
            </w:r>
            <w:r w:rsidR="00A101A6">
              <w:rPr>
                <w:noProof/>
                <w:webHidden/>
              </w:rPr>
              <w:tab/>
            </w:r>
            <w:r w:rsidR="00A101A6">
              <w:rPr>
                <w:noProof/>
                <w:webHidden/>
              </w:rPr>
              <w:fldChar w:fldCharType="begin"/>
            </w:r>
            <w:r w:rsidR="00A101A6">
              <w:rPr>
                <w:noProof/>
                <w:webHidden/>
              </w:rPr>
              <w:instrText xml:space="preserve"> PAGEREF _Toc128599592 \h </w:instrText>
            </w:r>
            <w:r w:rsidR="00A101A6">
              <w:rPr>
                <w:noProof/>
                <w:webHidden/>
              </w:rPr>
            </w:r>
            <w:r w:rsidR="00A101A6">
              <w:rPr>
                <w:noProof/>
                <w:webHidden/>
              </w:rPr>
              <w:fldChar w:fldCharType="separate"/>
            </w:r>
            <w:r w:rsidR="00A101A6">
              <w:rPr>
                <w:noProof/>
                <w:webHidden/>
              </w:rPr>
              <w:t>16</w:t>
            </w:r>
            <w:r w:rsidR="00A101A6">
              <w:rPr>
                <w:noProof/>
                <w:webHidden/>
              </w:rPr>
              <w:fldChar w:fldCharType="end"/>
            </w:r>
          </w:hyperlink>
        </w:p>
        <w:p w14:paraId="1F937E9C" w14:textId="18958F9C" w:rsidR="00A101A6" w:rsidRDefault="00000000">
          <w:pPr>
            <w:pStyle w:val="TOC2"/>
            <w:tabs>
              <w:tab w:val="right" w:leader="dot" w:pos="9016"/>
            </w:tabs>
            <w:rPr>
              <w:rFonts w:eastAsiaTheme="minorEastAsia"/>
              <w:noProof/>
              <w:lang w:eastAsia="en-GB"/>
            </w:rPr>
          </w:pPr>
          <w:hyperlink w:anchor="_Toc128599593" w:history="1">
            <w:r w:rsidR="00A101A6" w:rsidRPr="00243DE9">
              <w:rPr>
                <w:rStyle w:val="Hyperlink"/>
                <w:noProof/>
              </w:rPr>
              <w:t>Biomass</w:t>
            </w:r>
            <w:r w:rsidR="00A101A6">
              <w:rPr>
                <w:noProof/>
                <w:webHidden/>
              </w:rPr>
              <w:tab/>
            </w:r>
            <w:r w:rsidR="00A101A6">
              <w:rPr>
                <w:noProof/>
                <w:webHidden/>
              </w:rPr>
              <w:fldChar w:fldCharType="begin"/>
            </w:r>
            <w:r w:rsidR="00A101A6">
              <w:rPr>
                <w:noProof/>
                <w:webHidden/>
              </w:rPr>
              <w:instrText xml:space="preserve"> PAGEREF _Toc128599593 \h </w:instrText>
            </w:r>
            <w:r w:rsidR="00A101A6">
              <w:rPr>
                <w:noProof/>
                <w:webHidden/>
              </w:rPr>
            </w:r>
            <w:r w:rsidR="00A101A6">
              <w:rPr>
                <w:noProof/>
                <w:webHidden/>
              </w:rPr>
              <w:fldChar w:fldCharType="separate"/>
            </w:r>
            <w:r w:rsidR="00A101A6">
              <w:rPr>
                <w:noProof/>
                <w:webHidden/>
              </w:rPr>
              <w:t>16</w:t>
            </w:r>
            <w:r w:rsidR="00A101A6">
              <w:rPr>
                <w:noProof/>
                <w:webHidden/>
              </w:rPr>
              <w:fldChar w:fldCharType="end"/>
            </w:r>
          </w:hyperlink>
        </w:p>
        <w:p w14:paraId="786CDBDE" w14:textId="49ADCA4E" w:rsidR="00A101A6" w:rsidRDefault="00000000">
          <w:pPr>
            <w:pStyle w:val="TOC3"/>
            <w:tabs>
              <w:tab w:val="right" w:leader="dot" w:pos="9016"/>
            </w:tabs>
            <w:rPr>
              <w:rFonts w:eastAsiaTheme="minorEastAsia"/>
              <w:noProof/>
              <w:lang w:eastAsia="en-GB"/>
            </w:rPr>
          </w:pPr>
          <w:hyperlink w:anchor="_Toc128599594" w:history="1">
            <w:r w:rsidR="00A101A6" w:rsidRPr="00243DE9">
              <w:rPr>
                <w:rStyle w:val="Hyperlink"/>
                <w:noProof/>
              </w:rPr>
              <w:t>Raw Biomass structure</w:t>
            </w:r>
            <w:r w:rsidR="00A101A6">
              <w:rPr>
                <w:noProof/>
                <w:webHidden/>
              </w:rPr>
              <w:tab/>
            </w:r>
            <w:r w:rsidR="00A101A6">
              <w:rPr>
                <w:noProof/>
                <w:webHidden/>
              </w:rPr>
              <w:fldChar w:fldCharType="begin"/>
            </w:r>
            <w:r w:rsidR="00A101A6">
              <w:rPr>
                <w:noProof/>
                <w:webHidden/>
              </w:rPr>
              <w:instrText xml:space="preserve"> PAGEREF _Toc128599594 \h </w:instrText>
            </w:r>
            <w:r w:rsidR="00A101A6">
              <w:rPr>
                <w:noProof/>
                <w:webHidden/>
              </w:rPr>
            </w:r>
            <w:r w:rsidR="00A101A6">
              <w:rPr>
                <w:noProof/>
                <w:webHidden/>
              </w:rPr>
              <w:fldChar w:fldCharType="separate"/>
            </w:r>
            <w:r w:rsidR="00A101A6">
              <w:rPr>
                <w:noProof/>
                <w:webHidden/>
              </w:rPr>
              <w:t>16</w:t>
            </w:r>
            <w:r w:rsidR="00A101A6">
              <w:rPr>
                <w:noProof/>
                <w:webHidden/>
              </w:rPr>
              <w:fldChar w:fldCharType="end"/>
            </w:r>
          </w:hyperlink>
        </w:p>
        <w:p w14:paraId="033BD282" w14:textId="5C87F523" w:rsidR="00A101A6" w:rsidRDefault="00000000">
          <w:pPr>
            <w:pStyle w:val="TOC3"/>
            <w:tabs>
              <w:tab w:val="right" w:leader="dot" w:pos="9016"/>
            </w:tabs>
            <w:rPr>
              <w:rFonts w:eastAsiaTheme="minorEastAsia"/>
              <w:noProof/>
              <w:lang w:eastAsia="en-GB"/>
            </w:rPr>
          </w:pPr>
          <w:hyperlink w:anchor="_Toc128599595" w:history="1">
            <w:r w:rsidR="00A101A6" w:rsidRPr="00243DE9">
              <w:rPr>
                <w:rStyle w:val="Hyperlink"/>
                <w:noProof/>
              </w:rPr>
              <w:t>The problem with Raw Biomass</w:t>
            </w:r>
            <w:r w:rsidR="00A101A6">
              <w:rPr>
                <w:noProof/>
                <w:webHidden/>
              </w:rPr>
              <w:tab/>
            </w:r>
            <w:r w:rsidR="00A101A6">
              <w:rPr>
                <w:noProof/>
                <w:webHidden/>
              </w:rPr>
              <w:fldChar w:fldCharType="begin"/>
            </w:r>
            <w:r w:rsidR="00A101A6">
              <w:rPr>
                <w:noProof/>
                <w:webHidden/>
              </w:rPr>
              <w:instrText xml:space="preserve"> PAGEREF _Toc128599595 \h </w:instrText>
            </w:r>
            <w:r w:rsidR="00A101A6">
              <w:rPr>
                <w:noProof/>
                <w:webHidden/>
              </w:rPr>
            </w:r>
            <w:r w:rsidR="00A101A6">
              <w:rPr>
                <w:noProof/>
                <w:webHidden/>
              </w:rPr>
              <w:fldChar w:fldCharType="separate"/>
            </w:r>
            <w:r w:rsidR="00A101A6">
              <w:rPr>
                <w:noProof/>
                <w:webHidden/>
              </w:rPr>
              <w:t>18</w:t>
            </w:r>
            <w:r w:rsidR="00A101A6">
              <w:rPr>
                <w:noProof/>
                <w:webHidden/>
              </w:rPr>
              <w:fldChar w:fldCharType="end"/>
            </w:r>
          </w:hyperlink>
        </w:p>
        <w:p w14:paraId="29076646" w14:textId="6E1585EF" w:rsidR="00A101A6" w:rsidRDefault="00000000">
          <w:pPr>
            <w:pStyle w:val="TOC3"/>
            <w:tabs>
              <w:tab w:val="right" w:leader="dot" w:pos="9016"/>
            </w:tabs>
            <w:rPr>
              <w:rFonts w:eastAsiaTheme="minorEastAsia"/>
              <w:noProof/>
              <w:lang w:eastAsia="en-GB"/>
            </w:rPr>
          </w:pPr>
          <w:hyperlink w:anchor="_Toc128599596" w:history="1">
            <w:r w:rsidR="00A101A6" w:rsidRPr="00243DE9">
              <w:rPr>
                <w:rStyle w:val="Hyperlink"/>
                <w:noProof/>
              </w:rPr>
              <w:t>Biomass Pre-treatment</w:t>
            </w:r>
            <w:r w:rsidR="00A101A6">
              <w:rPr>
                <w:noProof/>
                <w:webHidden/>
              </w:rPr>
              <w:tab/>
            </w:r>
            <w:r w:rsidR="00A101A6">
              <w:rPr>
                <w:noProof/>
                <w:webHidden/>
              </w:rPr>
              <w:fldChar w:fldCharType="begin"/>
            </w:r>
            <w:r w:rsidR="00A101A6">
              <w:rPr>
                <w:noProof/>
                <w:webHidden/>
              </w:rPr>
              <w:instrText xml:space="preserve"> PAGEREF _Toc128599596 \h </w:instrText>
            </w:r>
            <w:r w:rsidR="00A101A6">
              <w:rPr>
                <w:noProof/>
                <w:webHidden/>
              </w:rPr>
            </w:r>
            <w:r w:rsidR="00A101A6">
              <w:rPr>
                <w:noProof/>
                <w:webHidden/>
              </w:rPr>
              <w:fldChar w:fldCharType="separate"/>
            </w:r>
            <w:r w:rsidR="00A101A6">
              <w:rPr>
                <w:noProof/>
                <w:webHidden/>
              </w:rPr>
              <w:t>19</w:t>
            </w:r>
            <w:r w:rsidR="00A101A6">
              <w:rPr>
                <w:noProof/>
                <w:webHidden/>
              </w:rPr>
              <w:fldChar w:fldCharType="end"/>
            </w:r>
          </w:hyperlink>
        </w:p>
        <w:p w14:paraId="1BEB42E2" w14:textId="1B9468E4" w:rsidR="00A101A6" w:rsidRDefault="00000000">
          <w:pPr>
            <w:pStyle w:val="TOC2"/>
            <w:tabs>
              <w:tab w:val="right" w:leader="dot" w:pos="9016"/>
            </w:tabs>
            <w:rPr>
              <w:rFonts w:eastAsiaTheme="minorEastAsia"/>
              <w:noProof/>
              <w:lang w:eastAsia="en-GB"/>
            </w:rPr>
          </w:pPr>
          <w:hyperlink w:anchor="_Toc128599597" w:history="1">
            <w:r w:rsidR="00A101A6" w:rsidRPr="00243DE9">
              <w:rPr>
                <w:rStyle w:val="Hyperlink"/>
                <w:noProof/>
              </w:rPr>
              <w:t>Biomass utilisation in the iron and steel industry</w:t>
            </w:r>
            <w:r w:rsidR="00A101A6">
              <w:rPr>
                <w:noProof/>
                <w:webHidden/>
              </w:rPr>
              <w:tab/>
            </w:r>
            <w:r w:rsidR="00A101A6">
              <w:rPr>
                <w:noProof/>
                <w:webHidden/>
              </w:rPr>
              <w:fldChar w:fldCharType="begin"/>
            </w:r>
            <w:r w:rsidR="00A101A6">
              <w:rPr>
                <w:noProof/>
                <w:webHidden/>
              </w:rPr>
              <w:instrText xml:space="preserve"> PAGEREF _Toc128599597 \h </w:instrText>
            </w:r>
            <w:r w:rsidR="00A101A6">
              <w:rPr>
                <w:noProof/>
                <w:webHidden/>
              </w:rPr>
            </w:r>
            <w:r w:rsidR="00A101A6">
              <w:rPr>
                <w:noProof/>
                <w:webHidden/>
              </w:rPr>
              <w:fldChar w:fldCharType="separate"/>
            </w:r>
            <w:r w:rsidR="00A101A6">
              <w:rPr>
                <w:noProof/>
                <w:webHidden/>
              </w:rPr>
              <w:t>22</w:t>
            </w:r>
            <w:r w:rsidR="00A101A6">
              <w:rPr>
                <w:noProof/>
                <w:webHidden/>
              </w:rPr>
              <w:fldChar w:fldCharType="end"/>
            </w:r>
          </w:hyperlink>
        </w:p>
        <w:p w14:paraId="2B718C1A" w14:textId="1983B162" w:rsidR="00A101A6" w:rsidRDefault="00000000">
          <w:pPr>
            <w:pStyle w:val="TOC3"/>
            <w:tabs>
              <w:tab w:val="right" w:leader="dot" w:pos="9016"/>
            </w:tabs>
            <w:rPr>
              <w:rFonts w:eastAsiaTheme="minorEastAsia"/>
              <w:noProof/>
              <w:lang w:eastAsia="en-GB"/>
            </w:rPr>
          </w:pPr>
          <w:hyperlink w:anchor="_Toc128599598" w:history="1">
            <w:r w:rsidR="00A101A6" w:rsidRPr="00243DE9">
              <w:rPr>
                <w:rStyle w:val="Hyperlink"/>
                <w:noProof/>
              </w:rPr>
              <w:t>Injection of Biomass into blast furnaces</w:t>
            </w:r>
            <w:r w:rsidR="00A101A6">
              <w:rPr>
                <w:noProof/>
                <w:webHidden/>
              </w:rPr>
              <w:tab/>
            </w:r>
            <w:r w:rsidR="00A101A6">
              <w:rPr>
                <w:noProof/>
                <w:webHidden/>
              </w:rPr>
              <w:fldChar w:fldCharType="begin"/>
            </w:r>
            <w:r w:rsidR="00A101A6">
              <w:rPr>
                <w:noProof/>
                <w:webHidden/>
              </w:rPr>
              <w:instrText xml:space="preserve"> PAGEREF _Toc128599598 \h </w:instrText>
            </w:r>
            <w:r w:rsidR="00A101A6">
              <w:rPr>
                <w:noProof/>
                <w:webHidden/>
              </w:rPr>
            </w:r>
            <w:r w:rsidR="00A101A6">
              <w:rPr>
                <w:noProof/>
                <w:webHidden/>
              </w:rPr>
              <w:fldChar w:fldCharType="separate"/>
            </w:r>
            <w:r w:rsidR="00A101A6">
              <w:rPr>
                <w:noProof/>
                <w:webHidden/>
              </w:rPr>
              <w:t>22</w:t>
            </w:r>
            <w:r w:rsidR="00A101A6">
              <w:rPr>
                <w:noProof/>
                <w:webHidden/>
              </w:rPr>
              <w:fldChar w:fldCharType="end"/>
            </w:r>
          </w:hyperlink>
        </w:p>
        <w:p w14:paraId="3E189D88" w14:textId="2E3B03DB" w:rsidR="00A101A6" w:rsidRDefault="00000000">
          <w:pPr>
            <w:pStyle w:val="TOC3"/>
            <w:tabs>
              <w:tab w:val="right" w:leader="dot" w:pos="9016"/>
            </w:tabs>
            <w:rPr>
              <w:rFonts w:eastAsiaTheme="minorEastAsia"/>
              <w:noProof/>
              <w:lang w:eastAsia="en-GB"/>
            </w:rPr>
          </w:pPr>
          <w:hyperlink w:anchor="_Toc128599599" w:history="1">
            <w:r w:rsidR="00A101A6" w:rsidRPr="00243DE9">
              <w:rPr>
                <w:rStyle w:val="Hyperlink"/>
                <w:noProof/>
              </w:rPr>
              <w:t>Potential for biomass in metallurgical coke making.</w:t>
            </w:r>
            <w:r w:rsidR="00A101A6">
              <w:rPr>
                <w:noProof/>
                <w:webHidden/>
              </w:rPr>
              <w:tab/>
            </w:r>
            <w:r w:rsidR="00A101A6">
              <w:rPr>
                <w:noProof/>
                <w:webHidden/>
              </w:rPr>
              <w:fldChar w:fldCharType="begin"/>
            </w:r>
            <w:r w:rsidR="00A101A6">
              <w:rPr>
                <w:noProof/>
                <w:webHidden/>
              </w:rPr>
              <w:instrText xml:space="preserve"> PAGEREF _Toc128599599 \h </w:instrText>
            </w:r>
            <w:r w:rsidR="00A101A6">
              <w:rPr>
                <w:noProof/>
                <w:webHidden/>
              </w:rPr>
            </w:r>
            <w:r w:rsidR="00A101A6">
              <w:rPr>
                <w:noProof/>
                <w:webHidden/>
              </w:rPr>
              <w:fldChar w:fldCharType="separate"/>
            </w:r>
            <w:r w:rsidR="00A101A6">
              <w:rPr>
                <w:noProof/>
                <w:webHidden/>
              </w:rPr>
              <w:t>24</w:t>
            </w:r>
            <w:r w:rsidR="00A101A6">
              <w:rPr>
                <w:noProof/>
                <w:webHidden/>
              </w:rPr>
              <w:fldChar w:fldCharType="end"/>
            </w:r>
          </w:hyperlink>
        </w:p>
        <w:p w14:paraId="51604D50" w14:textId="57A517C0" w:rsidR="00A101A6" w:rsidRDefault="00000000">
          <w:pPr>
            <w:pStyle w:val="TOC3"/>
            <w:tabs>
              <w:tab w:val="right" w:leader="dot" w:pos="9016"/>
            </w:tabs>
            <w:rPr>
              <w:rFonts w:eastAsiaTheme="minorEastAsia"/>
              <w:noProof/>
              <w:lang w:eastAsia="en-GB"/>
            </w:rPr>
          </w:pPr>
          <w:hyperlink w:anchor="_Toc128599600" w:history="1">
            <w:r w:rsidR="00A101A6" w:rsidRPr="00243DE9">
              <w:rPr>
                <w:rStyle w:val="Hyperlink"/>
                <w:noProof/>
              </w:rPr>
              <w:t>Potential for biomass in the sintering process</w:t>
            </w:r>
            <w:r w:rsidR="00A101A6">
              <w:rPr>
                <w:noProof/>
                <w:webHidden/>
              </w:rPr>
              <w:tab/>
            </w:r>
            <w:r w:rsidR="00A101A6">
              <w:rPr>
                <w:noProof/>
                <w:webHidden/>
              </w:rPr>
              <w:fldChar w:fldCharType="begin"/>
            </w:r>
            <w:r w:rsidR="00A101A6">
              <w:rPr>
                <w:noProof/>
                <w:webHidden/>
              </w:rPr>
              <w:instrText xml:space="preserve"> PAGEREF _Toc128599600 \h </w:instrText>
            </w:r>
            <w:r w:rsidR="00A101A6">
              <w:rPr>
                <w:noProof/>
                <w:webHidden/>
              </w:rPr>
            </w:r>
            <w:r w:rsidR="00A101A6">
              <w:rPr>
                <w:noProof/>
                <w:webHidden/>
              </w:rPr>
              <w:fldChar w:fldCharType="separate"/>
            </w:r>
            <w:r w:rsidR="00A101A6">
              <w:rPr>
                <w:noProof/>
                <w:webHidden/>
              </w:rPr>
              <w:t>26</w:t>
            </w:r>
            <w:r w:rsidR="00A101A6">
              <w:rPr>
                <w:noProof/>
                <w:webHidden/>
              </w:rPr>
              <w:fldChar w:fldCharType="end"/>
            </w:r>
          </w:hyperlink>
        </w:p>
        <w:p w14:paraId="7682C6E8" w14:textId="644D4187" w:rsidR="00A101A6" w:rsidRDefault="00000000">
          <w:pPr>
            <w:pStyle w:val="TOC3"/>
            <w:tabs>
              <w:tab w:val="right" w:leader="dot" w:pos="9016"/>
            </w:tabs>
            <w:rPr>
              <w:rFonts w:eastAsiaTheme="minorEastAsia"/>
              <w:noProof/>
              <w:lang w:eastAsia="en-GB"/>
            </w:rPr>
          </w:pPr>
          <w:hyperlink w:anchor="_Toc128599601" w:history="1">
            <w:r w:rsidR="00A101A6" w:rsidRPr="00243DE9">
              <w:rPr>
                <w:rStyle w:val="Hyperlink"/>
                <w:noProof/>
              </w:rPr>
              <w:t>Biomass supply and availability</w:t>
            </w:r>
            <w:r w:rsidR="00A101A6">
              <w:rPr>
                <w:noProof/>
                <w:webHidden/>
              </w:rPr>
              <w:tab/>
            </w:r>
            <w:r w:rsidR="00A101A6">
              <w:rPr>
                <w:noProof/>
                <w:webHidden/>
              </w:rPr>
              <w:fldChar w:fldCharType="begin"/>
            </w:r>
            <w:r w:rsidR="00A101A6">
              <w:rPr>
                <w:noProof/>
                <w:webHidden/>
              </w:rPr>
              <w:instrText xml:space="preserve"> PAGEREF _Toc128599601 \h </w:instrText>
            </w:r>
            <w:r w:rsidR="00A101A6">
              <w:rPr>
                <w:noProof/>
                <w:webHidden/>
              </w:rPr>
            </w:r>
            <w:r w:rsidR="00A101A6">
              <w:rPr>
                <w:noProof/>
                <w:webHidden/>
              </w:rPr>
              <w:fldChar w:fldCharType="separate"/>
            </w:r>
            <w:r w:rsidR="00A101A6">
              <w:rPr>
                <w:noProof/>
                <w:webHidden/>
              </w:rPr>
              <w:t>28</w:t>
            </w:r>
            <w:r w:rsidR="00A101A6">
              <w:rPr>
                <w:noProof/>
                <w:webHidden/>
              </w:rPr>
              <w:fldChar w:fldCharType="end"/>
            </w:r>
          </w:hyperlink>
        </w:p>
        <w:p w14:paraId="1215B21D" w14:textId="6093B0A2" w:rsidR="00A101A6" w:rsidRDefault="00000000">
          <w:pPr>
            <w:pStyle w:val="TOC1"/>
            <w:tabs>
              <w:tab w:val="right" w:leader="dot" w:pos="9016"/>
            </w:tabs>
            <w:rPr>
              <w:rFonts w:eastAsiaTheme="minorEastAsia"/>
              <w:noProof/>
              <w:lang w:eastAsia="en-GB"/>
            </w:rPr>
          </w:pPr>
          <w:hyperlink w:anchor="_Toc128599602" w:history="1">
            <w:r w:rsidR="00A101A6" w:rsidRPr="00243DE9">
              <w:rPr>
                <w:rStyle w:val="Hyperlink"/>
                <w:noProof/>
              </w:rPr>
              <w:t>Analysis</w:t>
            </w:r>
            <w:r w:rsidR="00A101A6">
              <w:rPr>
                <w:noProof/>
                <w:webHidden/>
              </w:rPr>
              <w:tab/>
            </w:r>
            <w:r w:rsidR="00A101A6">
              <w:rPr>
                <w:noProof/>
                <w:webHidden/>
              </w:rPr>
              <w:fldChar w:fldCharType="begin"/>
            </w:r>
            <w:r w:rsidR="00A101A6">
              <w:rPr>
                <w:noProof/>
                <w:webHidden/>
              </w:rPr>
              <w:instrText xml:space="preserve"> PAGEREF _Toc128599602 \h </w:instrText>
            </w:r>
            <w:r w:rsidR="00A101A6">
              <w:rPr>
                <w:noProof/>
                <w:webHidden/>
              </w:rPr>
            </w:r>
            <w:r w:rsidR="00A101A6">
              <w:rPr>
                <w:noProof/>
                <w:webHidden/>
              </w:rPr>
              <w:fldChar w:fldCharType="separate"/>
            </w:r>
            <w:r w:rsidR="00A101A6">
              <w:rPr>
                <w:noProof/>
                <w:webHidden/>
              </w:rPr>
              <w:t>31</w:t>
            </w:r>
            <w:r w:rsidR="00A101A6">
              <w:rPr>
                <w:noProof/>
                <w:webHidden/>
              </w:rPr>
              <w:fldChar w:fldCharType="end"/>
            </w:r>
          </w:hyperlink>
        </w:p>
        <w:p w14:paraId="655EB183" w14:textId="304C30B7" w:rsidR="00A101A6" w:rsidRDefault="00000000">
          <w:pPr>
            <w:pStyle w:val="TOC2"/>
            <w:tabs>
              <w:tab w:val="right" w:leader="dot" w:pos="9016"/>
            </w:tabs>
            <w:rPr>
              <w:rFonts w:eastAsiaTheme="minorEastAsia"/>
              <w:noProof/>
              <w:lang w:eastAsia="en-GB"/>
            </w:rPr>
          </w:pPr>
          <w:hyperlink w:anchor="_Toc128599603" w:history="1">
            <w:r w:rsidR="00A101A6" w:rsidRPr="00243DE9">
              <w:rPr>
                <w:rStyle w:val="Hyperlink"/>
                <w:noProof/>
              </w:rPr>
              <w:t>Biochar characterisation</w:t>
            </w:r>
            <w:r w:rsidR="00A101A6">
              <w:rPr>
                <w:noProof/>
                <w:webHidden/>
              </w:rPr>
              <w:tab/>
            </w:r>
            <w:r w:rsidR="00A101A6">
              <w:rPr>
                <w:noProof/>
                <w:webHidden/>
              </w:rPr>
              <w:fldChar w:fldCharType="begin"/>
            </w:r>
            <w:r w:rsidR="00A101A6">
              <w:rPr>
                <w:noProof/>
                <w:webHidden/>
              </w:rPr>
              <w:instrText xml:space="preserve"> PAGEREF _Toc128599603 \h </w:instrText>
            </w:r>
            <w:r w:rsidR="00A101A6">
              <w:rPr>
                <w:noProof/>
                <w:webHidden/>
              </w:rPr>
            </w:r>
            <w:r w:rsidR="00A101A6">
              <w:rPr>
                <w:noProof/>
                <w:webHidden/>
              </w:rPr>
              <w:fldChar w:fldCharType="separate"/>
            </w:r>
            <w:r w:rsidR="00A101A6">
              <w:rPr>
                <w:noProof/>
                <w:webHidden/>
              </w:rPr>
              <w:t>32</w:t>
            </w:r>
            <w:r w:rsidR="00A101A6">
              <w:rPr>
                <w:noProof/>
                <w:webHidden/>
              </w:rPr>
              <w:fldChar w:fldCharType="end"/>
            </w:r>
          </w:hyperlink>
        </w:p>
        <w:p w14:paraId="7CCCEA85" w14:textId="60EFDBA8" w:rsidR="00A101A6" w:rsidRDefault="00000000">
          <w:pPr>
            <w:pStyle w:val="TOC3"/>
            <w:tabs>
              <w:tab w:val="right" w:leader="dot" w:pos="9016"/>
            </w:tabs>
            <w:rPr>
              <w:rFonts w:eastAsiaTheme="minorEastAsia"/>
              <w:noProof/>
              <w:lang w:eastAsia="en-GB"/>
            </w:rPr>
          </w:pPr>
          <w:hyperlink w:anchor="_Toc128599604" w:history="1">
            <w:r w:rsidR="00A101A6" w:rsidRPr="00243DE9">
              <w:rPr>
                <w:rStyle w:val="Hyperlink"/>
                <w:noProof/>
              </w:rPr>
              <w:t>Proximate analysis</w:t>
            </w:r>
            <w:r w:rsidR="00A101A6">
              <w:rPr>
                <w:noProof/>
                <w:webHidden/>
              </w:rPr>
              <w:tab/>
            </w:r>
            <w:r w:rsidR="00A101A6">
              <w:rPr>
                <w:noProof/>
                <w:webHidden/>
              </w:rPr>
              <w:fldChar w:fldCharType="begin"/>
            </w:r>
            <w:r w:rsidR="00A101A6">
              <w:rPr>
                <w:noProof/>
                <w:webHidden/>
              </w:rPr>
              <w:instrText xml:space="preserve"> PAGEREF _Toc128599604 \h </w:instrText>
            </w:r>
            <w:r w:rsidR="00A101A6">
              <w:rPr>
                <w:noProof/>
                <w:webHidden/>
              </w:rPr>
            </w:r>
            <w:r w:rsidR="00A101A6">
              <w:rPr>
                <w:noProof/>
                <w:webHidden/>
              </w:rPr>
              <w:fldChar w:fldCharType="separate"/>
            </w:r>
            <w:r w:rsidR="00A101A6">
              <w:rPr>
                <w:noProof/>
                <w:webHidden/>
              </w:rPr>
              <w:t>32</w:t>
            </w:r>
            <w:r w:rsidR="00A101A6">
              <w:rPr>
                <w:noProof/>
                <w:webHidden/>
              </w:rPr>
              <w:fldChar w:fldCharType="end"/>
            </w:r>
          </w:hyperlink>
        </w:p>
        <w:p w14:paraId="5C4DDACA" w14:textId="3CB92FDE" w:rsidR="00A101A6" w:rsidRDefault="00000000">
          <w:pPr>
            <w:pStyle w:val="TOC3"/>
            <w:tabs>
              <w:tab w:val="right" w:leader="dot" w:pos="9016"/>
            </w:tabs>
            <w:rPr>
              <w:rFonts w:eastAsiaTheme="minorEastAsia"/>
              <w:noProof/>
              <w:lang w:eastAsia="en-GB"/>
            </w:rPr>
          </w:pPr>
          <w:hyperlink w:anchor="_Toc128599605" w:history="1">
            <w:r w:rsidR="00A101A6" w:rsidRPr="00243DE9">
              <w:rPr>
                <w:rStyle w:val="Hyperlink"/>
                <w:noProof/>
              </w:rPr>
              <w:t>Ultimate analysis</w:t>
            </w:r>
            <w:r w:rsidR="00A101A6">
              <w:rPr>
                <w:noProof/>
                <w:webHidden/>
              </w:rPr>
              <w:tab/>
            </w:r>
            <w:r w:rsidR="00A101A6">
              <w:rPr>
                <w:noProof/>
                <w:webHidden/>
              </w:rPr>
              <w:fldChar w:fldCharType="begin"/>
            </w:r>
            <w:r w:rsidR="00A101A6">
              <w:rPr>
                <w:noProof/>
                <w:webHidden/>
              </w:rPr>
              <w:instrText xml:space="preserve"> PAGEREF _Toc128599605 \h </w:instrText>
            </w:r>
            <w:r w:rsidR="00A101A6">
              <w:rPr>
                <w:noProof/>
                <w:webHidden/>
              </w:rPr>
            </w:r>
            <w:r w:rsidR="00A101A6">
              <w:rPr>
                <w:noProof/>
                <w:webHidden/>
              </w:rPr>
              <w:fldChar w:fldCharType="separate"/>
            </w:r>
            <w:r w:rsidR="00A101A6">
              <w:rPr>
                <w:noProof/>
                <w:webHidden/>
              </w:rPr>
              <w:t>35</w:t>
            </w:r>
            <w:r w:rsidR="00A101A6">
              <w:rPr>
                <w:noProof/>
                <w:webHidden/>
              </w:rPr>
              <w:fldChar w:fldCharType="end"/>
            </w:r>
          </w:hyperlink>
        </w:p>
        <w:p w14:paraId="31CF5592" w14:textId="0AE05E62" w:rsidR="00A101A6" w:rsidRDefault="00000000">
          <w:pPr>
            <w:pStyle w:val="TOC3"/>
            <w:tabs>
              <w:tab w:val="right" w:leader="dot" w:pos="9016"/>
            </w:tabs>
            <w:rPr>
              <w:rFonts w:eastAsiaTheme="minorEastAsia"/>
              <w:noProof/>
              <w:lang w:eastAsia="en-GB"/>
            </w:rPr>
          </w:pPr>
          <w:hyperlink w:anchor="_Toc128599606" w:history="1">
            <w:r w:rsidR="00A101A6" w:rsidRPr="00243DE9">
              <w:rPr>
                <w:rStyle w:val="Hyperlink"/>
                <w:noProof/>
              </w:rPr>
              <w:t>Calorific value</w:t>
            </w:r>
            <w:r w:rsidR="00A101A6">
              <w:rPr>
                <w:noProof/>
                <w:webHidden/>
              </w:rPr>
              <w:tab/>
            </w:r>
            <w:r w:rsidR="00A101A6">
              <w:rPr>
                <w:noProof/>
                <w:webHidden/>
              </w:rPr>
              <w:fldChar w:fldCharType="begin"/>
            </w:r>
            <w:r w:rsidR="00A101A6">
              <w:rPr>
                <w:noProof/>
                <w:webHidden/>
              </w:rPr>
              <w:instrText xml:space="preserve"> PAGEREF _Toc128599606 \h </w:instrText>
            </w:r>
            <w:r w:rsidR="00A101A6">
              <w:rPr>
                <w:noProof/>
                <w:webHidden/>
              </w:rPr>
            </w:r>
            <w:r w:rsidR="00A101A6">
              <w:rPr>
                <w:noProof/>
                <w:webHidden/>
              </w:rPr>
              <w:fldChar w:fldCharType="separate"/>
            </w:r>
            <w:r w:rsidR="00A101A6">
              <w:rPr>
                <w:noProof/>
                <w:webHidden/>
              </w:rPr>
              <w:t>35</w:t>
            </w:r>
            <w:r w:rsidR="00A101A6">
              <w:rPr>
                <w:noProof/>
                <w:webHidden/>
              </w:rPr>
              <w:fldChar w:fldCharType="end"/>
            </w:r>
          </w:hyperlink>
        </w:p>
        <w:p w14:paraId="7A1281E0" w14:textId="023C3757" w:rsidR="00A101A6" w:rsidRDefault="00000000">
          <w:pPr>
            <w:pStyle w:val="TOC3"/>
            <w:tabs>
              <w:tab w:val="right" w:leader="dot" w:pos="9016"/>
            </w:tabs>
            <w:rPr>
              <w:rFonts w:eastAsiaTheme="minorEastAsia"/>
              <w:noProof/>
              <w:lang w:eastAsia="en-GB"/>
            </w:rPr>
          </w:pPr>
          <w:hyperlink w:anchor="_Toc128599607" w:history="1">
            <w:r w:rsidR="00A101A6" w:rsidRPr="00243DE9">
              <w:rPr>
                <w:rStyle w:val="Hyperlink"/>
                <w:noProof/>
              </w:rPr>
              <w:t>Major Elemental Analysis</w:t>
            </w:r>
            <w:r w:rsidR="00A101A6">
              <w:rPr>
                <w:noProof/>
                <w:webHidden/>
              </w:rPr>
              <w:tab/>
            </w:r>
            <w:r w:rsidR="00A101A6">
              <w:rPr>
                <w:noProof/>
                <w:webHidden/>
              </w:rPr>
              <w:fldChar w:fldCharType="begin"/>
            </w:r>
            <w:r w:rsidR="00A101A6">
              <w:rPr>
                <w:noProof/>
                <w:webHidden/>
              </w:rPr>
              <w:instrText xml:space="preserve"> PAGEREF _Toc128599607 \h </w:instrText>
            </w:r>
            <w:r w:rsidR="00A101A6">
              <w:rPr>
                <w:noProof/>
                <w:webHidden/>
              </w:rPr>
            </w:r>
            <w:r w:rsidR="00A101A6">
              <w:rPr>
                <w:noProof/>
                <w:webHidden/>
              </w:rPr>
              <w:fldChar w:fldCharType="separate"/>
            </w:r>
            <w:r w:rsidR="00A101A6">
              <w:rPr>
                <w:noProof/>
                <w:webHidden/>
              </w:rPr>
              <w:t>35</w:t>
            </w:r>
            <w:r w:rsidR="00A101A6">
              <w:rPr>
                <w:noProof/>
                <w:webHidden/>
              </w:rPr>
              <w:fldChar w:fldCharType="end"/>
            </w:r>
          </w:hyperlink>
        </w:p>
        <w:p w14:paraId="330D654A" w14:textId="10395D12" w:rsidR="00A101A6" w:rsidRDefault="00000000">
          <w:pPr>
            <w:pStyle w:val="TOC3"/>
            <w:tabs>
              <w:tab w:val="right" w:leader="dot" w:pos="9016"/>
            </w:tabs>
            <w:rPr>
              <w:rFonts w:eastAsiaTheme="minorEastAsia"/>
              <w:noProof/>
              <w:lang w:eastAsia="en-GB"/>
            </w:rPr>
          </w:pPr>
          <w:hyperlink w:anchor="_Toc128599608" w:history="1">
            <w:r w:rsidR="00A101A6" w:rsidRPr="00243DE9">
              <w:rPr>
                <w:rStyle w:val="Hyperlink"/>
                <w:noProof/>
              </w:rPr>
              <w:t>Minor elemental analysis</w:t>
            </w:r>
            <w:r w:rsidR="00A101A6">
              <w:rPr>
                <w:noProof/>
                <w:webHidden/>
              </w:rPr>
              <w:tab/>
            </w:r>
            <w:r w:rsidR="00A101A6">
              <w:rPr>
                <w:noProof/>
                <w:webHidden/>
              </w:rPr>
              <w:fldChar w:fldCharType="begin"/>
            </w:r>
            <w:r w:rsidR="00A101A6">
              <w:rPr>
                <w:noProof/>
                <w:webHidden/>
              </w:rPr>
              <w:instrText xml:space="preserve"> PAGEREF _Toc128599608 \h </w:instrText>
            </w:r>
            <w:r w:rsidR="00A101A6">
              <w:rPr>
                <w:noProof/>
                <w:webHidden/>
              </w:rPr>
            </w:r>
            <w:r w:rsidR="00A101A6">
              <w:rPr>
                <w:noProof/>
                <w:webHidden/>
              </w:rPr>
              <w:fldChar w:fldCharType="separate"/>
            </w:r>
            <w:r w:rsidR="00A101A6">
              <w:rPr>
                <w:noProof/>
                <w:webHidden/>
              </w:rPr>
              <w:t>36</w:t>
            </w:r>
            <w:r w:rsidR="00A101A6">
              <w:rPr>
                <w:noProof/>
                <w:webHidden/>
              </w:rPr>
              <w:fldChar w:fldCharType="end"/>
            </w:r>
          </w:hyperlink>
        </w:p>
        <w:p w14:paraId="23F3858D" w14:textId="50CA77BB" w:rsidR="00A101A6" w:rsidRDefault="00000000">
          <w:pPr>
            <w:pStyle w:val="TOC3"/>
            <w:tabs>
              <w:tab w:val="right" w:leader="dot" w:pos="9016"/>
            </w:tabs>
            <w:rPr>
              <w:rFonts w:eastAsiaTheme="minorEastAsia"/>
              <w:noProof/>
              <w:lang w:eastAsia="en-GB"/>
            </w:rPr>
          </w:pPr>
          <w:hyperlink w:anchor="_Toc128599609" w:history="1">
            <w:r w:rsidR="00A101A6" w:rsidRPr="00243DE9">
              <w:rPr>
                <w:rStyle w:val="Hyperlink"/>
                <w:noProof/>
              </w:rPr>
              <w:t>Particle size distribution</w:t>
            </w:r>
            <w:r w:rsidR="00A101A6">
              <w:rPr>
                <w:noProof/>
                <w:webHidden/>
              </w:rPr>
              <w:tab/>
            </w:r>
            <w:r w:rsidR="00A101A6">
              <w:rPr>
                <w:noProof/>
                <w:webHidden/>
              </w:rPr>
              <w:fldChar w:fldCharType="begin"/>
            </w:r>
            <w:r w:rsidR="00A101A6">
              <w:rPr>
                <w:noProof/>
                <w:webHidden/>
              </w:rPr>
              <w:instrText xml:space="preserve"> PAGEREF _Toc128599609 \h </w:instrText>
            </w:r>
            <w:r w:rsidR="00A101A6">
              <w:rPr>
                <w:noProof/>
                <w:webHidden/>
              </w:rPr>
            </w:r>
            <w:r w:rsidR="00A101A6">
              <w:rPr>
                <w:noProof/>
                <w:webHidden/>
              </w:rPr>
              <w:fldChar w:fldCharType="separate"/>
            </w:r>
            <w:r w:rsidR="00A101A6">
              <w:rPr>
                <w:noProof/>
                <w:webHidden/>
              </w:rPr>
              <w:t>37</w:t>
            </w:r>
            <w:r w:rsidR="00A101A6">
              <w:rPr>
                <w:noProof/>
                <w:webHidden/>
              </w:rPr>
              <w:fldChar w:fldCharType="end"/>
            </w:r>
          </w:hyperlink>
        </w:p>
        <w:p w14:paraId="50573881" w14:textId="06A18ACF" w:rsidR="00A101A6" w:rsidRDefault="00000000">
          <w:pPr>
            <w:pStyle w:val="TOC2"/>
            <w:tabs>
              <w:tab w:val="right" w:leader="dot" w:pos="9016"/>
            </w:tabs>
            <w:rPr>
              <w:rFonts w:eastAsiaTheme="minorEastAsia"/>
              <w:noProof/>
              <w:lang w:eastAsia="en-GB"/>
            </w:rPr>
          </w:pPr>
          <w:hyperlink w:anchor="_Toc128599610" w:history="1">
            <w:r w:rsidR="00A101A6" w:rsidRPr="00243DE9">
              <w:rPr>
                <w:rStyle w:val="Hyperlink"/>
                <w:noProof/>
              </w:rPr>
              <w:t>Assessing biochar substitution in pulverised coal injection (PCI)</w:t>
            </w:r>
            <w:r w:rsidR="00A101A6">
              <w:rPr>
                <w:noProof/>
                <w:webHidden/>
              </w:rPr>
              <w:tab/>
            </w:r>
            <w:r w:rsidR="00A101A6">
              <w:rPr>
                <w:noProof/>
                <w:webHidden/>
              </w:rPr>
              <w:fldChar w:fldCharType="begin"/>
            </w:r>
            <w:r w:rsidR="00A101A6">
              <w:rPr>
                <w:noProof/>
                <w:webHidden/>
              </w:rPr>
              <w:instrText xml:space="preserve"> PAGEREF _Toc128599610 \h </w:instrText>
            </w:r>
            <w:r w:rsidR="00A101A6">
              <w:rPr>
                <w:noProof/>
                <w:webHidden/>
              </w:rPr>
            </w:r>
            <w:r w:rsidR="00A101A6">
              <w:rPr>
                <w:noProof/>
                <w:webHidden/>
              </w:rPr>
              <w:fldChar w:fldCharType="separate"/>
            </w:r>
            <w:r w:rsidR="00A101A6">
              <w:rPr>
                <w:noProof/>
                <w:webHidden/>
              </w:rPr>
              <w:t>37</w:t>
            </w:r>
            <w:r w:rsidR="00A101A6">
              <w:rPr>
                <w:noProof/>
                <w:webHidden/>
              </w:rPr>
              <w:fldChar w:fldCharType="end"/>
            </w:r>
          </w:hyperlink>
        </w:p>
        <w:p w14:paraId="3D1F953D" w14:textId="509ACB6F" w:rsidR="00A101A6" w:rsidRDefault="00000000">
          <w:pPr>
            <w:pStyle w:val="TOC3"/>
            <w:tabs>
              <w:tab w:val="right" w:leader="dot" w:pos="9016"/>
            </w:tabs>
            <w:rPr>
              <w:rFonts w:eastAsiaTheme="minorEastAsia"/>
              <w:noProof/>
              <w:lang w:eastAsia="en-GB"/>
            </w:rPr>
          </w:pPr>
          <w:hyperlink w:anchor="_Toc128599611" w:history="1">
            <w:r w:rsidR="00A101A6" w:rsidRPr="00243DE9">
              <w:rPr>
                <w:rStyle w:val="Hyperlink"/>
                <w:noProof/>
              </w:rPr>
              <w:t>Drop tube furnace.</w:t>
            </w:r>
            <w:r w:rsidR="00A101A6">
              <w:rPr>
                <w:noProof/>
                <w:webHidden/>
              </w:rPr>
              <w:tab/>
            </w:r>
            <w:r w:rsidR="00A101A6">
              <w:rPr>
                <w:noProof/>
                <w:webHidden/>
              </w:rPr>
              <w:fldChar w:fldCharType="begin"/>
            </w:r>
            <w:r w:rsidR="00A101A6">
              <w:rPr>
                <w:noProof/>
                <w:webHidden/>
              </w:rPr>
              <w:instrText xml:space="preserve"> PAGEREF _Toc128599611 \h </w:instrText>
            </w:r>
            <w:r w:rsidR="00A101A6">
              <w:rPr>
                <w:noProof/>
                <w:webHidden/>
              </w:rPr>
            </w:r>
            <w:r w:rsidR="00A101A6">
              <w:rPr>
                <w:noProof/>
                <w:webHidden/>
              </w:rPr>
              <w:fldChar w:fldCharType="separate"/>
            </w:r>
            <w:r w:rsidR="00A101A6">
              <w:rPr>
                <w:noProof/>
                <w:webHidden/>
              </w:rPr>
              <w:t>37</w:t>
            </w:r>
            <w:r w:rsidR="00A101A6">
              <w:rPr>
                <w:noProof/>
                <w:webHidden/>
              </w:rPr>
              <w:fldChar w:fldCharType="end"/>
            </w:r>
          </w:hyperlink>
        </w:p>
        <w:p w14:paraId="7FAD1FF8" w14:textId="739F7864" w:rsidR="00A101A6" w:rsidRDefault="00000000">
          <w:pPr>
            <w:pStyle w:val="TOC2"/>
            <w:tabs>
              <w:tab w:val="right" w:leader="dot" w:pos="9016"/>
            </w:tabs>
            <w:rPr>
              <w:rFonts w:eastAsiaTheme="minorEastAsia"/>
              <w:noProof/>
              <w:lang w:eastAsia="en-GB"/>
            </w:rPr>
          </w:pPr>
          <w:hyperlink w:anchor="_Toc128599612" w:history="1">
            <w:r w:rsidR="00A101A6" w:rsidRPr="00243DE9">
              <w:rPr>
                <w:rStyle w:val="Hyperlink"/>
                <w:noProof/>
              </w:rPr>
              <w:t>Assessing biochar substitution in coke making</w:t>
            </w:r>
            <w:r w:rsidR="00A101A6">
              <w:rPr>
                <w:noProof/>
                <w:webHidden/>
              </w:rPr>
              <w:tab/>
            </w:r>
            <w:r w:rsidR="00A101A6">
              <w:rPr>
                <w:noProof/>
                <w:webHidden/>
              </w:rPr>
              <w:fldChar w:fldCharType="begin"/>
            </w:r>
            <w:r w:rsidR="00A101A6">
              <w:rPr>
                <w:noProof/>
                <w:webHidden/>
              </w:rPr>
              <w:instrText xml:space="preserve"> PAGEREF _Toc128599612 \h </w:instrText>
            </w:r>
            <w:r w:rsidR="00A101A6">
              <w:rPr>
                <w:noProof/>
                <w:webHidden/>
              </w:rPr>
            </w:r>
            <w:r w:rsidR="00A101A6">
              <w:rPr>
                <w:noProof/>
                <w:webHidden/>
              </w:rPr>
              <w:fldChar w:fldCharType="separate"/>
            </w:r>
            <w:r w:rsidR="00A101A6">
              <w:rPr>
                <w:noProof/>
                <w:webHidden/>
              </w:rPr>
              <w:t>39</w:t>
            </w:r>
            <w:r w:rsidR="00A101A6">
              <w:rPr>
                <w:noProof/>
                <w:webHidden/>
              </w:rPr>
              <w:fldChar w:fldCharType="end"/>
            </w:r>
          </w:hyperlink>
        </w:p>
        <w:p w14:paraId="2FB072FE" w14:textId="44E36A37" w:rsidR="00A101A6" w:rsidRDefault="00000000">
          <w:pPr>
            <w:pStyle w:val="TOC3"/>
            <w:tabs>
              <w:tab w:val="right" w:leader="dot" w:pos="9016"/>
            </w:tabs>
            <w:rPr>
              <w:rFonts w:eastAsiaTheme="minorEastAsia"/>
              <w:noProof/>
              <w:lang w:eastAsia="en-GB"/>
            </w:rPr>
          </w:pPr>
          <w:hyperlink w:anchor="_Toc128599613" w:history="1">
            <w:r w:rsidR="00A101A6" w:rsidRPr="00243DE9">
              <w:rPr>
                <w:rStyle w:val="Hyperlink"/>
                <w:noProof/>
              </w:rPr>
              <w:t>Pilot scale coke oven</w:t>
            </w:r>
            <w:r w:rsidR="00A101A6">
              <w:rPr>
                <w:noProof/>
                <w:webHidden/>
              </w:rPr>
              <w:tab/>
            </w:r>
            <w:r w:rsidR="00A101A6">
              <w:rPr>
                <w:noProof/>
                <w:webHidden/>
              </w:rPr>
              <w:fldChar w:fldCharType="begin"/>
            </w:r>
            <w:r w:rsidR="00A101A6">
              <w:rPr>
                <w:noProof/>
                <w:webHidden/>
              </w:rPr>
              <w:instrText xml:space="preserve"> PAGEREF _Toc128599613 \h </w:instrText>
            </w:r>
            <w:r w:rsidR="00A101A6">
              <w:rPr>
                <w:noProof/>
                <w:webHidden/>
              </w:rPr>
            </w:r>
            <w:r w:rsidR="00A101A6">
              <w:rPr>
                <w:noProof/>
                <w:webHidden/>
              </w:rPr>
              <w:fldChar w:fldCharType="separate"/>
            </w:r>
            <w:r w:rsidR="00A101A6">
              <w:rPr>
                <w:noProof/>
                <w:webHidden/>
              </w:rPr>
              <w:t>39</w:t>
            </w:r>
            <w:r w:rsidR="00A101A6">
              <w:rPr>
                <w:noProof/>
                <w:webHidden/>
              </w:rPr>
              <w:fldChar w:fldCharType="end"/>
            </w:r>
          </w:hyperlink>
        </w:p>
        <w:p w14:paraId="1F384488" w14:textId="4FA75128" w:rsidR="00A101A6" w:rsidRDefault="00000000">
          <w:pPr>
            <w:pStyle w:val="TOC3"/>
            <w:tabs>
              <w:tab w:val="right" w:leader="dot" w:pos="9016"/>
            </w:tabs>
            <w:rPr>
              <w:rFonts w:eastAsiaTheme="minorEastAsia"/>
              <w:noProof/>
              <w:lang w:eastAsia="en-GB"/>
            </w:rPr>
          </w:pPr>
          <w:hyperlink w:anchor="_Toc128599614" w:history="1">
            <w:r w:rsidR="00A101A6" w:rsidRPr="00243DE9">
              <w:rPr>
                <w:rStyle w:val="Hyperlink"/>
                <w:noProof/>
              </w:rPr>
              <w:t>1/5th Micum – Mechanical Strength</w:t>
            </w:r>
            <w:r w:rsidR="00A101A6">
              <w:rPr>
                <w:noProof/>
                <w:webHidden/>
              </w:rPr>
              <w:tab/>
            </w:r>
            <w:r w:rsidR="00A101A6">
              <w:rPr>
                <w:noProof/>
                <w:webHidden/>
              </w:rPr>
              <w:fldChar w:fldCharType="begin"/>
            </w:r>
            <w:r w:rsidR="00A101A6">
              <w:rPr>
                <w:noProof/>
                <w:webHidden/>
              </w:rPr>
              <w:instrText xml:space="preserve"> PAGEREF _Toc128599614 \h </w:instrText>
            </w:r>
            <w:r w:rsidR="00A101A6">
              <w:rPr>
                <w:noProof/>
                <w:webHidden/>
              </w:rPr>
            </w:r>
            <w:r w:rsidR="00A101A6">
              <w:rPr>
                <w:noProof/>
                <w:webHidden/>
              </w:rPr>
              <w:fldChar w:fldCharType="separate"/>
            </w:r>
            <w:r w:rsidR="00A101A6">
              <w:rPr>
                <w:noProof/>
                <w:webHidden/>
              </w:rPr>
              <w:t>42</w:t>
            </w:r>
            <w:r w:rsidR="00A101A6">
              <w:rPr>
                <w:noProof/>
                <w:webHidden/>
              </w:rPr>
              <w:fldChar w:fldCharType="end"/>
            </w:r>
          </w:hyperlink>
        </w:p>
        <w:p w14:paraId="4CA9C91B" w14:textId="16876075" w:rsidR="00A101A6" w:rsidRDefault="00000000">
          <w:pPr>
            <w:pStyle w:val="TOC3"/>
            <w:tabs>
              <w:tab w:val="right" w:leader="dot" w:pos="9016"/>
            </w:tabs>
            <w:rPr>
              <w:rFonts w:eastAsiaTheme="minorEastAsia"/>
              <w:noProof/>
              <w:lang w:eastAsia="en-GB"/>
            </w:rPr>
          </w:pPr>
          <w:hyperlink w:anchor="_Toc128599615" w:history="1">
            <w:r w:rsidR="00A101A6" w:rsidRPr="00243DE9">
              <w:rPr>
                <w:rStyle w:val="Hyperlink"/>
                <w:noProof/>
              </w:rPr>
              <w:t>Coke strength after reaction and Coke reactivity index (CSR/CRI)</w:t>
            </w:r>
            <w:r w:rsidR="00A101A6">
              <w:rPr>
                <w:noProof/>
                <w:webHidden/>
              </w:rPr>
              <w:tab/>
            </w:r>
            <w:r w:rsidR="00A101A6">
              <w:rPr>
                <w:noProof/>
                <w:webHidden/>
              </w:rPr>
              <w:fldChar w:fldCharType="begin"/>
            </w:r>
            <w:r w:rsidR="00A101A6">
              <w:rPr>
                <w:noProof/>
                <w:webHidden/>
              </w:rPr>
              <w:instrText xml:space="preserve"> PAGEREF _Toc128599615 \h </w:instrText>
            </w:r>
            <w:r w:rsidR="00A101A6">
              <w:rPr>
                <w:noProof/>
                <w:webHidden/>
              </w:rPr>
            </w:r>
            <w:r w:rsidR="00A101A6">
              <w:rPr>
                <w:noProof/>
                <w:webHidden/>
              </w:rPr>
              <w:fldChar w:fldCharType="separate"/>
            </w:r>
            <w:r w:rsidR="00A101A6">
              <w:rPr>
                <w:noProof/>
                <w:webHidden/>
              </w:rPr>
              <w:t>43</w:t>
            </w:r>
            <w:r w:rsidR="00A101A6">
              <w:rPr>
                <w:noProof/>
                <w:webHidden/>
              </w:rPr>
              <w:fldChar w:fldCharType="end"/>
            </w:r>
          </w:hyperlink>
        </w:p>
        <w:p w14:paraId="2894F763" w14:textId="69F60BD1" w:rsidR="00A101A6" w:rsidRDefault="00000000">
          <w:pPr>
            <w:pStyle w:val="TOC2"/>
            <w:tabs>
              <w:tab w:val="right" w:leader="dot" w:pos="9016"/>
            </w:tabs>
            <w:rPr>
              <w:rFonts w:eastAsiaTheme="minorEastAsia"/>
              <w:noProof/>
              <w:lang w:eastAsia="en-GB"/>
            </w:rPr>
          </w:pPr>
          <w:hyperlink w:anchor="_Toc128599616" w:history="1">
            <w:r w:rsidR="00A101A6" w:rsidRPr="00243DE9">
              <w:rPr>
                <w:rStyle w:val="Hyperlink"/>
                <w:noProof/>
              </w:rPr>
              <w:t>Assessing biochar substitution in sinter making</w:t>
            </w:r>
            <w:r w:rsidR="00A101A6">
              <w:rPr>
                <w:noProof/>
                <w:webHidden/>
              </w:rPr>
              <w:tab/>
            </w:r>
            <w:r w:rsidR="00A101A6">
              <w:rPr>
                <w:noProof/>
                <w:webHidden/>
              </w:rPr>
              <w:fldChar w:fldCharType="begin"/>
            </w:r>
            <w:r w:rsidR="00A101A6">
              <w:rPr>
                <w:noProof/>
                <w:webHidden/>
              </w:rPr>
              <w:instrText xml:space="preserve"> PAGEREF _Toc128599616 \h </w:instrText>
            </w:r>
            <w:r w:rsidR="00A101A6">
              <w:rPr>
                <w:noProof/>
                <w:webHidden/>
              </w:rPr>
            </w:r>
            <w:r w:rsidR="00A101A6">
              <w:rPr>
                <w:noProof/>
                <w:webHidden/>
              </w:rPr>
              <w:fldChar w:fldCharType="separate"/>
            </w:r>
            <w:r w:rsidR="00A101A6">
              <w:rPr>
                <w:noProof/>
                <w:webHidden/>
              </w:rPr>
              <w:t>45</w:t>
            </w:r>
            <w:r w:rsidR="00A101A6">
              <w:rPr>
                <w:noProof/>
                <w:webHidden/>
              </w:rPr>
              <w:fldChar w:fldCharType="end"/>
            </w:r>
          </w:hyperlink>
        </w:p>
        <w:p w14:paraId="75E35DFD" w14:textId="60755F1C" w:rsidR="00A101A6" w:rsidRDefault="00000000">
          <w:pPr>
            <w:pStyle w:val="TOC3"/>
            <w:tabs>
              <w:tab w:val="right" w:leader="dot" w:pos="9016"/>
            </w:tabs>
            <w:rPr>
              <w:rFonts w:eastAsiaTheme="minorEastAsia"/>
              <w:noProof/>
              <w:lang w:eastAsia="en-GB"/>
            </w:rPr>
          </w:pPr>
          <w:hyperlink w:anchor="_Toc128599617" w:history="1">
            <w:r w:rsidR="00A101A6" w:rsidRPr="00243DE9">
              <w:rPr>
                <w:rStyle w:val="Hyperlink"/>
                <w:noProof/>
              </w:rPr>
              <w:t>Sinter pot</w:t>
            </w:r>
            <w:r w:rsidR="00A101A6">
              <w:rPr>
                <w:noProof/>
                <w:webHidden/>
              </w:rPr>
              <w:tab/>
            </w:r>
            <w:r w:rsidR="00A101A6">
              <w:rPr>
                <w:noProof/>
                <w:webHidden/>
              </w:rPr>
              <w:fldChar w:fldCharType="begin"/>
            </w:r>
            <w:r w:rsidR="00A101A6">
              <w:rPr>
                <w:noProof/>
                <w:webHidden/>
              </w:rPr>
              <w:instrText xml:space="preserve"> PAGEREF _Toc128599617 \h </w:instrText>
            </w:r>
            <w:r w:rsidR="00A101A6">
              <w:rPr>
                <w:noProof/>
                <w:webHidden/>
              </w:rPr>
            </w:r>
            <w:r w:rsidR="00A101A6">
              <w:rPr>
                <w:noProof/>
                <w:webHidden/>
              </w:rPr>
              <w:fldChar w:fldCharType="separate"/>
            </w:r>
            <w:r w:rsidR="00A101A6">
              <w:rPr>
                <w:noProof/>
                <w:webHidden/>
              </w:rPr>
              <w:t>45</w:t>
            </w:r>
            <w:r w:rsidR="00A101A6">
              <w:rPr>
                <w:noProof/>
                <w:webHidden/>
              </w:rPr>
              <w:fldChar w:fldCharType="end"/>
            </w:r>
          </w:hyperlink>
        </w:p>
        <w:p w14:paraId="2E99A8A0" w14:textId="64E683D6" w:rsidR="00A101A6" w:rsidRDefault="00000000">
          <w:pPr>
            <w:pStyle w:val="TOC3"/>
            <w:tabs>
              <w:tab w:val="right" w:leader="dot" w:pos="9016"/>
            </w:tabs>
            <w:rPr>
              <w:rFonts w:eastAsiaTheme="minorEastAsia"/>
              <w:noProof/>
              <w:lang w:eastAsia="en-GB"/>
            </w:rPr>
          </w:pPr>
          <w:hyperlink w:anchor="_Toc128599618" w:history="1">
            <w:r w:rsidR="00A101A6" w:rsidRPr="00243DE9">
              <w:rPr>
                <w:rStyle w:val="Hyperlink"/>
                <w:noProof/>
              </w:rPr>
              <w:t>Determination of low-temperature reduction disintegration indices</w:t>
            </w:r>
            <w:r w:rsidR="00A101A6">
              <w:rPr>
                <w:noProof/>
                <w:webHidden/>
              </w:rPr>
              <w:tab/>
            </w:r>
            <w:r w:rsidR="00A101A6">
              <w:rPr>
                <w:noProof/>
                <w:webHidden/>
              </w:rPr>
              <w:fldChar w:fldCharType="begin"/>
            </w:r>
            <w:r w:rsidR="00A101A6">
              <w:rPr>
                <w:noProof/>
                <w:webHidden/>
              </w:rPr>
              <w:instrText xml:space="preserve"> PAGEREF _Toc128599618 \h </w:instrText>
            </w:r>
            <w:r w:rsidR="00A101A6">
              <w:rPr>
                <w:noProof/>
                <w:webHidden/>
              </w:rPr>
            </w:r>
            <w:r w:rsidR="00A101A6">
              <w:rPr>
                <w:noProof/>
                <w:webHidden/>
              </w:rPr>
              <w:fldChar w:fldCharType="separate"/>
            </w:r>
            <w:r w:rsidR="00A101A6">
              <w:rPr>
                <w:noProof/>
                <w:webHidden/>
              </w:rPr>
              <w:t>47</w:t>
            </w:r>
            <w:r w:rsidR="00A101A6">
              <w:rPr>
                <w:noProof/>
                <w:webHidden/>
              </w:rPr>
              <w:fldChar w:fldCharType="end"/>
            </w:r>
          </w:hyperlink>
        </w:p>
        <w:p w14:paraId="57E6C363" w14:textId="3A43F0DC" w:rsidR="00A101A6" w:rsidRDefault="00000000">
          <w:pPr>
            <w:pStyle w:val="TOC3"/>
            <w:tabs>
              <w:tab w:val="right" w:leader="dot" w:pos="9016"/>
            </w:tabs>
            <w:rPr>
              <w:rFonts w:eastAsiaTheme="minorEastAsia"/>
              <w:noProof/>
              <w:lang w:eastAsia="en-GB"/>
            </w:rPr>
          </w:pPr>
          <w:hyperlink w:anchor="_Toc128599619" w:history="1">
            <w:r w:rsidR="00A101A6" w:rsidRPr="00243DE9">
              <w:rPr>
                <w:rStyle w:val="Hyperlink"/>
                <w:noProof/>
              </w:rPr>
              <w:t>Tumble and Abrasion indices</w:t>
            </w:r>
            <w:r w:rsidR="00A101A6">
              <w:rPr>
                <w:noProof/>
                <w:webHidden/>
              </w:rPr>
              <w:tab/>
            </w:r>
            <w:r w:rsidR="00A101A6">
              <w:rPr>
                <w:noProof/>
                <w:webHidden/>
              </w:rPr>
              <w:fldChar w:fldCharType="begin"/>
            </w:r>
            <w:r w:rsidR="00A101A6">
              <w:rPr>
                <w:noProof/>
                <w:webHidden/>
              </w:rPr>
              <w:instrText xml:space="preserve"> PAGEREF _Toc128599619 \h </w:instrText>
            </w:r>
            <w:r w:rsidR="00A101A6">
              <w:rPr>
                <w:noProof/>
                <w:webHidden/>
              </w:rPr>
            </w:r>
            <w:r w:rsidR="00A101A6">
              <w:rPr>
                <w:noProof/>
                <w:webHidden/>
              </w:rPr>
              <w:fldChar w:fldCharType="separate"/>
            </w:r>
            <w:r w:rsidR="00A101A6">
              <w:rPr>
                <w:noProof/>
                <w:webHidden/>
              </w:rPr>
              <w:t>48</w:t>
            </w:r>
            <w:r w:rsidR="00A101A6">
              <w:rPr>
                <w:noProof/>
                <w:webHidden/>
              </w:rPr>
              <w:fldChar w:fldCharType="end"/>
            </w:r>
          </w:hyperlink>
        </w:p>
        <w:p w14:paraId="4AE28ED2" w14:textId="0E0F8C60" w:rsidR="00A101A6" w:rsidRDefault="00000000">
          <w:pPr>
            <w:pStyle w:val="TOC3"/>
            <w:tabs>
              <w:tab w:val="right" w:leader="dot" w:pos="9016"/>
            </w:tabs>
            <w:rPr>
              <w:rFonts w:eastAsiaTheme="minorEastAsia"/>
              <w:noProof/>
              <w:lang w:eastAsia="en-GB"/>
            </w:rPr>
          </w:pPr>
          <w:hyperlink w:anchor="_Toc128599620" w:history="1">
            <w:r w:rsidR="00A101A6" w:rsidRPr="00243DE9">
              <w:rPr>
                <w:rStyle w:val="Hyperlink"/>
                <w:noProof/>
              </w:rPr>
              <w:t>Quality Control</w:t>
            </w:r>
            <w:r w:rsidR="00A101A6">
              <w:rPr>
                <w:noProof/>
                <w:webHidden/>
              </w:rPr>
              <w:tab/>
            </w:r>
            <w:r w:rsidR="00A101A6">
              <w:rPr>
                <w:noProof/>
                <w:webHidden/>
              </w:rPr>
              <w:fldChar w:fldCharType="begin"/>
            </w:r>
            <w:r w:rsidR="00A101A6">
              <w:rPr>
                <w:noProof/>
                <w:webHidden/>
              </w:rPr>
              <w:instrText xml:space="preserve"> PAGEREF _Toc128599620 \h </w:instrText>
            </w:r>
            <w:r w:rsidR="00A101A6">
              <w:rPr>
                <w:noProof/>
                <w:webHidden/>
              </w:rPr>
            </w:r>
            <w:r w:rsidR="00A101A6">
              <w:rPr>
                <w:noProof/>
                <w:webHidden/>
              </w:rPr>
              <w:fldChar w:fldCharType="separate"/>
            </w:r>
            <w:r w:rsidR="00A101A6">
              <w:rPr>
                <w:noProof/>
                <w:webHidden/>
              </w:rPr>
              <w:t>49</w:t>
            </w:r>
            <w:r w:rsidR="00A101A6">
              <w:rPr>
                <w:noProof/>
                <w:webHidden/>
              </w:rPr>
              <w:fldChar w:fldCharType="end"/>
            </w:r>
          </w:hyperlink>
        </w:p>
        <w:p w14:paraId="708DF0AB" w14:textId="2B2D6A72" w:rsidR="00A101A6" w:rsidRDefault="00000000">
          <w:pPr>
            <w:pStyle w:val="TOC1"/>
            <w:tabs>
              <w:tab w:val="right" w:leader="dot" w:pos="9016"/>
            </w:tabs>
            <w:rPr>
              <w:rFonts w:eastAsiaTheme="minorEastAsia"/>
              <w:noProof/>
              <w:lang w:eastAsia="en-GB"/>
            </w:rPr>
          </w:pPr>
          <w:hyperlink w:anchor="_Toc128599621" w:history="1">
            <w:r w:rsidR="00A101A6" w:rsidRPr="00243DE9">
              <w:rPr>
                <w:rStyle w:val="Hyperlink"/>
                <w:noProof/>
              </w:rPr>
              <w:t>Results</w:t>
            </w:r>
            <w:r w:rsidR="00A101A6">
              <w:rPr>
                <w:noProof/>
                <w:webHidden/>
              </w:rPr>
              <w:tab/>
            </w:r>
            <w:r w:rsidR="00A101A6">
              <w:rPr>
                <w:noProof/>
                <w:webHidden/>
              </w:rPr>
              <w:fldChar w:fldCharType="begin"/>
            </w:r>
            <w:r w:rsidR="00A101A6">
              <w:rPr>
                <w:noProof/>
                <w:webHidden/>
              </w:rPr>
              <w:instrText xml:space="preserve"> PAGEREF _Toc128599621 \h </w:instrText>
            </w:r>
            <w:r w:rsidR="00A101A6">
              <w:rPr>
                <w:noProof/>
                <w:webHidden/>
              </w:rPr>
            </w:r>
            <w:r w:rsidR="00A101A6">
              <w:rPr>
                <w:noProof/>
                <w:webHidden/>
              </w:rPr>
              <w:fldChar w:fldCharType="separate"/>
            </w:r>
            <w:r w:rsidR="00A101A6">
              <w:rPr>
                <w:noProof/>
                <w:webHidden/>
              </w:rPr>
              <w:t>50</w:t>
            </w:r>
            <w:r w:rsidR="00A101A6">
              <w:rPr>
                <w:noProof/>
                <w:webHidden/>
              </w:rPr>
              <w:fldChar w:fldCharType="end"/>
            </w:r>
          </w:hyperlink>
        </w:p>
        <w:p w14:paraId="1056BCEC" w14:textId="648F7147" w:rsidR="00A101A6" w:rsidRDefault="00000000">
          <w:pPr>
            <w:pStyle w:val="TOC2"/>
            <w:tabs>
              <w:tab w:val="right" w:leader="dot" w:pos="9016"/>
            </w:tabs>
            <w:rPr>
              <w:rFonts w:eastAsiaTheme="minorEastAsia"/>
              <w:noProof/>
              <w:lang w:eastAsia="en-GB"/>
            </w:rPr>
          </w:pPr>
          <w:hyperlink w:anchor="_Toc128599622" w:history="1">
            <w:r w:rsidR="00A101A6" w:rsidRPr="00243DE9">
              <w:rPr>
                <w:rStyle w:val="Hyperlink"/>
                <w:noProof/>
              </w:rPr>
              <w:t>Biochar substitution for pulverised coal injection</w:t>
            </w:r>
            <w:r w:rsidR="00A101A6">
              <w:rPr>
                <w:noProof/>
                <w:webHidden/>
              </w:rPr>
              <w:tab/>
            </w:r>
            <w:r w:rsidR="00A101A6">
              <w:rPr>
                <w:noProof/>
                <w:webHidden/>
              </w:rPr>
              <w:fldChar w:fldCharType="begin"/>
            </w:r>
            <w:r w:rsidR="00A101A6">
              <w:rPr>
                <w:noProof/>
                <w:webHidden/>
              </w:rPr>
              <w:instrText xml:space="preserve"> PAGEREF _Toc128599622 \h </w:instrText>
            </w:r>
            <w:r w:rsidR="00A101A6">
              <w:rPr>
                <w:noProof/>
                <w:webHidden/>
              </w:rPr>
            </w:r>
            <w:r w:rsidR="00A101A6">
              <w:rPr>
                <w:noProof/>
                <w:webHidden/>
              </w:rPr>
              <w:fldChar w:fldCharType="separate"/>
            </w:r>
            <w:r w:rsidR="00A101A6">
              <w:rPr>
                <w:noProof/>
                <w:webHidden/>
              </w:rPr>
              <w:t>50</w:t>
            </w:r>
            <w:r w:rsidR="00A101A6">
              <w:rPr>
                <w:noProof/>
                <w:webHidden/>
              </w:rPr>
              <w:fldChar w:fldCharType="end"/>
            </w:r>
          </w:hyperlink>
        </w:p>
        <w:p w14:paraId="6A9A5351" w14:textId="58F85BFC" w:rsidR="00A101A6" w:rsidRDefault="00000000">
          <w:pPr>
            <w:pStyle w:val="TOC3"/>
            <w:tabs>
              <w:tab w:val="right" w:leader="dot" w:pos="9016"/>
            </w:tabs>
            <w:rPr>
              <w:rFonts w:eastAsiaTheme="minorEastAsia"/>
              <w:noProof/>
              <w:lang w:eastAsia="en-GB"/>
            </w:rPr>
          </w:pPr>
          <w:hyperlink w:anchor="_Toc128599623" w:history="1">
            <w:r w:rsidR="00A101A6" w:rsidRPr="00243DE9">
              <w:rPr>
                <w:rStyle w:val="Hyperlink"/>
                <w:noProof/>
              </w:rPr>
              <w:t>Properties of charcoal and PCI coal</w:t>
            </w:r>
            <w:r w:rsidR="00A101A6">
              <w:rPr>
                <w:noProof/>
                <w:webHidden/>
              </w:rPr>
              <w:tab/>
            </w:r>
            <w:r w:rsidR="00A101A6">
              <w:rPr>
                <w:noProof/>
                <w:webHidden/>
              </w:rPr>
              <w:fldChar w:fldCharType="begin"/>
            </w:r>
            <w:r w:rsidR="00A101A6">
              <w:rPr>
                <w:noProof/>
                <w:webHidden/>
              </w:rPr>
              <w:instrText xml:space="preserve"> PAGEREF _Toc128599623 \h </w:instrText>
            </w:r>
            <w:r w:rsidR="00A101A6">
              <w:rPr>
                <w:noProof/>
                <w:webHidden/>
              </w:rPr>
            </w:r>
            <w:r w:rsidR="00A101A6">
              <w:rPr>
                <w:noProof/>
                <w:webHidden/>
              </w:rPr>
              <w:fldChar w:fldCharType="separate"/>
            </w:r>
            <w:r w:rsidR="00A101A6">
              <w:rPr>
                <w:noProof/>
                <w:webHidden/>
              </w:rPr>
              <w:t>51</w:t>
            </w:r>
            <w:r w:rsidR="00A101A6">
              <w:rPr>
                <w:noProof/>
                <w:webHidden/>
              </w:rPr>
              <w:fldChar w:fldCharType="end"/>
            </w:r>
          </w:hyperlink>
        </w:p>
        <w:p w14:paraId="3D7B435C" w14:textId="0201CB89" w:rsidR="00A101A6" w:rsidRDefault="00000000">
          <w:pPr>
            <w:pStyle w:val="TOC3"/>
            <w:tabs>
              <w:tab w:val="right" w:leader="dot" w:pos="9016"/>
            </w:tabs>
            <w:rPr>
              <w:rFonts w:eastAsiaTheme="minorEastAsia"/>
              <w:noProof/>
              <w:lang w:eastAsia="en-GB"/>
            </w:rPr>
          </w:pPr>
          <w:hyperlink w:anchor="_Toc128599624" w:history="1">
            <w:r w:rsidR="00A101A6" w:rsidRPr="00243DE9">
              <w:rPr>
                <w:rStyle w:val="Hyperlink"/>
                <w:noProof/>
              </w:rPr>
              <w:t>Chemical Composition</w:t>
            </w:r>
            <w:r w:rsidR="00A101A6">
              <w:rPr>
                <w:noProof/>
                <w:webHidden/>
              </w:rPr>
              <w:tab/>
            </w:r>
            <w:r w:rsidR="00A101A6">
              <w:rPr>
                <w:noProof/>
                <w:webHidden/>
              </w:rPr>
              <w:fldChar w:fldCharType="begin"/>
            </w:r>
            <w:r w:rsidR="00A101A6">
              <w:rPr>
                <w:noProof/>
                <w:webHidden/>
              </w:rPr>
              <w:instrText xml:space="preserve"> PAGEREF _Toc128599624 \h </w:instrText>
            </w:r>
            <w:r w:rsidR="00A101A6">
              <w:rPr>
                <w:noProof/>
                <w:webHidden/>
              </w:rPr>
            </w:r>
            <w:r w:rsidR="00A101A6">
              <w:rPr>
                <w:noProof/>
                <w:webHidden/>
              </w:rPr>
              <w:fldChar w:fldCharType="separate"/>
            </w:r>
            <w:r w:rsidR="00A101A6">
              <w:rPr>
                <w:noProof/>
                <w:webHidden/>
              </w:rPr>
              <w:t>52</w:t>
            </w:r>
            <w:r w:rsidR="00A101A6">
              <w:rPr>
                <w:noProof/>
                <w:webHidden/>
              </w:rPr>
              <w:fldChar w:fldCharType="end"/>
            </w:r>
          </w:hyperlink>
        </w:p>
        <w:p w14:paraId="3CD400B5" w14:textId="26FFC2E9" w:rsidR="00A101A6" w:rsidRDefault="00000000">
          <w:pPr>
            <w:pStyle w:val="TOC3"/>
            <w:tabs>
              <w:tab w:val="right" w:leader="dot" w:pos="9016"/>
            </w:tabs>
            <w:rPr>
              <w:rFonts w:eastAsiaTheme="minorEastAsia"/>
              <w:noProof/>
              <w:lang w:eastAsia="en-GB"/>
            </w:rPr>
          </w:pPr>
          <w:hyperlink w:anchor="_Toc128599625" w:history="1">
            <w:r w:rsidR="00A101A6" w:rsidRPr="00243DE9">
              <w:rPr>
                <w:rStyle w:val="Hyperlink"/>
                <w:noProof/>
              </w:rPr>
              <w:t>Combustibility</w:t>
            </w:r>
            <w:r w:rsidR="00A101A6">
              <w:rPr>
                <w:noProof/>
                <w:webHidden/>
              </w:rPr>
              <w:tab/>
            </w:r>
            <w:r w:rsidR="00A101A6">
              <w:rPr>
                <w:noProof/>
                <w:webHidden/>
              </w:rPr>
              <w:fldChar w:fldCharType="begin"/>
            </w:r>
            <w:r w:rsidR="00A101A6">
              <w:rPr>
                <w:noProof/>
                <w:webHidden/>
              </w:rPr>
              <w:instrText xml:space="preserve"> PAGEREF _Toc128599625 \h </w:instrText>
            </w:r>
            <w:r w:rsidR="00A101A6">
              <w:rPr>
                <w:noProof/>
                <w:webHidden/>
              </w:rPr>
            </w:r>
            <w:r w:rsidR="00A101A6">
              <w:rPr>
                <w:noProof/>
                <w:webHidden/>
              </w:rPr>
              <w:fldChar w:fldCharType="separate"/>
            </w:r>
            <w:r w:rsidR="00A101A6">
              <w:rPr>
                <w:noProof/>
                <w:webHidden/>
              </w:rPr>
              <w:t>54</w:t>
            </w:r>
            <w:r w:rsidR="00A101A6">
              <w:rPr>
                <w:noProof/>
                <w:webHidden/>
              </w:rPr>
              <w:fldChar w:fldCharType="end"/>
            </w:r>
          </w:hyperlink>
        </w:p>
        <w:p w14:paraId="2C2BE2E4" w14:textId="743ED937" w:rsidR="00A101A6" w:rsidRDefault="00000000">
          <w:pPr>
            <w:pStyle w:val="TOC2"/>
            <w:tabs>
              <w:tab w:val="right" w:leader="dot" w:pos="9016"/>
            </w:tabs>
            <w:rPr>
              <w:rFonts w:eastAsiaTheme="minorEastAsia"/>
              <w:noProof/>
              <w:lang w:eastAsia="en-GB"/>
            </w:rPr>
          </w:pPr>
          <w:hyperlink w:anchor="_Toc128599626" w:history="1">
            <w:r w:rsidR="00A101A6" w:rsidRPr="00243DE9">
              <w:rPr>
                <w:rStyle w:val="Hyperlink"/>
                <w:noProof/>
              </w:rPr>
              <w:t>Biochar substitution into coke making.</w:t>
            </w:r>
            <w:r w:rsidR="00A101A6">
              <w:rPr>
                <w:noProof/>
                <w:webHidden/>
              </w:rPr>
              <w:tab/>
            </w:r>
            <w:r w:rsidR="00A101A6">
              <w:rPr>
                <w:noProof/>
                <w:webHidden/>
              </w:rPr>
              <w:fldChar w:fldCharType="begin"/>
            </w:r>
            <w:r w:rsidR="00A101A6">
              <w:rPr>
                <w:noProof/>
                <w:webHidden/>
              </w:rPr>
              <w:instrText xml:space="preserve"> PAGEREF _Toc128599626 \h </w:instrText>
            </w:r>
            <w:r w:rsidR="00A101A6">
              <w:rPr>
                <w:noProof/>
                <w:webHidden/>
              </w:rPr>
            </w:r>
            <w:r w:rsidR="00A101A6">
              <w:rPr>
                <w:noProof/>
                <w:webHidden/>
              </w:rPr>
              <w:fldChar w:fldCharType="separate"/>
            </w:r>
            <w:r w:rsidR="00A101A6">
              <w:rPr>
                <w:noProof/>
                <w:webHidden/>
              </w:rPr>
              <w:t>56</w:t>
            </w:r>
            <w:r w:rsidR="00A101A6">
              <w:rPr>
                <w:noProof/>
                <w:webHidden/>
              </w:rPr>
              <w:fldChar w:fldCharType="end"/>
            </w:r>
          </w:hyperlink>
        </w:p>
        <w:p w14:paraId="2AAC1514" w14:textId="58CCC7B7" w:rsidR="00A101A6" w:rsidRDefault="00000000">
          <w:pPr>
            <w:pStyle w:val="TOC3"/>
            <w:tabs>
              <w:tab w:val="right" w:leader="dot" w:pos="9016"/>
            </w:tabs>
            <w:rPr>
              <w:rFonts w:eastAsiaTheme="minorEastAsia"/>
              <w:noProof/>
              <w:lang w:eastAsia="en-GB"/>
            </w:rPr>
          </w:pPr>
          <w:hyperlink w:anchor="_Toc128599627" w:history="1">
            <w:r w:rsidR="00A101A6" w:rsidRPr="00243DE9">
              <w:rPr>
                <w:rStyle w:val="Hyperlink"/>
                <w:noProof/>
              </w:rPr>
              <w:t>Chemical properties of coking coal and biochar</w:t>
            </w:r>
            <w:r w:rsidR="00A101A6">
              <w:rPr>
                <w:noProof/>
                <w:webHidden/>
              </w:rPr>
              <w:tab/>
            </w:r>
            <w:r w:rsidR="00A101A6">
              <w:rPr>
                <w:noProof/>
                <w:webHidden/>
              </w:rPr>
              <w:fldChar w:fldCharType="begin"/>
            </w:r>
            <w:r w:rsidR="00A101A6">
              <w:rPr>
                <w:noProof/>
                <w:webHidden/>
              </w:rPr>
              <w:instrText xml:space="preserve"> PAGEREF _Toc128599627 \h </w:instrText>
            </w:r>
            <w:r w:rsidR="00A101A6">
              <w:rPr>
                <w:noProof/>
                <w:webHidden/>
              </w:rPr>
            </w:r>
            <w:r w:rsidR="00A101A6">
              <w:rPr>
                <w:noProof/>
                <w:webHidden/>
              </w:rPr>
              <w:fldChar w:fldCharType="separate"/>
            </w:r>
            <w:r w:rsidR="00A101A6">
              <w:rPr>
                <w:noProof/>
                <w:webHidden/>
              </w:rPr>
              <w:t>57</w:t>
            </w:r>
            <w:r w:rsidR="00A101A6">
              <w:rPr>
                <w:noProof/>
                <w:webHidden/>
              </w:rPr>
              <w:fldChar w:fldCharType="end"/>
            </w:r>
          </w:hyperlink>
        </w:p>
        <w:p w14:paraId="26B16859" w14:textId="41798AFB" w:rsidR="00A101A6" w:rsidRDefault="00000000">
          <w:pPr>
            <w:pStyle w:val="TOC3"/>
            <w:tabs>
              <w:tab w:val="right" w:leader="dot" w:pos="9016"/>
            </w:tabs>
            <w:rPr>
              <w:rFonts w:eastAsiaTheme="minorEastAsia"/>
              <w:noProof/>
              <w:lang w:eastAsia="en-GB"/>
            </w:rPr>
          </w:pPr>
          <w:hyperlink w:anchor="_Toc128599628" w:history="1">
            <w:r w:rsidR="00A101A6" w:rsidRPr="00243DE9">
              <w:rPr>
                <w:rStyle w:val="Hyperlink"/>
                <w:noProof/>
              </w:rPr>
              <w:t>Coke Mechanical strength</w:t>
            </w:r>
            <w:r w:rsidR="00A101A6">
              <w:rPr>
                <w:noProof/>
                <w:webHidden/>
              </w:rPr>
              <w:tab/>
            </w:r>
            <w:r w:rsidR="00A101A6">
              <w:rPr>
                <w:noProof/>
                <w:webHidden/>
              </w:rPr>
              <w:fldChar w:fldCharType="begin"/>
            </w:r>
            <w:r w:rsidR="00A101A6">
              <w:rPr>
                <w:noProof/>
                <w:webHidden/>
              </w:rPr>
              <w:instrText xml:space="preserve"> PAGEREF _Toc128599628 \h </w:instrText>
            </w:r>
            <w:r w:rsidR="00A101A6">
              <w:rPr>
                <w:noProof/>
                <w:webHidden/>
              </w:rPr>
            </w:r>
            <w:r w:rsidR="00A101A6">
              <w:rPr>
                <w:noProof/>
                <w:webHidden/>
              </w:rPr>
              <w:fldChar w:fldCharType="separate"/>
            </w:r>
            <w:r w:rsidR="00A101A6">
              <w:rPr>
                <w:noProof/>
                <w:webHidden/>
              </w:rPr>
              <w:t>58</w:t>
            </w:r>
            <w:r w:rsidR="00A101A6">
              <w:rPr>
                <w:noProof/>
                <w:webHidden/>
              </w:rPr>
              <w:fldChar w:fldCharType="end"/>
            </w:r>
          </w:hyperlink>
        </w:p>
        <w:p w14:paraId="7EFCEE21" w14:textId="52D20136" w:rsidR="00A101A6" w:rsidRDefault="00000000">
          <w:pPr>
            <w:pStyle w:val="TOC3"/>
            <w:tabs>
              <w:tab w:val="right" w:leader="dot" w:pos="9016"/>
            </w:tabs>
            <w:rPr>
              <w:rFonts w:eastAsiaTheme="minorEastAsia"/>
              <w:noProof/>
              <w:lang w:eastAsia="en-GB"/>
            </w:rPr>
          </w:pPr>
          <w:hyperlink w:anchor="_Toc128599629" w:history="1">
            <w:r w:rsidR="00A101A6" w:rsidRPr="00243DE9">
              <w:rPr>
                <w:rStyle w:val="Hyperlink"/>
                <w:noProof/>
              </w:rPr>
              <w:t>Hot mechanical strength and reactivity</w:t>
            </w:r>
            <w:r w:rsidR="00A101A6">
              <w:rPr>
                <w:noProof/>
                <w:webHidden/>
              </w:rPr>
              <w:tab/>
            </w:r>
            <w:r w:rsidR="00A101A6">
              <w:rPr>
                <w:noProof/>
                <w:webHidden/>
              </w:rPr>
              <w:fldChar w:fldCharType="begin"/>
            </w:r>
            <w:r w:rsidR="00A101A6">
              <w:rPr>
                <w:noProof/>
                <w:webHidden/>
              </w:rPr>
              <w:instrText xml:space="preserve"> PAGEREF _Toc128599629 \h </w:instrText>
            </w:r>
            <w:r w:rsidR="00A101A6">
              <w:rPr>
                <w:noProof/>
                <w:webHidden/>
              </w:rPr>
            </w:r>
            <w:r w:rsidR="00A101A6">
              <w:rPr>
                <w:noProof/>
                <w:webHidden/>
              </w:rPr>
              <w:fldChar w:fldCharType="separate"/>
            </w:r>
            <w:r w:rsidR="00A101A6">
              <w:rPr>
                <w:noProof/>
                <w:webHidden/>
              </w:rPr>
              <w:t>60</w:t>
            </w:r>
            <w:r w:rsidR="00A101A6">
              <w:rPr>
                <w:noProof/>
                <w:webHidden/>
              </w:rPr>
              <w:fldChar w:fldCharType="end"/>
            </w:r>
          </w:hyperlink>
        </w:p>
        <w:p w14:paraId="484852FC" w14:textId="29FD7D42" w:rsidR="00A101A6" w:rsidRDefault="00000000">
          <w:pPr>
            <w:pStyle w:val="TOC3"/>
            <w:tabs>
              <w:tab w:val="right" w:leader="dot" w:pos="9016"/>
            </w:tabs>
            <w:rPr>
              <w:rFonts w:eastAsiaTheme="minorEastAsia"/>
              <w:noProof/>
              <w:lang w:eastAsia="en-GB"/>
            </w:rPr>
          </w:pPr>
          <w:hyperlink w:anchor="_Toc128599630" w:history="1">
            <w:r w:rsidR="00A101A6" w:rsidRPr="00243DE9">
              <w:rPr>
                <w:rStyle w:val="Hyperlink"/>
                <w:noProof/>
              </w:rPr>
              <w:t>Coke chemistry Analysis</w:t>
            </w:r>
            <w:r w:rsidR="00A101A6">
              <w:rPr>
                <w:noProof/>
                <w:webHidden/>
              </w:rPr>
              <w:tab/>
            </w:r>
            <w:r w:rsidR="00A101A6">
              <w:rPr>
                <w:noProof/>
                <w:webHidden/>
              </w:rPr>
              <w:fldChar w:fldCharType="begin"/>
            </w:r>
            <w:r w:rsidR="00A101A6">
              <w:rPr>
                <w:noProof/>
                <w:webHidden/>
              </w:rPr>
              <w:instrText xml:space="preserve"> PAGEREF _Toc128599630 \h </w:instrText>
            </w:r>
            <w:r w:rsidR="00A101A6">
              <w:rPr>
                <w:noProof/>
                <w:webHidden/>
              </w:rPr>
            </w:r>
            <w:r w:rsidR="00A101A6">
              <w:rPr>
                <w:noProof/>
                <w:webHidden/>
              </w:rPr>
              <w:fldChar w:fldCharType="separate"/>
            </w:r>
            <w:r w:rsidR="00A101A6">
              <w:rPr>
                <w:noProof/>
                <w:webHidden/>
              </w:rPr>
              <w:t>61</w:t>
            </w:r>
            <w:r w:rsidR="00A101A6">
              <w:rPr>
                <w:noProof/>
                <w:webHidden/>
              </w:rPr>
              <w:fldChar w:fldCharType="end"/>
            </w:r>
          </w:hyperlink>
        </w:p>
        <w:p w14:paraId="19A47613" w14:textId="784A3A7B" w:rsidR="00A101A6" w:rsidRDefault="00000000">
          <w:pPr>
            <w:pStyle w:val="TOC3"/>
            <w:tabs>
              <w:tab w:val="right" w:leader="dot" w:pos="9016"/>
            </w:tabs>
            <w:rPr>
              <w:rFonts w:eastAsiaTheme="minorEastAsia"/>
              <w:noProof/>
              <w:lang w:eastAsia="en-GB"/>
            </w:rPr>
          </w:pPr>
          <w:hyperlink w:anchor="_Toc128599631" w:history="1">
            <w:r w:rsidR="00A101A6" w:rsidRPr="00243DE9">
              <w:rPr>
                <w:rStyle w:val="Hyperlink"/>
                <w:noProof/>
              </w:rPr>
              <w:t>Photographs of the Biocoke produced in the Pilot oven.</w:t>
            </w:r>
            <w:r w:rsidR="00A101A6">
              <w:rPr>
                <w:noProof/>
                <w:webHidden/>
              </w:rPr>
              <w:tab/>
            </w:r>
            <w:r w:rsidR="00A101A6">
              <w:rPr>
                <w:noProof/>
                <w:webHidden/>
              </w:rPr>
              <w:fldChar w:fldCharType="begin"/>
            </w:r>
            <w:r w:rsidR="00A101A6">
              <w:rPr>
                <w:noProof/>
                <w:webHidden/>
              </w:rPr>
              <w:instrText xml:space="preserve"> PAGEREF _Toc128599631 \h </w:instrText>
            </w:r>
            <w:r w:rsidR="00A101A6">
              <w:rPr>
                <w:noProof/>
                <w:webHidden/>
              </w:rPr>
            </w:r>
            <w:r w:rsidR="00A101A6">
              <w:rPr>
                <w:noProof/>
                <w:webHidden/>
              </w:rPr>
              <w:fldChar w:fldCharType="separate"/>
            </w:r>
            <w:r w:rsidR="00A101A6">
              <w:rPr>
                <w:noProof/>
                <w:webHidden/>
              </w:rPr>
              <w:t>62</w:t>
            </w:r>
            <w:r w:rsidR="00A101A6">
              <w:rPr>
                <w:noProof/>
                <w:webHidden/>
              </w:rPr>
              <w:fldChar w:fldCharType="end"/>
            </w:r>
          </w:hyperlink>
        </w:p>
        <w:p w14:paraId="5552794A" w14:textId="11A76176" w:rsidR="00A101A6" w:rsidRDefault="00000000">
          <w:pPr>
            <w:pStyle w:val="TOC2"/>
            <w:tabs>
              <w:tab w:val="right" w:leader="dot" w:pos="9016"/>
            </w:tabs>
            <w:rPr>
              <w:rFonts w:eastAsiaTheme="minorEastAsia"/>
              <w:noProof/>
              <w:lang w:eastAsia="en-GB"/>
            </w:rPr>
          </w:pPr>
          <w:hyperlink w:anchor="_Toc128599632" w:history="1">
            <w:r w:rsidR="00A101A6" w:rsidRPr="00243DE9">
              <w:rPr>
                <w:rStyle w:val="Hyperlink"/>
                <w:noProof/>
              </w:rPr>
              <w:t>Biochar substitution in Sinter making.</w:t>
            </w:r>
            <w:r w:rsidR="00A101A6">
              <w:rPr>
                <w:noProof/>
                <w:webHidden/>
              </w:rPr>
              <w:tab/>
            </w:r>
            <w:r w:rsidR="00A101A6">
              <w:rPr>
                <w:noProof/>
                <w:webHidden/>
              </w:rPr>
              <w:fldChar w:fldCharType="begin"/>
            </w:r>
            <w:r w:rsidR="00A101A6">
              <w:rPr>
                <w:noProof/>
                <w:webHidden/>
              </w:rPr>
              <w:instrText xml:space="preserve"> PAGEREF _Toc128599632 \h </w:instrText>
            </w:r>
            <w:r w:rsidR="00A101A6">
              <w:rPr>
                <w:noProof/>
                <w:webHidden/>
              </w:rPr>
            </w:r>
            <w:r w:rsidR="00A101A6">
              <w:rPr>
                <w:noProof/>
                <w:webHidden/>
              </w:rPr>
              <w:fldChar w:fldCharType="separate"/>
            </w:r>
            <w:r w:rsidR="00A101A6">
              <w:rPr>
                <w:noProof/>
                <w:webHidden/>
              </w:rPr>
              <w:t>66</w:t>
            </w:r>
            <w:r w:rsidR="00A101A6">
              <w:rPr>
                <w:noProof/>
                <w:webHidden/>
              </w:rPr>
              <w:fldChar w:fldCharType="end"/>
            </w:r>
          </w:hyperlink>
        </w:p>
        <w:p w14:paraId="5803E32C" w14:textId="2BC27E02" w:rsidR="00A101A6" w:rsidRDefault="00000000">
          <w:pPr>
            <w:pStyle w:val="TOC3"/>
            <w:tabs>
              <w:tab w:val="right" w:leader="dot" w:pos="9016"/>
            </w:tabs>
            <w:rPr>
              <w:rFonts w:eastAsiaTheme="minorEastAsia"/>
              <w:noProof/>
              <w:lang w:eastAsia="en-GB"/>
            </w:rPr>
          </w:pPr>
          <w:hyperlink w:anchor="_Toc128599633" w:history="1">
            <w:r w:rsidR="00A101A6" w:rsidRPr="00243DE9">
              <w:rPr>
                <w:rStyle w:val="Hyperlink"/>
                <w:noProof/>
              </w:rPr>
              <w:t>Coke breeze and biochar chemical analysis</w:t>
            </w:r>
            <w:r w:rsidR="00A101A6">
              <w:rPr>
                <w:noProof/>
                <w:webHidden/>
              </w:rPr>
              <w:tab/>
            </w:r>
            <w:r w:rsidR="00A101A6">
              <w:rPr>
                <w:noProof/>
                <w:webHidden/>
              </w:rPr>
              <w:fldChar w:fldCharType="begin"/>
            </w:r>
            <w:r w:rsidR="00A101A6">
              <w:rPr>
                <w:noProof/>
                <w:webHidden/>
              </w:rPr>
              <w:instrText xml:space="preserve"> PAGEREF _Toc128599633 \h </w:instrText>
            </w:r>
            <w:r w:rsidR="00A101A6">
              <w:rPr>
                <w:noProof/>
                <w:webHidden/>
              </w:rPr>
            </w:r>
            <w:r w:rsidR="00A101A6">
              <w:rPr>
                <w:noProof/>
                <w:webHidden/>
              </w:rPr>
              <w:fldChar w:fldCharType="separate"/>
            </w:r>
            <w:r w:rsidR="00A101A6">
              <w:rPr>
                <w:noProof/>
                <w:webHidden/>
              </w:rPr>
              <w:t>66</w:t>
            </w:r>
            <w:r w:rsidR="00A101A6">
              <w:rPr>
                <w:noProof/>
                <w:webHidden/>
              </w:rPr>
              <w:fldChar w:fldCharType="end"/>
            </w:r>
          </w:hyperlink>
        </w:p>
        <w:p w14:paraId="282F0047" w14:textId="7990FBD3" w:rsidR="00A101A6" w:rsidRDefault="00000000">
          <w:pPr>
            <w:pStyle w:val="TOC3"/>
            <w:tabs>
              <w:tab w:val="right" w:leader="dot" w:pos="9016"/>
            </w:tabs>
            <w:rPr>
              <w:rFonts w:eastAsiaTheme="minorEastAsia"/>
              <w:noProof/>
              <w:lang w:eastAsia="en-GB"/>
            </w:rPr>
          </w:pPr>
          <w:hyperlink w:anchor="_Toc128599634" w:history="1">
            <w:r w:rsidR="00A101A6" w:rsidRPr="00243DE9">
              <w:rPr>
                <w:rStyle w:val="Hyperlink"/>
                <w:noProof/>
              </w:rPr>
              <w:t>Characteristics of Sintering with Biocoke</w:t>
            </w:r>
            <w:r w:rsidR="00A101A6">
              <w:rPr>
                <w:noProof/>
                <w:webHidden/>
              </w:rPr>
              <w:tab/>
            </w:r>
            <w:r w:rsidR="00A101A6">
              <w:rPr>
                <w:noProof/>
                <w:webHidden/>
              </w:rPr>
              <w:fldChar w:fldCharType="begin"/>
            </w:r>
            <w:r w:rsidR="00A101A6">
              <w:rPr>
                <w:noProof/>
                <w:webHidden/>
              </w:rPr>
              <w:instrText xml:space="preserve"> PAGEREF _Toc128599634 \h </w:instrText>
            </w:r>
            <w:r w:rsidR="00A101A6">
              <w:rPr>
                <w:noProof/>
                <w:webHidden/>
              </w:rPr>
            </w:r>
            <w:r w:rsidR="00A101A6">
              <w:rPr>
                <w:noProof/>
                <w:webHidden/>
              </w:rPr>
              <w:fldChar w:fldCharType="separate"/>
            </w:r>
            <w:r w:rsidR="00A101A6">
              <w:rPr>
                <w:noProof/>
                <w:webHidden/>
              </w:rPr>
              <w:t>67</w:t>
            </w:r>
            <w:r w:rsidR="00A101A6">
              <w:rPr>
                <w:noProof/>
                <w:webHidden/>
              </w:rPr>
              <w:fldChar w:fldCharType="end"/>
            </w:r>
          </w:hyperlink>
        </w:p>
        <w:p w14:paraId="2E2A6FD9" w14:textId="5F429C2E" w:rsidR="00A101A6" w:rsidRDefault="00000000">
          <w:pPr>
            <w:pStyle w:val="TOC3"/>
            <w:tabs>
              <w:tab w:val="right" w:leader="dot" w:pos="9016"/>
            </w:tabs>
            <w:rPr>
              <w:rFonts w:eastAsiaTheme="minorEastAsia"/>
              <w:noProof/>
              <w:lang w:eastAsia="en-GB"/>
            </w:rPr>
          </w:pPr>
          <w:hyperlink w:anchor="_Toc128599635" w:history="1">
            <w:r w:rsidR="00A101A6" w:rsidRPr="00243DE9">
              <w:rPr>
                <w:rStyle w:val="Hyperlink"/>
                <w:noProof/>
              </w:rPr>
              <w:t>Sinter quality indices</w:t>
            </w:r>
            <w:r w:rsidR="00A101A6">
              <w:rPr>
                <w:noProof/>
                <w:webHidden/>
              </w:rPr>
              <w:tab/>
            </w:r>
            <w:r w:rsidR="00A101A6">
              <w:rPr>
                <w:noProof/>
                <w:webHidden/>
              </w:rPr>
              <w:fldChar w:fldCharType="begin"/>
            </w:r>
            <w:r w:rsidR="00A101A6">
              <w:rPr>
                <w:noProof/>
                <w:webHidden/>
              </w:rPr>
              <w:instrText xml:space="preserve"> PAGEREF _Toc128599635 \h </w:instrText>
            </w:r>
            <w:r w:rsidR="00A101A6">
              <w:rPr>
                <w:noProof/>
                <w:webHidden/>
              </w:rPr>
            </w:r>
            <w:r w:rsidR="00A101A6">
              <w:rPr>
                <w:noProof/>
                <w:webHidden/>
              </w:rPr>
              <w:fldChar w:fldCharType="separate"/>
            </w:r>
            <w:r w:rsidR="00A101A6">
              <w:rPr>
                <w:noProof/>
                <w:webHidden/>
              </w:rPr>
              <w:t>74</w:t>
            </w:r>
            <w:r w:rsidR="00A101A6">
              <w:rPr>
                <w:noProof/>
                <w:webHidden/>
              </w:rPr>
              <w:fldChar w:fldCharType="end"/>
            </w:r>
          </w:hyperlink>
        </w:p>
        <w:p w14:paraId="2D119952" w14:textId="03DBEF12" w:rsidR="00A101A6" w:rsidRDefault="00000000">
          <w:pPr>
            <w:pStyle w:val="TOC3"/>
            <w:tabs>
              <w:tab w:val="right" w:leader="dot" w:pos="9016"/>
            </w:tabs>
            <w:rPr>
              <w:rFonts w:eastAsiaTheme="minorEastAsia"/>
              <w:noProof/>
              <w:lang w:eastAsia="en-GB"/>
            </w:rPr>
          </w:pPr>
          <w:hyperlink w:anchor="_Toc128599636" w:history="1">
            <w:r w:rsidR="00A101A6" w:rsidRPr="00243DE9">
              <w:rPr>
                <w:rStyle w:val="Hyperlink"/>
                <w:noProof/>
              </w:rPr>
              <w:t>Photographs of the sinter produced on the sinter pot.</w:t>
            </w:r>
            <w:r w:rsidR="00A101A6">
              <w:rPr>
                <w:noProof/>
                <w:webHidden/>
              </w:rPr>
              <w:tab/>
            </w:r>
            <w:r w:rsidR="00A101A6">
              <w:rPr>
                <w:noProof/>
                <w:webHidden/>
              </w:rPr>
              <w:fldChar w:fldCharType="begin"/>
            </w:r>
            <w:r w:rsidR="00A101A6">
              <w:rPr>
                <w:noProof/>
                <w:webHidden/>
              </w:rPr>
              <w:instrText xml:space="preserve"> PAGEREF _Toc128599636 \h </w:instrText>
            </w:r>
            <w:r w:rsidR="00A101A6">
              <w:rPr>
                <w:noProof/>
                <w:webHidden/>
              </w:rPr>
            </w:r>
            <w:r w:rsidR="00A101A6">
              <w:rPr>
                <w:noProof/>
                <w:webHidden/>
              </w:rPr>
              <w:fldChar w:fldCharType="separate"/>
            </w:r>
            <w:r w:rsidR="00A101A6">
              <w:rPr>
                <w:noProof/>
                <w:webHidden/>
              </w:rPr>
              <w:t>76</w:t>
            </w:r>
            <w:r w:rsidR="00A101A6">
              <w:rPr>
                <w:noProof/>
                <w:webHidden/>
              </w:rPr>
              <w:fldChar w:fldCharType="end"/>
            </w:r>
          </w:hyperlink>
        </w:p>
        <w:p w14:paraId="1733AF31" w14:textId="46A62A4E" w:rsidR="00A101A6" w:rsidRDefault="00000000">
          <w:pPr>
            <w:pStyle w:val="TOC3"/>
            <w:tabs>
              <w:tab w:val="right" w:leader="dot" w:pos="9016"/>
            </w:tabs>
            <w:rPr>
              <w:rFonts w:eastAsiaTheme="minorEastAsia"/>
              <w:noProof/>
              <w:lang w:eastAsia="en-GB"/>
            </w:rPr>
          </w:pPr>
          <w:hyperlink w:anchor="_Toc128599637" w:history="1">
            <w:r w:rsidR="00A101A6" w:rsidRPr="00243DE9">
              <w:rPr>
                <w:rStyle w:val="Hyperlink"/>
                <w:noProof/>
              </w:rPr>
              <w:t>Biochar comparison</w:t>
            </w:r>
            <w:r w:rsidR="00A101A6">
              <w:rPr>
                <w:noProof/>
                <w:webHidden/>
              </w:rPr>
              <w:tab/>
            </w:r>
            <w:r w:rsidR="00A101A6">
              <w:rPr>
                <w:noProof/>
                <w:webHidden/>
              </w:rPr>
              <w:fldChar w:fldCharType="begin"/>
            </w:r>
            <w:r w:rsidR="00A101A6">
              <w:rPr>
                <w:noProof/>
                <w:webHidden/>
              </w:rPr>
              <w:instrText xml:space="preserve"> PAGEREF _Toc128599637 \h </w:instrText>
            </w:r>
            <w:r w:rsidR="00A101A6">
              <w:rPr>
                <w:noProof/>
                <w:webHidden/>
              </w:rPr>
            </w:r>
            <w:r w:rsidR="00A101A6">
              <w:rPr>
                <w:noProof/>
                <w:webHidden/>
              </w:rPr>
              <w:fldChar w:fldCharType="separate"/>
            </w:r>
            <w:r w:rsidR="00A101A6">
              <w:rPr>
                <w:noProof/>
                <w:webHidden/>
              </w:rPr>
              <w:t>80</w:t>
            </w:r>
            <w:r w:rsidR="00A101A6">
              <w:rPr>
                <w:noProof/>
                <w:webHidden/>
              </w:rPr>
              <w:fldChar w:fldCharType="end"/>
            </w:r>
          </w:hyperlink>
        </w:p>
        <w:p w14:paraId="34D49A75" w14:textId="14D502CA" w:rsidR="00A101A6" w:rsidRDefault="00000000">
          <w:pPr>
            <w:pStyle w:val="TOC2"/>
            <w:tabs>
              <w:tab w:val="right" w:leader="dot" w:pos="9016"/>
            </w:tabs>
            <w:rPr>
              <w:rFonts w:eastAsiaTheme="minorEastAsia"/>
              <w:noProof/>
              <w:lang w:eastAsia="en-GB"/>
            </w:rPr>
          </w:pPr>
          <w:hyperlink w:anchor="_Toc128599638" w:history="1">
            <w:r w:rsidR="00A101A6" w:rsidRPr="00243DE9">
              <w:rPr>
                <w:rStyle w:val="Hyperlink"/>
                <w:noProof/>
              </w:rPr>
              <w:t>Carbon Dioxide emission mitigation potential using Biochar at Port Talbot Steelworks</w:t>
            </w:r>
            <w:r w:rsidR="00A101A6">
              <w:rPr>
                <w:noProof/>
                <w:webHidden/>
              </w:rPr>
              <w:tab/>
            </w:r>
            <w:r w:rsidR="00A101A6">
              <w:rPr>
                <w:noProof/>
                <w:webHidden/>
              </w:rPr>
              <w:fldChar w:fldCharType="begin"/>
            </w:r>
            <w:r w:rsidR="00A101A6">
              <w:rPr>
                <w:noProof/>
                <w:webHidden/>
              </w:rPr>
              <w:instrText xml:space="preserve"> PAGEREF _Toc128599638 \h </w:instrText>
            </w:r>
            <w:r w:rsidR="00A101A6">
              <w:rPr>
                <w:noProof/>
                <w:webHidden/>
              </w:rPr>
            </w:r>
            <w:r w:rsidR="00A101A6">
              <w:rPr>
                <w:noProof/>
                <w:webHidden/>
              </w:rPr>
              <w:fldChar w:fldCharType="separate"/>
            </w:r>
            <w:r w:rsidR="00A101A6">
              <w:rPr>
                <w:noProof/>
                <w:webHidden/>
              </w:rPr>
              <w:t>80</w:t>
            </w:r>
            <w:r w:rsidR="00A101A6">
              <w:rPr>
                <w:noProof/>
                <w:webHidden/>
              </w:rPr>
              <w:fldChar w:fldCharType="end"/>
            </w:r>
          </w:hyperlink>
        </w:p>
        <w:p w14:paraId="5B36420F" w14:textId="22CA6D69" w:rsidR="00A101A6" w:rsidRDefault="00000000">
          <w:pPr>
            <w:pStyle w:val="TOC1"/>
            <w:tabs>
              <w:tab w:val="right" w:leader="dot" w:pos="9016"/>
            </w:tabs>
            <w:rPr>
              <w:rFonts w:eastAsiaTheme="minorEastAsia"/>
              <w:noProof/>
              <w:lang w:eastAsia="en-GB"/>
            </w:rPr>
          </w:pPr>
          <w:hyperlink w:anchor="_Toc128599639" w:history="1">
            <w:r w:rsidR="00A101A6" w:rsidRPr="00243DE9">
              <w:rPr>
                <w:rStyle w:val="Hyperlink"/>
                <w:noProof/>
              </w:rPr>
              <w:t>Conclusion</w:t>
            </w:r>
            <w:r w:rsidR="00A101A6">
              <w:rPr>
                <w:noProof/>
                <w:webHidden/>
              </w:rPr>
              <w:tab/>
            </w:r>
            <w:r w:rsidR="00A101A6">
              <w:rPr>
                <w:noProof/>
                <w:webHidden/>
              </w:rPr>
              <w:fldChar w:fldCharType="begin"/>
            </w:r>
            <w:r w:rsidR="00A101A6">
              <w:rPr>
                <w:noProof/>
                <w:webHidden/>
              </w:rPr>
              <w:instrText xml:space="preserve"> PAGEREF _Toc128599639 \h </w:instrText>
            </w:r>
            <w:r w:rsidR="00A101A6">
              <w:rPr>
                <w:noProof/>
                <w:webHidden/>
              </w:rPr>
            </w:r>
            <w:r w:rsidR="00A101A6">
              <w:rPr>
                <w:noProof/>
                <w:webHidden/>
              </w:rPr>
              <w:fldChar w:fldCharType="separate"/>
            </w:r>
            <w:r w:rsidR="00A101A6">
              <w:rPr>
                <w:noProof/>
                <w:webHidden/>
              </w:rPr>
              <w:t>83</w:t>
            </w:r>
            <w:r w:rsidR="00A101A6">
              <w:rPr>
                <w:noProof/>
                <w:webHidden/>
              </w:rPr>
              <w:fldChar w:fldCharType="end"/>
            </w:r>
          </w:hyperlink>
        </w:p>
        <w:p w14:paraId="4B912532" w14:textId="6ED0B4A8" w:rsidR="00A101A6" w:rsidRDefault="00000000">
          <w:pPr>
            <w:pStyle w:val="TOC2"/>
            <w:tabs>
              <w:tab w:val="right" w:leader="dot" w:pos="9016"/>
            </w:tabs>
            <w:rPr>
              <w:rFonts w:eastAsiaTheme="minorEastAsia"/>
              <w:noProof/>
              <w:lang w:eastAsia="en-GB"/>
            </w:rPr>
          </w:pPr>
          <w:hyperlink w:anchor="_Toc128599640" w:history="1">
            <w:r w:rsidR="00A101A6" w:rsidRPr="00243DE9">
              <w:rPr>
                <w:rStyle w:val="Hyperlink"/>
                <w:noProof/>
              </w:rPr>
              <w:t>Limitations</w:t>
            </w:r>
            <w:r w:rsidR="00A101A6">
              <w:rPr>
                <w:noProof/>
                <w:webHidden/>
              </w:rPr>
              <w:tab/>
            </w:r>
            <w:r w:rsidR="00A101A6">
              <w:rPr>
                <w:noProof/>
                <w:webHidden/>
              </w:rPr>
              <w:fldChar w:fldCharType="begin"/>
            </w:r>
            <w:r w:rsidR="00A101A6">
              <w:rPr>
                <w:noProof/>
                <w:webHidden/>
              </w:rPr>
              <w:instrText xml:space="preserve"> PAGEREF _Toc128599640 \h </w:instrText>
            </w:r>
            <w:r w:rsidR="00A101A6">
              <w:rPr>
                <w:noProof/>
                <w:webHidden/>
              </w:rPr>
            </w:r>
            <w:r w:rsidR="00A101A6">
              <w:rPr>
                <w:noProof/>
                <w:webHidden/>
              </w:rPr>
              <w:fldChar w:fldCharType="separate"/>
            </w:r>
            <w:r w:rsidR="00A101A6">
              <w:rPr>
                <w:noProof/>
                <w:webHidden/>
              </w:rPr>
              <w:t>84</w:t>
            </w:r>
            <w:r w:rsidR="00A101A6">
              <w:rPr>
                <w:noProof/>
                <w:webHidden/>
              </w:rPr>
              <w:fldChar w:fldCharType="end"/>
            </w:r>
          </w:hyperlink>
        </w:p>
        <w:p w14:paraId="1A4CD0A6" w14:textId="4CF0339F" w:rsidR="00A101A6" w:rsidRDefault="00000000">
          <w:pPr>
            <w:pStyle w:val="TOC1"/>
            <w:tabs>
              <w:tab w:val="right" w:leader="dot" w:pos="9016"/>
            </w:tabs>
            <w:rPr>
              <w:rFonts w:eastAsiaTheme="minorEastAsia"/>
              <w:noProof/>
              <w:lang w:eastAsia="en-GB"/>
            </w:rPr>
          </w:pPr>
          <w:hyperlink w:anchor="_Toc128599641" w:history="1">
            <w:r w:rsidR="00A101A6" w:rsidRPr="00243DE9">
              <w:rPr>
                <w:rStyle w:val="Hyperlink"/>
                <w:noProof/>
              </w:rPr>
              <w:t>Recommendations</w:t>
            </w:r>
            <w:r w:rsidR="00A101A6">
              <w:rPr>
                <w:noProof/>
                <w:webHidden/>
              </w:rPr>
              <w:tab/>
            </w:r>
            <w:r w:rsidR="00A101A6">
              <w:rPr>
                <w:noProof/>
                <w:webHidden/>
              </w:rPr>
              <w:fldChar w:fldCharType="begin"/>
            </w:r>
            <w:r w:rsidR="00A101A6">
              <w:rPr>
                <w:noProof/>
                <w:webHidden/>
              </w:rPr>
              <w:instrText xml:space="preserve"> PAGEREF _Toc128599641 \h </w:instrText>
            </w:r>
            <w:r w:rsidR="00A101A6">
              <w:rPr>
                <w:noProof/>
                <w:webHidden/>
              </w:rPr>
            </w:r>
            <w:r w:rsidR="00A101A6">
              <w:rPr>
                <w:noProof/>
                <w:webHidden/>
              </w:rPr>
              <w:fldChar w:fldCharType="separate"/>
            </w:r>
            <w:r w:rsidR="00A101A6">
              <w:rPr>
                <w:noProof/>
                <w:webHidden/>
              </w:rPr>
              <w:t>86</w:t>
            </w:r>
            <w:r w:rsidR="00A101A6">
              <w:rPr>
                <w:noProof/>
                <w:webHidden/>
              </w:rPr>
              <w:fldChar w:fldCharType="end"/>
            </w:r>
          </w:hyperlink>
        </w:p>
        <w:p w14:paraId="0FED2FD9" w14:textId="14C6D3F2" w:rsidR="00A101A6" w:rsidRDefault="00000000">
          <w:pPr>
            <w:pStyle w:val="TOC1"/>
            <w:tabs>
              <w:tab w:val="right" w:leader="dot" w:pos="9016"/>
            </w:tabs>
            <w:rPr>
              <w:rFonts w:eastAsiaTheme="minorEastAsia"/>
              <w:noProof/>
              <w:lang w:eastAsia="en-GB"/>
            </w:rPr>
          </w:pPr>
          <w:hyperlink w:anchor="_Toc128599642" w:history="1">
            <w:r w:rsidR="00A101A6" w:rsidRPr="00243DE9">
              <w:rPr>
                <w:rStyle w:val="Hyperlink"/>
                <w:noProof/>
              </w:rPr>
              <w:t>Reference list</w:t>
            </w:r>
            <w:r w:rsidR="00A101A6">
              <w:rPr>
                <w:noProof/>
                <w:webHidden/>
              </w:rPr>
              <w:tab/>
            </w:r>
            <w:r w:rsidR="00A101A6">
              <w:rPr>
                <w:noProof/>
                <w:webHidden/>
              </w:rPr>
              <w:fldChar w:fldCharType="begin"/>
            </w:r>
            <w:r w:rsidR="00A101A6">
              <w:rPr>
                <w:noProof/>
                <w:webHidden/>
              </w:rPr>
              <w:instrText xml:space="preserve"> PAGEREF _Toc128599642 \h </w:instrText>
            </w:r>
            <w:r w:rsidR="00A101A6">
              <w:rPr>
                <w:noProof/>
                <w:webHidden/>
              </w:rPr>
            </w:r>
            <w:r w:rsidR="00A101A6">
              <w:rPr>
                <w:noProof/>
                <w:webHidden/>
              </w:rPr>
              <w:fldChar w:fldCharType="separate"/>
            </w:r>
            <w:r w:rsidR="00A101A6">
              <w:rPr>
                <w:noProof/>
                <w:webHidden/>
              </w:rPr>
              <w:t>87</w:t>
            </w:r>
            <w:r w:rsidR="00A101A6">
              <w:rPr>
                <w:noProof/>
                <w:webHidden/>
              </w:rPr>
              <w:fldChar w:fldCharType="end"/>
            </w:r>
          </w:hyperlink>
        </w:p>
        <w:p w14:paraId="6E531D19" w14:textId="19514C82" w:rsidR="00ED35A8" w:rsidRDefault="000C5EBB" w:rsidP="00350AB6">
          <w:pPr>
            <w:spacing w:line="360" w:lineRule="auto"/>
            <w:jc w:val="both"/>
            <w:rPr>
              <w:b/>
              <w:bCs/>
              <w:noProof/>
            </w:rPr>
          </w:pPr>
          <w:r>
            <w:rPr>
              <w:b/>
              <w:bCs/>
              <w:noProof/>
            </w:rPr>
            <w:fldChar w:fldCharType="end"/>
          </w:r>
        </w:p>
      </w:sdtContent>
    </w:sdt>
    <w:p w14:paraId="467930C5" w14:textId="77777777" w:rsidR="0090021C" w:rsidRDefault="0090021C">
      <w:pPr>
        <w:pStyle w:val="TableofFigures"/>
        <w:tabs>
          <w:tab w:val="right" w:leader="dot" w:pos="9016"/>
        </w:tabs>
        <w:rPr>
          <w:sz w:val="28"/>
          <w:szCs w:val="28"/>
        </w:rPr>
      </w:pPr>
    </w:p>
    <w:p w14:paraId="6259AD21" w14:textId="77777777" w:rsidR="0090021C" w:rsidRDefault="0090021C">
      <w:pPr>
        <w:pStyle w:val="TableofFigures"/>
        <w:tabs>
          <w:tab w:val="right" w:leader="dot" w:pos="9016"/>
        </w:tabs>
        <w:rPr>
          <w:sz w:val="28"/>
          <w:szCs w:val="28"/>
        </w:rPr>
      </w:pPr>
    </w:p>
    <w:p w14:paraId="1A36CD85" w14:textId="77777777" w:rsidR="0090021C" w:rsidRDefault="0090021C">
      <w:pPr>
        <w:pStyle w:val="TableofFigures"/>
        <w:tabs>
          <w:tab w:val="right" w:leader="dot" w:pos="9016"/>
        </w:tabs>
        <w:rPr>
          <w:sz w:val="28"/>
          <w:szCs w:val="28"/>
        </w:rPr>
      </w:pPr>
    </w:p>
    <w:p w14:paraId="4C5143A6" w14:textId="77777777" w:rsidR="0090021C" w:rsidRDefault="0090021C">
      <w:pPr>
        <w:pStyle w:val="TableofFigures"/>
        <w:tabs>
          <w:tab w:val="right" w:leader="dot" w:pos="9016"/>
        </w:tabs>
        <w:rPr>
          <w:sz w:val="28"/>
          <w:szCs w:val="28"/>
        </w:rPr>
      </w:pPr>
    </w:p>
    <w:p w14:paraId="79E0DC03" w14:textId="77777777" w:rsidR="0090021C" w:rsidRDefault="0090021C">
      <w:pPr>
        <w:pStyle w:val="TableofFigures"/>
        <w:tabs>
          <w:tab w:val="right" w:leader="dot" w:pos="9016"/>
        </w:tabs>
        <w:rPr>
          <w:sz w:val="28"/>
          <w:szCs w:val="28"/>
        </w:rPr>
      </w:pPr>
    </w:p>
    <w:p w14:paraId="47A09F93" w14:textId="77777777" w:rsidR="0090021C" w:rsidRDefault="0090021C">
      <w:pPr>
        <w:pStyle w:val="TableofFigures"/>
        <w:tabs>
          <w:tab w:val="right" w:leader="dot" w:pos="9016"/>
        </w:tabs>
        <w:rPr>
          <w:sz w:val="28"/>
          <w:szCs w:val="28"/>
        </w:rPr>
      </w:pPr>
    </w:p>
    <w:p w14:paraId="0E92AAC9" w14:textId="77777777" w:rsidR="0090021C" w:rsidRDefault="0090021C">
      <w:pPr>
        <w:pStyle w:val="TableofFigures"/>
        <w:tabs>
          <w:tab w:val="right" w:leader="dot" w:pos="9016"/>
        </w:tabs>
        <w:rPr>
          <w:sz w:val="28"/>
          <w:szCs w:val="28"/>
        </w:rPr>
      </w:pPr>
    </w:p>
    <w:p w14:paraId="7E938ECB" w14:textId="77777777" w:rsidR="0090021C" w:rsidRDefault="0090021C">
      <w:pPr>
        <w:pStyle w:val="TableofFigures"/>
        <w:tabs>
          <w:tab w:val="right" w:leader="dot" w:pos="9016"/>
        </w:tabs>
        <w:rPr>
          <w:sz w:val="28"/>
          <w:szCs w:val="28"/>
        </w:rPr>
      </w:pPr>
    </w:p>
    <w:p w14:paraId="2CF476C5" w14:textId="442E8A53" w:rsidR="0090021C" w:rsidRDefault="0090021C" w:rsidP="0090021C">
      <w:pPr>
        <w:pStyle w:val="Heading1"/>
      </w:pPr>
      <w:bookmarkStart w:id="3" w:name="_Toc128599586"/>
      <w:r>
        <w:lastRenderedPageBreak/>
        <w:t>Table of Figures</w:t>
      </w:r>
      <w:bookmarkEnd w:id="3"/>
    </w:p>
    <w:p w14:paraId="531261CB" w14:textId="716CC2AA" w:rsidR="00A45D71" w:rsidRDefault="00ED35A8" w:rsidP="00A45D71">
      <w:pPr>
        <w:pStyle w:val="TableofFigures"/>
        <w:tabs>
          <w:tab w:val="right" w:leader="dot" w:pos="9016"/>
        </w:tabs>
        <w:spacing w:line="360" w:lineRule="auto"/>
        <w:jc w:val="both"/>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w:anchor="_Toc127110895" w:history="1">
        <w:r w:rsidR="00A45D71" w:rsidRPr="00B525DE">
          <w:rPr>
            <w:rStyle w:val="Hyperlink"/>
            <w:noProof/>
          </w:rPr>
          <w:t xml:space="preserve">Figure 1 The response of some climate variables to global warming </w:t>
        </w:r>
        <w:r w:rsidR="00A45D71" w:rsidRPr="00B525DE">
          <w:rPr>
            <w:rStyle w:val="Hyperlink"/>
            <w:rFonts w:ascii="Calibri" w:hAnsi="Calibri" w:cs="Calibri"/>
            <w:noProof/>
          </w:rPr>
          <w:t>(Arias et al. 2021)</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_Toc127110895 \h </w:instrText>
        </w:r>
        <w:r w:rsidR="00A45D71">
          <w:rPr>
            <w:noProof/>
            <w:webHidden/>
          </w:rPr>
        </w:r>
        <w:r w:rsidR="00A45D71">
          <w:rPr>
            <w:noProof/>
            <w:webHidden/>
          </w:rPr>
          <w:fldChar w:fldCharType="separate"/>
        </w:r>
        <w:r w:rsidR="00A45D71">
          <w:rPr>
            <w:noProof/>
            <w:webHidden/>
          </w:rPr>
          <w:t>9</w:t>
        </w:r>
        <w:r w:rsidR="00A45D71">
          <w:rPr>
            <w:noProof/>
            <w:webHidden/>
          </w:rPr>
          <w:fldChar w:fldCharType="end"/>
        </w:r>
      </w:hyperlink>
    </w:p>
    <w:p w14:paraId="033E8C7B" w14:textId="7660BA9B"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896" w:history="1">
        <w:r w:rsidR="00A45D71" w:rsidRPr="00B525DE">
          <w:rPr>
            <w:rStyle w:val="Hyperlink"/>
            <w:noProof/>
          </w:rPr>
          <w:t>Figure 2 World Steel Production 1950 - 2021 (Worldsteel. 2021)</w:t>
        </w:r>
        <w:r w:rsidR="00A45D71">
          <w:rPr>
            <w:noProof/>
            <w:webHidden/>
          </w:rPr>
          <w:tab/>
        </w:r>
        <w:r w:rsidR="00A45D71">
          <w:rPr>
            <w:noProof/>
            <w:webHidden/>
          </w:rPr>
          <w:fldChar w:fldCharType="begin"/>
        </w:r>
        <w:r w:rsidR="00A45D71">
          <w:rPr>
            <w:noProof/>
            <w:webHidden/>
          </w:rPr>
          <w:instrText xml:space="preserve"> PAGEREF _Toc127110896 \h </w:instrText>
        </w:r>
        <w:r w:rsidR="00A45D71">
          <w:rPr>
            <w:noProof/>
            <w:webHidden/>
          </w:rPr>
        </w:r>
        <w:r w:rsidR="00A45D71">
          <w:rPr>
            <w:noProof/>
            <w:webHidden/>
          </w:rPr>
          <w:fldChar w:fldCharType="separate"/>
        </w:r>
        <w:r w:rsidR="00A45D71">
          <w:rPr>
            <w:noProof/>
            <w:webHidden/>
          </w:rPr>
          <w:t>10</w:t>
        </w:r>
        <w:r w:rsidR="00A45D71">
          <w:rPr>
            <w:noProof/>
            <w:webHidden/>
          </w:rPr>
          <w:fldChar w:fldCharType="end"/>
        </w:r>
      </w:hyperlink>
    </w:p>
    <w:p w14:paraId="119FF519" w14:textId="408FCAE8"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897" w:history="1">
        <w:r w:rsidR="00A45D71" w:rsidRPr="00B525DE">
          <w:rPr>
            <w:rStyle w:val="Hyperlink"/>
            <w:noProof/>
          </w:rPr>
          <w:t>Figure 3 - CO</w:t>
        </w:r>
        <w:r w:rsidR="00A45D71" w:rsidRPr="00B525DE">
          <w:rPr>
            <w:rStyle w:val="Hyperlink"/>
            <w:noProof/>
            <w:vertAlign w:val="subscript"/>
          </w:rPr>
          <w:t>2</w:t>
        </w:r>
        <w:r w:rsidR="00A45D71" w:rsidRPr="00B525DE">
          <w:rPr>
            <w:rStyle w:val="Hyperlink"/>
            <w:noProof/>
          </w:rPr>
          <w:t xml:space="preserve"> emissions in an integrated steelworks (BF - BOS route) showing carbon-bearing material input (Gray boxes), CO2 emissions, expressed in volume (kg/t of hot rolled coil) and concentration in the flue gas (volume %)in the blue box </w:t>
        </w:r>
        <w:r w:rsidR="00A45D71" w:rsidRPr="00B525DE">
          <w:rPr>
            <w:rStyle w:val="Hyperlink"/>
            <w:rFonts w:ascii="Calibri" w:hAnsi="Calibri" w:cs="Calibri"/>
            <w:noProof/>
          </w:rPr>
          <w:t>(Birat 2010)</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_Toc127110897 \h </w:instrText>
        </w:r>
        <w:r w:rsidR="00A45D71">
          <w:rPr>
            <w:noProof/>
            <w:webHidden/>
          </w:rPr>
        </w:r>
        <w:r w:rsidR="00A45D71">
          <w:rPr>
            <w:noProof/>
            <w:webHidden/>
          </w:rPr>
          <w:fldChar w:fldCharType="separate"/>
        </w:r>
        <w:r w:rsidR="00A45D71">
          <w:rPr>
            <w:noProof/>
            <w:webHidden/>
          </w:rPr>
          <w:t>11</w:t>
        </w:r>
        <w:r w:rsidR="00A45D71">
          <w:rPr>
            <w:noProof/>
            <w:webHidden/>
          </w:rPr>
          <w:fldChar w:fldCharType="end"/>
        </w:r>
      </w:hyperlink>
    </w:p>
    <w:p w14:paraId="408A6C38" w14:textId="264CD2B6"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898" w:history="1">
        <w:r w:rsidR="00A45D71" w:rsidRPr="00B525DE">
          <w:rPr>
            <w:rStyle w:val="Hyperlink"/>
            <w:noProof/>
          </w:rPr>
          <w:t xml:space="preserve">Figure 4 Major constituents of a woody biomass </w:t>
        </w:r>
        <w:r w:rsidR="00A45D71" w:rsidRPr="00B525DE">
          <w:rPr>
            <w:rStyle w:val="Hyperlink"/>
            <w:rFonts w:ascii="Calibri" w:hAnsi="Calibri" w:cs="Calibri"/>
            <w:noProof/>
          </w:rPr>
          <w:t>(Basu 2013)</w:t>
        </w:r>
        <w:r w:rsidR="00A45D71">
          <w:rPr>
            <w:noProof/>
            <w:webHidden/>
          </w:rPr>
          <w:tab/>
        </w:r>
        <w:r w:rsidR="00A45D71">
          <w:rPr>
            <w:noProof/>
            <w:webHidden/>
          </w:rPr>
          <w:fldChar w:fldCharType="begin"/>
        </w:r>
        <w:r w:rsidR="00A45D71">
          <w:rPr>
            <w:noProof/>
            <w:webHidden/>
          </w:rPr>
          <w:instrText xml:space="preserve"> PAGEREF _Toc127110898 \h </w:instrText>
        </w:r>
        <w:r w:rsidR="00A45D71">
          <w:rPr>
            <w:noProof/>
            <w:webHidden/>
          </w:rPr>
        </w:r>
        <w:r w:rsidR="00A45D71">
          <w:rPr>
            <w:noProof/>
            <w:webHidden/>
          </w:rPr>
          <w:fldChar w:fldCharType="separate"/>
        </w:r>
        <w:r w:rsidR="00A45D71">
          <w:rPr>
            <w:noProof/>
            <w:webHidden/>
          </w:rPr>
          <w:t>14</w:t>
        </w:r>
        <w:r w:rsidR="00A45D71">
          <w:rPr>
            <w:noProof/>
            <w:webHidden/>
          </w:rPr>
          <w:fldChar w:fldCharType="end"/>
        </w:r>
      </w:hyperlink>
    </w:p>
    <w:p w14:paraId="19666A4D" w14:textId="4673BEC3"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899" w:history="1">
        <w:r w:rsidR="00A45D71" w:rsidRPr="00B525DE">
          <w:rPr>
            <w:rStyle w:val="Hyperlink"/>
            <w:noProof/>
          </w:rPr>
          <w:t xml:space="preserve">Figure 5 Structure of primary cell wall of plant cell </w:t>
        </w:r>
        <w:r w:rsidR="00A45D71" w:rsidRPr="00B525DE">
          <w:rPr>
            <w:rStyle w:val="Hyperlink"/>
            <w:rFonts w:ascii="Calibri" w:hAnsi="Calibri" w:cs="Calibri"/>
            <w:noProof/>
          </w:rPr>
          <w:t>(Nhuchhen et al. 2014)</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_Toc127110899 \h </w:instrText>
        </w:r>
        <w:r w:rsidR="00A45D71">
          <w:rPr>
            <w:noProof/>
            <w:webHidden/>
          </w:rPr>
        </w:r>
        <w:r w:rsidR="00A45D71">
          <w:rPr>
            <w:noProof/>
            <w:webHidden/>
          </w:rPr>
          <w:fldChar w:fldCharType="separate"/>
        </w:r>
        <w:r w:rsidR="00A45D71">
          <w:rPr>
            <w:noProof/>
            <w:webHidden/>
          </w:rPr>
          <w:t>15</w:t>
        </w:r>
        <w:r w:rsidR="00A45D71">
          <w:rPr>
            <w:noProof/>
            <w:webHidden/>
          </w:rPr>
          <w:fldChar w:fldCharType="end"/>
        </w:r>
      </w:hyperlink>
    </w:p>
    <w:p w14:paraId="0908CA2B" w14:textId="62CA2388"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0" w:history="1">
        <w:r w:rsidR="00A45D71" w:rsidRPr="00B525DE">
          <w:rPr>
            <w:rStyle w:val="Hyperlink"/>
            <w:noProof/>
          </w:rPr>
          <w:t xml:space="preserve">Figure 6 Van Krevelen diagram of products from woody biomass. Raw biomass (non-filled symbols), torrefied biomass (red symbols), HTC biomass (blue symbols), and charcoal (black symbols) </w:t>
        </w:r>
        <w:r w:rsidR="00A45D71" w:rsidRPr="00B525DE">
          <w:rPr>
            <w:rStyle w:val="Hyperlink"/>
            <w:rFonts w:ascii="Calibri" w:hAnsi="Calibri" w:cs="Calibri"/>
            <w:noProof/>
          </w:rPr>
          <w:t>(Suopajärvi and Fabritius 2013)</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_Toc127110900 \h </w:instrText>
        </w:r>
        <w:r w:rsidR="00A45D71">
          <w:rPr>
            <w:noProof/>
            <w:webHidden/>
          </w:rPr>
        </w:r>
        <w:r w:rsidR="00A45D71">
          <w:rPr>
            <w:noProof/>
            <w:webHidden/>
          </w:rPr>
          <w:fldChar w:fldCharType="separate"/>
        </w:r>
        <w:r w:rsidR="00A45D71">
          <w:rPr>
            <w:noProof/>
            <w:webHidden/>
          </w:rPr>
          <w:t>16</w:t>
        </w:r>
        <w:r w:rsidR="00A45D71">
          <w:rPr>
            <w:noProof/>
            <w:webHidden/>
          </w:rPr>
          <w:fldChar w:fldCharType="end"/>
        </w:r>
      </w:hyperlink>
    </w:p>
    <w:p w14:paraId="31407DF5" w14:textId="410F76AE"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1" w:history="1">
        <w:r w:rsidR="00A45D71" w:rsidRPr="00B525DE">
          <w:rPr>
            <w:rStyle w:val="Hyperlink"/>
            <w:noProof/>
          </w:rPr>
          <w:t xml:space="preserve">Figure 7 Biomass upgrading technologies according to product type </w:t>
        </w:r>
        <w:r w:rsidR="00A45D71" w:rsidRPr="00B525DE">
          <w:rPr>
            <w:rStyle w:val="Hyperlink"/>
            <w:rFonts w:ascii="Calibri" w:hAnsi="Calibri" w:cs="Calibri"/>
            <w:noProof/>
          </w:rPr>
          <w:t>(Mousa et al. 2016)</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_Toc127110901 \h </w:instrText>
        </w:r>
        <w:r w:rsidR="00A45D71">
          <w:rPr>
            <w:noProof/>
            <w:webHidden/>
          </w:rPr>
        </w:r>
        <w:r w:rsidR="00A45D71">
          <w:rPr>
            <w:noProof/>
            <w:webHidden/>
          </w:rPr>
          <w:fldChar w:fldCharType="separate"/>
        </w:r>
        <w:r w:rsidR="00A45D71">
          <w:rPr>
            <w:noProof/>
            <w:webHidden/>
          </w:rPr>
          <w:t>17</w:t>
        </w:r>
        <w:r w:rsidR="00A45D71">
          <w:rPr>
            <w:noProof/>
            <w:webHidden/>
          </w:rPr>
          <w:fldChar w:fldCharType="end"/>
        </w:r>
      </w:hyperlink>
    </w:p>
    <w:p w14:paraId="122CEB89" w14:textId="2FCD9D9E"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2" w:history="1">
        <w:r w:rsidR="00A45D71" w:rsidRPr="00B525DE">
          <w:rPr>
            <w:rStyle w:val="Hyperlink"/>
            <w:noProof/>
          </w:rPr>
          <w:t xml:space="preserve">Figure 8 Influence of pre-treatment temperature on key variables </w:t>
        </w:r>
        <w:r w:rsidR="00A45D71" w:rsidRPr="00B525DE">
          <w:rPr>
            <w:rStyle w:val="Hyperlink"/>
            <w:rFonts w:ascii="Calibri" w:hAnsi="Calibri" w:cs="Calibri"/>
            <w:noProof/>
          </w:rPr>
          <w:t>(Liu and Shen 2021)</w:t>
        </w:r>
        <w:r w:rsidR="00A45D71">
          <w:rPr>
            <w:noProof/>
            <w:webHidden/>
          </w:rPr>
          <w:tab/>
        </w:r>
        <w:r w:rsidR="00A45D71">
          <w:rPr>
            <w:noProof/>
            <w:webHidden/>
          </w:rPr>
          <w:fldChar w:fldCharType="begin"/>
        </w:r>
        <w:r w:rsidR="00A45D71">
          <w:rPr>
            <w:noProof/>
            <w:webHidden/>
          </w:rPr>
          <w:instrText xml:space="preserve"> PAGEREF _Toc127110902 \h </w:instrText>
        </w:r>
        <w:r w:rsidR="00A45D71">
          <w:rPr>
            <w:noProof/>
            <w:webHidden/>
          </w:rPr>
        </w:r>
        <w:r w:rsidR="00A45D71">
          <w:rPr>
            <w:noProof/>
            <w:webHidden/>
          </w:rPr>
          <w:fldChar w:fldCharType="separate"/>
        </w:r>
        <w:r w:rsidR="00A45D71">
          <w:rPr>
            <w:noProof/>
            <w:webHidden/>
          </w:rPr>
          <w:t>19</w:t>
        </w:r>
        <w:r w:rsidR="00A45D71">
          <w:rPr>
            <w:noProof/>
            <w:webHidden/>
          </w:rPr>
          <w:fldChar w:fldCharType="end"/>
        </w:r>
      </w:hyperlink>
    </w:p>
    <w:p w14:paraId="60549DD7" w14:textId="6A71459B"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3" w:history="1">
        <w:r w:rsidR="00A45D71" w:rsidRPr="00B525DE">
          <w:rPr>
            <w:rStyle w:val="Hyperlink"/>
            <w:noProof/>
          </w:rPr>
          <w:t xml:space="preserve">Figure 9 Opportunities for Biomass in iron &amp; steelmaking </w:t>
        </w:r>
        <w:r w:rsidR="00A45D71" w:rsidRPr="00B525DE">
          <w:rPr>
            <w:rStyle w:val="Hyperlink"/>
            <w:rFonts w:ascii="Calibri" w:hAnsi="Calibri" w:cs="Calibri"/>
            <w:noProof/>
          </w:rPr>
          <w:t>(Mandova et al. 2018)</w:t>
        </w:r>
        <w:r w:rsidR="00A45D71">
          <w:rPr>
            <w:noProof/>
            <w:webHidden/>
          </w:rPr>
          <w:tab/>
        </w:r>
        <w:r w:rsidR="00A45D71">
          <w:rPr>
            <w:noProof/>
            <w:webHidden/>
          </w:rPr>
          <w:fldChar w:fldCharType="begin"/>
        </w:r>
        <w:r w:rsidR="00A45D71">
          <w:rPr>
            <w:noProof/>
            <w:webHidden/>
          </w:rPr>
          <w:instrText xml:space="preserve"> PAGEREF _Toc127110903 \h </w:instrText>
        </w:r>
        <w:r w:rsidR="00A45D71">
          <w:rPr>
            <w:noProof/>
            <w:webHidden/>
          </w:rPr>
        </w:r>
        <w:r w:rsidR="00A45D71">
          <w:rPr>
            <w:noProof/>
            <w:webHidden/>
          </w:rPr>
          <w:fldChar w:fldCharType="separate"/>
        </w:r>
        <w:r w:rsidR="00A45D71">
          <w:rPr>
            <w:noProof/>
            <w:webHidden/>
          </w:rPr>
          <w:t>20</w:t>
        </w:r>
        <w:r w:rsidR="00A45D71">
          <w:rPr>
            <w:noProof/>
            <w:webHidden/>
          </w:rPr>
          <w:fldChar w:fldCharType="end"/>
        </w:r>
      </w:hyperlink>
    </w:p>
    <w:p w14:paraId="29382E5A" w14:textId="0A8CC6C7"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4" w:history="1">
        <w:r w:rsidR="00A45D71" w:rsidRPr="00B525DE">
          <w:rPr>
            <w:rStyle w:val="Hyperlink"/>
            <w:noProof/>
          </w:rPr>
          <w:t xml:space="preserve">Figure 10 An illustration of a blast furnace </w:t>
        </w:r>
        <w:r w:rsidR="00A45D71" w:rsidRPr="00B525DE">
          <w:rPr>
            <w:rStyle w:val="Hyperlink"/>
            <w:rFonts w:ascii="Calibri" w:hAnsi="Calibri" w:cs="Calibri"/>
            <w:noProof/>
          </w:rPr>
          <w:t>(Geerdes et al. 2009)</w:t>
        </w:r>
        <w:r w:rsidR="00A45D71">
          <w:rPr>
            <w:noProof/>
            <w:webHidden/>
          </w:rPr>
          <w:tab/>
        </w:r>
        <w:r w:rsidR="00A45D71">
          <w:rPr>
            <w:noProof/>
            <w:webHidden/>
          </w:rPr>
          <w:fldChar w:fldCharType="begin"/>
        </w:r>
        <w:r w:rsidR="00A45D71">
          <w:rPr>
            <w:noProof/>
            <w:webHidden/>
          </w:rPr>
          <w:instrText xml:space="preserve"> PAGEREF _Toc127110904 \h </w:instrText>
        </w:r>
        <w:r w:rsidR="00A45D71">
          <w:rPr>
            <w:noProof/>
            <w:webHidden/>
          </w:rPr>
        </w:r>
        <w:r w:rsidR="00A45D71">
          <w:rPr>
            <w:noProof/>
            <w:webHidden/>
          </w:rPr>
          <w:fldChar w:fldCharType="separate"/>
        </w:r>
        <w:r w:rsidR="00A45D71">
          <w:rPr>
            <w:noProof/>
            <w:webHidden/>
          </w:rPr>
          <w:t>21</w:t>
        </w:r>
        <w:r w:rsidR="00A45D71">
          <w:rPr>
            <w:noProof/>
            <w:webHidden/>
          </w:rPr>
          <w:fldChar w:fldCharType="end"/>
        </w:r>
      </w:hyperlink>
    </w:p>
    <w:p w14:paraId="6B570617" w14:textId="56AFABBB"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5" w:history="1">
        <w:r w:rsidR="00A45D71" w:rsidRPr="00B525DE">
          <w:rPr>
            <w:rStyle w:val="Hyperlink"/>
            <w:noProof/>
          </w:rPr>
          <w:t xml:space="preserve">Figure 11 A blast furnace tuyere diagram </w:t>
        </w:r>
        <w:r w:rsidR="00A45D71" w:rsidRPr="00B525DE">
          <w:rPr>
            <w:rStyle w:val="Hyperlink"/>
            <w:rFonts w:ascii="Calibri" w:hAnsi="Calibri" w:cs="Calibri"/>
            <w:noProof/>
          </w:rPr>
          <w:t>(Geerdes et al. 2009)</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_Toc127110905 \h </w:instrText>
        </w:r>
        <w:r w:rsidR="00A45D71">
          <w:rPr>
            <w:noProof/>
            <w:webHidden/>
          </w:rPr>
        </w:r>
        <w:r w:rsidR="00A45D71">
          <w:rPr>
            <w:noProof/>
            <w:webHidden/>
          </w:rPr>
          <w:fldChar w:fldCharType="separate"/>
        </w:r>
        <w:r w:rsidR="00A45D71">
          <w:rPr>
            <w:noProof/>
            <w:webHidden/>
          </w:rPr>
          <w:t>22</w:t>
        </w:r>
        <w:r w:rsidR="00A45D71">
          <w:rPr>
            <w:noProof/>
            <w:webHidden/>
          </w:rPr>
          <w:fldChar w:fldCharType="end"/>
        </w:r>
      </w:hyperlink>
    </w:p>
    <w:p w14:paraId="04918091" w14:textId="1A5D203C"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6" w:history="1">
        <w:r w:rsidR="00A45D71" w:rsidRPr="00B525DE">
          <w:rPr>
            <w:rStyle w:val="Hyperlink"/>
            <w:noProof/>
          </w:rPr>
          <w:t xml:space="preserve">Figure 12 </w:t>
        </w:r>
        <w:r w:rsidR="00A45D71" w:rsidRPr="00B525DE">
          <w:rPr>
            <w:rStyle w:val="Hyperlink"/>
            <w:rFonts w:cs="Arial"/>
            <w:noProof/>
          </w:rPr>
          <w:t xml:space="preserve">Diagram of a typical by-product coke plant </w:t>
        </w:r>
        <w:r w:rsidR="00A45D71" w:rsidRPr="00B525DE">
          <w:rPr>
            <w:rStyle w:val="Hyperlink"/>
            <w:rFonts w:ascii="Calibri" w:hAnsi="Calibri" w:cs="Calibri"/>
            <w:noProof/>
          </w:rPr>
          <w:t>(Hilding 2005)</w:t>
        </w:r>
        <w:r w:rsidR="00A45D71">
          <w:rPr>
            <w:noProof/>
            <w:webHidden/>
          </w:rPr>
          <w:tab/>
        </w:r>
        <w:r w:rsidR="00A45D71">
          <w:rPr>
            <w:noProof/>
            <w:webHidden/>
          </w:rPr>
          <w:fldChar w:fldCharType="begin"/>
        </w:r>
        <w:r w:rsidR="00A45D71">
          <w:rPr>
            <w:noProof/>
            <w:webHidden/>
          </w:rPr>
          <w:instrText xml:space="preserve"> PAGEREF _Toc127110906 \h </w:instrText>
        </w:r>
        <w:r w:rsidR="00A45D71">
          <w:rPr>
            <w:noProof/>
            <w:webHidden/>
          </w:rPr>
        </w:r>
        <w:r w:rsidR="00A45D71">
          <w:rPr>
            <w:noProof/>
            <w:webHidden/>
          </w:rPr>
          <w:fldChar w:fldCharType="separate"/>
        </w:r>
        <w:r w:rsidR="00A45D71">
          <w:rPr>
            <w:noProof/>
            <w:webHidden/>
          </w:rPr>
          <w:t>23</w:t>
        </w:r>
        <w:r w:rsidR="00A45D71">
          <w:rPr>
            <w:noProof/>
            <w:webHidden/>
          </w:rPr>
          <w:fldChar w:fldCharType="end"/>
        </w:r>
      </w:hyperlink>
    </w:p>
    <w:p w14:paraId="5CFDF6D7" w14:textId="69BBF13D"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7" w:history="1">
        <w:r w:rsidR="00A45D71" w:rsidRPr="00B525DE">
          <w:rPr>
            <w:rStyle w:val="Hyperlink"/>
            <w:noProof/>
          </w:rPr>
          <w:t xml:space="preserve">Figure 13 Diagram of a sintering machine </w:t>
        </w:r>
        <w:r w:rsidR="00A45D71" w:rsidRPr="00B525DE">
          <w:rPr>
            <w:rStyle w:val="Hyperlink"/>
            <w:rFonts w:ascii="Calibri" w:hAnsi="Calibri" w:cs="Calibri"/>
            <w:noProof/>
          </w:rPr>
          <w:t>(Chen et al. 2016)</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_Toc127110907 \h </w:instrText>
        </w:r>
        <w:r w:rsidR="00A45D71">
          <w:rPr>
            <w:noProof/>
            <w:webHidden/>
          </w:rPr>
        </w:r>
        <w:r w:rsidR="00A45D71">
          <w:rPr>
            <w:noProof/>
            <w:webHidden/>
          </w:rPr>
          <w:fldChar w:fldCharType="separate"/>
        </w:r>
        <w:r w:rsidR="00A45D71">
          <w:rPr>
            <w:noProof/>
            <w:webHidden/>
          </w:rPr>
          <w:t>25</w:t>
        </w:r>
        <w:r w:rsidR="00A45D71">
          <w:rPr>
            <w:noProof/>
            <w:webHidden/>
          </w:rPr>
          <w:fldChar w:fldCharType="end"/>
        </w:r>
      </w:hyperlink>
    </w:p>
    <w:p w14:paraId="15F390D7" w14:textId="0B24F7ED"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8" w:history="1">
        <w:r w:rsidR="00A45D71" w:rsidRPr="00B525DE">
          <w:rPr>
            <w:rStyle w:val="Hyperlink"/>
            <w:noProof/>
          </w:rPr>
          <w:t xml:space="preserve">Figure 14 Sinter quality indices after biochar addition </w:t>
        </w:r>
        <w:r w:rsidR="00A45D71" w:rsidRPr="00B525DE">
          <w:rPr>
            <w:rStyle w:val="Hyperlink"/>
            <w:rFonts w:ascii="Calibri" w:hAnsi="Calibri" w:cs="Calibri"/>
            <w:noProof/>
          </w:rPr>
          <w:t>(Mousa et al. 2015)</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_Toc127110908 \h </w:instrText>
        </w:r>
        <w:r w:rsidR="00A45D71">
          <w:rPr>
            <w:noProof/>
            <w:webHidden/>
          </w:rPr>
        </w:r>
        <w:r w:rsidR="00A45D71">
          <w:rPr>
            <w:noProof/>
            <w:webHidden/>
          </w:rPr>
          <w:fldChar w:fldCharType="separate"/>
        </w:r>
        <w:r w:rsidR="00A45D71">
          <w:rPr>
            <w:noProof/>
            <w:webHidden/>
          </w:rPr>
          <w:t>26</w:t>
        </w:r>
        <w:r w:rsidR="00A45D71">
          <w:rPr>
            <w:noProof/>
            <w:webHidden/>
          </w:rPr>
          <w:fldChar w:fldCharType="end"/>
        </w:r>
      </w:hyperlink>
    </w:p>
    <w:p w14:paraId="3C084FD0" w14:textId="27FFB465"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09" w:history="1">
        <w:r w:rsidR="00A45D71" w:rsidRPr="00B525DE">
          <w:rPr>
            <w:rStyle w:val="Hyperlink"/>
            <w:noProof/>
          </w:rPr>
          <w:t xml:space="preserve">Figure 15 a) The distribution of woody biomass and waste in the EU b) Comparison of the woody-biomass supply and the existing woody-biomass demand, per country) </w:t>
        </w:r>
        <w:r w:rsidR="00A45D71" w:rsidRPr="00B525DE">
          <w:rPr>
            <w:rStyle w:val="Hyperlink"/>
            <w:rFonts w:ascii="Calibri" w:hAnsi="Calibri" w:cs="Calibri"/>
            <w:noProof/>
          </w:rPr>
          <w:t>(Mandova et al. 2018)</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_Toc127110909 \h </w:instrText>
        </w:r>
        <w:r w:rsidR="00A45D71">
          <w:rPr>
            <w:noProof/>
            <w:webHidden/>
          </w:rPr>
        </w:r>
        <w:r w:rsidR="00A45D71">
          <w:rPr>
            <w:noProof/>
            <w:webHidden/>
          </w:rPr>
          <w:fldChar w:fldCharType="separate"/>
        </w:r>
        <w:r w:rsidR="00A45D71">
          <w:rPr>
            <w:noProof/>
            <w:webHidden/>
          </w:rPr>
          <w:t>27</w:t>
        </w:r>
        <w:r w:rsidR="00A45D71">
          <w:rPr>
            <w:noProof/>
            <w:webHidden/>
          </w:rPr>
          <w:fldChar w:fldCharType="end"/>
        </w:r>
      </w:hyperlink>
    </w:p>
    <w:p w14:paraId="25EAB1E2" w14:textId="67ED0A26"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0" w:history="1">
        <w:r w:rsidR="00A45D71" w:rsidRPr="00B525DE">
          <w:rPr>
            <w:rStyle w:val="Hyperlink"/>
            <w:noProof/>
          </w:rPr>
          <w:t xml:space="preserve">Figure 16 The cost of charcoal production </w:t>
        </w:r>
        <w:r w:rsidR="00A45D71" w:rsidRPr="00B525DE">
          <w:rPr>
            <w:rStyle w:val="Hyperlink"/>
            <w:rFonts w:ascii="Calibri" w:hAnsi="Calibri" w:cs="Calibri"/>
            <w:noProof/>
          </w:rPr>
          <w:t>(Suopajärvi and Fabritius 2013)</w:t>
        </w:r>
        <w:r w:rsidR="00A45D71">
          <w:rPr>
            <w:noProof/>
            <w:webHidden/>
          </w:rPr>
          <w:tab/>
        </w:r>
        <w:r w:rsidR="00A45D71">
          <w:rPr>
            <w:noProof/>
            <w:webHidden/>
          </w:rPr>
          <w:fldChar w:fldCharType="begin"/>
        </w:r>
        <w:r w:rsidR="00A45D71">
          <w:rPr>
            <w:noProof/>
            <w:webHidden/>
          </w:rPr>
          <w:instrText xml:space="preserve"> PAGEREF _Toc127110910 \h </w:instrText>
        </w:r>
        <w:r w:rsidR="00A45D71">
          <w:rPr>
            <w:noProof/>
            <w:webHidden/>
          </w:rPr>
        </w:r>
        <w:r w:rsidR="00A45D71">
          <w:rPr>
            <w:noProof/>
            <w:webHidden/>
          </w:rPr>
          <w:fldChar w:fldCharType="separate"/>
        </w:r>
        <w:r w:rsidR="00A45D71">
          <w:rPr>
            <w:noProof/>
            <w:webHidden/>
          </w:rPr>
          <w:t>28</w:t>
        </w:r>
        <w:r w:rsidR="00A45D71">
          <w:rPr>
            <w:noProof/>
            <w:webHidden/>
          </w:rPr>
          <w:fldChar w:fldCharType="end"/>
        </w:r>
      </w:hyperlink>
    </w:p>
    <w:p w14:paraId="37B70458" w14:textId="38081BE5"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1" w:history="1">
        <w:r w:rsidR="00A45D71" w:rsidRPr="00B525DE">
          <w:rPr>
            <w:rStyle w:val="Hyperlink"/>
            <w:noProof/>
          </w:rPr>
          <w:t xml:space="preserve">Figure 17 Calculated VUI's for BF fuels and subsequent CO2 emissions from the BF </w:t>
        </w:r>
        <w:r w:rsidR="00A45D71" w:rsidRPr="00B525DE">
          <w:rPr>
            <w:rStyle w:val="Hyperlink"/>
            <w:rFonts w:ascii="Calibri" w:hAnsi="Calibri" w:cs="Calibri"/>
            <w:noProof/>
          </w:rPr>
          <w:t>(Mathieson et al. 2011)</w:t>
        </w:r>
        <w:r w:rsidR="00A45D71">
          <w:rPr>
            <w:noProof/>
            <w:webHidden/>
          </w:rPr>
          <w:tab/>
        </w:r>
        <w:r w:rsidR="00A45D71">
          <w:rPr>
            <w:noProof/>
            <w:webHidden/>
          </w:rPr>
          <w:fldChar w:fldCharType="begin"/>
        </w:r>
        <w:r w:rsidR="00A45D71">
          <w:rPr>
            <w:noProof/>
            <w:webHidden/>
          </w:rPr>
          <w:instrText xml:space="preserve"> PAGEREF _Toc127110911 \h </w:instrText>
        </w:r>
        <w:r w:rsidR="00A45D71">
          <w:rPr>
            <w:noProof/>
            <w:webHidden/>
          </w:rPr>
        </w:r>
        <w:r w:rsidR="00A45D71">
          <w:rPr>
            <w:noProof/>
            <w:webHidden/>
          </w:rPr>
          <w:fldChar w:fldCharType="separate"/>
        </w:r>
        <w:r w:rsidR="00A45D71">
          <w:rPr>
            <w:noProof/>
            <w:webHidden/>
          </w:rPr>
          <w:t>28</w:t>
        </w:r>
        <w:r w:rsidR="00A45D71">
          <w:rPr>
            <w:noProof/>
            <w:webHidden/>
          </w:rPr>
          <w:fldChar w:fldCharType="end"/>
        </w:r>
      </w:hyperlink>
    </w:p>
    <w:p w14:paraId="032E6443" w14:textId="4EE40D5D"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2" w:history="1">
        <w:r w:rsidR="00A45D71" w:rsidRPr="00B525DE">
          <w:rPr>
            <w:rStyle w:val="Hyperlink"/>
            <w:noProof/>
          </w:rPr>
          <w:t xml:space="preserve">Figure 18 Rotary kiln pilot-scale pyrolysis unit used to make biochar 1 </w:t>
        </w:r>
        <w:r w:rsidR="00A45D71" w:rsidRPr="00B525DE">
          <w:rPr>
            <w:rStyle w:val="Hyperlink"/>
            <w:rFonts w:ascii="Calibri" w:hAnsi="Calibri" w:cs="Calibri"/>
            <w:noProof/>
          </w:rPr>
          <w:t>(Mašek et al. 2018)</w:t>
        </w:r>
        <w:r w:rsidR="00A45D71">
          <w:rPr>
            <w:noProof/>
            <w:webHidden/>
          </w:rPr>
          <w:tab/>
        </w:r>
        <w:r w:rsidR="00A45D71">
          <w:rPr>
            <w:noProof/>
            <w:webHidden/>
          </w:rPr>
          <w:fldChar w:fldCharType="begin"/>
        </w:r>
        <w:r w:rsidR="00A45D71">
          <w:rPr>
            <w:noProof/>
            <w:webHidden/>
          </w:rPr>
          <w:instrText xml:space="preserve"> PAGEREF _Toc127110912 \h </w:instrText>
        </w:r>
        <w:r w:rsidR="00A45D71">
          <w:rPr>
            <w:noProof/>
            <w:webHidden/>
          </w:rPr>
        </w:r>
        <w:r w:rsidR="00A45D71">
          <w:rPr>
            <w:noProof/>
            <w:webHidden/>
          </w:rPr>
          <w:fldChar w:fldCharType="separate"/>
        </w:r>
        <w:r w:rsidR="00A45D71">
          <w:rPr>
            <w:noProof/>
            <w:webHidden/>
          </w:rPr>
          <w:t>29</w:t>
        </w:r>
        <w:r w:rsidR="00A45D71">
          <w:rPr>
            <w:noProof/>
            <w:webHidden/>
          </w:rPr>
          <w:fldChar w:fldCharType="end"/>
        </w:r>
      </w:hyperlink>
    </w:p>
    <w:p w14:paraId="25C90BF9" w14:textId="11BBE08D"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3" w:history="1">
        <w:r w:rsidR="00A45D71" w:rsidRPr="00B525DE">
          <w:rPr>
            <w:rStyle w:val="Hyperlink"/>
            <w:noProof/>
          </w:rPr>
          <w:t xml:space="preserve">Figure 19 The components of coal </w:t>
        </w:r>
        <w:r w:rsidR="00A45D71" w:rsidRPr="00B525DE">
          <w:rPr>
            <w:rStyle w:val="Hyperlink"/>
            <w:rFonts w:ascii="Calibri" w:hAnsi="Calibri" w:cs="Calibri"/>
            <w:noProof/>
          </w:rPr>
          <w:t>(Backus 2022)</w:t>
        </w:r>
        <w:r w:rsidR="00A45D71">
          <w:rPr>
            <w:noProof/>
            <w:webHidden/>
          </w:rPr>
          <w:tab/>
        </w:r>
        <w:r w:rsidR="00A45D71">
          <w:rPr>
            <w:noProof/>
            <w:webHidden/>
          </w:rPr>
          <w:fldChar w:fldCharType="begin"/>
        </w:r>
        <w:r w:rsidR="00A45D71">
          <w:rPr>
            <w:noProof/>
            <w:webHidden/>
          </w:rPr>
          <w:instrText xml:space="preserve"> PAGEREF _Toc127110913 \h </w:instrText>
        </w:r>
        <w:r w:rsidR="00A45D71">
          <w:rPr>
            <w:noProof/>
            <w:webHidden/>
          </w:rPr>
        </w:r>
        <w:r w:rsidR="00A45D71">
          <w:rPr>
            <w:noProof/>
            <w:webHidden/>
          </w:rPr>
          <w:fldChar w:fldCharType="separate"/>
        </w:r>
        <w:r w:rsidR="00A45D71">
          <w:rPr>
            <w:noProof/>
            <w:webHidden/>
          </w:rPr>
          <w:t>30</w:t>
        </w:r>
        <w:r w:rsidR="00A45D71">
          <w:rPr>
            <w:noProof/>
            <w:webHidden/>
          </w:rPr>
          <w:fldChar w:fldCharType="end"/>
        </w:r>
      </w:hyperlink>
    </w:p>
    <w:p w14:paraId="2CDD1AB0" w14:textId="48292BC4"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4" w:history="1">
        <w:r w:rsidR="00A45D71" w:rsidRPr="00B525DE">
          <w:rPr>
            <w:rStyle w:val="Hyperlink"/>
            <w:noProof/>
          </w:rPr>
          <w:t xml:space="preserve">Figure 20 Illustrating x-ray fluorescence </w:t>
        </w:r>
        <w:r w:rsidR="00A45D71" w:rsidRPr="00B525DE">
          <w:rPr>
            <w:rStyle w:val="Hyperlink"/>
            <w:rFonts w:ascii="Calibri" w:hAnsi="Calibri" w:cs="Calibri"/>
            <w:noProof/>
          </w:rPr>
          <w:t>(Blondel 2020)</w:t>
        </w:r>
        <w:r w:rsidR="00A45D71">
          <w:rPr>
            <w:noProof/>
            <w:webHidden/>
          </w:rPr>
          <w:tab/>
        </w:r>
        <w:r w:rsidR="00A45D71">
          <w:rPr>
            <w:noProof/>
            <w:webHidden/>
          </w:rPr>
          <w:fldChar w:fldCharType="begin"/>
        </w:r>
        <w:r w:rsidR="00A45D71">
          <w:rPr>
            <w:noProof/>
            <w:webHidden/>
          </w:rPr>
          <w:instrText xml:space="preserve"> PAGEREF _Toc127110914 \h </w:instrText>
        </w:r>
        <w:r w:rsidR="00A45D71">
          <w:rPr>
            <w:noProof/>
            <w:webHidden/>
          </w:rPr>
        </w:r>
        <w:r w:rsidR="00A45D71">
          <w:rPr>
            <w:noProof/>
            <w:webHidden/>
          </w:rPr>
          <w:fldChar w:fldCharType="separate"/>
        </w:r>
        <w:r w:rsidR="00A45D71">
          <w:rPr>
            <w:noProof/>
            <w:webHidden/>
          </w:rPr>
          <w:t>33</w:t>
        </w:r>
        <w:r w:rsidR="00A45D71">
          <w:rPr>
            <w:noProof/>
            <w:webHidden/>
          </w:rPr>
          <w:fldChar w:fldCharType="end"/>
        </w:r>
      </w:hyperlink>
    </w:p>
    <w:p w14:paraId="3955AA81" w14:textId="78533B21"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5" w:history="1">
        <w:r w:rsidR="00A45D71" w:rsidRPr="00B525DE">
          <w:rPr>
            <w:rStyle w:val="Hyperlink"/>
            <w:noProof/>
          </w:rPr>
          <w:t xml:space="preserve">Figure 21 Excitation of an atom by a plasma </w:t>
        </w:r>
        <w:r w:rsidR="00A45D71" w:rsidRPr="00B525DE">
          <w:rPr>
            <w:rStyle w:val="Hyperlink"/>
            <w:rFonts w:ascii="Calibri" w:hAnsi="Calibri" w:cs="Calibri"/>
            <w:noProof/>
          </w:rPr>
          <w:t>(Thermo Fisher Scientific 2022)</w:t>
        </w:r>
        <w:r w:rsidR="00A45D71">
          <w:rPr>
            <w:noProof/>
            <w:webHidden/>
          </w:rPr>
          <w:tab/>
        </w:r>
        <w:r w:rsidR="00A45D71">
          <w:rPr>
            <w:noProof/>
            <w:webHidden/>
          </w:rPr>
          <w:fldChar w:fldCharType="begin"/>
        </w:r>
        <w:r w:rsidR="00A45D71">
          <w:rPr>
            <w:noProof/>
            <w:webHidden/>
          </w:rPr>
          <w:instrText xml:space="preserve"> PAGEREF _Toc127110915 \h </w:instrText>
        </w:r>
        <w:r w:rsidR="00A45D71">
          <w:rPr>
            <w:noProof/>
            <w:webHidden/>
          </w:rPr>
        </w:r>
        <w:r w:rsidR="00A45D71">
          <w:rPr>
            <w:noProof/>
            <w:webHidden/>
          </w:rPr>
          <w:fldChar w:fldCharType="separate"/>
        </w:r>
        <w:r w:rsidR="00A45D71">
          <w:rPr>
            <w:noProof/>
            <w:webHidden/>
          </w:rPr>
          <w:t>34</w:t>
        </w:r>
        <w:r w:rsidR="00A45D71">
          <w:rPr>
            <w:noProof/>
            <w:webHidden/>
          </w:rPr>
          <w:fldChar w:fldCharType="end"/>
        </w:r>
      </w:hyperlink>
    </w:p>
    <w:p w14:paraId="267AE52A" w14:textId="05130CDD"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6" w:history="1">
        <w:r w:rsidR="00A45D71" w:rsidRPr="00B525DE">
          <w:rPr>
            <w:rStyle w:val="Hyperlink"/>
            <w:noProof/>
          </w:rPr>
          <w:t xml:space="preserve">Figure 22 Particle size distribution by sieves </w:t>
        </w:r>
        <w:r w:rsidR="00A45D71" w:rsidRPr="00B525DE">
          <w:rPr>
            <w:rStyle w:val="Hyperlink"/>
            <w:rFonts w:ascii="Calibri" w:hAnsi="Calibri" w:cs="Calibri"/>
            <w:noProof/>
          </w:rPr>
          <w:t>(Particle Technology Labs 2022)</w:t>
        </w:r>
        <w:r w:rsidR="00A45D71">
          <w:rPr>
            <w:noProof/>
            <w:webHidden/>
          </w:rPr>
          <w:tab/>
        </w:r>
        <w:r w:rsidR="00A45D71">
          <w:rPr>
            <w:noProof/>
            <w:webHidden/>
          </w:rPr>
          <w:fldChar w:fldCharType="begin"/>
        </w:r>
        <w:r w:rsidR="00A45D71">
          <w:rPr>
            <w:noProof/>
            <w:webHidden/>
          </w:rPr>
          <w:instrText xml:space="preserve"> PAGEREF _Toc127110916 \h </w:instrText>
        </w:r>
        <w:r w:rsidR="00A45D71">
          <w:rPr>
            <w:noProof/>
            <w:webHidden/>
          </w:rPr>
        </w:r>
        <w:r w:rsidR="00A45D71">
          <w:rPr>
            <w:noProof/>
            <w:webHidden/>
          </w:rPr>
          <w:fldChar w:fldCharType="separate"/>
        </w:r>
        <w:r w:rsidR="00A45D71">
          <w:rPr>
            <w:noProof/>
            <w:webHidden/>
          </w:rPr>
          <w:t>35</w:t>
        </w:r>
        <w:r w:rsidR="00A45D71">
          <w:rPr>
            <w:noProof/>
            <w:webHidden/>
          </w:rPr>
          <w:fldChar w:fldCharType="end"/>
        </w:r>
      </w:hyperlink>
    </w:p>
    <w:p w14:paraId="53B64EFA" w14:textId="15732E83"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7" w:history="1">
        <w:r w:rsidR="00A45D71" w:rsidRPr="00B525DE">
          <w:rPr>
            <w:rStyle w:val="Hyperlink"/>
            <w:noProof/>
          </w:rPr>
          <w:t xml:space="preserve">Figure 23 A picture and schematic </w:t>
        </w:r>
        <w:r w:rsidR="00A45D71" w:rsidRPr="00B525DE">
          <w:rPr>
            <w:rStyle w:val="Hyperlink"/>
            <w:rFonts w:ascii="Calibri" w:hAnsi="Calibri" w:cs="Calibri"/>
            <w:noProof/>
          </w:rPr>
          <w:t>(Steer et al. 2021)</w:t>
        </w:r>
        <w:r w:rsidR="00A45D71" w:rsidRPr="00B525DE">
          <w:rPr>
            <w:rStyle w:val="Hyperlink"/>
            <w:noProof/>
          </w:rPr>
          <w:t xml:space="preserve"> of the drop tube furnace.</w:t>
        </w:r>
        <w:r w:rsidR="00A45D71">
          <w:rPr>
            <w:noProof/>
            <w:webHidden/>
          </w:rPr>
          <w:tab/>
        </w:r>
        <w:r w:rsidR="00A45D71">
          <w:rPr>
            <w:noProof/>
            <w:webHidden/>
          </w:rPr>
          <w:fldChar w:fldCharType="begin"/>
        </w:r>
        <w:r w:rsidR="00A45D71">
          <w:rPr>
            <w:noProof/>
            <w:webHidden/>
          </w:rPr>
          <w:instrText xml:space="preserve"> PAGEREF _Toc127110917 \h </w:instrText>
        </w:r>
        <w:r w:rsidR="00A45D71">
          <w:rPr>
            <w:noProof/>
            <w:webHidden/>
          </w:rPr>
        </w:r>
        <w:r w:rsidR="00A45D71">
          <w:rPr>
            <w:noProof/>
            <w:webHidden/>
          </w:rPr>
          <w:fldChar w:fldCharType="separate"/>
        </w:r>
        <w:r w:rsidR="00A45D71">
          <w:rPr>
            <w:noProof/>
            <w:webHidden/>
          </w:rPr>
          <w:t>36</w:t>
        </w:r>
        <w:r w:rsidR="00A45D71">
          <w:rPr>
            <w:noProof/>
            <w:webHidden/>
          </w:rPr>
          <w:fldChar w:fldCharType="end"/>
        </w:r>
      </w:hyperlink>
    </w:p>
    <w:p w14:paraId="1400BB0B" w14:textId="67D023E7"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8" w:history="1">
        <w:r w:rsidR="00A45D71" w:rsidRPr="00B525DE">
          <w:rPr>
            <w:rStyle w:val="Hyperlink"/>
            <w:noProof/>
          </w:rPr>
          <w:t>Figure 24 The Pilot scale coke oven at Tatasteel</w:t>
        </w:r>
        <w:r w:rsidR="00A45D71">
          <w:rPr>
            <w:noProof/>
            <w:webHidden/>
          </w:rPr>
          <w:tab/>
        </w:r>
        <w:r w:rsidR="00A45D71">
          <w:rPr>
            <w:noProof/>
            <w:webHidden/>
          </w:rPr>
          <w:fldChar w:fldCharType="begin"/>
        </w:r>
        <w:r w:rsidR="00A45D71">
          <w:rPr>
            <w:noProof/>
            <w:webHidden/>
          </w:rPr>
          <w:instrText xml:space="preserve"> PAGEREF _Toc127110918 \h </w:instrText>
        </w:r>
        <w:r w:rsidR="00A45D71">
          <w:rPr>
            <w:noProof/>
            <w:webHidden/>
          </w:rPr>
        </w:r>
        <w:r w:rsidR="00A45D71">
          <w:rPr>
            <w:noProof/>
            <w:webHidden/>
          </w:rPr>
          <w:fldChar w:fldCharType="separate"/>
        </w:r>
        <w:r w:rsidR="00A45D71">
          <w:rPr>
            <w:noProof/>
            <w:webHidden/>
          </w:rPr>
          <w:t>37</w:t>
        </w:r>
        <w:r w:rsidR="00A45D71">
          <w:rPr>
            <w:noProof/>
            <w:webHidden/>
          </w:rPr>
          <w:fldChar w:fldCharType="end"/>
        </w:r>
      </w:hyperlink>
    </w:p>
    <w:p w14:paraId="7B144FE3" w14:textId="0B54C9ED"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19" w:history="1">
        <w:r w:rsidR="00A45D71" w:rsidRPr="00B525DE">
          <w:rPr>
            <w:rStyle w:val="Hyperlink"/>
            <w:noProof/>
          </w:rPr>
          <w:t>Figure 25 An illustration of the 25Kg pilot scale coke oven at Port Talbot, made by the author.</w:t>
        </w:r>
        <w:r w:rsidR="00A45D71">
          <w:rPr>
            <w:noProof/>
            <w:webHidden/>
          </w:rPr>
          <w:tab/>
        </w:r>
        <w:r w:rsidR="00A45D71">
          <w:rPr>
            <w:noProof/>
            <w:webHidden/>
          </w:rPr>
          <w:fldChar w:fldCharType="begin"/>
        </w:r>
        <w:r w:rsidR="00A45D71">
          <w:rPr>
            <w:noProof/>
            <w:webHidden/>
          </w:rPr>
          <w:instrText xml:space="preserve"> PAGEREF _Toc127110919 \h </w:instrText>
        </w:r>
        <w:r w:rsidR="00A45D71">
          <w:rPr>
            <w:noProof/>
            <w:webHidden/>
          </w:rPr>
        </w:r>
        <w:r w:rsidR="00A45D71">
          <w:rPr>
            <w:noProof/>
            <w:webHidden/>
          </w:rPr>
          <w:fldChar w:fldCharType="separate"/>
        </w:r>
        <w:r w:rsidR="00A45D71">
          <w:rPr>
            <w:noProof/>
            <w:webHidden/>
          </w:rPr>
          <w:t>38</w:t>
        </w:r>
        <w:r w:rsidR="00A45D71">
          <w:rPr>
            <w:noProof/>
            <w:webHidden/>
          </w:rPr>
          <w:fldChar w:fldCharType="end"/>
        </w:r>
      </w:hyperlink>
    </w:p>
    <w:p w14:paraId="5549AED3" w14:textId="5D1E75D9"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0" w:history="1">
        <w:r w:rsidR="00A45D71" w:rsidRPr="00B525DE">
          <w:rPr>
            <w:rStyle w:val="Hyperlink"/>
            <w:noProof/>
          </w:rPr>
          <w:t>Figure 26 Preparing the coal charge</w:t>
        </w:r>
        <w:r w:rsidR="00A45D71">
          <w:rPr>
            <w:noProof/>
            <w:webHidden/>
          </w:rPr>
          <w:tab/>
        </w:r>
        <w:r w:rsidR="00A45D71">
          <w:rPr>
            <w:noProof/>
            <w:webHidden/>
          </w:rPr>
          <w:fldChar w:fldCharType="begin"/>
        </w:r>
        <w:r w:rsidR="00A45D71">
          <w:rPr>
            <w:noProof/>
            <w:webHidden/>
          </w:rPr>
          <w:instrText xml:space="preserve"> PAGEREF _Toc127110920 \h </w:instrText>
        </w:r>
        <w:r w:rsidR="00A45D71">
          <w:rPr>
            <w:noProof/>
            <w:webHidden/>
          </w:rPr>
        </w:r>
        <w:r w:rsidR="00A45D71">
          <w:rPr>
            <w:noProof/>
            <w:webHidden/>
          </w:rPr>
          <w:fldChar w:fldCharType="separate"/>
        </w:r>
        <w:r w:rsidR="00A45D71">
          <w:rPr>
            <w:noProof/>
            <w:webHidden/>
          </w:rPr>
          <w:t>39</w:t>
        </w:r>
        <w:r w:rsidR="00A45D71">
          <w:rPr>
            <w:noProof/>
            <w:webHidden/>
          </w:rPr>
          <w:fldChar w:fldCharType="end"/>
        </w:r>
      </w:hyperlink>
    </w:p>
    <w:p w14:paraId="06C4BC22" w14:textId="729496C2"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1" w:history="1">
        <w:r w:rsidR="00A45D71" w:rsidRPr="00B525DE">
          <w:rPr>
            <w:rStyle w:val="Hyperlink"/>
            <w:noProof/>
          </w:rPr>
          <w:t>Figure 27 The coal density calculation</w:t>
        </w:r>
        <w:r w:rsidR="00A45D71">
          <w:rPr>
            <w:noProof/>
            <w:webHidden/>
          </w:rPr>
          <w:tab/>
        </w:r>
        <w:r w:rsidR="00A45D71">
          <w:rPr>
            <w:noProof/>
            <w:webHidden/>
          </w:rPr>
          <w:fldChar w:fldCharType="begin"/>
        </w:r>
        <w:r w:rsidR="00A45D71">
          <w:rPr>
            <w:noProof/>
            <w:webHidden/>
          </w:rPr>
          <w:instrText xml:space="preserve"> PAGEREF _Toc127110921 \h </w:instrText>
        </w:r>
        <w:r w:rsidR="00A45D71">
          <w:rPr>
            <w:noProof/>
            <w:webHidden/>
          </w:rPr>
        </w:r>
        <w:r w:rsidR="00A45D71">
          <w:rPr>
            <w:noProof/>
            <w:webHidden/>
          </w:rPr>
          <w:fldChar w:fldCharType="separate"/>
        </w:r>
        <w:r w:rsidR="00A45D71">
          <w:rPr>
            <w:noProof/>
            <w:webHidden/>
          </w:rPr>
          <w:t>40</w:t>
        </w:r>
        <w:r w:rsidR="00A45D71">
          <w:rPr>
            <w:noProof/>
            <w:webHidden/>
          </w:rPr>
          <w:fldChar w:fldCharType="end"/>
        </w:r>
      </w:hyperlink>
    </w:p>
    <w:p w14:paraId="447211E8" w14:textId="01CE9448"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2" w:history="1">
        <w:r w:rsidR="00A45D71" w:rsidRPr="00B525DE">
          <w:rPr>
            <w:rStyle w:val="Hyperlink"/>
            <w:noProof/>
          </w:rPr>
          <w:t xml:space="preserve">Figure 28 The motion of coke in a micum test </w:t>
        </w:r>
        <w:r w:rsidR="00A45D71" w:rsidRPr="00B525DE">
          <w:rPr>
            <w:rStyle w:val="Hyperlink"/>
            <w:rFonts w:ascii="Calibri" w:hAnsi="Calibri" w:cs="Calibri"/>
            <w:noProof/>
          </w:rPr>
          <w:t>(Geerdes et al. 2009)</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_Toc127110922 \h </w:instrText>
        </w:r>
        <w:r w:rsidR="00A45D71">
          <w:rPr>
            <w:noProof/>
            <w:webHidden/>
          </w:rPr>
        </w:r>
        <w:r w:rsidR="00A45D71">
          <w:rPr>
            <w:noProof/>
            <w:webHidden/>
          </w:rPr>
          <w:fldChar w:fldCharType="separate"/>
        </w:r>
        <w:r w:rsidR="00A45D71">
          <w:rPr>
            <w:noProof/>
            <w:webHidden/>
          </w:rPr>
          <w:t>41</w:t>
        </w:r>
        <w:r w:rsidR="00A45D71">
          <w:rPr>
            <w:noProof/>
            <w:webHidden/>
          </w:rPr>
          <w:fldChar w:fldCharType="end"/>
        </w:r>
      </w:hyperlink>
    </w:p>
    <w:p w14:paraId="6725DBE7" w14:textId="1E970E5C"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3" w:history="1">
        <w:r w:rsidR="00A45D71" w:rsidRPr="00B525DE">
          <w:rPr>
            <w:rStyle w:val="Hyperlink"/>
            <w:noProof/>
          </w:rPr>
          <w:t>Figure 29 Diagram of the CSR/CRI test</w:t>
        </w:r>
        <w:r w:rsidR="00A45D71">
          <w:rPr>
            <w:noProof/>
            <w:webHidden/>
          </w:rPr>
          <w:tab/>
        </w:r>
        <w:r w:rsidR="00A45D71">
          <w:rPr>
            <w:noProof/>
            <w:webHidden/>
          </w:rPr>
          <w:fldChar w:fldCharType="begin"/>
        </w:r>
        <w:r w:rsidR="00A45D71">
          <w:rPr>
            <w:noProof/>
            <w:webHidden/>
          </w:rPr>
          <w:instrText xml:space="preserve"> PAGEREF _Toc127110923 \h </w:instrText>
        </w:r>
        <w:r w:rsidR="00A45D71">
          <w:rPr>
            <w:noProof/>
            <w:webHidden/>
          </w:rPr>
        </w:r>
        <w:r w:rsidR="00A45D71">
          <w:rPr>
            <w:noProof/>
            <w:webHidden/>
          </w:rPr>
          <w:fldChar w:fldCharType="separate"/>
        </w:r>
        <w:r w:rsidR="00A45D71">
          <w:rPr>
            <w:noProof/>
            <w:webHidden/>
          </w:rPr>
          <w:t>42</w:t>
        </w:r>
        <w:r w:rsidR="00A45D71">
          <w:rPr>
            <w:noProof/>
            <w:webHidden/>
          </w:rPr>
          <w:fldChar w:fldCharType="end"/>
        </w:r>
      </w:hyperlink>
    </w:p>
    <w:p w14:paraId="327218F7" w14:textId="22A7C093"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4" w:history="1">
        <w:r w:rsidR="00A45D71" w:rsidRPr="00B525DE">
          <w:rPr>
            <w:rStyle w:val="Hyperlink"/>
            <w:noProof/>
          </w:rPr>
          <w:t>Figure 30 A photograph (author) and a schematic diagram of the sinter pot (Zandi et al. 2010)</w:t>
        </w:r>
        <w:r w:rsidR="00A45D71">
          <w:rPr>
            <w:noProof/>
            <w:webHidden/>
          </w:rPr>
          <w:tab/>
        </w:r>
        <w:r w:rsidR="00A45D71">
          <w:rPr>
            <w:noProof/>
            <w:webHidden/>
          </w:rPr>
          <w:fldChar w:fldCharType="begin"/>
        </w:r>
        <w:r w:rsidR="00A45D71">
          <w:rPr>
            <w:noProof/>
            <w:webHidden/>
          </w:rPr>
          <w:instrText xml:space="preserve"> PAGEREF _Toc127110924 \h </w:instrText>
        </w:r>
        <w:r w:rsidR="00A45D71">
          <w:rPr>
            <w:noProof/>
            <w:webHidden/>
          </w:rPr>
        </w:r>
        <w:r w:rsidR="00A45D71">
          <w:rPr>
            <w:noProof/>
            <w:webHidden/>
          </w:rPr>
          <w:fldChar w:fldCharType="separate"/>
        </w:r>
        <w:r w:rsidR="00A45D71">
          <w:rPr>
            <w:noProof/>
            <w:webHidden/>
          </w:rPr>
          <w:t>43</w:t>
        </w:r>
        <w:r w:rsidR="00A45D71">
          <w:rPr>
            <w:noProof/>
            <w:webHidden/>
          </w:rPr>
          <w:fldChar w:fldCharType="end"/>
        </w:r>
      </w:hyperlink>
    </w:p>
    <w:p w14:paraId="5E3492B8" w14:textId="0239530B"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5" w:history="1">
        <w:r w:rsidR="00A45D71" w:rsidRPr="00B525DE">
          <w:rPr>
            <w:rStyle w:val="Hyperlink"/>
            <w:noProof/>
          </w:rPr>
          <w:t>Figure 31 RDI test equipment apparatus (British Standards Institute 2015b)</w:t>
        </w:r>
        <w:r w:rsidR="00A45D71">
          <w:rPr>
            <w:noProof/>
            <w:webHidden/>
          </w:rPr>
          <w:tab/>
        </w:r>
        <w:r w:rsidR="00A45D71">
          <w:rPr>
            <w:noProof/>
            <w:webHidden/>
          </w:rPr>
          <w:fldChar w:fldCharType="begin"/>
        </w:r>
        <w:r w:rsidR="00A45D71">
          <w:rPr>
            <w:noProof/>
            <w:webHidden/>
          </w:rPr>
          <w:instrText xml:space="preserve"> PAGEREF _Toc127110925 \h </w:instrText>
        </w:r>
        <w:r w:rsidR="00A45D71">
          <w:rPr>
            <w:noProof/>
            <w:webHidden/>
          </w:rPr>
        </w:r>
        <w:r w:rsidR="00A45D71">
          <w:rPr>
            <w:noProof/>
            <w:webHidden/>
          </w:rPr>
          <w:fldChar w:fldCharType="separate"/>
        </w:r>
        <w:r w:rsidR="00A45D71">
          <w:rPr>
            <w:noProof/>
            <w:webHidden/>
          </w:rPr>
          <w:t>45</w:t>
        </w:r>
        <w:r w:rsidR="00A45D71">
          <w:rPr>
            <w:noProof/>
            <w:webHidden/>
          </w:rPr>
          <w:fldChar w:fldCharType="end"/>
        </w:r>
      </w:hyperlink>
    </w:p>
    <w:p w14:paraId="21ED98A1" w14:textId="4040454E"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6" w:history="1">
        <w:r w:rsidR="00A45D71" w:rsidRPr="00B525DE">
          <w:rPr>
            <w:rStyle w:val="Hyperlink"/>
            <w:noProof/>
          </w:rPr>
          <w:t>Figure 32 The drum specifications for the tumble and abrasion test (British Standards Institute 2015a)</w:t>
        </w:r>
        <w:r w:rsidR="00A45D71">
          <w:rPr>
            <w:noProof/>
            <w:webHidden/>
          </w:rPr>
          <w:tab/>
        </w:r>
        <w:r w:rsidR="00A45D71">
          <w:rPr>
            <w:noProof/>
            <w:webHidden/>
          </w:rPr>
          <w:fldChar w:fldCharType="begin"/>
        </w:r>
        <w:r w:rsidR="00A45D71">
          <w:rPr>
            <w:noProof/>
            <w:webHidden/>
          </w:rPr>
          <w:instrText xml:space="preserve"> PAGEREF _Toc127110926 \h </w:instrText>
        </w:r>
        <w:r w:rsidR="00A45D71">
          <w:rPr>
            <w:noProof/>
            <w:webHidden/>
          </w:rPr>
        </w:r>
        <w:r w:rsidR="00A45D71">
          <w:rPr>
            <w:noProof/>
            <w:webHidden/>
          </w:rPr>
          <w:fldChar w:fldCharType="separate"/>
        </w:r>
        <w:r w:rsidR="00A45D71">
          <w:rPr>
            <w:noProof/>
            <w:webHidden/>
          </w:rPr>
          <w:t>46</w:t>
        </w:r>
        <w:r w:rsidR="00A45D71">
          <w:rPr>
            <w:noProof/>
            <w:webHidden/>
          </w:rPr>
          <w:fldChar w:fldCharType="end"/>
        </w:r>
      </w:hyperlink>
    </w:p>
    <w:p w14:paraId="33050EAA" w14:textId="43F84504"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7" w:history="1">
        <w:r w:rsidR="00A45D71" w:rsidRPr="00B525DE">
          <w:rPr>
            <w:rStyle w:val="Hyperlink"/>
            <w:noProof/>
          </w:rPr>
          <w:t xml:space="preserve">Figure 33 The lower zone of the BF </w:t>
        </w:r>
        <w:r w:rsidR="00A45D71" w:rsidRPr="00B525DE">
          <w:rPr>
            <w:rStyle w:val="Hyperlink"/>
            <w:rFonts w:ascii="Calibri" w:hAnsi="Calibri" w:cs="Calibri"/>
            <w:noProof/>
          </w:rPr>
          <w:t>(Ahmed 2018)</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_Toc127110927 \h </w:instrText>
        </w:r>
        <w:r w:rsidR="00A45D71">
          <w:rPr>
            <w:noProof/>
            <w:webHidden/>
          </w:rPr>
        </w:r>
        <w:r w:rsidR="00A45D71">
          <w:rPr>
            <w:noProof/>
            <w:webHidden/>
          </w:rPr>
          <w:fldChar w:fldCharType="separate"/>
        </w:r>
        <w:r w:rsidR="00A45D71">
          <w:rPr>
            <w:noProof/>
            <w:webHidden/>
          </w:rPr>
          <w:t>52</w:t>
        </w:r>
        <w:r w:rsidR="00A45D71">
          <w:rPr>
            <w:noProof/>
            <w:webHidden/>
          </w:rPr>
          <w:fldChar w:fldCharType="end"/>
        </w:r>
      </w:hyperlink>
    </w:p>
    <w:p w14:paraId="64104FBF" w14:textId="070FDB1A"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8" w:history="1">
        <w:r w:rsidR="00A45D71" w:rsidRPr="00B525DE">
          <w:rPr>
            <w:rStyle w:val="Hyperlink"/>
            <w:noProof/>
          </w:rPr>
          <w:t>Figure 34 Graph showing the burnout efficiency of T-coal and biochar</w:t>
        </w:r>
        <w:r w:rsidR="00A45D71">
          <w:rPr>
            <w:noProof/>
            <w:webHidden/>
          </w:rPr>
          <w:tab/>
        </w:r>
        <w:r w:rsidR="00A45D71">
          <w:rPr>
            <w:noProof/>
            <w:webHidden/>
          </w:rPr>
          <w:fldChar w:fldCharType="begin"/>
        </w:r>
        <w:r w:rsidR="00A45D71">
          <w:rPr>
            <w:noProof/>
            <w:webHidden/>
          </w:rPr>
          <w:instrText xml:space="preserve"> PAGEREF _Toc127110928 \h </w:instrText>
        </w:r>
        <w:r w:rsidR="00A45D71">
          <w:rPr>
            <w:noProof/>
            <w:webHidden/>
          </w:rPr>
        </w:r>
        <w:r w:rsidR="00A45D71">
          <w:rPr>
            <w:noProof/>
            <w:webHidden/>
          </w:rPr>
          <w:fldChar w:fldCharType="separate"/>
        </w:r>
        <w:r w:rsidR="00A45D71">
          <w:rPr>
            <w:noProof/>
            <w:webHidden/>
          </w:rPr>
          <w:t>53</w:t>
        </w:r>
        <w:r w:rsidR="00A45D71">
          <w:rPr>
            <w:noProof/>
            <w:webHidden/>
          </w:rPr>
          <w:fldChar w:fldCharType="end"/>
        </w:r>
      </w:hyperlink>
    </w:p>
    <w:p w14:paraId="60D030DF" w14:textId="4B76E5D7"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29" w:history="1">
        <w:r w:rsidR="00A45D71" w:rsidRPr="00B525DE">
          <w:rPr>
            <w:rStyle w:val="Hyperlink"/>
            <w:noProof/>
          </w:rPr>
          <w:t>Figure 35 Results from the coke cold strength tests</w:t>
        </w:r>
        <w:r w:rsidR="00A45D71">
          <w:rPr>
            <w:noProof/>
            <w:webHidden/>
          </w:rPr>
          <w:tab/>
        </w:r>
        <w:r w:rsidR="00A45D71">
          <w:rPr>
            <w:noProof/>
            <w:webHidden/>
          </w:rPr>
          <w:fldChar w:fldCharType="begin"/>
        </w:r>
        <w:r w:rsidR="00A45D71">
          <w:rPr>
            <w:noProof/>
            <w:webHidden/>
          </w:rPr>
          <w:instrText xml:space="preserve"> PAGEREF _Toc127110929 \h </w:instrText>
        </w:r>
        <w:r w:rsidR="00A45D71">
          <w:rPr>
            <w:noProof/>
            <w:webHidden/>
          </w:rPr>
        </w:r>
        <w:r w:rsidR="00A45D71">
          <w:rPr>
            <w:noProof/>
            <w:webHidden/>
          </w:rPr>
          <w:fldChar w:fldCharType="separate"/>
        </w:r>
        <w:r w:rsidR="00A45D71">
          <w:rPr>
            <w:noProof/>
            <w:webHidden/>
          </w:rPr>
          <w:t>57</w:t>
        </w:r>
        <w:r w:rsidR="00A45D71">
          <w:rPr>
            <w:noProof/>
            <w:webHidden/>
          </w:rPr>
          <w:fldChar w:fldCharType="end"/>
        </w:r>
      </w:hyperlink>
    </w:p>
    <w:p w14:paraId="2DEFB6BA" w14:textId="118D4933"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0" w:history="1">
        <w:r w:rsidR="00A45D71" w:rsidRPr="00B525DE">
          <w:rPr>
            <w:rStyle w:val="Hyperlink"/>
            <w:noProof/>
          </w:rPr>
          <w:t>Figure 36 Coke strength and reactivity results</w:t>
        </w:r>
        <w:r w:rsidR="00A45D71">
          <w:rPr>
            <w:noProof/>
            <w:webHidden/>
          </w:rPr>
          <w:tab/>
        </w:r>
        <w:r w:rsidR="00A45D71">
          <w:rPr>
            <w:noProof/>
            <w:webHidden/>
          </w:rPr>
          <w:fldChar w:fldCharType="begin"/>
        </w:r>
        <w:r w:rsidR="00A45D71">
          <w:rPr>
            <w:noProof/>
            <w:webHidden/>
          </w:rPr>
          <w:instrText xml:space="preserve"> PAGEREF _Toc127110930 \h </w:instrText>
        </w:r>
        <w:r w:rsidR="00A45D71">
          <w:rPr>
            <w:noProof/>
            <w:webHidden/>
          </w:rPr>
        </w:r>
        <w:r w:rsidR="00A45D71">
          <w:rPr>
            <w:noProof/>
            <w:webHidden/>
          </w:rPr>
          <w:fldChar w:fldCharType="separate"/>
        </w:r>
        <w:r w:rsidR="00A45D71">
          <w:rPr>
            <w:noProof/>
            <w:webHidden/>
          </w:rPr>
          <w:t>59</w:t>
        </w:r>
        <w:r w:rsidR="00A45D71">
          <w:rPr>
            <w:noProof/>
            <w:webHidden/>
          </w:rPr>
          <w:fldChar w:fldCharType="end"/>
        </w:r>
      </w:hyperlink>
    </w:p>
    <w:p w14:paraId="6041BDA2" w14:textId="6A313E40"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1" w:history="1">
        <w:r w:rsidR="00A45D71" w:rsidRPr="00B525DE">
          <w:rPr>
            <w:rStyle w:val="Hyperlink"/>
            <w:noProof/>
          </w:rPr>
          <w:t>Figure 37 Reference coke - 100% Riverside coal</w:t>
        </w:r>
        <w:r w:rsidR="00A45D71">
          <w:rPr>
            <w:noProof/>
            <w:webHidden/>
          </w:rPr>
          <w:tab/>
        </w:r>
        <w:r w:rsidR="00A45D71">
          <w:rPr>
            <w:noProof/>
            <w:webHidden/>
          </w:rPr>
          <w:fldChar w:fldCharType="begin"/>
        </w:r>
        <w:r w:rsidR="00A45D71">
          <w:rPr>
            <w:noProof/>
            <w:webHidden/>
          </w:rPr>
          <w:instrText xml:space="preserve"> PAGEREF _Toc127110931 \h </w:instrText>
        </w:r>
        <w:r w:rsidR="00A45D71">
          <w:rPr>
            <w:noProof/>
            <w:webHidden/>
          </w:rPr>
        </w:r>
        <w:r w:rsidR="00A45D71">
          <w:rPr>
            <w:noProof/>
            <w:webHidden/>
          </w:rPr>
          <w:fldChar w:fldCharType="separate"/>
        </w:r>
        <w:r w:rsidR="00A45D71">
          <w:rPr>
            <w:noProof/>
            <w:webHidden/>
          </w:rPr>
          <w:t>61</w:t>
        </w:r>
        <w:r w:rsidR="00A45D71">
          <w:rPr>
            <w:noProof/>
            <w:webHidden/>
          </w:rPr>
          <w:fldChar w:fldCharType="end"/>
        </w:r>
      </w:hyperlink>
    </w:p>
    <w:p w14:paraId="5514D54E" w14:textId="15DA0C63"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2" w:history="1">
        <w:r w:rsidR="00A45D71" w:rsidRPr="00B525DE">
          <w:rPr>
            <w:rStyle w:val="Hyperlink"/>
            <w:noProof/>
          </w:rPr>
          <w:t>Figure 38 Pictures of the Biocoke. A – 3% biochar 1 substitution, B – 5% biochar 1 substitution, C – 7.5% biochar 1 substitution.</w:t>
        </w:r>
        <w:r w:rsidR="00A45D71">
          <w:rPr>
            <w:noProof/>
            <w:webHidden/>
          </w:rPr>
          <w:tab/>
        </w:r>
        <w:r w:rsidR="00A45D71">
          <w:rPr>
            <w:noProof/>
            <w:webHidden/>
          </w:rPr>
          <w:fldChar w:fldCharType="begin"/>
        </w:r>
        <w:r w:rsidR="00A45D71">
          <w:rPr>
            <w:noProof/>
            <w:webHidden/>
          </w:rPr>
          <w:instrText xml:space="preserve"> PAGEREF _Toc127110932 \h </w:instrText>
        </w:r>
        <w:r w:rsidR="00A45D71">
          <w:rPr>
            <w:noProof/>
            <w:webHidden/>
          </w:rPr>
        </w:r>
        <w:r w:rsidR="00A45D71">
          <w:rPr>
            <w:noProof/>
            <w:webHidden/>
          </w:rPr>
          <w:fldChar w:fldCharType="separate"/>
        </w:r>
        <w:r w:rsidR="00A45D71">
          <w:rPr>
            <w:noProof/>
            <w:webHidden/>
          </w:rPr>
          <w:t>62</w:t>
        </w:r>
        <w:r w:rsidR="00A45D71">
          <w:rPr>
            <w:noProof/>
            <w:webHidden/>
          </w:rPr>
          <w:fldChar w:fldCharType="end"/>
        </w:r>
      </w:hyperlink>
    </w:p>
    <w:p w14:paraId="1B47E8EE" w14:textId="2C3FEB2F"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3" w:history="1">
        <w:r w:rsidR="00A45D71" w:rsidRPr="00B525DE">
          <w:rPr>
            <w:rStyle w:val="Hyperlink"/>
            <w:noProof/>
          </w:rPr>
          <w:t>Figure 39 Pictures of the Biocoke. A – 3% biochar 2 substitution, B – 5% biochar 2 substitution, C – 7.5% biochar 2 substitution.</w:t>
        </w:r>
        <w:r w:rsidR="00A45D71">
          <w:rPr>
            <w:noProof/>
            <w:webHidden/>
          </w:rPr>
          <w:tab/>
        </w:r>
        <w:r w:rsidR="00A45D71">
          <w:rPr>
            <w:noProof/>
            <w:webHidden/>
          </w:rPr>
          <w:fldChar w:fldCharType="begin"/>
        </w:r>
        <w:r w:rsidR="00A45D71">
          <w:rPr>
            <w:noProof/>
            <w:webHidden/>
          </w:rPr>
          <w:instrText xml:space="preserve"> PAGEREF _Toc127110933 \h </w:instrText>
        </w:r>
        <w:r w:rsidR="00A45D71">
          <w:rPr>
            <w:noProof/>
            <w:webHidden/>
          </w:rPr>
        </w:r>
        <w:r w:rsidR="00A45D71">
          <w:rPr>
            <w:noProof/>
            <w:webHidden/>
          </w:rPr>
          <w:fldChar w:fldCharType="separate"/>
        </w:r>
        <w:r w:rsidR="00A45D71">
          <w:rPr>
            <w:noProof/>
            <w:webHidden/>
          </w:rPr>
          <w:t>63</w:t>
        </w:r>
        <w:r w:rsidR="00A45D71">
          <w:rPr>
            <w:noProof/>
            <w:webHidden/>
          </w:rPr>
          <w:fldChar w:fldCharType="end"/>
        </w:r>
      </w:hyperlink>
    </w:p>
    <w:p w14:paraId="30BFB2E7" w14:textId="4C85EE70"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4" w:history="1">
        <w:r w:rsidR="00A45D71" w:rsidRPr="00B525DE">
          <w:rPr>
            <w:rStyle w:val="Hyperlink"/>
            <w:noProof/>
          </w:rPr>
          <w:t>Figure 40 Factors affecting coke strength after reaction (Dı́ez et al. 2002)</w:t>
        </w:r>
        <w:r w:rsidR="00A45D71">
          <w:rPr>
            <w:noProof/>
            <w:webHidden/>
          </w:rPr>
          <w:tab/>
        </w:r>
        <w:r w:rsidR="00A45D71">
          <w:rPr>
            <w:noProof/>
            <w:webHidden/>
          </w:rPr>
          <w:fldChar w:fldCharType="begin"/>
        </w:r>
        <w:r w:rsidR="00A45D71">
          <w:rPr>
            <w:noProof/>
            <w:webHidden/>
          </w:rPr>
          <w:instrText xml:space="preserve"> PAGEREF _Toc127110934 \h </w:instrText>
        </w:r>
        <w:r w:rsidR="00A45D71">
          <w:rPr>
            <w:noProof/>
            <w:webHidden/>
          </w:rPr>
        </w:r>
        <w:r w:rsidR="00A45D71">
          <w:rPr>
            <w:noProof/>
            <w:webHidden/>
          </w:rPr>
          <w:fldChar w:fldCharType="separate"/>
        </w:r>
        <w:r w:rsidR="00A45D71">
          <w:rPr>
            <w:noProof/>
            <w:webHidden/>
          </w:rPr>
          <w:t>64</w:t>
        </w:r>
        <w:r w:rsidR="00A45D71">
          <w:rPr>
            <w:noProof/>
            <w:webHidden/>
          </w:rPr>
          <w:fldChar w:fldCharType="end"/>
        </w:r>
      </w:hyperlink>
    </w:p>
    <w:p w14:paraId="453F037C" w14:textId="56986D0B"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5" w:history="1">
        <w:r w:rsidR="00A45D71" w:rsidRPr="00B525DE">
          <w:rPr>
            <w:rStyle w:val="Hyperlink"/>
            <w:noProof/>
          </w:rPr>
          <w:t xml:space="preserve">Figure 41 The effect on the temperature profile of combustion rate </w:t>
        </w:r>
        <w:r w:rsidR="00A45D71" w:rsidRPr="00B525DE">
          <w:rPr>
            <w:rStyle w:val="Hyperlink"/>
            <w:rFonts w:ascii="Calibri" w:hAnsi="Calibri" w:cs="Calibri"/>
            <w:noProof/>
          </w:rPr>
          <w:t>(Kawaguchi and Hara 2013)</w:t>
        </w:r>
        <w:r w:rsidR="00A45D71" w:rsidRPr="00B525DE">
          <w:rPr>
            <w:rStyle w:val="Hyperlink"/>
            <w:noProof/>
          </w:rPr>
          <w:t>.</w:t>
        </w:r>
        <w:r w:rsidR="00A45D71">
          <w:rPr>
            <w:noProof/>
            <w:webHidden/>
          </w:rPr>
          <w:tab/>
        </w:r>
        <w:r w:rsidR="00A45D71">
          <w:rPr>
            <w:noProof/>
            <w:webHidden/>
          </w:rPr>
          <w:fldChar w:fldCharType="begin"/>
        </w:r>
        <w:r w:rsidR="00A45D71">
          <w:rPr>
            <w:noProof/>
            <w:webHidden/>
          </w:rPr>
          <w:instrText xml:space="preserve"> PAGEREF _Toc127110935 \h </w:instrText>
        </w:r>
        <w:r w:rsidR="00A45D71">
          <w:rPr>
            <w:noProof/>
            <w:webHidden/>
          </w:rPr>
        </w:r>
        <w:r w:rsidR="00A45D71">
          <w:rPr>
            <w:noProof/>
            <w:webHidden/>
          </w:rPr>
          <w:fldChar w:fldCharType="separate"/>
        </w:r>
        <w:r w:rsidR="00A45D71">
          <w:rPr>
            <w:noProof/>
            <w:webHidden/>
          </w:rPr>
          <w:t>66</w:t>
        </w:r>
        <w:r w:rsidR="00A45D71">
          <w:rPr>
            <w:noProof/>
            <w:webHidden/>
          </w:rPr>
          <w:fldChar w:fldCharType="end"/>
        </w:r>
      </w:hyperlink>
    </w:p>
    <w:p w14:paraId="1D759566" w14:textId="69E8ADB8"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6" w:history="1">
        <w:r w:rsidR="00A45D71" w:rsidRPr="00B525DE">
          <w:rPr>
            <w:rStyle w:val="Hyperlink"/>
            <w:noProof/>
          </w:rPr>
          <w:t>Figure 42 Time - temperature profiles of the biochar 1 sinter pot tests.</w:t>
        </w:r>
        <w:r w:rsidR="00A45D71">
          <w:rPr>
            <w:noProof/>
            <w:webHidden/>
          </w:rPr>
          <w:tab/>
        </w:r>
        <w:r w:rsidR="00A45D71">
          <w:rPr>
            <w:noProof/>
            <w:webHidden/>
          </w:rPr>
          <w:fldChar w:fldCharType="begin"/>
        </w:r>
        <w:r w:rsidR="00A45D71">
          <w:rPr>
            <w:noProof/>
            <w:webHidden/>
          </w:rPr>
          <w:instrText xml:space="preserve"> PAGEREF _Toc127110936 \h </w:instrText>
        </w:r>
        <w:r w:rsidR="00A45D71">
          <w:rPr>
            <w:noProof/>
            <w:webHidden/>
          </w:rPr>
        </w:r>
        <w:r w:rsidR="00A45D71">
          <w:rPr>
            <w:noProof/>
            <w:webHidden/>
          </w:rPr>
          <w:fldChar w:fldCharType="separate"/>
        </w:r>
        <w:r w:rsidR="00A45D71">
          <w:rPr>
            <w:noProof/>
            <w:webHidden/>
          </w:rPr>
          <w:t>67</w:t>
        </w:r>
        <w:r w:rsidR="00A45D71">
          <w:rPr>
            <w:noProof/>
            <w:webHidden/>
          </w:rPr>
          <w:fldChar w:fldCharType="end"/>
        </w:r>
      </w:hyperlink>
    </w:p>
    <w:p w14:paraId="42F12C5E" w14:textId="4DA76134"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7" w:history="1">
        <w:r w:rsidR="00A45D71" w:rsidRPr="00B525DE">
          <w:rPr>
            <w:rStyle w:val="Hyperlink"/>
            <w:noProof/>
          </w:rPr>
          <w:t>Figure 43 Cold and hot permeability graphs – Biochar 1</w:t>
        </w:r>
        <w:r w:rsidR="00A45D71">
          <w:rPr>
            <w:noProof/>
            <w:webHidden/>
          </w:rPr>
          <w:tab/>
        </w:r>
        <w:r w:rsidR="00A45D71">
          <w:rPr>
            <w:noProof/>
            <w:webHidden/>
          </w:rPr>
          <w:fldChar w:fldCharType="begin"/>
        </w:r>
        <w:r w:rsidR="00A45D71">
          <w:rPr>
            <w:noProof/>
            <w:webHidden/>
          </w:rPr>
          <w:instrText xml:space="preserve"> PAGEREF _Toc127110937 \h </w:instrText>
        </w:r>
        <w:r w:rsidR="00A45D71">
          <w:rPr>
            <w:noProof/>
            <w:webHidden/>
          </w:rPr>
        </w:r>
        <w:r w:rsidR="00A45D71">
          <w:rPr>
            <w:noProof/>
            <w:webHidden/>
          </w:rPr>
          <w:fldChar w:fldCharType="separate"/>
        </w:r>
        <w:r w:rsidR="00A45D71">
          <w:rPr>
            <w:noProof/>
            <w:webHidden/>
          </w:rPr>
          <w:t>69</w:t>
        </w:r>
        <w:r w:rsidR="00A45D71">
          <w:rPr>
            <w:noProof/>
            <w:webHidden/>
          </w:rPr>
          <w:fldChar w:fldCharType="end"/>
        </w:r>
      </w:hyperlink>
    </w:p>
    <w:p w14:paraId="393FE279" w14:textId="67103564"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8" w:history="1">
        <w:r w:rsidR="00A45D71" w:rsidRPr="00B525DE">
          <w:rPr>
            <w:rStyle w:val="Hyperlink"/>
            <w:noProof/>
          </w:rPr>
          <w:t>Figure 44 Time - temperature profiles of the biochar 2 sinter pot tests.</w:t>
        </w:r>
        <w:r w:rsidR="00A45D71">
          <w:rPr>
            <w:noProof/>
            <w:webHidden/>
          </w:rPr>
          <w:tab/>
        </w:r>
        <w:r w:rsidR="00A45D71">
          <w:rPr>
            <w:noProof/>
            <w:webHidden/>
          </w:rPr>
          <w:fldChar w:fldCharType="begin"/>
        </w:r>
        <w:r w:rsidR="00A45D71">
          <w:rPr>
            <w:noProof/>
            <w:webHidden/>
          </w:rPr>
          <w:instrText xml:space="preserve"> PAGEREF _Toc127110938 \h </w:instrText>
        </w:r>
        <w:r w:rsidR="00A45D71">
          <w:rPr>
            <w:noProof/>
            <w:webHidden/>
          </w:rPr>
        </w:r>
        <w:r w:rsidR="00A45D71">
          <w:rPr>
            <w:noProof/>
            <w:webHidden/>
          </w:rPr>
          <w:fldChar w:fldCharType="separate"/>
        </w:r>
        <w:r w:rsidR="00A45D71">
          <w:rPr>
            <w:noProof/>
            <w:webHidden/>
          </w:rPr>
          <w:t>70</w:t>
        </w:r>
        <w:r w:rsidR="00A45D71">
          <w:rPr>
            <w:noProof/>
            <w:webHidden/>
          </w:rPr>
          <w:fldChar w:fldCharType="end"/>
        </w:r>
      </w:hyperlink>
    </w:p>
    <w:p w14:paraId="62E00B01" w14:textId="3629F34C"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39" w:history="1">
        <w:r w:rsidR="00A45D71" w:rsidRPr="00B525DE">
          <w:rPr>
            <w:rStyle w:val="Hyperlink"/>
            <w:noProof/>
          </w:rPr>
          <w:t>Figure 45 Cold and hot permeability graphs – Biochar 2</w:t>
        </w:r>
        <w:r w:rsidR="00A45D71">
          <w:rPr>
            <w:noProof/>
            <w:webHidden/>
          </w:rPr>
          <w:tab/>
        </w:r>
        <w:r w:rsidR="00A45D71">
          <w:rPr>
            <w:noProof/>
            <w:webHidden/>
          </w:rPr>
          <w:fldChar w:fldCharType="begin"/>
        </w:r>
        <w:r w:rsidR="00A45D71">
          <w:rPr>
            <w:noProof/>
            <w:webHidden/>
          </w:rPr>
          <w:instrText xml:space="preserve"> PAGEREF _Toc127110939 \h </w:instrText>
        </w:r>
        <w:r w:rsidR="00A45D71">
          <w:rPr>
            <w:noProof/>
            <w:webHidden/>
          </w:rPr>
        </w:r>
        <w:r w:rsidR="00A45D71">
          <w:rPr>
            <w:noProof/>
            <w:webHidden/>
          </w:rPr>
          <w:fldChar w:fldCharType="separate"/>
        </w:r>
        <w:r w:rsidR="00A45D71">
          <w:rPr>
            <w:noProof/>
            <w:webHidden/>
          </w:rPr>
          <w:t>72</w:t>
        </w:r>
        <w:r w:rsidR="00A45D71">
          <w:rPr>
            <w:noProof/>
            <w:webHidden/>
          </w:rPr>
          <w:fldChar w:fldCharType="end"/>
        </w:r>
      </w:hyperlink>
    </w:p>
    <w:p w14:paraId="48131767" w14:textId="2903DE67"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0" w:history="1">
        <w:r w:rsidR="00A45D71" w:rsidRPr="00B525DE">
          <w:rPr>
            <w:rStyle w:val="Hyperlink"/>
            <w:noProof/>
          </w:rPr>
          <w:t>Figure 46 The Sinter quality indices for biochar 1</w:t>
        </w:r>
        <w:r w:rsidR="00A45D71">
          <w:rPr>
            <w:noProof/>
            <w:webHidden/>
          </w:rPr>
          <w:tab/>
        </w:r>
        <w:r w:rsidR="00A45D71">
          <w:rPr>
            <w:noProof/>
            <w:webHidden/>
          </w:rPr>
          <w:fldChar w:fldCharType="begin"/>
        </w:r>
        <w:r w:rsidR="00A45D71">
          <w:rPr>
            <w:noProof/>
            <w:webHidden/>
          </w:rPr>
          <w:instrText xml:space="preserve"> PAGEREF _Toc127110940 \h </w:instrText>
        </w:r>
        <w:r w:rsidR="00A45D71">
          <w:rPr>
            <w:noProof/>
            <w:webHidden/>
          </w:rPr>
        </w:r>
        <w:r w:rsidR="00A45D71">
          <w:rPr>
            <w:noProof/>
            <w:webHidden/>
          </w:rPr>
          <w:fldChar w:fldCharType="separate"/>
        </w:r>
        <w:r w:rsidR="00A45D71">
          <w:rPr>
            <w:noProof/>
            <w:webHidden/>
          </w:rPr>
          <w:t>73</w:t>
        </w:r>
        <w:r w:rsidR="00A45D71">
          <w:rPr>
            <w:noProof/>
            <w:webHidden/>
          </w:rPr>
          <w:fldChar w:fldCharType="end"/>
        </w:r>
      </w:hyperlink>
    </w:p>
    <w:p w14:paraId="1F75B5CB" w14:textId="754C1E3C"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1" w:history="1">
        <w:r w:rsidR="00A45D71" w:rsidRPr="00B525DE">
          <w:rPr>
            <w:rStyle w:val="Hyperlink"/>
            <w:noProof/>
          </w:rPr>
          <w:t>Figure 47 Biochar 2 sinter quality indices</w:t>
        </w:r>
        <w:r w:rsidR="00A45D71">
          <w:rPr>
            <w:noProof/>
            <w:webHidden/>
          </w:rPr>
          <w:tab/>
        </w:r>
        <w:r w:rsidR="00A45D71">
          <w:rPr>
            <w:noProof/>
            <w:webHidden/>
          </w:rPr>
          <w:fldChar w:fldCharType="begin"/>
        </w:r>
        <w:r w:rsidR="00A45D71">
          <w:rPr>
            <w:noProof/>
            <w:webHidden/>
          </w:rPr>
          <w:instrText xml:space="preserve"> PAGEREF _Toc127110941 \h </w:instrText>
        </w:r>
        <w:r w:rsidR="00A45D71">
          <w:rPr>
            <w:noProof/>
            <w:webHidden/>
          </w:rPr>
        </w:r>
        <w:r w:rsidR="00A45D71">
          <w:rPr>
            <w:noProof/>
            <w:webHidden/>
          </w:rPr>
          <w:fldChar w:fldCharType="separate"/>
        </w:r>
        <w:r w:rsidR="00A45D71">
          <w:rPr>
            <w:noProof/>
            <w:webHidden/>
          </w:rPr>
          <w:t>74</w:t>
        </w:r>
        <w:r w:rsidR="00A45D71">
          <w:rPr>
            <w:noProof/>
            <w:webHidden/>
          </w:rPr>
          <w:fldChar w:fldCharType="end"/>
        </w:r>
      </w:hyperlink>
    </w:p>
    <w:p w14:paraId="01CBEB64" w14:textId="27D70A6C"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2" w:history="1">
        <w:r w:rsidR="00A45D71" w:rsidRPr="00B525DE">
          <w:rPr>
            <w:rStyle w:val="Hyperlink"/>
            <w:noProof/>
          </w:rPr>
          <w:t>Figure 48 Examples of sinter cake produced in the sinter pot. On the left a whole sinter cake, on the right an example of channelling in a sinter cake.</w:t>
        </w:r>
        <w:r w:rsidR="00A45D71">
          <w:rPr>
            <w:noProof/>
            <w:webHidden/>
          </w:rPr>
          <w:tab/>
        </w:r>
        <w:r w:rsidR="00A45D71">
          <w:rPr>
            <w:noProof/>
            <w:webHidden/>
          </w:rPr>
          <w:fldChar w:fldCharType="begin"/>
        </w:r>
        <w:r w:rsidR="00A45D71">
          <w:rPr>
            <w:noProof/>
            <w:webHidden/>
          </w:rPr>
          <w:instrText xml:space="preserve"> PAGEREF _Toc127110942 \h </w:instrText>
        </w:r>
        <w:r w:rsidR="00A45D71">
          <w:rPr>
            <w:noProof/>
            <w:webHidden/>
          </w:rPr>
        </w:r>
        <w:r w:rsidR="00A45D71">
          <w:rPr>
            <w:noProof/>
            <w:webHidden/>
          </w:rPr>
          <w:fldChar w:fldCharType="separate"/>
        </w:r>
        <w:r w:rsidR="00A45D71">
          <w:rPr>
            <w:noProof/>
            <w:webHidden/>
          </w:rPr>
          <w:t>75</w:t>
        </w:r>
        <w:r w:rsidR="00A45D71">
          <w:rPr>
            <w:noProof/>
            <w:webHidden/>
          </w:rPr>
          <w:fldChar w:fldCharType="end"/>
        </w:r>
      </w:hyperlink>
    </w:p>
    <w:p w14:paraId="0712091D" w14:textId="09A76132"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3" w:history="1">
        <w:r w:rsidR="00A45D71" w:rsidRPr="00B525DE">
          <w:rPr>
            <w:rStyle w:val="Hyperlink"/>
            <w:noProof/>
          </w:rPr>
          <w:t>Figure 49 Base blend sinter.</w:t>
        </w:r>
        <w:r w:rsidR="00A45D71">
          <w:rPr>
            <w:noProof/>
            <w:webHidden/>
          </w:rPr>
          <w:tab/>
        </w:r>
        <w:r w:rsidR="00A45D71">
          <w:rPr>
            <w:noProof/>
            <w:webHidden/>
          </w:rPr>
          <w:fldChar w:fldCharType="begin"/>
        </w:r>
        <w:r w:rsidR="00A45D71">
          <w:rPr>
            <w:noProof/>
            <w:webHidden/>
          </w:rPr>
          <w:instrText xml:space="preserve"> PAGEREF _Toc127110943 \h </w:instrText>
        </w:r>
        <w:r w:rsidR="00A45D71">
          <w:rPr>
            <w:noProof/>
            <w:webHidden/>
          </w:rPr>
        </w:r>
        <w:r w:rsidR="00A45D71">
          <w:rPr>
            <w:noProof/>
            <w:webHidden/>
          </w:rPr>
          <w:fldChar w:fldCharType="separate"/>
        </w:r>
        <w:r w:rsidR="00A45D71">
          <w:rPr>
            <w:noProof/>
            <w:webHidden/>
          </w:rPr>
          <w:t>76</w:t>
        </w:r>
        <w:r w:rsidR="00A45D71">
          <w:rPr>
            <w:noProof/>
            <w:webHidden/>
          </w:rPr>
          <w:fldChar w:fldCharType="end"/>
        </w:r>
      </w:hyperlink>
    </w:p>
    <w:p w14:paraId="59F45056" w14:textId="10755BB2"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4" w:history="1">
        <w:r w:rsidR="00A45D71" w:rsidRPr="00B525DE">
          <w:rPr>
            <w:rStyle w:val="Hyperlink"/>
            <w:noProof/>
          </w:rPr>
          <w:t>Figure 50 25%addition biochar 1(left) and biochar 2 (right).</w:t>
        </w:r>
        <w:r w:rsidR="00A45D71">
          <w:rPr>
            <w:noProof/>
            <w:webHidden/>
          </w:rPr>
          <w:tab/>
        </w:r>
        <w:r w:rsidR="00A45D71">
          <w:rPr>
            <w:noProof/>
            <w:webHidden/>
          </w:rPr>
          <w:fldChar w:fldCharType="begin"/>
        </w:r>
        <w:r w:rsidR="00A45D71">
          <w:rPr>
            <w:noProof/>
            <w:webHidden/>
          </w:rPr>
          <w:instrText xml:space="preserve"> PAGEREF _Toc127110944 \h </w:instrText>
        </w:r>
        <w:r w:rsidR="00A45D71">
          <w:rPr>
            <w:noProof/>
            <w:webHidden/>
          </w:rPr>
        </w:r>
        <w:r w:rsidR="00A45D71">
          <w:rPr>
            <w:noProof/>
            <w:webHidden/>
          </w:rPr>
          <w:fldChar w:fldCharType="separate"/>
        </w:r>
        <w:r w:rsidR="00A45D71">
          <w:rPr>
            <w:noProof/>
            <w:webHidden/>
          </w:rPr>
          <w:t>76</w:t>
        </w:r>
        <w:r w:rsidR="00A45D71">
          <w:rPr>
            <w:noProof/>
            <w:webHidden/>
          </w:rPr>
          <w:fldChar w:fldCharType="end"/>
        </w:r>
      </w:hyperlink>
    </w:p>
    <w:p w14:paraId="0CBAE9EC" w14:textId="136B04BC"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5" w:history="1">
        <w:r w:rsidR="00A45D71" w:rsidRPr="00B525DE">
          <w:rPr>
            <w:rStyle w:val="Hyperlink"/>
            <w:noProof/>
          </w:rPr>
          <w:t>Figure 51 50% addition biochar 1 (left) and biochar 2 (right)</w:t>
        </w:r>
        <w:r w:rsidR="00A45D71">
          <w:rPr>
            <w:noProof/>
            <w:webHidden/>
          </w:rPr>
          <w:tab/>
        </w:r>
        <w:r w:rsidR="00A45D71">
          <w:rPr>
            <w:noProof/>
            <w:webHidden/>
          </w:rPr>
          <w:fldChar w:fldCharType="begin"/>
        </w:r>
        <w:r w:rsidR="00A45D71">
          <w:rPr>
            <w:noProof/>
            <w:webHidden/>
          </w:rPr>
          <w:instrText xml:space="preserve"> PAGEREF _Toc127110945 \h </w:instrText>
        </w:r>
        <w:r w:rsidR="00A45D71">
          <w:rPr>
            <w:noProof/>
            <w:webHidden/>
          </w:rPr>
        </w:r>
        <w:r w:rsidR="00A45D71">
          <w:rPr>
            <w:noProof/>
            <w:webHidden/>
          </w:rPr>
          <w:fldChar w:fldCharType="separate"/>
        </w:r>
        <w:r w:rsidR="00A45D71">
          <w:rPr>
            <w:noProof/>
            <w:webHidden/>
          </w:rPr>
          <w:t>77</w:t>
        </w:r>
        <w:r w:rsidR="00A45D71">
          <w:rPr>
            <w:noProof/>
            <w:webHidden/>
          </w:rPr>
          <w:fldChar w:fldCharType="end"/>
        </w:r>
      </w:hyperlink>
    </w:p>
    <w:p w14:paraId="79ACC27F" w14:textId="2B969889" w:rsidR="00A45D71" w:rsidRDefault="00000000" w:rsidP="00A45D71">
      <w:pPr>
        <w:pStyle w:val="TableofFigures"/>
        <w:tabs>
          <w:tab w:val="right" w:leader="dot" w:pos="9016"/>
        </w:tabs>
        <w:spacing w:line="360" w:lineRule="auto"/>
        <w:jc w:val="both"/>
        <w:rPr>
          <w:rFonts w:eastAsiaTheme="minorEastAsia"/>
          <w:noProof/>
          <w:lang w:eastAsia="en-GB"/>
        </w:rPr>
      </w:pPr>
      <w:hyperlink w:anchor="_Toc127110946" w:history="1">
        <w:r w:rsidR="00A45D71" w:rsidRPr="00B525DE">
          <w:rPr>
            <w:rStyle w:val="Hyperlink"/>
            <w:noProof/>
          </w:rPr>
          <w:t>Figure 52 75% addition biochar 1 (left) and biochar 2 (right)</w:t>
        </w:r>
        <w:r w:rsidR="00A45D71">
          <w:rPr>
            <w:noProof/>
            <w:webHidden/>
          </w:rPr>
          <w:tab/>
        </w:r>
        <w:r w:rsidR="00A45D71">
          <w:rPr>
            <w:noProof/>
            <w:webHidden/>
          </w:rPr>
          <w:fldChar w:fldCharType="begin"/>
        </w:r>
        <w:r w:rsidR="00A45D71">
          <w:rPr>
            <w:noProof/>
            <w:webHidden/>
          </w:rPr>
          <w:instrText xml:space="preserve"> PAGEREF _Toc127110946 \h </w:instrText>
        </w:r>
        <w:r w:rsidR="00A45D71">
          <w:rPr>
            <w:noProof/>
            <w:webHidden/>
          </w:rPr>
        </w:r>
        <w:r w:rsidR="00A45D71">
          <w:rPr>
            <w:noProof/>
            <w:webHidden/>
          </w:rPr>
          <w:fldChar w:fldCharType="separate"/>
        </w:r>
        <w:r w:rsidR="00A45D71">
          <w:rPr>
            <w:noProof/>
            <w:webHidden/>
          </w:rPr>
          <w:t>78</w:t>
        </w:r>
        <w:r w:rsidR="00A45D71">
          <w:rPr>
            <w:noProof/>
            <w:webHidden/>
          </w:rPr>
          <w:fldChar w:fldCharType="end"/>
        </w:r>
      </w:hyperlink>
    </w:p>
    <w:p w14:paraId="42727CB6" w14:textId="73AE7214" w:rsidR="00196715" w:rsidRPr="00ED35A8" w:rsidRDefault="00ED35A8" w:rsidP="00350AB6">
      <w:pPr>
        <w:spacing w:line="360" w:lineRule="auto"/>
        <w:jc w:val="both"/>
      </w:pPr>
      <w:r>
        <w:rPr>
          <w:sz w:val="28"/>
          <w:szCs w:val="28"/>
        </w:rPr>
        <w:fldChar w:fldCharType="end"/>
      </w:r>
      <w:r w:rsidR="00196715">
        <w:rPr>
          <w:sz w:val="28"/>
          <w:szCs w:val="28"/>
        </w:rPr>
        <w:br w:type="page"/>
      </w:r>
    </w:p>
    <w:p w14:paraId="63C4A91E" w14:textId="21E26F7B" w:rsidR="00001558" w:rsidRDefault="00001558" w:rsidP="00350AB6">
      <w:pPr>
        <w:pStyle w:val="Heading1"/>
        <w:spacing w:line="360" w:lineRule="auto"/>
        <w:jc w:val="both"/>
      </w:pPr>
      <w:bookmarkStart w:id="4" w:name="_Toc128599587"/>
      <w:r>
        <w:lastRenderedPageBreak/>
        <w:t>Glossary</w:t>
      </w:r>
      <w:bookmarkEnd w:id="4"/>
      <w:r>
        <w:t xml:space="preserve"> </w:t>
      </w:r>
    </w:p>
    <w:p w14:paraId="06DB9502" w14:textId="60C4A105" w:rsidR="00001558" w:rsidRDefault="00066814" w:rsidP="00350AB6">
      <w:pPr>
        <w:spacing w:line="360" w:lineRule="auto"/>
        <w:jc w:val="both"/>
      </w:pPr>
      <w:r>
        <w:t xml:space="preserve">GHG – </w:t>
      </w:r>
      <w:r w:rsidR="001621E9">
        <w:t>Greenhouse</w:t>
      </w:r>
      <w:r>
        <w:t xml:space="preserve"> gas</w:t>
      </w:r>
      <w:r w:rsidR="00060527">
        <w:t>es</w:t>
      </w:r>
    </w:p>
    <w:p w14:paraId="03797384" w14:textId="5A7C9894" w:rsidR="00060527" w:rsidRDefault="00060527" w:rsidP="00350AB6">
      <w:pPr>
        <w:spacing w:line="360" w:lineRule="auto"/>
        <w:jc w:val="both"/>
      </w:pPr>
      <w:r>
        <w:t>ISI – Iron and steel industry</w:t>
      </w:r>
    </w:p>
    <w:p w14:paraId="1E4B5CEF" w14:textId="77D7B9F9" w:rsidR="00060527" w:rsidRDefault="00317A14" w:rsidP="00350AB6">
      <w:pPr>
        <w:spacing w:line="360" w:lineRule="auto"/>
        <w:jc w:val="both"/>
      </w:pPr>
      <w:r>
        <w:t>COP</w:t>
      </w:r>
      <w:r w:rsidR="001A5327">
        <w:t xml:space="preserve"> – Conference of parties</w:t>
      </w:r>
    </w:p>
    <w:p w14:paraId="53C75E3B" w14:textId="7E773FC1" w:rsidR="001A5327" w:rsidRDefault="001A5327" w:rsidP="00350AB6">
      <w:pPr>
        <w:spacing w:line="360" w:lineRule="auto"/>
        <w:jc w:val="both"/>
      </w:pPr>
      <w:r>
        <w:t>CO</w:t>
      </w:r>
      <w:r w:rsidRPr="001A5327">
        <w:rPr>
          <w:vertAlign w:val="subscript"/>
        </w:rPr>
        <w:t>2</w:t>
      </w:r>
      <w:r>
        <w:t xml:space="preserve"> – Carbon dioxide</w:t>
      </w:r>
    </w:p>
    <w:p w14:paraId="0A36F450" w14:textId="38097098" w:rsidR="001A5327" w:rsidRDefault="00325851" w:rsidP="00350AB6">
      <w:pPr>
        <w:spacing w:line="360" w:lineRule="auto"/>
        <w:jc w:val="both"/>
      </w:pPr>
      <w:r>
        <w:t>EUETS – European union emissions trading system</w:t>
      </w:r>
    </w:p>
    <w:p w14:paraId="468CAECE" w14:textId="5B9596AB" w:rsidR="00325851" w:rsidRDefault="005E07D9" w:rsidP="00350AB6">
      <w:pPr>
        <w:spacing w:line="360" w:lineRule="auto"/>
        <w:jc w:val="both"/>
      </w:pPr>
      <w:r>
        <w:t>UK – United Kingdom</w:t>
      </w:r>
    </w:p>
    <w:p w14:paraId="632D6567" w14:textId="6932D12B" w:rsidR="005E07D9" w:rsidRDefault="00360BD6" w:rsidP="00350AB6">
      <w:pPr>
        <w:spacing w:line="360" w:lineRule="auto"/>
        <w:jc w:val="both"/>
      </w:pPr>
      <w:r>
        <w:t>BF – Blast furnace</w:t>
      </w:r>
    </w:p>
    <w:p w14:paraId="5DE570F7" w14:textId="0DCB2C95" w:rsidR="00360BD6" w:rsidRDefault="00360BD6" w:rsidP="00350AB6">
      <w:pPr>
        <w:spacing w:line="360" w:lineRule="auto"/>
        <w:jc w:val="both"/>
      </w:pPr>
      <w:r>
        <w:t>BOS – Basic oxygen steelmaking</w:t>
      </w:r>
    </w:p>
    <w:p w14:paraId="514DE9F7" w14:textId="6E56BC98" w:rsidR="00360BD6" w:rsidRDefault="00B66B18" w:rsidP="00350AB6">
      <w:pPr>
        <w:spacing w:line="360" w:lineRule="auto"/>
        <w:jc w:val="both"/>
      </w:pPr>
      <w:r>
        <w:t>EAF – Electric arc steelmaking</w:t>
      </w:r>
    </w:p>
    <w:p w14:paraId="32AEE8E3" w14:textId="664F7071" w:rsidR="00B66B18" w:rsidRDefault="009653F5" w:rsidP="00350AB6">
      <w:pPr>
        <w:spacing w:line="360" w:lineRule="auto"/>
        <w:jc w:val="both"/>
      </w:pPr>
      <w:r>
        <w:t>C – Carbon</w:t>
      </w:r>
    </w:p>
    <w:p w14:paraId="5D5167D7" w14:textId="004EC0D2" w:rsidR="009653F5" w:rsidRDefault="009653F5" w:rsidP="00350AB6">
      <w:pPr>
        <w:spacing w:line="360" w:lineRule="auto"/>
        <w:jc w:val="both"/>
      </w:pPr>
      <w:r>
        <w:t xml:space="preserve">H </w:t>
      </w:r>
      <w:r w:rsidR="008C705B">
        <w:t>–</w:t>
      </w:r>
      <w:r>
        <w:t xml:space="preserve"> </w:t>
      </w:r>
      <w:r w:rsidR="008C705B">
        <w:t>Hydrogen</w:t>
      </w:r>
    </w:p>
    <w:p w14:paraId="5FD76065" w14:textId="4012F8F2" w:rsidR="008C705B" w:rsidRDefault="008C705B" w:rsidP="00350AB6">
      <w:pPr>
        <w:spacing w:line="360" w:lineRule="auto"/>
        <w:jc w:val="both"/>
      </w:pPr>
      <w:r>
        <w:t>O – Oxygen</w:t>
      </w:r>
    </w:p>
    <w:p w14:paraId="43032996" w14:textId="4CCB3A2B" w:rsidR="008C705B" w:rsidRDefault="008C705B" w:rsidP="00350AB6">
      <w:pPr>
        <w:spacing w:line="360" w:lineRule="auto"/>
        <w:jc w:val="both"/>
      </w:pPr>
      <w:r>
        <w:t>N – Nitrogen</w:t>
      </w:r>
    </w:p>
    <w:p w14:paraId="094C41DA" w14:textId="7A8306FE" w:rsidR="008C705B" w:rsidRDefault="008C705B" w:rsidP="00350AB6">
      <w:pPr>
        <w:spacing w:line="360" w:lineRule="auto"/>
        <w:jc w:val="both"/>
      </w:pPr>
      <w:r>
        <w:t>Na – Sodium</w:t>
      </w:r>
    </w:p>
    <w:p w14:paraId="06F87EE9" w14:textId="620C53CD" w:rsidR="008C705B" w:rsidRDefault="008C705B" w:rsidP="00350AB6">
      <w:pPr>
        <w:spacing w:line="360" w:lineRule="auto"/>
        <w:jc w:val="both"/>
      </w:pPr>
      <w:r>
        <w:t>K – Potassium</w:t>
      </w:r>
    </w:p>
    <w:p w14:paraId="09022636" w14:textId="5D81DB8E" w:rsidR="003A20D9" w:rsidRDefault="003A20D9" w:rsidP="00350AB6">
      <w:pPr>
        <w:spacing w:line="360" w:lineRule="auto"/>
        <w:jc w:val="both"/>
      </w:pPr>
      <w:r>
        <w:t>Ca - Calcium</w:t>
      </w:r>
    </w:p>
    <w:p w14:paraId="31C181AD" w14:textId="6C038E30" w:rsidR="008C705B" w:rsidRDefault="0079271A" w:rsidP="00350AB6">
      <w:pPr>
        <w:spacing w:line="360" w:lineRule="auto"/>
        <w:jc w:val="both"/>
      </w:pPr>
      <w:r>
        <w:t>S – Sulphur</w:t>
      </w:r>
    </w:p>
    <w:p w14:paraId="7E0DCCE3" w14:textId="54A88D00" w:rsidR="000E10C6" w:rsidRDefault="000E10C6" w:rsidP="00350AB6">
      <w:pPr>
        <w:spacing w:line="360" w:lineRule="auto"/>
        <w:jc w:val="both"/>
      </w:pPr>
      <w:r>
        <w:t xml:space="preserve">Zn </w:t>
      </w:r>
      <w:r w:rsidR="00B8604A">
        <w:t>–</w:t>
      </w:r>
      <w:r>
        <w:t xml:space="preserve"> Zinc</w:t>
      </w:r>
    </w:p>
    <w:p w14:paraId="68F45746" w14:textId="6E4506A1" w:rsidR="00DB2EC1" w:rsidRDefault="00DB2EC1" w:rsidP="00350AB6">
      <w:pPr>
        <w:spacing w:line="360" w:lineRule="auto"/>
        <w:jc w:val="both"/>
      </w:pPr>
      <w:r>
        <w:t>Fe - Iron</w:t>
      </w:r>
    </w:p>
    <w:p w14:paraId="16C9B498" w14:textId="32A58108" w:rsidR="00B8604A" w:rsidRDefault="00B8604A" w:rsidP="00350AB6">
      <w:pPr>
        <w:spacing w:line="360" w:lineRule="auto"/>
        <w:jc w:val="both"/>
      </w:pPr>
      <w:r>
        <w:t>CO – Carbon monoxide</w:t>
      </w:r>
    </w:p>
    <w:p w14:paraId="50457D6F" w14:textId="3FC6A0BE" w:rsidR="0079271A" w:rsidRDefault="0079271A" w:rsidP="00350AB6">
      <w:pPr>
        <w:spacing w:line="360" w:lineRule="auto"/>
        <w:jc w:val="both"/>
      </w:pPr>
      <w:r>
        <w:t>CV – Calorific value</w:t>
      </w:r>
    </w:p>
    <w:p w14:paraId="2FDB37B4" w14:textId="63812ED1" w:rsidR="0079271A" w:rsidRDefault="0079271A" w:rsidP="00350AB6">
      <w:pPr>
        <w:spacing w:line="360" w:lineRule="auto"/>
        <w:jc w:val="both"/>
      </w:pPr>
      <w:r>
        <w:t>NCV – Net calorific value</w:t>
      </w:r>
    </w:p>
    <w:p w14:paraId="5A094D3A" w14:textId="3C08BF99" w:rsidR="0079271A" w:rsidRDefault="000E10C6" w:rsidP="00350AB6">
      <w:pPr>
        <w:spacing w:line="360" w:lineRule="auto"/>
        <w:jc w:val="both"/>
      </w:pPr>
      <w:r>
        <w:t>LHV – Lower heating value</w:t>
      </w:r>
    </w:p>
    <w:p w14:paraId="34CE5D81" w14:textId="49C8D0A0" w:rsidR="00B8604A" w:rsidRDefault="008A1927" w:rsidP="00350AB6">
      <w:pPr>
        <w:spacing w:line="360" w:lineRule="auto"/>
        <w:jc w:val="both"/>
      </w:pPr>
      <w:r>
        <w:t>HTC – Hydrothermal carbonisation</w:t>
      </w:r>
    </w:p>
    <w:p w14:paraId="4D0364B7" w14:textId="247DADB1" w:rsidR="008A1927" w:rsidRDefault="00DB2EC1" w:rsidP="00350AB6">
      <w:pPr>
        <w:spacing w:line="360" w:lineRule="auto"/>
        <w:jc w:val="both"/>
      </w:pPr>
      <w:r>
        <w:lastRenderedPageBreak/>
        <w:t>PCI – Pulverised coal injection</w:t>
      </w:r>
    </w:p>
    <w:p w14:paraId="3A86AFD5" w14:textId="6BBAD9D2" w:rsidR="00C87972" w:rsidRDefault="00C87972" w:rsidP="00350AB6">
      <w:pPr>
        <w:spacing w:line="360" w:lineRule="auto"/>
        <w:jc w:val="both"/>
      </w:pPr>
      <w:r>
        <w:t>Kg/</w:t>
      </w:r>
      <w:proofErr w:type="spellStart"/>
      <w:r>
        <w:t>tHM</w:t>
      </w:r>
      <w:proofErr w:type="spellEnd"/>
      <w:r>
        <w:t xml:space="preserve"> – Kilogram per ton of hot metal</w:t>
      </w:r>
    </w:p>
    <w:p w14:paraId="7ED91C5E" w14:textId="6B15DC21" w:rsidR="00C87972" w:rsidRDefault="00C87972" w:rsidP="00350AB6">
      <w:pPr>
        <w:spacing w:line="360" w:lineRule="auto"/>
        <w:jc w:val="both"/>
      </w:pPr>
      <w:r>
        <w:t>TGT – Top gas temperature</w:t>
      </w:r>
    </w:p>
    <w:p w14:paraId="28E1B0DF" w14:textId="55C1D194" w:rsidR="003A20D9" w:rsidRDefault="003A20D9" w:rsidP="00350AB6">
      <w:pPr>
        <w:spacing w:line="360" w:lineRule="auto"/>
        <w:jc w:val="both"/>
      </w:pPr>
      <w:r>
        <w:t xml:space="preserve">RAFT - </w:t>
      </w:r>
    </w:p>
    <w:p w14:paraId="726BF9F7" w14:textId="32EBAC9D" w:rsidR="00C87972" w:rsidRDefault="00E24F3A" w:rsidP="00350AB6">
      <w:pPr>
        <w:spacing w:line="360" w:lineRule="auto"/>
        <w:jc w:val="both"/>
      </w:pPr>
      <w:r>
        <w:t>CSR – Coke strength after reaction</w:t>
      </w:r>
    </w:p>
    <w:p w14:paraId="2AC52DE2" w14:textId="57B0AA65" w:rsidR="00E24F3A" w:rsidRDefault="00E24F3A" w:rsidP="00350AB6">
      <w:pPr>
        <w:spacing w:line="360" w:lineRule="auto"/>
        <w:jc w:val="both"/>
      </w:pPr>
      <w:r>
        <w:t>CRI – Coke reactivity index</w:t>
      </w:r>
    </w:p>
    <w:p w14:paraId="3CCDCC55" w14:textId="7542903A" w:rsidR="00E24F3A" w:rsidRDefault="00A03D4B" w:rsidP="00350AB6">
      <w:pPr>
        <w:spacing w:line="360" w:lineRule="auto"/>
        <w:jc w:val="both"/>
      </w:pPr>
      <w:r>
        <w:t>PSD – Particle size determination</w:t>
      </w:r>
    </w:p>
    <w:p w14:paraId="4E421E14" w14:textId="364D13C3" w:rsidR="00A03D4B" w:rsidRDefault="00D75C27" w:rsidP="00350AB6">
      <w:pPr>
        <w:spacing w:line="360" w:lineRule="auto"/>
        <w:jc w:val="both"/>
      </w:pPr>
      <w:r>
        <w:t>LCA – Life cycle assessment</w:t>
      </w:r>
    </w:p>
    <w:p w14:paraId="6D5EA8A0" w14:textId="6E19D899" w:rsidR="00D75C27" w:rsidRDefault="00F4215D" w:rsidP="00350AB6">
      <w:pPr>
        <w:spacing w:line="360" w:lineRule="auto"/>
        <w:jc w:val="both"/>
      </w:pPr>
      <w:r>
        <w:t>EU – European union</w:t>
      </w:r>
    </w:p>
    <w:p w14:paraId="7AF20425" w14:textId="2A2B822A" w:rsidR="00F4215D" w:rsidRDefault="00461612" w:rsidP="00350AB6">
      <w:pPr>
        <w:spacing w:line="360" w:lineRule="auto"/>
        <w:jc w:val="both"/>
      </w:pPr>
      <w:r>
        <w:t>VM – Volatile matter</w:t>
      </w:r>
    </w:p>
    <w:p w14:paraId="5CEA8A9F" w14:textId="7E812038" w:rsidR="0064298B" w:rsidRDefault="0064298B" w:rsidP="00350AB6">
      <w:pPr>
        <w:spacing w:line="360" w:lineRule="auto"/>
        <w:jc w:val="both"/>
      </w:pPr>
      <w:r>
        <w:t>Kg – Kilogram</w:t>
      </w:r>
    </w:p>
    <w:p w14:paraId="1F06FD71" w14:textId="370EC910" w:rsidR="006C76B5" w:rsidRDefault="006C76B5" w:rsidP="00350AB6">
      <w:pPr>
        <w:spacing w:line="360" w:lineRule="auto"/>
        <w:jc w:val="both"/>
      </w:pPr>
      <w:r>
        <w:t xml:space="preserve">g </w:t>
      </w:r>
      <w:r w:rsidR="00813315">
        <w:t>–</w:t>
      </w:r>
      <w:r>
        <w:t xml:space="preserve"> Gram</w:t>
      </w:r>
    </w:p>
    <w:p w14:paraId="2AF04B24" w14:textId="59721003" w:rsidR="00813315" w:rsidRDefault="00813315" w:rsidP="00350AB6">
      <w:pPr>
        <w:spacing w:line="360" w:lineRule="auto"/>
        <w:jc w:val="both"/>
      </w:pPr>
      <w:r>
        <w:t>Kt – Kiloton</w:t>
      </w:r>
    </w:p>
    <w:p w14:paraId="346C4610" w14:textId="05702F24" w:rsidR="00BF2707" w:rsidRDefault="001621E9" w:rsidP="00350AB6">
      <w:pPr>
        <w:spacing w:line="360" w:lineRule="auto"/>
        <w:jc w:val="both"/>
      </w:pPr>
      <w:r>
        <w:t>m</w:t>
      </w:r>
      <w:r w:rsidR="00BF2707">
        <w:t>m – Millimetre</w:t>
      </w:r>
    </w:p>
    <w:p w14:paraId="1EEADB1C" w14:textId="14396016" w:rsidR="00BF2707" w:rsidRDefault="006C76B5" w:rsidP="00350AB6">
      <w:pPr>
        <w:spacing w:line="360" w:lineRule="auto"/>
        <w:jc w:val="both"/>
      </w:pPr>
      <w:proofErr w:type="spellStart"/>
      <w:r>
        <w:t>μm</w:t>
      </w:r>
      <w:proofErr w:type="spellEnd"/>
      <w:r w:rsidR="000E4DC1">
        <w:t xml:space="preserve"> </w:t>
      </w:r>
      <w:r w:rsidR="00637698">
        <w:t>–</w:t>
      </w:r>
      <w:r w:rsidR="000E4DC1">
        <w:t xml:space="preserve"> Micron</w:t>
      </w:r>
    </w:p>
    <w:p w14:paraId="42772E7A" w14:textId="5D968D11" w:rsidR="00637698" w:rsidRDefault="00637698" w:rsidP="00350AB6">
      <w:pPr>
        <w:spacing w:line="360" w:lineRule="auto"/>
        <w:jc w:val="both"/>
      </w:pPr>
      <w:proofErr w:type="spellStart"/>
      <w:r>
        <w:t>ms</w:t>
      </w:r>
      <w:proofErr w:type="spellEnd"/>
      <w:r>
        <w:t xml:space="preserve"> - </w:t>
      </w:r>
      <w:proofErr w:type="spellStart"/>
      <w:r>
        <w:t>milisecond</w:t>
      </w:r>
      <w:proofErr w:type="spellEnd"/>
    </w:p>
    <w:p w14:paraId="34AA7AC5" w14:textId="7215752E" w:rsidR="0064298B" w:rsidRDefault="008A7A69" w:rsidP="00350AB6">
      <w:pPr>
        <w:spacing w:line="360" w:lineRule="auto"/>
        <w:jc w:val="both"/>
      </w:pPr>
      <w:r>
        <w:t>XRF – X-ray fluorescence</w:t>
      </w:r>
    </w:p>
    <w:p w14:paraId="5D488684" w14:textId="3B74F6D7" w:rsidR="008A7A69" w:rsidRDefault="004C587D" w:rsidP="00350AB6">
      <w:pPr>
        <w:spacing w:line="360" w:lineRule="auto"/>
        <w:jc w:val="both"/>
      </w:pPr>
      <w:r>
        <w:t>ICP</w:t>
      </w:r>
      <w:r w:rsidR="00320C49">
        <w:t>OES - Inductively coupled plasma optical emission spectrometer</w:t>
      </w:r>
    </w:p>
    <w:p w14:paraId="011BA507" w14:textId="28033171" w:rsidR="00320C49" w:rsidRDefault="00320C49" w:rsidP="00350AB6">
      <w:pPr>
        <w:spacing w:line="360" w:lineRule="auto"/>
        <w:jc w:val="both"/>
      </w:pPr>
      <w:r>
        <w:t xml:space="preserve">DTF – Drop tube </w:t>
      </w:r>
      <w:r w:rsidR="00834C70">
        <w:t>furnace</w:t>
      </w:r>
    </w:p>
    <w:p w14:paraId="6F1DFB75" w14:textId="7EE2C7A5" w:rsidR="006C76B5" w:rsidRDefault="00AE622C" w:rsidP="00350AB6">
      <w:pPr>
        <w:spacing w:line="360" w:lineRule="auto"/>
        <w:jc w:val="both"/>
      </w:pPr>
      <w:r>
        <w:t>M</w:t>
      </w:r>
      <w:r w:rsidRPr="00421F3B">
        <w:rPr>
          <w:vertAlign w:val="subscript"/>
        </w:rPr>
        <w:t>40</w:t>
      </w:r>
      <w:r>
        <w:rPr>
          <w:vertAlign w:val="subscript"/>
        </w:rPr>
        <w:t xml:space="preserve"> </w:t>
      </w:r>
      <w:r w:rsidR="00CD4008">
        <w:t>–</w:t>
      </w:r>
      <w:r>
        <w:t xml:space="preserve"> </w:t>
      </w:r>
      <w:r w:rsidR="00CD4008">
        <w:t>Fracture index</w:t>
      </w:r>
    </w:p>
    <w:p w14:paraId="14D84B29" w14:textId="325A978C" w:rsidR="00CD4008" w:rsidRDefault="009941BA" w:rsidP="00350AB6">
      <w:pPr>
        <w:spacing w:line="360" w:lineRule="auto"/>
        <w:jc w:val="both"/>
      </w:pPr>
      <w:r>
        <w:t>M</w:t>
      </w:r>
      <w:r w:rsidRPr="00E25935">
        <w:rPr>
          <w:vertAlign w:val="subscript"/>
        </w:rPr>
        <w:t>10</w:t>
      </w:r>
      <w:r>
        <w:t xml:space="preserve"> – Abrasion index</w:t>
      </w:r>
    </w:p>
    <w:p w14:paraId="0E93C291" w14:textId="6D06E900" w:rsidR="009941BA" w:rsidRDefault="00813315" w:rsidP="00350AB6">
      <w:pPr>
        <w:spacing w:line="360" w:lineRule="auto"/>
        <w:jc w:val="both"/>
      </w:pPr>
      <w:r>
        <w:t xml:space="preserve">RDI </w:t>
      </w:r>
      <w:r w:rsidR="00F542EC">
        <w:t>–</w:t>
      </w:r>
      <w:r>
        <w:t xml:space="preserve"> Re</w:t>
      </w:r>
      <w:r w:rsidR="00F542EC">
        <w:t>duction disintegration index</w:t>
      </w:r>
    </w:p>
    <w:p w14:paraId="67035BDC" w14:textId="0C68D674" w:rsidR="00F542EC" w:rsidRDefault="00F542EC" w:rsidP="00350AB6">
      <w:pPr>
        <w:spacing w:line="360" w:lineRule="auto"/>
        <w:jc w:val="both"/>
      </w:pPr>
      <w:proofErr w:type="spellStart"/>
      <w:r>
        <w:t>Ti</w:t>
      </w:r>
      <w:proofErr w:type="spellEnd"/>
      <w:r>
        <w:t xml:space="preserve"> – Tumble index</w:t>
      </w:r>
    </w:p>
    <w:p w14:paraId="38957C0E" w14:textId="06C42D27" w:rsidR="00F542EC" w:rsidRDefault="00F542EC" w:rsidP="00350AB6">
      <w:pPr>
        <w:spacing w:line="360" w:lineRule="auto"/>
        <w:jc w:val="both"/>
      </w:pPr>
      <w:r>
        <w:t>Ai – Abrasion index</w:t>
      </w:r>
    </w:p>
    <w:p w14:paraId="5BF7AB66" w14:textId="04DAF64E" w:rsidR="00CF2A74" w:rsidRDefault="00CF2A74" w:rsidP="00350AB6">
      <w:pPr>
        <w:spacing w:line="360" w:lineRule="auto"/>
        <w:jc w:val="both"/>
      </w:pPr>
      <w:r>
        <w:t>UKAS – United Kingdom accreditation services</w:t>
      </w:r>
    </w:p>
    <w:p w14:paraId="385902BA" w14:textId="5C23869C" w:rsidR="00CF2A74" w:rsidRDefault="00E0463D" w:rsidP="004725E3">
      <w:pPr>
        <w:spacing w:line="360" w:lineRule="auto"/>
        <w:jc w:val="both"/>
      </w:pPr>
      <w:r>
        <w:lastRenderedPageBreak/>
        <w:t>CRM – Certified reference materials</w:t>
      </w:r>
    </w:p>
    <w:p w14:paraId="656407FD" w14:textId="6D713E93" w:rsidR="00E0463D" w:rsidRPr="009941BA" w:rsidRDefault="003517EB" w:rsidP="004725E3">
      <w:pPr>
        <w:spacing w:line="360" w:lineRule="auto"/>
        <w:jc w:val="both"/>
      </w:pPr>
      <w:r>
        <w:t>ISO – International standards organisation</w:t>
      </w:r>
    </w:p>
    <w:p w14:paraId="1693C6C9" w14:textId="4B140CE9" w:rsidR="00320C49" w:rsidRDefault="00763783" w:rsidP="004725E3">
      <w:pPr>
        <w:spacing w:line="360" w:lineRule="auto"/>
        <w:jc w:val="both"/>
      </w:pPr>
      <w:r>
        <w:t>RR – Replacement ratio</w:t>
      </w:r>
    </w:p>
    <w:p w14:paraId="3F003891" w14:textId="14B7F272" w:rsidR="00211D70" w:rsidRDefault="00E20ECE" w:rsidP="004725E3">
      <w:pPr>
        <w:spacing w:line="360" w:lineRule="auto"/>
        <w:jc w:val="both"/>
      </w:pPr>
      <w:proofErr w:type="spellStart"/>
      <w:r w:rsidRPr="007C00B4">
        <w:rPr>
          <w:rFonts w:eastAsiaTheme="minorEastAsia"/>
        </w:rPr>
        <w:t>Ti</w:t>
      </w:r>
      <w:proofErr w:type="spellEnd"/>
      <w:r w:rsidRPr="007C00B4">
        <w:rPr>
          <w:rFonts w:eastAsiaTheme="minorEastAsia"/>
        </w:rPr>
        <w:t xml:space="preserve"> – Ignition temperature</w:t>
      </w:r>
    </w:p>
    <w:p w14:paraId="29F08823" w14:textId="6CF4725C" w:rsidR="00320C49" w:rsidRDefault="007F5AF0" w:rsidP="004725E3">
      <w:pPr>
        <w:spacing w:line="360" w:lineRule="auto"/>
        <w:jc w:val="both"/>
      </w:pPr>
      <w:r w:rsidRPr="007C00B4">
        <w:rPr>
          <w:rFonts w:eastAsiaTheme="minorEastAsia"/>
        </w:rPr>
        <w:t>Tm – temperature of the maximum weight loss rate</w:t>
      </w:r>
    </w:p>
    <w:p w14:paraId="7CCC4B9F" w14:textId="53D3B23F" w:rsidR="00461612" w:rsidRDefault="004421D3"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r w:rsidRPr="007C00B4">
        <w:rPr>
          <w:rFonts w:asciiTheme="minorHAnsi" w:eastAsiaTheme="minorEastAsia" w:hAnsiTheme="minorHAnsi" w:cstheme="minorBidi"/>
          <w:sz w:val="22"/>
          <w:szCs w:val="22"/>
        </w:rPr>
        <w:t>Tb – burnout temperature</w:t>
      </w:r>
      <w:r>
        <w:rPr>
          <w:rFonts w:asciiTheme="minorHAnsi" w:eastAsiaTheme="minorEastAsia" w:hAnsiTheme="minorHAnsi" w:cstheme="minorBidi"/>
          <w:sz w:val="22"/>
          <w:szCs w:val="22"/>
        </w:rPr>
        <w:t xml:space="preserve"> </w:t>
      </w:r>
    </w:p>
    <w:p w14:paraId="2C934196" w14:textId="0561E30B" w:rsidR="004421D3" w:rsidRDefault="004421D3"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TGA – Thermogravimetric ana</w:t>
      </w:r>
      <w:r w:rsidR="003A1D5D">
        <w:rPr>
          <w:rFonts w:asciiTheme="minorHAnsi" w:eastAsiaTheme="minorEastAsia" w:hAnsiTheme="minorHAnsi" w:cstheme="minorBidi"/>
          <w:sz w:val="22"/>
          <w:szCs w:val="22"/>
        </w:rPr>
        <w:t>lysis</w:t>
      </w:r>
    </w:p>
    <w:p w14:paraId="49A55355" w14:textId="0681E21F" w:rsidR="003A1D5D" w:rsidRDefault="004725E3"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proofErr w:type="spellStart"/>
      <w:r>
        <w:rPr>
          <w:rFonts w:asciiTheme="minorHAnsi" w:eastAsiaTheme="minorEastAsia" w:hAnsiTheme="minorHAnsi" w:cstheme="minorBidi"/>
          <w:sz w:val="22"/>
          <w:szCs w:val="22"/>
        </w:rPr>
        <w:t>w</w:t>
      </w:r>
      <w:r w:rsidR="003A1D5D">
        <w:rPr>
          <w:rFonts w:asciiTheme="minorHAnsi" w:eastAsiaTheme="minorEastAsia" w:hAnsiTheme="minorHAnsi" w:cstheme="minorBidi"/>
          <w:sz w:val="22"/>
          <w:szCs w:val="22"/>
        </w:rPr>
        <w:t>t</w:t>
      </w:r>
      <w:proofErr w:type="spellEnd"/>
      <w:r w:rsidR="003A1D5D">
        <w:rPr>
          <w:rFonts w:asciiTheme="minorHAnsi" w:eastAsiaTheme="minorEastAsia" w:hAnsiTheme="minorHAnsi" w:cstheme="minorBidi"/>
          <w:sz w:val="22"/>
          <w:szCs w:val="22"/>
        </w:rPr>
        <w:t xml:space="preserve"> </w:t>
      </w:r>
      <w:r>
        <w:rPr>
          <w:rFonts w:asciiTheme="minorHAnsi" w:eastAsiaTheme="minorEastAsia" w:hAnsiTheme="minorHAnsi" w:cstheme="minorBidi"/>
          <w:sz w:val="22"/>
          <w:szCs w:val="22"/>
        </w:rPr>
        <w:t>–</w:t>
      </w:r>
      <w:r w:rsidR="003A1D5D">
        <w:rPr>
          <w:rFonts w:asciiTheme="minorHAnsi" w:eastAsiaTheme="minorEastAsia" w:hAnsiTheme="minorHAnsi" w:cstheme="minorBidi"/>
          <w:sz w:val="22"/>
          <w:szCs w:val="22"/>
        </w:rPr>
        <w:t xml:space="preserve"> </w:t>
      </w:r>
      <w:r>
        <w:rPr>
          <w:rFonts w:asciiTheme="minorHAnsi" w:eastAsiaTheme="minorEastAsia" w:hAnsiTheme="minorHAnsi" w:cstheme="minorBidi"/>
          <w:sz w:val="22"/>
          <w:szCs w:val="22"/>
        </w:rPr>
        <w:t>Weight</w:t>
      </w:r>
    </w:p>
    <w:p w14:paraId="22150B35" w14:textId="58E51345" w:rsidR="004725E3" w:rsidRDefault="004725E3"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proofErr w:type="spellStart"/>
      <w:r>
        <w:rPr>
          <w:rFonts w:asciiTheme="minorHAnsi" w:eastAsiaTheme="minorEastAsia" w:hAnsiTheme="minorHAnsi" w:cstheme="minorBidi"/>
          <w:sz w:val="22"/>
          <w:szCs w:val="22"/>
        </w:rPr>
        <w:t>db</w:t>
      </w:r>
      <w:proofErr w:type="spellEnd"/>
      <w:r>
        <w:rPr>
          <w:rFonts w:asciiTheme="minorHAnsi" w:eastAsiaTheme="minorEastAsia" w:hAnsiTheme="minorHAnsi" w:cstheme="minorBidi"/>
          <w:sz w:val="22"/>
          <w:szCs w:val="22"/>
        </w:rPr>
        <w:t xml:space="preserve"> – Dry basis</w:t>
      </w:r>
    </w:p>
    <w:p w14:paraId="299A135D" w14:textId="7081AB80" w:rsidR="004725E3" w:rsidRDefault="004725E3"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A</w:t>
      </w:r>
      <w:r w:rsidR="00653E9D">
        <w:rPr>
          <w:rFonts w:asciiTheme="minorHAnsi" w:eastAsiaTheme="minorEastAsia" w:hAnsiTheme="minorHAnsi" w:cstheme="minorBidi"/>
          <w:sz w:val="22"/>
          <w:szCs w:val="22"/>
        </w:rPr>
        <w:t>I – Alkalinity index</w:t>
      </w:r>
    </w:p>
    <w:p w14:paraId="617E925D" w14:textId="55041AC6" w:rsidR="00653E9D" w:rsidRDefault="00F145D9"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FFS – Flame front speed</w:t>
      </w:r>
    </w:p>
    <w:p w14:paraId="7906D83E" w14:textId="77777777" w:rsidR="00F145D9" w:rsidRDefault="00F145D9" w:rsidP="004725E3">
      <w:pPr>
        <w:pStyle w:val="NormalWeb"/>
        <w:spacing w:before="0" w:beforeAutospacing="0" w:after="0" w:afterAutospacing="0" w:line="360" w:lineRule="auto"/>
        <w:jc w:val="both"/>
        <w:rPr>
          <w:rFonts w:asciiTheme="minorHAnsi" w:eastAsiaTheme="minorEastAsia" w:hAnsiTheme="minorHAnsi" w:cstheme="minorBidi"/>
          <w:sz w:val="22"/>
          <w:szCs w:val="22"/>
        </w:rPr>
      </w:pPr>
    </w:p>
    <w:p w14:paraId="7EF4AA8A" w14:textId="77777777" w:rsidR="004725E3" w:rsidRPr="004421D3" w:rsidRDefault="004725E3" w:rsidP="004421D3">
      <w:pPr>
        <w:pStyle w:val="NormalWeb"/>
        <w:spacing w:before="0" w:beforeAutospacing="0" w:after="0" w:afterAutospacing="0" w:line="360" w:lineRule="auto"/>
        <w:jc w:val="both"/>
        <w:rPr>
          <w:rFonts w:asciiTheme="minorHAnsi" w:eastAsiaTheme="minorEastAsia" w:hAnsiTheme="minorHAnsi" w:cstheme="minorBidi"/>
          <w:sz w:val="22"/>
          <w:szCs w:val="22"/>
        </w:rPr>
      </w:pPr>
    </w:p>
    <w:p w14:paraId="52E92D0B" w14:textId="77777777" w:rsidR="00DB2EC1" w:rsidRDefault="00DB2EC1" w:rsidP="004421D3">
      <w:pPr>
        <w:spacing w:line="360" w:lineRule="auto"/>
        <w:jc w:val="both"/>
      </w:pPr>
    </w:p>
    <w:p w14:paraId="60421A80" w14:textId="77777777" w:rsidR="000E10C6" w:rsidRPr="001A5327" w:rsidRDefault="000E10C6" w:rsidP="00350AB6">
      <w:pPr>
        <w:spacing w:line="360" w:lineRule="auto"/>
        <w:jc w:val="both"/>
      </w:pPr>
    </w:p>
    <w:p w14:paraId="1C8FF43E" w14:textId="77777777" w:rsidR="00060527" w:rsidRDefault="00060527" w:rsidP="00350AB6">
      <w:pPr>
        <w:spacing w:line="360" w:lineRule="auto"/>
        <w:jc w:val="both"/>
      </w:pPr>
    </w:p>
    <w:p w14:paraId="071F9A9A" w14:textId="627AB393" w:rsidR="00001558" w:rsidRDefault="00001558" w:rsidP="00001558"/>
    <w:p w14:paraId="1847FFFF" w14:textId="1D349B34" w:rsidR="00001558" w:rsidRDefault="00001558" w:rsidP="00001558"/>
    <w:p w14:paraId="0632CAE6" w14:textId="659E8516" w:rsidR="00001558" w:rsidRDefault="00001558" w:rsidP="00001558"/>
    <w:p w14:paraId="0D648B4A" w14:textId="654057BE" w:rsidR="00001558" w:rsidRDefault="00001558" w:rsidP="00001558"/>
    <w:p w14:paraId="70730743" w14:textId="07EA7D1F" w:rsidR="00001558" w:rsidRDefault="00001558" w:rsidP="00001558"/>
    <w:p w14:paraId="49CEB167" w14:textId="19789D87" w:rsidR="00001558" w:rsidRDefault="00001558" w:rsidP="00001558"/>
    <w:p w14:paraId="4340071B" w14:textId="0A5D6018" w:rsidR="00001558" w:rsidRDefault="00001558" w:rsidP="00001558"/>
    <w:p w14:paraId="3B3C1E8F" w14:textId="0C6D2360" w:rsidR="00001558" w:rsidRDefault="00001558" w:rsidP="00001558"/>
    <w:p w14:paraId="51F2E208" w14:textId="6DD623AC" w:rsidR="00001558" w:rsidRDefault="00001558" w:rsidP="00001558"/>
    <w:p w14:paraId="4B23645C" w14:textId="27CE0666" w:rsidR="00001558" w:rsidRDefault="00001558" w:rsidP="00001558"/>
    <w:p w14:paraId="25D83CE4" w14:textId="73A4B564" w:rsidR="00001558" w:rsidRDefault="00001558" w:rsidP="00001558"/>
    <w:p w14:paraId="10CFB0DF" w14:textId="0AC11216" w:rsidR="00001558" w:rsidRDefault="00001558" w:rsidP="00001558"/>
    <w:p w14:paraId="6F8E9E3D" w14:textId="4D596E7D" w:rsidR="00001558" w:rsidRDefault="00001558" w:rsidP="00001558"/>
    <w:p w14:paraId="570E7607" w14:textId="77777777" w:rsidR="00001558" w:rsidRPr="00001558" w:rsidRDefault="00001558" w:rsidP="00001558"/>
    <w:p w14:paraId="42727CB7" w14:textId="3410EB86" w:rsidR="00196715" w:rsidRDefault="00196715" w:rsidP="00350AB6">
      <w:pPr>
        <w:pStyle w:val="Heading1"/>
        <w:spacing w:line="360" w:lineRule="auto"/>
        <w:jc w:val="both"/>
      </w:pPr>
      <w:bookmarkStart w:id="5" w:name="_Toc128599588"/>
      <w:r>
        <w:lastRenderedPageBreak/>
        <w:t>Introduction</w:t>
      </w:r>
      <w:bookmarkEnd w:id="5"/>
    </w:p>
    <w:p w14:paraId="08283851" w14:textId="0D84C8EC" w:rsidR="00DE5575" w:rsidRDefault="00DE5575" w:rsidP="00350AB6">
      <w:pPr>
        <w:pStyle w:val="Heading2"/>
        <w:spacing w:line="360" w:lineRule="auto"/>
        <w:jc w:val="both"/>
      </w:pPr>
      <w:bookmarkStart w:id="6" w:name="_Toc128599589"/>
      <w:r>
        <w:t>Background</w:t>
      </w:r>
      <w:bookmarkEnd w:id="6"/>
    </w:p>
    <w:p w14:paraId="3A1CC713" w14:textId="1C4FCD5C" w:rsidR="00DE5575" w:rsidRDefault="009942D6" w:rsidP="00350AB6">
      <w:pPr>
        <w:spacing w:line="360" w:lineRule="auto"/>
        <w:jc w:val="both"/>
      </w:pPr>
      <w:r>
        <w:t xml:space="preserve">Climate change is a problem the world cannot ignore, </w:t>
      </w:r>
      <w:r w:rsidR="002336CB">
        <w:t xml:space="preserve">shifting weather patterns </w:t>
      </w:r>
      <w:r w:rsidR="00F05952">
        <w:t>jeopardise</w:t>
      </w:r>
      <w:r w:rsidR="002336CB">
        <w:t xml:space="preserve"> food production</w:t>
      </w:r>
      <w:r w:rsidR="003079AF">
        <w:t xml:space="preserve"> and</w:t>
      </w:r>
      <w:r w:rsidR="002336CB">
        <w:t xml:space="preserve"> rising sea levels</w:t>
      </w:r>
      <w:r w:rsidR="00EE4E51">
        <w:t xml:space="preserve"> </w:t>
      </w:r>
      <w:r w:rsidR="005D1F8A">
        <w:t>threaten</w:t>
      </w:r>
      <w:r w:rsidR="003079AF">
        <w:t xml:space="preserve"> catastrophic flooding. </w:t>
      </w:r>
      <w:r w:rsidR="00E01345">
        <w:t xml:space="preserve">Climate change has been directly linked to the concentration of </w:t>
      </w:r>
      <w:r w:rsidR="00FA6489">
        <w:t>greenhouse</w:t>
      </w:r>
      <w:r w:rsidR="00E01345">
        <w:t xml:space="preserve"> gases</w:t>
      </w:r>
      <w:r w:rsidR="00FA6489">
        <w:t xml:space="preserve"> (GHG)</w:t>
      </w:r>
      <w:r w:rsidR="00E01345">
        <w:t xml:space="preserve"> in the earth’s atmosphere and the </w:t>
      </w:r>
      <w:r w:rsidR="004529C8">
        <w:t>influence of</w:t>
      </w:r>
      <w:r w:rsidR="00E01345">
        <w:t xml:space="preserve"> human </w:t>
      </w:r>
      <w:r w:rsidR="004529C8">
        <w:t>activities</w:t>
      </w:r>
      <w:r w:rsidR="00E01345">
        <w:t xml:space="preserve"> on climate change is undisputed.</w:t>
      </w:r>
      <w:r w:rsidR="00191A30">
        <w:t xml:space="preserve"> The choices made today will have a significant effect on the climate that future generations will experience.  Reducing emissions rapidly will limit further changes but if current trends continue then some climate changes could persist for thousands of years</w:t>
      </w:r>
      <w:r w:rsidR="00202AEF">
        <w:t xml:space="preserve">, figure 1 illustrates the possible long term effects of climate change </w:t>
      </w:r>
      <w:r w:rsidR="00202AEF">
        <w:fldChar w:fldCharType="begin"/>
      </w:r>
      <w:r w:rsidR="00192334">
        <w:instrText xml:space="preserve"> ADDIN ZOTERO_ITEM CSL_CITATION {"citationID":"NRUl0kaC","properties":{"formattedCitation":"(Arias {\\i{}et al.}, 2021)","plainCitation":"(Arias et al., 2021)","noteIndex":0},"citationItems":[{"id":1737,"uris":["http://zotero.org/users/local/AB2owHL2/items/6QYID27D"],"itemData":{"id":1737,"type":"report","event-place":"Cambridge, UK","page":"112","publisher":"Cambridge University Press","publisher-place":"Cambridge, UK","source":"Zotero","title":"Technical Summary. In Climate Change 2021: The  Physical Science Basis. Contribution of Working Group I to the Sixth Assessment Report of the Intergovernmental  Panel on Climate Change","URL":"https://www.ipcc.ch/report/ar6/wg1/downloads/report/IPCC_AR6_WGI_TS.pdf","author":[{"family":"Arias","given":"Paola A"},{"family":"Bellouin","given":"Nicolas"},{"family":"Jones","given":"Richard G"},{"family":"Naik","given":"Vaishali"},{"family":"Plattner","given":"Gian-Kasper"},{"family":"Rogelj","given":"Joeri"},{"family":"Sillmann","given":"Jana"},{"family":"Storelvmo","given":"Trude"},{"family":"Thorne","given":"Peter W"},{"family":"Trewin","given":"Blair"},{"family":"Rao","given":"Krishna Achuta"},{"family":"Adhikary","given":"Bhupesh"},{"family":"Allan","given":"Richard P"},{"family":"Armour","given":"Kyle"},{"family":"Barimalala","given":"Rondrotiana"},{"family":"Canadell","given":"Josep G"},{"family":"Cassou","given":"Christophe"},{"family":"Cherchi","given":"Annalisa"},{"family":"Collins","given":"William"},{"family":"Corti","given":"Susanna"},{"family":"Cruz","given":"Faye"},{"family":"Dentener","given":"Frank J"},{"family":"Dereczynski","given":"Claudine"},{"family":"Luca","given":"Alejandro Di"},{"family":"Diongue","given":"Aida"},{"family":"Doblas-Reyes","given":"Francisco J"},{"family":"Dosio","given":"Alessandro"},{"family":"Douville","given":"Hervé"},{"family":"Engelbrecht","given":"François"},{"family":"Fyfe","given":"John C"},{"family":"Gillett","given":"Nathan P"},{"family":"Goldfarb","given":"Leah"}],"accessed":{"date-parts":[["2022",7,5]]},"issued":{"date-parts":[["2021"]]}}}],"schema":"https://github.com/citation-style-language/schema/raw/master/csl-citation.json"} </w:instrText>
      </w:r>
      <w:r w:rsidR="00202AEF">
        <w:fldChar w:fldCharType="separate"/>
      </w:r>
      <w:r w:rsidR="00192334" w:rsidRPr="00192334">
        <w:rPr>
          <w:rFonts w:ascii="Calibri" w:hAnsi="Calibri" w:cs="Calibri"/>
          <w:szCs w:val="24"/>
        </w:rPr>
        <w:t xml:space="preserve">(Arias </w:t>
      </w:r>
      <w:r w:rsidR="00192334" w:rsidRPr="00192334">
        <w:rPr>
          <w:rFonts w:ascii="Calibri" w:hAnsi="Calibri" w:cs="Calibri"/>
          <w:i/>
          <w:iCs/>
          <w:szCs w:val="24"/>
        </w:rPr>
        <w:t>et al.</w:t>
      </w:r>
      <w:r w:rsidR="00192334" w:rsidRPr="00192334">
        <w:rPr>
          <w:rFonts w:ascii="Calibri" w:hAnsi="Calibri" w:cs="Calibri"/>
          <w:szCs w:val="24"/>
        </w:rPr>
        <w:t>, 2021)</w:t>
      </w:r>
      <w:r w:rsidR="00202AEF">
        <w:fldChar w:fldCharType="end"/>
      </w:r>
      <w:r w:rsidR="00191A30">
        <w:t xml:space="preserve">. </w:t>
      </w:r>
    </w:p>
    <w:p w14:paraId="58AA7AA3" w14:textId="58636521" w:rsidR="00202AEF" w:rsidRDefault="00202AEF" w:rsidP="00350AB6">
      <w:pPr>
        <w:spacing w:line="360" w:lineRule="auto"/>
        <w:jc w:val="both"/>
      </w:pPr>
      <w:r w:rsidRPr="00202AEF">
        <w:rPr>
          <w:noProof/>
        </w:rPr>
        <w:drawing>
          <wp:inline distT="0" distB="0" distL="0" distR="0" wp14:anchorId="12E6F25B" wp14:editId="17D42B0A">
            <wp:extent cx="5305425" cy="2800350"/>
            <wp:effectExtent l="0" t="0" r="952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26"/>
                    <a:stretch>
                      <a:fillRect/>
                    </a:stretch>
                  </pic:blipFill>
                  <pic:spPr>
                    <a:xfrm>
                      <a:off x="0" y="0"/>
                      <a:ext cx="5306168" cy="2800742"/>
                    </a:xfrm>
                    <a:prstGeom prst="rect">
                      <a:avLst/>
                    </a:prstGeom>
                  </pic:spPr>
                </pic:pic>
              </a:graphicData>
            </a:graphic>
          </wp:inline>
        </w:drawing>
      </w:r>
    </w:p>
    <w:p w14:paraId="782B9626" w14:textId="52E500D8" w:rsidR="00202AEF" w:rsidRDefault="006B1F47" w:rsidP="006B1F47">
      <w:pPr>
        <w:pStyle w:val="Caption"/>
      </w:pPr>
      <w:bookmarkStart w:id="7" w:name="_Toc127110895"/>
      <w:r>
        <w:t xml:space="preserve">Figure </w:t>
      </w:r>
      <w:fldSimple w:instr=" SEQ Figure \* ARABIC ">
        <w:r w:rsidR="00A0212F">
          <w:rPr>
            <w:noProof/>
          </w:rPr>
          <w:t>1</w:t>
        </w:r>
      </w:fldSimple>
      <w:r>
        <w:t xml:space="preserve"> The response of </w:t>
      </w:r>
      <w:r w:rsidR="009F2B65">
        <w:t>some climate variables to global warming</w:t>
      </w:r>
      <w:r>
        <w:t xml:space="preserve"> </w:t>
      </w:r>
      <w:r>
        <w:fldChar w:fldCharType="begin"/>
      </w:r>
      <w:r w:rsidR="00192334">
        <w:instrText xml:space="preserve"> ADDIN ZOTERO_ITEM CSL_CITATION {"citationID":"QlMQmTC9","properties":{"formattedCitation":"(Arias {\\i{}et al.}, 2021)","plainCitation":"(Arias et al., 2021)","noteIndex":0},"citationItems":[{"id":1737,"uris":["http://zotero.org/users/local/AB2owHL2/items/6QYID27D"],"itemData":{"id":1737,"type":"report","event-place":"Cambridge, UK","page":"112","publisher":"Cambridge University Press","publisher-place":"Cambridge, UK","source":"Zotero","title":"Technical Summary. In Climate Change 2021: The  Physical Science Basis. Contribution of Working Group I to the Sixth Assessment Report of the Intergovernmental  Panel on Climate Change","URL":"https://www.ipcc.ch/report/ar6/wg1/downloads/report/IPCC_AR6_WGI_TS.pdf","author":[{"family":"Arias","given":"Paola A"},{"family":"Bellouin","given":"Nicolas"},{"family":"Jones","given":"Richard G"},{"family":"Naik","given":"Vaishali"},{"family":"Plattner","given":"Gian-Kasper"},{"family":"Rogelj","given":"Joeri"},{"family":"Sillmann","given":"Jana"},{"family":"Storelvmo","given":"Trude"},{"family":"Thorne","given":"Peter W"},{"family":"Trewin","given":"Blair"},{"family":"Rao","given":"Krishna Achuta"},{"family":"Adhikary","given":"Bhupesh"},{"family":"Allan","given":"Richard P"},{"family":"Armour","given":"Kyle"},{"family":"Barimalala","given":"Rondrotiana"},{"family":"Canadell","given":"Josep G"},{"family":"Cassou","given":"Christophe"},{"family":"Cherchi","given":"Annalisa"},{"family":"Collins","given":"William"},{"family":"Corti","given":"Susanna"},{"family":"Cruz","given":"Faye"},{"family":"Dentener","given":"Frank J"},{"family":"Dereczynski","given":"Claudine"},{"family":"Luca","given":"Alejandro Di"},{"family":"Diongue","given":"Aida"},{"family":"Doblas-Reyes","given":"Francisco J"},{"family":"Dosio","given":"Alessandro"},{"family":"Douville","given":"Hervé"},{"family":"Engelbrecht","given":"François"},{"family":"Fyfe","given":"John C"},{"family":"Gillett","given":"Nathan P"},{"family":"Goldfarb","given":"Leah"}],"accessed":{"date-parts":[["2022",7,5]]},"issued":{"date-parts":[["2021"]]}}}],"schema":"https://github.com/citation-style-language/schema/raw/master/csl-citation.json"} </w:instrText>
      </w:r>
      <w:r>
        <w:fldChar w:fldCharType="separate"/>
      </w:r>
      <w:r w:rsidR="00192334" w:rsidRPr="00192334">
        <w:rPr>
          <w:rFonts w:ascii="Calibri" w:hAnsi="Calibri" w:cs="Calibri"/>
          <w:szCs w:val="24"/>
        </w:rPr>
        <w:t xml:space="preserve">(Arias </w:t>
      </w:r>
      <w:r w:rsidR="00192334" w:rsidRPr="00192334">
        <w:rPr>
          <w:rFonts w:ascii="Calibri" w:hAnsi="Calibri" w:cs="Calibri"/>
          <w:i w:val="0"/>
          <w:iCs w:val="0"/>
          <w:szCs w:val="24"/>
        </w:rPr>
        <w:t>et al.</w:t>
      </w:r>
      <w:r w:rsidR="00192334" w:rsidRPr="00192334">
        <w:rPr>
          <w:rFonts w:ascii="Calibri" w:hAnsi="Calibri" w:cs="Calibri"/>
          <w:szCs w:val="24"/>
        </w:rPr>
        <w:t>, 2021)</w:t>
      </w:r>
      <w:r>
        <w:fldChar w:fldCharType="end"/>
      </w:r>
      <w:r>
        <w:t>.</w:t>
      </w:r>
      <w:bookmarkEnd w:id="7"/>
    </w:p>
    <w:p w14:paraId="3604E7BF" w14:textId="163C5B41" w:rsidR="00FA6489" w:rsidRDefault="000D3D37" w:rsidP="0040526F">
      <w:pPr>
        <w:spacing w:line="360" w:lineRule="auto"/>
        <w:jc w:val="both"/>
      </w:pPr>
      <w:r>
        <w:t xml:space="preserve">According to </w:t>
      </w:r>
      <w:r>
        <w:fldChar w:fldCharType="begin"/>
      </w:r>
      <w:r w:rsidR="00192334">
        <w:instrText xml:space="preserve"> ADDIN ZOTERO_ITEM CSL_CITATION {"citationID":"AJ8BOBx0","properties":{"formattedCitation":"(Holappa, 2020)","plainCitation":"(Holappa, 2020)","noteIndex":0},"citationItems":[{"id":470,"uris":["http://zotero.org/users/local/AB2owHL2/items/LRLCPEEP"],"itemData":{"id":470,"type":"article-journal","abstract":"The 2018 IPCC (The Intergovernmental Panel on Climate Change’s) report defined the goal to limit global warming to 1.5 °C by 2050. This will require “rapid and far-reaching transitions in land, energy, industry, buildings, transport, and cities”. The challenge falls on all sectors, especially energy production and industry. In this regard, the recent progress and future challenges of greenhouse gas emissions and energy supply are first briefly introduced. Then, the current situation of the steel industry is presented. Steel production is predicted to grow by 25–30% by 2050. The dominant iron-making route, blast furnace (BF), especially, is an energy-intensive process based on fossil fuel consumption; the steel sector is thus responsible for about 7% of all anthropogenic CO2 emissions. In order to take up the 2050 challenge, emissions should see significant cuts. Correspondingly, specific emissions (t CO2/t steel) should be radically decreased. Several large research programs in big steelmaking countries and the EU have been carried out over the last 10–15 years or are ongoing. All plausible measures to decrease CO2 emissions were explored here based on the published literature. The essential results are discussed and concluded. The specific emissions of “world steel” are currently at 1.8 t CO2/t steel. Improved energy efficiency by modernizing plants and adopting best available technologies in all process stages could decrease the emissions by 15–20%. Further reductions towards 1.0 t CO2/t steel level are achievable via novel technologies like top gas recycling in BF, oxygen BF, and maximal replacement of coke by biomass. These processes are, however, waiting for substantive industrialization. Generally, substituting hydrogen for carbon in reductants and fuels like natural gas and coke gas can decrease CO2 emissions remarkably. The same holds for direct reduction processes (DR), which have spread recently, exceeding 100 Mt annual capacity. More radical cut is possible via CO2 capture and storage (CCS). The technology is well-known in the oil industry; and potential applications in other sectors, including the steel industry, are being explored. While this might be a real solution in propitious circumstances, it is hardly universally applicable in the long run. More auspicious is the concept that aims at utilizing captured carbon in the production of chemicals, food, or fuels e.g., methanol (CCU, CCUS). The basic idea is smart, but in the early phase of its application, the high energy-consumption and costs are disincentives. The potential of hydrogen as a fuel and reductant is well-known, but it has a supporting role in iron metallurgy. In the current fight against climate warming, H2 has come into the “limelight” as a reductant, fuel, and energy storage. The hydrogen economy concept contains both production, storage, distribution, and uses. In ironmaking, several research programs have been launched for hydrogen production and reduction of iron oxides. Another global trend is the transfer from fossil fuel to electricity. “Green” electricity generation and hydrogen will be firmly linked together. The electrification of steel production is emphasized upon in this paper as the recycled scrap is estimated to grow from the 30% level to 50% by 2050. Finally, in this review, all means to reduce specific CO2 emissions have been summarized. By thorough modernization of production facilities and energy systems and by adopting new pioneering methods, “world steel” could reach the level of 0.4–0.5 t CO2/t steel and thus reduce two-thirds of current annual emissions.","container-title":"Metals","DOI":"http://dx.doi.org.ezproxy.uwtsd.ac.uk/10.3390/met10091117","issue":"9","language":"English","license":"© 2020. This work is licensed under http://creativecommons.org/licenses/by/3.0/ (the “License”). Notwithstanding the ProQuest Terms and Conditions, you may use this content in accordance with the terms of the License.","note":"number-of-pages: 1117\npublisher-place: Basel, Switzerland\npublisher: MDPI AG","page":"1117","source":"ProQuest","title":"A General Vision for Reduction of Energy Consumption and CO2 Emissions from the Steel Industry","URL":"http://www.proquest.com/docview/2436726619/abstract/7F5306F0F7F34030PQ/1","volume":"10","author":[{"family":"Holappa","given":"Lauri"}],"accessed":{"date-parts":[["2021",2,15]]},"issued":{"date-parts":[["2020"]]}}}],"schema":"https://github.com/citation-style-language/schema/raw/master/csl-citation.json"} </w:instrText>
      </w:r>
      <w:r>
        <w:fldChar w:fldCharType="separate"/>
      </w:r>
      <w:r w:rsidR="00192334" w:rsidRPr="00192334">
        <w:rPr>
          <w:rFonts w:ascii="Calibri" w:hAnsi="Calibri" w:cs="Calibri"/>
        </w:rPr>
        <w:t>(Holappa, 2020)</w:t>
      </w:r>
      <w:r>
        <w:fldChar w:fldCharType="end"/>
      </w:r>
      <w:r>
        <w:t xml:space="preserve"> </w:t>
      </w:r>
      <w:r w:rsidR="0040526F">
        <w:t>GHG emissions have doubled since 1970 and Carbon Dioxide (CO</w:t>
      </w:r>
      <w:r w:rsidR="0040526F" w:rsidRPr="00583483">
        <w:rPr>
          <w:vertAlign w:val="subscript"/>
        </w:rPr>
        <w:t>2</w:t>
      </w:r>
      <w:r w:rsidR="0040526F">
        <w:t>) the most important GHG has increased f</w:t>
      </w:r>
      <w:r w:rsidR="006E0333">
        <w:t>ro</w:t>
      </w:r>
      <w:r w:rsidR="0040526F">
        <w:t>m 300ppm to 410 ppm (atmospheric content</w:t>
      </w:r>
      <w:r w:rsidR="002A1C4D">
        <w:t>)</w:t>
      </w:r>
      <w:r w:rsidR="0040526F">
        <w:t xml:space="preserve"> since 1950</w:t>
      </w:r>
      <w:r w:rsidR="0095121A">
        <w:t xml:space="preserve">.  </w:t>
      </w:r>
      <w:r w:rsidR="00BE6A2B">
        <w:t>A</w:t>
      </w:r>
      <w:r w:rsidR="00E9736C">
        <w:t xml:space="preserve">t the conference of parties </w:t>
      </w:r>
      <w:r w:rsidR="00BE6A2B">
        <w:t>Paris</w:t>
      </w:r>
      <w:r w:rsidR="00E9736C">
        <w:t xml:space="preserve"> (COP21) in 2015 an agreement to prevent a global rise in temperature of over 2 ◦C was achieved, this target was later reduced to 1.5 ◦C</w:t>
      </w:r>
      <w:r w:rsidR="002A1C4D">
        <w:t xml:space="preserve"> </w:t>
      </w:r>
      <w:r w:rsidR="00E9736C">
        <w:t>at the COP 24 meeting in 2018. To meet the 2 ◦C target a 50% reduction in emissions by 2050 is required</w:t>
      </w:r>
      <w:r w:rsidR="002A1C4D">
        <w:t xml:space="preserve"> and an 80% reduction is required to meet the 1.5 ◦C target respectively</w:t>
      </w:r>
      <w:r w:rsidR="0040526F">
        <w:t xml:space="preserve">. </w:t>
      </w:r>
    </w:p>
    <w:p w14:paraId="110F558D" w14:textId="6DDA2127" w:rsidR="002A1C4D" w:rsidRDefault="00A47285" w:rsidP="0040526F">
      <w:pPr>
        <w:spacing w:line="360" w:lineRule="auto"/>
        <w:jc w:val="both"/>
      </w:pPr>
      <w:r>
        <w:t xml:space="preserve">The </w:t>
      </w:r>
      <w:r w:rsidR="00684D87">
        <w:t xml:space="preserve">Iron and </w:t>
      </w:r>
      <w:r>
        <w:t>steel industry</w:t>
      </w:r>
      <w:r w:rsidR="00684D87">
        <w:t xml:space="preserve"> (ISI)</w:t>
      </w:r>
      <w:r>
        <w:t xml:space="preserve"> is one of the</w:t>
      </w:r>
      <w:r w:rsidR="003E5E12">
        <w:t xml:space="preserve"> </w:t>
      </w:r>
      <w:r w:rsidR="009712B1">
        <w:t>world’s</w:t>
      </w:r>
      <w:r>
        <w:t xml:space="preserve"> most important manufacturing sectors </w:t>
      </w:r>
      <w:r w:rsidR="00A1335D">
        <w:t>with</w:t>
      </w:r>
      <w:r>
        <w:t xml:space="preserve"> a significant impact on the global economy.</w:t>
      </w:r>
      <w:r w:rsidR="00FA323F">
        <w:t xml:space="preserve"> Steel is a highly cost-effective material which can be recycled endlessly and has a vast array of applications, steel is going to be crucial for the low carbon transition</w:t>
      </w:r>
      <w:r w:rsidR="003E5E12">
        <w:t xml:space="preserve"> as it is required in in the manufacture of solar panels, wind turbines, </w:t>
      </w:r>
      <w:r w:rsidR="009712B1">
        <w:t>dams,</w:t>
      </w:r>
      <w:r w:rsidR="003E5E12">
        <w:t xml:space="preserve"> and electric vehicles</w:t>
      </w:r>
      <w:r w:rsidR="00FA323F">
        <w:t>.</w:t>
      </w:r>
      <w:r>
        <w:t xml:space="preserve"> </w:t>
      </w:r>
      <w:r w:rsidR="00A1335D">
        <w:t>Recent s</w:t>
      </w:r>
      <w:r>
        <w:t>teel demand and production has increased sharply</w:t>
      </w:r>
      <w:r w:rsidR="0064013E">
        <w:t xml:space="preserve"> (Figure 2), </w:t>
      </w:r>
      <w:r w:rsidR="00CC3A73">
        <w:t>the</w:t>
      </w:r>
      <w:r w:rsidR="00CC66DB">
        <w:t xml:space="preserve">re are </w:t>
      </w:r>
      <w:r w:rsidR="0064013E">
        <w:t xml:space="preserve">predictions </w:t>
      </w:r>
      <w:r w:rsidR="0064013E">
        <w:lastRenderedPageBreak/>
        <w:t xml:space="preserve">of growth range from 3000 MT by 2050 </w:t>
      </w:r>
      <w:r w:rsidR="00CC66DB">
        <w:t>to</w:t>
      </w:r>
      <w:r w:rsidR="0064013E">
        <w:t xml:space="preserve"> a more conservative prediction of 2500 MT</w:t>
      </w:r>
      <w:r w:rsidR="006E0333">
        <w:t xml:space="preserve"> </w:t>
      </w:r>
      <w:r w:rsidR="00684D87">
        <w:t xml:space="preserve"> </w:t>
      </w:r>
      <w:r w:rsidR="00684D87">
        <w:fldChar w:fldCharType="begin"/>
      </w:r>
      <w:r w:rsidR="00192334">
        <w:instrText xml:space="preserve"> ADDIN ZOTERO_ITEM CSL_CITATION {"citationID":"plUtV3WM","properties":{"formattedCitation":"(Holappa, 2020)","plainCitation":"(Holappa, 2020)","noteIndex":0},"citationItems":[{"id":470,"uris":["http://zotero.org/users/local/AB2owHL2/items/LRLCPEEP"],"itemData":{"id":470,"type":"article-journal","abstract":"The 2018 IPCC (The Intergovernmental Panel on Climate Change’s) report defined the goal to limit global warming to 1.5 °C by 2050. This will require “rapid and far-reaching transitions in land, energy, industry, buildings, transport, and cities”. The challenge falls on all sectors, especially energy production and industry. In this regard, the recent progress and future challenges of greenhouse gas emissions and energy supply are first briefly introduced. Then, the current situation of the steel industry is presented. Steel production is predicted to grow by 25–30% by 2050. The dominant iron-making route, blast furnace (BF), especially, is an energy-intensive process based on fossil fuel consumption; the steel sector is thus responsible for about 7% of all anthropogenic CO2 emissions. In order to take up the 2050 challenge, emissions should see significant cuts. Correspondingly, specific emissions (t CO2/t steel) should be radically decreased. Several large research programs in big steelmaking countries and the EU have been carried out over the last 10–15 years or are ongoing. All plausible measures to decrease CO2 emissions were explored here based on the published literature. The essential results are discussed and concluded. The specific emissions of “world steel” are currently at 1.8 t CO2/t steel. Improved energy efficiency by modernizing plants and adopting best available technologies in all process stages could decrease the emissions by 15–20%. Further reductions towards 1.0 t CO2/t steel level are achievable via novel technologies like top gas recycling in BF, oxygen BF, and maximal replacement of coke by biomass. These processes are, however, waiting for substantive industrialization. Generally, substituting hydrogen for carbon in reductants and fuels like natural gas and coke gas can decrease CO2 emissions remarkably. The same holds for direct reduction processes (DR), which have spread recently, exceeding 100 Mt annual capacity. More radical cut is possible via CO2 capture and storage (CCS). The technology is well-known in the oil industry; and potential applications in other sectors, including the steel industry, are being explored. While this might be a real solution in propitious circumstances, it is hardly universally applicable in the long run. More auspicious is the concept that aims at utilizing captured carbon in the production of chemicals, food, or fuels e.g., methanol (CCU, CCUS). The basic idea is smart, but in the early phase of its application, the high energy-consumption and costs are disincentives. The potential of hydrogen as a fuel and reductant is well-known, but it has a supporting role in iron metallurgy. In the current fight against climate warming, H2 has come into the “limelight” as a reductant, fuel, and energy storage. The hydrogen economy concept contains both production, storage, distribution, and uses. In ironmaking, several research programs have been launched for hydrogen production and reduction of iron oxides. Another global trend is the transfer from fossil fuel to electricity. “Green” electricity generation and hydrogen will be firmly linked together. The electrification of steel production is emphasized upon in this paper as the recycled scrap is estimated to grow from the 30% level to 50% by 2050. Finally, in this review, all means to reduce specific CO2 emissions have been summarized. By thorough modernization of production facilities and energy systems and by adopting new pioneering methods, “world steel” could reach the level of 0.4–0.5 t CO2/t steel and thus reduce two-thirds of current annual emissions.","container-title":"Metals","DOI":"http://dx.doi.org.ezproxy.uwtsd.ac.uk/10.3390/met10091117","issue":"9","language":"English","license":"© 2020. This work is licensed under http://creativecommons.org/licenses/by/3.0/ (the “License”). Notwithstanding the ProQuest Terms and Conditions, you may use this content in accordance with the terms of the License.","note":"number-of-pages: 1117\npublisher-place: Basel, Switzerland\npublisher: MDPI AG","page":"1117","source":"ProQuest","title":"A General Vision for Reduction of Energy Consumption and CO2 Emissions from the Steel Industry","URL":"http://www.proquest.com/docview/2436726619/abstract/7F5306F0F7F34030PQ/1","volume":"10","author":[{"family":"Holappa","given":"Lauri"}],"accessed":{"date-parts":[["2021",2,15]]},"issued":{"date-parts":[["2020"]]}}}],"schema":"https://github.com/citation-style-language/schema/raw/master/csl-citation.json"} </w:instrText>
      </w:r>
      <w:r w:rsidR="00684D87">
        <w:fldChar w:fldCharType="separate"/>
      </w:r>
      <w:r w:rsidR="00192334" w:rsidRPr="00192334">
        <w:rPr>
          <w:rFonts w:ascii="Calibri" w:hAnsi="Calibri" w:cs="Calibri"/>
        </w:rPr>
        <w:t>(Holappa, 2020)</w:t>
      </w:r>
      <w:r w:rsidR="00684D87">
        <w:fldChar w:fldCharType="end"/>
      </w:r>
      <w:r w:rsidR="00684D87">
        <w:t>.</w:t>
      </w:r>
      <w:r w:rsidR="007C6D32">
        <w:t xml:space="preserve"> </w:t>
      </w:r>
    </w:p>
    <w:p w14:paraId="63DD19CF" w14:textId="44D9304D" w:rsidR="0064013E" w:rsidRDefault="0064013E" w:rsidP="0040526F">
      <w:pPr>
        <w:spacing w:line="360" w:lineRule="auto"/>
        <w:jc w:val="both"/>
      </w:pPr>
      <w:r w:rsidRPr="0064013E">
        <w:rPr>
          <w:noProof/>
        </w:rPr>
        <w:drawing>
          <wp:inline distT="0" distB="0" distL="0" distR="0" wp14:anchorId="1320A743" wp14:editId="0E187A80">
            <wp:extent cx="5731510" cy="1685925"/>
            <wp:effectExtent l="0" t="0" r="2540" b="952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27"/>
                    <a:stretch>
                      <a:fillRect/>
                    </a:stretch>
                  </pic:blipFill>
                  <pic:spPr>
                    <a:xfrm>
                      <a:off x="0" y="0"/>
                      <a:ext cx="5731510" cy="1685925"/>
                    </a:xfrm>
                    <a:prstGeom prst="rect">
                      <a:avLst/>
                    </a:prstGeom>
                  </pic:spPr>
                </pic:pic>
              </a:graphicData>
            </a:graphic>
          </wp:inline>
        </w:drawing>
      </w:r>
    </w:p>
    <w:p w14:paraId="5B1EC75F" w14:textId="0641AB7A" w:rsidR="0064013E" w:rsidRDefault="0064013E" w:rsidP="0064013E">
      <w:pPr>
        <w:pStyle w:val="Caption"/>
      </w:pPr>
      <w:bookmarkStart w:id="8" w:name="_Toc127110896"/>
      <w:r>
        <w:t xml:space="preserve">Figure </w:t>
      </w:r>
      <w:fldSimple w:instr=" SEQ Figure \* ARABIC ">
        <w:r w:rsidR="00A0212F">
          <w:rPr>
            <w:noProof/>
          </w:rPr>
          <w:t>2</w:t>
        </w:r>
      </w:fldSimple>
      <w:r>
        <w:t xml:space="preserve"> World Steel Production 1950 - 2021 (</w:t>
      </w:r>
      <w:proofErr w:type="spellStart"/>
      <w:r>
        <w:t>Worldsteel</w:t>
      </w:r>
      <w:proofErr w:type="spellEnd"/>
      <w:r>
        <w:t>. 2021)</w:t>
      </w:r>
      <w:bookmarkEnd w:id="8"/>
    </w:p>
    <w:p w14:paraId="5EFD44BC" w14:textId="3AB29AA9" w:rsidR="00684D87" w:rsidRDefault="00684D87" w:rsidP="00684D87">
      <w:pPr>
        <w:spacing w:line="360" w:lineRule="auto"/>
        <w:jc w:val="both"/>
        <w:rPr>
          <w:rFonts w:cstheme="minorHAnsi"/>
        </w:rPr>
      </w:pPr>
      <w:r w:rsidRPr="00684D87">
        <w:rPr>
          <w:rFonts w:cstheme="minorHAnsi"/>
        </w:rPr>
        <w:t>The ISI is the 2</w:t>
      </w:r>
      <w:r w:rsidRPr="00684D87">
        <w:rPr>
          <w:rFonts w:cstheme="minorHAnsi"/>
          <w:vertAlign w:val="superscript"/>
        </w:rPr>
        <w:t>nd</w:t>
      </w:r>
      <w:r w:rsidRPr="00684D87">
        <w:rPr>
          <w:rFonts w:cstheme="minorHAnsi"/>
        </w:rPr>
        <w:t xml:space="preserve"> </w:t>
      </w:r>
      <w:r w:rsidR="007F4D21">
        <w:rPr>
          <w:rFonts w:cstheme="minorHAnsi"/>
        </w:rPr>
        <w:t>biggest</w:t>
      </w:r>
      <w:r w:rsidRPr="00684D87">
        <w:rPr>
          <w:rFonts w:cstheme="minorHAnsi"/>
        </w:rPr>
        <w:t xml:space="preserve"> </w:t>
      </w:r>
      <w:r w:rsidR="007F4D21">
        <w:rPr>
          <w:rFonts w:cstheme="minorHAnsi"/>
        </w:rPr>
        <w:t>energy user</w:t>
      </w:r>
      <w:r w:rsidRPr="00684D87">
        <w:rPr>
          <w:rFonts w:cstheme="minorHAnsi"/>
        </w:rPr>
        <w:t xml:space="preserve"> </w:t>
      </w:r>
      <w:r w:rsidR="00F52F9C">
        <w:rPr>
          <w:rFonts w:cstheme="minorHAnsi"/>
        </w:rPr>
        <w:t xml:space="preserve">in the world </w:t>
      </w:r>
      <w:r w:rsidRPr="00684D87">
        <w:rPr>
          <w:rFonts w:cstheme="minorHAnsi"/>
        </w:rPr>
        <w:t xml:space="preserve">consuming </w:t>
      </w:r>
      <w:r w:rsidR="0027051A">
        <w:rPr>
          <w:rFonts w:cstheme="minorHAnsi"/>
        </w:rPr>
        <w:t xml:space="preserve">approximately </w:t>
      </w:r>
      <w:r w:rsidRPr="00684D87">
        <w:rPr>
          <w:rFonts w:cstheme="minorHAnsi"/>
        </w:rPr>
        <w:t xml:space="preserve">22% of industrial energy and ~ 8% </w:t>
      </w:r>
      <w:r w:rsidR="0027051A">
        <w:rPr>
          <w:rFonts w:cstheme="minorHAnsi"/>
        </w:rPr>
        <w:t>o</w:t>
      </w:r>
      <w:r w:rsidR="00C52EC4">
        <w:rPr>
          <w:rFonts w:cstheme="minorHAnsi"/>
        </w:rPr>
        <w:t>f total worldwide energy</w:t>
      </w:r>
      <w:r w:rsidRPr="00684D87">
        <w:rPr>
          <w:rFonts w:cstheme="minorHAnsi"/>
        </w:rPr>
        <w:t>. The ISI is also the 2</w:t>
      </w:r>
      <w:r w:rsidRPr="00684D87">
        <w:rPr>
          <w:rFonts w:cstheme="minorHAnsi"/>
          <w:vertAlign w:val="superscript"/>
        </w:rPr>
        <w:t>nd</w:t>
      </w:r>
      <w:r w:rsidRPr="00684D87">
        <w:rPr>
          <w:rFonts w:cstheme="minorHAnsi"/>
        </w:rPr>
        <w:t xml:space="preserve"> largest emitter of CO</w:t>
      </w:r>
      <w:r w:rsidRPr="00684D87">
        <w:rPr>
          <w:rFonts w:cstheme="minorHAnsi"/>
          <w:vertAlign w:val="subscript"/>
        </w:rPr>
        <w:t xml:space="preserve">2 </w:t>
      </w:r>
      <w:r w:rsidR="008743DF">
        <w:rPr>
          <w:rFonts w:cstheme="minorHAnsi"/>
          <w:vertAlign w:val="subscript"/>
        </w:rPr>
        <w:t xml:space="preserve"> </w:t>
      </w:r>
      <w:r w:rsidRPr="00684D87">
        <w:rPr>
          <w:rFonts w:cstheme="minorHAnsi"/>
        </w:rPr>
        <w:t xml:space="preserve">and </w:t>
      </w:r>
      <w:r w:rsidR="00B87D9E">
        <w:rPr>
          <w:rFonts w:cstheme="minorHAnsi"/>
        </w:rPr>
        <w:t>it accounts</w:t>
      </w:r>
      <w:r w:rsidR="008743DF">
        <w:rPr>
          <w:rFonts w:cstheme="minorHAnsi"/>
        </w:rPr>
        <w:t xml:space="preserve"> for</w:t>
      </w:r>
      <w:r w:rsidRPr="00684D87">
        <w:rPr>
          <w:rFonts w:cstheme="minorHAnsi"/>
        </w:rPr>
        <w:t xml:space="preserve"> ~25% of industrial CO</w:t>
      </w:r>
      <w:r w:rsidRPr="00684D87">
        <w:rPr>
          <w:rFonts w:cstheme="minorHAnsi"/>
          <w:vertAlign w:val="subscript"/>
        </w:rPr>
        <w:t xml:space="preserve">2 </w:t>
      </w:r>
      <w:r w:rsidRPr="00684D87">
        <w:rPr>
          <w:rFonts w:cstheme="minorHAnsi"/>
        </w:rPr>
        <w:t>emissions and ~9% total CO</w:t>
      </w:r>
      <w:r w:rsidRPr="00684D87">
        <w:rPr>
          <w:rFonts w:cstheme="minorHAnsi"/>
          <w:vertAlign w:val="subscript"/>
        </w:rPr>
        <w:t xml:space="preserve">2 </w:t>
      </w:r>
      <w:r w:rsidRPr="00684D87">
        <w:rPr>
          <w:rFonts w:cstheme="minorHAnsi"/>
        </w:rPr>
        <w:t>emissions producing 3.2 GT CO</w:t>
      </w:r>
      <w:r w:rsidRPr="00684D87">
        <w:rPr>
          <w:rFonts w:cstheme="minorHAnsi"/>
          <w:vertAlign w:val="subscript"/>
        </w:rPr>
        <w:t xml:space="preserve">2 </w:t>
      </w:r>
      <w:r w:rsidRPr="00684D87">
        <w:rPr>
          <w:rFonts w:cstheme="minorHAnsi"/>
        </w:rPr>
        <w:t xml:space="preserve"> in 2019 </w:t>
      </w:r>
      <w:r w:rsidRPr="00684D87">
        <w:rPr>
          <w:rFonts w:cstheme="minorHAnsi"/>
        </w:rPr>
        <w:fldChar w:fldCharType="begin"/>
      </w:r>
      <w:r>
        <w:rPr>
          <w:rFonts w:cstheme="minorHAnsi"/>
        </w:rPr>
        <w:instrText xml:space="preserve"> ADDIN ZOTERO_ITEM CSL_CITATION {"citationID":"agUB6WUo","properties":{"formattedCitation":"(\\uc0\\u8220{}Data &amp; Statistics,\\uc0\\u8221{} 2020)","plainCitation":"(“Data &amp; Statistics,” 2020)","dontUpdate":true,"noteIndex":0},"citationItems":[{"id":711,"uris":["http://zotero.org/users/local/AB2owHL2/items/HQE539KQ"],"itemData":{"id":711,"type":"webpage","abstract":"Browse, compare and download a world of energy data, statistics and policies","container-title":"IEA","language":"en-GB","title":"Data &amp; Statistics","URL":"https://www.iea.org/data-and-statistics","accessed":{"date-parts":[["2021",3,19]]},"issued":{"date-parts":[["2020",10]]}}}],"schema":"https://github.com/citation-style-language/schema/raw/master/csl-citation.json"} </w:instrText>
      </w:r>
      <w:r w:rsidRPr="00684D87">
        <w:rPr>
          <w:rFonts w:cstheme="minorHAnsi"/>
        </w:rPr>
        <w:fldChar w:fldCharType="separate"/>
      </w:r>
      <w:r w:rsidRPr="00684D87">
        <w:rPr>
          <w:rFonts w:cstheme="minorHAnsi"/>
          <w:szCs w:val="24"/>
        </w:rPr>
        <w:t>(IEA.org 2020)</w:t>
      </w:r>
      <w:r w:rsidRPr="00684D87">
        <w:rPr>
          <w:rFonts w:cstheme="minorHAnsi"/>
        </w:rPr>
        <w:fldChar w:fldCharType="end"/>
      </w:r>
      <w:r w:rsidRPr="00684D87">
        <w:rPr>
          <w:rFonts w:cstheme="minorHAnsi"/>
        </w:rPr>
        <w:t xml:space="preserve">.  </w:t>
      </w:r>
      <w:r w:rsidR="007C6D32">
        <w:rPr>
          <w:rFonts w:cstheme="minorHAnsi"/>
        </w:rPr>
        <w:t>For every tonne of steel produced</w:t>
      </w:r>
      <w:r w:rsidR="002D213A">
        <w:rPr>
          <w:rFonts w:cstheme="minorHAnsi"/>
        </w:rPr>
        <w:t xml:space="preserve"> there is</w:t>
      </w:r>
      <w:r w:rsidR="007C6D32">
        <w:rPr>
          <w:rFonts w:cstheme="minorHAnsi"/>
        </w:rPr>
        <w:t xml:space="preserve"> 1.89 tonne of </w:t>
      </w:r>
      <w:r w:rsidR="007C6D32" w:rsidRPr="00684D87">
        <w:rPr>
          <w:rFonts w:cstheme="minorHAnsi"/>
        </w:rPr>
        <w:t>CO</w:t>
      </w:r>
      <w:r w:rsidR="007C6D32" w:rsidRPr="00684D87">
        <w:rPr>
          <w:rFonts w:cstheme="minorHAnsi"/>
          <w:vertAlign w:val="subscript"/>
        </w:rPr>
        <w:t>2</w:t>
      </w:r>
      <w:r w:rsidR="007C6D32">
        <w:rPr>
          <w:rFonts w:cstheme="minorHAnsi"/>
        </w:rPr>
        <w:t xml:space="preserve"> emitted </w:t>
      </w:r>
      <w:r w:rsidR="007C6D32">
        <w:rPr>
          <w:rFonts w:cstheme="minorHAnsi"/>
        </w:rPr>
        <w:fldChar w:fldCharType="begin"/>
      </w:r>
      <w:r w:rsidR="003F2C98">
        <w:rPr>
          <w:rFonts w:cstheme="minorHAnsi"/>
        </w:rPr>
        <w:instrText xml:space="preserve"> ADDIN ZOTERO_ITEM CSL_CITATION {"citationID":"Cdt8Psxd","properties":{"formattedCitation":"(Sustainability indicators. 2022)","plainCitation":"(Sustainability indicators. 2022)","dontUpdate":true,"noteIndex":0},"citationItems":[{"id":1742,"uris":["http://zotero.org/users/local/AB2owHL2/items/T6ALFBPS"],"itemData":{"id":1742,"type":"post-weblog","abstract":"Steel companies from around the world have been reporting to worldsteel on sustainability indicators since 2004. These indicators provide a systematic way of measuring key aspects of our economic, environmental and social performance.","container-title":"worldsteel.org","language":"en-US","title":"Sustainability indicators","URL":"https://worldsteel.org/steel-topics/sustainability/sustainability-indicators/","accessed":{"date-parts":[["2022",7,5]]},"issued":{"date-parts":[["2022"]]}}}],"schema":"https://github.com/citation-style-language/schema/raw/master/csl-citation.json"} </w:instrText>
      </w:r>
      <w:r w:rsidR="007C6D32">
        <w:rPr>
          <w:rFonts w:cstheme="minorHAnsi"/>
        </w:rPr>
        <w:fldChar w:fldCharType="separate"/>
      </w:r>
      <w:r w:rsidR="002F2DA2" w:rsidRPr="002F2DA2">
        <w:rPr>
          <w:rFonts w:ascii="Calibri" w:hAnsi="Calibri" w:cs="Calibri"/>
        </w:rPr>
        <w:t>(</w:t>
      </w:r>
      <w:r w:rsidR="002F2DA2">
        <w:rPr>
          <w:rFonts w:ascii="Calibri" w:hAnsi="Calibri" w:cs="Calibri"/>
        </w:rPr>
        <w:t>WorldSteel</w:t>
      </w:r>
      <w:r w:rsidR="007C6D32">
        <w:rPr>
          <w:rFonts w:cstheme="minorHAnsi"/>
        </w:rPr>
        <w:fldChar w:fldCharType="end"/>
      </w:r>
      <w:r w:rsidR="007C6D32">
        <w:rPr>
          <w:rFonts w:cstheme="minorHAnsi"/>
        </w:rPr>
        <w:t>.</w:t>
      </w:r>
      <w:r w:rsidR="002F2DA2">
        <w:rPr>
          <w:rFonts w:cstheme="minorHAnsi"/>
        </w:rPr>
        <w:t xml:space="preserve"> 2021)</w:t>
      </w:r>
      <w:r w:rsidR="005609FC">
        <w:rPr>
          <w:rFonts w:cstheme="minorHAnsi"/>
        </w:rPr>
        <w:t>.</w:t>
      </w:r>
    </w:p>
    <w:p w14:paraId="30801B93" w14:textId="68B53433" w:rsidR="005609FC" w:rsidRPr="00957C21" w:rsidRDefault="005609FC" w:rsidP="00684D87">
      <w:pPr>
        <w:spacing w:line="360" w:lineRule="auto"/>
        <w:jc w:val="both"/>
        <w:rPr>
          <w:rFonts w:cstheme="minorHAnsi"/>
        </w:rPr>
      </w:pPr>
      <w:r>
        <w:rPr>
          <w:rFonts w:cstheme="minorHAnsi"/>
        </w:rPr>
        <w:t xml:space="preserve">The Kyoto protocol 1997 </w:t>
      </w:r>
      <w:r w:rsidR="00F75F5E">
        <w:rPr>
          <w:rFonts w:cstheme="minorHAnsi"/>
        </w:rPr>
        <w:t>persuaded</w:t>
      </w:r>
      <w:r>
        <w:rPr>
          <w:rFonts w:cstheme="minorHAnsi"/>
        </w:rPr>
        <w:t xml:space="preserve"> the worlds industrialised countries to adopt policies that would limit and reduce GHG’s to agreed targets</w:t>
      </w:r>
      <w:r w:rsidR="009227CE">
        <w:rPr>
          <w:rFonts w:cstheme="minorHAnsi"/>
        </w:rPr>
        <w:t xml:space="preserve"> </w:t>
      </w:r>
      <w:r w:rsidR="009227CE">
        <w:rPr>
          <w:rFonts w:cstheme="minorHAnsi"/>
        </w:rPr>
        <w:fldChar w:fldCharType="begin"/>
      </w:r>
      <w:r w:rsidR="00957C21">
        <w:rPr>
          <w:rFonts w:cstheme="minorHAnsi"/>
        </w:rPr>
        <w:instrText xml:space="preserve"> ADDIN ZOTERO_ITEM CSL_CITATION {"citationID":"msgycAas","properties":{"formattedCitation":"({\\i{}What is the Kyoto Protocol? | UNFCCC} [no date])","plainCitation":"(What is the Kyoto Protocol? | UNFCCC [no date])","dontUpdate":true,"noteIndex":0},"citationItems":[{"id":1750,"uris":["http://zotero.org/users/local/AB2owHL2/items/CNL5897P"],"itemData":{"id":1750,"type":"webpage","title":"What is the Kyoto Protocol? | UNFCCC","URL":"https://unfccc.int/kyoto_protocol","accessed":{"date-parts":[["2022",7,6]]},"issued":{"date-parts":[["2022"]]}}}],"schema":"https://github.com/citation-style-language/schema/raw/master/csl-citation.json"} </w:instrText>
      </w:r>
      <w:r w:rsidR="009227CE">
        <w:rPr>
          <w:rFonts w:cstheme="minorHAnsi"/>
        </w:rPr>
        <w:fldChar w:fldCharType="separate"/>
      </w:r>
      <w:r w:rsidR="009227CE" w:rsidRPr="009227CE">
        <w:rPr>
          <w:rFonts w:ascii="Calibri" w:hAnsi="Calibri" w:cs="Calibri"/>
          <w:szCs w:val="24"/>
        </w:rPr>
        <w:t>(</w:t>
      </w:r>
      <w:r w:rsidR="009227CE" w:rsidRPr="009227CE">
        <w:rPr>
          <w:rFonts w:ascii="Calibri" w:hAnsi="Calibri" w:cs="Calibri"/>
          <w:i/>
          <w:iCs/>
          <w:szCs w:val="24"/>
        </w:rPr>
        <w:t>UNFCCC</w:t>
      </w:r>
      <w:r w:rsidR="009227CE" w:rsidRPr="009227CE">
        <w:rPr>
          <w:rFonts w:ascii="Calibri" w:hAnsi="Calibri" w:cs="Calibri"/>
          <w:szCs w:val="24"/>
        </w:rPr>
        <w:t xml:space="preserve"> </w:t>
      </w:r>
      <w:r w:rsidR="009227CE">
        <w:rPr>
          <w:rFonts w:ascii="Calibri" w:hAnsi="Calibri" w:cs="Calibri"/>
          <w:szCs w:val="24"/>
        </w:rPr>
        <w:t>2022</w:t>
      </w:r>
      <w:r w:rsidR="009227CE" w:rsidRPr="009227CE">
        <w:rPr>
          <w:rFonts w:ascii="Calibri" w:hAnsi="Calibri" w:cs="Calibri"/>
          <w:szCs w:val="24"/>
        </w:rPr>
        <w:t>)</w:t>
      </w:r>
      <w:r w:rsidR="009227CE">
        <w:rPr>
          <w:rFonts w:cstheme="minorHAnsi"/>
        </w:rPr>
        <w:fldChar w:fldCharType="end"/>
      </w:r>
      <w:r>
        <w:rPr>
          <w:rFonts w:cstheme="minorHAnsi"/>
        </w:rPr>
        <w:t xml:space="preserve">. </w:t>
      </w:r>
      <w:r w:rsidR="009227CE">
        <w:rPr>
          <w:rFonts w:cstheme="minorHAnsi"/>
        </w:rPr>
        <w:t xml:space="preserve">As a </w:t>
      </w:r>
      <w:r w:rsidR="004D68DB">
        <w:rPr>
          <w:rFonts w:cstheme="minorHAnsi"/>
        </w:rPr>
        <w:t>result,</w:t>
      </w:r>
      <w:r w:rsidR="008533F5">
        <w:rPr>
          <w:rFonts w:cstheme="minorHAnsi"/>
        </w:rPr>
        <w:t xml:space="preserve"> a</w:t>
      </w:r>
      <w:r w:rsidR="009227CE">
        <w:rPr>
          <w:rFonts w:cstheme="minorHAnsi"/>
        </w:rPr>
        <w:t xml:space="preserve"> Carbon</w:t>
      </w:r>
      <w:r w:rsidR="00722D0D">
        <w:rPr>
          <w:rFonts w:cstheme="minorHAnsi"/>
        </w:rPr>
        <w:t xml:space="preserve"> trading</w:t>
      </w:r>
      <w:r w:rsidR="009227CE">
        <w:rPr>
          <w:rFonts w:cstheme="minorHAnsi"/>
        </w:rPr>
        <w:t xml:space="preserve"> </w:t>
      </w:r>
      <w:r w:rsidR="00722D0D">
        <w:rPr>
          <w:rFonts w:cstheme="minorHAnsi"/>
        </w:rPr>
        <w:t>m</w:t>
      </w:r>
      <w:r w:rsidR="009227CE">
        <w:rPr>
          <w:rFonts w:cstheme="minorHAnsi"/>
        </w:rPr>
        <w:t>arket was created</w:t>
      </w:r>
      <w:r w:rsidR="008533F5">
        <w:rPr>
          <w:rFonts w:cstheme="minorHAnsi"/>
        </w:rPr>
        <w:t>,</w:t>
      </w:r>
      <w:r w:rsidR="00722D0D">
        <w:rPr>
          <w:rFonts w:cstheme="minorHAnsi"/>
        </w:rPr>
        <w:t xml:space="preserve"> </w:t>
      </w:r>
      <w:r w:rsidR="00BF0B78">
        <w:rPr>
          <w:rFonts w:cstheme="minorHAnsi"/>
        </w:rPr>
        <w:t>t</w:t>
      </w:r>
      <w:r w:rsidR="00722D0D">
        <w:rPr>
          <w:rFonts w:cstheme="minorHAnsi"/>
        </w:rPr>
        <w:t>he European Union Emissions trading system (EUETS)</w:t>
      </w:r>
      <w:r w:rsidR="008533F5">
        <w:rPr>
          <w:rFonts w:cstheme="minorHAnsi"/>
        </w:rPr>
        <w:t xml:space="preserve"> being the first and largest, the UK has since created its own trading system</w:t>
      </w:r>
      <w:r w:rsidR="00722D0D">
        <w:rPr>
          <w:rFonts w:cstheme="minorHAnsi"/>
        </w:rPr>
        <w:t xml:space="preserve">. Carbon trading allows governments and countries to trade permits and credits to emit </w:t>
      </w:r>
      <w:r w:rsidR="00BF0B78" w:rsidRPr="00684D87">
        <w:rPr>
          <w:rFonts w:cstheme="minorHAnsi"/>
        </w:rPr>
        <w:t>CO</w:t>
      </w:r>
      <w:r w:rsidR="00BF0B78" w:rsidRPr="00684D87">
        <w:rPr>
          <w:rFonts w:cstheme="minorHAnsi"/>
          <w:vertAlign w:val="subscript"/>
        </w:rPr>
        <w:t>2</w:t>
      </w:r>
      <w:r w:rsidR="00BF0B78">
        <w:rPr>
          <w:rFonts w:cstheme="minorHAnsi"/>
          <w:vertAlign w:val="subscript"/>
        </w:rPr>
        <w:t xml:space="preserve"> </w:t>
      </w:r>
      <w:r w:rsidR="00BF0B78">
        <w:rPr>
          <w:rFonts w:cstheme="minorHAnsi"/>
        </w:rPr>
        <w:t xml:space="preserve">into the atmosphere. It is designed to punish those who over pollute and reward those who reduce their emissions. </w:t>
      </w:r>
      <w:r w:rsidR="00A332F3">
        <w:rPr>
          <w:rFonts w:cstheme="minorHAnsi"/>
        </w:rPr>
        <w:t>The “cap and trade” is the most widely used scheme, governments set a legal limit on emissions over a specific time period</w:t>
      </w:r>
      <w:r w:rsidR="004D68DB">
        <w:rPr>
          <w:rFonts w:cstheme="minorHAnsi"/>
        </w:rPr>
        <w:t xml:space="preserve"> </w:t>
      </w:r>
      <w:r w:rsidR="00A332F3">
        <w:rPr>
          <w:rFonts w:cstheme="minorHAnsi"/>
        </w:rPr>
        <w:t>and companies are allocated a</w:t>
      </w:r>
      <w:r w:rsidR="004D68DB">
        <w:rPr>
          <w:rFonts w:cstheme="minorHAnsi"/>
        </w:rPr>
        <w:t xml:space="preserve">llowances. The UK has set a legal </w:t>
      </w:r>
      <w:r w:rsidR="0009044C">
        <w:rPr>
          <w:rFonts w:cstheme="minorHAnsi"/>
        </w:rPr>
        <w:t>minimum price</w:t>
      </w:r>
      <w:r w:rsidR="004D68DB">
        <w:rPr>
          <w:rFonts w:cstheme="minorHAnsi"/>
        </w:rPr>
        <w:t xml:space="preserve"> of £22 a ton</w:t>
      </w:r>
      <w:r w:rsidR="00A1335D">
        <w:rPr>
          <w:rFonts w:cstheme="minorHAnsi"/>
        </w:rPr>
        <w:t xml:space="preserve"> of </w:t>
      </w:r>
      <w:r w:rsidR="00A1335D" w:rsidRPr="00684D87">
        <w:rPr>
          <w:rFonts w:cstheme="minorHAnsi"/>
        </w:rPr>
        <w:t>CO</w:t>
      </w:r>
      <w:r w:rsidR="00A1335D" w:rsidRPr="00684D87">
        <w:rPr>
          <w:rFonts w:cstheme="minorHAnsi"/>
          <w:vertAlign w:val="subscript"/>
        </w:rPr>
        <w:t>2</w:t>
      </w:r>
      <w:r w:rsidR="002E3465">
        <w:rPr>
          <w:rFonts w:cstheme="minorHAnsi"/>
        </w:rPr>
        <w:t>.</w:t>
      </w:r>
      <w:r w:rsidR="004D68DB">
        <w:rPr>
          <w:rFonts w:cstheme="minorHAnsi"/>
        </w:rPr>
        <w:t xml:space="preserve"> </w:t>
      </w:r>
      <w:r w:rsidR="00957C21">
        <w:rPr>
          <w:rFonts w:cstheme="minorHAnsi"/>
        </w:rPr>
        <w:t xml:space="preserve">A company that has used all its credits but is still emitting </w:t>
      </w:r>
      <w:r w:rsidR="00957C21" w:rsidRPr="00684D87">
        <w:rPr>
          <w:rFonts w:cstheme="minorHAnsi"/>
        </w:rPr>
        <w:t>CO</w:t>
      </w:r>
      <w:r w:rsidR="00957C21" w:rsidRPr="00684D87">
        <w:rPr>
          <w:rFonts w:cstheme="minorHAnsi"/>
          <w:vertAlign w:val="subscript"/>
        </w:rPr>
        <w:t>2</w:t>
      </w:r>
      <w:r w:rsidR="00957C21">
        <w:rPr>
          <w:rFonts w:cstheme="minorHAnsi"/>
          <w:vertAlign w:val="subscript"/>
        </w:rPr>
        <w:t xml:space="preserve"> </w:t>
      </w:r>
      <w:r w:rsidR="00957C21">
        <w:rPr>
          <w:rFonts w:cstheme="minorHAnsi"/>
        </w:rPr>
        <w:t xml:space="preserve">would need to buy carbon credits from a company that has emitted less pollution and has credits saved </w:t>
      </w:r>
      <w:r w:rsidR="00957C21">
        <w:rPr>
          <w:rFonts w:cstheme="minorHAnsi"/>
        </w:rPr>
        <w:fldChar w:fldCharType="begin"/>
      </w:r>
      <w:r w:rsidR="00192334">
        <w:rPr>
          <w:rFonts w:cstheme="minorHAnsi"/>
        </w:rPr>
        <w:instrText xml:space="preserve"> ADDIN ZOTERO_ITEM CSL_CITATION {"citationID":"nx58pbrA","properties":{"formattedCitation":"(Carbonaro, 2021)","plainCitation":"(Carbonaro, 2021)","noteIndex":0},"citationItems":[{"id":1752,"uris":["http://zotero.org/users/local/AB2owHL2/items/L7RSYET9"],"itemData":{"id":1752,"type":"webpage","abstract":"The UK is about to launch its own carbon trading system after leaving the EU's scheme. But what is carbon trading and how does it work?","language":"en","title":"Carbon emissions trading explained: How will the UK system work?","title-short":"Carbon emissions trading explained","URL":"https://newseu.cgtn.com/news/2021-05-18/Carbon-emissions-trading-explained-How-will-the-UK-system-work--10lp4CqAt2g/index.html","author":[{"family":"Carbonaro","given":"Giulia"}],"accessed":{"date-parts":[["2022",7,6]]},"issued":{"date-parts":[["2021"]]}}}],"schema":"https://github.com/citation-style-language/schema/raw/master/csl-citation.json"} </w:instrText>
      </w:r>
      <w:r w:rsidR="00957C21">
        <w:rPr>
          <w:rFonts w:cstheme="minorHAnsi"/>
        </w:rPr>
        <w:fldChar w:fldCharType="separate"/>
      </w:r>
      <w:r w:rsidR="00192334" w:rsidRPr="00192334">
        <w:rPr>
          <w:rFonts w:ascii="Calibri" w:hAnsi="Calibri" w:cs="Calibri"/>
        </w:rPr>
        <w:t>(Carbonaro, 2021)</w:t>
      </w:r>
      <w:r w:rsidR="00957C21">
        <w:rPr>
          <w:rFonts w:cstheme="minorHAnsi"/>
        </w:rPr>
        <w:fldChar w:fldCharType="end"/>
      </w:r>
      <w:r w:rsidR="00957C21">
        <w:rPr>
          <w:rFonts w:cstheme="minorHAnsi"/>
        </w:rPr>
        <w:t xml:space="preserve">. </w:t>
      </w:r>
      <w:r w:rsidR="00CC0C82" w:rsidRPr="00CC0C82">
        <w:rPr>
          <w:rFonts w:cstheme="minorHAnsi"/>
        </w:rPr>
        <w:t>The price of emissions allowances</w:t>
      </w:r>
      <w:r w:rsidR="00B635AF">
        <w:rPr>
          <w:rFonts w:cstheme="minorHAnsi"/>
        </w:rPr>
        <w:t>,</w:t>
      </w:r>
      <w:r w:rsidR="00CC0C82" w:rsidRPr="00CC0C82">
        <w:rPr>
          <w:rFonts w:cstheme="minorHAnsi"/>
        </w:rPr>
        <w:t xml:space="preserve"> traded on the United Kingdom's Emissions Trading System (UK-ETS) was 69.15 British pounds per metr</w:t>
      </w:r>
      <w:r w:rsidR="00B635AF">
        <w:rPr>
          <w:rFonts w:cstheme="minorHAnsi"/>
        </w:rPr>
        <w:t>ic</w:t>
      </w:r>
      <w:r w:rsidR="00CC0C82" w:rsidRPr="00CC0C82">
        <w:rPr>
          <w:rFonts w:cstheme="minorHAnsi"/>
        </w:rPr>
        <w:t xml:space="preserve"> ton on December 19, 2022 </w:t>
      </w:r>
      <w:r w:rsidR="0040656D">
        <w:rPr>
          <w:rFonts w:cstheme="minorHAnsi"/>
        </w:rPr>
        <w:fldChar w:fldCharType="begin"/>
      </w:r>
      <w:r w:rsidR="00F81026">
        <w:rPr>
          <w:rFonts w:cstheme="minorHAnsi"/>
        </w:rPr>
        <w:instrText xml:space="preserve"> ADDIN ZOTERO_ITEM CSL_CITATION {"citationID":"ahrm77oh9h","properties":{"formattedCitation":"(Tieso, 2023)","plainCitation":"(Tieso, 2023)","noteIndex":0},"citationItems":[{"id":2095,"uris":["http://zotero.org/users/local/AB2owHL2/items/XEMEMQ8J"],"itemData":{"id":2095,"type":"webpage","abstract":"The price of emissions allowances (UKA) traded on the United Kingdom's Emissions Trading System (UK-ETS) was 69.15 British pounds per metric ton on December 19, 2022.","container-title":"Statista","language":"en","title":"UK-ETS carbon pricing 2022","URL":"https://www.statista.com/statistics/1322275/carbon-prices-united-kingdom-emission-trading-scheme/","author":[{"family":"Tieso","given":"Ian"}],"accessed":{"date-parts":[["2023",3,19]]},"issued":{"date-parts":[["2023",2,6]]}}}],"schema":"https://github.com/citation-style-language/schema/raw/master/csl-citation.json"} </w:instrText>
      </w:r>
      <w:r w:rsidR="0040656D">
        <w:rPr>
          <w:rFonts w:cstheme="minorHAnsi"/>
        </w:rPr>
        <w:fldChar w:fldCharType="separate"/>
      </w:r>
      <w:r w:rsidR="00F81026" w:rsidRPr="00F81026">
        <w:rPr>
          <w:rFonts w:ascii="Calibri" w:hAnsi="Calibri" w:cs="Calibri"/>
          <w:szCs w:val="24"/>
        </w:rPr>
        <w:t>(</w:t>
      </w:r>
      <w:proofErr w:type="spellStart"/>
      <w:r w:rsidR="00F81026" w:rsidRPr="00F81026">
        <w:rPr>
          <w:rFonts w:ascii="Calibri" w:hAnsi="Calibri" w:cs="Calibri"/>
          <w:szCs w:val="24"/>
        </w:rPr>
        <w:t>Tieso</w:t>
      </w:r>
      <w:proofErr w:type="spellEnd"/>
      <w:r w:rsidR="00F81026" w:rsidRPr="00F81026">
        <w:rPr>
          <w:rFonts w:ascii="Calibri" w:hAnsi="Calibri" w:cs="Calibri"/>
          <w:szCs w:val="24"/>
        </w:rPr>
        <w:t>, 2023)</w:t>
      </w:r>
      <w:r w:rsidR="0040656D">
        <w:rPr>
          <w:rFonts w:cstheme="minorHAnsi"/>
        </w:rPr>
        <w:fldChar w:fldCharType="end"/>
      </w:r>
      <w:r w:rsidR="00E97891">
        <w:rPr>
          <w:rFonts w:cstheme="minorHAnsi"/>
        </w:rPr>
        <w:t>.</w:t>
      </w:r>
    </w:p>
    <w:p w14:paraId="1D45E29E" w14:textId="6A50547E" w:rsidR="00D267DA" w:rsidRDefault="00684D87" w:rsidP="00684D87">
      <w:pPr>
        <w:spacing w:line="360" w:lineRule="auto"/>
        <w:jc w:val="both"/>
        <w:rPr>
          <w:rFonts w:cstheme="minorHAnsi"/>
        </w:rPr>
      </w:pPr>
      <w:r>
        <w:t xml:space="preserve">The UK government has </w:t>
      </w:r>
      <w:r w:rsidR="00BF0B78">
        <w:t>set</w:t>
      </w:r>
      <w:r>
        <w:t xml:space="preserve"> a target for a 68% reduction in greenhouse gases by 2030 </w:t>
      </w:r>
      <w:r w:rsidR="00527944">
        <w:t xml:space="preserve">when </w:t>
      </w:r>
      <w:r>
        <w:t>compared to levels in 1990</w:t>
      </w:r>
      <w:r w:rsidR="004473DD">
        <w:t>,</w:t>
      </w:r>
      <w:r>
        <w:t xml:space="preserve"> with further target</w:t>
      </w:r>
      <w:r w:rsidR="003F2C98">
        <w:t>s</w:t>
      </w:r>
      <w:r>
        <w:t xml:space="preserve"> of </w:t>
      </w:r>
      <w:r w:rsidR="003F2C98">
        <w:t xml:space="preserve">78% reduction by 2035 and </w:t>
      </w:r>
      <w:r>
        <w:t xml:space="preserve">net zero </w:t>
      </w:r>
      <w:r w:rsidR="00BF0B78">
        <w:t xml:space="preserve">GHG </w:t>
      </w:r>
      <w:r>
        <w:t>emissions by 2050</w:t>
      </w:r>
      <w:r w:rsidR="003F2C98">
        <w:t xml:space="preserve"> </w:t>
      </w:r>
      <w:r w:rsidR="003F2C98">
        <w:fldChar w:fldCharType="begin"/>
      </w:r>
      <w:r w:rsidR="00957C21">
        <w:instrText xml:space="preserve"> ADDIN ZOTERO_ITEM CSL_CITATION {"citationID":"Vu5wiOXB","properties":{"formattedCitation":"({\\i{}UK enshrines new target in law to slash emissions by 78% by 2035} 2021)","plainCitation":"(UK enshrines new target in law to slash emissions by 78% by 2035 2021)","dontUpdate":true,"noteIndex":0},"citationItems":[{"id":1748,"uris":["http://zotero.org/users/local/AB2owHL2/items/JRGQ7JR5"],"itemData":{"id":1748,"type":"webpage","abstract":"The UK’s sixth Carbon Budget will incorporate the UK’s share of international aviation and shipping emissions for the first time, to bring the UK more than three-quarters of the way to net zero by 2050.","container-title":"GOV.UK","language":"en","title":"UK enshrines new target in law to slash emissions by 78% by 2035","URL":"https://www.gov.uk/government/news/uk-enshrines-new-target-in-law-to-slash-emissions-by-78-by-2035","accessed":{"date-parts":[["2022",7,6]]},"issued":{"date-parts":[["2021"]]}}}],"schema":"https://github.com/citation-style-language/schema/raw/master/csl-citation.json"} </w:instrText>
      </w:r>
      <w:r w:rsidR="003F2C98">
        <w:fldChar w:fldCharType="separate"/>
      </w:r>
      <w:r w:rsidR="003F2C98" w:rsidRPr="003F2C98">
        <w:rPr>
          <w:rFonts w:ascii="Calibri" w:hAnsi="Calibri" w:cs="Calibri"/>
          <w:szCs w:val="24"/>
        </w:rPr>
        <w:t>(</w:t>
      </w:r>
      <w:r w:rsidR="003F2C98">
        <w:rPr>
          <w:rFonts w:ascii="Calibri" w:hAnsi="Calibri" w:cs="Calibri"/>
          <w:i/>
          <w:iCs/>
          <w:szCs w:val="24"/>
        </w:rPr>
        <w:t>Gov.UK.</w:t>
      </w:r>
      <w:r w:rsidR="003F2C98" w:rsidRPr="003F2C98">
        <w:rPr>
          <w:rFonts w:ascii="Calibri" w:hAnsi="Calibri" w:cs="Calibri"/>
          <w:szCs w:val="24"/>
        </w:rPr>
        <w:t xml:space="preserve"> 2021)</w:t>
      </w:r>
      <w:r w:rsidR="003F2C98">
        <w:fldChar w:fldCharType="end"/>
      </w:r>
      <w:r w:rsidR="00271DA4">
        <w:t xml:space="preserve">. </w:t>
      </w:r>
      <w:r w:rsidR="00C909FB">
        <w:rPr>
          <w:rFonts w:cstheme="minorHAnsi"/>
        </w:rPr>
        <w:t xml:space="preserve">In order to meet these targets , the ISI needs to </w:t>
      </w:r>
      <w:r w:rsidR="00A224E8">
        <w:rPr>
          <w:rFonts w:cstheme="minorHAnsi"/>
        </w:rPr>
        <w:t>decrease its CO</w:t>
      </w:r>
      <w:r w:rsidR="00A224E8" w:rsidRPr="00A224E8">
        <w:rPr>
          <w:rFonts w:cstheme="minorHAnsi"/>
          <w:vertAlign w:val="subscript"/>
        </w:rPr>
        <w:t xml:space="preserve">2 </w:t>
      </w:r>
      <w:r w:rsidR="00A224E8">
        <w:rPr>
          <w:rFonts w:cstheme="minorHAnsi"/>
        </w:rPr>
        <w:t xml:space="preserve">usage by 1.9% year on year until 2030 </w:t>
      </w:r>
      <w:r w:rsidRPr="00684D87">
        <w:rPr>
          <w:rFonts w:cstheme="minorHAnsi"/>
        </w:rPr>
        <w:fldChar w:fldCharType="begin"/>
      </w:r>
      <w:r w:rsidR="00192334">
        <w:rPr>
          <w:rFonts w:cstheme="minorHAnsi"/>
        </w:rPr>
        <w:instrText xml:space="preserve"> ADDIN ZOTERO_ITEM CSL_CITATION {"citationID":"xyN7SnWu","properties":{"formattedCitation":"(de Souza and Pacca, 2021)","plainCitation":"(de Souza and Pacca, 2021)","noteIndex":0},"citationItems":[{"id":697,"uris":["http://zotero.org/users/local/AB2owHL2/items/F6H5FFW8"],"itemData":{"id":697,"type":"article-journal","abstract":"Although steel recycling is a credited circular economy strategy, domestic scrap stock may be a limitation to curb steelmaking carbon emissions. In Brazil, charcoal production can be a complementary climate change mitigation alternative to recycling. This study has assessed CO2 abatement potentials and costs in a low-carbon (LC) scenario for the Brazilian steel industry based on two circular bioeconomy-based options. For this purpose, Brazilian steel production was forecasted up to 2050 through an econometric model. The technical amount of scrap and the economic feasibility of charcoal have been estimated to determine the penetration of LC strategies. In addition, an uncertainty analysis was conducted using the Monte Carlo method. For the median value in the simulation, we found that crude steel production will emit 64 MtCO2 in 2050. A recycling share of 36% of the total steel production could reduce these emissions by 20%, and 86% of the remaining blast furnace production could be based on charcoal, improving the total abatement by 65%. The weighted average cost of the LC scenario is -$1/tCO2 for the median value in the simulation, but positive values have been found in 45% of the simulations. Charcoal presents higher abatement costs but less uncertainty than recycling. Such strategies can significantly reduce Brazilian steelmaking emissions, postponing other emerging or more expensive alternatives. Nevertheless, economic policies are needed due to additional costs of charcoal, in conjunction with law enforcement to ensure sustainable charcoal production, and regulations are needed to improve logistics and scrap market disparities.","container-title":"Resources, Conservation and Recycling","DOI":"10.1016/j.resconrec.2021.105517","ISSN":"0921-3449","journalAbbreviation":"Resources, Conservation and Recycling","language":"en","page":"105517","source":"ScienceDirect","title":"Carbon reduction potential and costs through circular bioeconomy in the Brazilian steel industry","URL":"https://www.sciencedirect.com/science/article/pii/S0921344921001245","volume":"169","author":[{"family":"Souza","given":"Jhonathan Fernandes Torres","non-dropping-particle":"de"},{"family":"Pacca","given":"Sérgio A."}],"accessed":{"date-parts":[["2021",3,19]]},"issued":{"date-parts":[["2021",6,1]]}}}],"schema":"https://github.com/citation-style-language/schema/raw/master/csl-citation.json"} </w:instrText>
      </w:r>
      <w:r w:rsidRPr="00684D87">
        <w:rPr>
          <w:rFonts w:cstheme="minorHAnsi"/>
        </w:rPr>
        <w:fldChar w:fldCharType="separate"/>
      </w:r>
      <w:r w:rsidR="00192334" w:rsidRPr="00192334">
        <w:rPr>
          <w:rFonts w:ascii="Calibri" w:hAnsi="Calibri" w:cs="Calibri"/>
        </w:rPr>
        <w:t>(de Souza and Pacca, 2021)</w:t>
      </w:r>
      <w:r w:rsidRPr="00684D87">
        <w:rPr>
          <w:rFonts w:cstheme="minorHAnsi"/>
        </w:rPr>
        <w:fldChar w:fldCharType="end"/>
      </w:r>
      <w:r w:rsidRPr="00684D87">
        <w:rPr>
          <w:rFonts w:cstheme="minorHAnsi"/>
        </w:rPr>
        <w:t>.</w:t>
      </w:r>
      <w:r>
        <w:rPr>
          <w:rFonts w:cstheme="minorHAnsi"/>
        </w:rPr>
        <w:t xml:space="preserve"> </w:t>
      </w:r>
    </w:p>
    <w:p w14:paraId="199F0C10" w14:textId="77777777" w:rsidR="000E0243" w:rsidRDefault="003B4FEF" w:rsidP="00684D87">
      <w:pPr>
        <w:spacing w:line="360" w:lineRule="auto"/>
        <w:jc w:val="both"/>
        <w:rPr>
          <w:rFonts w:cstheme="minorHAnsi"/>
        </w:rPr>
      </w:pPr>
      <w:r>
        <w:t xml:space="preserve">The ISI has strived to reduce its energy consumption and </w:t>
      </w:r>
      <w:r w:rsidR="00690947">
        <w:t xml:space="preserve">has </w:t>
      </w:r>
      <w:r>
        <w:t>decreased its GHG emission</w:t>
      </w:r>
      <w:r w:rsidR="000E0243">
        <w:t>s</w:t>
      </w:r>
      <w:r>
        <w:t xml:space="preserve"> by 60% in the last 50 years</w:t>
      </w:r>
      <w:r w:rsidR="002E2A19">
        <w:t xml:space="preserve">, </w:t>
      </w:r>
      <w:r w:rsidR="00A967C6">
        <w:t xml:space="preserve">with many </w:t>
      </w:r>
      <w:r w:rsidR="002E2A19">
        <w:t xml:space="preserve">new ways </w:t>
      </w:r>
      <w:r w:rsidR="00207379">
        <w:t xml:space="preserve">of further reducing emissions </w:t>
      </w:r>
      <w:r w:rsidR="004C4539">
        <w:t>under research</w:t>
      </w:r>
      <w:r w:rsidR="00684D87">
        <w:t xml:space="preserve">. </w:t>
      </w:r>
      <w:r w:rsidR="00A15F7E">
        <w:t xml:space="preserve">Some of these </w:t>
      </w:r>
      <w:r w:rsidR="00A15F7E">
        <w:lastRenderedPageBreak/>
        <w:t>improvements can be implemented immediately but</w:t>
      </w:r>
      <w:r w:rsidR="00BD0664">
        <w:t xml:space="preserve"> in order to meet the targets set for 2050 there needs to be </w:t>
      </w:r>
      <w:r w:rsidR="00684D87">
        <w:t xml:space="preserve">changes in the technologies used to produce steel </w:t>
      </w:r>
      <w:r w:rsidR="00684D87" w:rsidRPr="003E5DEE">
        <w:rPr>
          <w:rFonts w:ascii="Calibri" w:hAnsi="Calibri" w:cs="Calibri"/>
        </w:rPr>
        <w:fldChar w:fldCharType="begin"/>
      </w:r>
      <w:r w:rsidR="00A86D09" w:rsidRPr="003E5DEE">
        <w:rPr>
          <w:rFonts w:ascii="Calibri" w:hAnsi="Calibri" w:cs="Calibri"/>
        </w:rPr>
        <w:instrText xml:space="preserve"> ADDIN ZOTERO_ITEM CSL_CITATION {"citationID":"2630wjte","properties":{"formattedCitation":"({\\i{}STEEL\\uc0\\u8217{}S CONTRIBUTION TO A LOW CARBON FUTURE  AND CLIMATE RESILIENT SOCIETIES worldsteel position paper}, 2020)","plainCitation":"(STEEL’S CONTRIBUTION TO A LOW CARBON FUTURE  AND CLIMATE RESILIENT SOCIETIES worldsteel position paper, 2020)","dontUpdate":true,"noteIndex":0},"citationItems":[{"id":734,"uris":["http://zotero.org/users/local/AB2owHL2/items/7C3UTZWC"],"itemData":{"id":734,"type":"report","publisher":"World steel Association","title":"Steel's Contribution To A Low Carbon Future  and Climate Resiliant Societies worldsteel position paper","URL":": https://www.worldsteel.org/en/dam/ jcr:f7982217-cfde-4fdc-8ba0-795ed807f513/World%2520Steel%2520in%2520Figures%25202020i.pdf","author":[{"family":"Basson","given":"Edwin"}],"accessed":{"date-parts":[["2021",3,21]]},"issued":{"date-parts":[["2020"]]}}}],"schema":"https://github.com/citation-style-language/schema/raw/master/csl-citation.json"} </w:instrText>
      </w:r>
      <w:r w:rsidR="00684D87" w:rsidRPr="003E5DEE">
        <w:rPr>
          <w:rFonts w:ascii="Calibri" w:hAnsi="Calibri" w:cs="Calibri"/>
        </w:rPr>
        <w:fldChar w:fldCharType="separate"/>
      </w:r>
      <w:r w:rsidR="00684D87" w:rsidRPr="003E5DEE">
        <w:rPr>
          <w:rFonts w:ascii="Calibri" w:hAnsi="Calibri" w:cs="Calibri"/>
          <w:szCs w:val="24"/>
        </w:rPr>
        <w:t>(WorldSteel, 202</w:t>
      </w:r>
      <w:r w:rsidR="003E5DEE" w:rsidRPr="003E5DEE">
        <w:rPr>
          <w:rFonts w:ascii="Calibri" w:hAnsi="Calibri" w:cs="Calibri"/>
          <w:szCs w:val="24"/>
        </w:rPr>
        <w:t>1</w:t>
      </w:r>
      <w:r w:rsidR="00684D87" w:rsidRPr="003E5DEE">
        <w:rPr>
          <w:rFonts w:ascii="Calibri" w:hAnsi="Calibri" w:cs="Calibri"/>
          <w:szCs w:val="24"/>
        </w:rPr>
        <w:t>)</w:t>
      </w:r>
      <w:r w:rsidR="00684D87" w:rsidRPr="003E5DEE">
        <w:rPr>
          <w:rFonts w:ascii="Calibri" w:hAnsi="Calibri" w:cs="Calibri"/>
        </w:rPr>
        <w:fldChar w:fldCharType="end"/>
      </w:r>
      <w:r w:rsidR="00684D87" w:rsidRPr="003E5DEE">
        <w:rPr>
          <w:rFonts w:cstheme="minorHAnsi"/>
        </w:rPr>
        <w:t>.</w:t>
      </w:r>
      <w:r w:rsidR="000E722B">
        <w:rPr>
          <w:rFonts w:cstheme="minorHAnsi"/>
        </w:rPr>
        <w:t xml:space="preserve"> </w:t>
      </w:r>
    </w:p>
    <w:p w14:paraId="02509593" w14:textId="11B81FED" w:rsidR="00684D87" w:rsidRPr="00C2129D" w:rsidRDefault="00B6198F" w:rsidP="00684D87">
      <w:pPr>
        <w:spacing w:line="360" w:lineRule="auto"/>
        <w:jc w:val="both"/>
      </w:pPr>
      <w:r>
        <w:rPr>
          <w:rFonts w:cstheme="minorHAnsi"/>
        </w:rPr>
        <w:t>An integrated steelworks consists of</w:t>
      </w:r>
      <w:r w:rsidR="00C16C46">
        <w:rPr>
          <w:rFonts w:cstheme="minorHAnsi"/>
        </w:rPr>
        <w:t xml:space="preserve"> </w:t>
      </w:r>
      <w:r w:rsidR="000E722B">
        <w:rPr>
          <w:rFonts w:cstheme="minorHAnsi"/>
        </w:rPr>
        <w:t>coke making</w:t>
      </w:r>
      <w:r w:rsidR="00C16C46">
        <w:rPr>
          <w:rFonts w:cstheme="minorHAnsi"/>
        </w:rPr>
        <w:t xml:space="preserve">, sintering, </w:t>
      </w:r>
      <w:r w:rsidR="006C3634">
        <w:rPr>
          <w:rFonts w:cstheme="minorHAnsi"/>
        </w:rPr>
        <w:t>iron making</w:t>
      </w:r>
      <w:r w:rsidR="004C3A7A">
        <w:rPr>
          <w:rFonts w:cstheme="minorHAnsi"/>
        </w:rPr>
        <w:t xml:space="preserve"> (blast furnace)</w:t>
      </w:r>
      <w:r w:rsidR="00C16C46">
        <w:rPr>
          <w:rFonts w:cstheme="minorHAnsi"/>
        </w:rPr>
        <w:t>, basic oxygen steelmaking (BOS), hot and cold rolling.</w:t>
      </w:r>
      <w:r w:rsidR="00684D87">
        <w:t xml:space="preserve"> </w:t>
      </w:r>
      <w:r w:rsidR="002A20F3">
        <w:t>Figure 3 shows the CO</w:t>
      </w:r>
      <w:r w:rsidR="002A20F3">
        <w:rPr>
          <w:vertAlign w:val="subscript"/>
        </w:rPr>
        <w:t xml:space="preserve">2 </w:t>
      </w:r>
      <w:r w:rsidR="00E75C88">
        <w:t>concentration in flue gas from</w:t>
      </w:r>
      <w:r w:rsidR="00E20868">
        <w:t xml:space="preserve"> each process in an </w:t>
      </w:r>
      <w:r w:rsidR="00BB6E68">
        <w:t>integrated steel</w:t>
      </w:r>
      <w:r w:rsidR="000F6453">
        <w:t xml:space="preserve"> </w:t>
      </w:r>
      <w:r w:rsidR="00BB6E68">
        <w:t>works</w:t>
      </w:r>
      <w:r w:rsidR="00413B0A">
        <w:t>.</w:t>
      </w:r>
    </w:p>
    <w:p w14:paraId="368ABE90" w14:textId="03BD72A8" w:rsidR="00053383" w:rsidRDefault="00053383" w:rsidP="00684D87">
      <w:pPr>
        <w:spacing w:line="360" w:lineRule="auto"/>
        <w:jc w:val="both"/>
      </w:pPr>
      <w:r w:rsidRPr="00E12EBE">
        <w:rPr>
          <w:noProof/>
        </w:rPr>
        <w:drawing>
          <wp:inline distT="0" distB="0" distL="0" distR="0" wp14:anchorId="15E4506E" wp14:editId="6701429B">
            <wp:extent cx="5024120" cy="2608028"/>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8"/>
                    <a:stretch>
                      <a:fillRect/>
                    </a:stretch>
                  </pic:blipFill>
                  <pic:spPr>
                    <a:xfrm>
                      <a:off x="0" y="0"/>
                      <a:ext cx="5044962" cy="2618847"/>
                    </a:xfrm>
                    <a:prstGeom prst="rect">
                      <a:avLst/>
                    </a:prstGeom>
                  </pic:spPr>
                </pic:pic>
              </a:graphicData>
            </a:graphic>
          </wp:inline>
        </w:drawing>
      </w:r>
    </w:p>
    <w:p w14:paraId="326C2D8D" w14:textId="3ADC7AB1" w:rsidR="00053383" w:rsidRDefault="00053383" w:rsidP="00053383">
      <w:pPr>
        <w:pStyle w:val="Caption"/>
      </w:pPr>
      <w:bookmarkStart w:id="9" w:name="_Toc127110897"/>
      <w:r>
        <w:t xml:space="preserve">Figure </w:t>
      </w:r>
      <w:fldSimple w:instr=" SEQ Figure \* ARABIC ">
        <w:r w:rsidR="00A0212F">
          <w:rPr>
            <w:noProof/>
          </w:rPr>
          <w:t>3</w:t>
        </w:r>
      </w:fldSimple>
      <w:r>
        <w:t xml:space="preserve"> </w:t>
      </w:r>
      <w:r w:rsidR="00C45F08">
        <w:t xml:space="preserve">- </w:t>
      </w:r>
      <w:r w:rsidR="002A20F3">
        <w:t>CO</w:t>
      </w:r>
      <w:r w:rsidR="002A20F3">
        <w:rPr>
          <w:vertAlign w:val="subscript"/>
        </w:rPr>
        <w:t>2</w:t>
      </w:r>
      <w:r>
        <w:t xml:space="preserve"> emissions in an </w:t>
      </w:r>
      <w:r w:rsidR="000D0BE7">
        <w:t>integrated steelworks</w:t>
      </w:r>
      <w:r>
        <w:t xml:space="preserve"> (BF - BOS route)</w:t>
      </w:r>
      <w:r w:rsidR="00A12258" w:rsidRPr="00A12258">
        <w:t xml:space="preserve"> </w:t>
      </w:r>
      <w:r w:rsidR="00A12258">
        <w:t>showing carbon-bearing material input (</w:t>
      </w:r>
      <w:r w:rsidR="00FB410A">
        <w:t>Gray</w:t>
      </w:r>
      <w:r w:rsidR="00A12258">
        <w:t xml:space="preserve"> boxes), CO2 emissions, expressed in volume (kg/t of hot rolled coil) and concentration in the flue gas (volume %</w:t>
      </w:r>
      <w:r w:rsidR="00FB410A">
        <w:t>)</w:t>
      </w:r>
      <w:r w:rsidR="00B606EF">
        <w:t>in the blue box</w:t>
      </w:r>
      <w:r w:rsidR="000066E2">
        <w:t xml:space="preserve"> </w:t>
      </w:r>
      <w:r w:rsidR="000066E2">
        <w:fldChar w:fldCharType="begin"/>
      </w:r>
      <w:r w:rsidR="00192334">
        <w:instrText xml:space="preserve"> ADDIN ZOTERO_ITEM CSL_CITATION {"citationID":"aGmV5Oa9","properties":{"formattedCitation":"(Birat, 2010)","plainCitation":"(Birat, 2010)","noteIndex":0},"citationItems":[{"id":1874,"uris":["http://zotero.org/users/local/AB2owHL2/items/T8DHGYTC"],"itemData":{"id":1874,"type":"report","event-place":"Amsterdam","genre":"CCS roadmap – sectoral assessment, Steel","publisher-place":"Amsterdam","title":"Global Technology  Roadmap for CCS in  Industry","URL":"https://www.globalccsinstitute.com/archive/hub/publications/15671/global-technology-roadmap-ccs-industry-steel-sectoral-report.pdf","author":[{"family":"Birat","given":"J.P"}],"accessed":{"date-parts":[["2022",8,3]]},"issued":{"date-parts":[["2010"]]}}}],"schema":"https://github.com/citation-style-language/schema/raw/master/csl-citation.json"} </w:instrText>
      </w:r>
      <w:r w:rsidR="000066E2">
        <w:fldChar w:fldCharType="separate"/>
      </w:r>
      <w:r w:rsidR="00192334" w:rsidRPr="00192334">
        <w:rPr>
          <w:rFonts w:ascii="Calibri" w:hAnsi="Calibri" w:cs="Calibri"/>
        </w:rPr>
        <w:t>(Birat, 2010)</w:t>
      </w:r>
      <w:r w:rsidR="000066E2">
        <w:fldChar w:fldCharType="end"/>
      </w:r>
      <w:r w:rsidR="00FB410A">
        <w:t>.</w:t>
      </w:r>
      <w:bookmarkEnd w:id="9"/>
      <w:r w:rsidR="000D0BE7">
        <w:t xml:space="preserve"> </w:t>
      </w:r>
    </w:p>
    <w:p w14:paraId="4F62BFD9" w14:textId="6A978639" w:rsidR="00C95EF3" w:rsidRDefault="00AF3466" w:rsidP="00684D87">
      <w:pPr>
        <w:spacing w:line="360" w:lineRule="auto"/>
        <w:jc w:val="both"/>
      </w:pPr>
      <w:r>
        <w:t>There are many pathways towards meeting these targets and the ISI must take them all collectively</w:t>
      </w:r>
      <w:r w:rsidR="00A14D8F">
        <w:t>.</w:t>
      </w:r>
      <w:r>
        <w:t xml:space="preserve"> </w:t>
      </w:r>
      <w:r w:rsidR="00A14D8F">
        <w:t>I</w:t>
      </w:r>
      <w:r>
        <w:t>n the medium to long term new technologies such as carbon capture</w:t>
      </w:r>
      <w:r w:rsidR="00A14D8F">
        <w:t>,</w:t>
      </w:r>
      <w:r>
        <w:t xml:space="preserve"> and </w:t>
      </w:r>
      <w:r w:rsidR="00A14D8F">
        <w:t xml:space="preserve">a </w:t>
      </w:r>
      <w:r>
        <w:t xml:space="preserve">fuel shift away from fossil fuels towards hydrogen, natural gas and renewable energy </w:t>
      </w:r>
      <w:r w:rsidR="00166E13">
        <w:t>and an increase in the utilisation of electric arc furnace (EAF) steel production capacity</w:t>
      </w:r>
      <w:r w:rsidR="00891A16">
        <w:t>,</w:t>
      </w:r>
      <w:r w:rsidR="00166E13">
        <w:t xml:space="preserve"> will yield the </w:t>
      </w:r>
      <w:r w:rsidR="00423D2B">
        <w:t>greatest</w:t>
      </w:r>
      <w:r w:rsidR="00166E13">
        <w:t xml:space="preserve"> results.</w:t>
      </w:r>
      <w:r w:rsidR="001D0AC9">
        <w:t xml:space="preserve"> </w:t>
      </w:r>
      <w:r w:rsidR="002555C1">
        <w:t xml:space="preserve"> In the </w:t>
      </w:r>
      <w:r w:rsidR="00310692">
        <w:t>short-term</w:t>
      </w:r>
      <w:r w:rsidR="00423D2B">
        <w:t>,</w:t>
      </w:r>
      <w:r w:rsidR="002555C1">
        <w:t xml:space="preserve"> significant improvements in </w:t>
      </w:r>
      <w:r w:rsidR="007818CB">
        <w:t>process reliability</w:t>
      </w:r>
      <w:r w:rsidR="002555C1">
        <w:t>, steel demand reduction through material efficiency</w:t>
      </w:r>
      <w:r w:rsidR="00423D2B">
        <w:t xml:space="preserve"> and minimising waste through energy efficiency</w:t>
      </w:r>
      <w:r>
        <w:t xml:space="preserve"> </w:t>
      </w:r>
      <w:r w:rsidR="00423D2B">
        <w:t>are</w:t>
      </w:r>
      <w:r w:rsidR="00E515C9">
        <w:t xml:space="preserve"> mitigations that need to be </w:t>
      </w:r>
      <w:r w:rsidR="008C75E9">
        <w:t>action</w:t>
      </w:r>
      <w:r w:rsidR="00A14D8F">
        <w:t>ed</w:t>
      </w:r>
      <w:r w:rsidR="00E515C9">
        <w:t xml:space="preserve"> </w:t>
      </w:r>
      <w:r w:rsidR="00891A16">
        <w:t>immediately</w:t>
      </w:r>
      <w:r w:rsidR="00E515C9">
        <w:t xml:space="preserve"> </w:t>
      </w:r>
      <w:r w:rsidR="00E515C9">
        <w:fldChar w:fldCharType="begin"/>
      </w:r>
      <w:r w:rsidR="00192334">
        <w:instrText xml:space="preserve"> ADDIN ZOTERO_ITEM CSL_CITATION {"citationID":"IytIotV1","properties":{"formattedCitation":"(Aaskov, 2022)","plainCitation":"(Aaskov, 2022)","noteIndex":0},"citationItems":[{"id":1754,"uris":["http://zotero.org/users/local/AB2owHL2/items/Z2EAYTGD"],"itemData":{"id":1754,"type":"report","language":"en","title":"Net Zero Steel - A Vision for the Future of UK Steel Production","URL":"https://www.makeuk.org/about/uk-steel/net-zero-steel---a-vision-for-the-future-of-uk-steel-production","author":[{"family":"Aaskov","given":"Frank"}],"accessed":{"date-parts":[["2022",7,12]]},"issued":{"date-parts":[["2022"]]}}}],"schema":"https://github.com/citation-style-language/schema/raw/master/csl-citation.json"} </w:instrText>
      </w:r>
      <w:r w:rsidR="00E515C9">
        <w:fldChar w:fldCharType="separate"/>
      </w:r>
      <w:r w:rsidR="00192334" w:rsidRPr="00192334">
        <w:rPr>
          <w:rFonts w:ascii="Calibri" w:hAnsi="Calibri" w:cs="Calibri"/>
        </w:rPr>
        <w:t>(Aaskov, 2022)</w:t>
      </w:r>
      <w:r w:rsidR="00E515C9">
        <w:fldChar w:fldCharType="end"/>
      </w:r>
      <w:r w:rsidR="00E515C9">
        <w:t>.</w:t>
      </w:r>
    </w:p>
    <w:p w14:paraId="17614A7B" w14:textId="6364B5BB" w:rsidR="00DE4D1F" w:rsidRDefault="00F041D9" w:rsidP="00684D87">
      <w:pPr>
        <w:spacing w:line="360" w:lineRule="auto"/>
        <w:jc w:val="both"/>
      </w:pPr>
      <w:r>
        <w:t>A</w:t>
      </w:r>
      <w:r w:rsidR="00684D87">
        <w:t xml:space="preserve"> biofuel</w:t>
      </w:r>
      <w:r w:rsidR="00327631">
        <w:t xml:space="preserve"> is renewable biomass that is used as an energy source</w:t>
      </w:r>
      <w:r w:rsidR="00684D87">
        <w:t xml:space="preserve">. </w:t>
      </w:r>
      <w:r w:rsidR="00694655">
        <w:t>Biomass such as trees and plants absorb CO</w:t>
      </w:r>
      <w:r w:rsidR="00694655">
        <w:rPr>
          <w:vertAlign w:val="subscript"/>
        </w:rPr>
        <w:t xml:space="preserve">2 </w:t>
      </w:r>
      <w:r w:rsidR="007B1247">
        <w:t xml:space="preserve">from the atmosphere </w:t>
      </w:r>
      <w:r w:rsidR="00694655">
        <w:t>as they grow</w:t>
      </w:r>
      <w:r w:rsidR="001B0ED1">
        <w:t xml:space="preserve">. The biomass is then </w:t>
      </w:r>
      <w:r w:rsidR="007C7580">
        <w:t>burned</w:t>
      </w:r>
      <w:r w:rsidR="001B0ED1">
        <w:t xml:space="preserve"> as a fuel and the </w:t>
      </w:r>
      <w:r w:rsidR="00F938B5">
        <w:t>CO</w:t>
      </w:r>
      <w:r w:rsidR="00F938B5">
        <w:rPr>
          <w:vertAlign w:val="subscript"/>
        </w:rPr>
        <w:t xml:space="preserve">2 </w:t>
      </w:r>
      <w:r w:rsidR="00F938B5">
        <w:t>is returned</w:t>
      </w:r>
      <w:r w:rsidR="006140F6">
        <w:t xml:space="preserve"> to atmosphere</w:t>
      </w:r>
      <w:r w:rsidR="007C7580">
        <w:t>. New trees are planted to form a continuous cycle</w:t>
      </w:r>
      <w:r w:rsidR="00A6124F">
        <w:t xml:space="preserve"> </w:t>
      </w:r>
      <w:r w:rsidR="006C2676">
        <w:t>that meets</w:t>
      </w:r>
      <w:r w:rsidR="00A6124F">
        <w:t xml:space="preserve"> zero net </w:t>
      </w:r>
      <w:r w:rsidR="001B25D8">
        <w:t>CO</w:t>
      </w:r>
      <w:r w:rsidR="001B25D8">
        <w:rPr>
          <w:vertAlign w:val="subscript"/>
        </w:rPr>
        <w:t>2.</w:t>
      </w:r>
      <w:r w:rsidR="00097DFA">
        <w:t xml:space="preserve"> </w:t>
      </w:r>
      <w:r w:rsidR="00E00FAF">
        <w:t>U</w:t>
      </w:r>
      <w:r w:rsidR="00D15281">
        <w:t>sing biomass can be considered a transitional strategy for the reduction of CO</w:t>
      </w:r>
      <w:r w:rsidR="00D15281">
        <w:rPr>
          <w:vertAlign w:val="subscript"/>
        </w:rPr>
        <w:t xml:space="preserve">2 </w:t>
      </w:r>
      <w:r w:rsidR="00D15281">
        <w:t>emissions from the ISI over the next 30 – 40 years</w:t>
      </w:r>
      <w:r w:rsidR="00A14D8F">
        <w:t>,</w:t>
      </w:r>
      <w:r w:rsidR="00D15281">
        <w:t xml:space="preserve"> until new net zero emission iron and steelmaking processes can be developed and adopted</w:t>
      </w:r>
      <w:r w:rsidR="006E1A43">
        <w:t xml:space="preserve">, with potential for up to 50% net emission reductions </w:t>
      </w:r>
      <w:r w:rsidR="006E1A43">
        <w:fldChar w:fldCharType="begin"/>
      </w:r>
      <w:r w:rsidR="0032252B">
        <w:instrText xml:space="preserve"> ADDIN ZOTERO_ITEM CSL_CITATION {"citationID":"Dpg1pf6C","properties":{"formattedCitation":"(Mathieson {\\i{}et al.}, 2011)","plainCitation":"(Mathieson et al., 2011)","noteIndex":0},"citationItems":[{"id":1758,"uris":["http://zotero.org/users/local/AB2owHL2/items/38ME85SD"],"itemData":{"id":1758,"type":"paper-conference","container-title":"Alternative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schema":"https://github.com/citation-style-language/schema/raw/master/csl-citation.json"} </w:instrText>
      </w:r>
      <w:r w:rsidR="006E1A43">
        <w:fldChar w:fldCharType="separate"/>
      </w:r>
      <w:r w:rsidR="00192334" w:rsidRPr="00192334">
        <w:rPr>
          <w:rFonts w:ascii="Calibri" w:hAnsi="Calibri" w:cs="Calibri"/>
          <w:szCs w:val="24"/>
        </w:rPr>
        <w:t xml:space="preserve">(Mathieson </w:t>
      </w:r>
      <w:r w:rsidR="00192334" w:rsidRPr="00192334">
        <w:rPr>
          <w:rFonts w:ascii="Calibri" w:hAnsi="Calibri" w:cs="Calibri"/>
          <w:i/>
          <w:iCs/>
          <w:szCs w:val="24"/>
        </w:rPr>
        <w:t>et al.</w:t>
      </w:r>
      <w:r w:rsidR="00192334" w:rsidRPr="00192334">
        <w:rPr>
          <w:rFonts w:ascii="Calibri" w:hAnsi="Calibri" w:cs="Calibri"/>
          <w:szCs w:val="24"/>
        </w:rPr>
        <w:t>, 2011)</w:t>
      </w:r>
      <w:r w:rsidR="006E1A43">
        <w:fldChar w:fldCharType="end"/>
      </w:r>
      <w:r w:rsidR="00D15281">
        <w:t xml:space="preserve">. </w:t>
      </w:r>
      <w:r w:rsidR="00553FBB">
        <w:t xml:space="preserve">The dominant route for Iron production is through the blast furnace (BF) and it accounts for 70% of world crude steel production. </w:t>
      </w:r>
      <w:r w:rsidR="006B5615">
        <w:t xml:space="preserve"> The energy source of the BF comes from</w:t>
      </w:r>
      <w:r w:rsidR="00A80DBC">
        <w:t xml:space="preserve"> the fossil fuels</w:t>
      </w:r>
      <w:r w:rsidR="006B5615">
        <w:t xml:space="preserve"> coal and coke.</w:t>
      </w:r>
    </w:p>
    <w:p w14:paraId="7F831E22" w14:textId="3B0C5939" w:rsidR="00F92E64" w:rsidRDefault="00765BE2" w:rsidP="00393D81">
      <w:pPr>
        <w:spacing w:line="360" w:lineRule="auto"/>
        <w:jc w:val="both"/>
      </w:pPr>
      <w:r>
        <w:lastRenderedPageBreak/>
        <w:t xml:space="preserve">The technological feasibility of using biomass in BF has been studied by several authors </w:t>
      </w:r>
      <w:r>
        <w:fldChar w:fldCharType="begin"/>
      </w:r>
      <w:r w:rsidR="00192334">
        <w:instrText xml:space="preserve"> ADDIN ZOTERO_ITEM CSL_CITATION {"citationID":"bbigHodE","properties":{"formattedCitation":"(Suopaj\\uc0\\u228{}rvi, Pongr\\uc0\\u225{}cz and Fabritius, 2013; Fick {\\i{}et al.}, 2014; Mousa {\\i{}et al.}, 2016; Ye {\\i{}et al.}, 2019)","plainCitation":"(Suopajärvi, Pongrácz and Fabritius, 2013; Fick et al., 2014; Mousa et al., 2016; Ye et al., 2019)","noteIndex":0},"citationItems":[{"id":1781,"uris":["http://zotero.org/users/local/AB2owHL2/items/MMTKXIYN"],"itemData":{"id":1781,"type":"article-journal","abstract":"Steel is one of the most important materials used in modern society. The majority of the steel produced today is based on the use of virgin raw materials such as iron ore and fossil-based energy sources such as coal and oil. Recently, emphasis has been laid on the possibility to replace part of the fossil-based energy sources in ironmaking with renewable, biomass-derived reducing agents (bio-reducers). Modern thermochemical conversion processes could be utilized to produce solid, liquid and gaseous bio-reducers from biomass feedstock. This paper provides an in-depth review, first of its kind, of the possibility to replace part of the fossil-based reducing agents with bio-reducers in the blast furnace ironmaking route. In the first part of the paper, blast furnace process and the role of the reducing agents are discussed. In the second part of the paper, thermochemical biomass conversion technologies and resulting product properties are reviewed. Chemical and physical properties of the bio-reducers are compared to fossil-based reducing agents. In the third part of the paper, the implications related to bio-reducer use are evaluated in separate system levels including unit process assessment (blast furnace), process integration opportunities, biomass availability, life cycle impact and economic evaluations. The fourth part of the paper is dedicated to the discussion of the future of bio-reducers in ironmaking applications. It is concluded that bio-reducers can contribute to more environmentally sound steelmaking. The most promising bio-reducer seems to be charcoal with its high coke replacement ratio in blast furnace and straightforward integration of slow pyrolysis by-products to heat and power applications.","container-title":"Renewable and Sustainable Energy Reviews","DOI":"10.1016/j.rser.2013.05.005","ISSN":"1364-0321","journalAbbreviation":"Renewable and Sustainable Energy Reviews","language":"en","page":"511-528","source":"ScienceDirect","title":"The potential of using biomass-based reducing agents in the blast furnace: A review of thermochemical conversion technologies and assessments related to sustainability","title-short":"The potential of using biomass-based reducing agents in the blast furnace","URL":"https://www.sciencedirect.com/science/article/pii/S1364032113002918","volume":"25","author":[{"family":"Suopajärvi","given":"Hannu"},{"family":"Pongrácz","given":"Eva"},{"family":"Fabritius","given":"Timo"}],"accessed":{"date-parts":[["2022",7,14]]},"issued":{"date-parts":[["2013",9,1]]}},"label":"page"},{"id":1731,"uris":["http://zotero.org/users/local/AB2owHL2/items/RGBXIN8E"],"itemData":{"id":1731,"type":"article-journal","abstract":"The classical route for iron- and steel-making today is based on massive use of fossil coal, which is responsible for most of the large CO2 emissions of the steel industry. Biomass, as a renewable carbon resource, is a good candidate to substitute for fossil coal and even partial substitution could lead to a signiﬁcant reduction in CO2 emissions. Depending on the type of biomass, its processing, and the way it is used in the iron making process, many different scenarios may be considered. Those scenarios should be evaluated and compared from technical, environmental, and economical points of view in order to ﬁgure out the best options. The case of a real pig iron plant located in the North East of France was investigated. First, we checked the relevance of various biomass options on the basis of the biomass availability around the plant and of the technical requirements of the processes. Then, we carried out a screening life cycle assessment focusing on global warming impacts and following a cradle-to-gate approach. Different biomass-based pig iron production scenarios were compared. The results showed that for a 20 % substitution of biomass for coke, around 300 kg of CO2equivalent per ton of pig iron produced could be saved, which represents a reduction of 15 % in the total greenhouse gas emissions. Finally, a brief economic evaluation of the resulting scenarios was performed.","container-title":"Waste and Biomass Valorization","DOI":"10.1007/s12649-013-9223-1","ISSN":"1877-2641, 1877-265X","issue":"1","journalAbbreviation":"Waste Biomass Valor","language":"en","page":"43-55","source":"DOI.org (Crossref)","title":"Using Biomass for Pig Iron Production: A Technical, Environmental and Economical Assessment","title-short":"Using Biomass for Pig Iron Production","URL":"http://link.springer.com/10.1007/s12649-013-9223-1","volume":"5","author":[{"family":"Fick","given":"G."},{"family":"Mirgaux","given":"O."},{"family":"Neau","given":"P."},{"family":"Patisson","given":"F."}],"accessed":{"date-parts":[["2022",7,4]]},"issued":{"date-parts":[["2014",2]]}},"label":"page"},{"id":467,"uris":["http://zotero.org/users/local/AB2owHL2/items/EZKAGM8Y"],"itemData":{"id":467,"type":"article-journal","abstract":"The iron and steel industry accounts for about 20% of the annual industrial energy utilization. The intensive fossil fuel consumption in steel industry is associated with CO2 emission. In the absence of economically feasible and efficient methods for capture and storage of enormous quantities of CO2 emissions from steel industry, the use of biomass products as a source of energy and reducing agents provides a promising alternative solution for green steel production. However, the biomass application in iron and steel industry is still limited and it suffers strong competition from fossil fuels. The challenges of biomass usage in steel industry are included technical and economic aspects which required synergy between steelmaking and bioenergy sectors. Although intensive work has been carried out separately, there is a lack of link between these two vital sectors. The present article provides a comprehensive review of recent research progresses which have been conducted on biomass upgrading and analysing the opportunities and obstacles for biomass implementation in iron and steel industry. In the first part, an overview on the energy consumption and CO2 emissions in different iron and steelmaking routes is clarified. Moreover, the potential approaches of biomass conversion processes and upgrading technologies are reviewed. In the second part, an attention has been paid to the utilization of torrefied/pyrolyzed biomass in the energy-intensive ironmaking processes. Biomass addition to coal blend during cokemaking and its influence on the product coke quality is discussed. The partial and complete substitution of coke breeze with biochar in sintering process and its influence on the product sinter quality is explained. The impact of charcoal top charging or injection into blast furnace has been elaborated. Benefits and limitations of biomass application in each process are thoroughly discussed. In the third part, an economic analysis of biomass implementation for low-carbon steel is addressed.","container-title":"Renewable and Sustainable Energy Reviews","DOI":"10.1016/j.rser.2016.07.061","ISSN":"1364-0321","journalAbbreviation":"Renewable and Sustainable Energy Reviews","language":"en","page":"1247-1266","source":"ScienceDirect","title":"Biomass applications in iron and steel industry: An overview of challenges and opportunities","title-short":"Biomass applications in iron and steel industry","URL":"https://www.sciencedirect.com/science/article/pii/S1364032116303896","volume":"65","author":[{"family":"Mousa","given":"Elsayed"},{"family":"Wang","given":"Chuan"},{"family":"Riesbeck","given":"Johan"},{"family":"Larsson","given":"Mikael"}],"accessed":{"date-parts":[["2021",2,15]]},"issued":{"date-parts":[["2016",11,1]]}},"label":"page"},{"id":1643,"uris":["http://zotero.org/users/local/AB2owHL2/items/AY9YF677"],"itemData":{"id":1643,"type":"article-journal","abstract":"Biochar has been extensively used in ferrous metallurgy in recent years as it has comparable metallurgical properties to coke and coal, showing great potential for reduction of the production cost of iron and steel with enhanced quality and for promotion of environmental protection. This article reviewed the main applications of biochar in the iron and steel industry, including its use in coking, iron ore sintering, production of metallized pellets, blast furnace ironmaking, and electric arc furnace steelmaking. The challenges of using biochar and corresponding promising measures were also discussed for sustainable development of the industry.","container-title":"JOM","DOI":"http://dx.doi.org.ezproxy.uwtsd.ac.uk/10.1007/s11837-019-03766-4","ISSN":"10474838","issue":"11","language":"English","license":"Copyright Springer Nature B.V. Nov 2019","note":"number-of-pages: 3931-3940\npublisher-place: New York, Netherlands\npublisher: Springer Nature B.V.\nsection: SUSTAINABLE PYROMETALLURGICAL PROCESSING","page":"3931-3940","source":"ProQuest","title":"Use of Biochar for Sustainable Ferrous Metallurgy","URL":"http://www.proquest.com/docview/2489352821/abstract/6EDC241C755F4923PQ/1","volume":"71","author":[{"family":"Ye","given":"Lei"},{"family":"Peng","given":"Zhiwei"},{"family":"Wang","given":"Liancheng"},{"family":"Anzulevich","given":"Anton"},{"family":"Bychkov","given":"Igor"},{"family":"Kalganov","given":"Dmitrii"},{"family":"Tang","given":"Huimin"},{"family":"Rao","given":"Mingjun"},{"family":"Li","given":"Guanghui"},{"family":"Jiang","given":"Tao"}],"accessed":{"date-parts":[["2022",5,3]]},"issued":{"date-parts":[["2019",11]]}},"label":"page"}],"schema":"https://github.com/citation-style-language/schema/raw/master/csl-citation.json"} </w:instrText>
      </w:r>
      <w:r>
        <w:fldChar w:fldCharType="separate"/>
      </w:r>
      <w:r w:rsidR="00192334" w:rsidRPr="00192334">
        <w:rPr>
          <w:rFonts w:ascii="Calibri" w:hAnsi="Calibri" w:cs="Calibri"/>
          <w:szCs w:val="24"/>
        </w:rPr>
        <w:t xml:space="preserve">(Suopajärvi, Pongrácz and Fabritius, 2013; Fick </w:t>
      </w:r>
      <w:r w:rsidR="00192334" w:rsidRPr="00192334">
        <w:rPr>
          <w:rFonts w:ascii="Calibri" w:hAnsi="Calibri" w:cs="Calibri"/>
          <w:i/>
          <w:iCs/>
          <w:szCs w:val="24"/>
        </w:rPr>
        <w:t>et al.</w:t>
      </w:r>
      <w:r w:rsidR="00192334" w:rsidRPr="00192334">
        <w:rPr>
          <w:rFonts w:ascii="Calibri" w:hAnsi="Calibri" w:cs="Calibri"/>
          <w:szCs w:val="24"/>
        </w:rPr>
        <w:t xml:space="preserve">, 2014; Mousa </w:t>
      </w:r>
      <w:r w:rsidR="00192334" w:rsidRPr="00192334">
        <w:rPr>
          <w:rFonts w:ascii="Calibri" w:hAnsi="Calibri" w:cs="Calibri"/>
          <w:i/>
          <w:iCs/>
          <w:szCs w:val="24"/>
        </w:rPr>
        <w:t>et al.</w:t>
      </w:r>
      <w:r w:rsidR="00192334" w:rsidRPr="00192334">
        <w:rPr>
          <w:rFonts w:ascii="Calibri" w:hAnsi="Calibri" w:cs="Calibri"/>
          <w:szCs w:val="24"/>
        </w:rPr>
        <w:t xml:space="preserve">, 2016; Ye </w:t>
      </w:r>
      <w:r w:rsidR="00192334" w:rsidRPr="00192334">
        <w:rPr>
          <w:rFonts w:ascii="Calibri" w:hAnsi="Calibri" w:cs="Calibri"/>
          <w:i/>
          <w:iCs/>
          <w:szCs w:val="24"/>
        </w:rPr>
        <w:t>et al.</w:t>
      </w:r>
      <w:r w:rsidR="00192334" w:rsidRPr="00192334">
        <w:rPr>
          <w:rFonts w:ascii="Calibri" w:hAnsi="Calibri" w:cs="Calibri"/>
          <w:szCs w:val="24"/>
        </w:rPr>
        <w:t>, 2019)</w:t>
      </w:r>
      <w:r>
        <w:fldChar w:fldCharType="end"/>
      </w:r>
      <w:r>
        <w:t>. According to these studies, there is true potential to utilise renewable biomass in the BF processes in significant quantities</w:t>
      </w:r>
      <w:r w:rsidR="002A168D">
        <w:t>,</w:t>
      </w:r>
      <w:r w:rsidR="000D2C8E">
        <w:t xml:space="preserve"> thereby offsetting </w:t>
      </w:r>
      <w:r w:rsidR="005124F7">
        <w:t xml:space="preserve">net </w:t>
      </w:r>
      <w:r w:rsidR="00A96DD9">
        <w:t>CO</w:t>
      </w:r>
      <w:r w:rsidR="00A96DD9">
        <w:rPr>
          <w:vertAlign w:val="subscript"/>
        </w:rPr>
        <w:t>2</w:t>
      </w:r>
      <w:r>
        <w:t xml:space="preserve"> </w:t>
      </w:r>
      <w:r w:rsidR="005124F7">
        <w:t xml:space="preserve">emissions in the industry. </w:t>
      </w:r>
      <w:r>
        <w:t>These studies have mainly concentrated on the use of charcoal</w:t>
      </w:r>
      <w:r w:rsidR="00CA19C0">
        <w:t xml:space="preserve"> although torrefied wood pellet has also been considered</w:t>
      </w:r>
      <w:r>
        <w:t>. Despite the few studies where biomass has been introduced in ironmaking, there is a need for more detailed considerations of material and energy balances, CO2 reduction potential and environmental burden.</w:t>
      </w:r>
    </w:p>
    <w:p w14:paraId="43C24D00" w14:textId="4D6410DC" w:rsidR="00E67076" w:rsidRDefault="00836209" w:rsidP="00393D81">
      <w:pPr>
        <w:spacing w:line="360" w:lineRule="auto"/>
        <w:jc w:val="both"/>
      </w:pPr>
      <w:r>
        <w:t>There are limitations to using biomass in iron and steelmaking, biomass in its raw form is not suitable for the ironmaking processes</w:t>
      </w:r>
      <w:r w:rsidR="00C90A49">
        <w:t xml:space="preserve"> because of its high moisture and oxygen content and low calorific value</w:t>
      </w:r>
      <w:r w:rsidR="0069098A">
        <w:t xml:space="preserve"> </w:t>
      </w:r>
      <w:r w:rsidR="004B7326">
        <w:fldChar w:fldCharType="begin"/>
      </w:r>
      <w:r w:rsidR="00192334">
        <w:instrText xml:space="preserve"> ADDIN ZOTERO_ITEM CSL_CITATION {"citationID":"qC6pysqf","properties":{"formattedCitation":"(Strezov, 2006; Montiano {\\i{}et al.}, 2014)","plainCitation":"(Strezov, 2006; Montiano et al., 2014)","noteIndex":0},"citationItems":[{"id":1774,"uris":["http://zotero.org/users/local/AB2owHL2/items/HY7P5VQ6"],"itemData":{"id":1774,"type":"article-journal","abstract":"Iron and steel making are two of the largest energy intensive industries with the highest growth rate in energy consumption of all energy utilisation sectors. In order to meet the growing greenhouse challenges, incorporation of renewable energy sources to the existing and emerging metallurgical operations is desirable. In this respect, biomass can potentially be applied as fuel for minerals processing to stabilise the greenhouse gas emissions as it is renewable and CO2 neutral. The work presented here investigates the fundamental mechanisms of iron ore reduction with biomass wood waste. Several mixtures with different ratios of biomass and iron ore were subjected to thermal, gaseous and X-ray Diffraction analysis. The iron ore was successfully reduced to predominantly metallic iron phase when up to 30% by weight of biomass was introduced into the mixture. Reduction commenced at approximately 670°C and was almost completed at 1200°C. Thermal analysis data identified the individual thermal reaction regions associated with developments of individual iron phases during the heating and were used to calculate the corresponding kinetics of the reduction process.","container-title":"Renewable Energy","DOI":"10.1016/j.renene.2005.08.032","ISSN":"0960-1481","issue":"12","journalAbbreviation":"Renewable Energy","language":"en","page":"1892-1905","source":"ScienceDirect","title":"Iron ore reduction using sawdust: Experimental analysis and kinetic modelling","title-short":"Iron ore reduction using sawdust","URL":"https://www.sciencedirect.com/science/article/pii/S0960148105002764","volume":"31","author":[{"family":"Strezov","given":"Vladimir"}],"accessed":{"date-parts":[["2022",7,12]]},"issued":{"date-parts":[["2006",10,1]]}},"label":"page"},{"id":265,"uris":["http://zotero.org/users/local/AB2owHL2/items/4E9J9PIK"],"itemData":{"id":265,"type":"article-journal","abstract":"Two industrial coal blends used in coke making were subjected to tests in order to assess the influence of waste sawdust (SC2 from chestnut and SP1 from pine) on the quality of the coke produced. The biomass was added in quantities of up to 5wt.%. It was observed that biomass produced a substantial decrease in the plastic properties of the industrial coal blend, with reductions in Gieseler maximum fluidity of around 50% for 3wt.% additions of the two different sawdusts. Carbonizations with sawdust additions ranging from 0.75 to 5wt.% were carried out in a movable wall oven of 17kg capacity. The bulk density of the charge was observed to decrease with increasing amounts of sawdust with negative consequences on the quality of the cokes produced. Mechanical strength was determined by means of the JIS test. Coke reactivity and post-reaction strength (CRI/CSR indices) were also assessed. The amount of sawdust added was low to prevent any deterioration in coke quality. The advantage of using biomass in coking blends should be seen as a possible way to reduce costs and CO2 emissions and to incorporate alternative raw materials in coke production.","container-title":"Fuel","DOI":"10.1016/j.fuel.2013.07.070","ISSN":"0016-2361","journalAbbreviation":"Fuel","language":"en","page":"175-182","source":"ScienceDirect","title":"Influence of biomass on metallurgical coke quality","URL":"http://www.sciencedirect.com/science/article/pii/S0016236113006698","volume":"116","author":[{"family":"Montiano","given":"M. G."},{"family":"Díaz-Faes","given":"E."},{"family":"Barriocanal","given":"C."},{"family":"Alvarez","given":"R."}],"accessed":{"date-parts":[["2021",1,11]]},"issued":{"date-parts":[["2014",1,15]]}},"label":"page"}],"schema":"https://github.com/citation-style-language/schema/raw/master/csl-citation.json"} </w:instrText>
      </w:r>
      <w:r w:rsidR="004B7326">
        <w:fldChar w:fldCharType="separate"/>
      </w:r>
      <w:r w:rsidR="00192334" w:rsidRPr="00192334">
        <w:rPr>
          <w:rFonts w:ascii="Calibri" w:hAnsi="Calibri" w:cs="Calibri"/>
          <w:szCs w:val="24"/>
        </w:rPr>
        <w:t xml:space="preserve">(Strezov, 2006; Montiano </w:t>
      </w:r>
      <w:r w:rsidR="00192334" w:rsidRPr="00192334">
        <w:rPr>
          <w:rFonts w:ascii="Calibri" w:hAnsi="Calibri" w:cs="Calibri"/>
          <w:i/>
          <w:iCs/>
          <w:szCs w:val="24"/>
        </w:rPr>
        <w:t>et al.</w:t>
      </w:r>
      <w:r w:rsidR="00192334" w:rsidRPr="00192334">
        <w:rPr>
          <w:rFonts w:ascii="Calibri" w:hAnsi="Calibri" w:cs="Calibri"/>
          <w:szCs w:val="24"/>
        </w:rPr>
        <w:t>, 2014)</w:t>
      </w:r>
      <w:r w:rsidR="004B7326">
        <w:fldChar w:fldCharType="end"/>
      </w:r>
      <w:r w:rsidR="00C90A49">
        <w:t>. Pre-treatment processes such as torrefaction, pyrolysis, gasification, liquefaction, and hydrogenation can enhance the properties of biomass for use</w:t>
      </w:r>
      <w:r w:rsidR="0019563C">
        <w:t xml:space="preserve"> in industry</w:t>
      </w:r>
      <w:r w:rsidR="00C90A49">
        <w:t xml:space="preserve">. Slow pyrolysis </w:t>
      </w:r>
      <w:r w:rsidR="00525F99">
        <w:t xml:space="preserve">of biomass </w:t>
      </w:r>
      <w:r w:rsidR="000C67EA">
        <w:t xml:space="preserve">results in </w:t>
      </w:r>
      <w:r w:rsidR="00DB3DCC">
        <w:t>c</w:t>
      </w:r>
      <w:r w:rsidR="000C67EA">
        <w:t>har</w:t>
      </w:r>
      <w:r w:rsidR="00DB3DCC">
        <w:t>coal</w:t>
      </w:r>
      <w:r w:rsidR="000C67EA">
        <w:t>, the properties of charcoal are comparable to the bituminous coals used in ironmaking although at reduced yields due to a lower bulk density.</w:t>
      </w:r>
      <w:r w:rsidR="00742D3B">
        <w:t xml:space="preserve"> </w:t>
      </w:r>
    </w:p>
    <w:p w14:paraId="4CC88176" w14:textId="50DC31FE" w:rsidR="004B7326" w:rsidRDefault="00074EA4" w:rsidP="00393D81">
      <w:pPr>
        <w:spacing w:line="360" w:lineRule="auto"/>
        <w:jc w:val="both"/>
      </w:pPr>
      <w:r>
        <w:fldChar w:fldCharType="begin"/>
      </w:r>
      <w:r w:rsidR="00192334">
        <w:instrText xml:space="preserve"> ADDIN ZOTERO_ITEM CSL_CITATION {"citationID":"FuABhzBt","properties":{"formattedCitation":"(Conte {\\i{}et al.}, 2021)","plainCitation":"(Conte et al., 2021)","noteIndex":0},"citationItems":[{"id":1937,"uris":["http://zotero.org/users/local/AB2owHL2/items/FXMYWUU4"],"itemData":{"id":1937,"type":"article-journal","abstract":"Biochar is a porous material obtained by biomass thermal degradation in oxygen-starved conditions. It is nowadays applied in many fields. For instance, it is used to synthesize new materials for environmental remediation, catalysis, animal feeding, adsorbent for smells, etc. In the last decades, biochar has been applied also to soils due to its beneficial effects on soil structure, pH, soil organic carbon content, and stability, and, therefore, soil fertility. In addition, this carbonaceous material shows high chemical stability. Once applied to soil it maintains its nature for centuries. Consequently, it can be considered a sink to store atmospheric carbon dioxide in soils, thereby mitigating the effects of global climatic changes. The literature contains plenty of papers dealing with biochar’s environmental effects. However, a discrepancy exists between studies dealing with biochar applications and those dealing with the physical-chemistry behind biochar behavior. On the one hand, the impression is that most of the papers where biochar is tested in soils are based on trial-and-error procedures. Sometimes these give positive results, sometimes not. Consequently, it appears that the scientific world is divided into two factions: either supporters or detractors. On the other hand, studies dealing with biochar’s physical-chemistry do not appear helpful in settling the factions’ problem. This review paper aims at collecting all the information on physical-chemistry of biochar and to use it to explain biochar’s role in different fields of application.","container-title":"Agronomy","DOI":"10.3390/agronomy11040615","issue":"4","language":"English","license":"© 2021 by the authors. Licensee MDPI, Basel, Switzerland. This article is an open access article distributed under the terms and conditions of the Creative Commons Attribution (CC BY) license (http://creativecommons.org/licenses/by/4.0/). Notwithstanding the ProQuest Terms and Conditions, you may use this content in accordance with the terms of the License.","note":"number-of-pages: 615\npublisher-place: Basel, Switzerland\npublisher: MDPI AG","page":"615","source":"ProQuest","title":"Recent Developments in Understanding Biochar’s Physical–Chemistry","URL":"https://www.proquest.com/docview/2528290211/abstract/5B52F7839E064B83PQ/1","volume":"11","author":[{"family":"Conte","given":"Pellegrino"},{"family":"Link to external site","given":"this","dropping-particle":"link will open in a new window"},{"family":"Bertani","given":"Roberta"},{"family":"Link to external site","given":"this","dropping-particle":"link will open in a new window"},{"family":"Sgarbossa","given":"Paolo"},{"family":"Link to external site","given":"this","dropping-particle":"link will open in a new window"},{"family":"Bambina","given":"Paola"},{"family":"Schmidt","given":"Hans-Peter"},{"family":"Link to external site","given":"this","dropping-particle":"link will open in a new window"},{"family":"Raga","given":"Roberto"},{"family":"Link to external site","given":"this","dropping-particle":"link will open in a new window"},{"family":"Papa","given":"Giuseppe Lo"},{"family":"Link to external site","given":"this","dropping-particle":"link will open in a new window"},{"family":"Martino","given":"Delia Francesca Chillura"},{"family":"Link to external site","given":"this","dropping-particle":"link will open in a new window"},{"family":"Meo","given":"Paolo Lo"},{"family":"Link to external site","given":"this","dropping-particle":"link will open in a new window"}],"accessed":{"date-parts":[["2022",9,11]]},"issued":{"date-parts":[["2021"]]}}}],"schema":"https://github.com/citation-style-language/schema/raw/master/csl-citation.json"} </w:instrText>
      </w:r>
      <w:r>
        <w:fldChar w:fldCharType="separate"/>
      </w:r>
      <w:r w:rsidR="00192334" w:rsidRPr="00192334">
        <w:rPr>
          <w:rFonts w:ascii="Calibri" w:hAnsi="Calibri" w:cs="Calibri"/>
          <w:szCs w:val="24"/>
        </w:rPr>
        <w:t xml:space="preserve">(Conte </w:t>
      </w:r>
      <w:r w:rsidR="00192334" w:rsidRPr="00192334">
        <w:rPr>
          <w:rFonts w:ascii="Calibri" w:hAnsi="Calibri" w:cs="Calibri"/>
          <w:i/>
          <w:iCs/>
          <w:szCs w:val="24"/>
        </w:rPr>
        <w:t>et al.</w:t>
      </w:r>
      <w:r w:rsidR="00192334" w:rsidRPr="00192334">
        <w:rPr>
          <w:rFonts w:ascii="Calibri" w:hAnsi="Calibri" w:cs="Calibri"/>
          <w:szCs w:val="24"/>
        </w:rPr>
        <w:t>, 2021)</w:t>
      </w:r>
      <w:r>
        <w:fldChar w:fldCharType="end"/>
      </w:r>
      <w:r w:rsidR="00B4470F">
        <w:t xml:space="preserve"> defines biochar:</w:t>
      </w:r>
    </w:p>
    <w:p w14:paraId="7E9A147B" w14:textId="3F475B22" w:rsidR="006D4C65" w:rsidRDefault="00B4470F" w:rsidP="007227D4">
      <w:pPr>
        <w:spacing w:line="360" w:lineRule="auto"/>
        <w:ind w:left="720"/>
        <w:jc w:val="both"/>
      </w:pPr>
      <w:r>
        <w:t xml:space="preserve">“Biochar is a porous, carbonaceous material that is produced by pyrolysis of plant biomasses and is applied in such a way that the contained carbon remains stored as a </w:t>
      </w:r>
      <w:r w:rsidR="00176638">
        <w:t>long-term</w:t>
      </w:r>
      <w:r>
        <w:t xml:space="preserve"> C sink or replaces fossil carbon in industrial manufacturing. It is not made to be burnt for energy </w:t>
      </w:r>
      <w:r w:rsidR="00223790">
        <w:t>generation”.</w:t>
      </w:r>
    </w:p>
    <w:p w14:paraId="19E574C3" w14:textId="236FF8CD" w:rsidR="009709A1" w:rsidRDefault="009709A1" w:rsidP="009709A1">
      <w:pPr>
        <w:spacing w:line="360" w:lineRule="auto"/>
        <w:jc w:val="both"/>
      </w:pPr>
      <w:r>
        <w:t>Bio</w:t>
      </w:r>
      <w:r w:rsidR="001D78A5">
        <w:t>char</w:t>
      </w:r>
      <w:r>
        <w:t xml:space="preserve"> represents an opportunity to enable the ISI industry to reduce its net CO</w:t>
      </w:r>
      <w:r w:rsidRPr="00467746">
        <w:rPr>
          <w:vertAlign w:val="subscript"/>
        </w:rPr>
        <w:t>2</w:t>
      </w:r>
      <w:r>
        <w:rPr>
          <w:vertAlign w:val="subscript"/>
        </w:rPr>
        <w:t xml:space="preserve"> </w:t>
      </w:r>
      <w:r>
        <w:t xml:space="preserve">output and help the UK meet the GHG reduction targets set out by the government. The most suitable type of biomass for use in the ISI is biochar produced from woody feedstocks </w:t>
      </w:r>
      <w:r>
        <w:fldChar w:fldCharType="begin"/>
      </w:r>
      <w:r w:rsidR="00430AAA">
        <w:instrText xml:space="preserve"> ADDIN ZOTERO_ITEM CSL_CITATION {"citationID":"fNLoefSc","properties":{"formattedCitation":"(Suopaj\\uc0\\u228{}rvi et al. 2013; Wei et al. 2017)","plainCitation":"(Suopajärvi et al. 2013; Wei et al. 2017)","dontUpdate":true,"noteIndex":0},"citationItems":[{"id":1781,"uris":["http://zotero.org/users/local/AB2owHL2/items/MMTKXIYN"],"itemData":{"id":1781,"type":"article-journal","abstract":"Steel is one of the most important materials used in modern society. The majority of the steel produced today is based on the use of virgin raw materials such as iron ore and fossil-based energy sources such as coal and oil. Recently, emphasis has been laid on the possibility to replace part of the fossil-based energy sources in ironmaking with renewable, biomass-derived reducing agents (bio-reducers). Modern thermochemical conversion processes could be utilized to produce solid, liquid and gaseous bio-reducers from biomass feedstock. This paper provides an in-depth review, first of its kind, of the possibility to replace part of the fossil-based reducing agents with bio-reducers in the blast furnace ironmaking route. In the first part of the paper, blast furnace process and the role of the reducing agents are discussed. In the second part of the paper, thermochemical biomass conversion technologies and resulting product properties are reviewed. Chemical and physical properties of the bio-reducers are compared to fossil-based reducing agents. In the third part of the paper, the implications related to bio-reducer use are evaluated in separate system levels including unit process assessment (blast furnace), process integration opportunities, biomass availability, life cycle impact and economic evaluations. The fourth part of the paper is dedicated to the discussion of the future of bio-reducers in ironmaking applications. It is concluded that bio-reducers can contribute to more environmentally sound steelmaking. The most promising bio-reducer seems to be charcoal with its high coke replacement ratio in blast furnace and straightforward integration of slow pyrolysis by-products to heat and power applications.","container-title":"Renewable and Sustainable Energy Reviews","DOI":"10.1016/j.rser.2013.05.005","ISSN":"1364-0321","journalAbbreviation":"Renewable and Sustainable Energy Reviews","language":"en","page":"511-528","source":"ScienceDirect","title":"The potential of using biomass-based reducing agents in the blast furnace: A review of thermochemical conversion technologies and assessments related to sustainability","title-short":"The potential of using biomass-based reducing agents in the blast furnace","URL":"https://www.sciencedirect.com/science/article/pii/S1364032113002918","volume":"25","author":[{"family":"Suopajärvi","given":"Hannu"},{"family":"Pongrácz","given":"Eva"},{"family":"Fabritius","given":"Timo"}],"accessed":{"date-parts":[["2022",7,14]]},"issued":{"date-parts":[["2013",9,1]]}},"label":"page"},{"id":393,"uris":["http://zotero.org/users/local/AB2owHL2/items/2BX9TDVQ"],"itemData":{"id":393,"type":"article-journal","abstract":"This paper provides a critical review on the current status and potential of biomass utilization in ferrous metallurgical processes, i.e., the blast furnace (BF) – basic oxygen furnace (BOF) route, the direct reduction (DR) – electric arc furnace (EAF) route, the scrap – EAF route and the other routes. In the BF-BOF route, biomass can be used as a fuel for iron ore sintering, or as a raw material for the production of bio-coke, and utilized for blast furnace injection. In the DR-EAF route, direct reduction iron can be produced form iron ore and biomass pellet. In the scrap – EAF route, biomass can be utilized in EAF through a cogeneration system. In addition, biomass can be utilized in magnetic separation of refractory low-grade iron ore, in reuse of iron and steel slag, or as an adsorbent for pollutant control, etc. The challenges and outlook of biomass utilization in metallurgical industry are also discussed in this paper.","container-title":"Renewable and Sustainable Energy Reviews","DOI":"10.1016/j.rser.2016.10.013","ISSN":"1364-0321","journalAbbreviation":"Renewable and Sustainable Energy Reviews","language":"en","page":"511-524","source":"ScienceDirect","title":"Current status and potential of biomass utilization in ferrous metallurgical industry","URL":"https://www.sciencedirect.com/science/article/pii/S1364032116306657","volume":"68","author":[{"family":"Wei","given":"Rufei"},{"family":"Zhang","given":"Lingling"},{"family":"Cang","given":"Daqiang"},{"family":"Li","given":"Jiaxin"},{"family":"Li","given":"Xianwei"},{"family":"Xu","given":"Chunbao Charles"}],"accessed":{"date-parts":[["2021",2,6]]},"issued":{"date-parts":[["2017",2,1]]}},"label":"page"}],"schema":"https://github.com/citation-style-language/schema/raw/master/csl-citation.json"} </w:instrText>
      </w:r>
      <w:r>
        <w:fldChar w:fldCharType="separate"/>
      </w:r>
      <w:r w:rsidRPr="00435833">
        <w:rPr>
          <w:rFonts w:ascii="Calibri" w:hAnsi="Calibri" w:cs="Calibri"/>
          <w:szCs w:val="24"/>
        </w:rPr>
        <w:t>(Wei et al. 2017)</w:t>
      </w:r>
      <w:r>
        <w:fldChar w:fldCharType="end"/>
      </w:r>
      <w:r>
        <w:t>.</w:t>
      </w:r>
    </w:p>
    <w:p w14:paraId="3DA9105C" w14:textId="6C7830C6" w:rsidR="009709A1" w:rsidRDefault="009709A1" w:rsidP="009709A1">
      <w:pPr>
        <w:spacing w:line="360" w:lineRule="auto"/>
        <w:jc w:val="both"/>
      </w:pPr>
      <w:r>
        <w:t xml:space="preserve">Research on the effect of biomass in the ISI is limited and sometimes conflicting. Each steel plant uses different sources for its raw materials and uses them in various concentrations and therefore the effect of biochar on each individual steel plant could vary. </w:t>
      </w:r>
    </w:p>
    <w:p w14:paraId="5BA94BE6" w14:textId="77777777" w:rsidR="00A3135F" w:rsidRDefault="00A3135F" w:rsidP="009709A1">
      <w:pPr>
        <w:spacing w:line="360" w:lineRule="auto"/>
        <w:jc w:val="both"/>
      </w:pPr>
    </w:p>
    <w:p w14:paraId="6C9A0D78" w14:textId="77777777" w:rsidR="00A3135F" w:rsidRDefault="00A3135F" w:rsidP="009709A1">
      <w:pPr>
        <w:spacing w:line="360" w:lineRule="auto"/>
        <w:jc w:val="both"/>
      </w:pPr>
    </w:p>
    <w:p w14:paraId="2252C49A" w14:textId="77777777" w:rsidR="00A3135F" w:rsidRDefault="00A3135F" w:rsidP="009709A1">
      <w:pPr>
        <w:spacing w:line="360" w:lineRule="auto"/>
        <w:jc w:val="both"/>
      </w:pPr>
    </w:p>
    <w:p w14:paraId="776591C2" w14:textId="77777777" w:rsidR="00A3135F" w:rsidRDefault="00A3135F" w:rsidP="009709A1">
      <w:pPr>
        <w:spacing w:line="360" w:lineRule="auto"/>
        <w:jc w:val="both"/>
      </w:pPr>
    </w:p>
    <w:p w14:paraId="096239F0" w14:textId="77777777" w:rsidR="00A3135F" w:rsidRDefault="00A3135F" w:rsidP="009709A1">
      <w:pPr>
        <w:spacing w:line="360" w:lineRule="auto"/>
        <w:jc w:val="both"/>
      </w:pPr>
    </w:p>
    <w:p w14:paraId="6A9DE2AD" w14:textId="77777777" w:rsidR="00A3135F" w:rsidRDefault="00A3135F" w:rsidP="009709A1">
      <w:pPr>
        <w:spacing w:line="360" w:lineRule="auto"/>
        <w:jc w:val="both"/>
      </w:pPr>
    </w:p>
    <w:p w14:paraId="194B5C0C" w14:textId="3720C858" w:rsidR="00DE5575" w:rsidRPr="00DE5575" w:rsidRDefault="00DE5575" w:rsidP="00350AB6">
      <w:pPr>
        <w:pStyle w:val="Heading2"/>
        <w:spacing w:line="360" w:lineRule="auto"/>
        <w:jc w:val="both"/>
      </w:pPr>
      <w:bookmarkStart w:id="10" w:name="_Toc128599590"/>
      <w:r>
        <w:lastRenderedPageBreak/>
        <w:t>Research aim</w:t>
      </w:r>
      <w:bookmarkEnd w:id="10"/>
    </w:p>
    <w:p w14:paraId="20E4E828" w14:textId="264F1E18" w:rsidR="003C3838" w:rsidRDefault="005043E5" w:rsidP="00815140">
      <w:pPr>
        <w:spacing w:line="360" w:lineRule="auto"/>
        <w:jc w:val="both"/>
      </w:pPr>
      <w:r>
        <w:t xml:space="preserve">The aim of this report is to assess </w:t>
      </w:r>
      <w:r w:rsidR="00691705">
        <w:t xml:space="preserve">the suitability </w:t>
      </w:r>
      <w:r w:rsidR="002E605F">
        <w:t xml:space="preserve">of </w:t>
      </w:r>
      <w:r w:rsidR="002872EB">
        <w:t xml:space="preserve">two </w:t>
      </w:r>
      <w:r w:rsidR="005A5DCE">
        <w:t>types of biochar,</w:t>
      </w:r>
      <w:r w:rsidR="00B57EFC">
        <w:t xml:space="preserve"> </w:t>
      </w:r>
      <w:r w:rsidR="000A06EC">
        <w:t>wood industry waste</w:t>
      </w:r>
      <w:r w:rsidR="00996CC7">
        <w:t xml:space="preserve"> hardwood biochar and a </w:t>
      </w:r>
      <w:r w:rsidR="00B57EFC">
        <w:t xml:space="preserve">pelletised </w:t>
      </w:r>
      <w:r w:rsidR="00996CC7">
        <w:t>softwood biochar</w:t>
      </w:r>
      <w:r w:rsidR="005A5DCE">
        <w:t>,</w:t>
      </w:r>
      <w:r w:rsidR="00C54167">
        <w:t xml:space="preserve"> for use in three </w:t>
      </w:r>
      <w:r w:rsidR="001669F8">
        <w:t>ironmaking processes</w:t>
      </w:r>
      <w:r w:rsidR="00F873CC">
        <w:t xml:space="preserve"> </w:t>
      </w:r>
      <w:r w:rsidR="007D2141">
        <w:t>at Port Talbot steelworks. The biochar will be assessed</w:t>
      </w:r>
      <w:r w:rsidR="00993C66">
        <w:t xml:space="preserve"> </w:t>
      </w:r>
      <w:r w:rsidR="002A0CA6">
        <w:t>as partial replacement for</w:t>
      </w:r>
      <w:r w:rsidR="00C304A6">
        <w:t xml:space="preserve"> the</w:t>
      </w:r>
      <w:r w:rsidR="00E04302">
        <w:t xml:space="preserve"> </w:t>
      </w:r>
      <w:r w:rsidR="00CE4BBF">
        <w:t>coal</w:t>
      </w:r>
      <w:r w:rsidR="00C304A6">
        <w:t xml:space="preserve"> used in </w:t>
      </w:r>
      <w:r w:rsidR="00CB4F7B">
        <w:t>coke</w:t>
      </w:r>
      <w:r w:rsidR="00891C54">
        <w:t xml:space="preserve"> </w:t>
      </w:r>
      <w:r w:rsidR="00A87609">
        <w:t>and iron</w:t>
      </w:r>
      <w:r w:rsidR="00891C54">
        <w:t xml:space="preserve"> </w:t>
      </w:r>
      <w:r w:rsidR="00A87609">
        <w:t>making</w:t>
      </w:r>
      <w:r w:rsidR="00B73FB9">
        <w:t xml:space="preserve"> and</w:t>
      </w:r>
      <w:r w:rsidR="00CE4BBF">
        <w:t xml:space="preserve"> coke breeze</w:t>
      </w:r>
      <w:r w:rsidR="00785D9A">
        <w:t xml:space="preserve"> used in</w:t>
      </w:r>
      <w:r w:rsidR="00CB4F7B">
        <w:t xml:space="preserve"> sinter making</w:t>
      </w:r>
      <w:r w:rsidR="002A0CA6">
        <w:t>.</w:t>
      </w:r>
      <w:r w:rsidR="00720956">
        <w:t xml:space="preserve"> </w:t>
      </w:r>
      <w:r w:rsidR="002C5A42">
        <w:t xml:space="preserve">The report aims to understand the near optimum amount of biochar </w:t>
      </w:r>
      <w:r w:rsidR="001D4324">
        <w:t xml:space="preserve">that can be used </w:t>
      </w:r>
      <w:r w:rsidR="003F036B">
        <w:t xml:space="preserve">without </w:t>
      </w:r>
      <w:r w:rsidR="008D0362">
        <w:t>having a detrimental impact on</w:t>
      </w:r>
      <w:r w:rsidR="003F036B">
        <w:t xml:space="preserve"> product quality.</w:t>
      </w:r>
      <w:r w:rsidR="00A37568">
        <w:t xml:space="preserve"> </w:t>
      </w:r>
      <w:r w:rsidR="00A55980">
        <w:t xml:space="preserve">The biochar will be assessed </w:t>
      </w:r>
      <w:r w:rsidR="005E7EC9">
        <w:t>using</w:t>
      </w:r>
      <w:r w:rsidR="004D0667">
        <w:t>:</w:t>
      </w:r>
    </w:p>
    <w:p w14:paraId="2CDCC84D" w14:textId="7890C9E6" w:rsidR="00C81128" w:rsidRDefault="004D0667" w:rsidP="00815140">
      <w:pPr>
        <w:pStyle w:val="ListParagraph"/>
        <w:numPr>
          <w:ilvl w:val="0"/>
          <w:numId w:val="10"/>
        </w:numPr>
        <w:spacing w:line="360" w:lineRule="auto"/>
        <w:jc w:val="both"/>
      </w:pPr>
      <w:r>
        <w:t>A</w:t>
      </w:r>
      <w:r w:rsidR="00C81128">
        <w:t xml:space="preserve"> lab scale pilot coke oven</w:t>
      </w:r>
      <w:r w:rsidR="00296921">
        <w:t xml:space="preserve"> and the quality </w:t>
      </w:r>
      <w:r w:rsidR="00AE16C1">
        <w:t>tests associated with coke.</w:t>
      </w:r>
    </w:p>
    <w:p w14:paraId="09258365" w14:textId="5A7EC7AB" w:rsidR="00041D18" w:rsidRDefault="004D0667" w:rsidP="00815140">
      <w:pPr>
        <w:pStyle w:val="ListParagraph"/>
        <w:numPr>
          <w:ilvl w:val="0"/>
          <w:numId w:val="10"/>
        </w:numPr>
        <w:spacing w:line="360" w:lineRule="auto"/>
        <w:jc w:val="both"/>
      </w:pPr>
      <w:r>
        <w:t xml:space="preserve">A </w:t>
      </w:r>
      <w:r w:rsidR="000601E7">
        <w:t>sinter make simulation called the sinter pot</w:t>
      </w:r>
      <w:r w:rsidR="00AE16C1">
        <w:t>. Including the quality tests associated with sinter.</w:t>
      </w:r>
    </w:p>
    <w:p w14:paraId="075E6B7E" w14:textId="54E7C442" w:rsidR="00167006" w:rsidRDefault="00692E61" w:rsidP="00815140">
      <w:pPr>
        <w:pStyle w:val="ListParagraph"/>
        <w:numPr>
          <w:ilvl w:val="0"/>
          <w:numId w:val="10"/>
        </w:numPr>
        <w:spacing w:line="360" w:lineRule="auto"/>
        <w:jc w:val="both"/>
      </w:pPr>
      <w:r>
        <w:t>Several</w:t>
      </w:r>
      <w:r w:rsidR="005E7EC9">
        <w:t xml:space="preserve"> tests required </w:t>
      </w:r>
      <w:r w:rsidR="00D16D67">
        <w:t>f</w:t>
      </w:r>
      <w:r w:rsidR="00415D72">
        <w:t>or</w:t>
      </w:r>
      <w:r w:rsidR="00D16D67">
        <w:t xml:space="preserve"> assessing</w:t>
      </w:r>
      <w:r w:rsidR="00415D72">
        <w:t xml:space="preserve"> potential </w:t>
      </w:r>
      <w:r w:rsidR="007E0FC2">
        <w:t>fuel</w:t>
      </w:r>
      <w:r w:rsidR="003E294E">
        <w:t xml:space="preserve"> replacement</w:t>
      </w:r>
      <w:r w:rsidR="00003CCD">
        <w:t xml:space="preserve"> in the blast furnace</w:t>
      </w:r>
      <w:r w:rsidR="003E294E">
        <w:t xml:space="preserve">. </w:t>
      </w:r>
    </w:p>
    <w:p w14:paraId="215AD57D" w14:textId="601BA951" w:rsidR="00D8473F" w:rsidRDefault="00175C17" w:rsidP="00167006">
      <w:pPr>
        <w:spacing w:line="360" w:lineRule="auto"/>
        <w:jc w:val="both"/>
      </w:pPr>
      <w:r>
        <w:t>Another aim of this project is to understand the potential CO</w:t>
      </w:r>
      <w:r w:rsidRPr="006B69D1">
        <w:rPr>
          <w:vertAlign w:val="subscript"/>
        </w:rPr>
        <w:t xml:space="preserve">2 </w:t>
      </w:r>
      <w:r>
        <w:t xml:space="preserve">savings </w:t>
      </w:r>
      <w:r w:rsidR="000D43DC">
        <w:t xml:space="preserve">from using biochar </w:t>
      </w:r>
      <w:r w:rsidR="004D607F">
        <w:t>in the three aforementioned processes</w:t>
      </w:r>
      <w:r w:rsidR="008E74EE">
        <w:t>.</w:t>
      </w:r>
    </w:p>
    <w:p w14:paraId="267A6C41" w14:textId="77777777" w:rsidR="00D8473F" w:rsidRDefault="00D8473F" w:rsidP="00083525">
      <w:pPr>
        <w:pStyle w:val="Heading2"/>
        <w:spacing w:line="360" w:lineRule="auto"/>
      </w:pPr>
      <w:bookmarkStart w:id="11" w:name="_Toc128599591"/>
      <w:r>
        <w:t>Objectives</w:t>
      </w:r>
      <w:bookmarkEnd w:id="11"/>
    </w:p>
    <w:p w14:paraId="79E38B33" w14:textId="00DF9833" w:rsidR="002A6523" w:rsidRPr="002A6523" w:rsidRDefault="0039017A" w:rsidP="00DD0541">
      <w:pPr>
        <w:pStyle w:val="ListParagraph"/>
        <w:numPr>
          <w:ilvl w:val="0"/>
          <w:numId w:val="22"/>
        </w:numPr>
        <w:spacing w:line="360" w:lineRule="auto"/>
        <w:jc w:val="both"/>
      </w:pPr>
      <w:r>
        <w:t xml:space="preserve">Analyse </w:t>
      </w:r>
      <w:r w:rsidR="000D01F0">
        <w:t xml:space="preserve">the biochar samples </w:t>
      </w:r>
      <w:r w:rsidR="003522BB">
        <w:t xml:space="preserve">using the same </w:t>
      </w:r>
      <w:r w:rsidR="00680DF9">
        <w:t>techniques</w:t>
      </w:r>
      <w:r w:rsidR="003522BB">
        <w:t xml:space="preserve"> that would be used to </w:t>
      </w:r>
      <w:r w:rsidR="00680DF9">
        <w:t>assess the fuel</w:t>
      </w:r>
      <w:r>
        <w:t xml:space="preserve">s for coke making, sinter </w:t>
      </w:r>
      <w:r w:rsidR="00CE6178">
        <w:t>making,</w:t>
      </w:r>
      <w:r>
        <w:t xml:space="preserve"> and iron making</w:t>
      </w:r>
      <w:r w:rsidR="00247C8D">
        <w:t>.</w:t>
      </w:r>
    </w:p>
    <w:p w14:paraId="6A9A9726" w14:textId="6836F74E" w:rsidR="00820C4E" w:rsidRDefault="006F7684" w:rsidP="00DD0541">
      <w:pPr>
        <w:pStyle w:val="ListParagraph"/>
        <w:numPr>
          <w:ilvl w:val="0"/>
          <w:numId w:val="21"/>
        </w:numPr>
        <w:spacing w:line="360" w:lineRule="auto"/>
        <w:jc w:val="both"/>
      </w:pPr>
      <w:r>
        <w:t>Evaluate</w:t>
      </w:r>
      <w:r w:rsidR="00DA3208">
        <w:t xml:space="preserve"> the biochar</w:t>
      </w:r>
      <w:r w:rsidR="00976934">
        <w:t xml:space="preserve"> analysis </w:t>
      </w:r>
      <w:r>
        <w:t>against</w:t>
      </w:r>
      <w:r w:rsidR="00976934">
        <w:t xml:space="preserve"> typical fuel analysis for each process.</w:t>
      </w:r>
    </w:p>
    <w:p w14:paraId="5F751700" w14:textId="63CE0E74" w:rsidR="0073181E" w:rsidRDefault="00C32653" w:rsidP="00DD0541">
      <w:pPr>
        <w:pStyle w:val="ListParagraph"/>
        <w:numPr>
          <w:ilvl w:val="0"/>
          <w:numId w:val="21"/>
        </w:numPr>
        <w:spacing w:line="360" w:lineRule="auto"/>
        <w:jc w:val="both"/>
      </w:pPr>
      <w:r>
        <w:t xml:space="preserve">Compare </w:t>
      </w:r>
      <w:r w:rsidR="00144248">
        <w:t xml:space="preserve">the combustion characteristics </w:t>
      </w:r>
      <w:r w:rsidR="00235CFB">
        <w:t xml:space="preserve">of biochar with pulverised coal to determine the suitability of biochar as </w:t>
      </w:r>
      <w:r w:rsidR="0092551E">
        <w:t xml:space="preserve">partial replacement of </w:t>
      </w:r>
      <w:r w:rsidR="0073181E">
        <w:t xml:space="preserve">the coal, using a drop tube furnace and </w:t>
      </w:r>
      <w:r w:rsidR="00263F88">
        <w:t>thermogravimetric analyser</w:t>
      </w:r>
      <w:r w:rsidR="00FE04F5">
        <w:t>.</w:t>
      </w:r>
    </w:p>
    <w:p w14:paraId="065B6DA9" w14:textId="35E6BE6F" w:rsidR="00EB028C" w:rsidRDefault="00FB19E0" w:rsidP="00DD0541">
      <w:pPr>
        <w:pStyle w:val="ListParagraph"/>
        <w:numPr>
          <w:ilvl w:val="0"/>
          <w:numId w:val="21"/>
        </w:numPr>
        <w:spacing w:line="360" w:lineRule="auto"/>
        <w:jc w:val="both"/>
      </w:pPr>
      <w:r>
        <w:t>Use a lab scale pilot oven to produce biocoke</w:t>
      </w:r>
      <w:r w:rsidR="009D2EC5">
        <w:t xml:space="preserve"> with varying biochar</w:t>
      </w:r>
      <w:r w:rsidR="002A33AE">
        <w:t>/coal</w:t>
      </w:r>
      <w:r w:rsidR="009D2EC5">
        <w:t xml:space="preserve"> replacement concentrations</w:t>
      </w:r>
      <w:r w:rsidR="00EB028C">
        <w:t xml:space="preserve">. </w:t>
      </w:r>
    </w:p>
    <w:p w14:paraId="4DFC0C3F" w14:textId="6A975B2E" w:rsidR="00923388" w:rsidRDefault="00904DC1" w:rsidP="00DD0541">
      <w:pPr>
        <w:pStyle w:val="ListParagraph"/>
        <w:numPr>
          <w:ilvl w:val="0"/>
          <w:numId w:val="21"/>
        </w:numPr>
        <w:spacing w:line="360" w:lineRule="auto"/>
        <w:jc w:val="both"/>
      </w:pPr>
      <w:r>
        <w:t xml:space="preserve">Assess the biocoke </w:t>
      </w:r>
      <w:r w:rsidR="00A642DF">
        <w:t>against blast furnace coke quality measures.</w:t>
      </w:r>
      <w:r>
        <w:t xml:space="preserve"> </w:t>
      </w:r>
      <w:r w:rsidR="00DE2440">
        <w:t xml:space="preserve"> </w:t>
      </w:r>
    </w:p>
    <w:p w14:paraId="1BA68FC2" w14:textId="702477F8" w:rsidR="00D07BAF" w:rsidRDefault="008E5D23" w:rsidP="00DD0541">
      <w:pPr>
        <w:pStyle w:val="ListParagraph"/>
        <w:numPr>
          <w:ilvl w:val="0"/>
          <w:numId w:val="21"/>
        </w:numPr>
        <w:spacing w:line="360" w:lineRule="auto"/>
        <w:jc w:val="both"/>
      </w:pPr>
      <w:r>
        <w:t xml:space="preserve">Produce sinter using a sinter pot at varying different </w:t>
      </w:r>
      <w:r w:rsidR="002A33AE">
        <w:t>biochar/coke breeze replacement concentrations</w:t>
      </w:r>
      <w:r w:rsidR="0097183C">
        <w:t xml:space="preserve">. </w:t>
      </w:r>
    </w:p>
    <w:p w14:paraId="6375C4F8" w14:textId="2F02B241" w:rsidR="00787C75" w:rsidRDefault="00787C75" w:rsidP="00DD0541">
      <w:pPr>
        <w:pStyle w:val="ListParagraph"/>
        <w:numPr>
          <w:ilvl w:val="0"/>
          <w:numId w:val="21"/>
        </w:numPr>
        <w:spacing w:line="360" w:lineRule="auto"/>
        <w:jc w:val="both"/>
      </w:pPr>
      <w:r>
        <w:t>Assess the bio-sinter using blast furnace sinter quality measures.</w:t>
      </w:r>
    </w:p>
    <w:p w14:paraId="7ADBCAE1" w14:textId="600E156C" w:rsidR="004B6C82" w:rsidRDefault="004B6C82" w:rsidP="00DD0541">
      <w:pPr>
        <w:pStyle w:val="ListParagraph"/>
        <w:numPr>
          <w:ilvl w:val="0"/>
          <w:numId w:val="21"/>
        </w:numPr>
        <w:spacing w:line="360" w:lineRule="auto"/>
        <w:jc w:val="both"/>
      </w:pPr>
      <w:r>
        <w:t xml:space="preserve">Identify the near optimum </w:t>
      </w:r>
      <w:r w:rsidR="00D7776C">
        <w:t>biochar/fuel replacement percentage.</w:t>
      </w:r>
    </w:p>
    <w:p w14:paraId="413938CA" w14:textId="0B6EC069" w:rsidR="00D7776C" w:rsidRPr="00083525" w:rsidRDefault="00D7776C" w:rsidP="00DD0541">
      <w:pPr>
        <w:pStyle w:val="ListParagraph"/>
        <w:numPr>
          <w:ilvl w:val="0"/>
          <w:numId w:val="21"/>
        </w:numPr>
        <w:spacing w:line="360" w:lineRule="auto"/>
        <w:jc w:val="both"/>
      </w:pPr>
      <w:r>
        <w:t xml:space="preserve">Calculate the </w:t>
      </w:r>
      <w:r w:rsidR="00B2058F">
        <w:t>potential CO</w:t>
      </w:r>
      <w:r w:rsidR="00B2058F" w:rsidRPr="00B2058F">
        <w:rPr>
          <w:vertAlign w:val="subscript"/>
        </w:rPr>
        <w:t xml:space="preserve">2 </w:t>
      </w:r>
      <w:r w:rsidR="00B2058F">
        <w:t>savings that could be realised by using biochar in these processes.</w:t>
      </w:r>
    </w:p>
    <w:p w14:paraId="42727CBA" w14:textId="7DEA743E" w:rsidR="00196715" w:rsidRDefault="00196715" w:rsidP="00083525">
      <w:pPr>
        <w:pStyle w:val="Heading2"/>
        <w:numPr>
          <w:ilvl w:val="0"/>
          <w:numId w:val="20"/>
        </w:numPr>
      </w:pPr>
      <w:r>
        <w:br w:type="page"/>
      </w:r>
    </w:p>
    <w:p w14:paraId="5FD54DD2" w14:textId="538735C3" w:rsidR="00225BF7" w:rsidRDefault="0022042C" w:rsidP="00F104D1">
      <w:pPr>
        <w:pStyle w:val="Heading1"/>
        <w:spacing w:line="360" w:lineRule="auto"/>
        <w:jc w:val="both"/>
      </w:pPr>
      <w:bookmarkStart w:id="12" w:name="_Toc128599592"/>
      <w:r>
        <w:lastRenderedPageBreak/>
        <w:t>Theory</w:t>
      </w:r>
      <w:bookmarkEnd w:id="12"/>
    </w:p>
    <w:p w14:paraId="2B1116D3" w14:textId="3303CDCD" w:rsidR="00225BF7" w:rsidRDefault="00DE4D1F" w:rsidP="00F104D1">
      <w:pPr>
        <w:pStyle w:val="Heading2"/>
        <w:spacing w:line="360" w:lineRule="auto"/>
        <w:jc w:val="both"/>
      </w:pPr>
      <w:bookmarkStart w:id="13" w:name="_Toc128599593"/>
      <w:r>
        <w:t>Biomass</w:t>
      </w:r>
      <w:bookmarkEnd w:id="13"/>
      <w:r>
        <w:t xml:space="preserve"> </w:t>
      </w:r>
    </w:p>
    <w:p w14:paraId="2CCA25E6" w14:textId="24D2C285" w:rsidR="0069098A" w:rsidRDefault="0069098A" w:rsidP="00F104D1">
      <w:pPr>
        <w:spacing w:line="360" w:lineRule="auto"/>
        <w:jc w:val="both"/>
      </w:pPr>
      <w:r>
        <w:t xml:space="preserve">Biomass refers to organic materials produced by plants, animals, and microorganisms. It can be split into four categories: </w:t>
      </w:r>
    </w:p>
    <w:p w14:paraId="621CBB80" w14:textId="77777777" w:rsidR="0069098A" w:rsidRDefault="0069098A" w:rsidP="0069098A">
      <w:pPr>
        <w:pStyle w:val="ListParagraph"/>
        <w:numPr>
          <w:ilvl w:val="0"/>
          <w:numId w:val="3"/>
        </w:numPr>
        <w:spacing w:line="360" w:lineRule="auto"/>
        <w:jc w:val="both"/>
      </w:pPr>
      <w:r>
        <w:t>Wood and forestry residues – Sawdust, woodchip, bark, lump wood etc.</w:t>
      </w:r>
    </w:p>
    <w:p w14:paraId="0351FA44" w14:textId="77777777" w:rsidR="0069098A" w:rsidRDefault="0069098A" w:rsidP="0069098A">
      <w:pPr>
        <w:pStyle w:val="ListParagraph"/>
        <w:numPr>
          <w:ilvl w:val="0"/>
          <w:numId w:val="3"/>
        </w:numPr>
        <w:spacing w:line="360" w:lineRule="auto"/>
        <w:jc w:val="both"/>
      </w:pPr>
      <w:r>
        <w:t>Agriculture residues – Straw, corn stalks, bagasse, willow, and nut hulls.</w:t>
      </w:r>
    </w:p>
    <w:p w14:paraId="7AFAB13B" w14:textId="77777777" w:rsidR="0069098A" w:rsidRDefault="0069098A" w:rsidP="0069098A">
      <w:pPr>
        <w:pStyle w:val="ListParagraph"/>
        <w:numPr>
          <w:ilvl w:val="0"/>
          <w:numId w:val="3"/>
        </w:numPr>
        <w:spacing w:line="360" w:lineRule="auto"/>
        <w:jc w:val="both"/>
      </w:pPr>
      <w:r>
        <w:t>Organic industry waste – Papermill sludge and food processing wastes.</w:t>
      </w:r>
    </w:p>
    <w:p w14:paraId="7E6E1CEB" w14:textId="53C67073" w:rsidR="0069098A" w:rsidRDefault="005056C4" w:rsidP="0069098A">
      <w:pPr>
        <w:pStyle w:val="ListParagraph"/>
        <w:numPr>
          <w:ilvl w:val="0"/>
          <w:numId w:val="3"/>
        </w:numPr>
        <w:spacing w:line="360" w:lineRule="auto"/>
        <w:jc w:val="both"/>
      </w:pPr>
      <w:r>
        <w:rPr>
          <w:noProof/>
        </w:rPr>
        <mc:AlternateContent>
          <mc:Choice Requires="wpi">
            <w:drawing>
              <wp:anchor distT="0" distB="0" distL="114300" distR="114300" simplePos="0" relativeHeight="251739136" behindDoc="0" locked="0" layoutInCell="1" allowOverlap="1" wp14:anchorId="3AE0E431" wp14:editId="3A1E76F9">
                <wp:simplePos x="0" y="0"/>
                <wp:positionH relativeFrom="column">
                  <wp:posOffset>2735568</wp:posOffset>
                </wp:positionH>
                <wp:positionV relativeFrom="paragraph">
                  <wp:posOffset>91966</wp:posOffset>
                </wp:positionV>
                <wp:extent cx="360" cy="360"/>
                <wp:effectExtent l="38100" t="38100" r="38100" b="38100"/>
                <wp:wrapNone/>
                <wp:docPr id="197" name="Ink 197"/>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6874DE78" id="Ink 197" o:spid="_x0000_s1026" type="#_x0000_t75" style="position:absolute;margin-left:215.05pt;margin-top:6.9pt;width:.75pt;height:.7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qoUM/8cBAABqBAAAEAAAAGRycy9pbmsvaW5rMS54bWy0&#10;k0Fv2yAUx++T9h0QO+wy22AncWrV6WmRJm3StHbSdnRtGqMaiADHybffMybEVdOdNlmy4MH7896P&#10;P7d3R9GhA9OGK1liGhOMmKxVw+WuxD8fttEaI2Mr2VSdkqzEJ2bw3eb9u1sun0VXwB+BgjTjSHQl&#10;bq3dF0kyDEM8ZLHSuyQlJEu+yOdvX/HGZzXsiUtu4UhzDtVKWna0o1jBmxLX9kjCftC+V72uWVge&#10;I7q+7LC6qtlWaVHZoNhWUrIOyUpA3b8wsqc9DDics2MaI8Gh4SiN6SJfrD/fQKA6lng276FEA5UI&#10;nFzX/P0fNLevNceysjRf5Rj5khp2GGtKHPPi7d6/a7Vn2nJ2wTxB8QsnVE9zx2cCpZlRXT/eDUaH&#10;qusBGSUEbOHPpskVIK/1gM0/1QMub+rNi3uJxrc35+ChBUudr9ZywcDoYh88Zg0Ij+F7q91zSEma&#10;RSSL0tUDXRcZKUgeL8hqdhXexWfNR92bNug96otf3UqgNnU28Ma2ATqJSboM1OfMr+W2jO9a+9dk&#10;37jLDt658hKdnZDv5Ad7KvEH9xiRy5wCrhWKKEoXy3z56SOBL1rTG/rCk+EUgL35AwAA//8DAFBL&#10;AwQUAAYACAAAACEAmAjmzN0AAAAJAQAADwAAAGRycy9kb3ducmV2LnhtbEyPwU7DMBBE70j8g7VI&#10;3KgTUkqVxqkKEpdyQJT27iZLHLDXwXba8PcsJzjuzNPsTLWenBUnDLH3pCCfZSCQGt/21CnYvz3d&#10;LEHEpKnV1hMq+MYI6/ryotJl68/0iqdd6gSHUCy1ApPSUEoZG4NOx5kfkNh798HpxGfoZBv0mcOd&#10;lbdZtpBO98QfjB7w0WDzuRudgod+NB/N173bb6bl4UVug823z0pdX02bFYiEU/qD4bc+V4eaOx39&#10;SG0UVsG8yHJG2Sh4AgPzIl+AOLJwV4CsK/l/Qf0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qoUM/8cBAABqBAAAEAAAAAAAAAAAAAAAAADTAwAAZHJz&#10;L2luay9pbmsxLnhtbFBLAQItABQABgAIAAAAIQCYCObM3QAAAAkBAAAPAAAAAAAAAAAAAAAAAMgF&#10;AABkcnMvZG93bnJldi54bWxQSwECLQAUAAYACAAAACEAeRi8nb8AAAAhAQAAGQAAAAAAAAAAAAAA&#10;AADSBgAAZHJzL19yZWxzL2Uyb0RvYy54bWwucmVsc1BLBQYAAAAABgAGAHgBAADIBwAAAAA=&#10;">
                <v:imagedata r:id="rId30" o:title=""/>
              </v:shape>
            </w:pict>
          </mc:Fallback>
        </mc:AlternateContent>
      </w:r>
      <w:r w:rsidR="0069098A">
        <w:t>Urban wastes – Sewage, common waste</w:t>
      </w:r>
      <w:r>
        <w:t>,</w:t>
      </w:r>
      <w:r w:rsidR="0069098A">
        <w:t xml:space="preserve"> manure and compost.</w:t>
      </w:r>
    </w:p>
    <w:p w14:paraId="61585749" w14:textId="3915CD58" w:rsidR="0069098A" w:rsidRDefault="0069098A" w:rsidP="0069098A">
      <w:pPr>
        <w:spacing w:line="360" w:lineRule="auto"/>
        <w:jc w:val="both"/>
      </w:pPr>
      <w:r>
        <w:fldChar w:fldCharType="begin"/>
      </w:r>
      <w:r w:rsidR="00192334">
        <w:instrText xml:space="preserve"> ADDIN ZOTERO_ITEM CSL_CITATION {"citationID":"53JVGSVI","properties":{"formattedCitation":"(Mousa {\\i{}et al.}, 2016)","plainCitation":"(Mousa et al., 2016)","noteIndex":0},"citationItems":[{"id":467,"uris":["http://zotero.org/users/local/AB2owHL2/items/EZKAGM8Y"],"itemData":{"id":467,"type":"article-journal","abstract":"The iron and steel industry accounts for about 20% of the annual industrial energy utilization. The intensive fossil fuel consumption in steel industry is associated with CO2 emission. In the absence of economically feasible and efficient methods for capture and storage of enormous quantities of CO2 emissions from steel industry, the use of biomass products as a source of energy and reducing agents provides a promising alternative solution for green steel production. However, the biomass application in iron and steel industry is still limited and it suffers strong competition from fossil fuels. The challenges of biomass usage in steel industry are included technical and economic aspects which required synergy between steelmaking and bioenergy sectors. Although intensive work has been carried out separately, there is a lack of link between these two vital sectors. The present article provides a comprehensive review of recent research progresses which have been conducted on biomass upgrading and analysing the opportunities and obstacles for biomass implementation in iron and steel industry. In the first part, an overview on the energy consumption and CO2 emissions in different iron and steelmaking routes is clarified. Moreover, the potential approaches of biomass conversion processes and upgrading technologies are reviewed. In the second part, an attention has been paid to the utilization of torrefied/pyrolyzed biomass in the energy-intensive ironmaking processes. Biomass addition to coal blend during cokemaking and its influence on the product coke quality is discussed. The partial and complete substitution of coke breeze with biochar in sintering process and its influence on the product sinter quality is explained. The impact of charcoal top charging or injection into blast furnace has been elaborated. Benefits and limitations of biomass application in each process are thoroughly discussed. In the third part, an economic analysis of biomass implementation for low-carbon steel is addressed.","container-title":"Renewable and Sustainable Energy Reviews","DOI":"10.1016/j.rser.2016.07.061","ISSN":"1364-0321","journalAbbreviation":"Renewable and Sustainable Energy Reviews","language":"en","page":"1247-1266","source":"ScienceDirect","title":"Biomass applications in iron and steel industry: An overview of challenges and opportunities","title-short":"Biomass applications in iron and steel industry","URL":"https://www.sciencedirect.com/science/article/pii/S1364032116303896","volume":"65","author":[{"family":"Mousa","given":"Elsayed"},{"family":"Wang","given":"Chuan"},{"family":"Riesbeck","given":"Johan"},{"family":"Larsson","given":"Mikael"}],"accessed":{"date-parts":[["2021",2,15]]},"issued":{"date-parts":[["2016",11,1]]}}}],"schema":"https://github.com/citation-style-language/schema/raw/master/csl-citation.json"} </w:instrText>
      </w:r>
      <w:r>
        <w:fldChar w:fldCharType="separate"/>
      </w:r>
      <w:r w:rsidR="00192334" w:rsidRPr="00192334">
        <w:rPr>
          <w:rFonts w:ascii="Calibri" w:hAnsi="Calibri" w:cs="Calibri"/>
          <w:szCs w:val="24"/>
        </w:rPr>
        <w:t xml:space="preserve">(Mousa </w:t>
      </w:r>
      <w:r w:rsidR="00192334" w:rsidRPr="00192334">
        <w:rPr>
          <w:rFonts w:ascii="Calibri" w:hAnsi="Calibri" w:cs="Calibri"/>
          <w:i/>
          <w:iCs/>
          <w:szCs w:val="24"/>
        </w:rPr>
        <w:t>et al.</w:t>
      </w:r>
      <w:r w:rsidR="00192334" w:rsidRPr="00192334">
        <w:rPr>
          <w:rFonts w:ascii="Calibri" w:hAnsi="Calibri" w:cs="Calibri"/>
          <w:szCs w:val="24"/>
        </w:rPr>
        <w:t>, 2016)</w:t>
      </w:r>
      <w:r>
        <w:fldChar w:fldCharType="end"/>
      </w:r>
    </w:p>
    <w:p w14:paraId="66DA49D4" w14:textId="06E50138" w:rsidR="00225BF7" w:rsidRDefault="00146AA0" w:rsidP="00146AA0">
      <w:pPr>
        <w:spacing w:line="360" w:lineRule="auto"/>
        <w:jc w:val="both"/>
      </w:pPr>
      <w:r>
        <w:t>These products</w:t>
      </w:r>
      <w:r w:rsidR="00CA19C0">
        <w:t xml:space="preserve"> all</w:t>
      </w:r>
      <w:r>
        <w:t xml:space="preserve"> have very different origins, and their physical and chemical properties will therefore </w:t>
      </w:r>
      <w:r w:rsidR="00083D15">
        <w:t xml:space="preserve">differ </w:t>
      </w:r>
      <w:r>
        <w:t xml:space="preserve">significantly. The coal, sinter and iron making processes are complex and their raw materials </w:t>
      </w:r>
      <w:r w:rsidR="00B031B2">
        <w:t>h</w:t>
      </w:r>
      <w:r>
        <w:t xml:space="preserve">ave </w:t>
      </w:r>
      <w:r w:rsidR="00B031B2">
        <w:t>specific requirements. Therefore, not all the biomass fuels listed above would be considered suitable for use in these processes</w:t>
      </w:r>
      <w:r w:rsidR="009D058C">
        <w:t>,</w:t>
      </w:r>
      <w:r w:rsidR="008447C8">
        <w:t xml:space="preserve"> there is also</w:t>
      </w:r>
      <w:r w:rsidR="00B031B2">
        <w:t xml:space="preserve"> </w:t>
      </w:r>
      <w:r w:rsidR="009658A0">
        <w:t xml:space="preserve">usually some form of thermal pre-treatment required </w:t>
      </w:r>
      <w:r w:rsidR="0022042C">
        <w:fldChar w:fldCharType="begin"/>
      </w:r>
      <w:r w:rsidR="00192334">
        <w:instrText xml:space="preserve"> ADDIN ZOTERO_ITEM CSL_CITATION {"citationID":"ji920iIg","properties":{"formattedCitation":"(Fick {\\i{}et al.}, 2014)","plainCitation":"(Fick et al., 2014)","noteIndex":0},"citationItems":[{"id":1731,"uris":["http://zotero.org/users/local/AB2owHL2/items/RGBXIN8E"],"itemData":{"id":1731,"type":"article-journal","abstract":"The classical route for iron- and steel-making today is based on massive use of fossil coal, which is responsible for most of the large CO2 emissions of the steel industry. Biomass, as a renewable carbon resource, is a good candidate to substitute for fossil coal and even partial substitution could lead to a signiﬁcant reduction in CO2 emissions. Depending on the type of biomass, its processing, and the way it is used in the iron making process, many different scenarios may be considered. Those scenarios should be evaluated and compared from technical, environmental, and economical points of view in order to ﬁgure out the best options. The case of a real pig iron plant located in the North East of France was investigated. First, we checked the relevance of various biomass options on the basis of the biomass availability around the plant and of the technical requirements of the processes. Then, we carried out a screening life cycle assessment focusing on global warming impacts and following a cradle-to-gate approach. Different biomass-based pig iron production scenarios were compared. The results showed that for a 20 % substitution of biomass for coke, around 300 kg of CO2equivalent per ton of pig iron produced could be saved, which represents a reduction of 15 % in the total greenhouse gas emissions. Finally, a brief economic evaluation of the resulting scenarios was performed.","container-title":"Waste and Biomass Valorization","DOI":"10.1007/s12649-013-9223-1","ISSN":"1877-2641, 1877-265X","issue":"1","journalAbbreviation":"Waste Biomass Valor","language":"en","page":"43-55","source":"DOI.org (Crossref)","title":"Using Biomass for Pig Iron Production: A Technical, Environmental and Economical Assessment","title-short":"Using Biomass for Pig Iron Production","URL":"http://link.springer.com/10.1007/s12649-013-9223-1","volume":"5","author":[{"family":"Fick","given":"G."},{"family":"Mirgaux","given":"O."},{"family":"Neau","given":"P."},{"family":"Patisson","given":"F."}],"accessed":{"date-parts":[["2022",7,4]]},"issued":{"date-parts":[["2014",2]]}}}],"schema":"https://github.com/citation-style-language/schema/raw/master/csl-citation.json"} </w:instrText>
      </w:r>
      <w:r w:rsidR="0022042C">
        <w:fldChar w:fldCharType="separate"/>
      </w:r>
      <w:r w:rsidR="00192334" w:rsidRPr="00192334">
        <w:rPr>
          <w:rFonts w:ascii="Calibri" w:hAnsi="Calibri" w:cs="Calibri"/>
          <w:szCs w:val="24"/>
        </w:rPr>
        <w:t xml:space="preserve">(Fick </w:t>
      </w:r>
      <w:r w:rsidR="00192334" w:rsidRPr="00192334">
        <w:rPr>
          <w:rFonts w:ascii="Calibri" w:hAnsi="Calibri" w:cs="Calibri"/>
          <w:i/>
          <w:iCs/>
          <w:szCs w:val="24"/>
        </w:rPr>
        <w:t>et al.</w:t>
      </w:r>
      <w:r w:rsidR="00192334" w:rsidRPr="00192334">
        <w:rPr>
          <w:rFonts w:ascii="Calibri" w:hAnsi="Calibri" w:cs="Calibri"/>
          <w:szCs w:val="24"/>
        </w:rPr>
        <w:t>, 2014)</w:t>
      </w:r>
      <w:r w:rsidR="0022042C">
        <w:fldChar w:fldCharType="end"/>
      </w:r>
      <w:r w:rsidR="00B031B2">
        <w:t xml:space="preserve">. </w:t>
      </w:r>
      <w:r w:rsidR="0022042C">
        <w:t xml:space="preserve"> </w:t>
      </w:r>
      <w:r w:rsidR="008D2F53">
        <w:t xml:space="preserve"> </w:t>
      </w:r>
    </w:p>
    <w:p w14:paraId="6C3CF4B9" w14:textId="21A3E149" w:rsidR="008447C8" w:rsidRPr="008447C8" w:rsidRDefault="00CA3164" w:rsidP="00F104D1">
      <w:pPr>
        <w:pStyle w:val="Heading3"/>
        <w:spacing w:line="360" w:lineRule="auto"/>
        <w:jc w:val="both"/>
      </w:pPr>
      <w:bookmarkStart w:id="14" w:name="_Toc128599594"/>
      <w:r>
        <w:t xml:space="preserve">Raw </w:t>
      </w:r>
      <w:r w:rsidR="008447C8">
        <w:t>Biomass structure</w:t>
      </w:r>
      <w:bookmarkEnd w:id="14"/>
    </w:p>
    <w:p w14:paraId="234CBEC1" w14:textId="392AD587" w:rsidR="005A7217" w:rsidRDefault="005A7217" w:rsidP="00F104D1">
      <w:pPr>
        <w:spacing w:line="360" w:lineRule="auto"/>
        <w:jc w:val="both"/>
      </w:pPr>
      <w:r>
        <w:t>The structure of biomass can be lignocellulosic or non-lignocellulosic</w:t>
      </w:r>
      <w:r w:rsidR="00BD2DBB">
        <w:t xml:space="preserve">. The lignocellulosic material is the fibrous part of the plant that consists of cellulose, </w:t>
      </w:r>
      <w:r w:rsidR="00B72433">
        <w:t>hemicellulose,</w:t>
      </w:r>
      <w:r w:rsidR="00BD2DBB">
        <w:t xml:space="preserve"> and lignin</w:t>
      </w:r>
      <w:r w:rsidR="00046072">
        <w:t xml:space="preserve"> (figure </w:t>
      </w:r>
      <w:r w:rsidR="00E433C7">
        <w:t>4</w:t>
      </w:r>
      <w:r w:rsidR="00046072">
        <w:t>)</w:t>
      </w:r>
      <w:r w:rsidR="00B72433">
        <w:t>. The non-lignocellulosic material is non-cellulosic organic material which is used for nutritional purposes such as Sugar, protein, fat and starch. Lignocellulosic material can be described as woody</w:t>
      </w:r>
      <w:r w:rsidR="009264FE">
        <w:t xml:space="preserve"> and is not easily digestible by humans</w:t>
      </w:r>
      <w:r w:rsidR="00EA2334">
        <w:t xml:space="preserve"> </w:t>
      </w:r>
      <w:r w:rsidR="00EA2334">
        <w:fldChar w:fldCharType="begin"/>
      </w:r>
      <w:r w:rsidR="00192334">
        <w:instrText xml:space="preserve"> ADDIN ZOTERO_ITEM CSL_CITATION {"citationID":"UxBgHQj5","properties":{"formattedCitation":"(Basu, 2013)","plainCitation":"(Basu, 2013)","noteIndex":0},"citationItems":[{"id":1802,"uris":["http://zotero.org/users/local/AB2owHL2/items/VI2AMRUM"],"itemData":{"id":1802,"type":"book","edition":"Second","event-place":"London","publisher":"Elsevier","publisher-place":"London","title":"Biomass Gasification, Pyrolysis, and Torrefaction Practical Design and Theory","author":[{"family":"Basu","given":"Prabir"}],"issued":{"date-parts":[["2013"]]}}}],"schema":"https://github.com/citation-style-language/schema/raw/master/csl-citation.json"} </w:instrText>
      </w:r>
      <w:r w:rsidR="00EA2334">
        <w:fldChar w:fldCharType="separate"/>
      </w:r>
      <w:r w:rsidR="00192334" w:rsidRPr="00192334">
        <w:rPr>
          <w:rFonts w:ascii="Calibri" w:hAnsi="Calibri" w:cs="Calibri"/>
        </w:rPr>
        <w:t>(Basu, 2013)</w:t>
      </w:r>
      <w:r w:rsidR="00EA2334">
        <w:fldChar w:fldCharType="end"/>
      </w:r>
      <w:r w:rsidR="009264FE">
        <w:t>.</w:t>
      </w:r>
      <w:r w:rsidR="007E61DA">
        <w:t xml:space="preserve"> </w:t>
      </w:r>
      <w:r w:rsidR="00790785">
        <w:t xml:space="preserve">In a thorough assessment of many different types of biomass </w:t>
      </w:r>
      <w:r w:rsidR="00790785">
        <w:fldChar w:fldCharType="begin"/>
      </w:r>
      <w:r w:rsidR="00192334">
        <w:instrText xml:space="preserve"> ADDIN ZOTERO_ITEM CSL_CITATION {"citationID":"FMX0xybt","properties":{"formattedCitation":"(Tao {\\i{}et al.}, 2012)","plainCitation":"(Tao et al., 2012)","noteIndex":0},"citationItems":[{"id":1809,"uris":["http://zotero.org/users/local/AB2owHL2/items/DKFZ59Y6"],"itemData":{"id":1809,"type":"article-journal","container-title":"Renewable and Sustainable Energy Reviews","DOI":"10.1016/j.rser.2012.02.039","ISSN":"13640321","issue":"5","journalAbbreviation":"Renewable and Sustainable Energy Reviews","language":"en","page":"3481-3506","source":"DOI.org (Crossref)","title":"Biomass properties in association with plant species and assortments I: A synthesis based on literature data of energy properties","title-short":"Biomass properties in association with plant species and assortments I","URL":"https://linkinghub.elsevier.com/retrieve/pii/S1364032112001335","volume":"16","author":[{"family":"Tao","given":"Guangcan"},{"family":"Lestander","given":"Torbjörn A."},{"family":"Geladi","given":"Paul"},{"family":"Xiong","given":"Shaojun"}],"accessed":{"date-parts":[["2022",7,20]]},"issued":{"date-parts":[["2012",6]]}}}],"schema":"https://github.com/citation-style-language/schema/raw/master/csl-citation.json"} </w:instrText>
      </w:r>
      <w:r w:rsidR="00790785">
        <w:fldChar w:fldCharType="separate"/>
      </w:r>
      <w:r w:rsidR="00192334" w:rsidRPr="00192334">
        <w:rPr>
          <w:rFonts w:ascii="Calibri" w:hAnsi="Calibri" w:cs="Calibri"/>
          <w:szCs w:val="24"/>
        </w:rPr>
        <w:t xml:space="preserve">(Tao </w:t>
      </w:r>
      <w:r w:rsidR="00192334" w:rsidRPr="00192334">
        <w:rPr>
          <w:rFonts w:ascii="Calibri" w:hAnsi="Calibri" w:cs="Calibri"/>
          <w:i/>
          <w:iCs/>
          <w:szCs w:val="24"/>
        </w:rPr>
        <w:t>et al.</w:t>
      </w:r>
      <w:r w:rsidR="00192334" w:rsidRPr="00192334">
        <w:rPr>
          <w:rFonts w:ascii="Calibri" w:hAnsi="Calibri" w:cs="Calibri"/>
          <w:szCs w:val="24"/>
        </w:rPr>
        <w:t>, 2012)</w:t>
      </w:r>
      <w:r w:rsidR="00790785">
        <w:fldChar w:fldCharType="end"/>
      </w:r>
      <w:r w:rsidR="00AE3F2F">
        <w:t xml:space="preserve"> found that woody materials </w:t>
      </w:r>
      <w:r w:rsidR="006046A8">
        <w:t xml:space="preserve">were considered a higher </w:t>
      </w:r>
      <w:r w:rsidR="00C70A66">
        <w:t>quality for use in a BF</w:t>
      </w:r>
      <w:r w:rsidR="006B6E69">
        <w:t xml:space="preserve">, while </w:t>
      </w:r>
      <w:r w:rsidR="00572D55">
        <w:t xml:space="preserve"> herbaceous biomass such as straw and fruit residues were </w:t>
      </w:r>
      <w:r w:rsidR="00B97C37">
        <w:t>considered low quality fuels.</w:t>
      </w:r>
      <w:r w:rsidR="009264FE">
        <w:t xml:space="preserve"> </w:t>
      </w:r>
      <w:r w:rsidR="008620E6">
        <w:t xml:space="preserve"> The</w:t>
      </w:r>
      <w:r w:rsidR="004C705F">
        <w:t xml:space="preserve"> reason</w:t>
      </w:r>
      <w:r w:rsidR="00417F5D">
        <w:t>s</w:t>
      </w:r>
      <w:r w:rsidR="004C705F">
        <w:t xml:space="preserve"> the </w:t>
      </w:r>
      <w:r w:rsidR="006858FD">
        <w:t>wood-based</w:t>
      </w:r>
      <w:r w:rsidR="00417F5D">
        <w:t xml:space="preserve"> biomasses are favourable is because </w:t>
      </w:r>
      <w:r w:rsidR="00D90805">
        <w:t xml:space="preserve">they have low ash and sulphur content and the </w:t>
      </w:r>
      <w:r w:rsidR="00E12739">
        <w:t>level</w:t>
      </w:r>
      <w:r w:rsidR="00D90805">
        <w:t xml:space="preserve"> of </w:t>
      </w:r>
      <w:r w:rsidR="00225EF6">
        <w:t>harmful elements such as</w:t>
      </w:r>
      <w:r w:rsidR="0070750C">
        <w:t xml:space="preserve"> sodium (Na) and potassium (K) </w:t>
      </w:r>
      <w:r w:rsidR="00330FF8">
        <w:t>found in wood ash, are at acceptable levels.</w:t>
      </w:r>
      <w:r w:rsidR="00B72433">
        <w:t xml:space="preserve"> </w:t>
      </w:r>
    </w:p>
    <w:p w14:paraId="184258F9" w14:textId="6150850C" w:rsidR="00B95995" w:rsidRDefault="00B95995" w:rsidP="00146AA0">
      <w:pPr>
        <w:spacing w:line="360" w:lineRule="auto"/>
        <w:jc w:val="both"/>
      </w:pPr>
      <w:r w:rsidRPr="00B95995">
        <w:rPr>
          <w:noProof/>
        </w:rPr>
        <w:drawing>
          <wp:inline distT="0" distB="0" distL="0" distR="0" wp14:anchorId="1FD5623B" wp14:editId="67B3C220">
            <wp:extent cx="5063007" cy="1407381"/>
            <wp:effectExtent l="0" t="0" r="4445"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1"/>
                    <a:stretch>
                      <a:fillRect/>
                    </a:stretch>
                  </pic:blipFill>
                  <pic:spPr>
                    <a:xfrm>
                      <a:off x="0" y="0"/>
                      <a:ext cx="5148082" cy="1431030"/>
                    </a:xfrm>
                    <a:prstGeom prst="rect">
                      <a:avLst/>
                    </a:prstGeom>
                  </pic:spPr>
                </pic:pic>
              </a:graphicData>
            </a:graphic>
          </wp:inline>
        </w:drawing>
      </w:r>
    </w:p>
    <w:p w14:paraId="690D1744" w14:textId="0FC9AC70" w:rsidR="00B95995" w:rsidRDefault="00B95995" w:rsidP="00B95995">
      <w:pPr>
        <w:pStyle w:val="Caption"/>
      </w:pPr>
      <w:bookmarkStart w:id="15" w:name="_Toc127110898"/>
      <w:r>
        <w:t xml:space="preserve">Figure </w:t>
      </w:r>
      <w:fldSimple w:instr=" SEQ Figure \* ARABIC ">
        <w:r w:rsidR="00A0212F">
          <w:rPr>
            <w:noProof/>
          </w:rPr>
          <w:t>4</w:t>
        </w:r>
      </w:fldSimple>
      <w:r>
        <w:t xml:space="preserve"> Major constituents of a woody biomass </w:t>
      </w:r>
      <w:r>
        <w:fldChar w:fldCharType="begin"/>
      </w:r>
      <w:r w:rsidR="00192334">
        <w:instrText xml:space="preserve"> ADDIN ZOTERO_ITEM CSL_CITATION {"citationID":"FC7qtAxu","properties":{"formattedCitation":"(Basu, 2013)","plainCitation":"(Basu, 2013)","noteIndex":0},"citationItems":[{"id":1802,"uris":["http://zotero.org/users/local/AB2owHL2/items/VI2AMRUM"],"itemData":{"id":1802,"type":"book","edition":"Second","event-place":"London","publisher":"Elsevier","publisher-place":"London","title":"Biomass Gasification, Pyrolysis, and Torrefaction Practical Design and Theory","author":[{"family":"Basu","given":"Prabir"}],"issued":{"date-parts":[["2013"]]}}}],"schema":"https://github.com/citation-style-language/schema/raw/master/csl-citation.json"} </w:instrText>
      </w:r>
      <w:r>
        <w:fldChar w:fldCharType="separate"/>
      </w:r>
      <w:bookmarkEnd w:id="15"/>
      <w:r w:rsidR="00192334" w:rsidRPr="00192334">
        <w:rPr>
          <w:rFonts w:ascii="Calibri" w:hAnsi="Calibri" w:cs="Calibri"/>
        </w:rPr>
        <w:t>(Basu, 2013)</w:t>
      </w:r>
      <w:r>
        <w:fldChar w:fldCharType="end"/>
      </w:r>
    </w:p>
    <w:p w14:paraId="1DDDBA7E" w14:textId="4E598924" w:rsidR="00B95995" w:rsidRDefault="00B95995" w:rsidP="00B95995">
      <w:pPr>
        <w:spacing w:line="360" w:lineRule="auto"/>
        <w:jc w:val="both"/>
      </w:pPr>
      <w:r w:rsidRPr="00B921F5">
        <w:rPr>
          <w:b/>
          <w:bCs/>
        </w:rPr>
        <w:lastRenderedPageBreak/>
        <w:t>Cellulose</w:t>
      </w:r>
      <w:r>
        <w:t xml:space="preserve"> (</w:t>
      </w:r>
      <w:r w:rsidRPr="00B95995">
        <w:t>C</w:t>
      </w:r>
      <w:r w:rsidRPr="00B95995">
        <w:rPr>
          <w:vertAlign w:val="subscript"/>
        </w:rPr>
        <w:t>6</w:t>
      </w:r>
      <w:r>
        <w:t>H</w:t>
      </w:r>
      <w:r w:rsidRPr="00B95995">
        <w:rPr>
          <w:vertAlign w:val="subscript"/>
        </w:rPr>
        <w:t>10</w:t>
      </w:r>
      <w:r>
        <w:t>O</w:t>
      </w:r>
      <w:r w:rsidRPr="00B95995">
        <w:rPr>
          <w:vertAlign w:val="subscript"/>
        </w:rPr>
        <w:t>5</w:t>
      </w:r>
      <w:r>
        <w:t>)</w:t>
      </w:r>
      <w:r w:rsidR="00AE3893" w:rsidRPr="00AE3893">
        <w:rPr>
          <w:vertAlign w:val="subscript"/>
        </w:rPr>
        <w:t>n</w:t>
      </w:r>
      <w:r>
        <w:t xml:space="preserve"> </w:t>
      </w:r>
      <w:r w:rsidRPr="00B95995">
        <w:t>is</w:t>
      </w:r>
      <w:r>
        <w:t xml:space="preserve"> the most common organic compound on earth and is the primary structural component of cell walls in biomass. </w:t>
      </w:r>
      <w:r w:rsidR="00E80534">
        <w:t xml:space="preserve">Cellulose is a long chain </w:t>
      </w:r>
      <w:r w:rsidR="008D63B0">
        <w:t>polymer;</w:t>
      </w:r>
      <w:r w:rsidR="00E80534">
        <w:t xml:space="preserve"> its crystalline structure gives it a high strength and forms most biomass skeletal structure. It is the largest component of wood</w:t>
      </w:r>
      <w:r w:rsidR="00993E9D">
        <w:t>,</w:t>
      </w:r>
      <w:r w:rsidR="00E80534">
        <w:t xml:space="preserve"> making up to 44% of dry weight </w:t>
      </w:r>
      <w:r w:rsidR="00E80534">
        <w:fldChar w:fldCharType="begin"/>
      </w:r>
      <w:r w:rsidR="00192334">
        <w:instrText xml:space="preserve"> ADDIN ZOTERO_ITEM CSL_CITATION {"citationID":"QnaK2EA6","properties":{"formattedCitation":"(Basu, 2013)","plainCitation":"(Basu, 2013)","noteIndex":0},"citationItems":[{"id":1802,"uris":["http://zotero.org/users/local/AB2owHL2/items/VI2AMRUM"],"itemData":{"id":1802,"type":"book","edition":"Second","event-place":"London","publisher":"Elsevier","publisher-place":"London","title":"Biomass Gasification, Pyrolysis, and Torrefaction Practical Design and Theory","author":[{"family":"Basu","given":"Prabir"}],"issued":{"date-parts":[["2013"]]}}}],"schema":"https://github.com/citation-style-language/schema/raw/master/csl-citation.json"} </w:instrText>
      </w:r>
      <w:r w:rsidR="00E80534">
        <w:fldChar w:fldCharType="separate"/>
      </w:r>
      <w:r w:rsidR="00192334" w:rsidRPr="00192334">
        <w:rPr>
          <w:rFonts w:ascii="Calibri" w:hAnsi="Calibri" w:cs="Calibri"/>
        </w:rPr>
        <w:t>(Basu, 2013)</w:t>
      </w:r>
      <w:r w:rsidR="00E80534">
        <w:fldChar w:fldCharType="end"/>
      </w:r>
      <w:r w:rsidR="00E80534">
        <w:t xml:space="preserve">.  Cellulose is hygroscopic and is responsible for the </w:t>
      </w:r>
      <w:r w:rsidR="004479A1">
        <w:t>hygroscopic</w:t>
      </w:r>
      <w:r w:rsidR="00E80534">
        <w:t xml:space="preserve"> behaviour of biomass</w:t>
      </w:r>
      <w:r w:rsidR="004479A1">
        <w:t xml:space="preserve"> </w:t>
      </w:r>
      <w:r w:rsidR="00AE3893">
        <w:fldChar w:fldCharType="begin"/>
      </w:r>
      <w:r w:rsidR="00192334">
        <w:instrText xml:space="preserve"> ADDIN ZOTERO_ITEM CSL_CITATION {"citationID":"ZHrY8K1A","properties":{"formattedCitation":"(Nhuchhen, Basu and Acharya, 2014)","plainCitation":"(Nhuchhen, Basu and Acharya, 2014)","noteIndex":0},"citationItems":[{"id":1803,"uris":["http://zotero.org/users/local/AB2owHL2/items/JBSJZQU2"],"itemData":{"id":1803,"type":"article-journal","container-title":"International Journal of Renewable Energy &amp; Biofuels","DOI":"10.5171/2014.506376","page":"56","title":"A Comprehensive Review on Biomass  Torrefaction","volume":"2014","author":[{"family":"Nhuchhen","given":"Daya Ram"},{"family":"Basu","given":"Prabir"},{"family":"Acharya","given":"Bishnu"}],"issued":{"date-parts":[["2014"]]}}}],"schema":"https://github.com/citation-style-language/schema/raw/master/csl-citation.json"} </w:instrText>
      </w:r>
      <w:r w:rsidR="00AE3893">
        <w:fldChar w:fldCharType="separate"/>
      </w:r>
      <w:r w:rsidR="00192334" w:rsidRPr="00192334">
        <w:rPr>
          <w:rFonts w:ascii="Calibri" w:hAnsi="Calibri" w:cs="Calibri"/>
        </w:rPr>
        <w:t>(Nhuchhen, Basu and Acharya, 2014)</w:t>
      </w:r>
      <w:r w:rsidR="00AE3893">
        <w:fldChar w:fldCharType="end"/>
      </w:r>
      <w:r w:rsidR="004479A1">
        <w:t xml:space="preserve">. </w:t>
      </w:r>
      <w:r w:rsidR="00AE3893" w:rsidRPr="00B921F5">
        <w:rPr>
          <w:b/>
          <w:bCs/>
        </w:rPr>
        <w:t>Hemicellulose</w:t>
      </w:r>
      <w:r w:rsidR="00AE3893">
        <w:t xml:space="preserve"> (C</w:t>
      </w:r>
      <w:r w:rsidR="00AE3893" w:rsidRPr="00AE3893">
        <w:rPr>
          <w:vertAlign w:val="subscript"/>
        </w:rPr>
        <w:t>5</w:t>
      </w:r>
      <w:r w:rsidR="00AE3893">
        <w:t>H</w:t>
      </w:r>
      <w:r w:rsidR="00AE3893" w:rsidRPr="00AE3893">
        <w:rPr>
          <w:vertAlign w:val="subscript"/>
        </w:rPr>
        <w:t>8</w:t>
      </w:r>
      <w:r w:rsidR="00AE3893">
        <w:t>O</w:t>
      </w:r>
      <w:r w:rsidR="00AE3893" w:rsidRPr="00AE3893">
        <w:rPr>
          <w:vertAlign w:val="subscript"/>
        </w:rPr>
        <w:t>4</w:t>
      </w:r>
      <w:r w:rsidR="00AE3893">
        <w:t>)</w:t>
      </w:r>
      <w:r w:rsidR="00AE3893" w:rsidRPr="00AE3893">
        <w:rPr>
          <w:vertAlign w:val="subscript"/>
        </w:rPr>
        <w:t>n</w:t>
      </w:r>
      <w:r w:rsidR="00AE3893">
        <w:t xml:space="preserve"> is also a constituent of the biomass cell wall</w:t>
      </w:r>
      <w:r w:rsidR="00631035">
        <w:t>,</w:t>
      </w:r>
      <w:r w:rsidR="00AE3893">
        <w:t xml:space="preserve"> although unlike cellulose it has an amorphous structure with little strength. The composition and structure </w:t>
      </w:r>
      <w:r w:rsidR="00DD0385">
        <w:t>vary</w:t>
      </w:r>
      <w:r w:rsidR="00AE3893">
        <w:t xml:space="preserve"> significantly among different </w:t>
      </w:r>
      <w:r w:rsidR="00DD0385">
        <w:t>biomasses</w:t>
      </w:r>
      <w:r w:rsidR="00AE3893">
        <w:t>.</w:t>
      </w:r>
      <w:r w:rsidR="00DD0385">
        <w:t xml:space="preserve"> It constitutes approx. 20-30% of the dry weight of most wood </w:t>
      </w:r>
      <w:r w:rsidR="00DD0385">
        <w:fldChar w:fldCharType="begin"/>
      </w:r>
      <w:r w:rsidR="00192334">
        <w:instrText xml:space="preserve"> ADDIN ZOTERO_ITEM CSL_CITATION {"citationID":"ysylDbgV","properties":{"formattedCitation":"(Basu, 2013)","plainCitation":"(Basu, 2013)","noteIndex":0},"citationItems":[{"id":1802,"uris":["http://zotero.org/users/local/AB2owHL2/items/VI2AMRUM"],"itemData":{"id":1802,"type":"book","edition":"Second","event-place":"London","publisher":"Elsevier","publisher-place":"London","title":"Biomass Gasification, Pyrolysis, and Torrefaction Practical Design and Theory","author":[{"family":"Basu","given":"Prabir"}],"issued":{"date-parts":[["2013"]]}}}],"schema":"https://github.com/citation-style-language/schema/raw/master/csl-citation.json"} </w:instrText>
      </w:r>
      <w:r w:rsidR="00DD0385">
        <w:fldChar w:fldCharType="separate"/>
      </w:r>
      <w:r w:rsidR="00192334" w:rsidRPr="00192334">
        <w:rPr>
          <w:rFonts w:ascii="Calibri" w:hAnsi="Calibri" w:cs="Calibri"/>
        </w:rPr>
        <w:t>(Basu, 2013)</w:t>
      </w:r>
      <w:r w:rsidR="00DD0385">
        <w:fldChar w:fldCharType="end"/>
      </w:r>
      <w:r w:rsidR="00DD0385">
        <w:t>. Hemicellulose groups release CO</w:t>
      </w:r>
      <w:r w:rsidR="00DD0385" w:rsidRPr="00DD0385">
        <w:rPr>
          <w:vertAlign w:val="subscript"/>
        </w:rPr>
        <w:t>2</w:t>
      </w:r>
      <w:r w:rsidR="00DD0385">
        <w:rPr>
          <w:vertAlign w:val="subscript"/>
        </w:rPr>
        <w:t xml:space="preserve"> </w:t>
      </w:r>
      <w:r w:rsidR="00DD0385">
        <w:t xml:space="preserve">&amp; CO upon low temperature thermal treatment and has a significant effect on the mass yield in </w:t>
      </w:r>
      <w:r w:rsidR="00760428">
        <w:t>a thermal pre-treatment</w:t>
      </w:r>
      <w:r w:rsidR="00DD0385">
        <w:t xml:space="preserve"> process</w:t>
      </w:r>
      <w:r w:rsidR="00B921F5">
        <w:t xml:space="preserve"> </w:t>
      </w:r>
      <w:r w:rsidR="00B921F5">
        <w:fldChar w:fldCharType="begin"/>
      </w:r>
      <w:r w:rsidR="00192334">
        <w:instrText xml:space="preserve"> ADDIN ZOTERO_ITEM CSL_CITATION {"citationID":"tGe5M3m9","properties":{"formattedCitation":"(Nhuchhen, Basu and Acharya, 2014)","plainCitation":"(Nhuchhen, Basu and Acharya, 2014)","noteIndex":0},"citationItems":[{"id":1803,"uris":["http://zotero.org/users/local/AB2owHL2/items/JBSJZQU2"],"itemData":{"id":1803,"type":"article-journal","container-title":"International Journal of Renewable Energy &amp; Biofuels","DOI":"10.5171/2014.506376","page":"56","title":"A Comprehensive Review on Biomass  Torrefaction","volume":"2014","author":[{"family":"Nhuchhen","given":"Daya Ram"},{"family":"Basu","given":"Prabir"},{"family":"Acharya","given":"Bishnu"}],"issued":{"date-parts":[["2014"]]}}}],"schema":"https://github.com/citation-style-language/schema/raw/master/csl-citation.json"} </w:instrText>
      </w:r>
      <w:r w:rsidR="00B921F5">
        <w:fldChar w:fldCharType="separate"/>
      </w:r>
      <w:r w:rsidR="00192334" w:rsidRPr="00192334">
        <w:rPr>
          <w:rFonts w:ascii="Calibri" w:hAnsi="Calibri" w:cs="Calibri"/>
        </w:rPr>
        <w:t>(Nhuchhen, Basu and Acharya, 2014)</w:t>
      </w:r>
      <w:r w:rsidR="00B921F5">
        <w:fldChar w:fldCharType="end"/>
      </w:r>
      <w:r w:rsidR="00B921F5">
        <w:t xml:space="preserve">. </w:t>
      </w:r>
      <w:r w:rsidR="00B921F5" w:rsidRPr="00B921F5">
        <w:rPr>
          <w:b/>
          <w:bCs/>
        </w:rPr>
        <w:t>Lignin</w:t>
      </w:r>
      <w:r w:rsidR="00B921F5">
        <w:rPr>
          <w:b/>
          <w:bCs/>
        </w:rPr>
        <w:t xml:space="preserve"> </w:t>
      </w:r>
      <w:r w:rsidR="00B921F5">
        <w:t>is an integral part of the secondary cell wall of plants</w:t>
      </w:r>
      <w:r w:rsidR="00AE12D3">
        <w:t xml:space="preserve">, it acts as the cementing agent for cellulose fibres, holding adjacent cells together. It is one of the most abundant organic polymers on earth (exceeded only by cellulose). It accounts for between 18 – 35% of the dry weight of wood </w:t>
      </w:r>
      <w:r w:rsidR="00AE12D3">
        <w:fldChar w:fldCharType="begin"/>
      </w:r>
      <w:r w:rsidR="00192334">
        <w:instrText xml:space="preserve"> ADDIN ZOTERO_ITEM CSL_CITATION {"citationID":"3e2WPN84","properties":{"formattedCitation":"(Basu, 2013)","plainCitation":"(Basu, 2013)","noteIndex":0},"citationItems":[{"id":1802,"uris":["http://zotero.org/users/local/AB2owHL2/items/VI2AMRUM"],"itemData":{"id":1802,"type":"book","edition":"Second","event-place":"London","publisher":"Elsevier","publisher-place":"London","title":"Biomass Gasification, Pyrolysis, and Torrefaction Practical Design and Theory","author":[{"family":"Basu","given":"Prabir"}],"issued":{"date-parts":[["2013"]]}}}],"schema":"https://github.com/citation-style-language/schema/raw/master/csl-citation.json"} </w:instrText>
      </w:r>
      <w:r w:rsidR="00AE12D3">
        <w:fldChar w:fldCharType="separate"/>
      </w:r>
      <w:r w:rsidR="00192334" w:rsidRPr="00192334">
        <w:rPr>
          <w:rFonts w:ascii="Calibri" w:hAnsi="Calibri" w:cs="Calibri"/>
        </w:rPr>
        <w:t>(Basu, 2013)</w:t>
      </w:r>
      <w:r w:rsidR="00AE12D3">
        <w:fldChar w:fldCharType="end"/>
      </w:r>
      <w:r w:rsidR="00AE12D3">
        <w:t>. Lig</w:t>
      </w:r>
      <w:r w:rsidR="008F4A0F">
        <w:t>n</w:t>
      </w:r>
      <w:r w:rsidR="00AE12D3">
        <w:t xml:space="preserve">in is thermally stable over a wide range of temperatures, thus in the </w:t>
      </w:r>
      <w:r w:rsidR="00760428">
        <w:t>thermal pre-treatment</w:t>
      </w:r>
      <w:r w:rsidR="00AE12D3">
        <w:t xml:space="preserve"> process, lig</w:t>
      </w:r>
      <w:r w:rsidR="008F4A0F">
        <w:t>n</w:t>
      </w:r>
      <w:r w:rsidR="00AE12D3">
        <w:t xml:space="preserve">in remains less modified and a biomass with </w:t>
      </w:r>
      <w:r w:rsidR="008F4A0F">
        <w:t>higher</w:t>
      </w:r>
      <w:r w:rsidR="00AE12D3">
        <w:t xml:space="preserve"> lig</w:t>
      </w:r>
      <w:r w:rsidR="008F4A0F">
        <w:t>n</w:t>
      </w:r>
      <w:r w:rsidR="00AE12D3">
        <w:t>in content yields</w:t>
      </w:r>
      <w:r w:rsidR="00550B57">
        <w:t xml:space="preserve"> a</w:t>
      </w:r>
      <w:r w:rsidR="00AE12D3">
        <w:t xml:space="preserve"> more solid product </w:t>
      </w:r>
      <w:r w:rsidR="00AE12D3">
        <w:fldChar w:fldCharType="begin"/>
      </w:r>
      <w:r w:rsidR="00192334">
        <w:instrText xml:space="preserve"> ADDIN ZOTERO_ITEM CSL_CITATION {"citationID":"o4Trlzaj","properties":{"formattedCitation":"(Nhuchhen, Basu and Acharya, 2014)","plainCitation":"(Nhuchhen, Basu and Acharya, 2014)","noteIndex":0},"citationItems":[{"id":1803,"uris":["http://zotero.org/users/local/AB2owHL2/items/JBSJZQU2"],"itemData":{"id":1803,"type":"article-journal","container-title":"International Journal of Renewable Energy &amp; Biofuels","DOI":"10.5171/2014.506376","page":"56","title":"A Comprehensive Review on Biomass  Torrefaction","volume":"2014","author":[{"family":"Nhuchhen","given":"Daya Ram"},{"family":"Basu","given":"Prabir"},{"family":"Acharya","given":"Bishnu"}],"issued":{"date-parts":[["2014"]]}}}],"schema":"https://github.com/citation-style-language/schema/raw/master/csl-citation.json"} </w:instrText>
      </w:r>
      <w:r w:rsidR="00AE12D3">
        <w:fldChar w:fldCharType="separate"/>
      </w:r>
      <w:r w:rsidR="00192334" w:rsidRPr="00192334">
        <w:rPr>
          <w:rFonts w:ascii="Calibri" w:hAnsi="Calibri" w:cs="Calibri"/>
        </w:rPr>
        <w:t>(Nhuchhen, Basu and Acharya, 2014)</w:t>
      </w:r>
      <w:r w:rsidR="00AE12D3">
        <w:fldChar w:fldCharType="end"/>
      </w:r>
      <w:r w:rsidR="00AE12D3">
        <w:t>.</w:t>
      </w:r>
      <w:r w:rsidR="008D63B0">
        <w:t xml:space="preserve"> </w:t>
      </w:r>
      <w:r w:rsidR="003C5697">
        <w:t xml:space="preserve">Figure </w:t>
      </w:r>
      <w:r w:rsidR="00E433C7">
        <w:t>5</w:t>
      </w:r>
      <w:r w:rsidR="003C5697">
        <w:t xml:space="preserve"> illustrates these components in a typical plant cell wall.</w:t>
      </w:r>
    </w:p>
    <w:p w14:paraId="4AD20265" w14:textId="0A5DFC70" w:rsidR="008D63B0" w:rsidRPr="00B921F5" w:rsidRDefault="008D63B0" w:rsidP="00B95995">
      <w:pPr>
        <w:spacing w:line="360" w:lineRule="auto"/>
        <w:jc w:val="both"/>
      </w:pPr>
      <w:r w:rsidRPr="008D63B0">
        <w:rPr>
          <w:noProof/>
        </w:rPr>
        <w:drawing>
          <wp:inline distT="0" distB="0" distL="0" distR="0" wp14:anchorId="52AA0CBC" wp14:editId="70BEE3F7">
            <wp:extent cx="5238750" cy="2154803"/>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32"/>
                    <a:stretch>
                      <a:fillRect/>
                    </a:stretch>
                  </pic:blipFill>
                  <pic:spPr>
                    <a:xfrm>
                      <a:off x="0" y="0"/>
                      <a:ext cx="5240933" cy="2155701"/>
                    </a:xfrm>
                    <a:prstGeom prst="rect">
                      <a:avLst/>
                    </a:prstGeom>
                  </pic:spPr>
                </pic:pic>
              </a:graphicData>
            </a:graphic>
          </wp:inline>
        </w:drawing>
      </w:r>
    </w:p>
    <w:p w14:paraId="48093C85" w14:textId="668E6829" w:rsidR="00225BF7" w:rsidRDefault="008D63B0" w:rsidP="008D63B0">
      <w:pPr>
        <w:pStyle w:val="Caption"/>
      </w:pPr>
      <w:bookmarkStart w:id="16" w:name="_Toc127110899"/>
      <w:r>
        <w:t xml:space="preserve">Figure </w:t>
      </w:r>
      <w:fldSimple w:instr=" SEQ Figure \* ARABIC ">
        <w:r w:rsidR="00A0212F">
          <w:rPr>
            <w:noProof/>
          </w:rPr>
          <w:t>5</w:t>
        </w:r>
      </w:fldSimple>
      <w:r>
        <w:t xml:space="preserve"> Structure of primary cell wall of plant cell</w:t>
      </w:r>
      <w:r w:rsidR="00D71635">
        <w:t xml:space="preserve"> </w:t>
      </w:r>
      <w:r w:rsidR="00D71635">
        <w:fldChar w:fldCharType="begin"/>
      </w:r>
      <w:r w:rsidR="00192334">
        <w:instrText xml:space="preserve"> ADDIN ZOTERO_ITEM CSL_CITATION {"citationID":"7oEscXsq","properties":{"formattedCitation":"(Nhuchhen, Basu and Acharya, 2014)","plainCitation":"(Nhuchhen, Basu and Acharya, 2014)","noteIndex":0},"citationItems":[{"id":1803,"uris":["http://zotero.org/users/local/AB2owHL2/items/JBSJZQU2"],"itemData":{"id":1803,"type":"article-journal","container-title":"International Journal of Renewable Energy &amp; Biofuels","DOI":"10.5171/2014.506376","page":"56","title":"A Comprehensive Review on Biomass  Torrefaction","volume":"2014","author":[{"family":"Nhuchhen","given":"Daya Ram"},{"family":"Basu","given":"Prabir"},{"family":"Acharya","given":"Bishnu"}],"issued":{"date-parts":[["2014"]]}}}],"schema":"https://github.com/citation-style-language/schema/raw/master/csl-citation.json"} </w:instrText>
      </w:r>
      <w:r w:rsidR="00D71635">
        <w:fldChar w:fldCharType="separate"/>
      </w:r>
      <w:r w:rsidR="00192334" w:rsidRPr="00192334">
        <w:rPr>
          <w:rFonts w:ascii="Calibri" w:hAnsi="Calibri" w:cs="Calibri"/>
        </w:rPr>
        <w:t>(Nhuchhen, Basu and Acharya, 2014)</w:t>
      </w:r>
      <w:r w:rsidR="00D71635">
        <w:fldChar w:fldCharType="end"/>
      </w:r>
      <w:r w:rsidR="003C5697">
        <w:t>.</w:t>
      </w:r>
      <w:bookmarkEnd w:id="16"/>
    </w:p>
    <w:p w14:paraId="3C57208F" w14:textId="3F42AD4B" w:rsidR="005D57D2" w:rsidRDefault="00F14B54" w:rsidP="00FE3EF8">
      <w:pPr>
        <w:spacing w:line="360" w:lineRule="auto"/>
        <w:jc w:val="both"/>
      </w:pPr>
      <w:r>
        <w:t>Biomass</w:t>
      </w:r>
      <w:r w:rsidR="006858FD">
        <w:t xml:space="preserve"> mainly</w:t>
      </w:r>
      <w:r>
        <w:t xml:space="preserve"> comprises of carbon (C), </w:t>
      </w:r>
      <w:r w:rsidR="00A00668">
        <w:t>hydrogen (H), oxygen(O), nitrogen (N) and sulphur</w:t>
      </w:r>
      <w:r w:rsidR="00205556">
        <w:t xml:space="preserve"> </w:t>
      </w:r>
      <w:r w:rsidR="00A00668">
        <w:t>(S)</w:t>
      </w:r>
      <w:r w:rsidR="00757963">
        <w:t xml:space="preserve">. </w:t>
      </w:r>
      <w:r w:rsidR="00BD3F7D">
        <w:t xml:space="preserve">The O:C and H:C ratios for various fuels are illustrated in the </w:t>
      </w:r>
      <w:r w:rsidR="00216726">
        <w:t xml:space="preserve">Van </w:t>
      </w:r>
      <w:proofErr w:type="spellStart"/>
      <w:r w:rsidR="00216726">
        <w:t>Krevelen</w:t>
      </w:r>
      <w:proofErr w:type="spellEnd"/>
      <w:r w:rsidR="00216726">
        <w:t xml:space="preserve"> diagram</w:t>
      </w:r>
      <w:r w:rsidR="001E5675">
        <w:t>, fig 6</w:t>
      </w:r>
      <w:r w:rsidR="0055115F">
        <w:t>.</w:t>
      </w:r>
      <w:r w:rsidR="00216726">
        <w:t xml:space="preserve"> Anthracite coal </w:t>
      </w:r>
      <w:r w:rsidR="00291A37">
        <w:t>has the lowest O:C and H:C ratios and is of the highest rank</w:t>
      </w:r>
      <w:r w:rsidR="003801AE">
        <w:t xml:space="preserve">. When compared to fossil fuels, biomass has the highest O:C and H:C </w:t>
      </w:r>
      <w:r w:rsidR="00661ACA">
        <w:t>ratios</w:t>
      </w:r>
      <w:r w:rsidR="003801AE">
        <w:t>.</w:t>
      </w:r>
      <w:r w:rsidR="00AD6121">
        <w:t xml:space="preserve"> </w:t>
      </w:r>
      <w:r w:rsidR="00ED1A00">
        <w:t xml:space="preserve">The calorific value (CV) </w:t>
      </w:r>
      <w:r w:rsidR="00CE302A">
        <w:t>of the fuel is reduced due to the high proportion of oxy</w:t>
      </w:r>
      <w:r w:rsidR="00320917">
        <w:t xml:space="preserve">gen and hydrogen in comparison with carbon, this is because </w:t>
      </w:r>
      <w:r w:rsidR="00E01217">
        <w:t>of the lower energy bonds between the C-O and C</w:t>
      </w:r>
      <w:r w:rsidR="003E6824">
        <w:t>-</w:t>
      </w:r>
      <w:r w:rsidR="00E01217">
        <w:t>H molecules</w:t>
      </w:r>
      <w:r w:rsidR="001C1D27">
        <w:t xml:space="preserve"> when compared with the C-C bond </w:t>
      </w:r>
      <w:r w:rsidR="009A2532">
        <w:fldChar w:fldCharType="begin"/>
      </w:r>
      <w:r w:rsidR="00192334">
        <w:instrText xml:space="preserve"> ADDIN ZOTERO_ITEM CSL_CITATION {"citationID":"18MCCe7J","properties":{"formattedCitation":"(van der Stelt {\\i{}et al.}, 2011)","plainCitation":"(van der Stelt et al., 2011)","noteIndex":0},"citationItems":[{"id":1818,"uris":["http://zotero.org/users/local/AB2owHL2/items/FZBYTH42"],"itemData":{"id":1818,"type":"article-journal","abstract":"An overview of the research on biomass upgrading by torrefaction for the production of biofuels is presented. Torrefaction is a thermal conversion method of biomass in the low temperature range of 200–300°C. Biomass is pre-treated to produce a high quality solid biofuel that can be used for combustion and gasification. In this review the characteristics of torrefaction are described and a short history of torrefaction is given. Torrefaction is based on the removal of oxygen from biomass which aims to produce a fuel with increased energy density by decomposing the reactive hemicellulose fraction. Different reaction conditions (temperature, inert gas, reaction time) and biomass resources lead to various solid, liquid and gaseous products. A short overview of the different mass and energy balances is presented. Finally, the technology options and the most promising torrefaction applications and their economic potential are described.","container-title":"Biomass and Bioenergy","DOI":"10.1016/j.biombioe.2011.06.023","ISSN":"0961-9534","issue":"9","journalAbbreviation":"Biomass and Bioenergy","language":"en","page":"3748-3762","source":"ScienceDirect","title":"Biomass upgrading by torrefaction for the production of biofuels: A review","title-short":"Biomass upgrading by torrefaction for the production of biofuels","URL":"https://www.sciencedirect.com/science/article/pii/S0961953411003473","volume":"35","author":[{"family":"Stelt","given":"M. J. C.","non-dropping-particle":"van der"},{"family":"Gerhauser","given":"H."},{"family":"Kiel","given":"J. H. A."},{"family":"Ptasinski","given":"K. J."}],"accessed":{"date-parts":[["2022",7,23]]},"issued":{"date-parts":[["2011",10,1]]}}}],"schema":"https://github.com/citation-style-language/schema/raw/master/csl-citation.json"} </w:instrText>
      </w:r>
      <w:r w:rsidR="009A2532">
        <w:fldChar w:fldCharType="separate"/>
      </w:r>
      <w:r w:rsidR="00192334" w:rsidRPr="00192334">
        <w:rPr>
          <w:rFonts w:ascii="Calibri" w:hAnsi="Calibri" w:cs="Calibri"/>
          <w:szCs w:val="24"/>
        </w:rPr>
        <w:t xml:space="preserve">(van der Stelt </w:t>
      </w:r>
      <w:r w:rsidR="00192334" w:rsidRPr="00192334">
        <w:rPr>
          <w:rFonts w:ascii="Calibri" w:hAnsi="Calibri" w:cs="Calibri"/>
          <w:i/>
          <w:iCs/>
          <w:szCs w:val="24"/>
        </w:rPr>
        <w:t>et al.</w:t>
      </w:r>
      <w:r w:rsidR="00192334" w:rsidRPr="00192334">
        <w:rPr>
          <w:rFonts w:ascii="Calibri" w:hAnsi="Calibri" w:cs="Calibri"/>
          <w:szCs w:val="24"/>
        </w:rPr>
        <w:t>, 2011)</w:t>
      </w:r>
      <w:r w:rsidR="009A2532">
        <w:fldChar w:fldCharType="end"/>
      </w:r>
      <w:r w:rsidR="001C1D27">
        <w:t>.</w:t>
      </w:r>
    </w:p>
    <w:p w14:paraId="0CE1C41C" w14:textId="77777777" w:rsidR="00373C34" w:rsidRPr="00CB6226" w:rsidRDefault="00373C34" w:rsidP="00373C34">
      <w:pPr>
        <w:spacing w:line="360" w:lineRule="auto"/>
        <w:jc w:val="both"/>
      </w:pPr>
      <w:r w:rsidRPr="00A174B4">
        <w:rPr>
          <w:noProof/>
        </w:rPr>
        <w:lastRenderedPageBreak/>
        <w:drawing>
          <wp:inline distT="0" distB="0" distL="0" distR="0" wp14:anchorId="7B432FB2" wp14:editId="7319EEF5">
            <wp:extent cx="4019549" cy="2631882"/>
            <wp:effectExtent l="0" t="0" r="635" b="0"/>
            <wp:docPr id="14" name="Picture 14"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diagram&#10;&#10;Description automatically generated with medium confidence"/>
                    <pic:cNvPicPr/>
                  </pic:nvPicPr>
                  <pic:blipFill>
                    <a:blip r:embed="rId33"/>
                    <a:stretch>
                      <a:fillRect/>
                    </a:stretch>
                  </pic:blipFill>
                  <pic:spPr>
                    <a:xfrm>
                      <a:off x="0" y="0"/>
                      <a:ext cx="4026084" cy="2636161"/>
                    </a:xfrm>
                    <a:prstGeom prst="rect">
                      <a:avLst/>
                    </a:prstGeom>
                  </pic:spPr>
                </pic:pic>
              </a:graphicData>
            </a:graphic>
          </wp:inline>
        </w:drawing>
      </w:r>
    </w:p>
    <w:p w14:paraId="21417929" w14:textId="73382ED9" w:rsidR="00F01B47" w:rsidRDefault="00373C34" w:rsidP="00373C34">
      <w:pPr>
        <w:pStyle w:val="Caption"/>
      </w:pPr>
      <w:bookmarkStart w:id="17" w:name="_Toc127110900"/>
      <w:r>
        <w:t xml:space="preserve">Figure </w:t>
      </w:r>
      <w:fldSimple w:instr=" SEQ Figure \* ARABIC ">
        <w:r w:rsidR="00A0212F">
          <w:rPr>
            <w:noProof/>
          </w:rPr>
          <w:t>6</w:t>
        </w:r>
      </w:fldSimple>
      <w:r>
        <w:t xml:space="preserve"> </w:t>
      </w:r>
      <w:r w:rsidRPr="00D23B28">
        <w:t xml:space="preserve">Van </w:t>
      </w:r>
      <w:proofErr w:type="spellStart"/>
      <w:r w:rsidRPr="00D23B28">
        <w:t>Krevelen</w:t>
      </w:r>
      <w:proofErr w:type="spellEnd"/>
      <w:r w:rsidRPr="00D23B28">
        <w:t xml:space="preserve"> diagram </w:t>
      </w:r>
      <w:r w:rsidR="008359AF">
        <w:t xml:space="preserve">of </w:t>
      </w:r>
      <w:r w:rsidRPr="00D23B28">
        <w:t xml:space="preserve">products from woody biomass. </w:t>
      </w:r>
      <w:r w:rsidR="004A44EC">
        <w:t>R</w:t>
      </w:r>
      <w:r w:rsidRPr="00D23B28">
        <w:t xml:space="preserve">aw biomass (non-filled symbols), torrefied biomass (red symbols), HTC biomass (blue symbols), and charcoal (black symbols) </w:t>
      </w:r>
      <w:r w:rsidR="00EF1F17">
        <w:fldChar w:fldCharType="begin"/>
      </w:r>
      <w:r w:rsidR="00192334">
        <w:instrText xml:space="preserve"> ADDIN ZOTERO_ITEM CSL_CITATION {"citationID":"BSbmLoYn","properties":{"formattedCitation":"(Suopaj\\uc0\\u228{}rvi and Fabritius, 2013)","plainCitation":"(Suopajärvi and Fabritius, 2013)","noteIndex":0},"citationItems":[{"id":1698,"uris":["http://zotero.org/users/local/AB2owHL2/items/GCVPYUYJ"],"itemData":{"id":1698,"type":"article-journal","abstract":"Replacement of fossil carbon by renewable biomass-based carbon is an effective measure to mitigate CO2 emission intensity in the blast furnace ironmaking process. Depending on the substitution rate of fossil fuels, the required amount of biomass can be substantial. This raises questions about the availability of biomass for multiple uses. At the same time, the economic competitiveness of biomass-based fuels in ironmaking applications should also be a key consideration. In this assessment, availability of energy wood, i.e., logging residues, small-diameter wood and stumps, in Finland is discussed. Since biomass must be submitted to a thermochemical process before use in a blast furnace, the paper describes the production chain, from biomass to charcoal, and economics related to each processing step. The economics of biomass-based reducing agents is compared to fossil-based ones by taking into account the effect of European Union Emissions Trading System (EU ETS). The assessment reveals that there would be sufficient amounts of energy wood available for current users as well as for ironmaking. At present, the economics of biomass-based reducing agents in ironmaking applications is unfavorable. High CO2 emission allowance prices would be required to make such a scheme competitive against fossil-based reducing agents at current fuel prices.","container-title":"Sustainability","DOI":"https://doi-org.ezproxy.uwtsd.ac.uk/10.3390/su5031188","issue":"3","language":"English","license":"Copyright MDPI AG 2013","note":"number-of-pages: 1188-1207\npublisher-place: Basel, Switzerland\npublisher: MDPI AG","page":"1188-1207","source":"ProQuest","title":"Towards More Sustainable Ironmaking-An Analysis of Energy Wood Availability in Finland and the Economics of Charcoal Production","URL":"http://www.proquest.com/docview/1537436641/abstract/C57D008FADF84950PQ/1","volume":"5","author":[{"family":"Suopajärvi","given":"Hannu"},{"family":"Fabritius","given":"Timo"}],"accessed":{"date-parts":[["2022",6,28]]},"issued":{"date-parts":[["2013"]]}}}],"schema":"https://github.com/citation-style-language/schema/raw/master/csl-citation.json"} </w:instrText>
      </w:r>
      <w:r w:rsidR="00EF1F17">
        <w:fldChar w:fldCharType="separate"/>
      </w:r>
      <w:r w:rsidR="00192334" w:rsidRPr="00192334">
        <w:rPr>
          <w:rFonts w:ascii="Calibri" w:hAnsi="Calibri" w:cs="Calibri"/>
          <w:szCs w:val="24"/>
        </w:rPr>
        <w:t>(Suopajärvi and Fabritius, 2013)</w:t>
      </w:r>
      <w:r w:rsidR="00EF1F17">
        <w:fldChar w:fldCharType="end"/>
      </w:r>
      <w:r w:rsidR="00EF1F17">
        <w:t>.</w:t>
      </w:r>
      <w:bookmarkEnd w:id="17"/>
    </w:p>
    <w:p w14:paraId="658C49C2" w14:textId="3F5C113A" w:rsidR="00E547C0" w:rsidRPr="00E547C0" w:rsidRDefault="00D41137" w:rsidP="00F104D1">
      <w:pPr>
        <w:pStyle w:val="Heading3"/>
        <w:spacing w:line="360" w:lineRule="auto"/>
        <w:jc w:val="both"/>
      </w:pPr>
      <w:bookmarkStart w:id="18" w:name="_Toc128599595"/>
      <w:r>
        <w:t>The problem with</w:t>
      </w:r>
      <w:r w:rsidR="008B5F65">
        <w:t xml:space="preserve"> Raw Biomass</w:t>
      </w:r>
      <w:bookmarkEnd w:id="18"/>
    </w:p>
    <w:p w14:paraId="0CCCA2EA" w14:textId="30006672" w:rsidR="00D71635" w:rsidRDefault="00FE3EF8" w:rsidP="00F104D1">
      <w:pPr>
        <w:spacing w:line="360" w:lineRule="auto"/>
        <w:jc w:val="both"/>
      </w:pPr>
      <w:r>
        <w:t>Biomass in its raw form is not suitable for an energy source in industry as compared with fuels such a</w:t>
      </w:r>
      <w:r w:rsidR="001968C7">
        <w:t>s</w:t>
      </w:r>
      <w:r>
        <w:t xml:space="preserve"> coal</w:t>
      </w:r>
      <w:r w:rsidR="00130FBA">
        <w:t>.</w:t>
      </w:r>
      <w:r>
        <w:t xml:space="preserve"> </w:t>
      </w:r>
      <w:r w:rsidR="00130FBA">
        <w:t>B</w:t>
      </w:r>
      <w:r>
        <w:t xml:space="preserve">iomass </w:t>
      </w:r>
      <w:r w:rsidR="00486F38">
        <w:t>compared with coal</w:t>
      </w:r>
      <w:r w:rsidR="00B531A4">
        <w:t xml:space="preserve"> as a fuel</w:t>
      </w:r>
      <w:r w:rsidR="00486F38">
        <w:t>:</w:t>
      </w:r>
    </w:p>
    <w:p w14:paraId="6CD94E24" w14:textId="48B8CF76" w:rsidR="00FE3EF8" w:rsidRDefault="00FE3EF8" w:rsidP="00FE3EF8">
      <w:pPr>
        <w:pStyle w:val="ListParagraph"/>
        <w:numPr>
          <w:ilvl w:val="0"/>
          <w:numId w:val="4"/>
        </w:numPr>
        <w:spacing w:line="360" w:lineRule="auto"/>
        <w:jc w:val="both"/>
      </w:pPr>
      <w:r>
        <w:t>Higher oxygen content – reduces the heating value, results in a higher volume of flue gas during combustion</w:t>
      </w:r>
      <w:r w:rsidR="00B72529">
        <w:t>.</w:t>
      </w:r>
    </w:p>
    <w:p w14:paraId="3EDAD1F6" w14:textId="3020BA01" w:rsidR="00903670" w:rsidRDefault="00903670" w:rsidP="00FE3EF8">
      <w:pPr>
        <w:pStyle w:val="ListParagraph"/>
        <w:numPr>
          <w:ilvl w:val="0"/>
          <w:numId w:val="4"/>
        </w:numPr>
        <w:spacing w:line="360" w:lineRule="auto"/>
        <w:jc w:val="both"/>
      </w:pPr>
      <w:r>
        <w:t>Lower carbon content</w:t>
      </w:r>
      <w:r w:rsidR="00A366A7">
        <w:t xml:space="preserve"> – </w:t>
      </w:r>
      <w:r w:rsidR="008B5F65">
        <w:t>R</w:t>
      </w:r>
      <w:r w:rsidR="00A366A7">
        <w:t>equired</w:t>
      </w:r>
      <w:r w:rsidR="0032739C">
        <w:t xml:space="preserve"> as</w:t>
      </w:r>
      <w:r w:rsidR="00A366A7">
        <w:t xml:space="preserve"> a</w:t>
      </w:r>
      <w:r w:rsidR="008B5F65">
        <w:t xml:space="preserve"> fuel and</w:t>
      </w:r>
      <w:r w:rsidR="00A366A7">
        <w:t xml:space="preserve"> reducing agent</w:t>
      </w:r>
      <w:r w:rsidR="002F1B66">
        <w:t>.</w:t>
      </w:r>
    </w:p>
    <w:p w14:paraId="6E8E2C22" w14:textId="3658DB22" w:rsidR="00B3424C" w:rsidRDefault="00B3424C" w:rsidP="00FE3EF8">
      <w:pPr>
        <w:pStyle w:val="ListParagraph"/>
        <w:numPr>
          <w:ilvl w:val="0"/>
          <w:numId w:val="4"/>
        </w:numPr>
        <w:spacing w:line="360" w:lineRule="auto"/>
        <w:jc w:val="both"/>
      </w:pPr>
      <w:r>
        <w:t xml:space="preserve">Low bulk density – High transportation and storage costs, </w:t>
      </w:r>
      <w:r w:rsidR="004F1494">
        <w:t xml:space="preserve">also influences </w:t>
      </w:r>
      <w:r w:rsidR="003E1B9C">
        <w:t>process conversion efficiency.</w:t>
      </w:r>
    </w:p>
    <w:p w14:paraId="4E320368" w14:textId="4FF1893F" w:rsidR="00B72529" w:rsidRDefault="00B72529" w:rsidP="00FE3EF8">
      <w:pPr>
        <w:pStyle w:val="ListParagraph"/>
        <w:numPr>
          <w:ilvl w:val="0"/>
          <w:numId w:val="4"/>
        </w:numPr>
        <w:spacing w:line="360" w:lineRule="auto"/>
        <w:jc w:val="both"/>
      </w:pPr>
      <w:r>
        <w:t xml:space="preserve">Higher moisture content 45 – 60% - Higher thermal energy is required to combust, higher tar formation, </w:t>
      </w:r>
      <w:r w:rsidR="00A366A7">
        <w:t>l</w:t>
      </w:r>
      <w:r>
        <w:t>ower density, greater tendency to decompose.</w:t>
      </w:r>
    </w:p>
    <w:p w14:paraId="74FBB4F6" w14:textId="6C599925" w:rsidR="00B72529" w:rsidRDefault="00B72529" w:rsidP="00FE3EF8">
      <w:pPr>
        <w:pStyle w:val="ListParagraph"/>
        <w:numPr>
          <w:ilvl w:val="0"/>
          <w:numId w:val="4"/>
        </w:numPr>
        <w:spacing w:line="360" w:lineRule="auto"/>
        <w:jc w:val="both"/>
      </w:pPr>
      <w:r>
        <w:t xml:space="preserve">Low </w:t>
      </w:r>
      <w:r w:rsidR="00145855">
        <w:t>net c</w:t>
      </w:r>
      <w:r>
        <w:t>alorific value</w:t>
      </w:r>
      <w:r w:rsidR="00145855">
        <w:t xml:space="preserve"> (NCV)</w:t>
      </w:r>
      <w:r>
        <w:t xml:space="preserve"> – Low product yields, more biomass required to compensate. </w:t>
      </w:r>
    </w:p>
    <w:p w14:paraId="4E8479B4" w14:textId="037D6BC4" w:rsidR="00F3579D" w:rsidRDefault="00F3579D" w:rsidP="00FE3EF8">
      <w:pPr>
        <w:pStyle w:val="ListParagraph"/>
        <w:numPr>
          <w:ilvl w:val="0"/>
          <w:numId w:val="4"/>
        </w:numPr>
        <w:spacing w:line="360" w:lineRule="auto"/>
        <w:jc w:val="both"/>
      </w:pPr>
      <w:r>
        <w:t>Low heating value (LHV)</w:t>
      </w:r>
    </w:p>
    <w:p w14:paraId="074E9C38" w14:textId="5C03C3B3" w:rsidR="00B72529" w:rsidRDefault="00B72529" w:rsidP="00FE3EF8">
      <w:pPr>
        <w:pStyle w:val="ListParagraph"/>
        <w:numPr>
          <w:ilvl w:val="0"/>
          <w:numId w:val="4"/>
        </w:numPr>
        <w:spacing w:line="360" w:lineRule="auto"/>
        <w:jc w:val="both"/>
      </w:pPr>
      <w:r>
        <w:t>Hygroscopic – Can draw moisture in, even after drying</w:t>
      </w:r>
      <w:r w:rsidR="00FD3700">
        <w:t>.</w:t>
      </w:r>
    </w:p>
    <w:p w14:paraId="1777951A" w14:textId="710A3382" w:rsidR="00FD3700" w:rsidRDefault="00FD3700" w:rsidP="00FE3EF8">
      <w:pPr>
        <w:pStyle w:val="ListParagraph"/>
        <w:numPr>
          <w:ilvl w:val="0"/>
          <w:numId w:val="4"/>
        </w:numPr>
        <w:spacing w:line="360" w:lineRule="auto"/>
        <w:jc w:val="both"/>
      </w:pPr>
      <w:r>
        <w:t>Fibrous – The fibrous nature of biomass increases the difficult</w:t>
      </w:r>
      <w:r w:rsidR="00B531A4">
        <w:t>y</w:t>
      </w:r>
      <w:r>
        <w:t xml:space="preserve"> in pulverising it into a powder ready for processing. </w:t>
      </w:r>
      <w:r w:rsidR="003D2122">
        <w:t>Thus,</w:t>
      </w:r>
      <w:r>
        <w:t xml:space="preserve"> increase</w:t>
      </w:r>
      <w:r w:rsidR="00DE52FC">
        <w:t>d</w:t>
      </w:r>
      <w:r>
        <w:t xml:space="preserve"> processing costs.</w:t>
      </w:r>
    </w:p>
    <w:p w14:paraId="746A4E13" w14:textId="0A17F54D" w:rsidR="00D73DC8" w:rsidRDefault="00D73DC8" w:rsidP="00FE3EF8">
      <w:pPr>
        <w:pStyle w:val="ListParagraph"/>
        <w:numPr>
          <w:ilvl w:val="0"/>
          <w:numId w:val="4"/>
        </w:numPr>
        <w:spacing w:line="360" w:lineRule="auto"/>
        <w:jc w:val="both"/>
      </w:pPr>
      <w:r>
        <w:t xml:space="preserve">Higher organic volatile mater – </w:t>
      </w:r>
      <w:r w:rsidR="003D2122">
        <w:t>Bu</w:t>
      </w:r>
      <w:r w:rsidR="00C14070">
        <w:t>rnt off in BF processes, lower product yields</w:t>
      </w:r>
      <w:r w:rsidR="005E6BB7">
        <w:t>,</w:t>
      </w:r>
      <w:r w:rsidR="00010982">
        <w:t xml:space="preserve"> can interfere with processes</w:t>
      </w:r>
      <w:r>
        <w:t>.</w:t>
      </w:r>
    </w:p>
    <w:p w14:paraId="73990AA1" w14:textId="7F45084D" w:rsidR="00D73DC8" w:rsidRDefault="00D73DC8" w:rsidP="00FE3EF8">
      <w:pPr>
        <w:pStyle w:val="ListParagraph"/>
        <w:numPr>
          <w:ilvl w:val="0"/>
          <w:numId w:val="4"/>
        </w:numPr>
        <w:spacing w:line="360" w:lineRule="auto"/>
        <w:jc w:val="both"/>
      </w:pPr>
      <w:r>
        <w:t>Higher concentration of Alkali metals</w:t>
      </w:r>
      <w:r w:rsidR="00E56CCC">
        <w:t xml:space="preserve"> (Na, K</w:t>
      </w:r>
      <w:r w:rsidR="006B33EF">
        <w:t>, Zn)</w:t>
      </w:r>
      <w:r>
        <w:t xml:space="preserve"> – Can foul BF refractory</w:t>
      </w:r>
      <w:r w:rsidR="000F7B9E">
        <w:t xml:space="preserve">, increase coke </w:t>
      </w:r>
      <w:r w:rsidR="00E1061D">
        <w:t>consumption,</w:t>
      </w:r>
      <w:r>
        <w:t xml:space="preserve"> and can be released into atmosphere upon combustion</w:t>
      </w:r>
      <w:r w:rsidR="00CB6490">
        <w:t>.</w:t>
      </w:r>
    </w:p>
    <w:p w14:paraId="74C59EDA" w14:textId="136EFC9F" w:rsidR="00B641FA" w:rsidRDefault="00CB6490" w:rsidP="008B5F65">
      <w:pPr>
        <w:spacing w:line="360" w:lineRule="auto"/>
        <w:ind w:left="360"/>
        <w:jc w:val="both"/>
      </w:pPr>
      <w:r>
        <w:fldChar w:fldCharType="begin"/>
      </w:r>
      <w:r w:rsidR="00192334">
        <w:instrText xml:space="preserve"> ADDIN ZOTERO_ITEM CSL_CITATION {"citationID":"l21IVHbz","properties":{"formattedCitation":"(Tumuluru {\\i{}et al.}, 2012; Suopaj\\uc0\\u228{}rvi, Pongr\\uc0\\u225{}cz and Fabritius, 2013)","plainCitation":"(Tumuluru et al., 2012; Suopajärvi, Pongrácz and Fabritius, 2013)","noteIndex":0},"citationItems":[{"id":1804,"uris":["http://zotero.org/users/local/AB2owHL2/items/I7ANRBBB"],"itemData":{"id":1804,"type":"article-journal","abstract":"There is a growing interest internationally to use more biomass for power generation, given the potential for significant environmental benefits and long-term fuel sustainability. However, the use of biomass alone for power generation is subject to serious challenges, such as feedstock supply reliability, quality, and stability, as well as comparative cost, except in situations in which biomass is locally sourced. In most countries, only a limited biomass supply infrastructure exists. Alternatively, co-firing biomass along with coal offers several advantages; these include reducing challenges related to biomass quality, buffering the system against insufficient feedstock quantity, and mitigating the costs of adapting existing coal power plants to feed biomass exclusively. There are some technical constraints, such as low heating values, low bulk density, and grindability or size-reduction challenges, as well as higher moisture, volatiles, and ash content, which limit the co-firing ratios in direct and indirect co-firing. To achieve successful co-firing of biomass with coal, biomass feedstock specifications must be established to direct pretreatment options in order to modify biomass materials into a format that is more compatible with coal co-firing. The impacts on particle transport systems, flame stability, pollutant formation, and boiler-tube fouling/corrosion must also be minimized by setting feedstock specifications, which may include developing new feedstock composition by formulation or blending. Some of the issues, like feeding, co-milling, and fouling, can be overcome by pretreatment methods including washing/leaching, steam explosion, hydrothermal carbonization, and torrefaction, and densification methods such as pelletizing and briquetting. Integrating formulation, pretreatment, and densification will help to overcome issues related to physical and chemical composition, storage, and logistics to successfully co-fire higher percentages of biomass (&gt;40%) with coal.","container-title":"Industrial Biotechnology","DOI":"10.1089/ind.2012.0004","ISSN":"1550-9087","issue":"3","note":"publisher: Mary Ann Liebert, Inc., publishers","page":"113-132","source":"liebertpub.com (Atypon)","title":"Formulation, Pretreatment, and Densification Options to Improve Biomass Specifications for Co-Firing High Percentages with Coal","URL":"https://www.liebertpub.com/doi/10.1089/ind.2012.0004","volume":"8","author":[{"family":"Tumuluru","given":"Jaya Shankar"},{"family":"Hess","given":"J. Richard"},{"family":"Boardman","given":"Richard D."},{"family":"Wright","given":"Christopher T."},{"family":"Westover","given":"Tyler L."}],"accessed":{"date-parts":[["2022",7,19]]},"issued":{"date-parts":[["2012",6]]}},"label":"page"},{"id":1781,"uris":["http://zotero.org/users/local/AB2owHL2/items/MMTKXIYN"],"itemData":{"id":1781,"type":"article-journal","abstract":"Steel is one of the most important materials used in modern society. The majority of the steel produced today is based on the use of virgin raw materials such as iron ore and fossil-based energy sources such as coal and oil. Recently, emphasis has been laid on the possibility to replace part of the fossil-based energy sources in ironmaking with renewable, biomass-derived reducing agents (bio-reducers). Modern thermochemical conversion processes could be utilized to produce solid, liquid and gaseous bio-reducers from biomass feedstock. This paper provides an in-depth review, first of its kind, of the possibility to replace part of the fossil-based reducing agents with bio-reducers in the blast furnace ironmaking route. In the first part of the paper, blast furnace process and the role of the reducing agents are discussed. In the second part of the paper, thermochemical biomass conversion technologies and resulting product properties are reviewed. Chemical and physical properties of the bio-reducers are compared to fossil-based reducing agents. In the third part of the paper, the implications related to bio-reducer use are evaluated in separate system levels including unit process assessment (blast furnace), process integration opportunities, biomass availability, life cycle impact and economic evaluations. The fourth part of the paper is dedicated to the discussion of the future of bio-reducers in ironmaking applications. It is concluded that bio-reducers can contribute to more environmentally sound steelmaking. The most promising bio-reducer seems to be charcoal with its high coke replacement ratio in blast furnace and straightforward integration of slow pyrolysis by-products to heat and power applications.","container-title":"Renewable and Sustainable Energy Reviews","DOI":"10.1016/j.rser.2013.05.005","ISSN":"1364-0321","journalAbbreviation":"Renewable and Sustainable Energy Reviews","language":"en","page":"511-528","source":"ScienceDirect","title":"The potential of using biomass-based reducing agents in the blast furnace: A review of thermochemical conversion technologies and assessments related to sustainability","title-short":"The potential of using biomass-based reducing agents in the blast furnace","URL":"https://www.sciencedirect.com/science/article/pii/S1364032113002918","volume":"25","author":[{"family":"Suopajärvi","given":"Hannu"},{"family":"Pongrácz","given":"Eva"},{"family":"Fabritius","given":"Timo"}],"accessed":{"date-parts":[["2022",7,14]]},"issued":{"date-parts":[["2013",9,1]]}},"label":"act"}],"schema":"https://github.com/citation-style-language/schema/raw/master/csl-citation.json"} </w:instrText>
      </w:r>
      <w:r>
        <w:fldChar w:fldCharType="separate"/>
      </w:r>
      <w:r w:rsidR="00192334" w:rsidRPr="00192334">
        <w:rPr>
          <w:rFonts w:ascii="Calibri" w:hAnsi="Calibri" w:cs="Calibri"/>
          <w:szCs w:val="24"/>
        </w:rPr>
        <w:t xml:space="preserve">(Tumuluru </w:t>
      </w:r>
      <w:r w:rsidR="00192334" w:rsidRPr="00192334">
        <w:rPr>
          <w:rFonts w:ascii="Calibri" w:hAnsi="Calibri" w:cs="Calibri"/>
          <w:i/>
          <w:iCs/>
          <w:szCs w:val="24"/>
        </w:rPr>
        <w:t>et al.</w:t>
      </w:r>
      <w:r w:rsidR="00192334" w:rsidRPr="00192334">
        <w:rPr>
          <w:rFonts w:ascii="Calibri" w:hAnsi="Calibri" w:cs="Calibri"/>
          <w:szCs w:val="24"/>
        </w:rPr>
        <w:t>, 2012; Suopajärvi, Pongrácz and Fabritius, 2013)</w:t>
      </w:r>
      <w:r>
        <w:fldChar w:fldCharType="end"/>
      </w:r>
    </w:p>
    <w:p w14:paraId="30A88A6C" w14:textId="13858C8B" w:rsidR="00E6067A" w:rsidRPr="00E6067A" w:rsidRDefault="00E6067A" w:rsidP="00F104D1">
      <w:pPr>
        <w:pStyle w:val="Heading3"/>
        <w:spacing w:line="360" w:lineRule="auto"/>
        <w:jc w:val="both"/>
      </w:pPr>
      <w:bookmarkStart w:id="19" w:name="_Toc128599596"/>
      <w:r>
        <w:lastRenderedPageBreak/>
        <w:t>Biomass Pre-treatment</w:t>
      </w:r>
      <w:bookmarkEnd w:id="19"/>
    </w:p>
    <w:p w14:paraId="78A7AF28" w14:textId="4AB1F590" w:rsidR="00225BF7" w:rsidRDefault="00674BF0" w:rsidP="00F104D1">
      <w:pPr>
        <w:spacing w:line="360" w:lineRule="auto"/>
        <w:jc w:val="both"/>
      </w:pPr>
      <w:r>
        <w:t xml:space="preserve">Biomass </w:t>
      </w:r>
      <w:r w:rsidR="00851AB3">
        <w:t>pre-treatment</w:t>
      </w:r>
      <w:r>
        <w:t xml:space="preserve"> methods can be classified into five categories: </w:t>
      </w:r>
    </w:p>
    <w:p w14:paraId="49C479FF" w14:textId="191B89AF" w:rsidR="00674BF0" w:rsidRDefault="00674BF0" w:rsidP="00F104D1">
      <w:pPr>
        <w:pStyle w:val="ListParagraph"/>
        <w:numPr>
          <w:ilvl w:val="0"/>
          <w:numId w:val="5"/>
        </w:numPr>
        <w:spacing w:line="360" w:lineRule="auto"/>
        <w:jc w:val="both"/>
      </w:pPr>
      <w:r>
        <w:t>Chemical – Removes the lignin and hemicellulose improving biodegradability of cellulose. Includes Steam explosion, acid, alkaline, ammonia and freeze explosion treatments</w:t>
      </w:r>
      <w:r w:rsidR="00E956DB">
        <w:t>.</w:t>
      </w:r>
    </w:p>
    <w:p w14:paraId="507DB1AD" w14:textId="68E08982" w:rsidR="00E956DB" w:rsidRDefault="00E956DB" w:rsidP="00674BF0">
      <w:pPr>
        <w:pStyle w:val="ListParagraph"/>
        <w:numPr>
          <w:ilvl w:val="0"/>
          <w:numId w:val="5"/>
        </w:numPr>
        <w:spacing w:line="360" w:lineRule="auto"/>
        <w:jc w:val="both"/>
      </w:pPr>
      <w:r>
        <w:t>Mechanical – Only brings about a physical change</w:t>
      </w:r>
      <w:r w:rsidR="00183E00">
        <w:t xml:space="preserve">. The main methods are </w:t>
      </w:r>
      <w:r w:rsidR="00873961">
        <w:t>grinding, milling and extrusion.</w:t>
      </w:r>
    </w:p>
    <w:p w14:paraId="3F47D6E8" w14:textId="0A56145B" w:rsidR="00E956DB" w:rsidRDefault="00E956DB" w:rsidP="00674BF0">
      <w:pPr>
        <w:pStyle w:val="ListParagraph"/>
        <w:numPr>
          <w:ilvl w:val="0"/>
          <w:numId w:val="5"/>
        </w:numPr>
        <w:spacing w:line="360" w:lineRule="auto"/>
        <w:jc w:val="both"/>
      </w:pPr>
      <w:r>
        <w:t xml:space="preserve">Biological – </w:t>
      </w:r>
      <w:r w:rsidR="001B25D8">
        <w:t>Microorganisms modify</w:t>
      </w:r>
      <w:r>
        <w:t xml:space="preserve"> the chemical composition and structure of lignocellulose to make it suitable for enzymatic digestion. Environmentally friendly and consumes less energy than other treatments but requires </w:t>
      </w:r>
      <w:r w:rsidR="00851AB3">
        <w:t xml:space="preserve">a </w:t>
      </w:r>
      <w:r w:rsidR="00EA2334">
        <w:t>large, controlled</w:t>
      </w:r>
      <w:r w:rsidR="00851AB3">
        <w:t xml:space="preserve"> environment and is costly and slow.</w:t>
      </w:r>
    </w:p>
    <w:p w14:paraId="373772AA" w14:textId="144777B2" w:rsidR="00851AB3" w:rsidRDefault="00851AB3" w:rsidP="00674BF0">
      <w:pPr>
        <w:pStyle w:val="ListParagraph"/>
        <w:numPr>
          <w:ilvl w:val="0"/>
          <w:numId w:val="5"/>
        </w:numPr>
        <w:spacing w:line="360" w:lineRule="auto"/>
        <w:jc w:val="both"/>
      </w:pPr>
      <w:r>
        <w:t xml:space="preserve">Thermal – Modifies the physical, </w:t>
      </w:r>
      <w:r w:rsidR="008D6A48">
        <w:t>structural,</w:t>
      </w:r>
      <w:r>
        <w:t xml:space="preserve"> </w:t>
      </w:r>
      <w:r w:rsidR="008D6A48">
        <w:t>and chemical properties of biomass. Volatiles are driven off producing a more brittle and less fibrous product.</w:t>
      </w:r>
    </w:p>
    <w:p w14:paraId="4E2086D3" w14:textId="709B0414" w:rsidR="008D6A48" w:rsidRDefault="008D6A48" w:rsidP="008D6A48">
      <w:pPr>
        <w:pStyle w:val="ListParagraph"/>
        <w:numPr>
          <w:ilvl w:val="0"/>
          <w:numId w:val="5"/>
        </w:numPr>
        <w:spacing w:line="360" w:lineRule="auto"/>
        <w:jc w:val="both"/>
      </w:pPr>
      <w:r>
        <w:t xml:space="preserve">Hydrothermal – </w:t>
      </w:r>
      <w:r w:rsidR="000B38F1">
        <w:t xml:space="preserve">A thermochemical conversion process in which biomass and water is subjected to high pressure at moderate temperatures. Can be used for wet biomass such as animal manures, human </w:t>
      </w:r>
      <w:r w:rsidR="00EA2334">
        <w:t>waste,</w:t>
      </w:r>
      <w:r w:rsidR="000B38F1">
        <w:t xml:space="preserve"> and sewage. Produces a</w:t>
      </w:r>
      <w:r w:rsidR="00EA2334">
        <w:t>n</w:t>
      </w:r>
      <w:r w:rsidR="000B38F1">
        <w:t xml:space="preserve"> energy dense product.</w:t>
      </w:r>
    </w:p>
    <w:p w14:paraId="7727C21C" w14:textId="4E884368" w:rsidR="00895F08" w:rsidRDefault="00895F08" w:rsidP="00895F08">
      <w:pPr>
        <w:spacing w:line="360" w:lineRule="auto"/>
        <w:ind w:left="360"/>
        <w:jc w:val="both"/>
      </w:pPr>
      <w:r>
        <w:t>Figure 7 illustrates some of the available biomass upgrading technologies.</w:t>
      </w:r>
    </w:p>
    <w:p w14:paraId="23FA5C61" w14:textId="74E7F265" w:rsidR="00EA2334" w:rsidRDefault="00EA2334">
      <w:r>
        <w:fldChar w:fldCharType="begin"/>
      </w:r>
      <w:r w:rsidR="00192334">
        <w:instrText xml:space="preserve"> ADDIN ZOTERO_ITEM CSL_CITATION {"citationID":"Bz7Y0yTU","properties":{"formattedCitation":"(Nhuchhen, Basu and Acharya, 2014)","plainCitation":"(Nhuchhen, Basu and Acharya, 2014)","noteIndex":0},"citationItems":[{"id":1803,"uris":["http://zotero.org/users/local/AB2owHL2/items/JBSJZQU2"],"itemData":{"id":1803,"type":"article-journal","container-title":"International Journal of Renewable Energy &amp; Biofuels","DOI":"10.5171/2014.506376","page":"56","title":"A Comprehensive Review on Biomass  Torrefaction","volume":"2014","author":[{"family":"Nhuchhen","given":"Daya Ram"},{"family":"Basu","given":"Prabir"},{"family":"Acharya","given":"Bishnu"}],"issued":{"date-parts":[["2014"]]}}}],"schema":"https://github.com/citation-style-language/schema/raw/master/csl-citation.json"} </w:instrText>
      </w:r>
      <w:r>
        <w:fldChar w:fldCharType="separate"/>
      </w:r>
      <w:r w:rsidR="00192334" w:rsidRPr="00192334">
        <w:rPr>
          <w:rFonts w:ascii="Calibri" w:hAnsi="Calibri" w:cs="Calibri"/>
        </w:rPr>
        <w:t>(Nhuchhen, Basu and Acharya, 2014)</w:t>
      </w:r>
      <w:r>
        <w:fldChar w:fldCharType="end"/>
      </w:r>
    </w:p>
    <w:p w14:paraId="39C710F5" w14:textId="505AC0D7" w:rsidR="009220FA" w:rsidRDefault="00B15303" w:rsidP="009220FA">
      <w:pPr>
        <w:spacing w:line="360" w:lineRule="auto"/>
        <w:jc w:val="both"/>
      </w:pPr>
      <w:r w:rsidRPr="00B15303">
        <w:rPr>
          <w:noProof/>
        </w:rPr>
        <w:drawing>
          <wp:inline distT="0" distB="0" distL="0" distR="0" wp14:anchorId="44A4E786" wp14:editId="05F40F5D">
            <wp:extent cx="5491989" cy="24092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70428" cy="2443656"/>
                    </a:xfrm>
                    <a:prstGeom prst="rect">
                      <a:avLst/>
                    </a:prstGeom>
                  </pic:spPr>
                </pic:pic>
              </a:graphicData>
            </a:graphic>
          </wp:inline>
        </w:drawing>
      </w:r>
    </w:p>
    <w:p w14:paraId="24E25EAC" w14:textId="0825F7EF" w:rsidR="009220FA" w:rsidRDefault="00373C34" w:rsidP="00373C34">
      <w:pPr>
        <w:pStyle w:val="Caption"/>
      </w:pPr>
      <w:bookmarkStart w:id="20" w:name="_Toc127110901"/>
      <w:r>
        <w:t xml:space="preserve">Figure </w:t>
      </w:r>
      <w:fldSimple w:instr=" SEQ Figure \* ARABIC ">
        <w:r w:rsidR="00A0212F">
          <w:rPr>
            <w:noProof/>
          </w:rPr>
          <w:t>7</w:t>
        </w:r>
      </w:fldSimple>
      <w:r>
        <w:t xml:space="preserve"> </w:t>
      </w:r>
      <w:r w:rsidRPr="008547C1">
        <w:t xml:space="preserve">Biomass upgrading technologies according to product type </w:t>
      </w:r>
      <w:r w:rsidR="000517A4">
        <w:fldChar w:fldCharType="begin"/>
      </w:r>
      <w:r w:rsidR="00192334">
        <w:instrText xml:space="preserve"> ADDIN ZOTERO_ITEM CSL_CITATION {"citationID":"vqHKExx5","properties":{"formattedCitation":"(Mousa {\\i{}et al.}, 2016)","plainCitation":"(Mousa et al., 2016)","noteIndex":0},"citationItems":[{"id":467,"uris":["http://zotero.org/users/local/AB2owHL2/items/EZKAGM8Y"],"itemData":{"id":467,"type":"article-journal","abstract":"The iron and steel industry accounts for about 20% of the annual industrial energy utilization. The intensive fossil fuel consumption in steel industry is associated with CO2 emission. In the absence of economically feasible and efficient methods for capture and storage of enormous quantities of CO2 emissions from steel industry, the use of biomass products as a source of energy and reducing agents provides a promising alternative solution for green steel production. However, the biomass application in iron and steel industry is still limited and it suffers strong competition from fossil fuels. The challenges of biomass usage in steel industry are included technical and economic aspects which required synergy between steelmaking and bioenergy sectors. Although intensive work has been carried out separately, there is a lack of link between these two vital sectors. The present article provides a comprehensive review of recent research progresses which have been conducted on biomass upgrading and analysing the opportunities and obstacles for biomass implementation in iron and steel industry. In the first part, an overview on the energy consumption and CO2 emissions in different iron and steelmaking routes is clarified. Moreover, the potential approaches of biomass conversion processes and upgrading technologies are reviewed. In the second part, an attention has been paid to the utilization of torrefied/pyrolyzed biomass in the energy-intensive ironmaking processes. Biomass addition to coal blend during cokemaking and its influence on the product coke quality is discussed. The partial and complete substitution of coke breeze with biochar in sintering process and its influence on the product sinter quality is explained. The impact of charcoal top charging or injection into blast furnace has been elaborated. Benefits and limitations of biomass application in each process are thoroughly discussed. In the third part, an economic analysis of biomass implementation for low-carbon steel is addressed.","container-title":"Renewable and Sustainable Energy Reviews","DOI":"10.1016/j.rser.2016.07.061","ISSN":"1364-0321","journalAbbreviation":"Renewable and Sustainable Energy Reviews","language":"en","page":"1247-1266","source":"ScienceDirect","title":"Biomass applications in iron and steel industry: An overview of challenges and opportunities","title-short":"Biomass applications in iron and steel industry","URL":"https://www.sciencedirect.com/science/article/pii/S1364032116303896","volume":"65","author":[{"family":"Mousa","given":"Elsayed"},{"family":"Wang","given":"Chuan"},{"family":"Riesbeck","given":"Johan"},{"family":"Larsson","given":"Mikael"}],"accessed":{"date-parts":[["2021",2,15]]},"issued":{"date-parts":[["2016",11,1]]}}}],"schema":"https://github.com/citation-style-language/schema/raw/master/csl-citation.json"} </w:instrText>
      </w:r>
      <w:r w:rsidR="000517A4">
        <w:fldChar w:fldCharType="separate"/>
      </w:r>
      <w:r w:rsidR="00192334" w:rsidRPr="00192334">
        <w:rPr>
          <w:rFonts w:ascii="Calibri" w:hAnsi="Calibri" w:cs="Calibri"/>
          <w:szCs w:val="24"/>
        </w:rPr>
        <w:t xml:space="preserve">(Mousa </w:t>
      </w:r>
      <w:r w:rsidR="00192334" w:rsidRPr="00192334">
        <w:rPr>
          <w:rFonts w:ascii="Calibri" w:hAnsi="Calibri" w:cs="Calibri"/>
          <w:i w:val="0"/>
          <w:iCs w:val="0"/>
          <w:szCs w:val="24"/>
        </w:rPr>
        <w:t>et al.</w:t>
      </w:r>
      <w:r w:rsidR="00192334" w:rsidRPr="00192334">
        <w:rPr>
          <w:rFonts w:ascii="Calibri" w:hAnsi="Calibri" w:cs="Calibri"/>
          <w:szCs w:val="24"/>
        </w:rPr>
        <w:t>, 2016)</w:t>
      </w:r>
      <w:r w:rsidR="000517A4">
        <w:fldChar w:fldCharType="end"/>
      </w:r>
      <w:r w:rsidR="000517A4">
        <w:t>.</w:t>
      </w:r>
      <w:bookmarkEnd w:id="20"/>
    </w:p>
    <w:p w14:paraId="25742DF1" w14:textId="165C67FD" w:rsidR="00FC7E7C" w:rsidRDefault="00EF125A" w:rsidP="00CE3862">
      <w:pPr>
        <w:spacing w:line="360" w:lineRule="auto"/>
        <w:jc w:val="both"/>
      </w:pPr>
      <w:r>
        <w:t>B</w:t>
      </w:r>
      <w:r w:rsidR="00FC7E7C">
        <w:t xml:space="preserve">iomass must be </w:t>
      </w:r>
      <w:r w:rsidR="003A3BFE">
        <w:t>d</w:t>
      </w:r>
      <w:r w:rsidR="006B33EF">
        <w:t>r</w:t>
      </w:r>
      <w:r w:rsidR="003A3BFE">
        <w:t>ied before any thermochemical</w:t>
      </w:r>
      <w:r w:rsidR="007E7CEF">
        <w:t xml:space="preserve"> conversion</w:t>
      </w:r>
      <w:r w:rsidR="003A3BFE">
        <w:t xml:space="preserve"> processes</w:t>
      </w:r>
      <w:r w:rsidR="007E7CEF">
        <w:t>. The moisture content needs to be reduced from 50 – 60% to 10%</w:t>
      </w:r>
      <w:r w:rsidR="001354C2">
        <w:t xml:space="preserve"> to avoid thermal ballast and </w:t>
      </w:r>
      <w:r w:rsidR="00F246CE">
        <w:t>affecting the yield of the charcoal.</w:t>
      </w:r>
      <w:r w:rsidR="00F76378">
        <w:t xml:space="preserve"> The most common technology used for biomass are rotary </w:t>
      </w:r>
      <w:r w:rsidR="001B4886">
        <w:t>dryers although there are several other technologies available.</w:t>
      </w:r>
    </w:p>
    <w:p w14:paraId="3045CDA5" w14:textId="0C33D274" w:rsidR="00980F74" w:rsidRDefault="001A3F2B" w:rsidP="00CE3862">
      <w:pPr>
        <w:spacing w:line="360" w:lineRule="auto"/>
        <w:jc w:val="both"/>
      </w:pPr>
      <w:r>
        <w:lastRenderedPageBreak/>
        <w:t>Thermal pre-treatments</w:t>
      </w:r>
      <w:r w:rsidR="00421C70">
        <w:t xml:space="preserve"> include torrefaction, carbonisation</w:t>
      </w:r>
      <w:r w:rsidR="00637D8E">
        <w:t xml:space="preserve">, fast </w:t>
      </w:r>
      <w:r w:rsidR="009A15CE">
        <w:t>pyrolysis,</w:t>
      </w:r>
      <w:r w:rsidR="00F813F6">
        <w:t xml:space="preserve"> hydrothermal </w:t>
      </w:r>
      <w:r w:rsidR="00134E9B">
        <w:t>carbonisation,</w:t>
      </w:r>
      <w:r w:rsidR="00637D8E">
        <w:t xml:space="preserve"> and gasification, they</w:t>
      </w:r>
      <w:r>
        <w:t xml:space="preserve"> are classified based on t</w:t>
      </w:r>
      <w:r w:rsidR="00A03C1E">
        <w:t>heir operating conditions</w:t>
      </w:r>
      <w:r w:rsidR="00161F67">
        <w:t>, mainly t</w:t>
      </w:r>
      <w:r w:rsidR="00151DDE">
        <w:t>emperature and reaction time</w:t>
      </w:r>
      <w:r w:rsidR="00421C70">
        <w:t xml:space="preserve"> and</w:t>
      </w:r>
      <w:r w:rsidR="00732C4E">
        <w:t xml:space="preserve"> they</w:t>
      </w:r>
      <w:r w:rsidR="002807EF">
        <w:t xml:space="preserve"> produce heat, syngas (H</w:t>
      </w:r>
      <w:r w:rsidR="002807EF" w:rsidRPr="00FB58A2">
        <w:rPr>
          <w:vertAlign w:val="subscript"/>
        </w:rPr>
        <w:t>2</w:t>
      </w:r>
      <w:r w:rsidR="002807EF">
        <w:t>+CO), or bio-oil and</w:t>
      </w:r>
      <w:r w:rsidR="00DA6848">
        <w:t xml:space="preserve"> char</w:t>
      </w:r>
      <w:r w:rsidR="00637D8E">
        <w:t>.</w:t>
      </w:r>
      <w:r w:rsidR="00145A76">
        <w:t xml:space="preserve"> </w:t>
      </w:r>
      <w:r w:rsidR="00A77BC9">
        <w:t>However,</w:t>
      </w:r>
      <w:r w:rsidR="00145A76">
        <w:t xml:space="preserve"> the solid product from</w:t>
      </w:r>
      <w:r w:rsidR="00453F9B">
        <w:t xml:space="preserve"> some of</w:t>
      </w:r>
      <w:r w:rsidR="00145A76">
        <w:t xml:space="preserve"> these</w:t>
      </w:r>
      <w:r w:rsidR="009A15CE">
        <w:t xml:space="preserve"> </w:t>
      </w:r>
      <w:r w:rsidR="00145A76">
        <w:t xml:space="preserve">processes is not </w:t>
      </w:r>
      <w:r w:rsidR="00314AFE">
        <w:t>regarded as suitable for use in the ISI.</w:t>
      </w:r>
      <w:r w:rsidR="00F656A6">
        <w:t xml:space="preserve"> </w:t>
      </w:r>
      <w:r w:rsidR="00F656A6">
        <w:fldChar w:fldCharType="begin"/>
      </w:r>
      <w:r w:rsidR="00192334">
        <w:instrText xml:space="preserve"> ADDIN ZOTERO_ITEM CSL_CITATION {"citationID":"pgkiu2vg","properties":{"formattedCitation":"(Suopaj\\uc0\\u228{}rvi {\\i{}et al.}, 2018)","plainCitation":"(Suopajärvi et al., 2018)","noteIndex":0},"citationItems":[{"id":428,"uris":["http://zotero.org/users/local/AB2owHL2/items/4TLBFGFE"],"itemData":{"id":428,"type":"article-journal","abstract":"This paper provides a fundamental and critical review of biomass application as a reducing agent and fuel in integrated steelmaking. The basis for the review is derived from the current process and product quality requirements that also biomass-derived fuels should fulfill. The availability and characteristics of different sources of biomass are discussed and suitable pretreatment technologies for their upgrading are evaluated. The existing literature concerning biomass application in bio-coke making, blast furnace injection, iron ore sintering and production of carbon composite agglomerates is reviewed and research gaps filled by providing insights and recommendations to the unresolved challenges. Several possibilities to integrate the production of biomass-based reducing agents with existing industrial infrastructures to lower the cost and increase the total efficiency are given. A comparison of technical challenges and CO2 emission reduction potential between biomass-based steelmaking and other emerging technologies to produce low-CO2 steel is made.","container-title":"Applied Energy","DOI":"10.1016/j.apenergy.2018.01.060","ISSN":"0306-2619","journalAbbreviation":"Applied Energy","language":"en","page":"384-407","source":"ScienceDirect","title":"Use of biomass in integrated steelmaking – Status quo, future needs and comparison to other low-CO2 steel production technologies","URL":"https://www.sciencedirect.com/science/article/pii/S0306261918300709","volume":"213","author":[{"family":"Suopajärvi","given":"Hannu"},{"family":"Umeki","given":"Kentaro"},{"family":"Mousa","given":"Elsayed"},{"family":"Hedayati","given":"Ali"},{"family":"Romar","given":"Henrik"},{"family":"Kemppainen","given":"Antti"},{"family":"Wang","given":"Chuan"},{"family":"Phounglamcheik","given":"Aekjuthon"},{"family":"Tuomikoski","given":"Sari"},{"family":"Norberg","given":"Nicklas"},{"family":"Andefors","given":"Alf"},{"family":"Öhman","given":"Marcus"},{"family":"Lassi","given":"Ulla"},{"family":"Fabritius","given":"Timo"}],"accessed":{"date-parts":[["2021",2,8]]},"issued":{"date-parts":[["2018",3,1]]}}}],"schema":"https://github.com/citation-style-language/schema/raw/master/csl-citation.json"} </w:instrText>
      </w:r>
      <w:r w:rsidR="00F656A6">
        <w:fldChar w:fldCharType="separate"/>
      </w:r>
      <w:r w:rsidR="00192334" w:rsidRPr="00192334">
        <w:rPr>
          <w:rFonts w:ascii="Calibri" w:hAnsi="Calibri" w:cs="Calibri"/>
          <w:szCs w:val="24"/>
        </w:rPr>
        <w:t xml:space="preserve">(Suopajärvi </w:t>
      </w:r>
      <w:r w:rsidR="00192334" w:rsidRPr="00192334">
        <w:rPr>
          <w:rFonts w:ascii="Calibri" w:hAnsi="Calibri" w:cs="Calibri"/>
          <w:i/>
          <w:iCs/>
          <w:szCs w:val="24"/>
        </w:rPr>
        <w:t>et al.</w:t>
      </w:r>
      <w:r w:rsidR="00192334" w:rsidRPr="00192334">
        <w:rPr>
          <w:rFonts w:ascii="Calibri" w:hAnsi="Calibri" w:cs="Calibri"/>
          <w:szCs w:val="24"/>
        </w:rPr>
        <w:t>, 2018)</w:t>
      </w:r>
      <w:r w:rsidR="00F656A6">
        <w:fldChar w:fldCharType="end"/>
      </w:r>
      <w:r w:rsidR="00F656A6">
        <w:t xml:space="preserve"> provides a</w:t>
      </w:r>
      <w:r w:rsidR="00F22C5A">
        <w:t xml:space="preserve"> summary of the available pre-treatments as follows</w:t>
      </w:r>
      <w:r w:rsidR="00DD27E4">
        <w:t xml:space="preserve"> (product yields from</w:t>
      </w:r>
      <w:r w:rsidR="00CE1314">
        <w:t xml:space="preserve"> </w:t>
      </w:r>
      <w:r w:rsidR="00CE1314">
        <w:fldChar w:fldCharType="begin"/>
      </w:r>
      <w:r w:rsidR="00192334">
        <w:instrText xml:space="preserve"> ADDIN ZOTERO_ITEM CSL_CITATION {"citationID":"Txupc9FF","properties":{"formattedCitation":"(Kambo and Dutta, 2015)","plainCitation":"(Kambo and Dutta, 2015)","noteIndex":0},"citationItems":[{"id":1710,"uris":["http://zotero.org/users/local/AB2owHL2/items/D65U96DB"],"itemData":{"id":1710,"type":"article-journal","abstract":"Slow-pyrolysis of biomass for the production of biochar, a stable carbon-rich solid by-product, has gained considerable interest due to its proven role and application in the multidisciplinary areas of science and engineering. An alternative to slow-pyrolysis is a relatively new process called hydrothermal carbonization (HTC) of biomass, where the biomass is treated with hot compressed water instead of drying, has shown promising results. The HTC process offers several advantages over conventional dry-thermal pre-treatments like slow-pyrolysis in terms of improvements in the process performances and economic efficiency, especially its ability to process wet feedstock without pre-drying requirement. Char produced from both the processes exhibits significantly different physiochemical properties that affect their potential applications, which includes but is not limited to carbon sequestration, soil amelioration, bioenergy production, and wastewater pollution remediation. This paper provides an updated review on the fundamentals and reaction mechanisms of the slow-pyrolysis and HTC processes, identifies research gaps, and summarizes the physicochemical characteristics of chars for different applications in the industry. The literature reviewed in this study suggests that hydrochar (HTC char) is a valuable resource and is superior to biochar in certain ways. For example, it contains a reduced alkali and alkaline earth and heavy metal content, and an increased higher heating value compared to the biochar produced at the same operating process temperature. However, its effective utilization would require further experimental research and investigations in terms of feeding of biomass against pressure; effects and relationships among feedstocks compositions, hydrochar characteristics and process conditions; advancement in the production technique(s) for improvement in the physicochemical behavior of hydrochar; and development of a diverse range of processing options to produce hydrochar with characteristics required for various industry applications.","container-title":"Renewable and Sustainable Energy Reviews","DOI":"10.1016/j.rser.2015.01.050","ISSN":"1364-0321","journalAbbreviation":"Renewable and Sustainable Energy Reviews","language":"en","page":"359-378","source":"ScienceDirect","title":"A comparative review of biochar and hydrochar in terms of production, physico-chemical properties and applications","URL":"https://www.sciencedirect.com/science/article/pii/S136403211500060X","volume":"45","author":[{"family":"Kambo","given":"Harpreet Singh"},{"family":"Dutta","given":"Animesh"}],"accessed":{"date-parts":[["2022",6,28]]},"issued":{"date-parts":[["2015",5,1]]}}}],"schema":"https://github.com/citation-style-language/schema/raw/master/csl-citation.json"} </w:instrText>
      </w:r>
      <w:r w:rsidR="00CE1314">
        <w:fldChar w:fldCharType="separate"/>
      </w:r>
      <w:r w:rsidR="00192334" w:rsidRPr="00192334">
        <w:rPr>
          <w:rFonts w:ascii="Calibri" w:hAnsi="Calibri" w:cs="Calibri"/>
        </w:rPr>
        <w:t>(Kambo and Dutta, 2015)</w:t>
      </w:r>
      <w:r w:rsidR="00CE1314">
        <w:fldChar w:fldCharType="end"/>
      </w:r>
      <w:r w:rsidR="00F22C5A">
        <w:t>:</w:t>
      </w:r>
    </w:p>
    <w:p w14:paraId="099D6573" w14:textId="2DBB9845" w:rsidR="00F5409C" w:rsidRDefault="00F5409C" w:rsidP="00CE3862">
      <w:pPr>
        <w:spacing w:line="360" w:lineRule="auto"/>
        <w:jc w:val="both"/>
        <w:rPr>
          <w:b/>
          <w:bCs/>
        </w:rPr>
      </w:pPr>
      <w:r w:rsidRPr="00B01F40">
        <w:rPr>
          <w:b/>
          <w:bCs/>
        </w:rPr>
        <w:t>Slow Pyrolysis</w:t>
      </w:r>
      <w:r w:rsidRPr="00B01F40">
        <w:t xml:space="preserve"> </w:t>
      </w:r>
      <w:r>
        <w:t>–</w:t>
      </w:r>
      <w:r>
        <w:rPr>
          <w:b/>
          <w:bCs/>
        </w:rPr>
        <w:t xml:space="preserve"> </w:t>
      </w:r>
      <w:r>
        <w:t>Slow heated to 300 - 600</w:t>
      </w:r>
      <w:r w:rsidRPr="00D75893">
        <w:rPr>
          <w:vertAlign w:val="superscript"/>
        </w:rPr>
        <w:t>0</w:t>
      </w:r>
      <w:r>
        <w:t>C without air, residence time can vary from 15 – 30 min to several hours. Produces a highly carbonated solid residue</w:t>
      </w:r>
      <w:r w:rsidR="00C06C22">
        <w:t xml:space="preserve"> (</w:t>
      </w:r>
      <w:r w:rsidR="00A5501B">
        <w:t>50 – 95% fixed carbon)</w:t>
      </w:r>
      <w:r>
        <w:t xml:space="preserve"> called charcoal or </w:t>
      </w:r>
      <w:r w:rsidR="00FB313D">
        <w:t>b</w:t>
      </w:r>
      <w:r>
        <w:t xml:space="preserve">iochar with a large particle size. Gas and bio-oil produced as by-products. </w:t>
      </w:r>
      <w:r w:rsidR="00B873F6">
        <w:t>The product yield</w:t>
      </w:r>
      <w:r w:rsidR="000A2649">
        <w:t>s</w:t>
      </w:r>
      <w:r w:rsidR="00B873F6">
        <w:t xml:space="preserve"> for carbonisation </w:t>
      </w:r>
      <w:r w:rsidR="000A2649">
        <w:t>are</w:t>
      </w:r>
      <w:r w:rsidR="00B873F6">
        <w:t xml:space="preserve"> </w:t>
      </w:r>
      <w:r w:rsidR="00A769ED">
        <w:t>20 -</w:t>
      </w:r>
      <w:r w:rsidR="00B873F6">
        <w:t xml:space="preserve">30% liquid, </w:t>
      </w:r>
      <w:r w:rsidR="00A769ED">
        <w:t xml:space="preserve">25 - </w:t>
      </w:r>
      <w:r w:rsidR="00B873F6">
        <w:t xml:space="preserve">35% char and </w:t>
      </w:r>
      <w:r w:rsidR="00A769ED">
        <w:t xml:space="preserve">25 - </w:t>
      </w:r>
      <w:r w:rsidR="000A2649">
        <w:t>35% gas.</w:t>
      </w:r>
    </w:p>
    <w:p w14:paraId="4725F448" w14:textId="0BDBDE08" w:rsidR="00B01F40" w:rsidRDefault="00F5409C" w:rsidP="00CE3862">
      <w:pPr>
        <w:spacing w:line="360" w:lineRule="auto"/>
        <w:jc w:val="both"/>
      </w:pPr>
      <w:r>
        <w:rPr>
          <w:b/>
          <w:bCs/>
        </w:rPr>
        <w:t>T</w:t>
      </w:r>
      <w:r w:rsidR="002D4714" w:rsidRPr="00F22C5A">
        <w:rPr>
          <w:b/>
          <w:bCs/>
        </w:rPr>
        <w:t>orrefaction</w:t>
      </w:r>
      <w:r w:rsidR="002D4714">
        <w:t xml:space="preserve"> </w:t>
      </w:r>
      <w:r w:rsidR="00D75893">
        <w:t>–</w:t>
      </w:r>
      <w:r w:rsidR="002D4714">
        <w:t xml:space="preserve"> </w:t>
      </w:r>
      <w:r w:rsidR="00D75893">
        <w:t>Temperature range is 200 - 300</w:t>
      </w:r>
      <w:r w:rsidR="00D75893" w:rsidRPr="00D75893">
        <w:rPr>
          <w:vertAlign w:val="superscript"/>
        </w:rPr>
        <w:t>0</w:t>
      </w:r>
      <w:r w:rsidR="00D75893">
        <w:t>C</w:t>
      </w:r>
      <w:r w:rsidR="00FC576D">
        <w:t xml:space="preserve"> in the absence of air</w:t>
      </w:r>
      <w:r w:rsidR="00D75893">
        <w:t xml:space="preserve"> </w:t>
      </w:r>
      <w:r w:rsidR="00FC576D">
        <w:t>with 15 – 30 min residence time. Produces</w:t>
      </w:r>
      <w:r w:rsidR="00780F49">
        <w:t xml:space="preserve"> carbonised solid residue</w:t>
      </w:r>
      <w:r w:rsidR="00A5501B">
        <w:t xml:space="preserve"> 14</w:t>
      </w:r>
      <w:r w:rsidR="00493872">
        <w:t xml:space="preserve"> – 48% fixed carbon</w:t>
      </w:r>
      <w:r w:rsidR="00F656A6">
        <w:t>.</w:t>
      </w:r>
      <w:r w:rsidR="009B5E0A">
        <w:t xml:space="preserve"> The product yield</w:t>
      </w:r>
      <w:r w:rsidR="000A2649">
        <w:t>s</w:t>
      </w:r>
      <w:r w:rsidR="009B5E0A">
        <w:t xml:space="preserve"> for torrefaction </w:t>
      </w:r>
      <w:r w:rsidR="00BC0E3F">
        <w:t>are</w:t>
      </w:r>
      <w:r w:rsidR="001F1434">
        <w:t xml:space="preserve"> </w:t>
      </w:r>
      <w:r w:rsidR="00CE04F8">
        <w:t xml:space="preserve">60 - </w:t>
      </w:r>
      <w:r w:rsidR="009B5E0A">
        <w:t xml:space="preserve">80% </w:t>
      </w:r>
      <w:r w:rsidR="003D1C23">
        <w:t>char</w:t>
      </w:r>
      <w:r w:rsidR="001F1434">
        <w:t xml:space="preserve"> and 20</w:t>
      </w:r>
      <w:r w:rsidR="00CE04F8">
        <w:t xml:space="preserve"> - 40</w:t>
      </w:r>
      <w:r w:rsidR="001F1434">
        <w:t>% gas</w:t>
      </w:r>
      <w:r w:rsidR="000A2649">
        <w:t>.</w:t>
      </w:r>
    </w:p>
    <w:p w14:paraId="473E1721" w14:textId="130BA468" w:rsidR="007B2F0C" w:rsidRDefault="007B2F0C" w:rsidP="00CE3862">
      <w:pPr>
        <w:spacing w:line="360" w:lineRule="auto"/>
        <w:jc w:val="both"/>
      </w:pPr>
      <w:r>
        <w:rPr>
          <w:b/>
          <w:bCs/>
        </w:rPr>
        <w:t>Hydrothermal Carbonisation</w:t>
      </w:r>
      <w:r w:rsidR="00CE04F8">
        <w:rPr>
          <w:b/>
          <w:bCs/>
        </w:rPr>
        <w:t xml:space="preserve"> (HTC)</w:t>
      </w:r>
      <w:r>
        <w:rPr>
          <w:b/>
          <w:bCs/>
        </w:rPr>
        <w:t xml:space="preserve"> </w:t>
      </w:r>
      <w:r w:rsidR="00045769">
        <w:t>–</w:t>
      </w:r>
      <w:r>
        <w:t xml:space="preserve"> </w:t>
      </w:r>
      <w:r w:rsidR="00045769">
        <w:t xml:space="preserve">Mixed with </w:t>
      </w:r>
      <w:r w:rsidR="00D26BDC">
        <w:t>saturated water-steam at 150 – 250</w:t>
      </w:r>
      <w:r w:rsidR="00D26BDC" w:rsidRPr="00D75893">
        <w:rPr>
          <w:vertAlign w:val="superscript"/>
        </w:rPr>
        <w:t>0</w:t>
      </w:r>
      <w:r w:rsidR="00D26BDC">
        <w:t>C</w:t>
      </w:r>
      <w:r w:rsidR="0093217A">
        <w:t xml:space="preserve"> form a few minutes to a few hours. Produces a slightly carbonated</w:t>
      </w:r>
      <w:r w:rsidR="006017DA">
        <w:t xml:space="preserve"> solid residue called HTC biomass</w:t>
      </w:r>
      <w:r w:rsidR="00487B13">
        <w:t xml:space="preserve"> with similar properties to torrefied biomass</w:t>
      </w:r>
      <w:r w:rsidR="006017DA">
        <w:t>. Suitable for wet biomass</w:t>
      </w:r>
      <w:r w:rsidR="00AB710F">
        <w:t>.</w:t>
      </w:r>
      <w:r w:rsidR="00B52FAA">
        <w:t xml:space="preserve"> Eliminates the need for pre</w:t>
      </w:r>
      <w:r w:rsidR="00677DAC">
        <w:t>-</w:t>
      </w:r>
      <w:r w:rsidR="00B52FAA">
        <w:t>drying.</w:t>
      </w:r>
      <w:r w:rsidR="00CE04F8">
        <w:t xml:space="preserve"> The product yield</w:t>
      </w:r>
      <w:r w:rsidR="00677DAC">
        <w:t>s</w:t>
      </w:r>
      <w:r w:rsidR="00CE04F8">
        <w:t xml:space="preserve"> for HTC are </w:t>
      </w:r>
      <w:r w:rsidR="005849D3">
        <w:t xml:space="preserve">45 – 70% </w:t>
      </w:r>
      <w:r w:rsidR="00F64CDC">
        <w:t>char</w:t>
      </w:r>
      <w:r w:rsidR="005849D3">
        <w:t>, 5 – 25% liquid</w:t>
      </w:r>
      <w:r w:rsidR="00CE1314">
        <w:t>, and 2 – 5% gas.</w:t>
      </w:r>
    </w:p>
    <w:p w14:paraId="615D18FF" w14:textId="13B73110" w:rsidR="00AB710F" w:rsidRDefault="006E10C6" w:rsidP="00CE3862">
      <w:pPr>
        <w:spacing w:line="360" w:lineRule="auto"/>
        <w:jc w:val="both"/>
      </w:pPr>
      <w:r>
        <w:rPr>
          <w:b/>
          <w:bCs/>
        </w:rPr>
        <w:t>Fast Pyroly</w:t>
      </w:r>
      <w:r w:rsidR="00151A13">
        <w:rPr>
          <w:b/>
          <w:bCs/>
        </w:rPr>
        <w:t>sis</w:t>
      </w:r>
      <w:r w:rsidR="00151A13">
        <w:t xml:space="preserve"> - Heated to 400 - 600</w:t>
      </w:r>
      <w:r w:rsidR="00151A13" w:rsidRPr="00D75893">
        <w:rPr>
          <w:vertAlign w:val="superscript"/>
        </w:rPr>
        <w:t>0</w:t>
      </w:r>
      <w:r w:rsidR="00151A13">
        <w:t xml:space="preserve">C </w:t>
      </w:r>
      <w:r w:rsidR="00A10551">
        <w:t xml:space="preserve">for a few seconds </w:t>
      </w:r>
      <w:r w:rsidR="00F44D09">
        <w:t>without the presence of air. Produces bio-oil</w:t>
      </w:r>
      <w:r w:rsidR="00F656A6">
        <w:t xml:space="preserve">. </w:t>
      </w:r>
      <w:r w:rsidR="004F074E">
        <w:t>The product y</w:t>
      </w:r>
      <w:r w:rsidR="00561018">
        <w:t xml:space="preserve">ields for fast pyrolysis are 75% liquid, 12% </w:t>
      </w:r>
      <w:r w:rsidR="00F64CDC">
        <w:t>char</w:t>
      </w:r>
      <w:r w:rsidR="00561018">
        <w:t xml:space="preserve"> and 13% gas.</w:t>
      </w:r>
    </w:p>
    <w:p w14:paraId="59F6ED69" w14:textId="2FA9C6E7" w:rsidR="00CB6226" w:rsidRDefault="00CB6226" w:rsidP="00CE3862">
      <w:pPr>
        <w:spacing w:line="360" w:lineRule="auto"/>
        <w:jc w:val="both"/>
      </w:pPr>
      <w:r>
        <w:rPr>
          <w:b/>
          <w:bCs/>
        </w:rPr>
        <w:t xml:space="preserve">Gasification </w:t>
      </w:r>
      <w:r w:rsidR="0026379F">
        <w:t>–</w:t>
      </w:r>
      <w:r>
        <w:t xml:space="preserve"> </w:t>
      </w:r>
      <w:r w:rsidR="0026379F">
        <w:t xml:space="preserve">Operating conditions are 600 – 1400 </w:t>
      </w:r>
      <w:r w:rsidR="0026379F" w:rsidRPr="00D75893">
        <w:rPr>
          <w:vertAlign w:val="superscript"/>
        </w:rPr>
        <w:t>0</w:t>
      </w:r>
      <w:r w:rsidR="0026379F">
        <w:t>C</w:t>
      </w:r>
      <w:r w:rsidR="009879BA">
        <w:t>, mixed with 30 – 50% oxygen or air</w:t>
      </w:r>
      <w:r w:rsidR="00500F92">
        <w:t>. Syngas is produced</w:t>
      </w:r>
      <w:r w:rsidR="00622D35">
        <w:t xml:space="preserve">. </w:t>
      </w:r>
      <w:r w:rsidR="009755D2">
        <w:t xml:space="preserve">The product yields of gasification are </w:t>
      </w:r>
      <w:r w:rsidR="003F37E0">
        <w:t xml:space="preserve">5% liquid, 10% </w:t>
      </w:r>
      <w:r w:rsidR="00F64CDC">
        <w:t>char</w:t>
      </w:r>
      <w:r w:rsidR="003F37E0">
        <w:t xml:space="preserve"> and 85% gas.</w:t>
      </w:r>
    </w:p>
    <w:p w14:paraId="4B951594" w14:textId="2E848953" w:rsidR="00F413CC" w:rsidRDefault="00F413CC" w:rsidP="00F413CC">
      <w:pPr>
        <w:spacing w:line="360" w:lineRule="auto"/>
        <w:jc w:val="both"/>
      </w:pPr>
      <w:r>
        <w:t>Some char is produced as a by-product in both fast pyrolysis and gasification but is not considered biochar does not have the required properties.</w:t>
      </w:r>
    </w:p>
    <w:p w14:paraId="66EABA29" w14:textId="3FBA5DFB" w:rsidR="00D86D1D" w:rsidRDefault="00D92E5C" w:rsidP="00D86D1D">
      <w:pPr>
        <w:spacing w:line="360" w:lineRule="auto"/>
        <w:jc w:val="both"/>
      </w:pPr>
      <w:r>
        <w:t xml:space="preserve">The most suitable biomass state for use in industry as a source of energy is solid biomass, followed by biogas. The solid biofuels are represented by charcoal and torrefied wood pellets, and these are the most appropriate fuels for </w:t>
      </w:r>
      <w:r w:rsidR="009A6BA5">
        <w:t>industrial use as an energy source</w:t>
      </w:r>
      <w:r>
        <w:t xml:space="preserve">. </w:t>
      </w:r>
      <w:r w:rsidR="00EB454C">
        <w:t xml:space="preserve">Biochar </w:t>
      </w:r>
      <w:r>
        <w:t>has the highest fixed carbon and calorific value and the lowest volatile matter among the bio products</w:t>
      </w:r>
      <w:r w:rsidR="001D4320">
        <w:t xml:space="preserve"> </w:t>
      </w:r>
      <w:r w:rsidR="001D4320">
        <w:fldChar w:fldCharType="begin"/>
      </w:r>
      <w:r w:rsidR="00192334">
        <w:instrText xml:space="preserve"> ADDIN ZOTERO_ITEM CSL_CITATION {"citationID":"OZZeEtBh","properties":{"formattedCitation":"(Suopaj\\uc0\\u228{}rvi {\\i{}et al.}, 2018)","plainCitation":"(Suopajärvi et al., 2018)","noteIndex":0},"citationItems":[{"id":428,"uris":["http://zotero.org/users/local/AB2owHL2/items/4TLBFGFE"],"itemData":{"id":428,"type":"article-journal","abstract":"This paper provides a fundamental and critical review of biomass application as a reducing agent and fuel in integrated steelmaking. The basis for the review is derived from the current process and product quality requirements that also biomass-derived fuels should fulfill. The availability and characteristics of different sources of biomass are discussed and suitable pretreatment technologies for their upgrading are evaluated. The existing literature concerning biomass application in bio-coke making, blast furnace injection, iron ore sintering and production of carbon composite agglomerates is reviewed and research gaps filled by providing insights and recommendations to the unresolved challenges. Several possibilities to integrate the production of biomass-based reducing agents with existing industrial infrastructures to lower the cost and increase the total efficiency are given. A comparison of technical challenges and CO2 emission reduction potential between biomass-based steelmaking and other emerging technologies to produce low-CO2 steel is made.","container-title":"Applied Energy","DOI":"10.1016/j.apenergy.2018.01.060","ISSN":"0306-2619","journalAbbreviation":"Applied Energy","language":"en","page":"384-407","source":"ScienceDirect","title":"Use of biomass in integrated steelmaking – Status quo, future needs and comparison to other low-CO2 steel production technologies","URL":"https://www.sciencedirect.com/science/article/pii/S0306261918300709","volume":"213","author":[{"family":"Suopajärvi","given":"Hannu"},{"family":"Umeki","given":"Kentaro"},{"family":"Mousa","given":"Elsayed"},{"family":"Hedayati","given":"Ali"},{"family":"Romar","given":"Henrik"},{"family":"Kemppainen","given":"Antti"},{"family":"Wang","given":"Chuan"},{"family":"Phounglamcheik","given":"Aekjuthon"},{"family":"Tuomikoski","given":"Sari"},{"family":"Norberg","given":"Nicklas"},{"family":"Andefors","given":"Alf"},{"family":"Öhman","given":"Marcus"},{"family":"Lassi","given":"Ulla"},{"family":"Fabritius","given":"Timo"}],"accessed":{"date-parts":[["2021",2,8]]},"issued":{"date-parts":[["2018",3,1]]}}}],"schema":"https://github.com/citation-style-language/schema/raw/master/csl-citation.json"} </w:instrText>
      </w:r>
      <w:r w:rsidR="001D4320">
        <w:fldChar w:fldCharType="separate"/>
      </w:r>
      <w:r w:rsidR="00192334" w:rsidRPr="00192334">
        <w:rPr>
          <w:rFonts w:ascii="Calibri" w:hAnsi="Calibri" w:cs="Calibri"/>
          <w:szCs w:val="24"/>
        </w:rPr>
        <w:t xml:space="preserve">(Suopajärvi </w:t>
      </w:r>
      <w:r w:rsidR="00192334" w:rsidRPr="00192334">
        <w:rPr>
          <w:rFonts w:ascii="Calibri" w:hAnsi="Calibri" w:cs="Calibri"/>
          <w:i/>
          <w:iCs/>
          <w:szCs w:val="24"/>
        </w:rPr>
        <w:t>et al.</w:t>
      </w:r>
      <w:r w:rsidR="00192334" w:rsidRPr="00192334">
        <w:rPr>
          <w:rFonts w:ascii="Calibri" w:hAnsi="Calibri" w:cs="Calibri"/>
          <w:szCs w:val="24"/>
        </w:rPr>
        <w:t>, 2018)</w:t>
      </w:r>
      <w:r w:rsidR="001D4320">
        <w:fldChar w:fldCharType="end"/>
      </w:r>
      <w:r>
        <w:t xml:space="preserve">. </w:t>
      </w:r>
      <w:r w:rsidR="00D86D1D">
        <w:t xml:space="preserve">Figure 8 illustrates that during thermal pre-treatment the carbon mass increases relative to the oxygen and hydrogen content, as a result the heating value and CV increases by about 9 – 12%. </w:t>
      </w:r>
    </w:p>
    <w:p w14:paraId="48E484C2" w14:textId="55F4A2DD" w:rsidR="00D92E5C" w:rsidRPr="00FB58A2" w:rsidRDefault="00D92E5C" w:rsidP="00D92E5C">
      <w:pPr>
        <w:spacing w:line="360" w:lineRule="auto"/>
        <w:jc w:val="both"/>
      </w:pPr>
    </w:p>
    <w:p w14:paraId="06FF1011" w14:textId="1A3EA09E" w:rsidR="007965D9" w:rsidRDefault="00A81B07" w:rsidP="00F413CC">
      <w:pPr>
        <w:spacing w:line="360" w:lineRule="auto"/>
        <w:jc w:val="both"/>
      </w:pPr>
      <w:r w:rsidRPr="00A81B07">
        <w:rPr>
          <w:noProof/>
        </w:rPr>
        <w:lastRenderedPageBreak/>
        <w:drawing>
          <wp:inline distT="0" distB="0" distL="0" distR="0" wp14:anchorId="6FA49088" wp14:editId="2EF9B7D9">
            <wp:extent cx="3896139" cy="2393315"/>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35"/>
                    <a:stretch>
                      <a:fillRect/>
                    </a:stretch>
                  </pic:blipFill>
                  <pic:spPr>
                    <a:xfrm>
                      <a:off x="0" y="0"/>
                      <a:ext cx="3899410" cy="2395325"/>
                    </a:xfrm>
                    <a:prstGeom prst="rect">
                      <a:avLst/>
                    </a:prstGeom>
                  </pic:spPr>
                </pic:pic>
              </a:graphicData>
            </a:graphic>
          </wp:inline>
        </w:drawing>
      </w:r>
    </w:p>
    <w:p w14:paraId="73031A39" w14:textId="0E7E6480" w:rsidR="00A81B07" w:rsidRDefault="00373C34" w:rsidP="00373C34">
      <w:pPr>
        <w:pStyle w:val="Caption"/>
      </w:pPr>
      <w:bookmarkStart w:id="21" w:name="_Toc127110902"/>
      <w:r>
        <w:t xml:space="preserve">Figure </w:t>
      </w:r>
      <w:fldSimple w:instr=" SEQ Figure \* ARABIC ">
        <w:r w:rsidR="00A0212F">
          <w:rPr>
            <w:noProof/>
          </w:rPr>
          <w:t>8</w:t>
        </w:r>
      </w:fldSimple>
      <w:r>
        <w:t xml:space="preserve"> </w:t>
      </w:r>
      <w:r w:rsidRPr="00BB1C49">
        <w:t xml:space="preserve">Influence of pre-treatment temperature on key variables </w:t>
      </w:r>
      <w:r w:rsidR="00DC1502">
        <w:fldChar w:fldCharType="begin"/>
      </w:r>
      <w:r w:rsidR="00371188">
        <w:instrText xml:space="preserve"> ADDIN ZOTERO_ITEM CSL_CITATION {"citationID":"0wByCRI5","properties":{"formattedCitation":"(Liu and Shen 2021b)","plainCitation":"(Liu and Shen 2021b)","dontUpdate":true,"noteIndex":0},"citationItems":[{"id":2048,"uris":["http://zotero.org/users/local/AB2owHL2/items/JM8PE9PU"],"itemData":{"id":2048,"type":"article-journal","abstract":"Biomass is a renewable and potentially carbon-neutral energy source and can be a promising alternative to fossil fuels in the ironmaking industry. Pulverised biomass injection (PBI) is the most promising technology to use biomass-based materials in ironmaking blast furnaces (BFs). This paper reviews key aspects of recent research relating to biomass combustion in the raceway region: experimental studies, numerical studies, and the application of the research findings to optimise BF practice. In the experimental part, the pretreatment of raw biomass to produce pyrolysed biochar products for improving applicability in BFs is reviewed. The properties of raw biomass and biochar are compared with the main requirements for injection into BFs, and the process tests that have been employed at lab- and pilot-scales are reviewed. In the modelling part, a comprehensive overview of mathematical modelling of biomass combustion in BFs is presented, ranging from turbulent flow to heat transfer and mass transfer, as well as key reaction models for simulating the lower part of the BF. With respect to the application of the research, in-furnace phenomena understanding, operation optimisation, and facility design are reviewed, including the co-firing of biomass and coal. In addition, heat and mass balance modelling has been used to demonstrate the operating window of feasible operations using PBI. Life cycle assessment has been reviewed to demonstrate PBI's environmental credentials. Based on the aspects reviewed, conclusions have been drawn on the strengths, limitations, and outlook of PBI studies. This paper offers a comprehensive review of the combustion of biomass in BFs and should prove useful for process understanding, design and optimisation towards green ironmaking technology.","container-title":"Progress in Energy and Combustion Science","DOI":"10.1016/j.pecs.2021.100952","ISSN":"0360-1285","journalAbbreviation":"Progress in Energy and Combustion Science","language":"en","page":"100952","source":"ScienceDirect","title":"Modelling and optimisation of biomass injection in ironmaking blast furnaces","URL":"https://www.sciencedirect.com/science/article/pii/S0360128521000502","volume":"87","author":[{"family":"Liu","given":"Yiran"},{"family":"Shen","given":"Yansong"}],"accessed":{"date-parts":[["2022",11,12]]},"issued":{"date-parts":[["2021",11,1]]}}}],"schema":"https://github.com/citation-style-language/schema/raw/master/csl-citation.json"} </w:instrText>
      </w:r>
      <w:r w:rsidR="00DC1502">
        <w:fldChar w:fldCharType="separate"/>
      </w:r>
      <w:r w:rsidR="00DC1502" w:rsidRPr="00DC1502">
        <w:rPr>
          <w:rFonts w:ascii="Calibri" w:hAnsi="Calibri" w:cs="Calibri"/>
        </w:rPr>
        <w:t>(Liu and Shen 2021)</w:t>
      </w:r>
      <w:bookmarkEnd w:id="21"/>
      <w:r w:rsidR="00DC1502">
        <w:fldChar w:fldCharType="end"/>
      </w:r>
    </w:p>
    <w:p w14:paraId="5C27CEC7" w14:textId="77777777" w:rsidR="009B7904" w:rsidRDefault="009B7904" w:rsidP="00CE3862">
      <w:pPr>
        <w:spacing w:line="360" w:lineRule="auto"/>
        <w:jc w:val="both"/>
      </w:pPr>
    </w:p>
    <w:p w14:paraId="418D8BB6" w14:textId="77777777" w:rsidR="009B7904" w:rsidRDefault="009B7904" w:rsidP="00CE3862">
      <w:pPr>
        <w:spacing w:line="360" w:lineRule="auto"/>
        <w:jc w:val="both"/>
      </w:pPr>
    </w:p>
    <w:p w14:paraId="0A5CE90B" w14:textId="77777777" w:rsidR="009B7904" w:rsidRDefault="009B7904" w:rsidP="00CE3862">
      <w:pPr>
        <w:spacing w:line="360" w:lineRule="auto"/>
        <w:jc w:val="both"/>
      </w:pPr>
    </w:p>
    <w:p w14:paraId="3A521850" w14:textId="77777777" w:rsidR="009B7904" w:rsidRDefault="009B7904" w:rsidP="00CE3862">
      <w:pPr>
        <w:spacing w:line="360" w:lineRule="auto"/>
        <w:jc w:val="both"/>
      </w:pPr>
    </w:p>
    <w:p w14:paraId="40263BCA" w14:textId="77777777" w:rsidR="009B7904" w:rsidRDefault="009B7904" w:rsidP="00CE3862">
      <w:pPr>
        <w:spacing w:line="360" w:lineRule="auto"/>
        <w:jc w:val="both"/>
      </w:pPr>
    </w:p>
    <w:p w14:paraId="4F3DA57F" w14:textId="77777777" w:rsidR="009B7904" w:rsidRDefault="009B7904" w:rsidP="00CE3862">
      <w:pPr>
        <w:spacing w:line="360" w:lineRule="auto"/>
        <w:jc w:val="both"/>
      </w:pPr>
    </w:p>
    <w:p w14:paraId="1B5AF5DC" w14:textId="77777777" w:rsidR="009B7904" w:rsidRDefault="009B7904" w:rsidP="00CE3862">
      <w:pPr>
        <w:spacing w:line="360" w:lineRule="auto"/>
        <w:jc w:val="both"/>
      </w:pPr>
    </w:p>
    <w:p w14:paraId="7AFBCEF7" w14:textId="77777777" w:rsidR="009B7904" w:rsidRDefault="009B7904" w:rsidP="00CE3862">
      <w:pPr>
        <w:spacing w:line="360" w:lineRule="auto"/>
        <w:jc w:val="both"/>
      </w:pPr>
    </w:p>
    <w:p w14:paraId="6E30BA9F" w14:textId="77777777" w:rsidR="009B7904" w:rsidRDefault="009B7904" w:rsidP="00CE3862">
      <w:pPr>
        <w:spacing w:line="360" w:lineRule="auto"/>
        <w:jc w:val="both"/>
      </w:pPr>
    </w:p>
    <w:p w14:paraId="6BDD12F0" w14:textId="77777777" w:rsidR="009B7904" w:rsidRDefault="009B7904" w:rsidP="00CE3862">
      <w:pPr>
        <w:spacing w:line="360" w:lineRule="auto"/>
        <w:jc w:val="both"/>
      </w:pPr>
    </w:p>
    <w:p w14:paraId="78441BF8" w14:textId="77777777" w:rsidR="009B7904" w:rsidRDefault="009B7904" w:rsidP="00CE3862">
      <w:pPr>
        <w:spacing w:line="360" w:lineRule="auto"/>
        <w:jc w:val="both"/>
      </w:pPr>
    </w:p>
    <w:p w14:paraId="535F3871" w14:textId="77777777" w:rsidR="009B7904" w:rsidRDefault="009B7904" w:rsidP="00CE3862">
      <w:pPr>
        <w:spacing w:line="360" w:lineRule="auto"/>
        <w:jc w:val="both"/>
      </w:pPr>
    </w:p>
    <w:p w14:paraId="5C64507B" w14:textId="77777777" w:rsidR="009B7904" w:rsidRDefault="009B7904" w:rsidP="00CE3862">
      <w:pPr>
        <w:spacing w:line="360" w:lineRule="auto"/>
        <w:jc w:val="both"/>
      </w:pPr>
    </w:p>
    <w:p w14:paraId="782D0B78" w14:textId="77777777" w:rsidR="009B7904" w:rsidRDefault="009B7904" w:rsidP="00CE3862">
      <w:pPr>
        <w:spacing w:line="360" w:lineRule="auto"/>
        <w:jc w:val="both"/>
      </w:pPr>
    </w:p>
    <w:p w14:paraId="54C9B120" w14:textId="77777777" w:rsidR="009B7904" w:rsidRDefault="009B7904" w:rsidP="00CE3862">
      <w:pPr>
        <w:spacing w:line="360" w:lineRule="auto"/>
        <w:jc w:val="both"/>
      </w:pPr>
    </w:p>
    <w:p w14:paraId="5F746CC7" w14:textId="440381C0" w:rsidR="00EF704A" w:rsidRPr="00EF704A" w:rsidRDefault="00637C96" w:rsidP="00F104D1">
      <w:pPr>
        <w:pStyle w:val="Heading2"/>
        <w:spacing w:line="360" w:lineRule="auto"/>
        <w:jc w:val="both"/>
      </w:pPr>
      <w:bookmarkStart w:id="22" w:name="_Toc128599597"/>
      <w:r>
        <w:lastRenderedPageBreak/>
        <w:t>Biomass utilisation in the iron and steel industry</w:t>
      </w:r>
      <w:bookmarkEnd w:id="22"/>
    </w:p>
    <w:p w14:paraId="3B922689" w14:textId="0AD9F911" w:rsidR="00637C96" w:rsidRDefault="00EF704A" w:rsidP="00F104D1">
      <w:pPr>
        <w:spacing w:line="360" w:lineRule="auto"/>
        <w:jc w:val="both"/>
      </w:pPr>
      <w:r>
        <w:t xml:space="preserve">The BF – BOS steelmaking process accounts for </w:t>
      </w:r>
      <w:r w:rsidR="00455C94">
        <w:t>70% of global steel production</w:t>
      </w:r>
      <w:r w:rsidR="00985B7A">
        <w:t xml:space="preserve">. The BF process involves </w:t>
      </w:r>
      <w:r w:rsidR="00132B72">
        <w:t>charging agglomerated iron ore and /or sinter</w:t>
      </w:r>
      <w:r w:rsidR="0025792D">
        <w:t xml:space="preserve"> into the BF at 1600 -2000</w:t>
      </w:r>
      <w:r w:rsidR="0025792D" w:rsidRPr="0025792D">
        <w:rPr>
          <w:vertAlign w:val="superscript"/>
        </w:rPr>
        <w:t>0</w:t>
      </w:r>
      <w:r w:rsidR="0025792D">
        <w:t>C</w:t>
      </w:r>
      <w:r w:rsidR="00397357">
        <w:t>. Metallurgical coke is the primary source of energy and the reducing agent</w:t>
      </w:r>
      <w:r w:rsidR="00E245B3">
        <w:t>. Fluxes such as limestone and dolomite are added to remove impurities such as sulphur.</w:t>
      </w:r>
      <w:r w:rsidR="006D33F9">
        <w:t xml:space="preserve"> Pulverised coal injection (PCI) and oxygen </w:t>
      </w:r>
      <w:r w:rsidR="00585E21">
        <w:t>are injected into the furnace to increase productivity and reduce coke demand</w:t>
      </w:r>
      <w:r w:rsidR="007D44D0">
        <w:t xml:space="preserve"> </w:t>
      </w:r>
      <w:r w:rsidR="007D44D0">
        <w:fldChar w:fldCharType="begin"/>
      </w:r>
      <w:r w:rsidR="00192334">
        <w:instrText xml:space="preserve"> ADDIN ZOTERO_ITEM CSL_CITATION {"citationID":"xHCWDM6N","properties":{"formattedCitation":"(Geerdes,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7D44D0">
        <w:fldChar w:fldCharType="separate"/>
      </w:r>
      <w:r w:rsidR="00192334" w:rsidRPr="00192334">
        <w:rPr>
          <w:rFonts w:ascii="Calibri" w:hAnsi="Calibri" w:cs="Calibri"/>
        </w:rPr>
        <w:t>(Geerdes, Toxopeus and Vliet, 2009)</w:t>
      </w:r>
      <w:r w:rsidR="007D44D0">
        <w:fldChar w:fldCharType="end"/>
      </w:r>
      <w:r w:rsidR="00585E21">
        <w:t>.</w:t>
      </w:r>
    </w:p>
    <w:p w14:paraId="54A0D317" w14:textId="4D852BCC" w:rsidR="005C7CC4" w:rsidRPr="003C3C07" w:rsidRDefault="00F74416" w:rsidP="005C7CC4">
      <w:pPr>
        <w:spacing w:line="360" w:lineRule="auto"/>
        <w:jc w:val="both"/>
      </w:pPr>
      <w:r>
        <w:t xml:space="preserve">The three </w:t>
      </w:r>
      <w:r w:rsidR="003C3C07">
        <w:t>processes with most potential for CO</w:t>
      </w:r>
      <w:r w:rsidR="003C3C07" w:rsidRPr="003C3C07">
        <w:rPr>
          <w:vertAlign w:val="subscript"/>
        </w:rPr>
        <w:t>2</w:t>
      </w:r>
      <w:r w:rsidR="003C3C07">
        <w:t xml:space="preserve"> savings</w:t>
      </w:r>
      <w:r w:rsidR="00373920">
        <w:t xml:space="preserve"> in the ISI</w:t>
      </w:r>
      <w:r w:rsidR="00792D9C">
        <w:t xml:space="preserve">, </w:t>
      </w:r>
      <w:r w:rsidR="001F479E">
        <w:t>displayed</w:t>
      </w:r>
      <w:r w:rsidR="00792D9C">
        <w:t xml:space="preserve"> in </w:t>
      </w:r>
      <w:r w:rsidR="001F479E">
        <w:t xml:space="preserve">figure </w:t>
      </w:r>
      <w:r w:rsidR="00D86D1D">
        <w:t>9</w:t>
      </w:r>
      <w:r w:rsidR="001F479E">
        <w:t>, are</w:t>
      </w:r>
      <w:r w:rsidR="003C3C07">
        <w:t>:</w:t>
      </w:r>
    </w:p>
    <w:p w14:paraId="38CF0853" w14:textId="35FF2E6A" w:rsidR="005C7CC4" w:rsidRDefault="005C7CC4" w:rsidP="005C7CC4">
      <w:pPr>
        <w:pStyle w:val="ListParagraph"/>
        <w:numPr>
          <w:ilvl w:val="0"/>
          <w:numId w:val="1"/>
        </w:numPr>
        <w:spacing w:line="360" w:lineRule="auto"/>
        <w:jc w:val="both"/>
      </w:pPr>
      <w:r>
        <w:t>As a replacement for coal in PCI at the BF tuyeres.</w:t>
      </w:r>
    </w:p>
    <w:p w14:paraId="797F325D" w14:textId="77777777" w:rsidR="005C7CC4" w:rsidRDefault="005C7CC4" w:rsidP="005C7CC4">
      <w:pPr>
        <w:pStyle w:val="ListParagraph"/>
        <w:numPr>
          <w:ilvl w:val="0"/>
          <w:numId w:val="1"/>
        </w:numPr>
        <w:spacing w:line="360" w:lineRule="auto"/>
        <w:jc w:val="both"/>
      </w:pPr>
      <w:r>
        <w:t>Partial replacement of coal in the coke making process for charging into the BF.</w:t>
      </w:r>
    </w:p>
    <w:p w14:paraId="56EB522E" w14:textId="02794B1B" w:rsidR="005A1A28" w:rsidRDefault="005C7CC4" w:rsidP="005A1A28">
      <w:pPr>
        <w:pStyle w:val="ListParagraph"/>
        <w:numPr>
          <w:ilvl w:val="0"/>
          <w:numId w:val="1"/>
        </w:numPr>
        <w:spacing w:line="360" w:lineRule="auto"/>
        <w:jc w:val="both"/>
      </w:pPr>
      <w:r>
        <w:t>Biomass in iron ore sintering for charging into BF.</w:t>
      </w:r>
    </w:p>
    <w:p w14:paraId="26C363E4" w14:textId="2B1B15E1" w:rsidR="005C7CC4" w:rsidRDefault="005C7CC4" w:rsidP="005C7CC4">
      <w:pPr>
        <w:spacing w:line="360" w:lineRule="auto"/>
        <w:jc w:val="both"/>
      </w:pPr>
      <w:r>
        <w:fldChar w:fldCharType="begin"/>
      </w:r>
      <w:r w:rsidR="00192334">
        <w:instrText xml:space="preserve"> ADDIN ZOTERO_ITEM CSL_CITATION {"citationID":"Q3q3O3ei","properties":{"formattedCitation":"(Liu and Shen, 2021b)","plainCitation":"(Liu and Shen, 2021b)","noteIndex":0},"citationItems":[{"id":1694,"uris":["http://zotero.org/users/local/AB2owHL2/items/V6GCR2UE"],"itemData":{"id":1694,"type":"article-journal","abstract":"Biomass is a renewable and potentially carbon-neutral energy source and can be a promising alternative to fossil fuels in the ironmaking industry. Pulverised biomass injection (PBI) is the most promising technology to use biomass-based materials in ironmaking blast furnaces (BFs). This paper reviews key aspects of recent research relating to biomass combustion in the raceway region: experimental studies, numerical studies, and the application of the research findings to optimise BF practice. In the experimental part, the pretreatment of raw biomass to produce pyrolysed biochar products for improving applicability in BFs is reviewed. The properties of raw biomass and biochar are compared with the main requirements for injection into BFs, and the process tests that have been employed at lab- and pilot-scales are reviewed. In the modelling part, a comprehensive overview of mathematical modelling of biomass combustion in BFs is presented, ranging from turbulent flow to heat transfer and mass transfer, as well as key reaction models for simulating the lower part of the BF. With respect to the application of the research, in-furnace phenomena understanding, operation optimisation, and facility design are reviewed, including the co-firing of biomass and coal. In addition, heat and mass balance modelling has been used to demonstrate the operating window of feasible operations using PBI. Life cycle assessment has been reviewed to demonstrate PBI's environmental credentials. Based on the aspects reviewed, conclusions have been drawn on the strengths, limitations, and outlook of PBI studies. This paper offers a comprehensive review of the combustion of biomass in BFs and should prove useful for process understanding, design and optimisation towards green ironmaking technology.","container-title":"Progress in Energy and Combustion Science","DOI":"10.1016/j.pecs.2021.100952","ISSN":"0360-1285","journalAbbreviation":"Progress in Energy and Combustion Science","language":"en","page":"100952","source":"ScienceDirect","title":"Modelling and optimisation of biomass injection in ironmaking blast furnaces","URL":"https://www.sciencedirect.com/science/article/pii/S0360128521000502","volume":"87","author":[{"family":"Liu","given":"Yiran"},{"family":"Shen","given":"Yansong"}],"accessed":{"date-parts":[["2022",6,28]]},"issued":{"date-parts":[["2021",11,1]]}}}],"schema":"https://github.com/citation-style-language/schema/raw/master/csl-citation.json"} </w:instrText>
      </w:r>
      <w:r>
        <w:fldChar w:fldCharType="separate"/>
      </w:r>
      <w:r w:rsidR="00192334" w:rsidRPr="00192334">
        <w:rPr>
          <w:rFonts w:ascii="Calibri" w:hAnsi="Calibri" w:cs="Calibri"/>
        </w:rPr>
        <w:t>(Liu and Shen, 2021b)</w:t>
      </w:r>
      <w:r>
        <w:fldChar w:fldCharType="end"/>
      </w:r>
    </w:p>
    <w:p w14:paraId="30DBE231" w14:textId="77777777" w:rsidR="005C7CC4" w:rsidRDefault="005C7CC4" w:rsidP="005C7CC4">
      <w:pPr>
        <w:spacing w:line="360" w:lineRule="auto"/>
        <w:jc w:val="both"/>
      </w:pPr>
      <w:r w:rsidRPr="00EC74AD">
        <w:rPr>
          <w:noProof/>
        </w:rPr>
        <w:drawing>
          <wp:inline distT="0" distB="0" distL="0" distR="0" wp14:anchorId="37AD3913" wp14:editId="19EBB805">
            <wp:extent cx="5467018" cy="2115047"/>
            <wp:effectExtent l="0" t="0" r="63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6"/>
                    <a:stretch>
                      <a:fillRect/>
                    </a:stretch>
                  </pic:blipFill>
                  <pic:spPr>
                    <a:xfrm>
                      <a:off x="0" y="0"/>
                      <a:ext cx="5479190" cy="2119756"/>
                    </a:xfrm>
                    <a:prstGeom prst="rect">
                      <a:avLst/>
                    </a:prstGeom>
                  </pic:spPr>
                </pic:pic>
              </a:graphicData>
            </a:graphic>
          </wp:inline>
        </w:drawing>
      </w:r>
    </w:p>
    <w:p w14:paraId="67C4359F" w14:textId="359E2CB5" w:rsidR="00C5153C" w:rsidRPr="00C5153C" w:rsidRDefault="00C5153C" w:rsidP="00C5153C">
      <w:pPr>
        <w:pStyle w:val="Caption"/>
      </w:pPr>
      <w:bookmarkStart w:id="23" w:name="_Toc127110903"/>
      <w:r>
        <w:t xml:space="preserve">Figure </w:t>
      </w:r>
      <w:fldSimple w:instr=" SEQ Figure \* ARABIC ">
        <w:r w:rsidR="00A0212F">
          <w:rPr>
            <w:noProof/>
          </w:rPr>
          <w:t>9</w:t>
        </w:r>
      </w:fldSimple>
      <w:r>
        <w:t xml:space="preserve"> </w:t>
      </w:r>
      <w:r w:rsidRPr="00260F91">
        <w:t>Opportunities for Biomass in iron &amp; steelmaking</w:t>
      </w:r>
      <w:r>
        <w:t xml:space="preserve"> </w:t>
      </w:r>
      <w:r w:rsidR="004F75B3">
        <w:fldChar w:fldCharType="begin"/>
      </w:r>
      <w:r w:rsidR="00192334">
        <w:instrText xml:space="preserve"> ADDIN ZOTERO_ITEM CSL_CITATION {"citationID":"8dEmMFun","properties":{"formattedCitation":"(Mandova {\\i{}et al.}, 2018)","plainCitation":"(Mandova et al., 2018)","noteIndex":0},"citationItems":[{"id":1645,"uris":["http://zotero.org/users/local/AB2owHL2/items/U7AYIKF9"],"itemData":{"id":1645,"type":"article-journal","abstract":"Iron and steel plants producing steel via the blast furnace-basic oxygen furnace (BF-BOF) route constitute among the largest single point CO2 emitters within the European Union (EU). As the iron ore reduction process in the blast furnace is fully dependent on carbon mainly supplied by coal and coke, bioenergy is the only renewable that presents a possibility for their partial substitution. Using the BeWhere model, this work optimised the mobilization and use of biomass resources within the EU in order to identify the opportunities that bioenergy can bring to the 30 operating BF-BOF plants. The results demonstrate competition for the available biomass resources within existing industries and economically unappealing prices of the bio-based fuels. A carbon dioxide price of 60 € t−1 is required to substitute 20% of the CO2 emissions from the fossil fuels use, while a price of 140 € t−1 is needed to reach the maximum potential of 42%. The possibility to use organic wastes to produce hydrochar would not enhance the maximum emission reduction potential, but it would broaden the available feedstock during the low levels of substitution. The scope for bioenergy integration is different for each plant and so consideration of its deployment should be treated individually. Therefore, the EU-ETS (Emission Trading System) may not be the best policy tool for bioenergy as an emission reduction strategy for the iron and steel industry, as it does not differentiate between the opportunities across the different steel plants and creates additional costs for the already struggling European steel industry.","container-title":"Biomass and Bioenergy","DOI":"10.1016/j.biombioe.2018.04.021","ISSN":"0961-9534","journalAbbreviation":"Biomass and Bioenergy","language":"en","page":"231-243","source":"ScienceDirect","title":"Possibilities for CO2 emission reduction using biomass in European integrated steel plants","URL":"https://www.sciencedirect.com/science/article/pii/S0961953418301107","volume":"115","author":[{"family":"Mandova","given":"H."},{"family":"Leduc","given":"S."},{"family":"Wang","given":"C."},{"family":"Wetterlund","given":"E."},{"family":"Patrizio","given":"P."},{"family":"Gale","given":"W."},{"family":"Kraxner","given":"F."}],"accessed":{"date-parts":[["2022",5,3]]},"issued":{"date-parts":[["2018",8,1]]}}}],"schema":"https://github.com/citation-style-language/schema/raw/master/csl-citation.json"} </w:instrText>
      </w:r>
      <w:r w:rsidR="004F75B3">
        <w:fldChar w:fldCharType="separate"/>
      </w:r>
      <w:bookmarkEnd w:id="23"/>
      <w:r w:rsidR="00192334" w:rsidRPr="00192334">
        <w:rPr>
          <w:rFonts w:ascii="Calibri" w:hAnsi="Calibri" w:cs="Calibri"/>
          <w:szCs w:val="24"/>
        </w:rPr>
        <w:t xml:space="preserve">(Mandova </w:t>
      </w:r>
      <w:r w:rsidR="00192334" w:rsidRPr="00192334">
        <w:rPr>
          <w:rFonts w:ascii="Calibri" w:hAnsi="Calibri" w:cs="Calibri"/>
          <w:i w:val="0"/>
          <w:iCs w:val="0"/>
          <w:szCs w:val="24"/>
        </w:rPr>
        <w:t>et al.</w:t>
      </w:r>
      <w:r w:rsidR="00192334" w:rsidRPr="00192334">
        <w:rPr>
          <w:rFonts w:ascii="Calibri" w:hAnsi="Calibri" w:cs="Calibri"/>
          <w:szCs w:val="24"/>
        </w:rPr>
        <w:t>, 2018)</w:t>
      </w:r>
      <w:r w:rsidR="004F75B3">
        <w:fldChar w:fldCharType="end"/>
      </w:r>
    </w:p>
    <w:p w14:paraId="4828F433" w14:textId="0BF4D198" w:rsidR="002D7D91" w:rsidRDefault="002D7D91" w:rsidP="002D7D91">
      <w:pPr>
        <w:spacing w:line="360" w:lineRule="auto"/>
        <w:jc w:val="both"/>
      </w:pPr>
      <w:r>
        <w:t xml:space="preserve">Other potential </w:t>
      </w:r>
      <w:r w:rsidR="00E5248E">
        <w:t>options for CO</w:t>
      </w:r>
      <w:r w:rsidR="00E5248E" w:rsidRPr="003C3C07">
        <w:rPr>
          <w:vertAlign w:val="subscript"/>
        </w:rPr>
        <w:t>2</w:t>
      </w:r>
      <w:r w:rsidR="00E5248E">
        <w:t xml:space="preserve"> savings in the ISI include:</w:t>
      </w:r>
    </w:p>
    <w:p w14:paraId="71A78445" w14:textId="51FBCB47" w:rsidR="002D7D91" w:rsidRDefault="002D7D91" w:rsidP="00BD34CE">
      <w:pPr>
        <w:pStyle w:val="ListParagraph"/>
        <w:numPr>
          <w:ilvl w:val="0"/>
          <w:numId w:val="1"/>
        </w:numPr>
        <w:spacing w:line="360" w:lineRule="auto"/>
        <w:jc w:val="both"/>
      </w:pPr>
      <w:r>
        <w:t>Biomass briquette charged directly into the BF (partial coke replacement).</w:t>
      </w:r>
    </w:p>
    <w:p w14:paraId="428A5097" w14:textId="0CC5B37C" w:rsidR="002D7D91" w:rsidRDefault="002D7D91" w:rsidP="00BD34CE">
      <w:pPr>
        <w:pStyle w:val="ListParagraph"/>
        <w:numPr>
          <w:ilvl w:val="0"/>
          <w:numId w:val="1"/>
        </w:numPr>
        <w:spacing w:line="360" w:lineRule="auto"/>
        <w:jc w:val="both"/>
      </w:pPr>
      <w:r>
        <w:t xml:space="preserve">Iron ore pellets produced using </w:t>
      </w:r>
      <w:r w:rsidR="00D86D1D">
        <w:t>biomass.</w:t>
      </w:r>
    </w:p>
    <w:p w14:paraId="7CB4A150" w14:textId="0A75FE94" w:rsidR="00E5248E" w:rsidRDefault="002D7D91" w:rsidP="00BD34CE">
      <w:pPr>
        <w:pStyle w:val="ListParagraph"/>
        <w:numPr>
          <w:ilvl w:val="0"/>
          <w:numId w:val="1"/>
        </w:numPr>
        <w:spacing w:line="360" w:lineRule="auto"/>
        <w:jc w:val="both"/>
      </w:pPr>
      <w:r>
        <w:t>BF nut coke replacement</w:t>
      </w:r>
      <w:r w:rsidR="0009115B">
        <w:t>.</w:t>
      </w:r>
    </w:p>
    <w:p w14:paraId="57B4113B" w14:textId="15EEDE4A" w:rsidR="00C42174" w:rsidRDefault="00B205A9" w:rsidP="00B205A9">
      <w:pPr>
        <w:spacing w:line="360" w:lineRule="auto"/>
        <w:jc w:val="both"/>
      </w:pPr>
      <w:r>
        <w:t>This report will focus on the first three options</w:t>
      </w:r>
      <w:r w:rsidR="00F17DB6">
        <w:t>.</w:t>
      </w:r>
    </w:p>
    <w:p w14:paraId="13B80482" w14:textId="18C43960" w:rsidR="007B52FA" w:rsidRDefault="001D30D9" w:rsidP="00F104D1">
      <w:pPr>
        <w:pStyle w:val="Heading3"/>
        <w:spacing w:line="360" w:lineRule="auto"/>
        <w:jc w:val="both"/>
      </w:pPr>
      <w:bookmarkStart w:id="24" w:name="_Toc128599598"/>
      <w:r>
        <w:t xml:space="preserve">Injection of </w:t>
      </w:r>
      <w:r w:rsidR="00C42174">
        <w:t>Bio</w:t>
      </w:r>
      <w:r w:rsidR="00813719">
        <w:t>mass</w:t>
      </w:r>
      <w:r>
        <w:t xml:space="preserve"> into blast furnaces</w:t>
      </w:r>
      <w:bookmarkEnd w:id="24"/>
    </w:p>
    <w:p w14:paraId="53D1006B" w14:textId="0CB944E0" w:rsidR="003F1C49" w:rsidRDefault="00E12AAB" w:rsidP="003F1C49">
      <w:pPr>
        <w:spacing w:line="360" w:lineRule="auto"/>
        <w:jc w:val="both"/>
      </w:pPr>
      <w:r>
        <w:t>The raw materials</w:t>
      </w:r>
      <w:r w:rsidR="00CD2A4F">
        <w:t xml:space="preserve"> are charged into the </w:t>
      </w:r>
      <w:r w:rsidR="00C264F1">
        <w:t>BF</w:t>
      </w:r>
      <w:r w:rsidR="00CD2A4F">
        <w:t xml:space="preserve"> through the top</w:t>
      </w:r>
      <w:r>
        <w:t xml:space="preserve"> of the furn</w:t>
      </w:r>
      <w:r w:rsidR="002A5A27">
        <w:t>ace</w:t>
      </w:r>
      <w:r w:rsidR="00475B4E">
        <w:t xml:space="preserve">. Iron bearing materials are charged </w:t>
      </w:r>
      <w:r w:rsidR="00747F72">
        <w:t>in alternating layers along with the coke. The BF is heated by injecting pre</w:t>
      </w:r>
      <w:r w:rsidR="00293F4B">
        <w:t>heated air (blast) and coal through tuyer</w:t>
      </w:r>
      <w:r w:rsidR="00BC3521">
        <w:t>es (water cooled pipes) at the bottom of the furnace.</w:t>
      </w:r>
      <w:r w:rsidR="0020700A">
        <w:t xml:space="preserve"> </w:t>
      </w:r>
      <w:r w:rsidR="006959B1">
        <w:t>The hot blast</w:t>
      </w:r>
      <w:r w:rsidR="003A3B5C">
        <w:t xml:space="preserve"> reacts with the material in the furnace creating a high temperature flame of </w:t>
      </w:r>
      <w:r w:rsidR="004F2D0A">
        <w:t>2100</w:t>
      </w:r>
      <w:r w:rsidR="004F2D0A" w:rsidRPr="004F2D0A">
        <w:rPr>
          <w:vertAlign w:val="superscript"/>
        </w:rPr>
        <w:t>0</w:t>
      </w:r>
      <w:r w:rsidR="004F2D0A">
        <w:t>C – 2300</w:t>
      </w:r>
      <w:r w:rsidR="004F2D0A" w:rsidRPr="004F2D0A">
        <w:rPr>
          <w:vertAlign w:val="superscript"/>
        </w:rPr>
        <w:t>0</w:t>
      </w:r>
      <w:r w:rsidR="004F2D0A">
        <w:t>C</w:t>
      </w:r>
      <w:r w:rsidR="009F0E73">
        <w:t xml:space="preserve">. The coke and coal </w:t>
      </w:r>
      <w:r w:rsidR="009F0E73">
        <w:lastRenderedPageBreak/>
        <w:t xml:space="preserve">are </w:t>
      </w:r>
      <w:proofErr w:type="spellStart"/>
      <w:r w:rsidR="009F0E73">
        <w:t>gasified</w:t>
      </w:r>
      <w:proofErr w:type="spellEnd"/>
      <w:r w:rsidR="00FC3D9C">
        <w:t xml:space="preserve"> and the hot gases ascend the furnace,</w:t>
      </w:r>
      <w:r w:rsidR="00C7713C">
        <w:t xml:space="preserve"> melting </w:t>
      </w:r>
      <w:r w:rsidR="008F2D05">
        <w:t xml:space="preserve">and reducing </w:t>
      </w:r>
      <w:r w:rsidR="00C7713C">
        <w:t>the iron ore.</w:t>
      </w:r>
      <w:r w:rsidR="00FC3D9C">
        <w:t xml:space="preserve"> </w:t>
      </w:r>
      <w:r w:rsidR="00311F30">
        <w:t xml:space="preserve">The voids created allow the burden </w:t>
      </w:r>
      <w:r w:rsidR="002567A8">
        <w:t>to descend through the furnace</w:t>
      </w:r>
      <w:r w:rsidR="00371188">
        <w:t xml:space="preserve"> </w:t>
      </w:r>
      <w:r w:rsidR="00371188">
        <w:fldChar w:fldCharType="begin"/>
      </w:r>
      <w:r w:rsidR="00192334">
        <w:instrText xml:space="preserve"> ADDIN ZOTERO_ITEM CSL_CITATION {"citationID":"s3dKaG2q","properties":{"formattedCitation":"(Geerdes,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371188">
        <w:fldChar w:fldCharType="separate"/>
      </w:r>
      <w:r w:rsidR="00192334" w:rsidRPr="00192334">
        <w:rPr>
          <w:rFonts w:ascii="Calibri" w:hAnsi="Calibri" w:cs="Calibri"/>
        </w:rPr>
        <w:t>(Geerdes, Toxopeus and Vliet, 2009)</w:t>
      </w:r>
      <w:r w:rsidR="00371188">
        <w:fldChar w:fldCharType="end"/>
      </w:r>
      <w:r w:rsidR="002567A8">
        <w:t xml:space="preserve">. </w:t>
      </w:r>
    </w:p>
    <w:p w14:paraId="40182885" w14:textId="1AC5EE6C" w:rsidR="00BB016B" w:rsidRPr="003F1C49" w:rsidRDefault="00180ECC" w:rsidP="003F1C49">
      <w:pPr>
        <w:spacing w:line="360" w:lineRule="auto"/>
        <w:jc w:val="both"/>
      </w:pPr>
      <w:r>
        <w:t>The blast furnace is illustrated in figure 10</w:t>
      </w:r>
      <w:r w:rsidR="00760635">
        <w:t xml:space="preserve">. </w:t>
      </w:r>
      <w:r w:rsidR="00630969">
        <w:t>As the temperature at the throat of the furnace reaches 500</w:t>
      </w:r>
      <w:r w:rsidR="00FD176D" w:rsidRPr="00FD176D">
        <w:rPr>
          <w:vertAlign w:val="superscript"/>
        </w:rPr>
        <w:t>0</w:t>
      </w:r>
      <w:r w:rsidR="00FD176D">
        <w:t>C</w:t>
      </w:r>
      <w:r w:rsidR="00630969">
        <w:t xml:space="preserve"> </w:t>
      </w:r>
      <w:r w:rsidR="00FD176D">
        <w:t>–</w:t>
      </w:r>
      <w:r w:rsidR="00630969">
        <w:t xml:space="preserve"> 600</w:t>
      </w:r>
      <w:r w:rsidR="00FD176D" w:rsidRPr="00FD176D">
        <w:rPr>
          <w:vertAlign w:val="superscript"/>
        </w:rPr>
        <w:t>0</w:t>
      </w:r>
      <w:r w:rsidR="00FD176D">
        <w:t xml:space="preserve">C </w:t>
      </w:r>
      <w:r w:rsidR="00D71A90">
        <w:t>the iron ore in the form of Hematite (Fe</w:t>
      </w:r>
      <w:r w:rsidR="00D71A90" w:rsidRPr="00D71A90">
        <w:rPr>
          <w:vertAlign w:val="subscript"/>
        </w:rPr>
        <w:t>2</w:t>
      </w:r>
      <w:r w:rsidR="00D71A90">
        <w:t>O</w:t>
      </w:r>
      <w:r w:rsidR="00D71A90" w:rsidRPr="00D71A90">
        <w:rPr>
          <w:vertAlign w:val="subscript"/>
        </w:rPr>
        <w:t>3</w:t>
      </w:r>
      <w:r w:rsidR="00D71A90">
        <w:t xml:space="preserve">) </w:t>
      </w:r>
      <w:r w:rsidR="00F554C9">
        <w:t>starts to reduce to Magnetite (Fe</w:t>
      </w:r>
      <w:r w:rsidR="00EF71F7" w:rsidRPr="00EF71F7">
        <w:rPr>
          <w:vertAlign w:val="subscript"/>
        </w:rPr>
        <w:t>3</w:t>
      </w:r>
      <w:r w:rsidR="00EF71F7">
        <w:t>O</w:t>
      </w:r>
      <w:r w:rsidR="00EF71F7" w:rsidRPr="00EF71F7">
        <w:rPr>
          <w:vertAlign w:val="subscript"/>
        </w:rPr>
        <w:t>4</w:t>
      </w:r>
      <w:r w:rsidR="00EF71F7">
        <w:t>)</w:t>
      </w:r>
      <w:r w:rsidR="00114680">
        <w:t>. Further down the furnace as temperatures raise to 700</w:t>
      </w:r>
      <w:r w:rsidR="00114680" w:rsidRPr="00114680">
        <w:rPr>
          <w:vertAlign w:val="superscript"/>
        </w:rPr>
        <w:t>0</w:t>
      </w:r>
      <w:r w:rsidR="00114680">
        <w:t>C – 900</w:t>
      </w:r>
      <w:r w:rsidR="00114680" w:rsidRPr="00114680">
        <w:rPr>
          <w:vertAlign w:val="superscript"/>
        </w:rPr>
        <w:t>0</w:t>
      </w:r>
      <w:r w:rsidR="00114680">
        <w:t xml:space="preserve">C </w:t>
      </w:r>
      <w:r w:rsidR="008E6161">
        <w:t xml:space="preserve">the Magnetite reduces to </w:t>
      </w:r>
      <w:proofErr w:type="spellStart"/>
      <w:r w:rsidR="008E6161">
        <w:t>Wustite</w:t>
      </w:r>
      <w:proofErr w:type="spellEnd"/>
      <w:r w:rsidR="008E6161">
        <w:t xml:space="preserve"> (</w:t>
      </w:r>
      <w:proofErr w:type="spellStart"/>
      <w:r w:rsidR="008E6161">
        <w:t>FeO</w:t>
      </w:r>
      <w:proofErr w:type="spellEnd"/>
      <w:r w:rsidR="008E6161">
        <w:t xml:space="preserve">). </w:t>
      </w:r>
      <w:r w:rsidR="00E42B1F">
        <w:t>Further down at an area called the cohesive zone</w:t>
      </w:r>
      <w:r w:rsidR="00DC173B">
        <w:t xml:space="preserve"> at</w:t>
      </w:r>
      <w:r w:rsidR="00E42B1F">
        <w:t xml:space="preserve"> 1100</w:t>
      </w:r>
      <w:r w:rsidR="00E42B1F" w:rsidRPr="00E42B1F">
        <w:rPr>
          <w:vertAlign w:val="superscript"/>
        </w:rPr>
        <w:t>0</w:t>
      </w:r>
      <w:r w:rsidR="00E42B1F">
        <w:t>C – 1400</w:t>
      </w:r>
      <w:r w:rsidR="00E42B1F" w:rsidRPr="00E42B1F">
        <w:rPr>
          <w:vertAlign w:val="superscript"/>
        </w:rPr>
        <w:t>0</w:t>
      </w:r>
      <w:r w:rsidR="00E42B1F">
        <w:t>C</w:t>
      </w:r>
      <w:r w:rsidR="00DC173B">
        <w:t xml:space="preserve"> the </w:t>
      </w:r>
      <w:proofErr w:type="spellStart"/>
      <w:r w:rsidR="00DC173B">
        <w:t>Wustite</w:t>
      </w:r>
      <w:proofErr w:type="spellEnd"/>
      <w:r w:rsidR="00DC173B">
        <w:t xml:space="preserve"> is reduced to metallic iron</w:t>
      </w:r>
      <w:r w:rsidR="00317FCD">
        <w:t>, here the iron starts to soften and melt.</w:t>
      </w:r>
      <w:r w:rsidR="00E3732E">
        <w:t xml:space="preserve"> </w:t>
      </w:r>
      <w:r w:rsidR="009862EF">
        <w:t>Below the cohesive zone temperatures reach 1500</w:t>
      </w:r>
      <w:r w:rsidR="009862EF" w:rsidRPr="009862EF">
        <w:rPr>
          <w:vertAlign w:val="superscript"/>
        </w:rPr>
        <w:t>0</w:t>
      </w:r>
      <w:r w:rsidR="009862EF">
        <w:t>C</w:t>
      </w:r>
      <w:r w:rsidR="00E42B1F">
        <w:t xml:space="preserve"> </w:t>
      </w:r>
      <w:r w:rsidR="003B4DC5">
        <w:t>and coke is now the only solid material.</w:t>
      </w:r>
      <w:r w:rsidR="005F79F2">
        <w:t xml:space="preserve"> The iron continues to descend the furnace</w:t>
      </w:r>
      <w:r w:rsidR="009B53B1">
        <w:t xml:space="preserve"> </w:t>
      </w:r>
      <w:r w:rsidR="005F79F2">
        <w:t>through the active zone</w:t>
      </w:r>
      <w:r w:rsidR="00DB273C">
        <w:t xml:space="preserve">, this is a semi fluidised region where liquid iron drips </w:t>
      </w:r>
      <w:r w:rsidR="00BA12C2">
        <w:t>through the coke voids.</w:t>
      </w:r>
      <w:r w:rsidR="001C4E64">
        <w:t xml:space="preserve"> The final stage of reduction is completed at the </w:t>
      </w:r>
      <w:r w:rsidR="003A5F80">
        <w:t>dead man</w:t>
      </w:r>
      <w:r w:rsidR="007A36DE">
        <w:t>, a stable region of coke</w:t>
      </w:r>
      <w:r w:rsidR="003F5EEC">
        <w:t xml:space="preserve"> in the middle of the raceway.</w:t>
      </w:r>
      <w:r w:rsidR="00D05170">
        <w:t xml:space="preserve"> The </w:t>
      </w:r>
      <w:r w:rsidR="008F5D67">
        <w:t xml:space="preserve">fully melted iron and slag collects at the hearth where it is cast via a tap hole </w:t>
      </w:r>
      <w:r w:rsidR="00360AE8">
        <w:fldChar w:fldCharType="begin"/>
      </w:r>
      <w:r w:rsidR="00192334">
        <w:instrText xml:space="preserve"> ADDIN ZOTERO_ITEM CSL_CITATION {"citationID":"Tg7jXk1r","properties":{"formattedCitation":"(Haapakangas, 2016)","plainCitation":"(Haapakangas, 2016)","noteIndex":0},"citationItems":[{"id":1886,"uris":["http://zotero.org/users/local/AB2owHL2/items/83HR8EAH"],"itemData":{"id":1886,"type":"thesis","event-place":"Finland","language":"en","publisher":"University of Oulu","publisher-place":"Finland","title":"Coke properties in simulated blast furnace conditions, investigation on hot strength, chemical reactivity and reaction mechanism","URL":"https://www.semanticscholar.org/paper/Juho-Haapakangas-COKE-PROPERTIES-IN-SIMULATED-BLAST-Palviainen-Vuolteenaho/da6a141d5618862fd311b259c4a2da39370752e7","author":[{"family":"Haapakangas","given":"Juho"}],"accessed":{"date-parts":[["2022",8,7]]},"issued":{"date-parts":[["2016"]]}}}],"schema":"https://github.com/citation-style-language/schema/raw/master/csl-citation.json"} </w:instrText>
      </w:r>
      <w:r w:rsidR="00360AE8">
        <w:fldChar w:fldCharType="separate"/>
      </w:r>
      <w:r w:rsidR="00192334" w:rsidRPr="00192334">
        <w:rPr>
          <w:rFonts w:ascii="Calibri" w:hAnsi="Calibri" w:cs="Calibri"/>
        </w:rPr>
        <w:t>(Haapakangas, 2016)</w:t>
      </w:r>
      <w:r w:rsidR="00360AE8">
        <w:fldChar w:fldCharType="end"/>
      </w:r>
      <w:r w:rsidR="003806CC">
        <w:t xml:space="preserve">, </w:t>
      </w:r>
    </w:p>
    <w:p w14:paraId="7D6C0E9B" w14:textId="5AF2C7F4" w:rsidR="007B52FA" w:rsidRDefault="007B52FA" w:rsidP="007B52FA">
      <w:pPr>
        <w:spacing w:line="360" w:lineRule="auto"/>
        <w:jc w:val="both"/>
      </w:pPr>
      <w:r>
        <w:rPr>
          <w:noProof/>
        </w:rPr>
        <w:drawing>
          <wp:inline distT="0" distB="0" distL="0" distR="0" wp14:anchorId="0C378AB7" wp14:editId="6A973AB8">
            <wp:extent cx="4116809" cy="2337684"/>
            <wp:effectExtent l="0" t="0" r="0" b="5715"/>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7"/>
                    <a:stretch>
                      <a:fillRect/>
                    </a:stretch>
                  </pic:blipFill>
                  <pic:spPr>
                    <a:xfrm>
                      <a:off x="0" y="0"/>
                      <a:ext cx="4169560" cy="2367638"/>
                    </a:xfrm>
                    <a:prstGeom prst="rect">
                      <a:avLst/>
                    </a:prstGeom>
                  </pic:spPr>
                </pic:pic>
              </a:graphicData>
            </a:graphic>
          </wp:inline>
        </w:drawing>
      </w:r>
    </w:p>
    <w:p w14:paraId="4EAB3CBE" w14:textId="2944C619" w:rsidR="006F62A8" w:rsidRDefault="006F62A8" w:rsidP="006F62A8">
      <w:pPr>
        <w:pStyle w:val="Caption"/>
      </w:pPr>
      <w:bookmarkStart w:id="25" w:name="_Toc127110904"/>
      <w:r>
        <w:t xml:space="preserve">Figure </w:t>
      </w:r>
      <w:fldSimple w:instr=" SEQ Figure \* ARABIC ">
        <w:r w:rsidR="00A0212F">
          <w:rPr>
            <w:noProof/>
          </w:rPr>
          <w:t>10</w:t>
        </w:r>
      </w:fldSimple>
      <w:r>
        <w:t xml:space="preserve"> An illustration of a blast furnace </w:t>
      </w:r>
      <w:r w:rsidR="00C4569E">
        <w:fldChar w:fldCharType="begin"/>
      </w:r>
      <w:r w:rsidR="00192334">
        <w:instrText xml:space="preserve"> ADDIN ZOTERO_ITEM CSL_CITATION {"citationID":"1BMWYroc","properties":{"formattedCitation":"(Geerdes,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C4569E">
        <w:fldChar w:fldCharType="separate"/>
      </w:r>
      <w:bookmarkEnd w:id="25"/>
      <w:r w:rsidR="00192334" w:rsidRPr="00192334">
        <w:rPr>
          <w:rFonts w:ascii="Calibri" w:hAnsi="Calibri" w:cs="Calibri"/>
        </w:rPr>
        <w:t>(Geerdes, Toxopeus and Vliet, 2009)</w:t>
      </w:r>
      <w:r w:rsidR="00C4569E">
        <w:fldChar w:fldCharType="end"/>
      </w:r>
    </w:p>
    <w:p w14:paraId="3A667009" w14:textId="1B1F4C92" w:rsidR="009C3C4E" w:rsidRDefault="001B68BA" w:rsidP="0091350E">
      <w:pPr>
        <w:spacing w:line="360" w:lineRule="auto"/>
        <w:jc w:val="both"/>
      </w:pPr>
      <w:r>
        <w:fldChar w:fldCharType="begin"/>
      </w:r>
      <w:r w:rsidR="0032252B">
        <w:instrText xml:space="preserve"> ADDIN ZOTERO_ITEM CSL_CITATION {"citationID":"2LDP1uld","properties":{"formattedCitation":"(Mathieson {\\i{}et al.}, 2011)","plainCitation":"(Mathieson et al., 2011)","noteIndex":0},"citationItems":[{"id":1758,"uris":["http://zotero.org/users/local/AB2owHL2/items/38ME85SD"],"itemData":{"id":1758,"type":"paper-conference","container-title":"Alternative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schema":"https://github.com/citation-style-language/schema/raw/master/csl-citation.json"} </w:instrText>
      </w:r>
      <w:r>
        <w:fldChar w:fldCharType="separate"/>
      </w:r>
      <w:r w:rsidR="00192334" w:rsidRPr="00192334">
        <w:rPr>
          <w:rFonts w:ascii="Calibri" w:hAnsi="Calibri" w:cs="Calibri"/>
          <w:szCs w:val="24"/>
        </w:rPr>
        <w:t xml:space="preserve">(Mathieson </w:t>
      </w:r>
      <w:r w:rsidR="00192334" w:rsidRPr="00192334">
        <w:rPr>
          <w:rFonts w:ascii="Calibri" w:hAnsi="Calibri" w:cs="Calibri"/>
          <w:i/>
          <w:iCs/>
          <w:szCs w:val="24"/>
        </w:rPr>
        <w:t>et al.</w:t>
      </w:r>
      <w:r w:rsidR="00192334" w:rsidRPr="00192334">
        <w:rPr>
          <w:rFonts w:ascii="Calibri" w:hAnsi="Calibri" w:cs="Calibri"/>
          <w:szCs w:val="24"/>
        </w:rPr>
        <w:t>, 2011)</w:t>
      </w:r>
      <w:r>
        <w:fldChar w:fldCharType="end"/>
      </w:r>
      <w:r>
        <w:t xml:space="preserve"> report</w:t>
      </w:r>
      <w:r w:rsidR="005E78C4">
        <w:t>s</w:t>
      </w:r>
      <w:r>
        <w:t xml:space="preserve"> that the use of biomass in the blast furnace could reduce 22</w:t>
      </w:r>
      <w:r w:rsidR="00EA4720">
        <w:t xml:space="preserve"> </w:t>
      </w:r>
      <w:r>
        <w:t>-</w:t>
      </w:r>
      <w:r w:rsidR="00DE5736">
        <w:t xml:space="preserve"> </w:t>
      </w:r>
      <w:r>
        <w:t>32% of CO</w:t>
      </w:r>
      <w:r w:rsidRPr="003C3C07">
        <w:rPr>
          <w:vertAlign w:val="subscript"/>
        </w:rPr>
        <w:t>2</w:t>
      </w:r>
      <w:r w:rsidR="0091350E">
        <w:t xml:space="preserve"> emissions. </w:t>
      </w:r>
      <w:r w:rsidR="00E367CB">
        <w:t>Biomass can be injected into the BF in three forms</w:t>
      </w:r>
      <w:r w:rsidR="00ED5E88">
        <w:t>; Biochar, bio-oils and bio syngas</w:t>
      </w:r>
      <w:r w:rsidR="006557BE">
        <w:t xml:space="preserve"> </w:t>
      </w:r>
      <w:r w:rsidR="0058592D">
        <w:fldChar w:fldCharType="begin"/>
      </w:r>
      <w:r w:rsidR="00192334">
        <w:instrText xml:space="preserve"> ADDIN ZOTERO_ITEM CSL_CITATION {"citationID":"aR6WQvaV","properties":{"formattedCitation":"(Suopaj\\uc0\\u228{}rvi, Pongr\\uc0\\u225{}cz and Fabritius, 2013)","plainCitation":"(Suopajärvi, Pongrácz and Fabritius, 2013)","noteIndex":0},"citationItems":[{"id":1781,"uris":["http://zotero.org/users/local/AB2owHL2/items/MMTKXIYN"],"itemData":{"id":1781,"type":"article-journal","abstract":"Steel is one of the most important materials used in modern society. The majority of the steel produced today is based on the use of virgin raw materials such as iron ore and fossil-based energy sources such as coal and oil. Recently, emphasis has been laid on the possibility to replace part of the fossil-based energy sources in ironmaking with renewable, biomass-derived reducing agents (bio-reducers). Modern thermochemical conversion processes could be utilized to produce solid, liquid and gaseous bio-reducers from biomass feedstock. This paper provides an in-depth review, first of its kind, of the possibility to replace part of the fossil-based reducing agents with bio-reducers in the blast furnace ironmaking route. In the first part of the paper, blast furnace process and the role of the reducing agents are discussed. In the second part of the paper, thermochemical biomass conversion technologies and resulting product properties are reviewed. Chemical and physical properties of the bio-reducers are compared to fossil-based reducing agents. In the third part of the paper, the implications related to bio-reducer use are evaluated in separate system levels including unit process assessment (blast furnace), process integration opportunities, biomass availability, life cycle impact and economic evaluations. The fourth part of the paper is dedicated to the discussion of the future of bio-reducers in ironmaking applications. It is concluded that bio-reducers can contribute to more environmentally sound steelmaking. The most promising bio-reducer seems to be charcoal with its high coke replacement ratio in blast furnace and straightforward integration of slow pyrolysis by-products to heat and power applications.","container-title":"Renewable and Sustainable Energy Reviews","DOI":"10.1016/j.rser.2013.05.005","ISSN":"1364-0321","journalAbbreviation":"Renewable and Sustainable Energy Reviews","language":"en","page":"511-528","source":"ScienceDirect","title":"The potential of using biomass-based reducing agents in the blast furnace: A review of thermochemical conversion technologies and assessments related to sustainability","title-short":"The potential of using biomass-based reducing agents in the blast furnace","URL":"https://www.sciencedirect.com/science/article/pii/S1364032113002918","volume":"25","author":[{"family":"Suopajärvi","given":"Hannu"},{"family":"Pongrácz","given":"Eva"},{"family":"Fabritius","given":"Timo"}],"accessed":{"date-parts":[["2022",7,14]]},"issued":{"date-parts":[["2013",9,1]]}}}],"schema":"https://github.com/citation-style-language/schema/raw/master/csl-citation.json"} </w:instrText>
      </w:r>
      <w:r w:rsidR="0058592D">
        <w:fldChar w:fldCharType="separate"/>
      </w:r>
      <w:r w:rsidR="00192334" w:rsidRPr="00192334">
        <w:rPr>
          <w:rFonts w:ascii="Calibri" w:hAnsi="Calibri" w:cs="Calibri"/>
          <w:szCs w:val="24"/>
        </w:rPr>
        <w:t>(Suopajärvi, Pongrácz and Fabritius, 2013)</w:t>
      </w:r>
      <w:r w:rsidR="0058592D">
        <w:fldChar w:fldCharType="end"/>
      </w:r>
      <w:r w:rsidR="006B5FE0">
        <w:t xml:space="preserve"> although </w:t>
      </w:r>
      <w:r w:rsidR="004528CE">
        <w:t xml:space="preserve">most studies have focused on </w:t>
      </w:r>
      <w:r w:rsidR="00721C29">
        <w:t>biochar</w:t>
      </w:r>
      <w:r w:rsidR="007332FC">
        <w:t>,</w:t>
      </w:r>
      <w:r w:rsidR="004528CE">
        <w:t xml:space="preserve"> as it </w:t>
      </w:r>
      <w:r w:rsidR="00DC5DCE">
        <w:t>has comparable properties to the coals used in PCI</w:t>
      </w:r>
      <w:r w:rsidR="009A743F">
        <w:t xml:space="preserve"> </w:t>
      </w:r>
      <w:r w:rsidR="009A743F">
        <w:fldChar w:fldCharType="begin"/>
      </w:r>
      <w:r w:rsidR="0032252B">
        <w:instrText xml:space="preserve"> ADDIN ZOTERO_ITEM CSL_CITATION {"citationID":"6MQwKb4Y","properties":{"formattedCitation":"(Matsumura {\\i{}et al.}, 2008; Babich, Senk and Fernandez, 2010; Mathieson {\\i{}et al.}, 2011; Suopaj\\uc0\\u228{}rvi, Pongr\\uc0\\u225{}cz and Fabritius, 2013; Bazaluk {\\i{}et al.}, 2022)","plainCitation":"(Matsumura et al., 2008; Babich, Senk and Fernandez, 2010; Mathieson et al., 2011; Suopajärvi, Pongrácz and Fabritius, 2013; Bazaluk et al., 2022)","noteIndex":0},"citationItems":[{"id":1672,"uris":["http://zotero.org/users/local/AB2owHL2/items/GNLIMWYF"],"itemData":{"id":1672,"type":"article-journal","container-title":"ISIJ International","DOI":"10.2355/isijinternational.48.572","ISSN":"0915-1559, 1347-5460","issue":"5","journalAbbreviation":"ISIJ Int.","language":"en","page":"572-577","source":"DOI.org (Crossref)","title":"Carbonization Behaviour of Woody Biomass and Resulting Metallurgical Coke Properties","URL":"http://www.jstage.jst.go.jp/article/isijinternational/48/5/48_5_572/_article","volume":"48","author":[{"family":"Matsumura","given":"Takehiro"},{"family":"Ichida","given":"Morimasa"},{"family":"Nagasaka","given":"Tetsuya"},{"family":"Kato","given":"Kenji"}],"accessed":{"date-parts":[["2022",6,27]]},"issued":{"date-parts":[["2008"]]}},"label":"act"},{"id":1828,"uris":["http://zotero.org/users/local/AB2owHL2/items/ERJ5VU9V"],"itemData":{"id":1828,"type":"article-journal","abstract":"Nowadays the use of charcoal in metallurgy is intimately linked to small blast furnaces in Brazil. Due to the challenge for CO2 mitigation, interest for charcoal use as a renewable energy source is rising. In the scope of European efforts to mitigate carbon dioxide emissions in the steel industry in the post-Kyoto period, the use of charcoal in cokemaking and ironmaking has been investigated. This paper presents results of an experimental study on charcoal behaviour under the blast furnace simulating conditions performed at the Department of Ferrous Metallurgy, RWTH Aachen University and at the National Centre for Metallurgical Investigations, Madrid. Conditions in the raceway and in the furnace shaft were simulated using thermo-analytical, laboratory and pilot facilities. Charcoal samples were produced in two furnaces for pyrolysis from different wood types at various carbonisation conditions. Furthermore technological and ecological assessment of blast furnace process when injecting different types of charcoal was performed using a mathematical model. All the experiments and calculations were also performed with reference mineral coals for injection. Conversion efficiency of all the tested charcoals is better or comparable with coals. Change in coke rate, furnace productivity and further operation parameters when replacing pulverised coal with charcoal depends on charcoal ash content and composition.","container-title":"ISIJ International","DOI":"10.2355/isijinternational.50.81","issue":"1","page":"81-88","source":"J-Stage","title":"Charcoal Behaviour by Its Injection into the Modern Blast Furnace","volume":"50","author":[{"family":"Babich","given":"Alexander"},{"family":"Senk","given":"Dieter"},{"family":"Fernandez","given":"Miguel"}],"issued":{"date-parts":[["2010"]]}},"label":"page"},{"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label":"act"},{"id":1781,"uris":["http://zotero.org/users/local/AB2owHL2/items/MMTKXIYN"],"itemData":{"id":1781,"type":"article-journal","abstract":"Steel is one of the most important materials used in modern society. The majority of the steel produced today is based on the use of virgin raw materials such as iron ore and fossil-based energy sources such as coal and oil. Recently, emphasis has been laid on the possibility to replace part of the fossil-based energy sources in ironmaking with renewable, biomass-derived reducing agents (bio-reducers). Modern thermochemical conversion processes could be utilized to produce solid, liquid and gaseous bio-reducers from biomass feedstock. This paper provides an in-depth review, first of its kind, of the possibility to replace part of the fossil-based reducing agents with bio-reducers in the blast furnace ironmaking route. In the first part of the paper, blast furnace process and the role of the reducing agents are discussed. In the second part of the paper, thermochemical biomass conversion technologies and resulting product properties are reviewed. Chemical and physical properties of the bio-reducers are compared to fossil-based reducing agents. In the third part of the paper, the implications related to bio-reducer use are evaluated in separate system levels including unit process assessment (blast furnace), process integration opportunities, biomass availability, life cycle impact and economic evaluations. The fourth part of the paper is dedicated to the discussion of the future of bio-reducers in ironmaking applications. It is concluded that bio-reducers can contribute to more environmentally sound steelmaking. The most promising bio-reducer seems to be charcoal with its high coke replacement ratio in blast furnace and straightforward integration of slow pyrolysis by-products to heat and power applications.","container-title":"Renewable and Sustainable Energy Reviews","DOI":"10.1016/j.rser.2013.05.005","ISSN":"1364-0321","journalAbbreviation":"Renewable and Sustainable Energy Reviews","language":"en","page":"511-528","source":"ScienceDirect","title":"The potential of using biomass-based reducing agents in the blast furnace: A review of thermochemical conversion technologies and assessments related to sustainability","title-short":"The potential of using biomass-based reducing agents in the blast furnace","URL":"https://www.sciencedirect.com/science/article/pii/S1364032113002918","volume":"25","author":[{"family":"Suopajärvi","given":"Hannu"},{"family":"Pongrácz","given":"Eva"},{"family":"Fabritius","given":"Timo"}],"accessed":{"date-parts":[["2022",7,14]]},"issued":{"date-parts":[["2013",9,1]]}},"label":"act"},{"id":1761,"uris":["http://zotero.org/users/local/AB2owHL2/items/CUKNATPU"],"itemData":{"id":1761,"type":"article-journal","abstract":"Biocoke has the potential to reduce the fossil-based materials in metallurgical processes, along with mitigating anthropogenic CO2- and greenhouse gas (GHG) emissions. Reducing those emissions is possible by using bio-based carbon, which is CO2-neutral, as a partial replacement of fossil carbon. In this paper, the effect of adding 5, 10, 15, 30, and 45 wt.% biomass pellets on the reactivity, the physicomechanical, and electrical properties of biocoke was established to assess the possibility of using it as a fuel and reducing agent for a blast furnace (BF) or as a carbon source in a submerged arc furnace (SAF). Biocoke was obtained under laboratory conditions at final coking temperatures of 950 or 1100 °C. Research results indicate that for BF purposes, 5 wt.% biomass additives are the maximum as the reactivity increases and the strength after reaction with CO2 decreases. On the other hand, biocoke’s physicomechanical and electrical properties, obtained at a carbonization temperature of 950 °C, can be considered a promising option for the SAF.","container-title":"Materials","DOI":"https://doi-org.ezproxy.uwtsd.ac.uk/10.3390/ma15031147","issue":"3","language":"English","license":"© 2022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1147\npublisher-place: Basel, Switzerland\npublisher: MDPI AG","page":"1147","source":"ProQuest","title":"Metallurgical Coke Production with Biomass Additives: Study of Biocoke Properties for Blast Furnace and Submerged Arc Furnace Purposes","title-short":"Metallurgical Coke Production with Biomass Additives","URL":"http://www.proquest.com/docview/2627776116/abstract/3E057EB23B0F456CPQ/1","volume":"15","author":[{"family":"Bazaluk","given":"Oleg"},{"family":"Link to external site","given":"this","dropping-particle":"link will open in a new window"},{"family":"Kieush","given":"Lina"},{"family":"Link to external site","given":"this","dropping-particle":"link will open in a new window"},{"family":"Koveria","given":"Andrii"},{"family":"Link to external site","given":"this","dropping-particle":"link will open in a new window"},{"family":"Schenk","given":"Johannes"},{"family":"Link to external site","given":"this","dropping-particle":"link will open in a new window"},{"family":"Pfeiffer","given":"Andreas"},{"family":"Zheng","given":"Heng"},{"family":"Lozynskyi","given":"Vasyl"},{"family":"Link to external site","given":"this","dropping-particle":"link will open in a new window"}],"accessed":{"date-parts":[["2022",7,12]]},"issued":{"date-parts":[["2022"]]}},"label":"act"}],"schema":"https://github.com/citation-style-language/schema/raw/master/csl-citation.json"} </w:instrText>
      </w:r>
      <w:r w:rsidR="009A743F">
        <w:fldChar w:fldCharType="separate"/>
      </w:r>
      <w:r w:rsidR="00192334" w:rsidRPr="00192334">
        <w:rPr>
          <w:rFonts w:ascii="Calibri" w:hAnsi="Calibri" w:cs="Calibri"/>
          <w:szCs w:val="24"/>
        </w:rPr>
        <w:t xml:space="preserve">(Matsumura </w:t>
      </w:r>
      <w:r w:rsidR="00192334" w:rsidRPr="00192334">
        <w:rPr>
          <w:rFonts w:ascii="Calibri" w:hAnsi="Calibri" w:cs="Calibri"/>
          <w:i/>
          <w:iCs/>
          <w:szCs w:val="24"/>
        </w:rPr>
        <w:t>et al.</w:t>
      </w:r>
      <w:r w:rsidR="00192334" w:rsidRPr="00192334">
        <w:rPr>
          <w:rFonts w:ascii="Calibri" w:hAnsi="Calibri" w:cs="Calibri"/>
          <w:szCs w:val="24"/>
        </w:rPr>
        <w:t xml:space="preserve">, 2008; Babich, Senk and Fernandez, 2010; Mathieson </w:t>
      </w:r>
      <w:r w:rsidR="00192334" w:rsidRPr="00192334">
        <w:rPr>
          <w:rFonts w:ascii="Calibri" w:hAnsi="Calibri" w:cs="Calibri"/>
          <w:i/>
          <w:iCs/>
          <w:szCs w:val="24"/>
        </w:rPr>
        <w:t>et al.</w:t>
      </w:r>
      <w:r w:rsidR="00192334" w:rsidRPr="00192334">
        <w:rPr>
          <w:rFonts w:ascii="Calibri" w:hAnsi="Calibri" w:cs="Calibri"/>
          <w:szCs w:val="24"/>
        </w:rPr>
        <w:t xml:space="preserve">, 2011; Suopajärvi, Pongrácz and Fabritius, 2013; Bazaluk </w:t>
      </w:r>
      <w:r w:rsidR="00192334" w:rsidRPr="00192334">
        <w:rPr>
          <w:rFonts w:ascii="Calibri" w:hAnsi="Calibri" w:cs="Calibri"/>
          <w:i/>
          <w:iCs/>
          <w:szCs w:val="24"/>
        </w:rPr>
        <w:t>et al.</w:t>
      </w:r>
      <w:r w:rsidR="00192334" w:rsidRPr="00192334">
        <w:rPr>
          <w:rFonts w:ascii="Calibri" w:hAnsi="Calibri" w:cs="Calibri"/>
          <w:szCs w:val="24"/>
        </w:rPr>
        <w:t>, 2022)</w:t>
      </w:r>
      <w:r w:rsidR="009A743F">
        <w:fldChar w:fldCharType="end"/>
      </w:r>
      <w:r w:rsidR="00DC5DCE">
        <w:t>.</w:t>
      </w:r>
      <w:r w:rsidR="00721C29">
        <w:t xml:space="preserve"> </w:t>
      </w:r>
      <w:r w:rsidR="009A743F">
        <w:t xml:space="preserve"> </w:t>
      </w:r>
      <w:r w:rsidR="00B52B66">
        <w:t xml:space="preserve">Coke is irreplaceable as the </w:t>
      </w:r>
      <w:r w:rsidR="00D325D3">
        <w:t>fuel in the BF and cannot be</w:t>
      </w:r>
      <w:r w:rsidR="003F275E">
        <w:t xml:space="preserve"> direct</w:t>
      </w:r>
      <w:r w:rsidR="00871CFB">
        <w:t>ly</w:t>
      </w:r>
      <w:r w:rsidR="00D325D3">
        <w:t xml:space="preserve"> replaced by biochar due to its insufficient strength</w:t>
      </w:r>
      <w:r w:rsidR="00AE1E09">
        <w:t xml:space="preserve"> </w:t>
      </w:r>
      <w:r w:rsidR="00AE1E09">
        <w:fldChar w:fldCharType="begin"/>
      </w:r>
      <w:r w:rsidR="0032252B">
        <w:instrText xml:space="preserve"> ADDIN ZOTERO_ITEM CSL_CITATION {"citationID":"g1G51Ou8","properties":{"formattedCitation":"(Mathieson {\\i{}et al.}, 2011)","plainCitation":"(Mathieson et al., 2011)","noteIndex":0},"citationItems":[{"id":1758,"uris":["http://zotero.org/users/local/AB2owHL2/items/38ME85SD"],"itemData":{"id":1758,"type":"paper-conference","container-title":"Alternative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schema":"https://github.com/citation-style-language/schema/raw/master/csl-citation.json"} </w:instrText>
      </w:r>
      <w:r w:rsidR="00AE1E09">
        <w:fldChar w:fldCharType="separate"/>
      </w:r>
      <w:r w:rsidR="00192334" w:rsidRPr="00192334">
        <w:rPr>
          <w:rFonts w:ascii="Calibri" w:hAnsi="Calibri" w:cs="Calibri"/>
          <w:szCs w:val="24"/>
        </w:rPr>
        <w:t xml:space="preserve">(Mathieson </w:t>
      </w:r>
      <w:r w:rsidR="00192334" w:rsidRPr="00192334">
        <w:rPr>
          <w:rFonts w:ascii="Calibri" w:hAnsi="Calibri" w:cs="Calibri"/>
          <w:i/>
          <w:iCs/>
          <w:szCs w:val="24"/>
        </w:rPr>
        <w:t>et al.</w:t>
      </w:r>
      <w:r w:rsidR="00192334" w:rsidRPr="00192334">
        <w:rPr>
          <w:rFonts w:ascii="Calibri" w:hAnsi="Calibri" w:cs="Calibri"/>
          <w:szCs w:val="24"/>
        </w:rPr>
        <w:t>, 2011)</w:t>
      </w:r>
      <w:r w:rsidR="00AE1E09">
        <w:fldChar w:fldCharType="end"/>
      </w:r>
      <w:r w:rsidR="00D325D3">
        <w:t>.</w:t>
      </w:r>
      <w:r w:rsidR="00CE1151">
        <w:t xml:space="preserve"> </w:t>
      </w:r>
      <w:r w:rsidR="00356CEC">
        <w:t xml:space="preserve">PCI </w:t>
      </w:r>
      <w:r w:rsidR="00981813">
        <w:t>is used worldwide as a method to enhance BF profitability</w:t>
      </w:r>
      <w:r w:rsidR="008F04D7">
        <w:t xml:space="preserve"> and efficiency. </w:t>
      </w:r>
      <w:r w:rsidR="00A5505B">
        <w:t xml:space="preserve">The injection of coal into the BF </w:t>
      </w:r>
      <w:r w:rsidR="00194350">
        <w:t>(</w:t>
      </w:r>
      <w:r w:rsidR="00786355">
        <w:t xml:space="preserve">illustrated in figure </w:t>
      </w:r>
      <w:r w:rsidR="00F0066D">
        <w:t>1</w:t>
      </w:r>
      <w:r w:rsidR="00F04B97">
        <w:t>1</w:t>
      </w:r>
      <w:r w:rsidR="00786355">
        <w:t xml:space="preserve">) </w:t>
      </w:r>
      <w:r w:rsidR="00A5505B">
        <w:t xml:space="preserve">has various economic and </w:t>
      </w:r>
      <w:r w:rsidR="001F3FDA">
        <w:t xml:space="preserve">operation benefits </w:t>
      </w:r>
      <w:r w:rsidR="007D7855">
        <w:t>including</w:t>
      </w:r>
      <w:r w:rsidR="001F3FDA">
        <w:t xml:space="preserve"> a) lower consumption of </w:t>
      </w:r>
      <w:r w:rsidR="008E4122">
        <w:t>coke</w:t>
      </w:r>
      <w:r w:rsidR="00780165">
        <w:t xml:space="preserve"> (which is</w:t>
      </w:r>
      <w:r w:rsidR="00071C96">
        <w:t xml:space="preserve"> significantly</w:t>
      </w:r>
      <w:r w:rsidR="00780165">
        <w:t xml:space="preserve"> more expensive that</w:t>
      </w:r>
      <w:r w:rsidR="00B67DEB">
        <w:t xml:space="preserve"> coal)</w:t>
      </w:r>
      <w:r w:rsidR="008E4122">
        <w:t xml:space="preserve"> b) </w:t>
      </w:r>
      <w:r w:rsidR="00960D46">
        <w:t>Coke oven life extension</w:t>
      </w:r>
      <w:r w:rsidR="00F8055E">
        <w:t xml:space="preserve"> c) higher BF productivity d)</w:t>
      </w:r>
      <w:r w:rsidR="00B975A7">
        <w:t xml:space="preserve"> improved hot metal quality e) BF </w:t>
      </w:r>
      <w:r w:rsidR="007D7855">
        <w:t>operation flexibility f) lower CO</w:t>
      </w:r>
      <w:r w:rsidR="007D7855" w:rsidRPr="007D7855">
        <w:rPr>
          <w:vertAlign w:val="subscript"/>
        </w:rPr>
        <w:t>2</w:t>
      </w:r>
      <w:r w:rsidR="007D7855">
        <w:t xml:space="preserve"> emission</w:t>
      </w:r>
      <w:r w:rsidR="006A01C9">
        <w:t>.</w:t>
      </w:r>
      <w:r w:rsidR="00A553F9">
        <w:t xml:space="preserve"> </w:t>
      </w:r>
    </w:p>
    <w:p w14:paraId="2B6FC3D7" w14:textId="77777777" w:rsidR="004F75B3" w:rsidRDefault="0027226B" w:rsidP="004F75B3">
      <w:pPr>
        <w:keepNext/>
        <w:spacing w:line="360" w:lineRule="auto"/>
        <w:jc w:val="both"/>
      </w:pPr>
      <w:r w:rsidRPr="0027226B">
        <w:rPr>
          <w:noProof/>
        </w:rPr>
        <w:lastRenderedPageBreak/>
        <w:drawing>
          <wp:inline distT="0" distB="0" distL="0" distR="0" wp14:anchorId="20C73608" wp14:editId="6B2DC78A">
            <wp:extent cx="4093500" cy="1383526"/>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34973" cy="1397543"/>
                    </a:xfrm>
                    <a:prstGeom prst="rect">
                      <a:avLst/>
                    </a:prstGeom>
                  </pic:spPr>
                </pic:pic>
              </a:graphicData>
            </a:graphic>
          </wp:inline>
        </w:drawing>
      </w:r>
    </w:p>
    <w:p w14:paraId="50142423" w14:textId="0B07BBFA" w:rsidR="003806CC" w:rsidRDefault="00A0212F" w:rsidP="00A0212F">
      <w:pPr>
        <w:pStyle w:val="Caption"/>
      </w:pPr>
      <w:bookmarkStart w:id="26" w:name="_Toc127110905"/>
      <w:r>
        <w:t xml:space="preserve">Figure </w:t>
      </w:r>
      <w:fldSimple w:instr=" SEQ Figure \* ARABIC ">
        <w:r>
          <w:rPr>
            <w:noProof/>
          </w:rPr>
          <w:t>11</w:t>
        </w:r>
      </w:fldSimple>
      <w:r>
        <w:t xml:space="preserve"> </w:t>
      </w:r>
      <w:r w:rsidR="00B40893">
        <w:t xml:space="preserve">A blast furnace tuyere </w:t>
      </w:r>
      <w:r w:rsidR="00E00822">
        <w:t xml:space="preserve">diagram </w:t>
      </w:r>
      <w:r w:rsidR="00EB70ED">
        <w:fldChar w:fldCharType="begin"/>
      </w:r>
      <w:r w:rsidR="00192334">
        <w:instrText xml:space="preserve"> ADDIN ZOTERO_ITEM CSL_CITATION {"citationID":"sBLChWET","properties":{"formattedCitation":"(Geerdes,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EB70ED">
        <w:fldChar w:fldCharType="separate"/>
      </w:r>
      <w:r w:rsidR="00192334" w:rsidRPr="00192334">
        <w:rPr>
          <w:rFonts w:ascii="Calibri" w:hAnsi="Calibri" w:cs="Calibri"/>
        </w:rPr>
        <w:t>(Geerdes, Toxopeus and Vliet, 2009)</w:t>
      </w:r>
      <w:r w:rsidR="00EB70ED">
        <w:fldChar w:fldCharType="end"/>
      </w:r>
      <w:r w:rsidR="00B2494F">
        <w:t>.</w:t>
      </w:r>
      <w:r w:rsidR="00E00822">
        <w:t>.</w:t>
      </w:r>
      <w:bookmarkEnd w:id="26"/>
    </w:p>
    <w:p w14:paraId="16DDC09B" w14:textId="20BC6B5B" w:rsidR="00225BF7" w:rsidRPr="004E3C50" w:rsidRDefault="004F0C3D" w:rsidP="004F0C3D">
      <w:pPr>
        <w:spacing w:line="360" w:lineRule="auto"/>
        <w:jc w:val="both"/>
      </w:pPr>
      <w:r>
        <w:fldChar w:fldCharType="begin"/>
      </w:r>
      <w:r w:rsidR="00192334">
        <w:instrText xml:space="preserve"> ADDIN ZOTERO_ITEM CSL_CITATION {"citationID":"ktezArAA","properties":{"formattedCitation":"(Matsumura {\\i{}et al.}, 2008)","plainCitation":"(Matsumura et al., 2008)","noteIndex":0},"citationItems":[{"id":1672,"uris":["http://zotero.org/users/local/AB2owHL2/items/GNLIMWYF"],"itemData":{"id":1672,"type":"article-journal","container-title":"ISIJ International","DOI":"10.2355/isijinternational.48.572","ISSN":"0915-1559, 1347-5460","issue":"5","journalAbbreviation":"ISIJ Int.","language":"en","page":"572-577","source":"DOI.org (Crossref)","title":"Carbonization Behaviour of Woody Biomass and Resulting Metallurgical Coke Properties","URL":"http://www.jstage.jst.go.jp/article/isijinternational/48/5/48_5_572/_article","volume":"48","author":[{"family":"Matsumura","given":"Takehiro"},{"family":"Ichida","given":"Morimasa"},{"family":"Nagasaka","given":"Tetsuya"},{"family":"Kato","given":"Kenji"}],"accessed":{"date-parts":[["2022",6,27]]},"issued":{"date-parts":[["2008"]]}}}],"schema":"https://github.com/citation-style-language/schema/raw/master/csl-citation.json"} </w:instrText>
      </w:r>
      <w:r>
        <w:fldChar w:fldCharType="separate"/>
      </w:r>
      <w:r w:rsidR="00192334" w:rsidRPr="00192334">
        <w:rPr>
          <w:rFonts w:ascii="Calibri" w:hAnsi="Calibri" w:cs="Calibri"/>
          <w:szCs w:val="24"/>
        </w:rPr>
        <w:t xml:space="preserve">(Matsumura </w:t>
      </w:r>
      <w:r w:rsidR="00192334" w:rsidRPr="00192334">
        <w:rPr>
          <w:rFonts w:ascii="Calibri" w:hAnsi="Calibri" w:cs="Calibri"/>
          <w:i/>
          <w:iCs/>
          <w:szCs w:val="24"/>
        </w:rPr>
        <w:t>et al.</w:t>
      </w:r>
      <w:r w:rsidR="00192334" w:rsidRPr="00192334">
        <w:rPr>
          <w:rFonts w:ascii="Calibri" w:hAnsi="Calibri" w:cs="Calibri"/>
          <w:szCs w:val="24"/>
        </w:rPr>
        <w:t>, 2008)</w:t>
      </w:r>
      <w:r>
        <w:fldChar w:fldCharType="end"/>
      </w:r>
      <w:r>
        <w:t xml:space="preserve"> state</w:t>
      </w:r>
      <w:r w:rsidR="00DE2262">
        <w:t xml:space="preserve"> </w:t>
      </w:r>
      <w:r w:rsidR="00434918">
        <w:t xml:space="preserve">that the most important characteristics for PCI are </w:t>
      </w:r>
      <w:r w:rsidR="00020F96">
        <w:t xml:space="preserve">combustion, </w:t>
      </w:r>
      <w:proofErr w:type="spellStart"/>
      <w:r w:rsidR="00020F96">
        <w:t>devolatisation</w:t>
      </w:r>
      <w:proofErr w:type="spellEnd"/>
      <w:r w:rsidR="00020F96">
        <w:t xml:space="preserve"> and gasification</w:t>
      </w:r>
      <w:r>
        <w:t xml:space="preserve">. </w:t>
      </w:r>
      <w:r w:rsidR="000C771B">
        <w:t>They demonstrated that</w:t>
      </w:r>
      <w:r w:rsidR="00C7311D">
        <w:t>,</w:t>
      </w:r>
      <w:r w:rsidR="000C771B">
        <w:t xml:space="preserve"> </w:t>
      </w:r>
      <w:r w:rsidR="00C7311D">
        <w:t>when</w:t>
      </w:r>
      <w:r w:rsidR="00020F96">
        <w:t xml:space="preserve"> compared to PC</w:t>
      </w:r>
      <w:r w:rsidR="00C7311D">
        <w:t xml:space="preserve">I, biomass has </w:t>
      </w:r>
      <w:r w:rsidR="00994CEB">
        <w:t>higher</w:t>
      </w:r>
      <w:r w:rsidR="00C7311D">
        <w:t xml:space="preserve"> reactivity and</w:t>
      </w:r>
      <w:r w:rsidR="00085C00">
        <w:t xml:space="preserve"> combustion levels</w:t>
      </w:r>
      <w:r w:rsidR="002D2989">
        <w:t xml:space="preserve">. </w:t>
      </w:r>
      <w:r w:rsidR="003C59CF">
        <w:fldChar w:fldCharType="begin"/>
      </w:r>
      <w:r w:rsidR="00192334">
        <w:instrText xml:space="preserve"> ADDIN ZOTERO_ITEM CSL_CITATION {"citationID":"luh0Ii09","properties":{"formattedCitation":"(Wang {\\i{}et al.}, 2014; Wang, Mellin, {\\i{}et al.}, 2015)","plainCitation":"(Wang et al., 2014; Wang, Mellin, et al., 2015)","noteIndex":0},"citationItems":[{"id":1794,"uris":["http://zotero.org/users/local/AB2owHL2/items/AY9JC3NX"],"itemData":{"id":1794,"type":"article-journal","abstract":"This study is to investigate different types of biomass products’ injection into the blast furnace (BF) to replace pulverized coal injection (PCI). The biomass products covered in the study are charcoal, torrefied material and wood pellets on the basis of Swedish forests. The modelling work has been performed in a specialized BF model. The modelling results show that charcoal has the significant effects on the BF operation. PCI can be replaced fully by charcoal, and only limited amount of torrefied material and wood pellets can be injected into BF. For the studied BF, the annual CO2 emission reduction potential from the replaced amount of PCI when injecting charcoal, torrefied material and wood pellets are about 1140 kton, 260 kton and 230 kton, respectively. In addition, a possible energy saving can be achieved for charcoal injection. A slightly higher P content in the hot metal may occur when injecting torrefied material.","container-title":"Energy Procedia","DOI":"10.1016/j.egypro.2014.12.105","ISSN":"18766102","journalAbbreviation":"Energy Procedia","language":"en","page":"2184-2187","source":"DOI.org (Crossref)","title":"Injection of Solid Biomass Products into the Blast Furnace and its Potential Effects on an Integrated Steel Plant","URL":"https://linkinghub.elsevier.com/retrieve/pii/S1876610214031348","volume":"61","author":[{"family":"Wang","given":"Chuan"},{"family":"Larsson","given":"Mikael"},{"family":"Lövgren","given":"Jonas"},{"family":"Nilsson","given":"Leif"},{"family":"Mellin","given":"Pelle"},{"family":"Yang","given":"Weihong"},{"family":"Salman","given":"Hassan"},{"family":"Hultgren","given":"Anders"}],"accessed":{"date-parts":[["2022",7,17]]},"issued":{"date-parts":[["2014"]]}},"label":"page"},{"id":1796,"uris":["http://zotero.org/users/local/AB2owHL2/items/8SZWXA7H"],"itemData":{"id":1796,"type":"article-journal","abstract":"We have investigated and modeled the injection of biomass into blast furnaces (BF), in place of pulverized coal (PC) from fossil sources. This is the easiest way to reduce CO2 emissions, beyond efﬁciencyimprovements. The considered biomass is either pelletized, torreﬁed or pyrolyzed. It gives us three cases where we have calculated the maximum replacement ratio for each. It was found that charcoal from pyrolysis can fully replace PC, while torreﬁed material and pelletized wood can replace 22.8% and 20.0% respectively, by weight.","container-title":"Energy Conversion and Management","DOI":"10.1016/j.enconman.2015.04.013","ISSN":"01968904","journalAbbreviation":"Energy Conversion and Management","language":"en","page":"217-226","source":"DOI.org (Crossref)","title":"Biomass as blast furnace injectant – Considering availability, pretreatment and deployment in the Swedish steel industry","URL":"https://linkinghub.elsevier.com/retrieve/pii/S0196890415003556","volume":"102","author":[{"family":"Wang","given":"Chuan"},{"family":"Mellin","given":"Pelle"},{"family":"Lövgren","given":"Jonas"},{"family":"Nilsson","given":"Leif"},{"family":"Yang","given":"Weihong"},{"family":"Salman","given":"Hassan"},{"family":"Hultgren","given":"Anders"},{"family":"Larsson","given":"Mikael"}],"accessed":{"date-parts":[["2022",7,17]]},"issued":{"date-parts":[["2015",9]]}},"label":"act"}],"schema":"https://github.com/citation-style-language/schema/raw/master/csl-citation.json"} </w:instrText>
      </w:r>
      <w:r w:rsidR="003C59CF">
        <w:fldChar w:fldCharType="separate"/>
      </w:r>
      <w:r w:rsidR="00192334" w:rsidRPr="00192334">
        <w:rPr>
          <w:rFonts w:ascii="Calibri" w:hAnsi="Calibri" w:cs="Calibri"/>
          <w:szCs w:val="24"/>
        </w:rPr>
        <w:t xml:space="preserve">(Wang </w:t>
      </w:r>
      <w:r w:rsidR="00192334" w:rsidRPr="00192334">
        <w:rPr>
          <w:rFonts w:ascii="Calibri" w:hAnsi="Calibri" w:cs="Calibri"/>
          <w:i/>
          <w:iCs/>
          <w:szCs w:val="24"/>
        </w:rPr>
        <w:t>et al.</w:t>
      </w:r>
      <w:r w:rsidR="00192334" w:rsidRPr="00192334">
        <w:rPr>
          <w:rFonts w:ascii="Calibri" w:hAnsi="Calibri" w:cs="Calibri"/>
          <w:szCs w:val="24"/>
        </w:rPr>
        <w:t xml:space="preserve">, 2014; Wang, Mellin, </w:t>
      </w:r>
      <w:r w:rsidR="00192334" w:rsidRPr="00192334">
        <w:rPr>
          <w:rFonts w:ascii="Calibri" w:hAnsi="Calibri" w:cs="Calibri"/>
          <w:i/>
          <w:iCs/>
          <w:szCs w:val="24"/>
        </w:rPr>
        <w:t>et al.</w:t>
      </w:r>
      <w:r w:rsidR="00192334" w:rsidRPr="00192334">
        <w:rPr>
          <w:rFonts w:ascii="Calibri" w:hAnsi="Calibri" w:cs="Calibri"/>
          <w:szCs w:val="24"/>
        </w:rPr>
        <w:t>, 2015)</w:t>
      </w:r>
      <w:r w:rsidR="003C59CF">
        <w:fldChar w:fldCharType="end"/>
      </w:r>
      <w:r w:rsidR="003C59CF">
        <w:t xml:space="preserve"> </w:t>
      </w:r>
      <w:r w:rsidR="00FA3EFF">
        <w:t xml:space="preserve">investigated various types of </w:t>
      </w:r>
      <w:r w:rsidR="000601DB">
        <w:t>biomasses</w:t>
      </w:r>
      <w:r w:rsidR="00FA3EFF">
        <w:t xml:space="preserve"> for </w:t>
      </w:r>
      <w:r w:rsidR="00B254B9">
        <w:t xml:space="preserve">replacement of coal in PCI, they found that </w:t>
      </w:r>
      <w:r w:rsidR="00561052">
        <w:t xml:space="preserve">155 </w:t>
      </w:r>
      <w:r w:rsidR="00E57FEA">
        <w:t>k</w:t>
      </w:r>
      <w:r w:rsidR="00561052">
        <w:t>g/</w:t>
      </w:r>
      <w:proofErr w:type="spellStart"/>
      <w:r w:rsidR="00561052">
        <w:t>tHM</w:t>
      </w:r>
      <w:proofErr w:type="spellEnd"/>
      <w:r w:rsidR="00561052">
        <w:t xml:space="preserve"> (</w:t>
      </w:r>
      <w:r w:rsidR="006D1115">
        <w:t xml:space="preserve">Kg per </w:t>
      </w:r>
      <w:r w:rsidR="00561052">
        <w:t>tonne of hot metal)</w:t>
      </w:r>
      <w:r w:rsidR="007E48CE">
        <w:t xml:space="preserve"> of pulverised coal</w:t>
      </w:r>
      <w:r w:rsidR="00852B83">
        <w:t xml:space="preserve"> (PC)</w:t>
      </w:r>
      <w:r w:rsidR="007E48CE">
        <w:t xml:space="preserve"> could be replaced by</w:t>
      </w:r>
      <w:r w:rsidR="00E57FEA">
        <w:t xml:space="preserve"> 166.7 kg/</w:t>
      </w:r>
      <w:proofErr w:type="spellStart"/>
      <w:r w:rsidR="00E57FEA">
        <w:t>tHM</w:t>
      </w:r>
      <w:proofErr w:type="spellEnd"/>
      <w:r w:rsidR="00DF7514">
        <w:t xml:space="preserve"> of biochar</w:t>
      </w:r>
      <w:r w:rsidR="00A60EC1">
        <w:t xml:space="preserve">, </w:t>
      </w:r>
      <w:r w:rsidR="00782FCD">
        <w:t>This equates to an</w:t>
      </w:r>
      <w:r w:rsidR="00A60EC1">
        <w:t xml:space="preserve"> 22.8% </w:t>
      </w:r>
      <w:r w:rsidR="00B43BC9">
        <w:t>replacement</w:t>
      </w:r>
      <w:r w:rsidR="00782FCD">
        <w:t xml:space="preserve"> rate</w:t>
      </w:r>
      <w:r w:rsidR="00B43BC9">
        <w:t xml:space="preserve"> </w:t>
      </w:r>
      <w:r w:rsidR="00853DE4">
        <w:t xml:space="preserve">of </w:t>
      </w:r>
      <w:r w:rsidR="00852B83">
        <w:t>PC</w:t>
      </w:r>
      <w:r w:rsidR="00853DE4">
        <w:t xml:space="preserve"> with biochar, </w:t>
      </w:r>
      <w:r w:rsidR="008C2DBB">
        <w:t xml:space="preserve">they found that increasing the biochar injection rate any further </w:t>
      </w:r>
      <w:r w:rsidR="00EB155E">
        <w:t>required further oxygen enrichment</w:t>
      </w:r>
      <w:r w:rsidR="002964EE">
        <w:t xml:space="preserve"> and might lead to</w:t>
      </w:r>
      <w:r w:rsidR="00A55D6F">
        <w:t xml:space="preserve"> a decrease in the</w:t>
      </w:r>
      <w:r w:rsidR="0026336D">
        <w:t xml:space="preserve"> </w:t>
      </w:r>
      <w:r w:rsidR="00190E8C">
        <w:t>r</w:t>
      </w:r>
      <w:r w:rsidR="0026336D">
        <w:t xml:space="preserve">aceway </w:t>
      </w:r>
      <w:r w:rsidR="00190E8C">
        <w:t>a</w:t>
      </w:r>
      <w:r w:rsidR="0026336D">
        <w:t xml:space="preserve">diabatic </w:t>
      </w:r>
      <w:r w:rsidR="00190E8C">
        <w:t>f</w:t>
      </w:r>
      <w:r w:rsidR="0026336D">
        <w:t xml:space="preserve">lame </w:t>
      </w:r>
      <w:r w:rsidR="00190E8C">
        <w:t>t</w:t>
      </w:r>
      <w:r w:rsidR="0026336D">
        <w:t>emperature</w:t>
      </w:r>
      <w:r w:rsidR="00A55D6F">
        <w:t xml:space="preserve"> </w:t>
      </w:r>
      <w:r w:rsidR="00190E8C">
        <w:t>(</w:t>
      </w:r>
      <w:r w:rsidR="00A55D6F">
        <w:t>RAFT</w:t>
      </w:r>
      <w:r w:rsidR="00190E8C">
        <w:t>)</w:t>
      </w:r>
      <w:r w:rsidR="00A8404C">
        <w:t xml:space="preserve"> </w:t>
      </w:r>
      <w:r w:rsidR="00A01C59">
        <w:t xml:space="preserve">(the </w:t>
      </w:r>
      <w:proofErr w:type="spellStart"/>
      <w:r w:rsidR="000F17A3">
        <w:t>adibatic</w:t>
      </w:r>
      <w:proofErr w:type="spellEnd"/>
      <w:r w:rsidR="00A01C59">
        <w:t xml:space="preserve"> is the temperature achieved under ideal conditions) </w:t>
      </w:r>
      <w:r w:rsidR="00A8404C">
        <w:t>and an increase in the top gas temperature</w:t>
      </w:r>
      <w:r w:rsidR="00B417BF">
        <w:t xml:space="preserve"> (TGT)</w:t>
      </w:r>
      <w:r w:rsidR="00290D1E">
        <w:t>,</w:t>
      </w:r>
      <w:r w:rsidR="005F3D1D">
        <w:t xml:space="preserve"> which is undesirable</w:t>
      </w:r>
      <w:r w:rsidR="00A8404C">
        <w:t>.</w:t>
      </w:r>
      <w:r w:rsidR="00510DBF">
        <w:t xml:space="preserve"> </w:t>
      </w:r>
      <w:r w:rsidR="00933D85">
        <w:fldChar w:fldCharType="begin"/>
      </w:r>
      <w:r w:rsidR="002B170C">
        <w:instrText xml:space="preserve"> ADDIN ZOTERO_ITEM CSL_CITATION {"citationID":"2uvN1WIn","properties":{"formattedCitation":"(Mousa and Sj\\uc0\\u246{}blom, 2022)","plainCitation":"(Mousa and Sjöblom, 2022)","noteIndex":0},"citationItems":[{"id":1684,"uris":["http://zotero.org/users/local/AB2owHL2/items/ZJTJ7UAV"],"itemData":{"id":1684,"type":"article-journal","abstract":"Most modern blast furnaces (BFs) operate with Pulverized Coal Injection (PCI), but renewable and carbon neutral biochar could be applied to reduce the fossil CO2 emission in the short term. In the present study, heat and mass balance-based model (MASMOD) is applied to evaluate the potential of biochar in partial and full replacement of injected pulverized coal (PC) in the ironmaking BF. The impact of biochar injection on the raceway adiabatic flame temperature (RAFT) and top gas temperature (TGT) is evaluated. Three grades of biochar, produced from the pyrolysis of sawdust, were evaluated in this study. The total carbon content was 79.2%, 93.4% and 89.2% in biochar 1, 2 and 3, respectively, while it was 81.6% in the reference PC. For each type of biochar, 6 cases were designed at different injection levels from 30 kg/tHM up to 143 kg/tHM, which represent 100% replacement of PC in the applied case, while the top charged coke is fixed in all cases as reference. The oxygen enrichment, RAFT, and TGT are fixed for certain cases, and have been calculated by MASMOD in other cases to identify the optimum level of biochar injection. The MASMOD calculation showed that as the injection rate of biochar 1 and biochar 2 increased, the RAFT increased by ~190 °C, while TGT decreased by ~45 °C at 100% replacement of PC with biochar. By optimizing the moisture content of biochar and the oxygen enrichment in the blast, it is possible to reach 100% replacement of PC without much affecting the RAFT and TGT. Biochar 3 was able to replace 100% of PC without deteriorating the RAFT or TGT.","container-title":"Sustainability","DOI":"https://doi.org/10.3390/su14042393","issue":"4","language":"English","license":"© 2022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2393\npublisher-place: Basel, Switzerland\npublisher: MDPI AG","page":"2393","source":"ProQuest","title":"Modeling and Optimization of Biochar Injection into Blast Furnace to Mitigate the Fossil CO2 Emission","URL":"https://www.proquest.com/docview/2633333436/abstract/4342540731E94D4APQ/1","volume":"14","author":[{"family":"Mousa","given":"Elsayed"},{"family":"Sjöblom","given":"Kurt"}],"accessed":{"date-parts":[["2022",6,28]]},"issued":{"date-parts":[["2022"]]}}}],"schema":"https://github.com/citation-style-language/schema/raw/master/csl-citation.json"} </w:instrText>
      </w:r>
      <w:r w:rsidR="00933D85">
        <w:fldChar w:fldCharType="separate"/>
      </w:r>
      <w:r w:rsidR="002B170C" w:rsidRPr="002B170C">
        <w:rPr>
          <w:rFonts w:ascii="Calibri" w:hAnsi="Calibri" w:cs="Calibri"/>
          <w:szCs w:val="24"/>
        </w:rPr>
        <w:t>(Mousa and Sjöblom, 2022)</w:t>
      </w:r>
      <w:r w:rsidR="00933D85">
        <w:fldChar w:fldCharType="end"/>
      </w:r>
      <w:r w:rsidR="00933D85">
        <w:t xml:space="preserve"> </w:t>
      </w:r>
      <w:r w:rsidR="009C65A8">
        <w:t xml:space="preserve">observed that </w:t>
      </w:r>
      <w:r w:rsidR="004E3C50">
        <w:t>CO</w:t>
      </w:r>
      <w:r w:rsidR="004E3C50" w:rsidRPr="004E3C50">
        <w:rPr>
          <w:vertAlign w:val="subscript"/>
        </w:rPr>
        <w:t>2</w:t>
      </w:r>
      <w:r w:rsidR="004E3C50">
        <w:t xml:space="preserve"> emissions could be reduced by 34% by full replacement of PC</w:t>
      </w:r>
      <w:r w:rsidR="00852B83">
        <w:t xml:space="preserve"> </w:t>
      </w:r>
      <w:r w:rsidR="00B8229F">
        <w:t>with biochar in the BF</w:t>
      </w:r>
      <w:r w:rsidR="00B417BF">
        <w:t xml:space="preserve">. </w:t>
      </w:r>
      <w:r w:rsidR="00C507FA">
        <w:t>The</w:t>
      </w:r>
      <w:r w:rsidR="00596383">
        <w:t>y</w:t>
      </w:r>
      <w:r w:rsidR="00C507FA">
        <w:t xml:space="preserve"> state that 100% PC</w:t>
      </w:r>
      <w:r w:rsidR="00596383">
        <w:t xml:space="preserve"> - biochar replacement</w:t>
      </w:r>
      <w:r w:rsidR="00C507FA">
        <w:t xml:space="preserve"> is achievable without negatively affecting RAFT an</w:t>
      </w:r>
      <w:r w:rsidR="00091697">
        <w:t>d TGT.</w:t>
      </w:r>
      <w:r w:rsidR="009C4799">
        <w:t xml:space="preserve"> </w:t>
      </w:r>
      <w:r w:rsidR="005A5DD0">
        <w:fldChar w:fldCharType="begin"/>
      </w:r>
      <w:r w:rsidR="0032252B">
        <w:instrText xml:space="preserve"> ADDIN ZOTERO_ITEM CSL_CITATION {"citationID":"MMPpIqDc","properties":{"formattedCitation":"(Babich, Senk and Fernandez, 2010; Mathieson {\\i{}et al.}, 2011; Mousa and Sj\\uc0\\u246{}blom, 2022)","plainCitation":"(Babich, Senk and Fernandez, 2010; Mathieson et al., 2011; Mousa and Sjöblom, 2022)","noteIndex":0},"citationItems":[{"id":1828,"uris":["http://zotero.org/users/local/AB2owHL2/items/ERJ5VU9V"],"itemData":{"id":1828,"type":"article-journal","abstract":"Nowadays the use of charcoal in metallurgy is intimately linked to small blast furnaces in Brazil. Due to the challenge for CO2 mitigation, interest for charcoal use as a renewable energy source is rising. In the scope of European efforts to mitigate carbon dioxide emissions in the steel industry in the post-Kyoto period, the use of charcoal in cokemaking and ironmaking has been investigated. This paper presents results of an experimental study on charcoal behaviour under the blast furnace simulating conditions performed at the Department of Ferrous Metallurgy, RWTH Aachen University and at the National Centre for Metallurgical Investigations, Madrid. Conditions in the raceway and in the furnace shaft were simulated using thermo-analytical, laboratory and pilot facilities. Charcoal samples were produced in two furnaces for pyrolysis from different wood types at various carbonisation conditions. Furthermore technological and ecological assessment of blast furnace process when injecting different types of charcoal was performed using a mathematical model. All the experiments and calculations were also performed with reference mineral coals for injection. Conversion efficiency of all the tested charcoals is better or comparable with coals. Change in coke rate, furnace productivity and further operation parameters when replacing pulverised coal with charcoal depends on charcoal ash content and composition.","container-title":"ISIJ International","DOI":"10.2355/isijinternational.50.81","issue":"1","page":"81-88","source":"J-Stage","title":"Charcoal Behaviour by Its Injection into the Modern Blast Furnace","volume":"50","author":[{"family":"Babich","given":"Alexander"},{"family":"Senk","given":"Dieter"},{"family":"Fernandez","given":"Miguel"}],"issued":{"date-parts":[["2010"]]}},"label":"page"},{"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label":"act"},{"id":1684,"uris":["http://zotero.org/users/local/AB2owHL2/items/ZJTJ7UAV"],"itemData":{"id":1684,"type":"article-journal","abstract":"Most modern blast furnaces (BFs) operate with Pulverized Coal Injection (PCI), but renewable and carbon neutral biochar could be applied to reduce the fossil CO2 emission in the short term. In the present study, heat and mass balance-based model (MASMOD) is applied to evaluate the potential of biochar in partial and full replacement of injected pulverized coal (PC) in the ironmaking BF. The impact of biochar injection on the raceway adiabatic flame temperature (RAFT) and top gas temperature (TGT) is evaluated. Three grades of biochar, produced from the pyrolysis of sawdust, were evaluated in this study. The total carbon content was 79.2%, 93.4% and 89.2% in biochar 1, 2 and 3, respectively, while it was 81.6% in the reference PC. For each type of biochar, 6 cases were designed at different injection levels from 30 kg/tHM up to 143 kg/tHM, which represent 100% replacement of PC in the applied case, while the top charged coke is fixed in all cases as reference. The oxygen enrichment, RAFT, and TGT are fixed for certain cases, and have been calculated by MASMOD in other cases to identify the optimum level of biochar injection. The MASMOD calculation showed that as the injection rate of biochar 1 and biochar 2 increased, the RAFT increased by ~190 °C, while TGT decreased by ~45 °C at 100% replacement of PC with biochar. By optimizing the moisture content of biochar and the oxygen enrichment in the blast, it is possible to reach 100% replacement of PC without much affecting the RAFT and TGT. Biochar 3 was able to replace 100% of PC without deteriorating the RAFT or TGT.","container-title":"Sustainability","DOI":"https://doi.org/10.3390/su14042393","issue":"4","language":"English","license":"© 2022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2393\npublisher-place: Basel, Switzerland\npublisher: MDPI AG","page":"2393","source":"ProQuest","title":"Modeling and Optimization of Biochar Injection into Blast Furnace to Mitigate the Fossil CO2 Emission","URL":"https://www.proquest.com/docview/2633333436/abstract/4342540731E94D4APQ/1","volume":"14","author":[{"family":"Mousa","given":"Elsayed"},{"family":"Sjöblom","given":"Kurt"}],"accessed":{"date-parts":[["2022",6,28]]},"issued":{"date-parts":[["2022"]]}},"label":"act"}],"schema":"https://github.com/citation-style-language/schema/raw/master/csl-citation.json"} </w:instrText>
      </w:r>
      <w:r w:rsidR="005A5DD0">
        <w:fldChar w:fldCharType="separate"/>
      </w:r>
      <w:r w:rsidR="002B170C" w:rsidRPr="002B170C">
        <w:rPr>
          <w:rFonts w:ascii="Calibri" w:hAnsi="Calibri" w:cs="Calibri"/>
          <w:szCs w:val="24"/>
        </w:rPr>
        <w:t xml:space="preserve">(Babich, Senk and Fernandez, 2010; Mathieson </w:t>
      </w:r>
      <w:r w:rsidR="002B170C" w:rsidRPr="002B170C">
        <w:rPr>
          <w:rFonts w:ascii="Calibri" w:hAnsi="Calibri" w:cs="Calibri"/>
          <w:i/>
          <w:iCs/>
          <w:szCs w:val="24"/>
        </w:rPr>
        <w:t>et al.</w:t>
      </w:r>
      <w:r w:rsidR="002B170C" w:rsidRPr="002B170C">
        <w:rPr>
          <w:rFonts w:ascii="Calibri" w:hAnsi="Calibri" w:cs="Calibri"/>
          <w:szCs w:val="24"/>
        </w:rPr>
        <w:t>, 2011; Mousa and Sjöblom, 2022)</w:t>
      </w:r>
      <w:r w:rsidR="005A5DD0">
        <w:fldChar w:fldCharType="end"/>
      </w:r>
      <w:r w:rsidR="005A5DD0">
        <w:t xml:space="preserve"> conclude that </w:t>
      </w:r>
      <w:r w:rsidR="00B05908">
        <w:t>a good quality charcoal out preforms PC, the low ash and high ba</w:t>
      </w:r>
      <w:r w:rsidR="003D4F09">
        <w:t>sicity (</w:t>
      </w:r>
      <w:proofErr w:type="spellStart"/>
      <w:r w:rsidR="003D4F09">
        <w:t>CaO</w:t>
      </w:r>
      <w:proofErr w:type="spellEnd"/>
      <w:r w:rsidR="003D4F09">
        <w:t xml:space="preserve"> content) of the charcoal</w:t>
      </w:r>
      <w:r w:rsidR="00DE706A">
        <w:t xml:space="preserve"> result</w:t>
      </w:r>
      <w:r w:rsidR="00E13E35">
        <w:t>s</w:t>
      </w:r>
      <w:r w:rsidR="00DE706A">
        <w:t xml:space="preserve"> in a decre</w:t>
      </w:r>
      <w:r w:rsidR="00CE71FC">
        <w:t xml:space="preserve">ase in slag volume and blast volume which results in a reduced coke rate and </w:t>
      </w:r>
      <w:r w:rsidR="008E5066">
        <w:t>improvement in BF productivity.</w:t>
      </w:r>
      <w:r w:rsidR="00980208">
        <w:t xml:space="preserve"> </w:t>
      </w:r>
      <w:r w:rsidR="007658DD">
        <w:t xml:space="preserve">The drawbacks of charcoals </w:t>
      </w:r>
      <w:r w:rsidR="00D93ED7">
        <w:t>include</w:t>
      </w:r>
      <w:r w:rsidR="00DE7D71">
        <w:t xml:space="preserve"> poor grindability</w:t>
      </w:r>
      <w:r w:rsidR="00820772">
        <w:t xml:space="preserve">, </w:t>
      </w:r>
      <w:r w:rsidR="00021638">
        <w:t>achieving the correct particle size may be problematic</w:t>
      </w:r>
      <w:r w:rsidR="00820772">
        <w:t>,</w:t>
      </w:r>
      <w:r w:rsidR="005E52E1">
        <w:t xml:space="preserve"> that and</w:t>
      </w:r>
      <w:r w:rsidR="00BD5C1B">
        <w:t xml:space="preserve"> the low density of charcoal means</w:t>
      </w:r>
      <w:r w:rsidR="005E52E1">
        <w:t xml:space="preserve"> </w:t>
      </w:r>
      <w:r w:rsidR="00D34647">
        <w:t>high injection rates may be difficult to realise without modifications to the PCI plant.</w:t>
      </w:r>
      <w:r w:rsidR="00BD5C1B">
        <w:t xml:space="preserve"> </w:t>
      </w:r>
      <w:r w:rsidR="00A204D4">
        <w:fldChar w:fldCharType="begin"/>
      </w:r>
      <w:r w:rsidR="00192334">
        <w:instrText xml:space="preserve"> ADDIN ZOTERO_ITEM CSL_CITATION {"citationID":"zlEPGk2E","properties":{"formattedCitation":"(Ng, Giroux and Todoschuk, 2018)","plainCitation":"(Ng, Giroux and Todoschuk, 2018)","noteIndex":0},"citationItems":[{"id":1708,"uris":["http://zotero.org/users/local/AB2owHL2/items/A46DIRU7"],"itemData":{"id":1708,"type":"article-journal","container-title":"Ironmaking &amp; Steelmaking - Processes, Products and Applications","issue":"5","page":"406 - 411","title":"Full article: Value-in-use of biocarbon fuel for direct injection in blast furnace ironmaking","URL":"https://www-tandfonline-com.ezproxy.uwtsd.ac.uk/doi/full/10.1080/03019233.2018.1457837","volume":"45","author":[{"family":"Ng","given":"Ka Wing"},{"family":"Giroux","given":"Louis"},{"family":"Todoschuk","given":"Ted"}],"accessed":{"date-parts":[["2022",6,28]]},"issued":{"date-parts":[["2018"]]}}}],"schema":"https://github.com/citation-style-language/schema/raw/master/csl-citation.json"} </w:instrText>
      </w:r>
      <w:r w:rsidR="00A204D4">
        <w:fldChar w:fldCharType="separate"/>
      </w:r>
      <w:r w:rsidR="00192334" w:rsidRPr="00192334">
        <w:rPr>
          <w:rFonts w:ascii="Calibri" w:hAnsi="Calibri" w:cs="Calibri"/>
        </w:rPr>
        <w:t>(Ng, Giroux and Todoschuk, 2018)</w:t>
      </w:r>
      <w:r w:rsidR="00A204D4">
        <w:fldChar w:fldCharType="end"/>
      </w:r>
      <w:r w:rsidR="00376591">
        <w:t xml:space="preserve"> add</w:t>
      </w:r>
      <w:r w:rsidR="00297DC9">
        <w:t xml:space="preserve"> that </w:t>
      </w:r>
      <w:r w:rsidR="00845CD9">
        <w:t xml:space="preserve">the production of </w:t>
      </w:r>
      <w:r w:rsidR="00C12F81">
        <w:t>biochar’s</w:t>
      </w:r>
      <w:r w:rsidR="00845CD9">
        <w:t xml:space="preserve"> </w:t>
      </w:r>
      <w:r w:rsidR="000D1D62">
        <w:t xml:space="preserve">with low O/C ratios (high CV) </w:t>
      </w:r>
      <w:r w:rsidR="00D927D4">
        <w:t>may result in the increase of phosphorus and alkali metals</w:t>
      </w:r>
      <w:r w:rsidR="00FA00DC">
        <w:t xml:space="preserve"> which would </w:t>
      </w:r>
      <w:r w:rsidR="00093130">
        <w:t>lead to</w:t>
      </w:r>
      <w:r w:rsidR="00FA00DC">
        <w:t xml:space="preserve"> BF operational challenges.</w:t>
      </w:r>
    </w:p>
    <w:p w14:paraId="1EF6FB76" w14:textId="4646C487" w:rsidR="00C12F81" w:rsidRDefault="00CD7F65" w:rsidP="00CC5DD5">
      <w:pPr>
        <w:pStyle w:val="Heading3"/>
        <w:spacing w:line="360" w:lineRule="auto"/>
        <w:jc w:val="both"/>
      </w:pPr>
      <w:bookmarkStart w:id="27" w:name="_Toc128599599"/>
      <w:r>
        <w:t xml:space="preserve">Potential </w:t>
      </w:r>
      <w:r w:rsidR="00C12F81">
        <w:t xml:space="preserve">for biomass in metallurgical coke </w:t>
      </w:r>
      <w:r w:rsidR="00B347E0">
        <w:t>making.</w:t>
      </w:r>
      <w:bookmarkEnd w:id="27"/>
    </w:p>
    <w:p w14:paraId="19244A7A" w14:textId="40F7BE4B" w:rsidR="0026320E" w:rsidRDefault="00DC5050" w:rsidP="00CC5DD5">
      <w:pPr>
        <w:spacing w:line="360" w:lineRule="auto"/>
        <w:jc w:val="both"/>
      </w:pPr>
      <w:r>
        <w:t xml:space="preserve">Coke </w:t>
      </w:r>
      <w:r w:rsidR="00A9199A">
        <w:t xml:space="preserve">performs </w:t>
      </w:r>
      <w:r w:rsidR="00CF423D">
        <w:t>many</w:t>
      </w:r>
      <w:r w:rsidR="00A9199A">
        <w:t xml:space="preserve"> functions inside the blast furnace</w:t>
      </w:r>
      <w:r w:rsidR="0099230D">
        <w:t xml:space="preserve">: it </w:t>
      </w:r>
      <w:r w:rsidR="00BB5EBA">
        <w:t>supports the burden as it descends the furnace</w:t>
      </w:r>
      <w:r w:rsidR="00301850">
        <w:t xml:space="preserve">, provides gas </w:t>
      </w:r>
      <w:r w:rsidR="00EE7E8C">
        <w:t>permeability</w:t>
      </w:r>
      <w:r w:rsidR="009E3B86">
        <w:t xml:space="preserve">, </w:t>
      </w:r>
      <w:r w:rsidR="0000415D">
        <w:t>permits the decent of the liquid iron, acts as</w:t>
      </w:r>
      <w:r w:rsidR="00F33688">
        <w:t xml:space="preserve"> reducing agent, </w:t>
      </w:r>
      <w:r w:rsidR="00D4452F">
        <w:t xml:space="preserve">carburising of the hot metal and a fuel source. </w:t>
      </w:r>
      <w:r w:rsidR="00ED3DA2">
        <w:t>C</w:t>
      </w:r>
      <w:r w:rsidR="00E81D96">
        <w:t xml:space="preserve">oke </w:t>
      </w:r>
      <w:r w:rsidR="00ED3DA2">
        <w:t>is the only material capable of carrying out all these functions</w:t>
      </w:r>
      <w:r w:rsidR="00C55B59">
        <w:t xml:space="preserve"> making it irreplaceable for BF operation</w:t>
      </w:r>
      <w:r w:rsidR="00D4452F">
        <w:t xml:space="preserve">. </w:t>
      </w:r>
      <w:r w:rsidR="00896306">
        <w:t xml:space="preserve"> </w:t>
      </w:r>
      <w:r w:rsidR="004446B2">
        <w:t>Coke is made by heating a blend of coals of specific rank to 1000 - 1100</w:t>
      </w:r>
      <w:r w:rsidR="004446B2" w:rsidRPr="005E07E6">
        <w:rPr>
          <w:vertAlign w:val="superscript"/>
        </w:rPr>
        <w:t>0</w:t>
      </w:r>
      <w:r w:rsidR="004446B2">
        <w:t xml:space="preserve">C in the absence of air (pyrolysis) </w:t>
      </w:r>
      <w:r w:rsidR="004446B2">
        <w:fldChar w:fldCharType="begin"/>
      </w:r>
      <w:r w:rsidR="00192334">
        <w:instrText xml:space="preserve"> ADDIN ZOTERO_ITEM CSL_CITATION {"citationID":"hBPUiVnB","properties":{"formattedCitation":"(D\\uc0\\u305{}\\uc0\\u769{}ez, Alvarez and Barriocanal, 2002)","plainCitation":"(Dı́ez, Alvarez and Barriocanal, 2002)","noteIndex":0},"citationItems":[{"id":1854,"uris":["http://zotero.org/users/local/AB2owHL2/items/DUT2HFFP"],"itemData":{"id":1854,"type":"article-journal","abstract":"This paper reviews quality requirements of metallurgical coke for the blast furnace, coke structure, and relationships between structure and quality. Models of prediction of metallurgical coke quality parameters based on maceral composition and properties of coals being carbonized are summarized. Early prediction models of cold coke strength and the development of second-generation hot-strength prediction models based on parameters as coke reactivity index (CRI) and coke strength after reaction with carbon dioxide (CSR) are assessed. The review concludes with an assessment of current coke production and coal demand in the steelmaking industry, globally, followed by a preview of possible future alternative coking technologies.","collection-title":"Volume 50","container-title":"International Journal of Coal Geology","DOI":"10.1016/S0166-5162(02)00123-4","ISSN":"0166-5162","issue":"1","journalAbbreviation":"International Journal of Coal Geology","language":"en","page":"389-412","source":"ScienceDirect","title":"Coal for metallurgical coke production: predictions of coke quality and future requirements for cokemaking","title-short":"Coal for metallurgical coke production","URL":"https://www.sciencedirect.com/science/article/pii/S0166516202001234","volume":"50","author":[{"family":"Dı́ez","given":"M. A"},{"family":"Alvarez","given":"R"},{"family":"Barriocanal","given":"C"}],"accessed":{"date-parts":[["2022",7,31]]},"issued":{"date-parts":[["2002",5,1]]}}}],"schema":"https://github.com/citation-style-language/schema/raw/master/csl-citation.json"} </w:instrText>
      </w:r>
      <w:r w:rsidR="004446B2">
        <w:fldChar w:fldCharType="separate"/>
      </w:r>
      <w:r w:rsidR="00192334" w:rsidRPr="00192334">
        <w:rPr>
          <w:rFonts w:ascii="Calibri" w:hAnsi="Calibri" w:cs="Calibri"/>
          <w:szCs w:val="24"/>
        </w:rPr>
        <w:t>(Dı́ez, Alvarez and Barriocanal, 2002)</w:t>
      </w:r>
      <w:r w:rsidR="004446B2">
        <w:fldChar w:fldCharType="end"/>
      </w:r>
      <w:r w:rsidR="004446B2">
        <w:t>.</w:t>
      </w:r>
      <w:r w:rsidR="001C2A1C">
        <w:t xml:space="preserve"> An example of a typical by-product coke oven is shown in figure 1</w:t>
      </w:r>
      <w:r w:rsidR="004F75B3">
        <w:t>2</w:t>
      </w:r>
      <w:r w:rsidR="001C2A1C">
        <w:t>.</w:t>
      </w:r>
      <w:r w:rsidR="004446B2">
        <w:t xml:space="preserve"> </w:t>
      </w:r>
      <w:r w:rsidR="00F35600">
        <w:t xml:space="preserve">High quality coke </w:t>
      </w:r>
      <w:r w:rsidR="00F941AD">
        <w:t xml:space="preserve">allows the BF to </w:t>
      </w:r>
      <w:r w:rsidR="00113AE5">
        <w:t xml:space="preserve">achieve low coke consumption and high PCI </w:t>
      </w:r>
      <w:r w:rsidR="00BE3BEE">
        <w:t>rate and therefore high productivity</w:t>
      </w:r>
      <w:r w:rsidR="00CA6755">
        <w:t xml:space="preserve">. </w:t>
      </w:r>
      <w:r w:rsidR="00086EBD" w:rsidRPr="00086EBD">
        <w:t xml:space="preserve">Metallurgical coke </w:t>
      </w:r>
      <w:r w:rsidR="00086EBD" w:rsidRPr="00086EBD">
        <w:lastRenderedPageBreak/>
        <w:t xml:space="preserve">needs to be </w:t>
      </w:r>
      <w:r w:rsidR="00360AE8">
        <w:t xml:space="preserve">of </w:t>
      </w:r>
      <w:r w:rsidR="00AB5FBF">
        <w:t xml:space="preserve">a certain size, </w:t>
      </w:r>
      <w:r w:rsidR="00086EBD" w:rsidRPr="00086EBD">
        <w:t xml:space="preserve">resistant to degradation, abrasion and chemical attack, have a </w:t>
      </w:r>
      <w:r w:rsidR="00AB5FBF">
        <w:t>certain</w:t>
      </w:r>
      <w:r w:rsidR="00086EBD" w:rsidRPr="00086EBD">
        <w:t xml:space="preserve"> chemical composition and mechanical strength</w:t>
      </w:r>
      <w:r w:rsidR="00086EBD">
        <w:t xml:space="preserve"> </w:t>
      </w:r>
      <w:r w:rsidR="00086EBD">
        <w:fldChar w:fldCharType="begin"/>
      </w:r>
      <w:r w:rsidR="00192334">
        <w:instrText xml:space="preserve"> ADDIN ZOTERO_ITEM CSL_CITATION {"citationID":"4cVUWQ1G","properties":{"formattedCitation":"(Geerdes,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086EBD">
        <w:fldChar w:fldCharType="separate"/>
      </w:r>
      <w:r w:rsidR="00192334" w:rsidRPr="00192334">
        <w:rPr>
          <w:rFonts w:ascii="Calibri" w:hAnsi="Calibri" w:cs="Calibri"/>
        </w:rPr>
        <w:t>(Geerdes, Toxopeus and Vliet, 2009)</w:t>
      </w:r>
      <w:r w:rsidR="00086EBD">
        <w:fldChar w:fldCharType="end"/>
      </w:r>
      <w:r w:rsidR="00086EBD" w:rsidRPr="00086EBD">
        <w:t>.</w:t>
      </w:r>
      <w:r w:rsidR="00086EBD">
        <w:t xml:space="preserve"> </w:t>
      </w:r>
    </w:p>
    <w:p w14:paraId="55D08A7A" w14:textId="2254A54D" w:rsidR="008D47A8" w:rsidRDefault="008D47A8" w:rsidP="00086EBD">
      <w:pPr>
        <w:spacing w:line="360" w:lineRule="auto"/>
        <w:jc w:val="both"/>
      </w:pPr>
      <w:r>
        <w:rPr>
          <w:noProof/>
        </w:rPr>
        <w:drawing>
          <wp:inline distT="0" distB="0" distL="0" distR="0" wp14:anchorId="1DBB297E" wp14:editId="6E68BC5C">
            <wp:extent cx="4314902" cy="2472537"/>
            <wp:effectExtent l="0" t="0" r="0" b="4445"/>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39"/>
                    <a:stretch>
                      <a:fillRect/>
                    </a:stretch>
                  </pic:blipFill>
                  <pic:spPr>
                    <a:xfrm>
                      <a:off x="0" y="0"/>
                      <a:ext cx="4357134" cy="2496737"/>
                    </a:xfrm>
                    <a:prstGeom prst="rect">
                      <a:avLst/>
                    </a:prstGeom>
                  </pic:spPr>
                </pic:pic>
              </a:graphicData>
            </a:graphic>
          </wp:inline>
        </w:drawing>
      </w:r>
    </w:p>
    <w:p w14:paraId="24563E8F" w14:textId="07801710" w:rsidR="008D47A8" w:rsidRDefault="008D47A8" w:rsidP="008D47A8">
      <w:pPr>
        <w:pStyle w:val="Caption"/>
      </w:pPr>
      <w:bookmarkStart w:id="28" w:name="_Toc127110906"/>
      <w:r>
        <w:t xml:space="preserve">Figure </w:t>
      </w:r>
      <w:fldSimple w:instr=" SEQ Figure \* ARABIC ">
        <w:r w:rsidR="00A0212F">
          <w:rPr>
            <w:noProof/>
          </w:rPr>
          <w:t>12</w:t>
        </w:r>
      </w:fldSimple>
      <w:r>
        <w:t xml:space="preserve"> </w:t>
      </w:r>
      <w:r w:rsidRPr="001D6CA5">
        <w:rPr>
          <w:rFonts w:cs="Arial"/>
          <w:sz w:val="20"/>
          <w:szCs w:val="20"/>
        </w:rPr>
        <w:t xml:space="preserve">Diagram of a typical by-product </w:t>
      </w:r>
      <w:r w:rsidR="001C2A1C">
        <w:rPr>
          <w:rFonts w:cs="Arial"/>
          <w:sz w:val="20"/>
          <w:szCs w:val="20"/>
        </w:rPr>
        <w:t>coke plant</w:t>
      </w:r>
      <w:r w:rsidRPr="001D6CA5">
        <w:rPr>
          <w:rFonts w:cs="Arial"/>
          <w:sz w:val="20"/>
          <w:szCs w:val="20"/>
        </w:rPr>
        <w:t xml:space="preserve"> </w:t>
      </w:r>
      <w:r w:rsidR="001C2A1C">
        <w:rPr>
          <w:rFonts w:cs="Arial"/>
          <w:sz w:val="20"/>
          <w:szCs w:val="20"/>
        </w:rPr>
        <w:fldChar w:fldCharType="begin"/>
      </w:r>
      <w:r w:rsidR="00192334">
        <w:rPr>
          <w:rFonts w:cs="Arial"/>
          <w:sz w:val="20"/>
          <w:szCs w:val="20"/>
        </w:rPr>
        <w:instrText xml:space="preserve"> ADDIN ZOTERO_ITEM CSL_CITATION {"citationID":"wkbdGoNp","properties":{"formattedCitation":"(Hilding, 2005)","plainCitation":"(Hilding, 2005)","noteIndex":0},"citationItems":[{"id":1879,"uris":["http://zotero.org/users/local/AB2owHL2/items/DL2PRAIW"],"itemData":{"id":1879,"type":"thesis","event-place":"Sweden","genre":"Division of Process Metallurgy","language":"en","publisher":"Luleå University of Technology","publisher-place":"Sweden","source":"Zotero","title":"Evolution of Coke Properties while Descending through a Blast Furnace","author":[{"family":"Hilding","given":"Tobias"}],"accessed":{"date-parts":[["2022",8,7]]},"issued":{"date-parts":[["2005"]]}}}],"schema":"https://github.com/citation-style-language/schema/raw/master/csl-citation.json"} </w:instrText>
      </w:r>
      <w:r w:rsidR="001C2A1C">
        <w:rPr>
          <w:rFonts w:cs="Arial"/>
          <w:sz w:val="20"/>
          <w:szCs w:val="20"/>
        </w:rPr>
        <w:fldChar w:fldCharType="separate"/>
      </w:r>
      <w:bookmarkEnd w:id="28"/>
      <w:r w:rsidR="00192334" w:rsidRPr="00192334">
        <w:rPr>
          <w:rFonts w:ascii="Calibri" w:hAnsi="Calibri" w:cs="Calibri"/>
          <w:sz w:val="20"/>
        </w:rPr>
        <w:t>(Hilding, 2005)</w:t>
      </w:r>
      <w:r w:rsidR="001C2A1C">
        <w:rPr>
          <w:rFonts w:cs="Arial"/>
          <w:sz w:val="20"/>
          <w:szCs w:val="20"/>
        </w:rPr>
        <w:fldChar w:fldCharType="end"/>
      </w:r>
    </w:p>
    <w:p w14:paraId="214484EE" w14:textId="7B3F497E" w:rsidR="005D107A" w:rsidRDefault="00C45933" w:rsidP="00803A10">
      <w:pPr>
        <w:spacing w:line="360" w:lineRule="auto"/>
        <w:jc w:val="both"/>
      </w:pPr>
      <w:r>
        <w:t xml:space="preserve">Coking coal goes through several </w:t>
      </w:r>
      <w:r w:rsidR="00FB3E93">
        <w:t xml:space="preserve">chemical and physical changes during the coking process, </w:t>
      </w:r>
      <w:r w:rsidR="00AD35A7">
        <w:t>i</w:t>
      </w:r>
      <w:r w:rsidR="00E40832">
        <w:t>n order these are</w:t>
      </w:r>
      <w:r w:rsidR="00FB3E93">
        <w:t xml:space="preserve"> softening, swelling</w:t>
      </w:r>
      <w:r w:rsidR="00E40832">
        <w:t>, contraction</w:t>
      </w:r>
      <w:r w:rsidR="00E71D8B">
        <w:t>, evolution of volatile matter</w:t>
      </w:r>
      <w:r w:rsidR="00E40832">
        <w:t xml:space="preserve"> and then </w:t>
      </w:r>
      <w:r w:rsidR="00AD35A7">
        <w:t xml:space="preserve">re-solidification. </w:t>
      </w:r>
      <w:r w:rsidR="00E71D8B">
        <w:t>The thermoplastic properties</w:t>
      </w:r>
      <w:r w:rsidR="00C2280D">
        <w:t xml:space="preserve"> </w:t>
      </w:r>
      <w:r w:rsidR="00D1512F">
        <w:t>of the coals are critical to the quality of the final coke</w:t>
      </w:r>
      <w:r w:rsidR="00FF5238">
        <w:t xml:space="preserve"> </w:t>
      </w:r>
      <w:r w:rsidR="00F7689A">
        <w:fldChar w:fldCharType="begin"/>
      </w:r>
      <w:r w:rsidR="00192334">
        <w:instrText xml:space="preserve"> ADDIN ZOTERO_ITEM CSL_CITATION {"citationID":"y7XerwCT","properties":{"formattedCitation":"(Loison, Foch and Boyer, 1989)","plainCitation":"(Loison, Foch and Boyer, 1989)","noteIndex":0},"citationItems":[{"id":454,"uris":["http://zotero.org/users/local/AB2owHL2/items/6D266ISA"],"itemData":{"id":454,"type":"book","edition":"2nd","event-place":"Cambridge","publisher":"Butterworths","publisher-place":"Cambridge","title":"Coke : Quality and Production","author":[{"family":"Loison","given":"Roger"},{"family":"Foch","given":"Pierre"},{"family":"Boyer","given":"Andre"}],"issued":{"date-parts":[["1989"]]}}}],"schema":"https://github.com/citation-style-language/schema/raw/master/csl-citation.json"} </w:instrText>
      </w:r>
      <w:r w:rsidR="00F7689A">
        <w:fldChar w:fldCharType="separate"/>
      </w:r>
      <w:r w:rsidR="00192334" w:rsidRPr="00192334">
        <w:rPr>
          <w:rFonts w:ascii="Calibri" w:hAnsi="Calibri" w:cs="Calibri"/>
        </w:rPr>
        <w:t>(Loison, Foch and Boyer, 1989)</w:t>
      </w:r>
      <w:r w:rsidR="00F7689A">
        <w:fldChar w:fldCharType="end"/>
      </w:r>
      <w:r w:rsidR="00D1512F">
        <w:t>.</w:t>
      </w:r>
      <w:r w:rsidR="00D60470">
        <w:t xml:space="preserve"> </w:t>
      </w:r>
    </w:p>
    <w:p w14:paraId="2292E999" w14:textId="390222E2" w:rsidR="00225BF7" w:rsidRDefault="00084608" w:rsidP="00803A10">
      <w:pPr>
        <w:spacing w:line="360" w:lineRule="auto"/>
        <w:jc w:val="both"/>
      </w:pPr>
      <w:r>
        <w:t>Studies have shown that b</w:t>
      </w:r>
      <w:r w:rsidR="00F704C6">
        <w:t xml:space="preserve">iomass can be added </w:t>
      </w:r>
      <w:r w:rsidR="005140F8">
        <w:t xml:space="preserve">into the blend in </w:t>
      </w:r>
      <w:r w:rsidR="006900E0">
        <w:t>several</w:t>
      </w:r>
      <w:r w:rsidR="005140F8">
        <w:t xml:space="preserve"> forms, </w:t>
      </w:r>
      <w:r>
        <w:t xml:space="preserve">raw biomasses, torrefied biomasses and </w:t>
      </w:r>
      <w:r w:rsidR="00F120F2">
        <w:t>pyroly</w:t>
      </w:r>
      <w:r w:rsidR="002C0B5F">
        <w:t>s</w:t>
      </w:r>
      <w:r w:rsidR="00F120F2">
        <w:t>ed</w:t>
      </w:r>
      <w:r>
        <w:t xml:space="preserve"> biomass</w:t>
      </w:r>
      <w:r w:rsidR="00F120F2">
        <w:t xml:space="preserve">. </w:t>
      </w:r>
      <w:r w:rsidR="0035664A">
        <w:t>The addition of any of these seems to have a</w:t>
      </w:r>
      <w:r w:rsidR="0010063C">
        <w:t xml:space="preserve"> negative effect on the fluidity of the coal blend </w:t>
      </w:r>
      <w:r w:rsidR="00451ADF">
        <w:fldChar w:fldCharType="begin"/>
      </w:r>
      <w:r w:rsidR="00192334">
        <w:instrText xml:space="preserve"> ADDIN ZOTERO_ITEM CSL_CITATION {"citationID":"Yc9ZZEpv","properties":{"formattedCitation":"(MacPhee {\\i{}et al.}, 2009)","plainCitation":"(MacPhee et al., 2009)","noteIndex":0},"citationItems":[{"id":425,"uris":["http://zotero.org/users/local/AB2owHL2/items/NQR2TCUN"],"itemData":{"id":425,"type":"article-journal","abstract":"Processes involving biomass oxidation are considered to be CO2 neutral since the replenishing of the biomass by normal growth will remove CO2 from the atmosphere. Thus the use of charcoal in the production of metallurgical coke, to be used as a reducing agent in the formation of iron, would be a strategy for the reduction of CO2 in the overall ironmaking process. This paper describes experimental attempts to produce industrial grade coke from coking coal blends to which are added amounts of charcoal up to 10%. Coking experiments were carried out partly in a 30 lb coke oven and partly in a sole heated oven. The influence of blend composition, heating rates and charcoal particle size was investigated. Cokes made using fine charcoal addition (−60 mesh) were considerably weaker than cokes made from the base blend. This is interpreted to be the effect of the ash constituents in the charcoal which, among other things, contains much higher calcium than the coals used. However, carefully sized fractions of coarse charcoal (−3/8 +1/4 in) produced much higher quality coke, possibly the result of a different dispersion of the charcoal mineral components.","container-title":"Fuel Processing Technology","DOI":"10.1016/j.fuproc.2008.07.007","ISSN":"0378-3820","issue":"1","journalAbbreviation":"Fuel Processing Technology","language":"en","page":"16-20","source":"ScienceDirect","title":"Possible CO2 mitigation via addition of charcoal to coking coal blends","URL":"https://www.sciencedirect.com/science/article/pii/S0378382008001926","volume":"90","author":[{"family":"MacPhee","given":"J. A."},{"family":"Gransden","given":"J. F."},{"family":"Giroux","given":"L."},{"family":"Price","given":"J. T."}],"accessed":{"date-parts":[["2021",2,8]]},"issued":{"date-parts":[["2009",1,1]]}},"label":"page"}],"schema":"https://github.com/citation-style-language/schema/raw/master/csl-citation.json"} </w:instrText>
      </w:r>
      <w:r w:rsidR="00451ADF">
        <w:fldChar w:fldCharType="separate"/>
      </w:r>
      <w:r w:rsidR="00192334" w:rsidRPr="00192334">
        <w:rPr>
          <w:rFonts w:ascii="Calibri" w:hAnsi="Calibri" w:cs="Calibri"/>
          <w:szCs w:val="24"/>
        </w:rPr>
        <w:t xml:space="preserve">(MacPhee </w:t>
      </w:r>
      <w:r w:rsidR="00192334" w:rsidRPr="00192334">
        <w:rPr>
          <w:rFonts w:ascii="Calibri" w:hAnsi="Calibri" w:cs="Calibri"/>
          <w:i/>
          <w:iCs/>
          <w:szCs w:val="24"/>
        </w:rPr>
        <w:t>et al.</w:t>
      </w:r>
      <w:r w:rsidR="00192334" w:rsidRPr="00192334">
        <w:rPr>
          <w:rFonts w:ascii="Calibri" w:hAnsi="Calibri" w:cs="Calibri"/>
          <w:szCs w:val="24"/>
        </w:rPr>
        <w:t>, 2009)</w:t>
      </w:r>
      <w:r w:rsidR="00451ADF">
        <w:fldChar w:fldCharType="end"/>
      </w:r>
      <w:r w:rsidR="00AA078E">
        <w:t xml:space="preserve">. </w:t>
      </w:r>
      <w:r w:rsidR="002141EB">
        <w:fldChar w:fldCharType="begin"/>
      </w:r>
      <w:r w:rsidR="00192334">
        <w:instrText xml:space="preserve"> ADDIN ZOTERO_ITEM CSL_CITATION {"citationID":"sr98StPR","properties":{"formattedCitation":"(Diez, Alvarez and Fern\\uc0\\u225{}ndez, 2012)","plainCitation":"(Diez, Alvarez and Fernández, 2012)","noteIndex":0},"citationItems":[{"id":1859,"uris":["http://zotero.org/users/local/AB2owHL2/items/E97NHM52"],"itemData":{"id":1859,"type":"article-journal","abstract":"The modifications in the development of fluidity of a single coking coal caused by Eucalyptus wood, its carbonization products (charcoal and tars) and biomass model compounds (xylan, cellulose and lignin) were assessed by Gieseler plastometry. Eucalyptus sawdust and its carbonization products obtained at 415°C (tars and charcoal) inhibited the fluidity development of coking coals to different degrees. At a low addition rate, the following reducing effect on coal fluidity by biomass products and components was observed: xylan&lt;water-soluble tar&lt;charcoal&lt;lignin&lt;water-insoluble tar&lt;cellulose&lt;sawdust. As the amount of each biomass-derived carbonization product was increased in the blend, the overall effect resembled that of the biomass precursor (xylan, cellulose and lignin). In order to explain the different abilities of biomass-based additives to reduce the fluidity of coal, FTIR spectroscopy and GC–MS were used to identify the major components of the tars, while thermogravimetry was applied to follow the pyrolysis behavior of the biomass products and model compounds.","container-title":"Fuel","DOI":"10.1016/j.fuel.2011.12.065","ISSN":"0016-2361","journalAbbreviation":"Fuel","language":"en","page":"306-313","source":"ScienceDirect","title":"Biomass derived products as modifiers of the rheological properties of coking coals","URL":"https://www.sciencedirect.com/science/article/pii/S0016236111008465","volume":"96","author":[{"family":"Diez","given":"M. A."},{"family":"Alvarez","given":"R."},{"family":"Fernández","given":"M."}],"accessed":{"date-parts":[["2022",8,1]]},"issued":{"date-parts":[["2012",6,1]]}}}],"schema":"https://github.com/citation-style-language/schema/raw/master/csl-citation.json"} </w:instrText>
      </w:r>
      <w:r w:rsidR="002141EB">
        <w:fldChar w:fldCharType="separate"/>
      </w:r>
      <w:r w:rsidR="00192334" w:rsidRPr="00192334">
        <w:rPr>
          <w:rFonts w:ascii="Calibri" w:hAnsi="Calibri" w:cs="Calibri"/>
          <w:szCs w:val="24"/>
        </w:rPr>
        <w:t>(Diez, Alvarez and Fernández, 2012)</w:t>
      </w:r>
      <w:r w:rsidR="002141EB">
        <w:fldChar w:fldCharType="end"/>
      </w:r>
      <w:r w:rsidR="000F734F">
        <w:t xml:space="preserve"> added untreated saw dust to the coal blend, they found that the inert </w:t>
      </w:r>
      <w:r w:rsidR="003D3D03">
        <w:t xml:space="preserve">nature of the sawdust </w:t>
      </w:r>
      <w:r w:rsidR="00435785">
        <w:t>negatively affected fluidity development</w:t>
      </w:r>
      <w:r w:rsidR="009A598F">
        <w:t>, it does not soften and melt and does not bind the components of the plasticised coal.</w:t>
      </w:r>
      <w:r w:rsidR="00317AF5">
        <w:t xml:space="preserve"> </w:t>
      </w:r>
      <w:r w:rsidR="00296BA3">
        <w:fldChar w:fldCharType="begin"/>
      </w:r>
      <w:r w:rsidR="00192334">
        <w:instrText xml:space="preserve"> ADDIN ZOTERO_ITEM CSL_CITATION {"citationID":"5F9xf2l0","properties":{"formattedCitation":"(Solar {\\i{}et al.}, 2021)","plainCitation":"(Solar et al., 2021)","noteIndex":0},"citationItems":[{"id":1650,"uris":["http://zotero.org/users/local/AB2owHL2/items/BNLFX3FU"],"itemData":{"id":1650,"type":"article-journal","abstract":"The suitability of the charcoal obtained from woody biomass pyrolysis in a continuous screw reactor at 573, 773, 973, 1173 K temperature profile as fuel and reducing agent in metallurgical applications has been evaluated, in order to reduce the CO2 emissions in these processes. On the one hand, a comparative study between charcoal and commercial reducers has been carried out. On the other hand, different proportions of this charcoal have been added to an industrial coking coal blend and carbonized together in a semi-pilot movable wall oven, to study the influence in the plastic and mechanical properties of the produced biocoke. The charcoal obtained fulfills the requirements to be used as fuel and reducer in non-ferrous processes where no mechanical strength is required, like rotary kilns, in substitution of fossil reducers. Its higher heating value (&gt;32 MJ kg−1) is in the range or over those of fossil coals, with the advantage of not containing polluting elements (S, N) and having less ash. The addition of up to 0.9 wt.% almost does not affect the quality of the biocoke; but the addition of ≥2 wt.% degrades the biocoke mechanical and plastic properties below the demanded requirements. Moreover, biocoke reactivity seems independent of the amount of charcoal added.","container-title":"Metals","DOI":"10.3390/met11040613","ISSN":"2075-4701","issue":"4","language":"en","license":"http://creativecommons.org/licenses/by/3.0/","note":"number: 4\npublisher: Multidisciplinary Digital Publishing Institute","page":"613","source":"www.mdpi.com","title":"Impact of the Addition of Pyrolysed Forestry Waste to the Coking Process on the Resulting Green Biocoke","URL":"https://www.mdpi.com/2075-4701/11/4/613","volume":"11","author":[{"family":"Solar","given":"Jon"},{"family":"Caballero","given":"Blanca María"},{"family":"Barriocanal","given":"Carmen"},{"family":"Lopez-Urionabarrenechea","given":"Alexander"},{"family":"Acha","given":"Esther"}],"accessed":{"date-parts":[["2022",6,25]]},"issued":{"date-parts":[["2021",4]]}}}],"schema":"https://github.com/citation-style-language/schema/raw/master/csl-citation.json"} </w:instrText>
      </w:r>
      <w:r w:rsidR="00296BA3">
        <w:fldChar w:fldCharType="separate"/>
      </w:r>
      <w:r w:rsidR="00192334" w:rsidRPr="00192334">
        <w:rPr>
          <w:rFonts w:ascii="Calibri" w:hAnsi="Calibri" w:cs="Calibri"/>
          <w:szCs w:val="24"/>
        </w:rPr>
        <w:t xml:space="preserve">(Solar </w:t>
      </w:r>
      <w:r w:rsidR="00192334" w:rsidRPr="00192334">
        <w:rPr>
          <w:rFonts w:ascii="Calibri" w:hAnsi="Calibri" w:cs="Calibri"/>
          <w:i/>
          <w:iCs/>
          <w:szCs w:val="24"/>
        </w:rPr>
        <w:t>et al.</w:t>
      </w:r>
      <w:r w:rsidR="00192334" w:rsidRPr="00192334">
        <w:rPr>
          <w:rFonts w:ascii="Calibri" w:hAnsi="Calibri" w:cs="Calibri"/>
          <w:szCs w:val="24"/>
        </w:rPr>
        <w:t>, 2021)</w:t>
      </w:r>
      <w:r w:rsidR="00296BA3">
        <w:fldChar w:fldCharType="end"/>
      </w:r>
      <w:r w:rsidR="00E01A35">
        <w:t xml:space="preserve"> added charcoal to the coking blend and found that it </w:t>
      </w:r>
      <w:r w:rsidR="008957E5">
        <w:t xml:space="preserve">reduced </w:t>
      </w:r>
      <w:r w:rsidR="00803A10">
        <w:t xml:space="preserve">the thermoplastic properties, an effect which </w:t>
      </w:r>
      <w:r w:rsidR="00317AF5">
        <w:t>increased</w:t>
      </w:r>
      <w:r w:rsidR="00803A10">
        <w:t xml:space="preserve"> as more char was added.</w:t>
      </w:r>
    </w:p>
    <w:p w14:paraId="58520772" w14:textId="41DA11C7" w:rsidR="00FF0242" w:rsidRDefault="00317AF5" w:rsidP="00803A10">
      <w:pPr>
        <w:spacing w:line="360" w:lineRule="auto"/>
        <w:jc w:val="both"/>
      </w:pPr>
      <w:r>
        <w:t xml:space="preserve">The mechanical strength and reactivity of coke are important parameters when measuring coke quality. </w:t>
      </w:r>
      <w:r w:rsidR="002E1677">
        <w:t xml:space="preserve">These can be measured using ISO standard 1889-4 : CSR (coke strength after reaction) / CRI (coke reactivity index), the CSR and CRI measures are inversely proportional, when the CSR </w:t>
      </w:r>
      <w:r w:rsidR="00FF0242">
        <w:t xml:space="preserve">measure </w:t>
      </w:r>
      <w:r w:rsidR="002E1677">
        <w:t xml:space="preserve">is </w:t>
      </w:r>
      <w:r w:rsidR="00FF0242">
        <w:t xml:space="preserve">high the CRI measure will be low </w:t>
      </w:r>
      <w:r w:rsidR="00FF0242">
        <w:fldChar w:fldCharType="begin"/>
      </w:r>
      <w:r w:rsidR="00192334">
        <w:instrText xml:space="preserve"> ADDIN ZOTERO_ITEM CSL_CITATION {"citationID":"4DnycdWQ","properties":{"formattedCitation":"(D\\uc0\\u305{}\\uc0\\u769{}ez, Alvarez and Barriocanal, 2002)","plainCitation":"(Dı́ez, Alvarez and Barriocanal, 2002)","noteIndex":0},"citationItems":[{"id":1854,"uris":["http://zotero.org/users/local/AB2owHL2/items/DUT2HFFP"],"itemData":{"id":1854,"type":"article-journal","abstract":"This paper reviews quality requirements of metallurgical coke for the blast furnace, coke structure, and relationships between structure and quality. Models of prediction of metallurgical coke quality parameters based on maceral composition and properties of coals being carbonized are summarized. Early prediction models of cold coke strength and the development of second-generation hot-strength prediction models based on parameters as coke reactivity index (CRI) and coke strength after reaction with carbon dioxide (CSR) are assessed. The review concludes with an assessment of current coke production and coal demand in the steelmaking industry, globally, followed by a preview of possible future alternative coking technologies.","collection-title":"Volume 50","container-title":"International Journal of Coal Geology","DOI":"10.1016/S0166-5162(02)00123-4","ISSN":"0166-5162","issue":"1","journalAbbreviation":"International Journal of Coal Geology","language":"en","page":"389-412","source":"ScienceDirect","title":"Coal for metallurgical coke production: predictions of coke quality and future requirements for cokemaking","title-short":"Coal for metallurgical coke production","URL":"https://www.sciencedirect.com/science/article/pii/S0166516202001234","volume":"50","author":[{"family":"Dı́ez","given":"M. A"},{"family":"Alvarez","given":"R"},{"family":"Barriocanal","given":"C"}],"accessed":{"date-parts":[["2022",7,31]]},"issued":{"date-parts":[["2002",5,1]]}}}],"schema":"https://github.com/citation-style-language/schema/raw/master/csl-citation.json"} </w:instrText>
      </w:r>
      <w:r w:rsidR="00FF0242">
        <w:fldChar w:fldCharType="separate"/>
      </w:r>
      <w:r w:rsidR="00192334" w:rsidRPr="00192334">
        <w:rPr>
          <w:rFonts w:ascii="Calibri" w:hAnsi="Calibri" w:cs="Calibri"/>
          <w:szCs w:val="24"/>
        </w:rPr>
        <w:t>(Dı́ez, Alvarez and Barriocanal, 2002)</w:t>
      </w:r>
      <w:r w:rsidR="00FF0242">
        <w:fldChar w:fldCharType="end"/>
      </w:r>
      <w:r w:rsidR="00FF0242">
        <w:t xml:space="preserve">. </w:t>
      </w:r>
    </w:p>
    <w:p w14:paraId="34BFEE0D" w14:textId="73169DFE" w:rsidR="00225BF7" w:rsidRDefault="00C861F2" w:rsidP="0053410E">
      <w:pPr>
        <w:spacing w:line="360" w:lineRule="auto"/>
        <w:jc w:val="both"/>
      </w:pPr>
      <w:r>
        <w:t xml:space="preserve">The particle size of the biochar can have a significant effect on the CSR/CRI values </w:t>
      </w:r>
      <w:r>
        <w:fldChar w:fldCharType="begin"/>
      </w:r>
      <w:r w:rsidR="000B49F5">
        <w:instrText xml:space="preserve"> ADDIN ZOTERO_ITEM CSL_CITATION {"citationID":"EIhOe64O","properties":{"formattedCitation":"(MacPhee {\\i{}et al.}, 2009; Ng {\\i{}et al.}, 2011; Suopaj\\uc0\\u228{}rvi {\\i{}et al.}, 2017; Ng, Giroux and Todoschuk, 2018)","plainCitation":"(MacPhee et al., 2009; Ng et al., 2011; Suopajärvi et al., 2017; Ng, Giroux and Todoschuk, 2018)","dontUpdate":true,"noteIndex":0},"citationItems":[{"id":425,"uris":["http://zotero.org/users/local/AB2owHL2/items/NQR2TCUN"],"itemData":{"id":425,"type":"article-journal","abstract":"Processes involving biomass oxidation are considered to be CO2 neutral since the replenishing of the biomass by normal growth will remove CO2 from the atmosphere. Thus the use of charcoal in the production of metallurgical coke, to be used as a reducing agent in the formation of iron, would be a strategy for the reduction of CO2 in the overall ironmaking process. This paper describes experimental attempts to produce industrial grade coke from coking coal blends to which are added amounts of charcoal up to 10%. Coking experiments were carried out partly in a 30 lb coke oven and partly in a sole heated oven. The influence of blend composition, heating rates and charcoal particle size was investigated. Cokes made using fine charcoal addition (−60 mesh) were considerably weaker than cokes made from the base blend. This is interpreted to be the effect of the ash constituents in the charcoal which, among other things, contains much higher calcium than the coals used. However, carefully sized fractions of coarse charcoal (−3/8 +1/4 in) produced much higher quality coke, possibly the result of a different dispersion of the charcoal mineral components.","container-title":"Fuel Processing Technology","DOI":"10.1016/j.fuproc.2008.07.007","ISSN":"0378-3820","issue":"1","journalAbbreviation":"Fuel Processing Technology","language":"en","page":"16-20","source":"ScienceDirect","title":"Possible CO2 mitigation via addition of charcoal to coking coal blends","URL":"https://www.sciencedirect.com/science/article/pii/S0378382008001926","volume":"90","author":[{"family":"MacPhee","given":"J. A."},{"family":"Gransden","given":"J. F."},{"family":"Giroux","given":"L."},{"family":"Price","given":"J. T."}],"accessed":{"date-parts":[["2021",2,8]]},"issued":{"date-parts":[["2009",1,1]]}},"label":"act"},{"id":1831,"uris":["http://zotero.org/users/local/AB2owHL2/items/HNWUJS22"],"itemData":{"id":1831,"type":"article-journal","abstract":"Incorporation of biomass-derived materials in coal blends for cokemaking is one of the strategies that could reduce the levels of greenhouse gas emissions produced by the steelmaking process. Bio-coke refers to the resultant coke prepared with the addition of charcoal to a coal blend. In this work, characteristics of bio-coke gasification by reacting with CO2 were examined using Thermal Gravimetric Analysis. Bio-coke samples with different levels of charcoal addition to a coal blend were prepared in the CanmetENERGY pilot-scale coke oven. These samples were heated in CO2 for identification of the minimum gasification temperature. Sample gasification rates at 1000°C were also measured. It was observed that mineral content plays an important role in the gasification characteristics of the bio-cokes. Those with low mineral content behave very similarly to the reference coke. Higher mineral content bio-coke reacts with CO2 at a lower temperature. It was found that the gasification characteristics of the bio-cokes are well described by the alkalinity index.","collection-title":"Selected Papers from the International Conference Coal Science and Technology 2009","container-title":"Fuel Processing Technology","DOI":"10.1016/j.fuproc.2010.08.005","ISSN":"0378-3820","issue":"4","journalAbbreviation":"Fuel Processing Technology","language":"en","page":"801-804","source":"ScienceDirect","title":"Reactivity of bio-coke with CO2","URL":"https://www.sciencedirect.com/science/article/pii/S0378382010002596","volume":"92","author":[{"family":"Ng","given":"K. W."},{"family":"MacPhee","given":"J. A."},{"family":"Giroux","given":"L."},{"family":"Todoschuk","given":"Ted"}],"accessed":{"date-parts":[["2022",7,25]]},"issued":{"date-parts":[["2011",4,1]]}},"label":"act"},{"id":1848,"uris":["http://zotero.org/users/local/AB2owHL2/items/TJJS49C9"],"itemData":{"id":1848,"type":"article-journal","abstract":"The aim of this research was to investigate the effects of charcoal and Kraft-lignin additions on the structure, cold compression strength, and reactivity of bio-cokes produced at the laboratory scale. Bio-cokes were prepared by adding charcoal and Kraft-lignin (2.5, 5.0, 7.5, and 10.0 wt %) to medium-volatile coal and coking the mixture with controlled heating rate (3.5 °C/min) up to 1200 °C. In addition, four particle sizes of charcoal were added with a 5 wt % addition rate to investigate the effect of particle size on the compression strength and reactivity. Thermogravimetric analysis was used to evaluate the pyrolysis behavior of coal and biomasses. Optical microscopy was used to investigate the interaction of coal and biomass components. It was found that by controlling the amount of charcoal and Kraft-lignin in the coal blend, the compression strength of the bio-cokes remains at an acceptable level compared to the reference coke without biomass addition. The cold compression strength of the charcoal bio-cokes was higher compared to Kraft-lignin bio-cokes. The reactivity of the bio-cokes with charcoal addition was markedly higher compared to reference coke and Kraft-lignin bio-cokes, mainly due to the differences in the physical properties of the parental biomass. By increasing the bulk density of the coal/biomass charge, the cold compression strength of the bio-cokes can be improved substantially.","container-title":"Energies","DOI":"10.3390/en10111850","issue":"11","language":"English","license":"Copyright MDPI AG 2017","note":"number-of-pages: 1850\npublisher-place: Basel, Switzerland\npublisher: MDPI AG","page":"1850","source":"ProQuest","title":"Effect of Charcoal and Kraft-Lignin Addition on Coke Compression Strength and Reactivity","URL":"http://www.proquest.com/docview/1977961676/abstract/7A4027D57DB7482CPQ/1","volume":"10","author":[{"family":"Suopajärvi","given":"Hannu"},{"family":"Dahl","given":"Essi"},{"family":"Kemppainen","given":"Antti"},{"family":"Gornostayev","given":"Stanislav"},{"family":"Koskela","given":"Aki"},{"family":"Fabritius","given":"Timo"}],"accessed":{"date-parts":[["2022",7,31]]},"issued":{"date-parts":[["2017"]]}},"label":"act"},{"id":1708,"uris":["http://zotero.org/users/local/AB2owHL2/items/A46DIRU7"],"itemData":{"id":1708,"type":"article-journal","container-title":"Ironmaking &amp; Steelmaking - Processes, Products and Applications","issue":"5","page":"406 - 411","title":"Full article: Value-in-use of biocarbon fuel for direct injection in blast furnace ironmaking","URL":"https://www-tandfonline-com.ezproxy.uwtsd.ac.uk/doi/full/10.1080/03019233.2018.1457837","volume":"45","author":[{"family":"Ng","given":"Ka Wing"},{"family":"Giroux","given":"Louis"},{"family":"Todoschuk","given":"Ted"}],"accessed":{"date-parts":[["2022",6,28]]},"issued":{"date-parts":[["2018"]]}},"label":"act"}],"schema":"https://github.com/citation-style-language/schema/raw/master/csl-citation.json"} </w:instrText>
      </w:r>
      <w:r>
        <w:fldChar w:fldCharType="separate"/>
      </w:r>
      <w:r w:rsidR="00192334" w:rsidRPr="00192334">
        <w:rPr>
          <w:rFonts w:ascii="Calibri" w:hAnsi="Calibri" w:cs="Calibri"/>
          <w:szCs w:val="24"/>
        </w:rPr>
        <w:t xml:space="preserve">(MacPhee </w:t>
      </w:r>
      <w:r w:rsidR="00192334" w:rsidRPr="00192334">
        <w:rPr>
          <w:rFonts w:ascii="Calibri" w:hAnsi="Calibri" w:cs="Calibri"/>
          <w:i/>
          <w:iCs/>
          <w:szCs w:val="24"/>
        </w:rPr>
        <w:t>et al.</w:t>
      </w:r>
      <w:r w:rsidR="00192334" w:rsidRPr="00192334">
        <w:rPr>
          <w:rFonts w:ascii="Calibri" w:hAnsi="Calibri" w:cs="Calibri"/>
          <w:szCs w:val="24"/>
        </w:rPr>
        <w:t xml:space="preserve">, 2009; Ng </w:t>
      </w:r>
      <w:r w:rsidR="00192334" w:rsidRPr="00192334">
        <w:rPr>
          <w:rFonts w:ascii="Calibri" w:hAnsi="Calibri" w:cs="Calibri"/>
          <w:i/>
          <w:iCs/>
          <w:szCs w:val="24"/>
        </w:rPr>
        <w:t>et al.</w:t>
      </w:r>
      <w:r w:rsidR="00192334" w:rsidRPr="00192334">
        <w:rPr>
          <w:rFonts w:ascii="Calibri" w:hAnsi="Calibri" w:cs="Calibri"/>
          <w:szCs w:val="24"/>
        </w:rPr>
        <w:t>, 2011; Ng, Giroux and Todoschuk, 2018)</w:t>
      </w:r>
      <w:r>
        <w:fldChar w:fldCharType="end"/>
      </w:r>
      <w:r w:rsidR="00FF0242">
        <w:t xml:space="preserve">  </w:t>
      </w:r>
      <w:r w:rsidR="00543A69">
        <w:t xml:space="preserve">biochar was introduced into the coal blend at 2 – 5% </w:t>
      </w:r>
      <w:r w:rsidR="00543A69">
        <w:fldChar w:fldCharType="begin"/>
      </w:r>
      <w:r w:rsidR="00192334">
        <w:instrText xml:space="preserve"> ADDIN ZOTERO_ITEM CSL_CITATION {"citationID":"NHppwURG","properties":{"formattedCitation":"(Ng {\\i{}et al.}, 2011; Ng, Giroux and Todoschuk, 2018)","plainCitation":"(Ng et al., 2011; Ng, Giroux and Todoschuk, 2018)","noteIndex":0},"citationItems":[{"id":1831,"uris":["http://zotero.org/users/local/AB2owHL2/items/HNWUJS22"],"itemData":{"id":1831,"type":"article-journal","abstract":"Incorporation of biomass-derived materials in coal blends for cokemaking is one of the strategies that could reduce the levels of greenhouse gas emissions produced by the steelmaking process. Bio-coke refers to the resultant coke prepared with the addition of charcoal to a coal blend. In this work, characteristics of bio-coke gasification by reacting with CO2 were examined using Thermal Gravimetric Analysis. Bio-coke samples with different levels of charcoal addition to a coal blend were prepared in the CanmetENERGY pilot-scale coke oven. These samples were heated in CO2 for identification of the minimum gasification temperature. Sample gasification rates at 1000°C were also measured. It was observed that mineral content plays an important role in the gasification characteristics of the bio-cokes. Those with low mineral content behave very similarly to the reference coke. Higher mineral content bio-coke reacts with CO2 at a lower temperature. It was found that the gasification characteristics of the bio-cokes are well described by the alkalinity index.","collection-title":"Selected Papers from the International Conference Coal Science and Technology 2009","container-title":"Fuel Processing Technology","DOI":"10.1016/j.fuproc.2010.08.005","ISSN":"0378-3820","issue":"4","journalAbbreviation":"Fuel Processing Technology","language":"en","page":"801-804","source":"ScienceDirect","title":"Reactivity of bio-coke with CO2","URL":"https://www.sciencedirect.com/science/article/pii/S0378382010002596","volume":"92","author":[{"family":"Ng","given":"K. W."},{"family":"MacPhee","given":"J. A."},{"family":"Giroux","given":"L."},{"family":"Todoschuk","given":"Ted"}],"accessed":{"date-parts":[["2022",7,25]]},"issued":{"date-parts":[["2011",4,1]]}},"label":"page"},{"id":1708,"uris":["http://zotero.org/users/local/AB2owHL2/items/A46DIRU7"],"itemData":{"id":1708,"type":"article-journal","container-title":"Ironmaking &amp; Steelmaking - Processes, Products and Applications","issue":"5","page":"406 - 411","title":"Full article: Value-in-use of biocarbon fuel for direct injection in blast furnace ironmaking","URL":"https://www-tandfonline-com.ezproxy.uwtsd.ac.uk/doi/full/10.1080/03019233.2018.1457837","volume":"45","author":[{"family":"Ng","given":"Ka Wing"},{"family":"Giroux","given":"Louis"},{"family":"Todoschuk","given":"Ted"}],"accessed":{"date-parts":[["2022",6,28]]},"issued":{"date-parts":[["2018"]]}},"label":"act"}],"schema":"https://github.com/citation-style-language/schema/raw/master/csl-citation.json"} </w:instrText>
      </w:r>
      <w:r w:rsidR="00543A69">
        <w:fldChar w:fldCharType="separate"/>
      </w:r>
      <w:r w:rsidR="00192334" w:rsidRPr="00192334">
        <w:rPr>
          <w:rFonts w:ascii="Calibri" w:hAnsi="Calibri" w:cs="Calibri"/>
          <w:szCs w:val="24"/>
        </w:rPr>
        <w:t xml:space="preserve">(Ng </w:t>
      </w:r>
      <w:r w:rsidR="00192334" w:rsidRPr="00192334">
        <w:rPr>
          <w:rFonts w:ascii="Calibri" w:hAnsi="Calibri" w:cs="Calibri"/>
          <w:i/>
          <w:iCs/>
          <w:szCs w:val="24"/>
        </w:rPr>
        <w:t>et al.</w:t>
      </w:r>
      <w:r w:rsidR="00192334" w:rsidRPr="00192334">
        <w:rPr>
          <w:rFonts w:ascii="Calibri" w:hAnsi="Calibri" w:cs="Calibri"/>
          <w:szCs w:val="24"/>
        </w:rPr>
        <w:t>, 2011; Ng, Giroux and Todoschuk, 2018)</w:t>
      </w:r>
      <w:r w:rsidR="00543A69">
        <w:fldChar w:fldCharType="end"/>
      </w:r>
      <w:r w:rsidR="00A3347E">
        <w:t>,</w:t>
      </w:r>
      <w:r w:rsidR="00543A69">
        <w:t xml:space="preserve"> 2 – 10</w:t>
      </w:r>
      <w:r w:rsidR="007D0970">
        <w:t>%</w:t>
      </w:r>
      <w:r w:rsidR="00543A69">
        <w:t xml:space="preserve"> </w:t>
      </w:r>
      <w:r w:rsidR="00543A69">
        <w:fldChar w:fldCharType="begin"/>
      </w:r>
      <w:r w:rsidR="00192334">
        <w:instrText xml:space="preserve"> ADDIN ZOTERO_ITEM CSL_CITATION {"citationID":"xC77BVSw","properties":{"formattedCitation":"(MacPhee {\\i{}et al.}, 2009)","plainCitation":"(MacPhee et al., 2009)","noteIndex":0},"citationItems":[{"id":425,"uris":["http://zotero.org/users/local/AB2owHL2/items/NQR2TCUN"],"itemData":{"id":425,"type":"article-journal","abstract":"Processes involving biomass oxidation are considered to be CO2 neutral since the replenishing of the biomass by normal growth will remove CO2 from the atmosphere. Thus the use of charcoal in the production of metallurgical coke, to be used as a reducing agent in the formation of iron, would be a strategy for the reduction of CO2 in the overall ironmaking process. This paper describes experimental attempts to produce industrial grade coke from coking coal blends to which are added amounts of charcoal up to 10%. Coking experiments were carried out partly in a 30 lb coke oven and partly in a sole heated oven. The influence of blend composition, heating rates and charcoal particle size was investigated. Cokes made using fine charcoal addition (−60 mesh) were considerably weaker than cokes made from the base blend. This is interpreted to be the effect of the ash constituents in the charcoal which, among other things, contains much higher calcium than the coals used. However, carefully sized fractions of coarse charcoal (−3/8 +1/4 in) produced much higher quality coke, possibly the result of a different dispersion of the charcoal mineral components.","container-title":"Fuel Processing Technology","DOI":"10.1016/j.fuproc.2008.07.007","ISSN":"0378-3820","issue":"1","journalAbbreviation":"Fuel Processing Technology","language":"en","page":"16-20","source":"ScienceDirect","title":"Possible CO2 mitigation via addition of charcoal to coking coal blends","URL":"https://www.sciencedirect.com/science/article/pii/S0378382008001926","volume":"90","author":[{"family":"MacPhee","given":"J. A."},{"family":"Gransden","given":"J. F."},{"family":"Giroux","given":"L."},{"family":"Price","given":"J. T."}],"accessed":{"date-parts":[["2021",2,8]]},"issued":{"date-parts":[["2009",1,1]]}}}],"schema":"https://github.com/citation-style-language/schema/raw/master/csl-citation.json"} </w:instrText>
      </w:r>
      <w:r w:rsidR="00543A69">
        <w:fldChar w:fldCharType="separate"/>
      </w:r>
      <w:r w:rsidR="00192334" w:rsidRPr="00192334">
        <w:rPr>
          <w:rFonts w:ascii="Calibri" w:hAnsi="Calibri" w:cs="Calibri"/>
          <w:szCs w:val="24"/>
        </w:rPr>
        <w:t xml:space="preserve">(MacPhee </w:t>
      </w:r>
      <w:r w:rsidR="00192334" w:rsidRPr="00192334">
        <w:rPr>
          <w:rFonts w:ascii="Calibri" w:hAnsi="Calibri" w:cs="Calibri"/>
          <w:i/>
          <w:iCs/>
          <w:szCs w:val="24"/>
        </w:rPr>
        <w:t>et al.</w:t>
      </w:r>
      <w:r w:rsidR="00192334" w:rsidRPr="00192334">
        <w:rPr>
          <w:rFonts w:ascii="Calibri" w:hAnsi="Calibri" w:cs="Calibri"/>
          <w:szCs w:val="24"/>
        </w:rPr>
        <w:t>, 2009)</w:t>
      </w:r>
      <w:r w:rsidR="00543A69">
        <w:fldChar w:fldCharType="end"/>
      </w:r>
      <w:r w:rsidR="00A3347E">
        <w:t>,</w:t>
      </w:r>
      <w:r w:rsidR="00543A69">
        <w:t xml:space="preserve"> </w:t>
      </w:r>
      <w:r w:rsidR="00A3347E">
        <w:t xml:space="preserve">3 - </w:t>
      </w:r>
      <w:r w:rsidR="00543A69">
        <w:t>8</w:t>
      </w:r>
      <w:r w:rsidR="00A3347E">
        <w:t xml:space="preserve">% </w:t>
      </w:r>
      <w:r w:rsidR="00A3347E">
        <w:fldChar w:fldCharType="begin"/>
      </w:r>
      <w:r w:rsidR="00192334">
        <w:instrText xml:space="preserve"> ADDIN ZOTERO_ITEM CSL_CITATION {"citationID":"Peh0zPkH","properties":{"formattedCitation":"(Flores {\\i{}et al.}, 2017)","plainCitation":"(Flores et al., 2017)","noteIndex":0},"citationItems":[{"id":1864,"uris":["http://zotero.org/users/local/AB2owHL2/items/DZLWAIGE"],"itemData":{"id":1864,"type":"article-journal","abstract":"The aim of this work was to investigate the effect that adding charcoal to a coking coal has upon the CO2 reactivity and structure of cokes produced at a laboratory scale. Charcoal was added to a vitrinite-rich medium volatile coking coal in three amounts (3, 5 and 8wt%) and in two different particle size ranges (below 1mm and between 3 and 4mm) and carbonization was conducted in a laboratorial scale coke oven. Thermogravimetric analyses were used to assess coke reactivity towards CO2 under isothermal and nonisothermal conditions. Morphological analyses via optical and scanning electron microscopies using samples from before and after gasification were also carried out. It was found that controlling the amount and the particle size of charcoal added, coke reactivity did not differ considerably from the reference coke, although the TGA indicated that the addition of charcoal has the tendency to increase coke reactivity. The main structural changes due charcoal addition were the increase of coke surface area and the decrease of its structural order, justifying the noticed increase of coke reactivity.","collection-title":"2015 International Conference on Coal Science and Technology and 2015 Australia-China Symposium on Energy","container-title":"Fuel Processing Technology","DOI":"10.1016/j.fuproc.2016.04.012","ISSN":"0378-3820","journalAbbreviation":"Fuel Processing Technology","language":"en","page":"97-105","source":"ScienceDirect","title":"Effect of charcoal blending with a vitrinite rich coking coal on coke reactivity","URL":"https://www.sciencedirect.com/science/article/pii/S0378382016301515","volume":"155","author":[{"family":"Flores","given":"Bruno D."},{"family":"Flores","given":"Ismael V."},{"family":"Guerrero","given":"Adrià"},{"family":"Orellana","given":"Daniel R."},{"family":"Pohlmann","given":"Juliana G."},{"family":"Diez","given":"Maria A."},{"family":"Borrego","given":"Angeles G."},{"family":"Osório","given":"Eduardo"},{"family":"Vilela","given":"Antônio C. F."}],"accessed":{"date-parts":[["2022",8,2]]},"issued":{"date-parts":[["2017",1,1]]}}}],"schema":"https://github.com/citation-style-language/schema/raw/master/csl-citation.json"} </w:instrText>
      </w:r>
      <w:r w:rsidR="00A3347E">
        <w:fldChar w:fldCharType="separate"/>
      </w:r>
      <w:r w:rsidR="00192334" w:rsidRPr="00192334">
        <w:rPr>
          <w:rFonts w:ascii="Calibri" w:hAnsi="Calibri" w:cs="Calibri"/>
          <w:szCs w:val="24"/>
        </w:rPr>
        <w:t xml:space="preserve">(Flores </w:t>
      </w:r>
      <w:r w:rsidR="00192334" w:rsidRPr="00192334">
        <w:rPr>
          <w:rFonts w:ascii="Calibri" w:hAnsi="Calibri" w:cs="Calibri"/>
          <w:i/>
          <w:iCs/>
          <w:szCs w:val="24"/>
        </w:rPr>
        <w:t>et al.</w:t>
      </w:r>
      <w:r w:rsidR="00192334" w:rsidRPr="00192334">
        <w:rPr>
          <w:rFonts w:ascii="Calibri" w:hAnsi="Calibri" w:cs="Calibri"/>
          <w:szCs w:val="24"/>
        </w:rPr>
        <w:t>, 2017)</w:t>
      </w:r>
      <w:r w:rsidR="00A3347E">
        <w:fldChar w:fldCharType="end"/>
      </w:r>
      <w:r w:rsidR="00A3347E">
        <w:t xml:space="preserve">, and 5 – 25% </w:t>
      </w:r>
      <w:r w:rsidR="00A3347E">
        <w:fldChar w:fldCharType="begin"/>
      </w:r>
      <w:r w:rsidR="00192334">
        <w:instrText xml:space="preserve"> ADDIN ZOTERO_ITEM CSL_CITATION {"citationID":"A8EZb86X","properties":{"formattedCitation":"(Yustanti {\\i{}et al.}, 2021)","plainCitation":"(Yustanti et al., 2021)","noteIndex":0},"citationItems":[{"id":1682,"uris":["http://zotero.org/users/local/AB2owHL2/items/95PWV9NK"],"itemData":{"id":1682,"type":"article-journal","abstract":"The steelmaking industry requires coke as a reducing agent, as an energy source, and for its ability to hold slag in a blast furnace. Coking coal as raw coke material is very limited. Studying the use of biomass as a mixture of coking coal in the synthesis of biocoke is necessary to reduce greenhouse gas coal emissions. This research focuses on biomass and heating temperature through the coal blending method to produce biocoke with optimal mechanical properties for the blast-furnace standard. The heating temperature of biomass to biochar was evaluated at 400, 500, and 600 °C. The blending of coking coal with biochar was in the compositions of 95:5, 85:15, and 75:25 wt.%. A compacting force of 20 MPa was employed to produce biocoke that was 50 mm in diameter and 27 mm thick using a hot cylinder dye. The green sample was heated at 1100 °C for 4 h, followed by quenching with a water medium, resulting in dense samples. Increasing heating temperature is generally directly proportional to an increase in fixed carbon and calorific value. Biocoke that meets several blast-furnace criteria is a coal mixture with coconut-shell charcoal of 85:15 wt.%. Carbonization at 500 °C, yielding fixed carbon, calorific value, and compressive strength, was achieved at 89.02 ± 0.11%; 29.681 ± 0.46 MJ/kg, and 6.53 ± 0.4 MPa, respectively. This product meets several criteria for blast-furnace applications, with CRI 29.8 and CSR 55.1.","container-title":"Energies","DOI":"https://doi.org/10.3390/en14206570","issue":"20","language":"English","license":"© 2021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6570\npublisher-place: Basel, Switzerland\npublisher: MDPI AG","page":"6570","source":"ProQuest","title":"Types and Composition of Biomass in Biocoke Synthesis with the Coal Blending Method","URL":"https://www.proquest.com/docview/2584396803/abstract/8B2D7BDE04974CBCPQ/1","volume":"14","author":[{"family":"Yustanti","given":"Erlina"},{"family":"Wardhono","given":"Endarto Yudo"},{"family":"Anggoro","given":"Tri Mursito"},{"family":"Alhamidi","given":"Ali"}],"accessed":{"date-parts":[["2022",6,27]]},"issued":{"date-parts":[["2021"]]}}}],"schema":"https://github.com/citation-style-language/schema/raw/master/csl-citation.json"} </w:instrText>
      </w:r>
      <w:r w:rsidR="00A3347E">
        <w:fldChar w:fldCharType="separate"/>
      </w:r>
      <w:r w:rsidR="00192334" w:rsidRPr="00192334">
        <w:rPr>
          <w:rFonts w:ascii="Calibri" w:hAnsi="Calibri" w:cs="Calibri"/>
          <w:szCs w:val="24"/>
        </w:rPr>
        <w:t xml:space="preserve">(Yustanti </w:t>
      </w:r>
      <w:r w:rsidR="00192334" w:rsidRPr="00192334">
        <w:rPr>
          <w:rFonts w:ascii="Calibri" w:hAnsi="Calibri" w:cs="Calibri"/>
          <w:i/>
          <w:iCs/>
          <w:szCs w:val="24"/>
        </w:rPr>
        <w:t>et al.</w:t>
      </w:r>
      <w:r w:rsidR="00192334" w:rsidRPr="00192334">
        <w:rPr>
          <w:rFonts w:ascii="Calibri" w:hAnsi="Calibri" w:cs="Calibri"/>
          <w:szCs w:val="24"/>
        </w:rPr>
        <w:t>, 2021)</w:t>
      </w:r>
      <w:r w:rsidR="00A3347E">
        <w:fldChar w:fldCharType="end"/>
      </w:r>
      <w:r w:rsidR="00A3347E">
        <w:t xml:space="preserve">. They found that coke reactivity (CRI) increased with </w:t>
      </w:r>
      <w:r w:rsidR="00A3347E">
        <w:lastRenderedPageBreak/>
        <w:t>the addition of biochar</w:t>
      </w:r>
      <w:r w:rsidR="00C42F48">
        <w:t>,</w:t>
      </w:r>
      <w:r w:rsidR="00A3347E">
        <w:t xml:space="preserve"> </w:t>
      </w:r>
      <w:r w:rsidR="00C42F48">
        <w:t>t</w:t>
      </w:r>
      <w:r w:rsidR="00A3347E">
        <w:t xml:space="preserve">he CRI increase </w:t>
      </w:r>
      <w:r w:rsidR="002831DC">
        <w:t>i</w:t>
      </w:r>
      <w:r w:rsidR="00A3347E">
        <w:t>s more pronounced when the charcoal is fine</w:t>
      </w:r>
      <w:r w:rsidR="0053410E">
        <w:t>, this is due to the dispersion of calcium oxide (</w:t>
      </w:r>
      <w:proofErr w:type="spellStart"/>
      <w:r w:rsidR="0053410E">
        <w:t>CaO</w:t>
      </w:r>
      <w:proofErr w:type="spellEnd"/>
      <w:r w:rsidR="0053410E">
        <w:t>) within the blend, which acts as a catalyst, promoting the carbon and CO</w:t>
      </w:r>
      <w:r w:rsidR="0053410E" w:rsidRPr="0053410E">
        <w:rPr>
          <w:vertAlign w:val="subscript"/>
        </w:rPr>
        <w:t>2</w:t>
      </w:r>
      <w:r w:rsidR="0053410E">
        <w:t xml:space="preserve"> reaction. This reaction is less defined as the particle size of charcoal used increased</w:t>
      </w:r>
      <w:r w:rsidR="002831DC">
        <w:t xml:space="preserve">. </w:t>
      </w:r>
      <w:r w:rsidR="001A4D93">
        <w:t>R</w:t>
      </w:r>
      <w:r w:rsidR="002831DC">
        <w:t xml:space="preserve">eactive coke is favourable in the BF, as it improves the combustion process in the BF raceway and can equal or improve </w:t>
      </w:r>
      <w:r w:rsidR="00C42F48">
        <w:t xml:space="preserve">on the performance of coal </w:t>
      </w:r>
      <w:r w:rsidR="00C42F48">
        <w:fldChar w:fldCharType="begin"/>
      </w:r>
      <w:r w:rsidR="0032252B">
        <w:instrText xml:space="preserve"> ADDIN ZOTERO_ITEM CSL_CITATION {"citationID":"4SsVOllS","properties":{"formattedCitation":"(Babich, Senk and Fernandez, 2010; Mathieson {\\i{}et al.}, 2011)","plainCitation":"(Babich, Senk and Fernandez, 2010; Mathieson et al., 2011)","noteIndex":0},"citationItems":[{"id":1828,"uris":["http://zotero.org/users/local/AB2owHL2/items/ERJ5VU9V"],"itemData":{"id":1828,"type":"article-journal","abstract":"Nowadays the use of charcoal in metallurgy is intimately linked to small blast furnaces in Brazil. Due to the challenge for CO2 mitigation, interest for charcoal use as a renewable energy source is rising. In the scope of European efforts to mitigate carbon dioxide emissions in the steel industry in the post-Kyoto period, the use of charcoal in cokemaking and ironmaking has been investigated. This paper presents results of an experimental study on charcoal behaviour under the blast furnace simulating conditions performed at the Department of Ferrous Metallurgy, RWTH Aachen University and at the National Centre for Metallurgical Investigations, Madrid. Conditions in the raceway and in the furnace shaft were simulated using thermo-analytical, laboratory and pilot facilities. Charcoal samples were produced in two furnaces for pyrolysis from different wood types at various carbonisation conditions. Furthermore technological and ecological assessment of blast furnace process when injecting different types of charcoal was performed using a mathematical model. All the experiments and calculations were also performed with reference mineral coals for injection. Conversion efficiency of all the tested charcoals is better or comparable with coals. Change in coke rate, furnace productivity and further operation parameters when replacing pulverised coal with charcoal depends on charcoal ash content and composition.","container-title":"ISIJ International","DOI":"10.2355/isijinternational.50.81","issue":"1","page":"81-88","source":"J-Stage","title":"Charcoal Behaviour by Its Injection into the Modern Blast Furnace","volume":"50","author":[{"family":"Babich","given":"Alexander"},{"family":"Senk","given":"Dieter"},{"family":"Fernandez","given":"Miguel"}],"issued":{"date-parts":[["2010"]]}},"label":"page"},{"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label":"act"}],"schema":"https://github.com/citation-style-language/schema/raw/master/csl-citation.json"} </w:instrText>
      </w:r>
      <w:r w:rsidR="00C42F48">
        <w:fldChar w:fldCharType="separate"/>
      </w:r>
      <w:r w:rsidR="00192334" w:rsidRPr="00192334">
        <w:rPr>
          <w:rFonts w:ascii="Calibri" w:hAnsi="Calibri" w:cs="Calibri"/>
          <w:szCs w:val="24"/>
        </w:rPr>
        <w:t xml:space="preserve">(Babich, Senk and Fernandez, 2010; Mathieson </w:t>
      </w:r>
      <w:r w:rsidR="00192334" w:rsidRPr="00192334">
        <w:rPr>
          <w:rFonts w:ascii="Calibri" w:hAnsi="Calibri" w:cs="Calibri"/>
          <w:i/>
          <w:iCs/>
          <w:szCs w:val="24"/>
        </w:rPr>
        <w:t>et al.</w:t>
      </w:r>
      <w:r w:rsidR="00192334" w:rsidRPr="00192334">
        <w:rPr>
          <w:rFonts w:ascii="Calibri" w:hAnsi="Calibri" w:cs="Calibri"/>
          <w:szCs w:val="24"/>
        </w:rPr>
        <w:t>, 2011)</w:t>
      </w:r>
      <w:r w:rsidR="00C42F48">
        <w:fldChar w:fldCharType="end"/>
      </w:r>
      <w:r w:rsidR="00C42F48">
        <w:t>, however, too high reactivity can mean a decrease in the CSR, this can lead to the generation of fines</w:t>
      </w:r>
      <w:r w:rsidR="00124E06">
        <w:t xml:space="preserve"> (particles &lt;10mm)</w:t>
      </w:r>
      <w:r w:rsidR="00C42F48">
        <w:t xml:space="preserve">, which </w:t>
      </w:r>
      <w:r w:rsidR="001A4D93">
        <w:t>can result in BF permeability issues</w:t>
      </w:r>
      <w:r w:rsidR="00C42F48">
        <w:t xml:space="preserve">. The addition of course charcoal also </w:t>
      </w:r>
      <w:r w:rsidR="00117DA4">
        <w:t>led</w:t>
      </w:r>
      <w:r w:rsidR="00C42F48">
        <w:t xml:space="preserve"> to the </w:t>
      </w:r>
      <w:r w:rsidR="00117DA4">
        <w:t>impairment</w:t>
      </w:r>
      <w:r w:rsidR="00C42F48">
        <w:t xml:space="preserve"> </w:t>
      </w:r>
      <w:r w:rsidR="00117DA4">
        <w:t>of the</w:t>
      </w:r>
      <w:r w:rsidR="00E24369">
        <w:t xml:space="preserve"> biocoke’s</w:t>
      </w:r>
      <w:r w:rsidR="00117DA4">
        <w:t xml:space="preserve"> cold mechanical strength</w:t>
      </w:r>
      <w:r w:rsidR="00E24369">
        <w:t>, this measure relates to the behaviour of the coke during handling on its way to and during charging into the BF. Low cold strength could lead to fracture of the coke and the creation of fines. Course biochar affected the cold strength considerably</w:t>
      </w:r>
      <w:r w:rsidR="0086711E">
        <w:t>,</w:t>
      </w:r>
      <w:r w:rsidR="00E24369">
        <w:t xml:space="preserve"> while the effect was far less pronounced when fine biochar was added</w:t>
      </w:r>
      <w:r w:rsidR="00AE274C">
        <w:t xml:space="preserve"> </w:t>
      </w:r>
      <w:r w:rsidR="00AE274C">
        <w:fldChar w:fldCharType="begin"/>
      </w:r>
      <w:r w:rsidR="000B49F5">
        <w:instrText xml:space="preserve"> ADDIN ZOTERO_ITEM CSL_CITATION {"citationID":"TaKlfP6N","properties":{"formattedCitation":"(MacPhee {\\i{}et al.}, 2009; Ng {\\i{}et al.}, 2011; Flores {\\i{}et al.}, 2017; Suopaj\\uc0\\u228{}rvi {\\i{}et al.}, 2017)","plainCitation":"(MacPhee et al., 2009; Ng et al., 2011; Flores et al., 2017; Suopajärvi et al., 2017)","dontUpdate":true,"noteIndex":0},"citationItems":[{"id":425,"uris":["http://zotero.org/users/local/AB2owHL2/items/NQR2TCUN"],"itemData":{"id":425,"type":"article-journal","abstract":"Processes involving biomass oxidation are considered to be CO2 neutral since the replenishing of the biomass by normal growth will remove CO2 from the atmosphere. Thus the use of charcoal in the production of metallurgical coke, to be used as a reducing agent in the formation of iron, would be a strategy for the reduction of CO2 in the overall ironmaking process. This paper describes experimental attempts to produce industrial grade coke from coking coal blends to which are added amounts of charcoal up to 10%. Coking experiments were carried out partly in a 30 lb coke oven and partly in a sole heated oven. The influence of blend composition, heating rates and charcoal particle size was investigated. Cokes made using fine charcoal addition (−60 mesh) were considerably weaker than cokes made from the base blend. This is interpreted to be the effect of the ash constituents in the charcoal which, among other things, contains much higher calcium than the coals used. However, carefully sized fractions of coarse charcoal (−3/8 +1/4 in) produced much higher quality coke, possibly the result of a different dispersion of the charcoal mineral components.","container-title":"Fuel Processing Technology","DOI":"10.1016/j.fuproc.2008.07.007","ISSN":"0378-3820","issue":"1","journalAbbreviation":"Fuel Processing Technology","language":"en","page":"16-20","source":"ScienceDirect","title":"Possible CO2 mitigation via addition of charcoal to coking coal blends","URL":"https://www.sciencedirect.com/science/article/pii/S0378382008001926","volume":"90","author":[{"family":"MacPhee","given":"J. A."},{"family":"Gransden","given":"J. F."},{"family":"Giroux","given":"L."},{"family":"Price","given":"J. T."}],"accessed":{"date-parts":[["2021",2,8]]},"issued":{"date-parts":[["2009",1,1]]}},"label":"act"},{"id":1831,"uris":["http://zotero.org/users/local/AB2owHL2/items/HNWUJS22"],"itemData":{"id":1831,"type":"article-journal","abstract":"Incorporation of biomass-derived materials in coal blends for cokemaking is one of the strategies that could reduce the levels of greenhouse gas emissions produced by the steelmaking process. Bio-coke refers to the resultant coke prepared with the addition of charcoal to a coal blend. In this work, characteristics of bio-coke gasification by reacting with CO2 were examined using Thermal Gravimetric Analysis. Bio-coke samples with different levels of charcoal addition to a coal blend were prepared in the CanmetENERGY pilot-scale coke oven. These samples were heated in CO2 for identification of the minimum gasification temperature. Sample gasification rates at 1000°C were also measured. It was observed that mineral content plays an important role in the gasification characteristics of the bio-cokes. Those with low mineral content behave very similarly to the reference coke. Higher mineral content bio-coke reacts with CO2 at a lower temperature. It was found that the gasification characteristics of the bio-cokes are well described by the alkalinity index.","collection-title":"Selected Papers from the International Conference Coal Science and Technology 2009","container-title":"Fuel Processing Technology","DOI":"10.1016/j.fuproc.2010.08.005","ISSN":"0378-3820","issue":"4","journalAbbreviation":"Fuel Processing Technology","language":"en","page":"801-804","source":"ScienceDirect","title":"Reactivity of bio-coke with CO2","URL":"https://www.sciencedirect.com/science/article/pii/S0378382010002596","volume":"92","author":[{"family":"Ng","given":"K. W."},{"family":"MacPhee","given":"J. A."},{"family":"Giroux","given":"L."},{"family":"Todoschuk","given":"Ted"}],"accessed":{"date-parts":[["2022",7,25]]},"issued":{"date-parts":[["2011",4,1]]}},"label":"page"},{"id":1864,"uris":["http://zotero.org/users/local/AB2owHL2/items/DZLWAIGE"],"itemData":{"id":1864,"type":"article-journal","abstract":"The aim of this work was to investigate the effect that adding charcoal to a coking coal has upon the CO2 reactivity and structure of cokes produced at a laboratory scale. Charcoal was added to a vitrinite-rich medium volatile coking coal in three amounts (3, 5 and 8wt%) and in two different particle size ranges (below 1mm and between 3 and 4mm) and carbonization was conducted in a laboratorial scale coke oven. Thermogravimetric analyses were used to assess coke reactivity towards CO2 under isothermal and nonisothermal conditions. Morphological analyses via optical and scanning electron microscopies using samples from before and after gasification were also carried out. It was found that controlling the amount and the particle size of charcoal added, coke reactivity did not differ considerably from the reference coke, although the TGA indicated that the addition of charcoal has the tendency to increase coke reactivity. The main structural changes due charcoal addition were the increase of coke surface area and the decrease of its structural order, justifying the noticed increase of coke reactivity.","collection-title":"2015 International Conference on Coal Science and Technology and 2015 Australia-China Symposium on Energy","container-title":"Fuel Processing Technology","DOI":"10.1016/j.fuproc.2016.04.012","ISSN":"0378-3820","journalAbbreviation":"Fuel Processing Technology","language":"en","page":"97-105","source":"ScienceDirect","title":"Effect of charcoal blending with a vitrinite rich coking coal on coke reactivity","URL":"https://www.sciencedirect.com/science/article/pii/S0378382016301515","volume":"155","author":[{"family":"Flores","given":"Bruno D."},{"family":"Flores","given":"Ismael V."},{"family":"Guerrero","given":"Adrià"},{"family":"Orellana","given":"Daniel R."},{"family":"Pohlmann","given":"Juliana G."},{"family":"Diez","given":"Maria A."},{"family":"Borrego","given":"Angeles G."},{"family":"Osório","given":"Eduardo"},{"family":"Vilela","given":"Antônio C. F."}],"accessed":{"date-parts":[["2022",8,2]]},"issued":{"date-parts":[["2017",1,1]]}},"label":"act"},{"id":1848,"uris":["http://zotero.org/users/local/AB2owHL2/items/TJJS49C9"],"itemData":{"id":1848,"type":"article-journal","abstract":"The aim of this research was to investigate the effects of charcoal and Kraft-lignin additions on the structure, cold compression strength, and reactivity of bio-cokes produced at the laboratory scale. Bio-cokes were prepared by adding charcoal and Kraft-lignin (2.5, 5.0, 7.5, and 10.0 wt %) to medium-volatile coal and coking the mixture with controlled heating rate (3.5 °C/min) up to 1200 °C. In addition, four particle sizes of charcoal were added with a 5 wt % addition rate to investigate the effect of particle size on the compression strength and reactivity. Thermogravimetric analysis was used to evaluate the pyrolysis behavior of coal and biomasses. Optical microscopy was used to investigate the interaction of coal and biomass components. It was found that by controlling the amount of charcoal and Kraft-lignin in the coal blend, the compression strength of the bio-cokes remains at an acceptable level compared to the reference coke without biomass addition. The cold compression strength of the charcoal bio-cokes was higher compared to Kraft-lignin bio-cokes. The reactivity of the bio-cokes with charcoal addition was markedly higher compared to reference coke and Kraft-lignin bio-cokes, mainly due to the differences in the physical properties of the parental biomass. By increasing the bulk density of the coal/biomass charge, the cold compression strength of the bio-cokes can be improved substantially.","container-title":"Energies","DOI":"10.3390/en10111850","issue":"11","language":"English","license":"Copyright MDPI AG 2017","note":"number-of-pages: 1850\npublisher-place: Basel, Switzerland\npublisher: MDPI AG","page":"1850","source":"ProQuest","title":"Effect of Charcoal and Kraft-Lignin Addition on Coke Compression Strength and Reactivity","URL":"http://www.proquest.com/docview/1977961676/abstract/7A4027D57DB7482CPQ/1","volume":"10","author":[{"family":"Suopajärvi","given":"Hannu"},{"family":"Dahl","given":"Essi"},{"family":"Kemppainen","given":"Antti"},{"family":"Gornostayev","given":"Stanislav"},{"family":"Koskela","given":"Aki"},{"family":"Fabritius","given":"Timo"}],"accessed":{"date-parts":[["2022",7,31]]},"issued":{"date-parts":[["2017"]]}},"label":"act"}],"schema":"https://github.com/citation-style-language/schema/raw/master/csl-citation.json"} </w:instrText>
      </w:r>
      <w:r w:rsidR="00AE274C">
        <w:fldChar w:fldCharType="separate"/>
      </w:r>
      <w:r w:rsidR="00192334" w:rsidRPr="00192334">
        <w:rPr>
          <w:rFonts w:ascii="Calibri" w:hAnsi="Calibri" w:cs="Calibri"/>
          <w:szCs w:val="24"/>
        </w:rPr>
        <w:t xml:space="preserve">(MacPhee </w:t>
      </w:r>
      <w:r w:rsidR="00192334" w:rsidRPr="00192334">
        <w:rPr>
          <w:rFonts w:ascii="Calibri" w:hAnsi="Calibri" w:cs="Calibri"/>
          <w:i/>
          <w:iCs/>
          <w:szCs w:val="24"/>
        </w:rPr>
        <w:t>et al.</w:t>
      </w:r>
      <w:r w:rsidR="00192334" w:rsidRPr="00192334">
        <w:rPr>
          <w:rFonts w:ascii="Calibri" w:hAnsi="Calibri" w:cs="Calibri"/>
          <w:szCs w:val="24"/>
        </w:rPr>
        <w:t xml:space="preserve">, 2009; Ng </w:t>
      </w:r>
      <w:r w:rsidR="00192334" w:rsidRPr="00192334">
        <w:rPr>
          <w:rFonts w:ascii="Calibri" w:hAnsi="Calibri" w:cs="Calibri"/>
          <w:i/>
          <w:iCs/>
          <w:szCs w:val="24"/>
        </w:rPr>
        <w:t>et al.</w:t>
      </w:r>
      <w:r w:rsidR="00192334" w:rsidRPr="00192334">
        <w:rPr>
          <w:rFonts w:ascii="Calibri" w:hAnsi="Calibri" w:cs="Calibri"/>
          <w:szCs w:val="24"/>
        </w:rPr>
        <w:t xml:space="preserve">, 2011; Flores </w:t>
      </w:r>
      <w:r w:rsidR="00192334" w:rsidRPr="00192334">
        <w:rPr>
          <w:rFonts w:ascii="Calibri" w:hAnsi="Calibri" w:cs="Calibri"/>
          <w:i/>
          <w:iCs/>
          <w:szCs w:val="24"/>
        </w:rPr>
        <w:t>et al.</w:t>
      </w:r>
      <w:r w:rsidR="00192334" w:rsidRPr="00192334">
        <w:rPr>
          <w:rFonts w:ascii="Calibri" w:hAnsi="Calibri" w:cs="Calibri"/>
          <w:szCs w:val="24"/>
        </w:rPr>
        <w:t>, 2017</w:t>
      </w:r>
      <w:r w:rsidR="00DB3691">
        <w:rPr>
          <w:rFonts w:ascii="Calibri" w:hAnsi="Calibri" w:cs="Calibri"/>
          <w:szCs w:val="24"/>
        </w:rPr>
        <w:t>)</w:t>
      </w:r>
      <w:r w:rsidR="00AE274C">
        <w:fldChar w:fldCharType="end"/>
      </w:r>
      <w:r w:rsidR="00E24369">
        <w:t>.</w:t>
      </w:r>
      <w:r w:rsidR="001A4D93">
        <w:t xml:space="preserve"> </w:t>
      </w:r>
      <w:r w:rsidR="000540C3">
        <w:t xml:space="preserve"> </w:t>
      </w:r>
      <w:r w:rsidR="0070004F">
        <w:t xml:space="preserve">According to </w:t>
      </w:r>
      <w:r w:rsidR="0070004F">
        <w:fldChar w:fldCharType="begin"/>
      </w:r>
      <w:r w:rsidR="00192334">
        <w:instrText xml:space="preserve"> ADDIN ZOTERO_ITEM CSL_CITATION {"citationID":"hzy2nEAL","properties":{"formattedCitation":"(Nomura and Kato, 2006)","plainCitation":"(Nomura and Kato, 2006)","noteIndex":0},"citationItems":[{"id":1869,"uris":["http://zotero.org/users/local/AB2owHL2/items/4FIXYED3"],"itemData":{"id":1869,"type":"article-journal","abstract":"In the recycling process of waste plastics using coke ovens, coals and added plastics are carbonized and changed into coke, tar, oil and coke oven gas in a coke oven chamber. In this study, the effect of added plastic size on coke quality and the effect of plastic addition on coking pressure was investigated. In the case of a plastic addition rate of 2%, the coke strength (DI15150) reached a minimum at the particle size of 10mm for polyethylene (PE) and 3mm for polystyrene (PS). The mechanism was attributed to the weak coke structure formed on the interface between plastic and coal. The result indicates that large or small plastic particles are favorable in order to add waste plastics to blended coals for coke making without affecting coke strength (DI15150). Furthermore, it was also shown that a 1% addition of large size agglomerated waste plastics to blended coals did not increase coking pressure. Based on this fundamental study, and considering the ease of handling plastics, we have determined that the size of waste plastic used in a commercial-scale recycling process of waste plastics using coke ovens is about 25mm. Nippon Steel Corporation started to operate a waste plastic recycling process using coke ovens at Nagoya and Kimitsu works in 2000 and at Yawata and Muroran works in 2002. Now the total capacity is 120,000tons per year as of 2003 and this process is operating smoothly.","container-title":"Fuel","DOI":"10.1016/j.fuel.2005.05.019","ISSN":"0016-2361","issue":"1","journalAbbreviation":"Fuel","language":"en","page":"47-56","source":"ScienceDirect","title":"The effect of plastic size on coke quality and coking pressure in the co-carbonization of coal/plastic in coke oven","URL":"https://www.sciencedirect.com/science/article/pii/S0016236105001997","volume":"85","author":[{"family":"Nomura","given":"Seiji"},{"family":"Kato","given":"Kenji"}],"accessed":{"date-parts":[["2022",8,2]]},"issued":{"date-parts":[["2006",1,1]]}}}],"schema":"https://github.com/citation-style-language/schema/raw/master/csl-citation.json"} </w:instrText>
      </w:r>
      <w:r w:rsidR="0070004F">
        <w:fldChar w:fldCharType="separate"/>
      </w:r>
      <w:r w:rsidR="00192334" w:rsidRPr="00192334">
        <w:rPr>
          <w:rFonts w:ascii="Calibri" w:hAnsi="Calibri" w:cs="Calibri"/>
        </w:rPr>
        <w:t>(Nomura and Kato, 2006)</w:t>
      </w:r>
      <w:r w:rsidR="0070004F">
        <w:fldChar w:fldCharType="end"/>
      </w:r>
      <w:r w:rsidR="0070004F">
        <w:t xml:space="preserve"> the lower limit of biomass size was found to be 3 – 10mm.</w:t>
      </w:r>
    </w:p>
    <w:p w14:paraId="0A0ACC38" w14:textId="7F5D4B08" w:rsidR="009323CA" w:rsidRDefault="000540C3" w:rsidP="00E84F9C">
      <w:pPr>
        <w:spacing w:line="360" w:lineRule="auto"/>
        <w:jc w:val="both"/>
      </w:pPr>
      <w:r>
        <w:t>Due to the negative effects of bio</w:t>
      </w:r>
      <w:r w:rsidR="00C20102">
        <w:t>mass addition</w:t>
      </w:r>
      <w:r w:rsidR="001D256A">
        <w:t xml:space="preserve"> into the coking coal blend,</w:t>
      </w:r>
      <w:r w:rsidR="00C20102">
        <w:t xml:space="preserve"> the amount that can be added is limited to 5%</w:t>
      </w:r>
      <w:r w:rsidR="005A5FEB">
        <w:t xml:space="preserve"> </w:t>
      </w:r>
      <w:r w:rsidR="00BB3C03">
        <w:t>wt.</w:t>
      </w:r>
      <w:r w:rsidR="001D256A">
        <w:t>,</w:t>
      </w:r>
      <w:r w:rsidR="00C20102">
        <w:t xml:space="preserve"> while still maintaining acceptable coke quality</w:t>
      </w:r>
      <w:r w:rsidR="0032113B">
        <w:t xml:space="preserve"> </w:t>
      </w:r>
      <w:r w:rsidR="0032113B">
        <w:fldChar w:fldCharType="begin"/>
      </w:r>
      <w:r w:rsidR="00192334">
        <w:instrText xml:space="preserve"> ADDIN ZOTERO_ITEM CSL_CITATION {"citationID":"IV7S7OSw","properties":{"formattedCitation":"(MacPhee {\\i{}et al.}, 2009)","plainCitation":"(MacPhee et al., 2009)","noteIndex":0},"citationItems":[{"id":425,"uris":["http://zotero.org/users/local/AB2owHL2/items/NQR2TCUN"],"itemData":{"id":425,"type":"article-journal","abstract":"Processes involving biomass oxidation are considered to be CO2 neutral since the replenishing of the biomass by normal growth will remove CO2 from the atmosphere. Thus the use of charcoal in the production of metallurgical coke, to be used as a reducing agent in the formation of iron, would be a strategy for the reduction of CO2 in the overall ironmaking process. This paper describes experimental attempts to produce industrial grade coke from coking coal blends to which are added amounts of charcoal up to 10%. Coking experiments were carried out partly in a 30 lb coke oven and partly in a sole heated oven. The influence of blend composition, heating rates and charcoal particle size was investigated. Cokes made using fine charcoal addition (−60 mesh) were considerably weaker than cokes made from the base blend. This is interpreted to be the effect of the ash constituents in the charcoal which, among other things, contains much higher calcium than the coals used. However, carefully sized fractions of coarse charcoal (−3/8 +1/4 in) produced much higher quality coke, possibly the result of a different dispersion of the charcoal mineral components.","container-title":"Fuel Processing Technology","DOI":"10.1016/j.fuproc.2008.07.007","ISSN":"0378-3820","issue":"1","journalAbbreviation":"Fuel Processing Technology","language":"en","page":"16-20","source":"ScienceDirect","title":"Possible CO2 mitigation via addition of charcoal to coking coal blends","URL":"https://www.sciencedirect.com/science/article/pii/S0378382008001926","volume":"90","author":[{"family":"MacPhee","given":"J. A."},{"family":"Gransden","given":"J. F."},{"family":"Giroux","given":"L."},{"family":"Price","given":"J. T."}],"accessed":{"date-parts":[["2021",2,8]]},"issued":{"date-parts":[["2009",1,1]]}}}],"schema":"https://github.com/citation-style-language/schema/raw/master/csl-citation.json"} </w:instrText>
      </w:r>
      <w:r w:rsidR="0032113B">
        <w:fldChar w:fldCharType="separate"/>
      </w:r>
      <w:r w:rsidR="00192334" w:rsidRPr="00192334">
        <w:rPr>
          <w:rFonts w:ascii="Calibri" w:hAnsi="Calibri" w:cs="Calibri"/>
          <w:szCs w:val="24"/>
        </w:rPr>
        <w:t xml:space="preserve">(MacPhee </w:t>
      </w:r>
      <w:r w:rsidR="00192334" w:rsidRPr="00192334">
        <w:rPr>
          <w:rFonts w:ascii="Calibri" w:hAnsi="Calibri" w:cs="Calibri"/>
          <w:i/>
          <w:iCs/>
          <w:szCs w:val="24"/>
        </w:rPr>
        <w:t>et al.</w:t>
      </w:r>
      <w:r w:rsidR="00192334" w:rsidRPr="00192334">
        <w:rPr>
          <w:rFonts w:ascii="Calibri" w:hAnsi="Calibri" w:cs="Calibri"/>
          <w:szCs w:val="24"/>
        </w:rPr>
        <w:t>, 2009)</w:t>
      </w:r>
      <w:r w:rsidR="0032113B">
        <w:fldChar w:fldCharType="end"/>
      </w:r>
      <w:r w:rsidR="00C20102">
        <w:t>.</w:t>
      </w:r>
      <w:r w:rsidR="00E84F9C">
        <w:t xml:space="preserve"> </w:t>
      </w:r>
      <w:r w:rsidR="00E84F9C">
        <w:fldChar w:fldCharType="begin"/>
      </w:r>
      <w:r w:rsidR="00192334">
        <w:instrText xml:space="preserve"> ADDIN ZOTERO_ITEM CSL_CITATION {"citationID":"MGcwuLam","properties":{"formattedCitation":"(Montiano, D\\uc0\\u237{}az-Faes and Barriocanal, 2014)","plainCitation":"(Montiano, Díaz-Faes and Barriocanal, 2014)","noteIndex":0},"citationItems":[{"id":1677,"uris":["http://zotero.org/users/local/AB2owHL2/items/FFIS7JYQ"],"itemData":{"id":1677,"type":"article-journal","abstract":"In this work partial briquetting is employed as a means of biomass densification to allow for biomass inclusion in coking coal blends. The effect of increasing the bulk density was evaluated by comparison with direct addition. Two briquettes of different composition were studied. The influence of the briquettes on the Gieseler plasticity of the coals was determined. It was found that the effect of the binder was not enough to compensate for the decrease in plasticity produced by the inert components of the briquettes. Carbonizations were carried out in a movable wall oven of 17kg capacity and the quality of the cokes produced was tested by evaluating their mechanical strength, coke reactivity to CO2 and post-reaction strength. In addition, the porosity and ash chemistry of the cokes was determined and an attempt was made to establish a relation between these results and the quality of the cokes. Coke quality results suggest that 10–15wt.% of briquettes containing biomass can be included in coking blends.","container-title":"Fuel","DOI":"10.1016/j.fuel.2014.08.012","ISSN":"0016-2361","journalAbbreviation":"Fuel","language":"en","page":"313-320","source":"ScienceDirect","title":"Partial briquetting vs direct addition of biomass in coking blends","URL":"https://www.sciencedirect.com/science/article/pii/S0016236114007819","volume":"137","author":[{"family":"Montiano","given":"M. G."},{"family":"Díaz-Faes","given":"E."},{"family":"Barriocanal","given":"C."}],"accessed":{"date-parts":[["2022",6,27]]},"issued":{"date-parts":[["2014",12,1]]}}}],"schema":"https://github.com/citation-style-language/schema/raw/master/csl-citation.json"} </w:instrText>
      </w:r>
      <w:r w:rsidR="00E84F9C">
        <w:fldChar w:fldCharType="separate"/>
      </w:r>
      <w:r w:rsidR="00192334" w:rsidRPr="00192334">
        <w:rPr>
          <w:rFonts w:ascii="Calibri" w:hAnsi="Calibri" w:cs="Calibri"/>
          <w:szCs w:val="24"/>
        </w:rPr>
        <w:t>(Montiano, Díaz-Faes and Barriocanal, 2014)</w:t>
      </w:r>
      <w:r w:rsidR="00E84F9C">
        <w:fldChar w:fldCharType="end"/>
      </w:r>
      <w:r w:rsidR="00E84F9C">
        <w:t xml:space="preserve"> found that </w:t>
      </w:r>
      <w:r w:rsidR="00431F86">
        <w:t xml:space="preserve">by briquetting biomass that additions of 10 – 15% can be included in coking blends. </w:t>
      </w:r>
    </w:p>
    <w:p w14:paraId="3B83DCCB" w14:textId="7C9852F9" w:rsidR="001C2A1C" w:rsidRPr="001C2A1C" w:rsidRDefault="00813719" w:rsidP="00F104D1">
      <w:pPr>
        <w:pStyle w:val="Heading3"/>
        <w:spacing w:line="360" w:lineRule="auto"/>
        <w:jc w:val="both"/>
      </w:pPr>
      <w:bookmarkStart w:id="29" w:name="_Toc128599600"/>
      <w:r>
        <w:t>Potential for biomass in the sintering process</w:t>
      </w:r>
      <w:bookmarkEnd w:id="29"/>
    </w:p>
    <w:p w14:paraId="30EB3AAD" w14:textId="68E73456" w:rsidR="00225BF7" w:rsidRDefault="00977CAD" w:rsidP="002E34AE">
      <w:pPr>
        <w:spacing w:line="360" w:lineRule="auto"/>
        <w:jc w:val="both"/>
      </w:pPr>
      <w:r>
        <w:t xml:space="preserve">The </w:t>
      </w:r>
      <w:r w:rsidR="00994E13">
        <w:t xml:space="preserve">materials available for the ferrous input into a blast furnace </w:t>
      </w:r>
      <w:r w:rsidR="000D282F">
        <w:t>are</w:t>
      </w:r>
      <w:r w:rsidR="00994E13">
        <w:t xml:space="preserve"> pelletised iron ore, iron ore lump</w:t>
      </w:r>
      <w:r w:rsidR="002E34AE">
        <w:t xml:space="preserve"> or sinter. Iron ore pellets are</w:t>
      </w:r>
      <w:r w:rsidR="004F09D7">
        <w:t xml:space="preserve"> formed by</w:t>
      </w:r>
      <w:r w:rsidR="00171B2F">
        <w:t xml:space="preserve"> agglomerating iron ore fines, that are not suitable for direct charge into the BF. A good blast furnace burden consists of sinter and/or pellets. Lump ores are becoming increasingly scarce and their properties are generally poorer than the alternatives, and so are mainly only used as a cheap replacement for pellets </w:t>
      </w:r>
      <w:r w:rsidR="00171B2F">
        <w:fldChar w:fldCharType="begin"/>
      </w:r>
      <w:r w:rsidR="00192334">
        <w:instrText xml:space="preserve"> ADDIN ZOTERO_ITEM CSL_CITATION {"citationID":"G1vAQ2Vf","properties":{"formattedCitation":"(Geerdes,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171B2F">
        <w:fldChar w:fldCharType="separate"/>
      </w:r>
      <w:r w:rsidR="00192334" w:rsidRPr="00192334">
        <w:rPr>
          <w:rFonts w:ascii="Calibri" w:hAnsi="Calibri" w:cs="Calibri"/>
        </w:rPr>
        <w:t>(Geerdes, Toxopeus and Vliet, 2009)</w:t>
      </w:r>
      <w:r w:rsidR="00171B2F">
        <w:fldChar w:fldCharType="end"/>
      </w:r>
      <w:r w:rsidR="00171B2F">
        <w:t>.</w:t>
      </w:r>
    </w:p>
    <w:p w14:paraId="7016859B" w14:textId="0C80C0B8" w:rsidR="00171B2F" w:rsidRDefault="000C1C4E" w:rsidP="002E34AE">
      <w:pPr>
        <w:spacing w:line="360" w:lineRule="auto"/>
        <w:jc w:val="both"/>
      </w:pPr>
      <w:r>
        <w:t xml:space="preserve">Iron ore sintering is the process of heating iron ore fines, coke fines and other materials to produce a semi molten mass that solidifies into a porous piece of sinter. Sinter </w:t>
      </w:r>
      <w:r w:rsidR="001C2A1C">
        <w:t>must</w:t>
      </w:r>
      <w:r>
        <w:t xml:space="preserve"> be of a certain size and strength to be suitable for use in the BF.</w:t>
      </w:r>
      <w:r w:rsidR="001C2A1C">
        <w:t xml:space="preserve"> The main steps in the sintering process are proportioning, mixing and sintering. </w:t>
      </w:r>
      <w:r w:rsidR="002D7488">
        <w:t>Raw materials such as iron ore fines, re</w:t>
      </w:r>
      <w:r w:rsidR="004117CA">
        <w:t>v</w:t>
      </w:r>
      <w:r w:rsidR="002D7488">
        <w:t>erts - iron and steelmaking by-products that contain iron and fluxes are added together to form what is called a raw mix. The raw mix is mixed with water to form granules</w:t>
      </w:r>
      <w:r w:rsidR="00791B28">
        <w:t xml:space="preserve">. The granules are then fed onto a moving grate to form the sintering bed. The bed is ignited by </w:t>
      </w:r>
      <w:r w:rsidR="005B0C79">
        <w:t>gas burners</w:t>
      </w:r>
      <w:r w:rsidR="00791B28">
        <w:t xml:space="preserve"> </w:t>
      </w:r>
      <w:r w:rsidR="009823F6">
        <w:t xml:space="preserve">near the </w:t>
      </w:r>
      <w:r w:rsidR="00791B28">
        <w:t>ignition hood at the face of the bed. As the coke in the bed burns it creates a high temperature combustion zone</w:t>
      </w:r>
      <w:r w:rsidR="00D15AD4">
        <w:t xml:space="preserve"> at temperatures 1200</w:t>
      </w:r>
      <w:r w:rsidR="00DB0781" w:rsidRPr="00DB0781">
        <w:rPr>
          <w:vertAlign w:val="superscript"/>
        </w:rPr>
        <w:t>0</w:t>
      </w:r>
      <w:r w:rsidR="00DB0781">
        <w:t xml:space="preserve"> – 1400</w:t>
      </w:r>
      <w:r w:rsidR="00DB0781" w:rsidRPr="00DB0781">
        <w:rPr>
          <w:vertAlign w:val="superscript"/>
        </w:rPr>
        <w:t>0</w:t>
      </w:r>
      <w:r w:rsidR="00DB0781">
        <w:t>C</w:t>
      </w:r>
      <w:r w:rsidR="00791B28">
        <w:t>. Air is drawn through the bed</w:t>
      </w:r>
      <w:r w:rsidR="004B7B17">
        <w:t xml:space="preserve"> creating a narrow</w:t>
      </w:r>
      <w:r w:rsidR="00EB416E">
        <w:t xml:space="preserve"> </w:t>
      </w:r>
      <w:r w:rsidR="00D374EC">
        <w:t>self-propagating</w:t>
      </w:r>
      <w:r w:rsidR="004B7B17">
        <w:t xml:space="preserve"> flame front,</w:t>
      </w:r>
      <w:r w:rsidR="00791B28">
        <w:t xml:space="preserve"> further promoting combustion.</w:t>
      </w:r>
      <w:r w:rsidR="008F65D4">
        <w:t xml:space="preserve"> Some of the materials melt</w:t>
      </w:r>
      <w:r w:rsidR="00C50286">
        <w:t xml:space="preserve"> and as the flam</w:t>
      </w:r>
      <w:r w:rsidR="00880DB2">
        <w:t>e</w:t>
      </w:r>
      <w:r w:rsidR="00C50286">
        <w:t xml:space="preserve"> front moves</w:t>
      </w:r>
      <w:r w:rsidR="00880DB2">
        <w:t xml:space="preserve"> the material</w:t>
      </w:r>
      <w:r w:rsidR="00A97876">
        <w:t xml:space="preserve"> cools and</w:t>
      </w:r>
      <w:r w:rsidR="00B023BA">
        <w:t xml:space="preserve"> resolidifies. Th</w:t>
      </w:r>
      <w:r w:rsidR="00BA0493">
        <w:t xml:space="preserve">is partial </w:t>
      </w:r>
      <w:r w:rsidR="00BA0493">
        <w:lastRenderedPageBreak/>
        <w:t>melting and diffusion within the materials</w:t>
      </w:r>
      <w:r w:rsidR="00C11068">
        <w:t xml:space="preserve"> </w:t>
      </w:r>
      <w:r w:rsidR="00736F10">
        <w:t>forms an agglomerated porous sinter cake</w:t>
      </w:r>
      <w:r w:rsidR="002B4F4F">
        <w:t>, this</w:t>
      </w:r>
      <w:r w:rsidR="00D96312">
        <w:t xml:space="preserve"> is illustrated in figure 13.</w:t>
      </w:r>
      <w:r w:rsidR="002B4F4F">
        <w:t xml:space="preserve"> </w:t>
      </w:r>
      <w:r w:rsidR="00791B28">
        <w:t xml:space="preserve">The process produces sinter with </w:t>
      </w:r>
      <w:r w:rsidR="00880DB2">
        <w:t>the required</w:t>
      </w:r>
      <w:r w:rsidR="00791B28">
        <w:t xml:space="preserve"> chemical composition, permeability and strength</w:t>
      </w:r>
      <w:r w:rsidR="00A97876">
        <w:t xml:space="preserve"> for use in the BF</w:t>
      </w:r>
      <w:r w:rsidR="00791B28">
        <w:t xml:space="preserve"> </w:t>
      </w:r>
      <w:r w:rsidR="0094129C">
        <w:fldChar w:fldCharType="begin"/>
      </w:r>
      <w:r w:rsidR="00192334">
        <w:instrText xml:space="preserve"> ADDIN ZOTERO_ITEM CSL_CITATION {"citationID":"TDJlyoP8","properties":{"formattedCitation":"(Chen {\\i{}et al.}, 2016)","plainCitation":"(Chen et al., 2016)","noteIndex":0},"citationItems":[{"id":1880,"uris":["http://zotero.org/users/local/AB2owHL2/items/75SU2UKH"],"itemData":{"id":1880,"type":"article-journal","abstract":"Iron ore sintering is one of the most energy-consuming processes in steelmaking. Since its main source of energy is the combustion of carbon, it is important to improve the carbon efficiency to save energy and to reduce undesired emissions. A modeling and optimization method based on the characteristics of the sintering process has been developed to do that. It features multiple operating modes and employs the comprehensive carbon ratio (CCR) as a measure of carbon efficiency. The method has two parts. The first part is the modeling of multiple operating modes of the sintering process. K-means clustering is used to identify the operating modes; and for each mode, a predictive model is built that contains two submodels, one for predicting the state parameters and one for predicting the CCR. The submodels are built using back-propagation neural networks (BPNNs). An analysis of material and energy flow, and correlation analyses of process data and the CCR, are used to determine the most appropriate inputs for the submodels. The second part of the method is optimization based on a determination of the optimal operating mode. The problem of how to reduce the CCR is formulated as a two-step optimization problem, and particle swarm optimization is used to solve it. Finally, verification of the modeling and optimization method based on actual process data shows that it improves the carbon efficiency of iron ore sintering.","container-title":"Control Engineering Practice","DOI":"10.1016/j.conengprac.2016.05.007","ISSN":"0967-0661","journalAbbreviation":"Control Engineering Practice","language":"en","page":"117-128","source":"ScienceDirect","title":"Modeling and optimization method featuring multiple operating modes for improving carbon efficiency of iron ore sintering process","URL":"https://www.sciencedirect.com/science/article/pii/S0967066116301010","volume":"54","author":[{"family":"Chen","given":"Xin"},{"family":"Chen","given":"Xiaoxia"},{"family":"Wu","given":"Min"},{"family":"She","given":"Jinhua"}],"accessed":{"date-parts":[["2022",8,7]]},"issued":{"date-parts":[["2016",9,1]]}}}],"schema":"https://github.com/citation-style-language/schema/raw/master/csl-citation.json"} </w:instrText>
      </w:r>
      <w:r w:rsidR="0094129C">
        <w:fldChar w:fldCharType="separate"/>
      </w:r>
      <w:r w:rsidR="00192334" w:rsidRPr="00192334">
        <w:rPr>
          <w:rFonts w:ascii="Calibri" w:hAnsi="Calibri" w:cs="Calibri"/>
          <w:szCs w:val="24"/>
        </w:rPr>
        <w:t xml:space="preserve">(Chen </w:t>
      </w:r>
      <w:r w:rsidR="00192334" w:rsidRPr="00192334">
        <w:rPr>
          <w:rFonts w:ascii="Calibri" w:hAnsi="Calibri" w:cs="Calibri"/>
          <w:i/>
          <w:iCs/>
          <w:szCs w:val="24"/>
        </w:rPr>
        <w:t>et al.</w:t>
      </w:r>
      <w:r w:rsidR="00192334" w:rsidRPr="00192334">
        <w:rPr>
          <w:rFonts w:ascii="Calibri" w:hAnsi="Calibri" w:cs="Calibri"/>
          <w:szCs w:val="24"/>
        </w:rPr>
        <w:t>, 2016)</w:t>
      </w:r>
      <w:r w:rsidR="0094129C">
        <w:fldChar w:fldCharType="end"/>
      </w:r>
      <w:r w:rsidR="00791B28">
        <w:t>.</w:t>
      </w:r>
    </w:p>
    <w:p w14:paraId="10468919" w14:textId="56C3570D" w:rsidR="0094129C" w:rsidRDefault="0094129C" w:rsidP="002E34AE">
      <w:pPr>
        <w:spacing w:line="360" w:lineRule="auto"/>
        <w:jc w:val="both"/>
      </w:pPr>
      <w:r w:rsidRPr="0094129C">
        <w:rPr>
          <w:noProof/>
        </w:rPr>
        <w:drawing>
          <wp:inline distT="0" distB="0" distL="0" distR="0" wp14:anchorId="1EEF635E" wp14:editId="1CB6A325">
            <wp:extent cx="5301389" cy="1711757"/>
            <wp:effectExtent l="0" t="0" r="0" b="317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40"/>
                    <a:stretch>
                      <a:fillRect/>
                    </a:stretch>
                  </pic:blipFill>
                  <pic:spPr>
                    <a:xfrm>
                      <a:off x="0" y="0"/>
                      <a:ext cx="5324056" cy="1719076"/>
                    </a:xfrm>
                    <a:prstGeom prst="rect">
                      <a:avLst/>
                    </a:prstGeom>
                  </pic:spPr>
                </pic:pic>
              </a:graphicData>
            </a:graphic>
          </wp:inline>
        </w:drawing>
      </w:r>
    </w:p>
    <w:p w14:paraId="52FF8DC6" w14:textId="62E9554B" w:rsidR="000C1C4E" w:rsidRDefault="0094129C" w:rsidP="0094129C">
      <w:pPr>
        <w:pStyle w:val="Caption"/>
      </w:pPr>
      <w:bookmarkStart w:id="30" w:name="_Toc127110907"/>
      <w:r>
        <w:t xml:space="preserve">Figure </w:t>
      </w:r>
      <w:fldSimple w:instr=" SEQ Figure \* ARABIC ">
        <w:r w:rsidR="00A0212F">
          <w:rPr>
            <w:noProof/>
          </w:rPr>
          <w:t>13</w:t>
        </w:r>
      </w:fldSimple>
      <w:r>
        <w:t xml:space="preserve"> Diagram of a s</w:t>
      </w:r>
      <w:r w:rsidRPr="00EA7CEF">
        <w:t>intering machine</w:t>
      </w:r>
      <w:r>
        <w:t xml:space="preserve"> </w:t>
      </w:r>
      <w:r>
        <w:fldChar w:fldCharType="begin"/>
      </w:r>
      <w:r w:rsidR="00192334">
        <w:instrText xml:space="preserve"> ADDIN ZOTERO_ITEM CSL_CITATION {"citationID":"RAoGWIZt","properties":{"formattedCitation":"(Chen {\\i{}et al.}, 2016)","plainCitation":"(Chen et al., 2016)","noteIndex":0},"citationItems":[{"id":1880,"uris":["http://zotero.org/users/local/AB2owHL2/items/75SU2UKH"],"itemData":{"id":1880,"type":"article-journal","abstract":"Iron ore sintering is one of the most energy-consuming processes in steelmaking. Since its main source of energy is the combustion of carbon, it is important to improve the carbon efficiency to save energy and to reduce undesired emissions. A modeling and optimization method based on the characteristics of the sintering process has been developed to do that. It features multiple operating modes and employs the comprehensive carbon ratio (CCR) as a measure of carbon efficiency. The method has two parts. The first part is the modeling of multiple operating modes of the sintering process. K-means clustering is used to identify the operating modes; and for each mode, a predictive model is built that contains two submodels, one for predicting the state parameters and one for predicting the CCR. The submodels are built using back-propagation neural networks (BPNNs). An analysis of material and energy flow, and correlation analyses of process data and the CCR, are used to determine the most appropriate inputs for the submodels. The second part of the method is optimization based on a determination of the optimal operating mode. The problem of how to reduce the CCR is formulated as a two-step optimization problem, and particle swarm optimization is used to solve it. Finally, verification of the modeling and optimization method based on actual process data shows that it improves the carbon efficiency of iron ore sintering.","container-title":"Control Engineering Practice","DOI":"10.1016/j.conengprac.2016.05.007","ISSN":"0967-0661","journalAbbreviation":"Control Engineering Practice","language":"en","page":"117-128","source":"ScienceDirect","title":"Modeling and optimization method featuring multiple operating modes for improving carbon efficiency of iron ore sintering process","URL":"https://www.sciencedirect.com/science/article/pii/S0967066116301010","volume":"54","author":[{"family":"Chen","given":"Xin"},{"family":"Chen","given":"Xiaoxia"},{"family":"Wu","given":"Min"},{"family":"She","given":"Jinhua"}],"accessed":{"date-parts":[["2022",8,7]]},"issued":{"date-parts":[["2016",9,1]]}}}],"schema":"https://github.com/citation-style-language/schema/raw/master/csl-citation.json"} </w:instrText>
      </w:r>
      <w:r>
        <w:fldChar w:fldCharType="separate"/>
      </w:r>
      <w:r w:rsidR="00192334" w:rsidRPr="00192334">
        <w:rPr>
          <w:rFonts w:ascii="Calibri" w:hAnsi="Calibri" w:cs="Calibri"/>
          <w:szCs w:val="24"/>
        </w:rPr>
        <w:t xml:space="preserve">(Chen </w:t>
      </w:r>
      <w:r w:rsidR="00192334" w:rsidRPr="00192334">
        <w:rPr>
          <w:rFonts w:ascii="Calibri" w:hAnsi="Calibri" w:cs="Calibri"/>
          <w:i w:val="0"/>
          <w:iCs w:val="0"/>
          <w:szCs w:val="24"/>
        </w:rPr>
        <w:t>et al.</w:t>
      </w:r>
      <w:r w:rsidR="00192334" w:rsidRPr="00192334">
        <w:rPr>
          <w:rFonts w:ascii="Calibri" w:hAnsi="Calibri" w:cs="Calibri"/>
          <w:szCs w:val="24"/>
        </w:rPr>
        <w:t>, 2016)</w:t>
      </w:r>
      <w:r>
        <w:fldChar w:fldCharType="end"/>
      </w:r>
      <w:r>
        <w:t>.</w:t>
      </w:r>
      <w:bookmarkEnd w:id="30"/>
    </w:p>
    <w:p w14:paraId="5AFC2293" w14:textId="540BA5E8" w:rsidR="00BD38E2" w:rsidRDefault="006C32A9" w:rsidP="00D12E0B">
      <w:pPr>
        <w:spacing w:line="360" w:lineRule="auto"/>
        <w:jc w:val="both"/>
      </w:pPr>
      <w:r>
        <w:t xml:space="preserve">The </w:t>
      </w:r>
      <w:r w:rsidR="00C54E19">
        <w:t>best</w:t>
      </w:r>
      <w:r>
        <w:t xml:space="preserve"> fuel</w:t>
      </w:r>
      <w:r w:rsidR="00592CFA">
        <w:t xml:space="preserve"> for</w:t>
      </w:r>
      <w:r>
        <w:t xml:space="preserve"> use in the sintering process is coke breeze</w:t>
      </w:r>
      <w:r w:rsidR="00110CEA">
        <w:t xml:space="preserve">, undersized </w:t>
      </w:r>
      <w:r w:rsidR="00CA5437">
        <w:t>coke screened from the coke produced at the coke ovens.</w:t>
      </w:r>
      <w:r w:rsidR="00D12E0B">
        <w:t xml:space="preserve"> The sinter</w:t>
      </w:r>
      <w:r w:rsidR="00D459CC">
        <w:t>ing process contributes up to 1</w:t>
      </w:r>
      <w:r w:rsidR="004D4AD7">
        <w:t>2</w:t>
      </w:r>
      <w:r w:rsidR="00D459CC">
        <w:t>% of the CO</w:t>
      </w:r>
      <w:r w:rsidR="00D459CC" w:rsidRPr="00D459CC">
        <w:rPr>
          <w:vertAlign w:val="subscript"/>
        </w:rPr>
        <w:t>2</w:t>
      </w:r>
      <w:r w:rsidR="003E3440">
        <w:rPr>
          <w:vertAlign w:val="subscript"/>
        </w:rPr>
        <w:t xml:space="preserve"> </w:t>
      </w:r>
      <w:r w:rsidR="003E3440">
        <w:t xml:space="preserve">emissions produced at </w:t>
      </w:r>
      <w:r w:rsidR="00241C2D">
        <w:t>a</w:t>
      </w:r>
      <w:r w:rsidR="003E3440">
        <w:t xml:space="preserve"> </w:t>
      </w:r>
      <w:r w:rsidR="00B525ED">
        <w:t xml:space="preserve">typical integrated steel plant. </w:t>
      </w:r>
      <w:r w:rsidR="008B4491">
        <w:t>The CO</w:t>
      </w:r>
      <w:r w:rsidR="008B4491" w:rsidRPr="00D459CC">
        <w:rPr>
          <w:vertAlign w:val="subscript"/>
        </w:rPr>
        <w:t>2</w:t>
      </w:r>
      <w:r w:rsidR="008B4491">
        <w:rPr>
          <w:vertAlign w:val="subscript"/>
        </w:rPr>
        <w:t xml:space="preserve"> </w:t>
      </w:r>
      <w:r w:rsidR="008B4491">
        <w:t xml:space="preserve">in this case is </w:t>
      </w:r>
      <w:r w:rsidR="00E65811">
        <w:t xml:space="preserve">mainly </w:t>
      </w:r>
      <w:r w:rsidR="008B4491">
        <w:t>generated from the combustion of the coke breeze</w:t>
      </w:r>
      <w:r w:rsidR="00E65811">
        <w:t xml:space="preserve"> and </w:t>
      </w:r>
      <w:r w:rsidR="00784CE8">
        <w:t>decomposition of flux additives</w:t>
      </w:r>
      <w:r w:rsidR="00CC05DF">
        <w:t xml:space="preserve">. </w:t>
      </w:r>
      <w:r w:rsidR="00D903F9">
        <w:t xml:space="preserve">The combustion of coke breeze in the sintering process is also responsible for the emission of </w:t>
      </w:r>
      <w:r w:rsidR="00664DE8">
        <w:t>various types of GH</w:t>
      </w:r>
      <w:r w:rsidR="000B4629">
        <w:t>G</w:t>
      </w:r>
      <w:r w:rsidR="00664DE8">
        <w:t xml:space="preserve"> such as</w:t>
      </w:r>
      <w:r w:rsidR="001629FC">
        <w:t xml:space="preserve"> sulphur dioxide (SO</w:t>
      </w:r>
      <w:r w:rsidR="001629FC" w:rsidRPr="001629FC">
        <w:rPr>
          <w:vertAlign w:val="subscript"/>
        </w:rPr>
        <w:t>2</w:t>
      </w:r>
      <w:r w:rsidR="001629FC">
        <w:t xml:space="preserve">), </w:t>
      </w:r>
      <w:r w:rsidR="0085621F">
        <w:t>nitrogen oxides (NO</w:t>
      </w:r>
      <w:r w:rsidR="0085621F" w:rsidRPr="0085621F">
        <w:rPr>
          <w:vertAlign w:val="subscript"/>
        </w:rPr>
        <w:t>x</w:t>
      </w:r>
      <w:r w:rsidR="0085621F">
        <w:t>), carbon monoxide</w:t>
      </w:r>
      <w:r w:rsidR="00496B89">
        <w:t xml:space="preserve"> (CO), methane (</w:t>
      </w:r>
      <w:r w:rsidR="008C2D34">
        <w:t>CH</w:t>
      </w:r>
      <w:r w:rsidR="008C2D34" w:rsidRPr="008C2D34">
        <w:rPr>
          <w:vertAlign w:val="subscript"/>
        </w:rPr>
        <w:t>4</w:t>
      </w:r>
      <w:r w:rsidR="008C2D34">
        <w:t>)</w:t>
      </w:r>
      <w:r w:rsidR="00F43E69">
        <w:t>,</w:t>
      </w:r>
      <w:r w:rsidR="008C2D34">
        <w:t xml:space="preserve"> dioxins</w:t>
      </w:r>
      <w:r w:rsidR="00F43E69">
        <w:t xml:space="preserve"> and fine dust</w:t>
      </w:r>
      <w:r w:rsidR="009C2C64">
        <w:t xml:space="preserve">. </w:t>
      </w:r>
      <w:r w:rsidR="00913DAF">
        <w:t xml:space="preserve">The concentration of these emissions is correlated </w:t>
      </w:r>
      <w:r w:rsidR="00716668">
        <w:t xml:space="preserve">with operational conditions, quality of the fuel and </w:t>
      </w:r>
      <w:r w:rsidR="009C78A8">
        <w:t xml:space="preserve">raw materials used </w:t>
      </w:r>
      <w:r w:rsidR="008D685D">
        <w:fldChar w:fldCharType="begin"/>
      </w:r>
      <w:r w:rsidR="00192334">
        <w:instrText xml:space="preserve"> ADDIN ZOTERO_ITEM CSL_CITATION {"citationID":"hEcafHhk","properties":{"formattedCitation":"(Abreu {\\i{}et al.}, 2015)","plainCitation":"(Abreu et al., 2015)","noteIndex":0},"citationItems":[{"id":1903,"uris":["http://zotero.org/users/local/AB2owHL2/items/RDREJET5"],"itemData":{"id":1903,"type":"article-journal","abstract":"A study was carried out into the use of charcoal as a supplementary fuel in the iron-ore sintering process. The primary fuel was coke breeze and anthracite with 0, 10, 25, 50 and 100% replacement of the energy input with charcoal to produce sinter. This was achieved by considering the carbon content of each fuel and its corresponding participation on fuel blending, in order to have the same carbon input in each test run. An extensive analysis of the environmental impact was carried out regarding the atmospheric pollutants characterization (dust, sulphur dioxide, nitrogen oxides, carbon monoxide, carbon dioxide, methane, total hydrocarbons, and dioxins and furans). Experimental results indicate that fuel blending where 50% of the heat input was provided by charcoal may be comparable with those using 100% coke, under normal sintering conditions, and may result in a 50% reduction on greenhouse gas emission. It was also observed that while dust, methane and hydrocarbons emissions increased, the total dioxins and furans, expressed as polychlorinated dibenzodioxins/furans, decreased approximately 50% when compared with operation with 100% coke.","container-title":"Journal of Cleaner Production","DOI":"10.1016/j.jclepro.2015.04.015","ISSN":"0959-6526","journalAbbreviation":"Journal of Cleaner Production","language":"en","page":"387-394","source":"ScienceDirect","title":"Operational and environmental assessment on the use of charcoal in iron ore sinter production","URL":"https://www.sciencedirect.com/science/article/pii/S0959652615003583","volume":"101","author":[{"family":"Abreu","given":"Guilherme Correa"},{"family":"Carvalho","given":"João Andrade","dropping-particle":"de"},{"family":"Silva","given":"Bernardo Enne Correa","dropping-particle":"da"},{"family":"Pedrini","given":"Rinaldo Henrique"}],"accessed":{"date-parts":[["2022",8,22]]},"issued":{"date-parts":[["2015",8,15]]}}}],"schema":"https://github.com/citation-style-language/schema/raw/master/csl-citation.json"} </w:instrText>
      </w:r>
      <w:r w:rsidR="008D685D">
        <w:fldChar w:fldCharType="separate"/>
      </w:r>
      <w:r w:rsidR="00192334" w:rsidRPr="00192334">
        <w:rPr>
          <w:rFonts w:ascii="Calibri" w:hAnsi="Calibri" w:cs="Calibri"/>
          <w:szCs w:val="24"/>
        </w:rPr>
        <w:t xml:space="preserve">(Abreu </w:t>
      </w:r>
      <w:r w:rsidR="00192334" w:rsidRPr="00192334">
        <w:rPr>
          <w:rFonts w:ascii="Calibri" w:hAnsi="Calibri" w:cs="Calibri"/>
          <w:i/>
          <w:iCs/>
          <w:szCs w:val="24"/>
        </w:rPr>
        <w:t>et al.</w:t>
      </w:r>
      <w:r w:rsidR="00192334" w:rsidRPr="00192334">
        <w:rPr>
          <w:rFonts w:ascii="Calibri" w:hAnsi="Calibri" w:cs="Calibri"/>
          <w:szCs w:val="24"/>
        </w:rPr>
        <w:t>, 2015)</w:t>
      </w:r>
      <w:r w:rsidR="008D685D">
        <w:fldChar w:fldCharType="end"/>
      </w:r>
      <w:r w:rsidR="00241C2D">
        <w:t xml:space="preserve">. </w:t>
      </w:r>
      <w:r w:rsidR="00DE66D9">
        <w:t xml:space="preserve"> </w:t>
      </w:r>
    </w:p>
    <w:p w14:paraId="117A113E" w14:textId="66FD1063" w:rsidR="00225BF7" w:rsidRDefault="009332F6" w:rsidP="00D12E0B">
      <w:pPr>
        <w:spacing w:line="360" w:lineRule="auto"/>
        <w:jc w:val="both"/>
      </w:pPr>
      <w:r>
        <w:t>Bio</w:t>
      </w:r>
      <w:r w:rsidR="00F528F6">
        <w:t>char</w:t>
      </w:r>
      <w:r>
        <w:t xml:space="preserve"> can be used as an</w:t>
      </w:r>
      <w:r w:rsidR="00E47AC0">
        <w:t xml:space="preserve"> alternative fuel </w:t>
      </w:r>
      <w:r>
        <w:t>instead of coke breeze</w:t>
      </w:r>
      <w:r w:rsidR="000F2F6F">
        <w:t xml:space="preserve">, </w:t>
      </w:r>
      <w:r w:rsidR="00F21587">
        <w:t xml:space="preserve">the primary differences between </w:t>
      </w:r>
      <w:r w:rsidR="00C922C4">
        <w:t xml:space="preserve">coke breeze and biochar that affect the sintering process and sinter quality </w:t>
      </w:r>
      <w:r w:rsidR="007121C9">
        <w:t>is higher reactivity</w:t>
      </w:r>
      <w:r w:rsidR="0046094F">
        <w:t xml:space="preserve"> </w:t>
      </w:r>
      <w:r w:rsidR="00C34085">
        <w:fldChar w:fldCharType="begin"/>
      </w:r>
      <w:r w:rsidR="00192334">
        <w:instrText xml:space="preserve"> ADDIN ZOTERO_ITEM CSL_CITATION {"citationID":"t47pGQ7m","properties":{"formattedCitation":"(Gan {\\i{}et al.}, 2015)","plainCitation":"(Gan et al., 2015)","noteIndex":0},"citationItems":[{"id":1872,"uris":["http://zotero.org/users/local/AB2owHL2/items/IVHVF59L"],"itemData":{"id":1872,"type":"article-journal","abstract":"The influence of biomass fuel replacing coke breeze on flame front and combustion efficiency were studied. The results show that when coke breeze is replaced, the flame front is accelerated since biomass has superior combustion characteristics. Combustion efficiency is decreased, however, as biomass is of excessively high reactivity, which can both lower the maximum temperature and reduce the time at high temperature of the sinter bed. The proportion of biomass fuel replacing coke breeze should, therefore, not exceed 40%, otherwise, the mineralisation of sinter material is insufficient and the yield and tumbler index of sinter significantly deteriorate. By increasing the size of biomass fuel, sinter indices are improved since the burning velocity of biomass fuel is optimised. When the proportion of biomass fuels is 40%, the emissions of SO2 and NO can be decreased by 40 and 28% respectively.","container-title":"Ironmaking &amp; Steelmaking","DOI":"10.1179/1743281214Y.0000000194","ISSN":"03019233","issue":"1","note":"publisher: Taylor &amp; Francis Ltd","page":"27-33","source":"EBSCOhost","title":"Application of biomass fuel in iron ore sintering: influencing mechanism and emission reduction","title-short":"Application of biomass fuel in iron ore sintering","URL":"https://ezproxy.uwtsd.ac.uk/login?url=https://search.ebscohost.com/login.aspx?direct=true&amp;db=aph&amp;AN=99542566&amp;site=ehost-live","volume":"42","author":[{"family":"Gan","given":"M."},{"family":"Fan","given":"X."},{"family":"Ji","given":"Z."},{"family":"Jiang","given":"T."},{"family":"Chen","given":"X."},{"family":"Yu","given":"Z."},{"family":"Li","given":"G."},{"family":"Yin","given":"L."}],"accessed":{"date-parts":[["2022",8,3]]},"issued":{"date-parts":[["2015",1]]}}}],"schema":"https://github.com/citation-style-language/schema/raw/master/csl-citation.json"} </w:instrText>
      </w:r>
      <w:r w:rsidR="00C34085">
        <w:fldChar w:fldCharType="separate"/>
      </w:r>
      <w:r w:rsidR="00192334" w:rsidRPr="00192334">
        <w:rPr>
          <w:rFonts w:ascii="Calibri" w:hAnsi="Calibri" w:cs="Calibri"/>
          <w:szCs w:val="24"/>
        </w:rPr>
        <w:t xml:space="preserve">(Gan </w:t>
      </w:r>
      <w:r w:rsidR="00192334" w:rsidRPr="00192334">
        <w:rPr>
          <w:rFonts w:ascii="Calibri" w:hAnsi="Calibri" w:cs="Calibri"/>
          <w:i/>
          <w:iCs/>
          <w:szCs w:val="24"/>
        </w:rPr>
        <w:t>et al.</w:t>
      </w:r>
      <w:r w:rsidR="00192334" w:rsidRPr="00192334">
        <w:rPr>
          <w:rFonts w:ascii="Calibri" w:hAnsi="Calibri" w:cs="Calibri"/>
          <w:szCs w:val="24"/>
        </w:rPr>
        <w:t>, 2015)</w:t>
      </w:r>
      <w:r w:rsidR="00C34085">
        <w:fldChar w:fldCharType="end"/>
      </w:r>
      <w:r w:rsidR="007121C9">
        <w:t xml:space="preserve"> </w:t>
      </w:r>
      <w:r w:rsidR="00C8604B">
        <w:t xml:space="preserve">due to higher surface area and porosity </w:t>
      </w:r>
      <w:r w:rsidR="00C8604B">
        <w:fldChar w:fldCharType="begin"/>
      </w:r>
      <w:r w:rsidR="00192334">
        <w:instrText xml:space="preserve"> ADDIN ZOTERO_ITEM CSL_CITATION {"citationID":"yHwkeCag","properties":{"formattedCitation":"(Lovel, Vining and Dell \\uc0\\u8217{}amico, 2009)","plainCitation":"(Lovel, Vining and Dell ’amico, 2009)","noteIndex":0},"citationItems":[{"id":1891,"uris":["http://zotero.org/users/local/AB2owHL2/items/FS9T3BMI"],"itemData":{"id":1891,"type":"article-journal","container-title":"ISIJ International","DOI":"10.2355/isijinternational.49.195","ISSN":"0915-1559, 1347-5460","issue":"2","journalAbbreviation":"ISIJ Int.","language":"en","page":"195-202","source":"DOI.org (Crossref)","title":"The Influence of Fuel Reactivity on Iron Ore Sintering","URL":"http://www.jstage.jst.go.jp/article/isijinternational/49/2/49_2_195/_article","volume":"49","author":[{"family":"Lovel","given":"Roy R."},{"family":"Vining","given":"Keith R."},{"family":"Dell 'amico","given":"Mark"}],"accessed":{"date-parts":[["2022",8,18]]},"issued":{"date-parts":[["2009"]]}},"label":"page"}],"schema":"https://github.com/citation-style-language/schema/raw/master/csl-citation.json"} </w:instrText>
      </w:r>
      <w:r w:rsidR="00C8604B">
        <w:fldChar w:fldCharType="separate"/>
      </w:r>
      <w:r w:rsidR="00192334" w:rsidRPr="00192334">
        <w:rPr>
          <w:rFonts w:ascii="Calibri" w:hAnsi="Calibri" w:cs="Calibri"/>
          <w:szCs w:val="24"/>
        </w:rPr>
        <w:t>(Lovel, Vining and Dell ’amico, 2009)</w:t>
      </w:r>
      <w:r w:rsidR="00C8604B">
        <w:fldChar w:fldCharType="end"/>
      </w:r>
      <w:r w:rsidR="00813DDB">
        <w:t>.</w:t>
      </w:r>
      <w:r w:rsidR="0020019E" w:rsidRPr="0020019E">
        <w:t xml:space="preserve"> </w:t>
      </w:r>
      <w:r w:rsidR="0020019E">
        <w:fldChar w:fldCharType="begin"/>
      </w:r>
      <w:r w:rsidR="00192334">
        <w:instrText xml:space="preserve"> ADDIN ZOTERO_ITEM CSL_CITATION {"citationID":"McQGMsNQ","properties":{"formattedCitation":"(Lu {\\i{}et al.}, 2013)","plainCitation":"(Lu et al., 2013)","noteIndex":0},"citationItems":[{"id":1788,"uris":["http://zotero.org/users/local/AB2owHL2/items/B69CWL6R"],"itemData":{"id":1788,"type":"article-journal","container-title":"ISIJ International","DOI":"10.2355/isijinternational.53.1607","ISSN":"0915-1559, 1347-5460","issue":"9","journalAbbreviation":"ISIJ Int.","language":"en","page":"1607-1616","source":"DOI.org (Crossref)","title":"Substitution of Charcoal for Coke Breeze in Iron Ore Sintering","URL":"https://www.jstage.jst.go.jp/article/isijinternational/53/9/53_1607/_article","volume":"53","author":[{"family":"Lu","given":"Liming"},{"family":"Adam","given":"Matt"},{"family":"Kilburn","given":"Matt"},{"family":"Hapugoda","given":"Sarath"},{"family":"Somerville","given":"Michael"},{"family":"Jahanshahi","given":"Sharif"},{"family":"Mathieson","given":"John Gordon"}],"accessed":{"date-parts":[["2022",7,17]]},"issued":{"date-parts":[["2013"]]}}}],"schema":"https://github.com/citation-style-language/schema/raw/master/csl-citation.json"} </w:instrText>
      </w:r>
      <w:r w:rsidR="0020019E">
        <w:fldChar w:fldCharType="separate"/>
      </w:r>
      <w:r w:rsidR="00192334" w:rsidRPr="00192334">
        <w:rPr>
          <w:rFonts w:ascii="Calibri" w:hAnsi="Calibri" w:cs="Calibri"/>
          <w:szCs w:val="24"/>
        </w:rPr>
        <w:t xml:space="preserve">(Lu </w:t>
      </w:r>
      <w:r w:rsidR="00192334" w:rsidRPr="00192334">
        <w:rPr>
          <w:rFonts w:ascii="Calibri" w:hAnsi="Calibri" w:cs="Calibri"/>
          <w:i/>
          <w:iCs/>
          <w:szCs w:val="24"/>
        </w:rPr>
        <w:t>et al.</w:t>
      </w:r>
      <w:r w:rsidR="00192334" w:rsidRPr="00192334">
        <w:rPr>
          <w:rFonts w:ascii="Calibri" w:hAnsi="Calibri" w:cs="Calibri"/>
          <w:szCs w:val="24"/>
        </w:rPr>
        <w:t>, 2013)</w:t>
      </w:r>
      <w:r w:rsidR="0020019E">
        <w:fldChar w:fldCharType="end"/>
      </w:r>
      <w:r w:rsidR="0020019E">
        <w:t xml:space="preserve"> found that partial replacement of coke breeze with biochar resulted in higher concentration of </w:t>
      </w:r>
      <w:proofErr w:type="spellStart"/>
      <w:r w:rsidR="0020019E">
        <w:t>CO</w:t>
      </w:r>
      <w:r w:rsidR="0020019E" w:rsidRPr="00BC4AB6">
        <w:rPr>
          <w:vertAlign w:val="subscript"/>
        </w:rPr>
        <w:t>x</w:t>
      </w:r>
      <w:proofErr w:type="spellEnd"/>
      <w:r w:rsidR="0020019E">
        <w:t xml:space="preserve"> but lower concentrations of </w:t>
      </w:r>
      <w:proofErr w:type="spellStart"/>
      <w:r w:rsidR="0020019E">
        <w:t>SO</w:t>
      </w:r>
      <w:r w:rsidR="0020019E" w:rsidRPr="00974588">
        <w:rPr>
          <w:vertAlign w:val="subscript"/>
        </w:rPr>
        <w:t>x</w:t>
      </w:r>
      <w:proofErr w:type="spellEnd"/>
      <w:r w:rsidR="0020019E">
        <w:t xml:space="preserve"> and NO</w:t>
      </w:r>
      <w:r w:rsidR="0020019E" w:rsidRPr="00974588">
        <w:rPr>
          <w:vertAlign w:val="subscript"/>
        </w:rPr>
        <w:t>x</w:t>
      </w:r>
      <w:r w:rsidR="0020019E">
        <w:t xml:space="preserve"> in the off gas.</w:t>
      </w:r>
      <w:r w:rsidR="00063E6F">
        <w:t xml:space="preserve"> </w:t>
      </w:r>
      <w:r w:rsidR="00063E6F">
        <w:fldChar w:fldCharType="begin"/>
      </w:r>
      <w:r w:rsidR="00192334">
        <w:instrText xml:space="preserve"> ADDIN ZOTERO_ITEM CSL_CITATION {"citationID":"MdUxSYu6","properties":{"formattedCitation":"(Abreu {\\i{}et al.}, 2015)","plainCitation":"(Abreu et al., 2015)","noteIndex":0},"citationItems":[{"id":1903,"uris":["http://zotero.org/users/local/AB2owHL2/items/RDREJET5"],"itemData":{"id":1903,"type":"article-journal","abstract":"A study was carried out into the use of charcoal as a supplementary fuel in the iron-ore sintering process. The primary fuel was coke breeze and anthracite with 0, 10, 25, 50 and 100% replacement of the energy input with charcoal to produce sinter. This was achieved by considering the carbon content of each fuel and its corresponding participation on fuel blending, in order to have the same carbon input in each test run. An extensive analysis of the environmental impact was carried out regarding the atmospheric pollutants characterization (dust, sulphur dioxide, nitrogen oxides, carbon monoxide, carbon dioxide, methane, total hydrocarbons, and dioxins and furans). Experimental results indicate that fuel blending where 50% of the heat input was provided by charcoal may be comparable with those using 100% coke, under normal sintering conditions, and may result in a 50% reduction on greenhouse gas emission. It was also observed that while dust, methane and hydrocarbons emissions increased, the total dioxins and furans, expressed as polychlorinated dibenzodioxins/furans, decreased approximately 50% when compared with operation with 100% coke.","container-title":"Journal of Cleaner Production","DOI":"10.1016/j.jclepro.2015.04.015","ISSN":"0959-6526","journalAbbreviation":"Journal of Cleaner Production","language":"en","page":"387-394","source":"ScienceDirect","title":"Operational and environmental assessment on the use of charcoal in iron ore sinter production","URL":"https://www.sciencedirect.com/science/article/pii/S0959652615003583","volume":"101","author":[{"family":"Abreu","given":"Guilherme Correa"},{"family":"Carvalho","given":"João Andrade","dropping-particle":"de"},{"family":"Silva","given":"Bernardo Enne Correa","dropping-particle":"da"},{"family":"Pedrini","given":"Rinaldo Henrique"}],"accessed":{"date-parts":[["2022",8,22]]},"issued":{"date-parts":[["2015",8,15]]}}}],"schema":"https://github.com/citation-style-language/schema/raw/master/csl-citation.json"} </w:instrText>
      </w:r>
      <w:r w:rsidR="00063E6F">
        <w:fldChar w:fldCharType="separate"/>
      </w:r>
      <w:r w:rsidR="00192334" w:rsidRPr="00192334">
        <w:rPr>
          <w:rFonts w:ascii="Calibri" w:hAnsi="Calibri" w:cs="Calibri"/>
          <w:szCs w:val="24"/>
        </w:rPr>
        <w:t xml:space="preserve">(Abreu </w:t>
      </w:r>
      <w:r w:rsidR="00192334" w:rsidRPr="00192334">
        <w:rPr>
          <w:rFonts w:ascii="Calibri" w:hAnsi="Calibri" w:cs="Calibri"/>
          <w:i/>
          <w:iCs/>
          <w:szCs w:val="24"/>
        </w:rPr>
        <w:t>et al.</w:t>
      </w:r>
      <w:r w:rsidR="00192334" w:rsidRPr="00192334">
        <w:rPr>
          <w:rFonts w:ascii="Calibri" w:hAnsi="Calibri" w:cs="Calibri"/>
          <w:szCs w:val="24"/>
        </w:rPr>
        <w:t>, 2015)</w:t>
      </w:r>
      <w:r w:rsidR="00063E6F">
        <w:fldChar w:fldCharType="end"/>
      </w:r>
      <w:r w:rsidR="00063E6F">
        <w:t xml:space="preserve"> conclude that a 50</w:t>
      </w:r>
      <w:r w:rsidR="007F703B">
        <w:t>%</w:t>
      </w:r>
      <w:r w:rsidR="00ED2598">
        <w:t xml:space="preserve"> </w:t>
      </w:r>
      <w:r w:rsidR="00822024">
        <w:t>biochar/coke breeze blend</w:t>
      </w:r>
      <w:r w:rsidR="00314D2D">
        <w:t xml:space="preserve"> fuel mix was operationally feasible and that a 50% reduction in </w:t>
      </w:r>
      <w:r w:rsidR="00683A40">
        <w:t xml:space="preserve">GHG emissions was observed, </w:t>
      </w:r>
      <w:r w:rsidR="00432D9B">
        <w:t xml:space="preserve">however, </w:t>
      </w:r>
      <w:r w:rsidR="00683A40">
        <w:t xml:space="preserve">dust concentration </w:t>
      </w:r>
      <w:r w:rsidR="005D39FB">
        <w:t>and methane concentrations</w:t>
      </w:r>
      <w:r w:rsidR="00432D9B">
        <w:t xml:space="preserve"> (although low</w:t>
      </w:r>
      <w:r w:rsidR="00491C34">
        <w:t>er</w:t>
      </w:r>
      <w:r w:rsidR="00432D9B">
        <w:t xml:space="preserve"> in comparison)</w:t>
      </w:r>
      <w:r w:rsidR="005D39FB">
        <w:t xml:space="preserve"> rose significantly.</w:t>
      </w:r>
      <w:r w:rsidR="00413D40">
        <w:t xml:space="preserve"> </w:t>
      </w:r>
      <w:r w:rsidR="00F06AB2">
        <w:fldChar w:fldCharType="begin"/>
      </w:r>
      <w:r w:rsidR="0032252B">
        <w:instrText xml:space="preserve"> ADDIN ZOTERO_ITEM CSL_CITATION {"citationID":"Aqf7xorJ","properties":{"formattedCitation":"(Mathieson {\\i{}et al.}, 2011)","plainCitation":"(Mathieson et al., 2011)","noteIndex":0},"citationItems":[{"id":1758,"uris":["http://zotero.org/users/local/AB2owHL2/items/38ME85SD"],"itemData":{"id":1758,"type":"paper-conference","container-title":"Alternative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schema":"https://github.com/citation-style-language/schema/raw/master/csl-citation.json"} </w:instrText>
      </w:r>
      <w:r w:rsidR="00F06AB2">
        <w:fldChar w:fldCharType="separate"/>
      </w:r>
      <w:r w:rsidR="00192334" w:rsidRPr="00192334">
        <w:rPr>
          <w:rFonts w:ascii="Calibri" w:hAnsi="Calibri" w:cs="Calibri"/>
          <w:szCs w:val="24"/>
        </w:rPr>
        <w:t xml:space="preserve">(Mathieson </w:t>
      </w:r>
      <w:r w:rsidR="00192334" w:rsidRPr="00192334">
        <w:rPr>
          <w:rFonts w:ascii="Calibri" w:hAnsi="Calibri" w:cs="Calibri"/>
          <w:i/>
          <w:iCs/>
          <w:szCs w:val="24"/>
        </w:rPr>
        <w:t>et al.</w:t>
      </w:r>
      <w:r w:rsidR="00192334" w:rsidRPr="00192334">
        <w:rPr>
          <w:rFonts w:ascii="Calibri" w:hAnsi="Calibri" w:cs="Calibri"/>
          <w:szCs w:val="24"/>
        </w:rPr>
        <w:t>, 2011)</w:t>
      </w:r>
      <w:r w:rsidR="00F06AB2">
        <w:fldChar w:fldCharType="end"/>
      </w:r>
      <w:r w:rsidR="00F06AB2">
        <w:t xml:space="preserve"> states that </w:t>
      </w:r>
      <w:r w:rsidR="00152510">
        <w:t xml:space="preserve">partially replacing coke breeze with biochar can reduce </w:t>
      </w:r>
      <w:r w:rsidR="008340B1">
        <w:t>net CO</w:t>
      </w:r>
      <w:r w:rsidR="008340B1" w:rsidRPr="008340B1">
        <w:rPr>
          <w:vertAlign w:val="subscript"/>
        </w:rPr>
        <w:t>2</w:t>
      </w:r>
      <w:r w:rsidR="008340B1">
        <w:rPr>
          <w:vertAlign w:val="subscript"/>
        </w:rPr>
        <w:t xml:space="preserve"> </w:t>
      </w:r>
      <w:r w:rsidR="008340B1">
        <w:t>emission by 5 – 15%</w:t>
      </w:r>
      <w:r w:rsidR="00EC1772">
        <w:t xml:space="preserve">. They also found that </w:t>
      </w:r>
      <w:r w:rsidR="00CB7190">
        <w:t>as charcoal is highly porous</w:t>
      </w:r>
      <w:r w:rsidR="00ED2DB4">
        <w:t xml:space="preserve"> and</w:t>
      </w:r>
      <w:r w:rsidR="00304862">
        <w:t xml:space="preserve"> sinter granulation is negatively affected</w:t>
      </w:r>
      <w:r w:rsidR="003F450B">
        <w:t xml:space="preserve">. The moisture saturation of charcoal is 48% </w:t>
      </w:r>
      <w:r w:rsidR="0060043A">
        <w:t xml:space="preserve">compared to 25% for coke breeze. Therefore a higher percentage of water </w:t>
      </w:r>
      <w:r w:rsidR="00C21C52">
        <w:t xml:space="preserve">needs to be added to the sinter mixture (~8.5%) while coke breeze requires </w:t>
      </w:r>
      <w:r w:rsidR="00506703">
        <w:t xml:space="preserve">(~7.1%). </w:t>
      </w:r>
      <w:r w:rsidR="006279E6">
        <w:fldChar w:fldCharType="begin"/>
      </w:r>
      <w:r w:rsidR="005F5238">
        <w:instrText xml:space="preserve"> ADDIN ZOTERO_ITEM CSL_CITATION {"citationID":"mG0imPFi","properties":{"formattedCitation":"(Mousa, Babich and Senk, 2015)","plainCitation":"(Mousa, Babich and Senk, 2015)","noteIndex":0},"citationItems":[{"id":1914,"uris":["http://zotero.org/users/local/AB2owHL2/items/YI5DW7PH"],"itemData":{"id":1914,"type":"paper-conference","abstract":"The utilization of renewable biomass instead of fossil fuels is one of the ways to mitigate the CO2 emissions in the steel industry. The current study aims at investigation of the influence of coke breeze substitution with biomass charcoal in iron ore sintering process. The applied biomass is prepared by the pyrolysis of woody pellets in muffle furnace under inert atmosphere at the same temperature as coke breeze is produced. A laboratory sinter pot is employed for studying the sintering performance under biomass fuel utilization. The applied materials and the product sinter samples are subjected to reflected light microscopy, scanning electron microscopy, X-ray diffraction analysis and chemical analysis to characterize the microstructure, developed phases and chemical composition. The results of sinter bed temperature profile, permeability and off-gas analysis are discussed. The influence of biomass fuel rate in the range 0–100% on the sinter quality is evaluated and compared to the conventional sinter. The sinters quality is examined by reduction, strength tests and by microstructural study. Based on the obtained data, conclusions are given on the optimum usage of renewable biomass in iron ore sintering process.","event-place":"Düsseldorf Germany","event-title":"Metec &amp; 2nd Estad","publisher":"Institute of Ferrous Metallurgy","publisher-place":"Düsseldorf Germany","source":"ResearchGate","title":"Iron Ore Sintering Process with Biomass Utilization","author":[{"family":"Mousa","given":"Elsayed"},{"family":"Babich","given":"A."},{"family":"Senk","given":"Dieter"}],"issued":{"date-parts":[["2015",6,15]]}}}],"schema":"https://github.com/citation-style-language/schema/raw/master/csl-citation.json"} </w:instrText>
      </w:r>
      <w:r w:rsidR="006279E6">
        <w:fldChar w:fldCharType="separate"/>
      </w:r>
      <w:r w:rsidR="00192334" w:rsidRPr="00192334">
        <w:rPr>
          <w:rFonts w:ascii="Calibri" w:hAnsi="Calibri" w:cs="Calibri"/>
        </w:rPr>
        <w:t>(Mousa, Babich and Senk, 2015)</w:t>
      </w:r>
      <w:r w:rsidR="006279E6">
        <w:fldChar w:fldCharType="end"/>
      </w:r>
      <w:r w:rsidR="00777B4B">
        <w:t xml:space="preserve"> </w:t>
      </w:r>
      <w:r w:rsidR="00652466">
        <w:t>studied</w:t>
      </w:r>
      <w:r w:rsidR="00777B4B">
        <w:t xml:space="preserve"> biochar</w:t>
      </w:r>
      <w:r w:rsidR="00652466">
        <w:t xml:space="preserve"> substitution</w:t>
      </w:r>
      <w:r w:rsidR="00777B4B">
        <w:t xml:space="preserve"> for coke breeze at 0 -</w:t>
      </w:r>
      <w:r w:rsidR="00652466">
        <w:t xml:space="preserve"> 100%</w:t>
      </w:r>
      <w:r w:rsidR="00944E8A">
        <w:t xml:space="preserve">, they found that that </w:t>
      </w:r>
      <w:r w:rsidR="00E13926">
        <w:t xml:space="preserve">the lower crushing strength of biochar </w:t>
      </w:r>
      <w:r w:rsidR="00F91BDC">
        <w:t>when compared to coke breeze resulted in its destruction during mixing</w:t>
      </w:r>
      <w:r w:rsidR="009B46F4">
        <w:t xml:space="preserve">, </w:t>
      </w:r>
      <w:r w:rsidR="004A5647">
        <w:t xml:space="preserve">as a result the bed </w:t>
      </w:r>
      <w:r w:rsidR="003B5C56">
        <w:lastRenderedPageBreak/>
        <w:t>permeability</w:t>
      </w:r>
      <w:r w:rsidR="004A5647">
        <w:t xml:space="preserve"> is negatively </w:t>
      </w:r>
      <w:r w:rsidR="00983B8F">
        <w:t>affected,</w:t>
      </w:r>
      <w:r w:rsidR="004A5647">
        <w:t xml:space="preserve"> </w:t>
      </w:r>
      <w:r w:rsidR="006C18D7">
        <w:t xml:space="preserve">and the vertical sintering speed is decreased. </w:t>
      </w:r>
      <w:r w:rsidR="00A2051C">
        <w:t xml:space="preserve">Sinter yield was </w:t>
      </w:r>
      <w:r w:rsidR="008D5E0E">
        <w:t>unaffected,</w:t>
      </w:r>
      <w:r w:rsidR="00A2051C">
        <w:t xml:space="preserve"> but sinter quality</w:t>
      </w:r>
      <w:r w:rsidR="00FF02BC">
        <w:t xml:space="preserve"> (measured </w:t>
      </w:r>
      <w:r w:rsidR="0098505F">
        <w:t>by the tumbler index) and product yield</w:t>
      </w:r>
      <w:r w:rsidR="00A2051C">
        <w:t xml:space="preserve"> </w:t>
      </w:r>
      <w:r w:rsidR="00FA079F">
        <w:t xml:space="preserve">sharply decreased </w:t>
      </w:r>
      <w:r w:rsidR="004146B1">
        <w:t>when the bi</w:t>
      </w:r>
      <w:r w:rsidR="003D6188">
        <w:t>o</w:t>
      </w:r>
      <w:r w:rsidR="004146B1">
        <w:t>char substitution</w:t>
      </w:r>
      <w:r w:rsidR="008940F4">
        <w:t xml:space="preserve"> for coke breeze</w:t>
      </w:r>
      <w:r w:rsidR="004146B1">
        <w:t xml:space="preserve"> surpassed 25%.</w:t>
      </w:r>
      <w:r w:rsidR="00D63F91">
        <w:t xml:space="preserve"> </w:t>
      </w:r>
      <w:r w:rsidR="005A3C04">
        <w:fldChar w:fldCharType="begin"/>
      </w:r>
      <w:r w:rsidR="00192334">
        <w:instrText xml:space="preserve"> ADDIN ZOTERO_ITEM CSL_CITATION {"citationID":"figpPbWl","properties":{"formattedCitation":"(Lovel, Vining and Dell\\uc0\\u8217{}Amico, 2007; Kawaguchi and Hara, 2013; Wei {\\i{}et al.}, 2017)","plainCitation":"(Lovel, Vining and Dell’Amico, 2007; Kawaguchi and Hara, 2013; Wei et al., 2017)","noteIndex":0},"citationItems":[{"id":1729,"uris":["http://zotero.org/users/local/AB2owHL2/items/8INR4H8N"],"itemData":{"id":1729,"type":"article-journal","abstract":"The iron blast furnace is the most widely used and efficient producer of liquid iron; however, emissions from sintering and coking cause environmental pressure for the integrated steel works. The combustion of coke fines (breeze) during sintering contributes to greenhouse gases (e.g. carbon dioxide) and is a source of SOx and NOx emissions. Coking capacity is also constrained by environmental concerns and economic factors, such as increased coke consumption and short supply is leading to high prices. Improved coking practices, which result in reduced production of fines, are also contributing to the tight availability of breeze for sintering. This combination of factors presents an opportunity to consider alternatives to coke as a fuel for sintering. CSIRO Minerals has been investigating the use of wood biomass/char as a substitute for coke during sintering. Wood biomass, or char produced from it, is an attractive carbon source as carbon dioxide liberated during combustion can be sequestered back into growing biomass. It has great potential to reduce the emissions from integrated steelworks and improve their environmental acceptability. Harvested biomass/char is also a renewable and sustainable resource and can be integrated with good land management practices such as remediation of salinity affected land. Weeds, especially woody weeds, can also be used as a source of biomass for charcoal and integrating char production with weed management can help address a pressing environmental issue in Australia. Previous reported preliminary testwork indicated that the use of Red Gum char as a replacement for coke resulted in a product sinter of comparable quality, improvements in productivity and significant reductions in SOx and NOx emissions. In the latest testwork, CSIRO has examined the properties of a range of potential charcoals and has conducted a further series of granulation and small scale sintering trials with them in simulated Japanese Steel Mill iron ore blends. Sinter fuels characterised and evaluated include industry sourced coke breeze, commercially available wood char and a charcoal from prickly acacia (acacia nilotica). Prickly acacia has been declared a noxious weed, is widespread in Australia and is classified as a 'weed of national significance'. The results presented in this paper support the notion that charcoal outperforms coke in many aspects of iron ore sintering and factoring in environmental considerations makes the switch to charcoal even more favourable.","container-title":"Mineral Processing &amp; Extractive Metallurgy: Transactions of the Institution of Mining &amp; Metallurgy, Section C","DOI":"10.1179/174328507X163887","ISSN":"03719553","issue":"2","note":"publisher: Taylor &amp; Francis Ltd","page":"85-92","source":"EBSCOhost","title":"Iron ore sintering with charcoal","URL":"https://ezproxy.uwtsd.ac.uk/login?url=https://search.ebscohost.com/login.aspx?direct=true&amp;db=aph&amp;AN=25638249&amp;site=ehost-live","volume":"116","author":[{"family":"Lovel","given":"R."},{"family":"Vining","given":"K."},{"family":"Dell'Amico","given":"M."}],"accessed":{"date-parts":[["2022",6,30]]},"issued":{"date-parts":[["2007",6]]}},"label":"page"},{"id":1917,"uris":["http://zotero.org/users/local/AB2owHL2/items/TDKN9GFN"],"itemData":{"id":1917,"type":"article-journal","container-title":"ISIJ International","DOI":"10.2355/isijinternational.53.1599","ISSN":"0915-1559, 1347-5460","issue":"9","journalAbbreviation":"ISIJ Int.","language":"en","page":"1599-1606","source":"DOI.org (Crossref)","title":"Utilization of Biomass for Iron Ore Sintering","URL":"https://www.jstage.jst.go.jp/article/isijinternational/53/9/53_1599/_article","volume":"53","author":[{"family":"Kawaguchi","given":"Takazo"},{"family":"Hara","given":"Masaki"}],"accessed":{"date-parts":[["2022",8,24]]},"issued":{"date-parts":[["2013"]]}},"label":"page"},{"id":393,"uris":["http://zotero.org/users/local/AB2owHL2/items/2BX9TDVQ"],"itemData":{"id":393,"type":"article-journal","abstract":"This paper provides a critical review on the current status and potential of biomass utilization in ferrous metallurgical processes, i.e., the blast furnace (BF) – basic oxygen furnace (BOF) route, the direct reduction (DR) – electric arc furnace (EAF) route, the scrap – EAF route and the other routes. In the BF-BOF route, biomass can be used as a fuel for iron ore sintering, or as a raw material for the production of bio-coke, and utilized for blast furnace injection. In the DR-EAF route, direct reduction iron can be produced form iron ore and biomass pellet. In the scrap – EAF route, biomass can be utilized in EAF through a cogeneration system. In addition, biomass can be utilized in magnetic separation of refractory low-grade iron ore, in reuse of iron and steel slag, or as an adsorbent for pollutant control, etc. The challenges and outlook of biomass utilization in metallurgical industry are also discussed in this paper.","container-title":"Renewable and Sustainable Energy Reviews","DOI":"10.1016/j.rser.2016.10.013","ISSN":"1364-0321","journalAbbreviation":"Renewable and Sustainable Energy Reviews","language":"en","page":"511-524","source":"ScienceDirect","title":"Current status and potential of biomass utilization in ferrous metallurgical industry","URL":"https://www.sciencedirect.com/science/article/pii/S1364032116306657","volume":"68","author":[{"family":"Wei","given":"Rufei"},{"family":"Zhang","given":"Lingling"},{"family":"Cang","given":"Daqiang"},{"family":"Li","given":"Jiaxin"},{"family":"Li","given":"Xianwei"},{"family":"Xu","given":"Chunbao Charles"}],"accessed":{"date-parts":[["2021",2,6]]},"issued":{"date-parts":[["2017",2,1]]}},"label":"page"}],"schema":"https://github.com/citation-style-language/schema/raw/master/csl-citation.json"} </w:instrText>
      </w:r>
      <w:r w:rsidR="005A3C04">
        <w:fldChar w:fldCharType="separate"/>
      </w:r>
      <w:r w:rsidR="00192334" w:rsidRPr="00192334">
        <w:rPr>
          <w:rFonts w:ascii="Calibri" w:hAnsi="Calibri" w:cs="Calibri"/>
          <w:szCs w:val="24"/>
        </w:rPr>
        <w:t xml:space="preserve">(Lovel, Vining and Dell’Amico, 2007; Kawaguchi and Hara, 2013; Wei </w:t>
      </w:r>
      <w:r w:rsidR="00192334" w:rsidRPr="00192334">
        <w:rPr>
          <w:rFonts w:ascii="Calibri" w:hAnsi="Calibri" w:cs="Calibri"/>
          <w:i/>
          <w:iCs/>
          <w:szCs w:val="24"/>
        </w:rPr>
        <w:t>et al.</w:t>
      </w:r>
      <w:r w:rsidR="00192334" w:rsidRPr="00192334">
        <w:rPr>
          <w:rFonts w:ascii="Calibri" w:hAnsi="Calibri" w:cs="Calibri"/>
          <w:szCs w:val="24"/>
        </w:rPr>
        <w:t>, 2017)</w:t>
      </w:r>
      <w:r w:rsidR="005A3C04">
        <w:fldChar w:fldCharType="end"/>
      </w:r>
      <w:r w:rsidR="006B2020">
        <w:t xml:space="preserve"> demonstrated that biomass addition to sinter making has a negative </w:t>
      </w:r>
      <w:r w:rsidR="008575CB">
        <w:t>effect</w:t>
      </w:r>
      <w:r w:rsidR="006B2020">
        <w:t xml:space="preserve"> on</w:t>
      </w:r>
      <w:r w:rsidR="00D571E8">
        <w:t xml:space="preserve"> the sinters</w:t>
      </w:r>
      <w:r w:rsidR="00E27CF8">
        <w:t xml:space="preserve"> yield and</w:t>
      </w:r>
      <w:r w:rsidR="00D571E8">
        <w:t xml:space="preserve"> ability to resist impact and friction</w:t>
      </w:r>
      <w:r w:rsidR="006C1370">
        <w:t xml:space="preserve"> (measured by </w:t>
      </w:r>
      <w:r w:rsidR="00E27CF8">
        <w:t xml:space="preserve">the </w:t>
      </w:r>
      <w:r w:rsidR="006C1370">
        <w:t>tumble index)</w:t>
      </w:r>
      <w:r w:rsidR="00E27CF8">
        <w:t xml:space="preserve"> </w:t>
      </w:r>
      <w:r w:rsidR="000B734C">
        <w:t>w</w:t>
      </w:r>
      <w:r w:rsidR="00351D51">
        <w:t>hile at this point fuel consumption increase</w:t>
      </w:r>
      <w:r w:rsidR="00BA606A">
        <w:t>s</w:t>
      </w:r>
      <w:r w:rsidR="004C7052">
        <w:t xml:space="preserve"> </w:t>
      </w:r>
      <w:r w:rsidR="00715441">
        <w:t>a</w:t>
      </w:r>
      <w:r w:rsidR="0036056A">
        <w:t xml:space="preserve">s </w:t>
      </w:r>
      <w:r w:rsidR="00B34E3C">
        <w:t>illustrated in</w:t>
      </w:r>
      <w:r w:rsidR="00B1768A">
        <w:t xml:space="preserve"> </w:t>
      </w:r>
      <w:r w:rsidR="0036056A">
        <w:t>figure 1</w:t>
      </w:r>
      <w:r w:rsidR="004D4C4D">
        <w:t>4</w:t>
      </w:r>
      <w:r w:rsidR="0036056A">
        <w:t>.</w:t>
      </w:r>
      <w:r w:rsidR="00D600CC">
        <w:t xml:space="preserve"> </w:t>
      </w:r>
      <w:r w:rsidR="004B5296">
        <w:t>Although</w:t>
      </w:r>
      <w:r w:rsidR="00D600CC">
        <w:t xml:space="preserve"> </w:t>
      </w:r>
      <w:r w:rsidR="00D600CC">
        <w:fldChar w:fldCharType="begin"/>
      </w:r>
      <w:r w:rsidR="00192334">
        <w:instrText xml:space="preserve"> ADDIN ZOTERO_ITEM CSL_CITATION {"citationID":"2NKOaIWl","properties":{"formattedCitation":"(Kawaguchi and Hara, 2013)","plainCitation":"(Kawaguchi and Hara, 2013)","noteIndex":0},"citationItems":[{"id":1917,"uris":["http://zotero.org/users/local/AB2owHL2/items/TDKN9GFN"],"itemData":{"id":1917,"type":"article-journal","container-title":"ISIJ International","DOI":"10.2355/isijinternational.53.1599","ISSN":"0915-1559, 1347-5460","issue":"9","journalAbbreviation":"ISIJ Int.","language":"en","page":"1599-1606","source":"DOI.org (Crossref)","title":"Utilization of Biomass for Iron Ore Sintering","URL":"https://www.jstage.jst.go.jp/article/isijinternational/53/9/53_1599/_article","volume":"53","author":[{"family":"Kawaguchi","given":"Takazo"},{"family":"Hara","given":"Masaki"}],"accessed":{"date-parts":[["2022",8,24]]},"issued":{"date-parts":[["2013"]]}}}],"schema":"https://github.com/citation-style-language/schema/raw/master/csl-citation.json"} </w:instrText>
      </w:r>
      <w:r w:rsidR="00D600CC">
        <w:fldChar w:fldCharType="separate"/>
      </w:r>
      <w:r w:rsidR="00192334" w:rsidRPr="00192334">
        <w:rPr>
          <w:rFonts w:ascii="Calibri" w:hAnsi="Calibri" w:cs="Calibri"/>
        </w:rPr>
        <w:t>(Kawaguchi and Hara, 2013)</w:t>
      </w:r>
      <w:r w:rsidR="00D600CC">
        <w:fldChar w:fldCharType="end"/>
      </w:r>
      <w:r w:rsidR="00D600CC">
        <w:t xml:space="preserve"> found that </w:t>
      </w:r>
      <w:r w:rsidR="00603322">
        <w:t>by using biochar with high fixed carbon (&gt;90%) and larger particle size (1-5mm)</w:t>
      </w:r>
      <w:r w:rsidR="004E2A61">
        <w:t xml:space="preserve">, the sinter yield and product yield </w:t>
      </w:r>
      <w:r w:rsidR="00AA2D13">
        <w:t>was comparable to that of coke breeze</w:t>
      </w:r>
      <w:r w:rsidR="008B0E9B">
        <w:t xml:space="preserve"> and by adjusting the sintering process</w:t>
      </w:r>
      <w:r w:rsidR="000C65DA">
        <w:t xml:space="preserve">, sinter produced from biomass can meet BF </w:t>
      </w:r>
      <w:r w:rsidR="006E4BAD">
        <w:t>requirements</w:t>
      </w:r>
      <w:r w:rsidR="00AA2D13">
        <w:t>.</w:t>
      </w:r>
    </w:p>
    <w:p w14:paraId="6E38F097" w14:textId="3794C2CD" w:rsidR="006C7611" w:rsidRPr="008340B1" w:rsidRDefault="00BD3BA2" w:rsidP="00D12E0B">
      <w:pPr>
        <w:spacing w:line="360" w:lineRule="auto"/>
        <w:jc w:val="both"/>
      </w:pPr>
      <w:r w:rsidRPr="00BD3BA2">
        <w:rPr>
          <w:noProof/>
        </w:rPr>
        <w:drawing>
          <wp:inline distT="0" distB="0" distL="0" distR="0" wp14:anchorId="6101F322" wp14:editId="6751C9A7">
            <wp:extent cx="3517849" cy="2187245"/>
            <wp:effectExtent l="0" t="0" r="6985" b="381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41"/>
                    <a:stretch>
                      <a:fillRect/>
                    </a:stretch>
                  </pic:blipFill>
                  <pic:spPr>
                    <a:xfrm>
                      <a:off x="0" y="0"/>
                      <a:ext cx="3537856" cy="2199685"/>
                    </a:xfrm>
                    <a:prstGeom prst="rect">
                      <a:avLst/>
                    </a:prstGeom>
                  </pic:spPr>
                </pic:pic>
              </a:graphicData>
            </a:graphic>
          </wp:inline>
        </w:drawing>
      </w:r>
    </w:p>
    <w:p w14:paraId="3E027B13" w14:textId="05BE0724" w:rsidR="00225BF7" w:rsidRDefault="008D5E0E" w:rsidP="008D5E0E">
      <w:pPr>
        <w:pStyle w:val="Caption"/>
      </w:pPr>
      <w:bookmarkStart w:id="31" w:name="_Toc127110908"/>
      <w:r>
        <w:t xml:space="preserve">Figure </w:t>
      </w:r>
      <w:fldSimple w:instr=" SEQ Figure \* ARABIC ">
        <w:r w:rsidR="00A0212F">
          <w:rPr>
            <w:noProof/>
          </w:rPr>
          <w:t>14</w:t>
        </w:r>
      </w:fldSimple>
      <w:r w:rsidR="0036056A">
        <w:t xml:space="preserve"> </w:t>
      </w:r>
      <w:r w:rsidR="00954848">
        <w:t>Sinter quality indices</w:t>
      </w:r>
      <w:r w:rsidR="00216EDF">
        <w:t xml:space="preserve"> after biochar addition</w:t>
      </w:r>
      <w:r w:rsidR="005662F8">
        <w:t xml:space="preserve"> </w:t>
      </w:r>
      <w:r w:rsidR="005662F8">
        <w:fldChar w:fldCharType="begin"/>
      </w:r>
      <w:r w:rsidR="005F5238">
        <w:instrText xml:space="preserve"> ADDIN ZOTERO_ITEM CSL_CITATION {"citationID":"o6JKjwOP","properties":{"formattedCitation":"(Mousa, Babich and Senk, 2015)","plainCitation":"(Mousa, Babich and Senk, 2015)","noteIndex":0},"citationItems":[{"id":1914,"uris":["http://zotero.org/users/local/AB2owHL2/items/YI5DW7PH"],"itemData":{"id":1914,"type":"paper-conference","abstract":"The utilization of renewable biomass instead of fossil fuels is one of the ways to mitigate the CO2 emissions in the steel industry. The current study aims at investigation of the influence of coke breeze substitution with biomass charcoal in iron ore sintering process. The applied biomass is prepared by the pyrolysis of woody pellets in muffle furnace under inert atmosphere at the same temperature as coke breeze is produced. A laboratory sinter pot is employed for studying the sintering performance under biomass fuel utilization. The applied materials and the product sinter samples are subjected to reflected light microscopy, scanning electron microscopy, X-ray diffraction analysis and chemical analysis to characterize the microstructure, developed phases and chemical composition. The results of sinter bed temperature profile, permeability and off-gas analysis are discussed. The influence of biomass fuel rate in the range 0–100% on the sinter quality is evaluated and compared to the conventional sinter. The sinters quality is examined by reduction, strength tests and by microstructural study. Based on the obtained data, conclusions are given on the optimum usage of renewable biomass in iron ore sintering process.","event-place":"Düsseldorf Germany","event-title":"Metec &amp; 2nd Estad","publisher":"Institute of Ferrous Metallurgy","publisher-place":"Düsseldorf Germany","source":"ResearchGate","title":"Iron Ore Sintering Process with Biomass Utilization","author":[{"family":"Mousa","given":"Elsayed"},{"family":"Babich","given":"A."},{"family":"Senk","given":"Dieter"}],"issued":{"date-parts":[["2015",6,15]]}}}],"schema":"https://github.com/citation-style-language/schema/raw/master/csl-citation.json"} </w:instrText>
      </w:r>
      <w:r w:rsidR="005662F8">
        <w:fldChar w:fldCharType="separate"/>
      </w:r>
      <w:r w:rsidR="00192334" w:rsidRPr="00192334">
        <w:rPr>
          <w:rFonts w:ascii="Calibri" w:hAnsi="Calibri" w:cs="Calibri"/>
        </w:rPr>
        <w:t>(Mousa, Babich and Senk, 2015)</w:t>
      </w:r>
      <w:r w:rsidR="005662F8">
        <w:fldChar w:fldCharType="end"/>
      </w:r>
      <w:r w:rsidR="005662F8">
        <w:t>.</w:t>
      </w:r>
      <w:bookmarkEnd w:id="31"/>
    </w:p>
    <w:p w14:paraId="0E526477" w14:textId="379768DB" w:rsidR="00225BF7" w:rsidRDefault="00FE0BB2" w:rsidP="00B616B5">
      <w:pPr>
        <w:spacing w:line="360" w:lineRule="auto"/>
        <w:jc w:val="both"/>
      </w:pPr>
      <w:r>
        <w:fldChar w:fldCharType="begin"/>
      </w:r>
      <w:r w:rsidR="00192334">
        <w:instrText xml:space="preserve"> ADDIN ZOTERO_ITEM CSL_CITATION {"citationID":"aSXfTESY","properties":{"formattedCitation":"(Ooi {\\i{}et al.}, 2011)","plainCitation":"(Ooi et al., 2011)","noteIndex":0},"citationItems":[{"id":1810,"uris":["http://zotero.org/users/local/AB2owHL2/items/REBK9MRP"],"itemData":{"id":1810,"type":"article-journal","abstract":"A study was carried out into the use of hardwood charcoal as a supplementary fuel in the iron-ore sintering process. The primary fuel was coke breeze with 0%, 20%, 50% and 100% replacement of the energy input with charcoal to produce raw blends with the same heat output as 4.0wt.% coke breeze. Experimental results indicate that fuel blends where 20% of the heat input was provided by charcoal may improve both the sinter yield and sintering productivity by up to 8%, under normal sintering conditions. In addition, the 20% replacement of coke energy with charcoal would mean that part of the carbon dioxide emitted from the process would be from a renewable source and could be used to offset carbon dioxide emissions from non-renewable fossil fuels. At higher rates of coke breeze energy substitution with charcoal, the lower sintering performance observed was mainly attributed to the lower fixed carbon content and higher volatile matter content of the fuel mix. At the optimum rate of 20% substitution of coke breeze energy input with charcoal, the emission of dioxins were similar to those observed with coke breeze alone as the fuel. However, sintering with 20% energy input from charcoal resulted in a slight increase in middle molecular weight and lower molecular weight PAHs, contributing to a minor increase in B[a]P-eq from 0.15μg/m3 to 0.17μg/m3. Overall the results from the laboratory scale tests suggest that it is feasible to substitute 20% of the coke breeze energy input with an equivalent amount of energy from charcoal in the iron-ore sintering process.","container-title":"Combustion and Flame","DOI":"10.1016/j.combustflame.2011.01.020","ISSN":"0010-2180","issue":"5","journalAbbreviation":"Combustion and Flame","language":"en","page":"979-987","source":"ScienceDirect","title":"The effect of charcoal combustion on iron-ore sintering performance and emission of persistent organic pollutants","URL":"https://www.sciencedirect.com/science/article/pii/S0010218011000356","volume":"158","author":[{"family":"Ooi","given":"Tze Chean"},{"family":"Thompson","given":"Dennis"},{"family":"Anderson","given":"David R."},{"family":"Fisher","given":"Ray"},{"family":"Fray","given":"Trevor"},{"family":"Zandi","given":"Mohammad"}],"accessed":{"date-parts":[["2022",7,21]]},"issued":{"date-parts":[["2011",5,1]]}}}],"schema":"https://github.com/citation-style-language/schema/raw/master/csl-citation.json"} </w:instrText>
      </w:r>
      <w:r>
        <w:fldChar w:fldCharType="separate"/>
      </w:r>
      <w:r w:rsidR="00192334" w:rsidRPr="00192334">
        <w:rPr>
          <w:rFonts w:ascii="Calibri" w:hAnsi="Calibri" w:cs="Calibri"/>
          <w:szCs w:val="24"/>
        </w:rPr>
        <w:t xml:space="preserve">(Ooi </w:t>
      </w:r>
      <w:r w:rsidR="00192334" w:rsidRPr="00192334">
        <w:rPr>
          <w:rFonts w:ascii="Calibri" w:hAnsi="Calibri" w:cs="Calibri"/>
          <w:i/>
          <w:iCs/>
          <w:szCs w:val="24"/>
        </w:rPr>
        <w:t>et al.</w:t>
      </w:r>
      <w:r w:rsidR="00192334" w:rsidRPr="00192334">
        <w:rPr>
          <w:rFonts w:ascii="Calibri" w:hAnsi="Calibri" w:cs="Calibri"/>
          <w:szCs w:val="24"/>
        </w:rPr>
        <w:t>, 2011)</w:t>
      </w:r>
      <w:r>
        <w:fldChar w:fldCharType="end"/>
      </w:r>
      <w:r>
        <w:t xml:space="preserve"> </w:t>
      </w:r>
      <w:r w:rsidR="002A5837">
        <w:t>suggest that up to 20% of coke breeze can be replaced with charcoal</w:t>
      </w:r>
      <w:r w:rsidR="001D79F7">
        <w:t xml:space="preserve">, they </w:t>
      </w:r>
      <w:r w:rsidR="00623C1D">
        <w:t>discovered that both sinter yield and productivity was improved</w:t>
      </w:r>
      <w:r w:rsidR="00524DF8">
        <w:t xml:space="preserve">. </w:t>
      </w:r>
      <w:r w:rsidR="00B33FF2">
        <w:fldChar w:fldCharType="begin"/>
      </w:r>
      <w:r w:rsidR="00192334">
        <w:instrText xml:space="preserve"> ADDIN ZOTERO_ITEM CSL_CITATION {"citationID":"J2kHirYs","properties":{"formattedCitation":"(Gan {\\i{}et al.}, 2014, 2015)","plainCitation":"(Gan et al., 2014, 2015)","noteIndex":0},"citationItems":[{"id":1701,"uris":["http://zotero.org/users/local/AB2owHL2/items/YS66955K"],"itemData":{"id":1701,"type":"article-journal","abstract":"It is of great significance for cleaner production to substitute bio-energy for fossil fuels in iron ore sintering. However, with the replacement ratio increasing, the consistency of heat front and flame front is broken, and the thermal utilizing efficiency of fuel is reduced, which results in the decrease of yield and tumble index of sinter. Circulating flue gas to sintering bed as biochar replacing 40% coke, CO in flue gas can be reused so as to increase the thermal utilizing efficiency of fuels, and the consistency of two fronts is recovered for the circulating flue gas containing certain CO2, H2O and lower O2, which contributes to increasing the maximum temperature, extending the high temperature duration time of sintering bed, and results in improving the output and quality of sinter. In the condition of circulating 40% flue gas, the sintering with biomass fuels is strengthened, and the sintering indexes with biomass fuel replacing 40% coke breeze are comparative to those of using coke breeze completely.","container-title":"Journal of Central South University","DOI":"10.1007/s11771-014-2405-6","ISSN":"2095-2899, 2227-5223","issue":"11","journalAbbreviation":"J. Cent. South Univ.","language":"en","page":"4109-4114","source":"DOI.org (Crossref)","title":"Fundamental study on iron ore sintering new process of flue gas recirculation together with using biochar as fuel","URL":"http://link.springer.com/10.1007/s11771-014-2405-6","volume":"21","author":[{"family":"Gan","given":"Min"},{"family":"Fan","given":"Xiao-hui"},{"family":"Jiang","given":"Tao"},{"family":"Chen","given":"Xu-ling"},{"family":"Yu","given":"Zhi-yuan"},{"family":"Ji","given":"Zhi-yun"}],"accessed":{"date-parts":[["2022",6,28]]},"issued":{"date-parts":[["2014",11]]}},"label":"page"},{"id":1872,"uris":["http://zotero.org/users/local/AB2owHL2/items/IVHVF59L"],"itemData":{"id":1872,"type":"article-journal","abstract":"The influence of biomass fuel replacing coke breeze on flame front and combustion efficiency were studied. The results show that when coke breeze is replaced, the flame front is accelerated since biomass has superior combustion characteristics. Combustion efficiency is decreased, however, as biomass is of excessively high reactivity, which can both lower the maximum temperature and reduce the time at high temperature of the sinter bed. The proportion of biomass fuel replacing coke breeze should, therefore, not exceed 40%, otherwise, the mineralisation of sinter material is insufficient and the yield and tumbler index of sinter significantly deteriorate. By increasing the size of biomass fuel, sinter indices are improved since the burning velocity of biomass fuel is optimised. When the proportion of biomass fuels is 40%, the emissions of SO2 and NO can be decreased by 40 and 28% respectively.","container-title":"Ironmaking &amp; Steelmaking","DOI":"10.1179/1743281214Y.0000000194","ISSN":"03019233","issue":"1","note":"publisher: Taylor &amp; Francis Ltd","page":"27-33","source":"EBSCOhost","title":"Application of biomass fuel in iron ore sintering: influencing mechanism and emission reduction","title-short":"Application of biomass fuel in iron ore sintering","URL":"https://ezproxy.uwtsd.ac.uk/login?url=https://search.ebscohost.com/login.aspx?direct=true&amp;db=aph&amp;AN=99542566&amp;site=ehost-live","volume":"42","author":[{"family":"Gan","given":"M."},{"family":"Fan","given":"X."},{"family":"Ji","given":"Z."},{"family":"Jiang","given":"T."},{"family":"Chen","given":"X."},{"family":"Yu","given":"Z."},{"family":"Li","given":"G."},{"family":"Yin","given":"L."}],"accessed":{"date-parts":[["2022",8,3]]},"issued":{"date-parts":[["2015",1]]}},"label":"page"}],"schema":"https://github.com/citation-style-language/schema/raw/master/csl-citation.json"} </w:instrText>
      </w:r>
      <w:r w:rsidR="00B33FF2">
        <w:fldChar w:fldCharType="separate"/>
      </w:r>
      <w:r w:rsidR="00192334" w:rsidRPr="00192334">
        <w:rPr>
          <w:rFonts w:ascii="Calibri" w:hAnsi="Calibri" w:cs="Calibri"/>
          <w:szCs w:val="24"/>
        </w:rPr>
        <w:t xml:space="preserve">(Gan </w:t>
      </w:r>
      <w:r w:rsidR="00192334" w:rsidRPr="00192334">
        <w:rPr>
          <w:rFonts w:ascii="Calibri" w:hAnsi="Calibri" w:cs="Calibri"/>
          <w:i/>
          <w:iCs/>
          <w:szCs w:val="24"/>
        </w:rPr>
        <w:t>et al.</w:t>
      </w:r>
      <w:r w:rsidR="00192334" w:rsidRPr="00192334">
        <w:rPr>
          <w:rFonts w:ascii="Calibri" w:hAnsi="Calibri" w:cs="Calibri"/>
          <w:szCs w:val="24"/>
        </w:rPr>
        <w:t>, 2014, 2015)</w:t>
      </w:r>
      <w:r w:rsidR="00B33FF2">
        <w:fldChar w:fldCharType="end"/>
      </w:r>
      <w:r w:rsidR="00B33FF2">
        <w:t xml:space="preserve"> </w:t>
      </w:r>
      <w:r w:rsidR="007D7856">
        <w:t xml:space="preserve">report that </w:t>
      </w:r>
      <w:r w:rsidR="0015479E">
        <w:t xml:space="preserve">up to </w:t>
      </w:r>
      <w:r w:rsidR="00B616B5">
        <w:t>40% biochar replacement could be reached.</w:t>
      </w:r>
      <w:r w:rsidR="00B41E3A">
        <w:t xml:space="preserve"> </w:t>
      </w:r>
      <w:r w:rsidR="00B616B5">
        <w:t xml:space="preserve"> As the substitution rate increased</w:t>
      </w:r>
      <w:r w:rsidR="00577DC0">
        <w:t xml:space="preserve">, the combustion efficiency deteriorated </w:t>
      </w:r>
      <w:r w:rsidR="001E2CCD">
        <w:t xml:space="preserve">due to </w:t>
      </w:r>
      <w:r w:rsidR="00FB6211">
        <w:t xml:space="preserve">variation in the </w:t>
      </w:r>
      <w:r w:rsidR="00EE2B00">
        <w:t>flame front speed and heat front speed.</w:t>
      </w:r>
      <w:r w:rsidR="00A800BF">
        <w:t xml:space="preserve"> They found </w:t>
      </w:r>
      <w:r w:rsidR="007A4B15">
        <w:t>if the</w:t>
      </w:r>
      <w:r w:rsidR="001F71E0">
        <w:t xml:space="preserve"> </w:t>
      </w:r>
      <w:r w:rsidR="007A4B15">
        <w:t xml:space="preserve">PSD </w:t>
      </w:r>
      <w:r w:rsidR="001F71E0">
        <w:t xml:space="preserve">in the 1 - 5mm range </w:t>
      </w:r>
      <w:r w:rsidR="006E58AE">
        <w:t>is increased</w:t>
      </w:r>
      <w:r w:rsidR="001F71E0">
        <w:t xml:space="preserve"> </w:t>
      </w:r>
      <w:r w:rsidR="006E58AE">
        <w:t xml:space="preserve">the sinter quality indices improved. </w:t>
      </w:r>
      <w:r w:rsidR="00514A04">
        <w:t>The parameters that</w:t>
      </w:r>
      <w:r w:rsidR="00AC6B13">
        <w:t xml:space="preserve"> need to be considered and controlled when</w:t>
      </w:r>
      <w:r w:rsidR="007436EA">
        <w:t xml:space="preserve"> </w:t>
      </w:r>
      <w:r w:rsidR="007F2092">
        <w:t>optimising the substitution rate of biochar</w:t>
      </w:r>
      <w:r w:rsidR="00AD7603">
        <w:t xml:space="preserve">, include </w:t>
      </w:r>
      <w:r w:rsidR="006E7420">
        <w:t>chemical composition, reactivity, particle size,</w:t>
      </w:r>
      <w:r w:rsidR="00FE6EC9">
        <w:t xml:space="preserve"> and</w:t>
      </w:r>
      <w:r w:rsidR="006E7420">
        <w:t xml:space="preserve"> strength</w:t>
      </w:r>
      <w:r w:rsidR="00FE6EC9">
        <w:t xml:space="preserve"> of the biomass</w:t>
      </w:r>
      <w:r w:rsidR="00130AA1">
        <w:t xml:space="preserve"> products.</w:t>
      </w:r>
    </w:p>
    <w:p w14:paraId="5EF0A0D7" w14:textId="57611C67" w:rsidR="005F4F16" w:rsidRDefault="006220C6" w:rsidP="005F4F16">
      <w:pPr>
        <w:pStyle w:val="Heading3"/>
        <w:spacing w:line="360" w:lineRule="auto"/>
        <w:jc w:val="both"/>
      </w:pPr>
      <w:bookmarkStart w:id="32" w:name="_Toc128599601"/>
      <w:r>
        <w:t>Bio</w:t>
      </w:r>
      <w:r w:rsidR="00C56203">
        <w:t>mass</w:t>
      </w:r>
      <w:r>
        <w:t xml:space="preserve"> supply </w:t>
      </w:r>
      <w:r w:rsidR="008B3133">
        <w:t>and availability</w:t>
      </w:r>
      <w:bookmarkEnd w:id="32"/>
      <w:r w:rsidR="008B3133">
        <w:t xml:space="preserve">  </w:t>
      </w:r>
    </w:p>
    <w:p w14:paraId="6A68D84D" w14:textId="00103E6C" w:rsidR="00771155" w:rsidRDefault="00EE0F9B" w:rsidP="004744FC">
      <w:pPr>
        <w:spacing w:line="360" w:lineRule="auto"/>
        <w:jc w:val="both"/>
      </w:pPr>
      <w:r>
        <w:t xml:space="preserve">There are </w:t>
      </w:r>
      <w:r w:rsidR="00442080">
        <w:t xml:space="preserve">barriers to implementing biochar in the ISI. </w:t>
      </w:r>
      <w:r w:rsidR="00631910">
        <w:t>At present there are no supply chains</w:t>
      </w:r>
      <w:r w:rsidR="00472D78">
        <w:t xml:space="preserve"> in place</w:t>
      </w:r>
      <w:r w:rsidR="00631910">
        <w:t xml:space="preserve"> </w:t>
      </w:r>
      <w:r w:rsidR="002D79BA">
        <w:t>for the supply of biochar to the ISI</w:t>
      </w:r>
      <w:r w:rsidR="00710BD2">
        <w:t xml:space="preserve"> </w:t>
      </w:r>
      <w:r w:rsidR="00710BD2">
        <w:fldChar w:fldCharType="begin"/>
      </w:r>
      <w:r w:rsidR="00192334">
        <w:instrText xml:space="preserve"> ADDIN ZOTERO_ITEM CSL_CITATION {"citationID":"ZXPEfOvR","properties":{"formattedCitation":"(Suopaj\\uc0\\u228{}rvi {\\i{}et al.}, 2018)","plainCitation":"(Suopajärvi et al., 2018)","noteIndex":0},"citationItems":[{"id":428,"uris":["http://zotero.org/users/local/AB2owHL2/items/4TLBFGFE"],"itemData":{"id":428,"type":"article-journal","abstract":"This paper provides a fundamental and critical review of biomass application as a reducing agent and fuel in integrated steelmaking. The basis for the review is derived from the current process and product quality requirements that also biomass-derived fuels should fulfill. The availability and characteristics of different sources of biomass are discussed and suitable pretreatment technologies for their upgrading are evaluated. The existing literature concerning biomass application in bio-coke making, blast furnace injection, iron ore sintering and production of carbon composite agglomerates is reviewed and research gaps filled by providing insights and recommendations to the unresolved challenges. Several possibilities to integrate the production of biomass-based reducing agents with existing industrial infrastructures to lower the cost and increase the total efficiency are given. A comparison of technical challenges and CO2 emission reduction potential between biomass-based steelmaking and other emerging technologies to produce low-CO2 steel is made.","container-title":"Applied Energy","DOI":"10.1016/j.apenergy.2018.01.060","ISSN":"0306-2619","journalAbbreviation":"Applied Energy","language":"en","page":"384-407","source":"ScienceDirect","title":"Use of biomass in integrated steelmaking – Status quo, future needs and comparison to other low-CO2 steel production technologies","URL":"https://www.sciencedirect.com/science/article/pii/S0306261918300709","volume":"213","author":[{"family":"Suopajärvi","given":"Hannu"},{"family":"Umeki","given":"Kentaro"},{"family":"Mousa","given":"Elsayed"},{"family":"Hedayati","given":"Ali"},{"family":"Romar","given":"Henrik"},{"family":"Kemppainen","given":"Antti"},{"family":"Wang","given":"Chuan"},{"family":"Phounglamcheik","given":"Aekjuthon"},{"family":"Tuomikoski","given":"Sari"},{"family":"Norberg","given":"Nicklas"},{"family":"Andefors","given":"Alf"},{"family":"Öhman","given":"Marcus"},{"family":"Lassi","given":"Ulla"},{"family":"Fabritius","given":"Timo"}],"accessed":{"date-parts":[["2021",2,8]]},"issued":{"date-parts":[["2018",3,1]]}}}],"schema":"https://github.com/citation-style-language/schema/raw/master/csl-citation.json"} </w:instrText>
      </w:r>
      <w:r w:rsidR="00710BD2">
        <w:fldChar w:fldCharType="separate"/>
      </w:r>
      <w:r w:rsidR="00192334" w:rsidRPr="00192334">
        <w:rPr>
          <w:rFonts w:ascii="Calibri" w:hAnsi="Calibri" w:cs="Calibri"/>
          <w:szCs w:val="24"/>
        </w:rPr>
        <w:t xml:space="preserve">(Suopajärvi </w:t>
      </w:r>
      <w:r w:rsidR="00192334" w:rsidRPr="00192334">
        <w:rPr>
          <w:rFonts w:ascii="Calibri" w:hAnsi="Calibri" w:cs="Calibri"/>
          <w:i/>
          <w:iCs/>
          <w:szCs w:val="24"/>
        </w:rPr>
        <w:t>et al.</w:t>
      </w:r>
      <w:r w:rsidR="00192334" w:rsidRPr="00192334">
        <w:rPr>
          <w:rFonts w:ascii="Calibri" w:hAnsi="Calibri" w:cs="Calibri"/>
          <w:szCs w:val="24"/>
        </w:rPr>
        <w:t>, 2018)</w:t>
      </w:r>
      <w:r w:rsidR="00710BD2">
        <w:fldChar w:fldCharType="end"/>
      </w:r>
      <w:r w:rsidR="003D342E">
        <w:t>.</w:t>
      </w:r>
      <w:r w:rsidR="00540DEE">
        <w:t xml:space="preserve"> </w:t>
      </w:r>
      <w:r w:rsidR="00B6409A">
        <w:t>Th</w:t>
      </w:r>
      <w:r w:rsidR="00B16473">
        <w:t>e UK also</w:t>
      </w:r>
      <w:r w:rsidR="00442080">
        <w:t xml:space="preserve"> currently</w:t>
      </w:r>
      <w:r w:rsidR="00B16473">
        <w:t xml:space="preserve"> lacks the facilities to produce the amount of biochar that would be required </w:t>
      </w:r>
      <w:r w:rsidR="006829F5">
        <w:t>for</w:t>
      </w:r>
      <w:r w:rsidR="00B16473">
        <w:t xml:space="preserve"> the ISI</w:t>
      </w:r>
      <w:r w:rsidR="00CF3CFA">
        <w:t xml:space="preserve"> </w:t>
      </w:r>
      <w:r w:rsidR="00B4717D">
        <w:fldChar w:fldCharType="begin"/>
      </w:r>
      <w:r w:rsidR="00192334">
        <w:instrText xml:space="preserve"> ADDIN ZOTERO_ITEM CSL_CITATION {"citationID":"lt0PE2bm","properties":{"formattedCitation":"(Lamers {\\i{}et al.}, 2016)","plainCitation":"(Lamers et al., 2016)","noteIndex":0},"citationItems":[{"id":1924,"uris":["http://zotero.org/users/local/AB2owHL2/items/YQGMD9JV"],"itemData":{"id":1924,"type":"book","event-place":"London","publisher":"Elsevier","publisher-place":"London","title":"Developing the bioeconomy - Technical, market, and environmental lessons from bioenergy","author":[{"family":"Lamers","given":"Patrick"},{"family":"Searcy","given":"Erin"},{"family":"Hess","given":"J. Richard"},{"family":"Stitchnothe","given":"Heinz"}],"issued":{"date-parts":[["2016"]]}}}],"schema":"https://github.com/citation-style-language/schema/raw/master/csl-citation.json"} </w:instrText>
      </w:r>
      <w:r w:rsidR="00B4717D">
        <w:fldChar w:fldCharType="separate"/>
      </w:r>
      <w:r w:rsidR="00192334" w:rsidRPr="00192334">
        <w:rPr>
          <w:rFonts w:ascii="Calibri" w:hAnsi="Calibri" w:cs="Calibri"/>
          <w:szCs w:val="24"/>
        </w:rPr>
        <w:t xml:space="preserve">(Lamers </w:t>
      </w:r>
      <w:r w:rsidR="00192334" w:rsidRPr="00192334">
        <w:rPr>
          <w:rFonts w:ascii="Calibri" w:hAnsi="Calibri" w:cs="Calibri"/>
          <w:i/>
          <w:iCs/>
          <w:szCs w:val="24"/>
        </w:rPr>
        <w:t>et al.</w:t>
      </w:r>
      <w:r w:rsidR="00192334" w:rsidRPr="00192334">
        <w:rPr>
          <w:rFonts w:ascii="Calibri" w:hAnsi="Calibri" w:cs="Calibri"/>
          <w:szCs w:val="24"/>
        </w:rPr>
        <w:t>, 2016)</w:t>
      </w:r>
      <w:r w:rsidR="00B4717D">
        <w:fldChar w:fldCharType="end"/>
      </w:r>
      <w:r w:rsidR="00B16473">
        <w:t>.</w:t>
      </w:r>
      <w:r w:rsidR="00E02BB2">
        <w:t xml:space="preserve"> </w:t>
      </w:r>
      <w:r w:rsidR="00A136D4">
        <w:t>F</w:t>
      </w:r>
      <w:r w:rsidR="002F35E2">
        <w:t xml:space="preserve">or biochar to be sustainable as a green technology </w:t>
      </w:r>
      <w:r w:rsidR="00C24CA4">
        <w:t xml:space="preserve">there is a need </w:t>
      </w:r>
      <w:r w:rsidR="00024818">
        <w:t>to ensure that the feedstocks are sourced from sustainably managed lands</w:t>
      </w:r>
      <w:r w:rsidR="00452084">
        <w:t xml:space="preserve">. </w:t>
      </w:r>
      <w:r w:rsidR="00DE58CA">
        <w:t>Biochar needs to be both environmentally and economically viable</w:t>
      </w:r>
      <w:r w:rsidR="00E90D2E">
        <w:t xml:space="preserve"> </w:t>
      </w:r>
      <w:r w:rsidR="00E90D2E">
        <w:lastRenderedPageBreak/>
        <w:fldChar w:fldCharType="begin"/>
      </w:r>
      <w:r w:rsidR="00192334">
        <w:instrText xml:space="preserve"> ADDIN ZOTERO_ITEM CSL_CITATION {"citationID":"JPogji6j","properties":{"formattedCitation":"(Jahanshahi {\\i{}et al.}, 2014)","plainCitation":"(Jahanshahi et al., 2014)","noteIndex":0},"citationItems":[{"id":472,"uris":["http://zotero.org/users/local/AB2owHL2/items/M3PJURXG"],"itemData":{"id":472,"type":"paper-conference","abstract":"The use of biomass derived fuels and reductants in the iron and steel making industry provides a sustainable option for reducing net CO 2 emissions at a lower capital cost and technological risk than other breakthrough technologies under development. In 2006 Arrium, BlueScope and CSIRO initiated a R&amp;D program with the aim to develop and evaluate technologies to reduce the industry's net greenhouse emissions by at least 50%. Given that most of the CO 2 emissions in steel production occur during the reduction of iron ore to hot metal through use of coal and coke, a key focus of this program has been to partially substitute these with renewable carbon (charcoal) from sustainable sources such as plantations of biomass species or forest wastes. Raw biomass is unsuitable for applications in iron and steel making and it has to be converted into charcoals (chars) through a pyrolysis process before use. The biomass derived chars and hydrocarbon fuels have great potential in lowering the net CO 2 emissions of integrated (blast furnace-BOS route) steel plants. Life cycle assessment has quantified the potential reduction in net CO 2 emissions and covers the whole life cycle, including plantation, harvesting, transport, pyrolysis and use of chars and bio-oil products. The properties of chars produced by pyrolysis of biomass can be tailored to each of the several applications proposed (coke breeze for sintering, coal blend for cokemaking, coal injectant for the blast furnace, recarburising in steelmaking, etc), thus resulting in optimal performance and greater value-in-use of the char. Our economic analysis has made allowance for such value-in-use in applications, particularly as a replacement of pulverised coal injection with charcoal. This analysis shows that key factors influencing the economics are the net cost of producing charcoal from biomass, selection of pyrolysis technology, and value of by-products as well as the value-in-use for the charcoal. This paper provides a summary of the progress made over the eight years of the R&amp;D program. These activities have been focused on the development of know-how and processes for substantial replacement of coal-based materials across the areas of biomass supply and wood properties and selection, pyrolysis technologies, handling and densification, and application. The current status of each of the application areas is also provided.","event-place":"Japan","event-title":"Innovation of Ironmaking Technologies and Future International Collaboration  - to Overcome Energy &amp; Resource Restrictions in Accordance with Environment","publisher-place":"Japan","source":"ResearchGate","title":"Recent Progress in R&amp;D on Assessment of the Use of Biomass/Designer Chars for Steel Production","author":[{"family":"Jahanshahi","given":"Sharif"},{"family":"Deev","given":"Alex"},{"family":"Haque","given":"Nawshad"},{"family":"Lu","given":"Liming"},{"family":"Mathieson","given":"John"},{"family":"Norgate","given":"Terry"},{"family":"Ridgeway","given":"Phillip"},{"family":"Rogers","given":"Harold"},{"family":"Somerville","given":"Michael"},{"family":"Zughbi","given":"Habib"},{"family":"Zulli","given":"Paul"}],"issued":{"date-parts":[["2014",11]]}}}],"schema":"https://github.com/citation-style-language/schema/raw/master/csl-citation.json"} </w:instrText>
      </w:r>
      <w:r w:rsidR="00E90D2E">
        <w:fldChar w:fldCharType="separate"/>
      </w:r>
      <w:r w:rsidR="00192334" w:rsidRPr="00192334">
        <w:rPr>
          <w:rFonts w:ascii="Calibri" w:hAnsi="Calibri" w:cs="Calibri"/>
          <w:szCs w:val="24"/>
        </w:rPr>
        <w:t xml:space="preserve">(Jahanshahi </w:t>
      </w:r>
      <w:r w:rsidR="00192334" w:rsidRPr="00192334">
        <w:rPr>
          <w:rFonts w:ascii="Calibri" w:hAnsi="Calibri" w:cs="Calibri"/>
          <w:i/>
          <w:iCs/>
          <w:szCs w:val="24"/>
        </w:rPr>
        <w:t>et al.</w:t>
      </w:r>
      <w:r w:rsidR="00192334" w:rsidRPr="00192334">
        <w:rPr>
          <w:rFonts w:ascii="Calibri" w:hAnsi="Calibri" w:cs="Calibri"/>
          <w:szCs w:val="24"/>
        </w:rPr>
        <w:t>, 2014)</w:t>
      </w:r>
      <w:r w:rsidR="00E90D2E">
        <w:fldChar w:fldCharType="end"/>
      </w:r>
      <w:r w:rsidR="00DE58CA">
        <w:t>.</w:t>
      </w:r>
      <w:r w:rsidR="006A4104">
        <w:t xml:space="preserve"> </w:t>
      </w:r>
      <w:r w:rsidR="00FA7463">
        <w:t xml:space="preserve">Charcoal production technology needs to be developed </w:t>
      </w:r>
      <w:r w:rsidR="00FA6C9A">
        <w:t xml:space="preserve">that can produce charcoal at a significantly lower cost </w:t>
      </w:r>
      <w:r w:rsidR="00FA6C9A">
        <w:fldChar w:fldCharType="begin"/>
      </w:r>
      <w:r w:rsidR="00192334">
        <w:instrText xml:space="preserve"> ADDIN ZOTERO_ITEM CSL_CITATION {"citationID":"d5DAQcNG","properties":{"formattedCitation":"(Norgate {\\i{}et al.}, 2012)","plainCitation":"(Norgate et al., 2012)","noteIndex":0},"citationItems":[{"id":1926,"uris":["http://zotero.org/users/local/AB2owHL2/items/VVZKCBDB"],"itemData":{"id":1926,"type":"article-journal","abstract":"Fossil fuel-based carbon is widely used in iron and steelmaking in a number of forms, and the replacement of these materials with renewable carbon derived from biomass is seen as offering the greatest potential to reduce the greenhouse gas footprint of steel production. Life cycle assessment methodology has been used to estimate the greenhouse gas footprint of charcoal production from biomass, as well as the potential reductions in greenhouse gas emissions from the use of charcoal from biomass in the integrated, mini-mill/EAF and direct smelting steelmaking routes. The results indicated that the use of charcoal in the integrated steelmaking route in likely applications and substitution rates has the potential to reduce the greenhouse gas footprint of steel by 0.69–1.21 t CO2e/t steel (or 31–57%) without any charcoal production by-product (bio-oil and electricity) credits, and by 0.91–1.61 t CO2e/t steel (42–74%) with these by-product credits included. The corresponding reductions for the mini-mill/EAF and direct smelting routes were 0.028–0.056 t CO2e/t steel (5.5–11%) and 0.34–1.70 t CO2e/t steel (16–80%) without by-product credits, and 0.037–0.075 t CO2e/t steel (7.3–14.7%) and 0.45–2.25 t CO2e/t steel (21–106%) with by-product credits respectively. However, the magnitude of the by-product credits depends on the by-product yields in the charcoal retort, which in turn are dependent on a number of factors, in particular, the nature of the pyrolysis process (fast or slow) and the biomass feed composition. Estimates of the potential plantation areas available to grow the biomass required to produce charcoal for steelmaking purposes in a sustainable manner, together with estimates of sources of biomass residues suggest that it is possible that an appreciable amount of the world's steel production can utilise charcoal in place of coal or coke over the coming decades. However, transportation is expected to be a significant issue affecting the cost of charcoal delivered to steel plants in all biomass source scenarios. Other issues such as technical aspects of charcoal use in steelmaking and economics will also play a significant role in the uptake of charcoal from biomass as a source of renewable carbon for iron and steelmaking.","container-title":"ISIJ International","DOI":"10.2355/isijinternational.52.1472","issue":"8","page":"1472-1481","source":"J-Stage","title":"Biomass as a Source of Renewable Carbon for Iron and Steelmaking","volume":"52","author":[{"family":"Norgate","given":"Terry"},{"family":"Haque","given":"Nawshad"},{"family":"Somerville","given":"Michael"},{"family":"Jahanshahi","given":"Sharif"}],"issued":{"date-parts":[["2012"]]}}}],"schema":"https://github.com/citation-style-language/schema/raw/master/csl-citation.json"} </w:instrText>
      </w:r>
      <w:r w:rsidR="00FA6C9A">
        <w:fldChar w:fldCharType="separate"/>
      </w:r>
      <w:r w:rsidR="00192334" w:rsidRPr="00192334">
        <w:rPr>
          <w:rFonts w:ascii="Calibri" w:hAnsi="Calibri" w:cs="Calibri"/>
          <w:szCs w:val="24"/>
        </w:rPr>
        <w:t xml:space="preserve">(Norgate </w:t>
      </w:r>
      <w:r w:rsidR="00192334" w:rsidRPr="00192334">
        <w:rPr>
          <w:rFonts w:ascii="Calibri" w:hAnsi="Calibri" w:cs="Calibri"/>
          <w:i/>
          <w:iCs/>
          <w:szCs w:val="24"/>
        </w:rPr>
        <w:t>et al.</w:t>
      </w:r>
      <w:r w:rsidR="00192334" w:rsidRPr="00192334">
        <w:rPr>
          <w:rFonts w:ascii="Calibri" w:hAnsi="Calibri" w:cs="Calibri"/>
          <w:szCs w:val="24"/>
        </w:rPr>
        <w:t>, 2012)</w:t>
      </w:r>
      <w:r w:rsidR="00FA6C9A">
        <w:fldChar w:fldCharType="end"/>
      </w:r>
    </w:p>
    <w:p w14:paraId="31F436C4" w14:textId="72EFFE18" w:rsidR="00270648" w:rsidRDefault="00270648" w:rsidP="00241E9D">
      <w:pPr>
        <w:spacing w:line="360" w:lineRule="auto"/>
        <w:jc w:val="both"/>
      </w:pPr>
      <w:r>
        <w:t>Life cycle assessments</w:t>
      </w:r>
      <w:r w:rsidR="00A35EE0">
        <w:t xml:space="preserve"> (LCA)</w:t>
      </w:r>
      <w:r w:rsidR="00322DEB">
        <w:t xml:space="preserve"> assess the potential environmental impacts</w:t>
      </w:r>
      <w:r w:rsidR="00D718C9">
        <w:t xml:space="preserve"> associated with a product, </w:t>
      </w:r>
      <w:r w:rsidR="00B12A6B">
        <w:t>or process during its entire life cycle,</w:t>
      </w:r>
      <w:r w:rsidR="008A3D2D">
        <w:t xml:space="preserve"> from extraction of raw materials through to</w:t>
      </w:r>
      <w:r w:rsidR="009D0985">
        <w:t xml:space="preserve"> the production and use of the end product</w:t>
      </w:r>
      <w:r w:rsidR="00820F79">
        <w:t>.</w:t>
      </w:r>
      <w:r w:rsidR="00B12A6B">
        <w:t xml:space="preserve"> </w:t>
      </w:r>
      <w:r w:rsidR="00D718C9">
        <w:t>LCA’s</w:t>
      </w:r>
      <w:r w:rsidR="00820F79">
        <w:t xml:space="preserve"> on biochar</w:t>
      </w:r>
      <w:r>
        <w:t xml:space="preserve"> carried out </w:t>
      </w:r>
      <w:r w:rsidR="00E07A7A">
        <w:t xml:space="preserve">by </w:t>
      </w:r>
      <w:r w:rsidR="00745957">
        <w:fldChar w:fldCharType="begin"/>
      </w:r>
      <w:r w:rsidR="00192334">
        <w:instrText xml:space="preserve"> ADDIN ZOTERO_ITEM CSL_CITATION {"citationID":"jtcYgo2s","properties":{"formattedCitation":"(Norgate and Langberg, 2009; Norgate {\\i{}et al.}, 2012; Feliciano-Bruzual and Mathews, 2013; Suopaj\\uc0\\u228{}rvi and Fabritius, 2013; Fick {\\i{}et al.}, 2014)","plainCitation":"(Norgate and Langberg, 2009; Norgate et al., 2012; Feliciano-Bruzual and Mathews, 2013; Suopajärvi and Fabritius, 2013; Fick et al., 2014)","noteIndex":0},"citationItems":[{"id":1720,"uris":["http://zotero.org/users/local/AB2owHL2/items/IFZYK7Q8"],"itemData":{"id":1720,"type":"article-journal","container-title":"ISIJ International","DOI":"10.2355/isijinternational.49.587","ISSN":"0915-1559, 1347-5460","issue":"4","journalAbbreviation":"ISIJ International","language":"en","page":"587-595","source":"DOI.org (Crossref)","title":"Environmental and Economic Aspects of Charcoal Use in Steelmaking","URL":"https://www.jstage.jst.go.jp/article/isijinternational/49/4/49_4_587/_article","volume":"49","author":[{"family":"Norgate","given":"Terry"},{"family":"Langberg","given":"David"}],"accessed":{"date-parts":[["2022",6,30]]},"issued":{"date-parts":[["2009"]]}},"label":"page"},{"id":1926,"uris":["http://zotero.org/users/local/AB2owHL2/items/VVZKCBDB"],"itemData":{"id":1926,"type":"article-journal","abstract":"Fossil fuel-based carbon is widely used in iron and steelmaking in a number of forms, and the replacement of these materials with renewable carbon derived from biomass is seen as offering the greatest potential to reduce the greenhouse gas footprint of steel production. Life cycle assessment methodology has been used to estimate the greenhouse gas footprint of charcoal production from biomass, as well as the potential reductions in greenhouse gas emissions from the use of charcoal from biomass in the integrated, mini-mill/EAF and direct smelting steelmaking routes. The results indicated that the use of charcoal in the integrated steelmaking route in likely applications and substitution rates has the potential to reduce the greenhouse gas footprint of steel by 0.69–1.21 t CO2e/t steel (or 31–57%) without any charcoal production by-product (bio-oil and electricity) credits, and by 0.91–1.61 t CO2e/t steel (42–74%) with these by-product credits included. The corresponding reductions for the mini-mill/EAF and direct smelting routes were 0.028–0.056 t CO2e/t steel (5.5–11%) and 0.34–1.70 t CO2e/t steel (16–80%) without by-product credits, and 0.037–0.075 t CO2e/t steel (7.3–14.7%) and 0.45–2.25 t CO2e/t steel (21–106%) with by-product credits respectively. However, the magnitude of the by-product credits depends on the by-product yields in the charcoal retort, which in turn are dependent on a number of factors, in particular, the nature of the pyrolysis process (fast or slow) and the biomass feed composition. Estimates of the potential plantation areas available to grow the biomass required to produce charcoal for steelmaking purposes in a sustainable manner, together with estimates of sources of biomass residues suggest that it is possible that an appreciable amount of the world's steel production can utilise charcoal in place of coal or coke over the coming decades. However, transportation is expected to be a significant issue affecting the cost of charcoal delivered to steel plants in all biomass source scenarios. Other issues such as technical aspects of charcoal use in steelmaking and economics will also play a significant role in the uptake of charcoal from biomass as a source of renewable carbon for iron and steelmaking.","container-title":"ISIJ International","DOI":"10.2355/isijinternational.52.1472","issue":"8","page":"1472-1481","source":"J-Stage","title":"Biomass as a Source of Renewable Carbon for Iron and Steelmaking","volume":"52","author":[{"family":"Norgate","given":"Terry"},{"family":"Haque","given":"Nawshad"},{"family":"Somerville","given":"Michael"},{"family":"Jahanshahi","given":"Sharif"}],"issued":{"date-parts":[["2012"]]}},"label":"page"},{"id":1920,"uris":["http://zotero.org/users/local/AB2owHL2/items/KGAELLAX"],"itemData":{"id":1920,"type":"article-journal","abstract":"The injection of grinded particles of charcoal through the tuyeres in Blast Furnaces, here coined Bio-PCI, presents as an attractive and plausible alternative to significantly reduce the CO2 emissions generated during hot metal production. In this contribution a summary of the technological fundaments, benefits and limitations of the incorporation of Bio-PCI is presented. Additionally the principal economic challenges of renewables fuel in ironmaking are exposed, with especial interest in the main productions costs of charcoal making. In this sense, a strategic question arises: can the residual biomass drive the emergence of Bio-PCI?, our analysis leads to conclude that the use of residual biomass (e.g. agricultural and forestry residues) may significantly reduce the production cost in 120-180 USD/t in comparison to primary woods sources, this naturally increment the economical attractiveness of Bio-PCI substitution.","container-title":"Revista de Metalurgia","DOI":"10.3989/revmetalm.1331","ISSN":"1988-4222","issue":"6","language":"es","license":"Copyright (c) 2013 Consejo Superior de Investigaciones Científicas (CSIC)","note":"number: 6","page":"458-468","source":"revistademetalurgia.revistas.csic.es","title":"BIO-PCI, Inyección de carbón vegetal en Altos Hornos: Estado del arte y perspectivas económicas","title-short":"BIO-PCI, Inyección de carbón vegetal en Altos Hornos","URL":"https://revistademetalurgia.revistas.csic.es/index.php/revistademetalurgia/article/view/1299","volume":"49","author":[{"family":"Feliciano-Bruzual","given":"C."},{"family":"Mathews","given":"J. A."}],"accessed":{"date-parts":[["2022",9,4]]},"issued":{"date-parts":[["2013",12,30]]}},"label":"page"},{"id":1698,"uris":["http://zotero.org/users/local/AB2owHL2/items/GCVPYUYJ"],"itemData":{"id":1698,"type":"article-journal","abstract":"Replacement of fossil carbon by renewable biomass-based carbon is an effective measure to mitigate CO2 emission intensity in the blast furnace ironmaking process. Depending on the substitution rate of fossil fuels, the required amount of biomass can be substantial. This raises questions about the availability of biomass for multiple uses. At the same time, the economic competitiveness of biomass-based fuels in ironmaking applications should also be a key consideration. In this assessment, availability of energy wood, i.e., logging residues, small-diameter wood and stumps, in Finland is discussed. Since biomass must be submitted to a thermochemical process before use in a blast furnace, the paper describes the production chain, from biomass to charcoal, and economics related to each processing step. The economics of biomass-based reducing agents is compared to fossil-based ones by taking into account the effect of European Union Emissions Trading System (EU ETS). The assessment reveals that there would be sufficient amounts of energy wood available for current users as well as for ironmaking. At present, the economics of biomass-based reducing agents in ironmaking applications is unfavorable. High CO2 emission allowance prices would be required to make such a scheme competitive against fossil-based reducing agents at current fuel prices.","container-title":"Sustainability","DOI":"https://doi-org.ezproxy.uwtsd.ac.uk/10.3390/su5031188","issue":"3","language":"English","license":"Copyright MDPI AG 2013","note":"number-of-pages: 1188-1207\npublisher-place: Basel, Switzerland\npublisher: MDPI AG","page":"1188-1207","source":"ProQuest","title":"Towards More Sustainable Ironmaking-An Analysis of Energy Wood Availability in Finland and the Economics of Charcoal Production","URL":"http://www.proquest.com/docview/1537436641/abstract/C57D008FADF84950PQ/1","volume":"5","author":[{"family":"Suopajärvi","given":"Hannu"},{"family":"Fabritius","given":"Timo"}],"accessed":{"date-parts":[["2022",6,28]]},"issued":{"date-parts":[["2013"]]}},"label":"page"},{"id":1731,"uris":["http://zotero.org/users/local/AB2owHL2/items/RGBXIN8E"],"itemData":{"id":1731,"type":"article-journal","abstract":"The classical route for iron- and steel-making today is based on massive use of fossil coal, which is responsible for most of the large CO2 emissions of the steel industry. Biomass, as a renewable carbon resource, is a good candidate to substitute for fossil coal and even partial substitution could lead to a signiﬁcant reduction in CO2 emissions. Depending on the type of biomass, its processing, and the way it is used in the iron making process, many different scenarios may be considered. Those scenarios should be evaluated and compared from technical, environmental, and economical points of view in order to ﬁgure out the best options. The case of a real pig iron plant located in the North East of France was investigated. First, we checked the relevance of various biomass options on the basis of the biomass availability around the plant and of the technical requirements of the processes. Then, we carried out a screening life cycle assessment focusing on global warming impacts and following a cradle-to-gate approach. Different biomass-based pig iron production scenarios were compared. The results showed that for a 20 % substitution of biomass for coke, around 300 kg of CO2equivalent per ton of pig iron produced could be saved, which represents a reduction of 15 % in the total greenhouse gas emissions. Finally, a brief economic evaluation of the resulting scenarios was performed.","container-title":"Waste and Biomass Valorization","DOI":"10.1007/s12649-013-9223-1","ISSN":"1877-2641, 1877-265X","issue":"1","journalAbbreviation":"Waste Biomass Valor","language":"en","page":"43-55","source":"DOI.org (Crossref)","title":"Using Biomass for Pig Iron Production: A Technical, Environmental and Economical Assessment","title-short":"Using Biomass for Pig Iron Production","URL":"http://link.springer.com/10.1007/s12649-013-9223-1","volume":"5","author":[{"family":"Fick","given":"G."},{"family":"Mirgaux","given":"O."},{"family":"Neau","given":"P."},{"family":"Patisson","given":"F."}],"accessed":{"date-parts":[["2022",7,4]]},"issued":{"date-parts":[["2014",2]]}},"label":"page"}],"schema":"https://github.com/citation-style-language/schema/raw/master/csl-citation.json"} </w:instrText>
      </w:r>
      <w:r w:rsidR="00745957">
        <w:fldChar w:fldCharType="separate"/>
      </w:r>
      <w:r w:rsidR="00192334" w:rsidRPr="00192334">
        <w:rPr>
          <w:rFonts w:ascii="Calibri" w:hAnsi="Calibri" w:cs="Calibri"/>
          <w:szCs w:val="24"/>
        </w:rPr>
        <w:t xml:space="preserve">(Norgate and Langberg, 2009; Norgate </w:t>
      </w:r>
      <w:r w:rsidR="00192334" w:rsidRPr="00192334">
        <w:rPr>
          <w:rFonts w:ascii="Calibri" w:hAnsi="Calibri" w:cs="Calibri"/>
          <w:i/>
          <w:iCs/>
          <w:szCs w:val="24"/>
        </w:rPr>
        <w:t>et al.</w:t>
      </w:r>
      <w:r w:rsidR="00192334" w:rsidRPr="00192334">
        <w:rPr>
          <w:rFonts w:ascii="Calibri" w:hAnsi="Calibri" w:cs="Calibri"/>
          <w:szCs w:val="24"/>
        </w:rPr>
        <w:t xml:space="preserve">, 2012; Feliciano-Bruzual and Mathews, 2013; Suopajärvi and Fabritius, 2013; Fick </w:t>
      </w:r>
      <w:r w:rsidR="00192334" w:rsidRPr="00192334">
        <w:rPr>
          <w:rFonts w:ascii="Calibri" w:hAnsi="Calibri" w:cs="Calibri"/>
          <w:i/>
          <w:iCs/>
          <w:szCs w:val="24"/>
        </w:rPr>
        <w:t>et al.</w:t>
      </w:r>
      <w:r w:rsidR="00192334" w:rsidRPr="00192334">
        <w:rPr>
          <w:rFonts w:ascii="Calibri" w:hAnsi="Calibri" w:cs="Calibri"/>
          <w:szCs w:val="24"/>
        </w:rPr>
        <w:t>, 2014)</w:t>
      </w:r>
      <w:r w:rsidR="00745957">
        <w:fldChar w:fldCharType="end"/>
      </w:r>
      <w:r w:rsidR="00DF1D24">
        <w:t xml:space="preserve"> found that</w:t>
      </w:r>
      <w:r w:rsidR="00820F79">
        <w:t xml:space="preserve"> net</w:t>
      </w:r>
      <w:r w:rsidR="000E3DD5">
        <w:t xml:space="preserve"> CO</w:t>
      </w:r>
      <w:r w:rsidR="000E3DD5" w:rsidRPr="000E3DD5">
        <w:rPr>
          <w:vertAlign w:val="subscript"/>
        </w:rPr>
        <w:t>2</w:t>
      </w:r>
      <w:r w:rsidR="000E3DD5">
        <w:t xml:space="preserve"> </w:t>
      </w:r>
      <w:r w:rsidR="00136E84">
        <w:t xml:space="preserve">and GHG levels were </w:t>
      </w:r>
      <w:r w:rsidR="00DB6BA0">
        <w:t>reduced</w:t>
      </w:r>
      <w:r w:rsidR="001C6B95">
        <w:t xml:space="preserve"> </w:t>
      </w:r>
      <w:r w:rsidR="0010052A">
        <w:t>between</w:t>
      </w:r>
      <w:r w:rsidR="006A5038">
        <w:t xml:space="preserve"> </w:t>
      </w:r>
      <w:r w:rsidR="008B1E61">
        <w:t xml:space="preserve">3.4 to </w:t>
      </w:r>
      <w:r w:rsidR="00437998">
        <w:t>12.9 CO</w:t>
      </w:r>
      <w:r w:rsidR="00437998" w:rsidRPr="00437998">
        <w:rPr>
          <w:vertAlign w:val="subscript"/>
        </w:rPr>
        <w:t>2</w:t>
      </w:r>
      <w:r w:rsidR="00437998">
        <w:t xml:space="preserve">/MJ or </w:t>
      </w:r>
      <w:r w:rsidR="009246D3">
        <w:t>31 – 57% CO</w:t>
      </w:r>
      <w:r w:rsidR="009246D3" w:rsidRPr="00882D17">
        <w:rPr>
          <w:vertAlign w:val="subscript"/>
        </w:rPr>
        <w:t>2</w:t>
      </w:r>
      <w:r w:rsidR="00882D17">
        <w:t xml:space="preserve"> emission reduction</w:t>
      </w:r>
      <w:r w:rsidR="00B1100E">
        <w:t xml:space="preserve"> </w:t>
      </w:r>
      <w:r w:rsidR="009952C8">
        <w:t xml:space="preserve">when </w:t>
      </w:r>
      <w:r w:rsidR="00C0775A">
        <w:t>assessing</w:t>
      </w:r>
      <w:r w:rsidR="009952C8">
        <w:t xml:space="preserve"> biochar</w:t>
      </w:r>
      <w:r w:rsidR="00C0775A">
        <w:t xml:space="preserve"> usage</w:t>
      </w:r>
      <w:r w:rsidR="00882D17">
        <w:t xml:space="preserve">. </w:t>
      </w:r>
    </w:p>
    <w:p w14:paraId="346CDEB8" w14:textId="0315D701" w:rsidR="00213561" w:rsidRDefault="00AC554C" w:rsidP="00241E9D">
      <w:pPr>
        <w:spacing w:line="360" w:lineRule="auto"/>
        <w:jc w:val="both"/>
      </w:pPr>
      <w:r>
        <w:t xml:space="preserve">Approximately </w:t>
      </w:r>
      <w:r w:rsidR="00DC1A1A">
        <w:t>800Kt of charcoal is consumed yearly in Europe, mostly by the barbecue market</w:t>
      </w:r>
      <w:r w:rsidR="00334227">
        <w:t xml:space="preserve">, 70% of which is imported from Africa. </w:t>
      </w:r>
      <w:r w:rsidR="00044722">
        <w:t>Substituting</w:t>
      </w:r>
      <w:r w:rsidR="00334227">
        <w:t xml:space="preserve"> 5% of the fossil fuels </w:t>
      </w:r>
      <w:r w:rsidR="00044722">
        <w:t xml:space="preserve">used by a small European </w:t>
      </w:r>
      <w:r w:rsidR="004429EB">
        <w:t xml:space="preserve">size steelmaking plant BOS – BF with a production output of 3 million tonnes </w:t>
      </w:r>
      <w:r w:rsidR="00654600">
        <w:t xml:space="preserve">of crude steel per annum would require roughly 120kt of charcoal. </w:t>
      </w:r>
      <w:r w:rsidR="00211CE9">
        <w:t xml:space="preserve">The question needs to be asked whether </w:t>
      </w:r>
      <w:r w:rsidR="008F064E">
        <w:t>the countries</w:t>
      </w:r>
      <w:r w:rsidR="00346975">
        <w:t xml:space="preserve"> such as</w:t>
      </w:r>
      <w:r w:rsidR="008F064E">
        <w:t xml:space="preserve"> the UK has the </w:t>
      </w:r>
      <w:r w:rsidR="00E0453E">
        <w:t>resources to meet the demand</w:t>
      </w:r>
      <w:r w:rsidR="0044506A">
        <w:t>.</w:t>
      </w:r>
      <w:r w:rsidR="00346975">
        <w:t xml:space="preserve"> </w:t>
      </w:r>
      <w:r w:rsidR="009E027C">
        <w:fldChar w:fldCharType="begin"/>
      </w:r>
      <w:r w:rsidR="00192334">
        <w:instrText xml:space="preserve"> ADDIN ZOTERO_ITEM CSL_CITATION {"citationID":"N9b7K1s3","properties":{"formattedCitation":"(Mandova {\\i{}et al.}, 2018)","plainCitation":"(Mandova et al., 2018)","noteIndex":0},"citationItems":[{"id":1645,"uris":["http://zotero.org/users/local/AB2owHL2/items/U7AYIKF9"],"itemData":{"id":1645,"type":"article-journal","abstract":"Iron and steel plants producing steel via the blast furnace-basic oxygen furnace (BF-BOF) route constitute among the largest single point CO2 emitters within the European Union (EU). As the iron ore reduction process in the blast furnace is fully dependent on carbon mainly supplied by coal and coke, bioenergy is the only renewable that presents a possibility for their partial substitution. Using the BeWhere model, this work optimised the mobilization and use of biomass resources within the EU in order to identify the opportunities that bioenergy can bring to the 30 operating BF-BOF plants. The results demonstrate competition for the available biomass resources within existing industries and economically unappealing prices of the bio-based fuels. A carbon dioxide price of 60 € t−1 is required to substitute 20% of the CO2 emissions from the fossil fuels use, while a price of 140 € t−1 is needed to reach the maximum potential of 42%. The possibility to use organic wastes to produce hydrochar would not enhance the maximum emission reduction potential, but it would broaden the available feedstock during the low levels of substitution. The scope for bioenergy integration is different for each plant and so consideration of its deployment should be treated individually. Therefore, the EU-ETS (Emission Trading System) may not be the best policy tool for bioenergy as an emission reduction strategy for the iron and steel industry, as it does not differentiate between the opportunities across the different steel plants and creates additional costs for the already struggling European steel industry.","container-title":"Biomass and Bioenergy","DOI":"10.1016/j.biombioe.2018.04.021","ISSN":"0961-9534","journalAbbreviation":"Biomass and Bioenergy","language":"en","page":"231-243","source":"ScienceDirect","title":"Possibilities for CO2 emission reduction using biomass in European integrated steel plants","URL":"https://www.sciencedirect.com/science/article/pii/S0961953418301107","volume":"115","author":[{"family":"Mandova","given":"H."},{"family":"Leduc","given":"S."},{"family":"Wang","given":"C."},{"family":"Wetterlund","given":"E."},{"family":"Patrizio","given":"P."},{"family":"Gale","given":"W."},{"family":"Kraxner","given":"F."}],"accessed":{"date-parts":[["2022",5,3]]},"issued":{"date-parts":[["2018",8,1]]}}}],"schema":"https://github.com/citation-style-language/schema/raw/master/csl-citation.json"} </w:instrText>
      </w:r>
      <w:r w:rsidR="009E027C">
        <w:fldChar w:fldCharType="separate"/>
      </w:r>
      <w:r w:rsidR="00192334" w:rsidRPr="00192334">
        <w:rPr>
          <w:rFonts w:ascii="Calibri" w:hAnsi="Calibri" w:cs="Calibri"/>
          <w:szCs w:val="24"/>
        </w:rPr>
        <w:t xml:space="preserve">(Mandova </w:t>
      </w:r>
      <w:r w:rsidR="00192334" w:rsidRPr="00192334">
        <w:rPr>
          <w:rFonts w:ascii="Calibri" w:hAnsi="Calibri" w:cs="Calibri"/>
          <w:i/>
          <w:iCs/>
          <w:szCs w:val="24"/>
        </w:rPr>
        <w:t>et al.</w:t>
      </w:r>
      <w:r w:rsidR="00192334" w:rsidRPr="00192334">
        <w:rPr>
          <w:rFonts w:ascii="Calibri" w:hAnsi="Calibri" w:cs="Calibri"/>
          <w:szCs w:val="24"/>
        </w:rPr>
        <w:t>, 2018)</w:t>
      </w:r>
      <w:r w:rsidR="009E027C">
        <w:fldChar w:fldCharType="end"/>
      </w:r>
      <w:r w:rsidR="009E027C">
        <w:t xml:space="preserve"> </w:t>
      </w:r>
      <w:r w:rsidR="00B236EE">
        <w:t xml:space="preserve">demonstrated that </w:t>
      </w:r>
      <w:r w:rsidR="008B5516">
        <w:t>forestry growth in the EU is 36% bigger than EU sourced wood consumption (see figure 1</w:t>
      </w:r>
      <w:r w:rsidR="00CE33CF">
        <w:t>5</w:t>
      </w:r>
      <w:r w:rsidR="003F5D02">
        <w:t xml:space="preserve"> b) and</w:t>
      </w:r>
      <w:r w:rsidR="008B5516">
        <w:t xml:space="preserve"> </w:t>
      </w:r>
      <w:r w:rsidR="00B236EE">
        <w:t xml:space="preserve">sufficient </w:t>
      </w:r>
      <w:r w:rsidR="009625B5">
        <w:t xml:space="preserve">biomass resources exist to meet demand by all steel plants in Europe, however </w:t>
      </w:r>
      <w:r w:rsidR="00F97F63">
        <w:t xml:space="preserve">counties such as Great Britain, Germany, Italy, Spain, </w:t>
      </w:r>
      <w:r w:rsidR="0047645D">
        <w:t>Belgium,</w:t>
      </w:r>
      <w:r w:rsidR="00F97F63">
        <w:t xml:space="preserve"> and the Netherlands would be highly reliant on cross border trading</w:t>
      </w:r>
      <w:r w:rsidR="003F5D02">
        <w:t>, as</w:t>
      </w:r>
      <w:r w:rsidR="00107705">
        <w:t xml:space="preserve"> shown in figure 1</w:t>
      </w:r>
      <w:r w:rsidR="00CE33CF">
        <w:t>5</w:t>
      </w:r>
      <w:r w:rsidR="00107705">
        <w:t xml:space="preserve"> a)</w:t>
      </w:r>
      <w:r w:rsidR="00F97F63">
        <w:t>.</w:t>
      </w:r>
      <w:r w:rsidR="007A0C14">
        <w:t xml:space="preserve"> S</w:t>
      </w:r>
      <w:r w:rsidR="006F2E5C">
        <w:t xml:space="preserve">imilar </w:t>
      </w:r>
      <w:r w:rsidR="003E0587">
        <w:t xml:space="preserve">resource </w:t>
      </w:r>
      <w:r w:rsidR="006F2E5C">
        <w:t xml:space="preserve">studies were also carried out </w:t>
      </w:r>
      <w:r w:rsidR="003E0587">
        <w:t>for</w:t>
      </w:r>
      <w:r w:rsidR="006F2E5C">
        <w:t xml:space="preserve"> Finland </w:t>
      </w:r>
      <w:r w:rsidR="003E0587">
        <w:fldChar w:fldCharType="begin"/>
      </w:r>
      <w:r w:rsidR="00192334">
        <w:instrText xml:space="preserve"> ADDIN ZOTERO_ITEM CSL_CITATION {"citationID":"GxWOndaN","properties":{"formattedCitation":"(Suopaj\\uc0\\u228{}rvi and Fabritius, 2013)","plainCitation":"(Suopajärvi and Fabritius, 2013)","noteIndex":0},"citationItems":[{"id":1698,"uris":["http://zotero.org/users/local/AB2owHL2/items/GCVPYUYJ"],"itemData":{"id":1698,"type":"article-journal","abstract":"Replacement of fossil carbon by renewable biomass-based carbon is an effective measure to mitigate CO2 emission intensity in the blast furnace ironmaking process. Depending on the substitution rate of fossil fuels, the required amount of biomass can be substantial. This raises questions about the availability of biomass for multiple uses. At the same time, the economic competitiveness of biomass-based fuels in ironmaking applications should also be a key consideration. In this assessment, availability of energy wood, i.e., logging residues, small-diameter wood and stumps, in Finland is discussed. Since biomass must be submitted to a thermochemical process before use in a blast furnace, the paper describes the production chain, from biomass to charcoal, and economics related to each processing step. The economics of biomass-based reducing agents is compared to fossil-based ones by taking into account the effect of European Union Emissions Trading System (EU ETS). The assessment reveals that there would be sufficient amounts of energy wood available for current users as well as for ironmaking. At present, the economics of biomass-based reducing agents in ironmaking applications is unfavorable. High CO2 emission allowance prices would be required to make such a scheme competitive against fossil-based reducing agents at current fuel prices.","container-title":"Sustainability","DOI":"https://doi-org.ezproxy.uwtsd.ac.uk/10.3390/su5031188","issue":"3","language":"English","license":"Copyright MDPI AG 2013","note":"number-of-pages: 1188-1207\npublisher-place: Basel, Switzerland\npublisher: MDPI AG","page":"1188-1207","source":"ProQuest","title":"Towards More Sustainable Ironmaking-An Analysis of Energy Wood Availability in Finland and the Economics of Charcoal Production","URL":"http://www.proquest.com/docview/1537436641/abstract/C57D008FADF84950PQ/1","volume":"5","author":[{"family":"Suopajärvi","given":"Hannu"},{"family":"Fabritius","given":"Timo"}],"accessed":{"date-parts":[["2022",6,28]]},"issued":{"date-parts":[["2013"]]}}}],"schema":"https://github.com/citation-style-language/schema/raw/master/csl-citation.json"} </w:instrText>
      </w:r>
      <w:r w:rsidR="003E0587">
        <w:fldChar w:fldCharType="separate"/>
      </w:r>
      <w:r w:rsidR="00192334" w:rsidRPr="00192334">
        <w:rPr>
          <w:rFonts w:ascii="Calibri" w:hAnsi="Calibri" w:cs="Calibri"/>
          <w:szCs w:val="24"/>
        </w:rPr>
        <w:t>(Suopajärvi and Fabritius, 2013)</w:t>
      </w:r>
      <w:r w:rsidR="003E0587">
        <w:fldChar w:fldCharType="end"/>
      </w:r>
      <w:r w:rsidR="003E0587">
        <w:t xml:space="preserve">, </w:t>
      </w:r>
      <w:r w:rsidR="00E96F35">
        <w:t xml:space="preserve">Sweden </w:t>
      </w:r>
      <w:r w:rsidR="00E96F35">
        <w:fldChar w:fldCharType="begin"/>
      </w:r>
      <w:r w:rsidR="00192334">
        <w:instrText xml:space="preserve"> ADDIN ZOTERO_ITEM CSL_CITATION {"citationID":"3GPEemq8","properties":{"formattedCitation":"(Wang, Mellin, {\\i{}et al.}, 2015)","plainCitation":"(Wang, Mellin, et al., 2015)","noteIndex":0},"citationItems":[{"id":1796,"uris":["http://zotero.org/users/local/AB2owHL2/items/8SZWXA7H"],"itemData":{"id":1796,"type":"article-journal","abstract":"We have investigated and modeled the injection of biomass into blast furnaces (BF), in place of pulverized coal (PC) from fossil sources. This is the easiest way to reduce CO2 emissions, beyond efﬁciencyimprovements. The considered biomass is either pelletized, torreﬁed or pyrolyzed. It gives us three cases where we have calculated the maximum replacement ratio for each. It was found that charcoal from pyrolysis can fully replace PC, while torreﬁed material and pelletized wood can replace 22.8% and 20.0% respectively, by weight.","container-title":"Energy Conversion and Management","DOI":"10.1016/j.enconman.2015.04.013","ISSN":"01968904","journalAbbreviation":"Energy Conversion and Management","language":"en","page":"217-226","source":"DOI.org (Crossref)","title":"Biomass as blast furnace injectant – Considering availability, pretreatment and deployment in the Swedish steel industry","URL":"https://linkinghub.elsevier.com/retrieve/pii/S0196890415003556","volume":"102","author":[{"family":"Wang","given":"Chuan"},{"family":"Mellin","given":"Pelle"},{"family":"Lövgren","given":"Jonas"},{"family":"Nilsson","given":"Leif"},{"family":"Yang","given":"Weihong"},{"family":"Salman","given":"Hassan"},{"family":"Hultgren","given":"Anders"},{"family":"Larsson","given":"Mikael"}],"accessed":{"date-parts":[["2022",7,17]]},"issued":{"date-parts":[["2015",9]]}}}],"schema":"https://github.com/citation-style-language/schema/raw/master/csl-citation.json"} </w:instrText>
      </w:r>
      <w:r w:rsidR="00E96F35">
        <w:fldChar w:fldCharType="separate"/>
      </w:r>
      <w:r w:rsidR="00192334" w:rsidRPr="00192334">
        <w:rPr>
          <w:rFonts w:ascii="Calibri" w:hAnsi="Calibri" w:cs="Calibri"/>
          <w:szCs w:val="24"/>
        </w:rPr>
        <w:t xml:space="preserve">(Wang, Mellin, </w:t>
      </w:r>
      <w:r w:rsidR="00192334" w:rsidRPr="00192334">
        <w:rPr>
          <w:rFonts w:ascii="Calibri" w:hAnsi="Calibri" w:cs="Calibri"/>
          <w:i/>
          <w:iCs/>
          <w:szCs w:val="24"/>
        </w:rPr>
        <w:t>et al.</w:t>
      </w:r>
      <w:r w:rsidR="00192334" w:rsidRPr="00192334">
        <w:rPr>
          <w:rFonts w:ascii="Calibri" w:hAnsi="Calibri" w:cs="Calibri"/>
          <w:szCs w:val="24"/>
        </w:rPr>
        <w:t>, 2015)</w:t>
      </w:r>
      <w:r w:rsidR="00E96F35">
        <w:fldChar w:fldCharType="end"/>
      </w:r>
      <w:r w:rsidR="00E96F35">
        <w:t xml:space="preserve"> and France </w:t>
      </w:r>
      <w:r w:rsidR="005C1419">
        <w:fldChar w:fldCharType="begin"/>
      </w:r>
      <w:r w:rsidR="00192334">
        <w:instrText xml:space="preserve"> ADDIN ZOTERO_ITEM CSL_CITATION {"citationID":"7V17iXAg","properties":{"formattedCitation":"(Fick {\\i{}et al.}, 2014)","plainCitation":"(Fick et al., 2014)","noteIndex":0},"citationItems":[{"id":1731,"uris":["http://zotero.org/users/local/AB2owHL2/items/RGBXIN8E"],"itemData":{"id":1731,"type":"article-journal","abstract":"The classical route for iron- and steel-making today is based on massive use of fossil coal, which is responsible for most of the large CO2 emissions of the steel industry. Biomass, as a renewable carbon resource, is a good candidate to substitute for fossil coal and even partial substitution could lead to a signiﬁcant reduction in CO2 emissions. Depending on the type of biomass, its processing, and the way it is used in the iron making process, many different scenarios may be considered. Those scenarios should be evaluated and compared from technical, environmental, and economical points of view in order to ﬁgure out the best options. The case of a real pig iron plant located in the North East of France was investigated. First, we checked the relevance of various biomass options on the basis of the biomass availability around the plant and of the technical requirements of the processes. Then, we carried out a screening life cycle assessment focusing on global warming impacts and following a cradle-to-gate approach. Different biomass-based pig iron production scenarios were compared. The results showed that for a 20 % substitution of biomass for coke, around 300 kg of CO2equivalent per ton of pig iron produced could be saved, which represents a reduction of 15 % in the total greenhouse gas emissions. Finally, a brief economic evaluation of the resulting scenarios was performed.","container-title":"Waste and Biomass Valorization","DOI":"10.1007/s12649-013-9223-1","ISSN":"1877-2641, 1877-265X","issue":"1","journalAbbreviation":"Waste Biomass Valor","language":"en","page":"43-55","source":"DOI.org (Crossref)","title":"Using Biomass for Pig Iron Production: A Technical, Environmental and Economical Assessment","title-short":"Using Biomass for Pig Iron Production","URL":"http://link.springer.com/10.1007/s12649-013-9223-1","volume":"5","author":[{"family":"Fick","given":"G."},{"family":"Mirgaux","given":"O."},{"family":"Neau","given":"P."},{"family":"Patisson","given":"F."}],"accessed":{"date-parts":[["2022",7,4]]},"issued":{"date-parts":[["2014",2]]}}}],"schema":"https://github.com/citation-style-language/schema/raw/master/csl-citation.json"} </w:instrText>
      </w:r>
      <w:r w:rsidR="005C1419">
        <w:fldChar w:fldCharType="separate"/>
      </w:r>
      <w:r w:rsidR="00192334" w:rsidRPr="00192334">
        <w:rPr>
          <w:rFonts w:ascii="Calibri" w:hAnsi="Calibri" w:cs="Calibri"/>
          <w:szCs w:val="24"/>
        </w:rPr>
        <w:t xml:space="preserve">(Fick </w:t>
      </w:r>
      <w:r w:rsidR="00192334" w:rsidRPr="00192334">
        <w:rPr>
          <w:rFonts w:ascii="Calibri" w:hAnsi="Calibri" w:cs="Calibri"/>
          <w:i/>
          <w:iCs/>
          <w:szCs w:val="24"/>
        </w:rPr>
        <w:t>et al.</w:t>
      </w:r>
      <w:r w:rsidR="00192334" w:rsidRPr="00192334">
        <w:rPr>
          <w:rFonts w:ascii="Calibri" w:hAnsi="Calibri" w:cs="Calibri"/>
          <w:szCs w:val="24"/>
        </w:rPr>
        <w:t>, 2014)</w:t>
      </w:r>
      <w:r w:rsidR="005C1419">
        <w:fldChar w:fldCharType="end"/>
      </w:r>
      <w:r w:rsidR="005C1419">
        <w:t xml:space="preserve"> indicating that these </w:t>
      </w:r>
      <w:r w:rsidR="00DB2CE3">
        <w:t>nations natur</w:t>
      </w:r>
      <w:r w:rsidR="00C64482">
        <w:t>a</w:t>
      </w:r>
      <w:r w:rsidR="00DB2CE3">
        <w:t xml:space="preserve">l resources are capable of supplying biomass </w:t>
      </w:r>
      <w:r w:rsidR="00C64482">
        <w:t>to their iron and steel plants.</w:t>
      </w:r>
    </w:p>
    <w:p w14:paraId="1A217720" w14:textId="412F6111" w:rsidR="00BF72CE" w:rsidRPr="00882D17" w:rsidRDefault="00B164FD" w:rsidP="00241E9D">
      <w:pPr>
        <w:spacing w:line="360" w:lineRule="auto"/>
        <w:jc w:val="both"/>
      </w:pPr>
      <w:r w:rsidRPr="00B164FD">
        <w:rPr>
          <w:b/>
          <w:bCs/>
        </w:rPr>
        <w:t>a)</w:t>
      </w:r>
      <w:r w:rsidRPr="00B164FD">
        <w:rPr>
          <w:noProof/>
        </w:rPr>
        <w:drawing>
          <wp:inline distT="0" distB="0" distL="0" distR="0" wp14:anchorId="69267678" wp14:editId="14B82A7A">
            <wp:extent cx="2696210" cy="2494483"/>
            <wp:effectExtent l="0" t="0" r="8890" b="1270"/>
            <wp:docPr id="23" name="Picture 2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Map&#10;&#10;Description automatically generated"/>
                    <pic:cNvPicPr/>
                  </pic:nvPicPr>
                  <pic:blipFill>
                    <a:blip r:embed="rId42"/>
                    <a:stretch>
                      <a:fillRect/>
                    </a:stretch>
                  </pic:blipFill>
                  <pic:spPr>
                    <a:xfrm>
                      <a:off x="0" y="0"/>
                      <a:ext cx="2728080" cy="2523968"/>
                    </a:xfrm>
                    <a:prstGeom prst="rect">
                      <a:avLst/>
                    </a:prstGeom>
                  </pic:spPr>
                </pic:pic>
              </a:graphicData>
            </a:graphic>
          </wp:inline>
        </w:drawing>
      </w:r>
      <w:r w:rsidR="00CE2EEC">
        <w:t xml:space="preserve">  </w:t>
      </w:r>
      <w:r w:rsidR="00CE2EEC" w:rsidRPr="00CE2EEC">
        <w:rPr>
          <w:b/>
          <w:bCs/>
        </w:rPr>
        <w:t>b)</w:t>
      </w:r>
      <w:r w:rsidR="009264A3" w:rsidRPr="00BF72CE">
        <w:rPr>
          <w:noProof/>
        </w:rPr>
        <w:drawing>
          <wp:inline distT="0" distB="0" distL="0" distR="0" wp14:anchorId="7ED17082" wp14:editId="65CAEC23">
            <wp:extent cx="2725420" cy="2501799"/>
            <wp:effectExtent l="0" t="0" r="0" b="0"/>
            <wp:docPr id="18" name="Picture 18"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timeline, bar chart&#10;&#10;Description automatically generated"/>
                    <pic:cNvPicPr/>
                  </pic:nvPicPr>
                  <pic:blipFill>
                    <a:blip r:embed="rId43"/>
                    <a:stretch>
                      <a:fillRect/>
                    </a:stretch>
                  </pic:blipFill>
                  <pic:spPr>
                    <a:xfrm>
                      <a:off x="0" y="0"/>
                      <a:ext cx="2765587" cy="2538670"/>
                    </a:xfrm>
                    <a:prstGeom prst="rect">
                      <a:avLst/>
                    </a:prstGeom>
                  </pic:spPr>
                </pic:pic>
              </a:graphicData>
            </a:graphic>
          </wp:inline>
        </w:drawing>
      </w:r>
    </w:p>
    <w:p w14:paraId="2210A4E6" w14:textId="36D189F7" w:rsidR="005F4F16" w:rsidRDefault="003C590C" w:rsidP="003C590C">
      <w:pPr>
        <w:pStyle w:val="Caption"/>
      </w:pPr>
      <w:bookmarkStart w:id="33" w:name="_Toc127110909"/>
      <w:r>
        <w:t xml:space="preserve">Figure </w:t>
      </w:r>
      <w:fldSimple w:instr=" SEQ Figure \* ARABIC ">
        <w:r w:rsidR="00A0212F">
          <w:rPr>
            <w:noProof/>
          </w:rPr>
          <w:t>15</w:t>
        </w:r>
      </w:fldSimple>
      <w:r>
        <w:t xml:space="preserve"> a) </w:t>
      </w:r>
      <w:r w:rsidR="009264A3" w:rsidRPr="00017A7E">
        <w:t xml:space="preserve">The distribution of woody biomass and waste in </w:t>
      </w:r>
      <w:r w:rsidR="009264A3">
        <w:t xml:space="preserve">the </w:t>
      </w:r>
      <w:r w:rsidR="009264A3" w:rsidRPr="00017A7E">
        <w:t>EU</w:t>
      </w:r>
      <w:r w:rsidR="009264A3">
        <w:t xml:space="preserve"> b)</w:t>
      </w:r>
      <w:r w:rsidR="00CE2EEC">
        <w:t xml:space="preserve"> </w:t>
      </w:r>
      <w:r w:rsidR="00AC036F">
        <w:t>C</w:t>
      </w:r>
      <w:r w:rsidRPr="00017A7E">
        <w:t>omparison of the woody-biomass supply and the existing woody-biomass demand, per country</w:t>
      </w:r>
      <w:r>
        <w:t>)</w:t>
      </w:r>
      <w:r w:rsidR="007F2F21">
        <w:t xml:space="preserve"> </w:t>
      </w:r>
      <w:r w:rsidR="007F2F21">
        <w:fldChar w:fldCharType="begin"/>
      </w:r>
      <w:r w:rsidR="00192334">
        <w:instrText xml:space="preserve"> ADDIN ZOTERO_ITEM CSL_CITATION {"citationID":"0VPariyX","properties":{"formattedCitation":"(Mandova {\\i{}et al.}, 2018)","plainCitation":"(Mandova et al., 2018)","noteIndex":0},"citationItems":[{"id":1645,"uris":["http://zotero.org/users/local/AB2owHL2/items/U7AYIKF9"],"itemData":{"id":1645,"type":"article-journal","abstract":"Iron and steel plants producing steel via the blast furnace-basic oxygen furnace (BF-BOF) route constitute among the largest single point CO2 emitters within the European Union (EU). As the iron ore reduction process in the blast furnace is fully dependent on carbon mainly supplied by coal and coke, bioenergy is the only renewable that presents a possibility for their partial substitution. Using the BeWhere model, this work optimised the mobilization and use of biomass resources within the EU in order to identify the opportunities that bioenergy can bring to the 30 operating BF-BOF plants. The results demonstrate competition for the available biomass resources within existing industries and economically unappealing prices of the bio-based fuels. A carbon dioxide price of 60 € t−1 is required to substitute 20% of the CO2 emissions from the fossil fuels use, while a price of 140 € t−1 is needed to reach the maximum potential of 42%. The possibility to use organic wastes to produce hydrochar would not enhance the maximum emission reduction potential, but it would broaden the available feedstock during the low levels of substitution. The scope for bioenergy integration is different for each plant and so consideration of its deployment should be treated individually. Therefore, the EU-ETS (Emission Trading System) may not be the best policy tool for bioenergy as an emission reduction strategy for the iron and steel industry, as it does not differentiate between the opportunities across the different steel plants and creates additional costs for the already struggling European steel industry.","container-title":"Biomass and Bioenergy","DOI":"10.1016/j.biombioe.2018.04.021","ISSN":"0961-9534","journalAbbreviation":"Biomass and Bioenergy","language":"en","page":"231-243","source":"ScienceDirect","title":"Possibilities for CO2 emission reduction using biomass in European integrated steel plants","URL":"https://www.sciencedirect.com/science/article/pii/S0961953418301107","volume":"115","author":[{"family":"Mandova","given":"H."},{"family":"Leduc","given":"S."},{"family":"Wang","given":"C."},{"family":"Wetterlund","given":"E."},{"family":"Patrizio","given":"P."},{"family":"Gale","given":"W."},{"family":"Kraxner","given":"F."}],"accessed":{"date-parts":[["2022",5,3]]},"issued":{"date-parts":[["2018",8,1]]}}}],"schema":"https://github.com/citation-style-language/schema/raw/master/csl-citation.json"} </w:instrText>
      </w:r>
      <w:r w:rsidR="007F2F21">
        <w:fldChar w:fldCharType="separate"/>
      </w:r>
      <w:r w:rsidR="00192334" w:rsidRPr="00192334">
        <w:rPr>
          <w:rFonts w:ascii="Calibri" w:hAnsi="Calibri" w:cs="Calibri"/>
          <w:szCs w:val="24"/>
        </w:rPr>
        <w:t xml:space="preserve">(Mandova </w:t>
      </w:r>
      <w:r w:rsidR="00192334" w:rsidRPr="00192334">
        <w:rPr>
          <w:rFonts w:ascii="Calibri" w:hAnsi="Calibri" w:cs="Calibri"/>
          <w:i w:val="0"/>
          <w:iCs w:val="0"/>
          <w:szCs w:val="24"/>
        </w:rPr>
        <w:t>et al.</w:t>
      </w:r>
      <w:r w:rsidR="00192334" w:rsidRPr="00192334">
        <w:rPr>
          <w:rFonts w:ascii="Calibri" w:hAnsi="Calibri" w:cs="Calibri"/>
          <w:szCs w:val="24"/>
        </w:rPr>
        <w:t>, 2018)</w:t>
      </w:r>
      <w:r w:rsidR="007F2F21">
        <w:fldChar w:fldCharType="end"/>
      </w:r>
      <w:r w:rsidR="007F2F21">
        <w:t>.</w:t>
      </w:r>
      <w:bookmarkEnd w:id="33"/>
    </w:p>
    <w:p w14:paraId="2C0F7F3F" w14:textId="09C89B2F" w:rsidR="004744FC" w:rsidRDefault="004744FC" w:rsidP="004744FC">
      <w:pPr>
        <w:spacing w:line="360" w:lineRule="auto"/>
        <w:jc w:val="both"/>
      </w:pPr>
      <w:r>
        <w:t>Biomass raw materials are low in energy density and require treatment in order to make them suitable for use in iron making processes.  A significant amount of energy cost</w:t>
      </w:r>
      <w:r w:rsidR="00B4151E">
        <w:t>s</w:t>
      </w:r>
      <w:r>
        <w:t xml:space="preserve"> a</w:t>
      </w:r>
      <w:r w:rsidR="00B4151E">
        <w:t>re</w:t>
      </w:r>
      <w:r>
        <w:t xml:space="preserve"> associated with cultivating, </w:t>
      </w:r>
      <w:r>
        <w:lastRenderedPageBreak/>
        <w:t>transporting and pre-treating and handing them, as illustrated in figure 1</w:t>
      </w:r>
      <w:r w:rsidR="00CE33CF">
        <w:t>6</w:t>
      </w:r>
      <w:r>
        <w:t>. As such biochar productions costs are significantly in excess of the fossil fuels</w:t>
      </w:r>
      <w:r w:rsidR="00255D0E">
        <w:t xml:space="preserve"> they are meant to replace</w:t>
      </w:r>
      <w:r w:rsidR="00DB5BE8">
        <w:t xml:space="preserve">. Charcoal cannot compete with fossil fuels on price without the </w:t>
      </w:r>
      <w:r w:rsidR="00071EE3">
        <w:t xml:space="preserve">introduction </w:t>
      </w:r>
      <w:r w:rsidR="008238C8">
        <w:t xml:space="preserve">of </w:t>
      </w:r>
      <w:r w:rsidR="00CE35DD">
        <w:t xml:space="preserve">high </w:t>
      </w:r>
      <w:r w:rsidR="008238C8">
        <w:t xml:space="preserve">carbon taxes </w:t>
      </w:r>
      <w:r w:rsidR="008238C8">
        <w:fldChar w:fldCharType="begin"/>
      </w:r>
      <w:r w:rsidR="00192334">
        <w:instrText xml:space="preserve"> ADDIN ZOTERO_ITEM CSL_CITATION {"citationID":"P9N6FDsL","properties":{"formattedCitation":"(Mousa {\\i{}et al.}, 2016)","plainCitation":"(Mousa et al., 2016)","noteIndex":0},"citationItems":[{"id":467,"uris":["http://zotero.org/users/local/AB2owHL2/items/EZKAGM8Y"],"itemData":{"id":467,"type":"article-journal","abstract":"The iron and steel industry accounts for about 20% of the annual industrial energy utilization. The intensive fossil fuel consumption in steel industry is associated with CO2 emission. In the absence of economically feasible and efficient methods for capture and storage of enormous quantities of CO2 emissions from steel industry, the use of biomass products as a source of energy and reducing agents provides a promising alternative solution for green steel production. However, the biomass application in iron and steel industry is still limited and it suffers strong competition from fossil fuels. The challenges of biomass usage in steel industry are included technical and economic aspects which required synergy between steelmaking and bioenergy sectors. Although intensive work has been carried out separately, there is a lack of link between these two vital sectors. The present article provides a comprehensive review of recent research progresses which have been conducted on biomass upgrading and analysing the opportunities and obstacles for biomass implementation in iron and steel industry. In the first part, an overview on the energy consumption and CO2 emissions in different iron and steelmaking routes is clarified. Moreover, the potential approaches of biomass conversion processes and upgrading technologies are reviewed. In the second part, an attention has been paid to the utilization of torrefied/pyrolyzed biomass in the energy-intensive ironmaking processes. Biomass addition to coal blend during cokemaking and its influence on the product coke quality is discussed. The partial and complete substitution of coke breeze with biochar in sintering process and its influence on the product sinter quality is explained. The impact of charcoal top charging or injection into blast furnace has been elaborated. Benefits and limitations of biomass application in each process are thoroughly discussed. In the third part, an economic analysis of biomass implementation for low-carbon steel is addressed.","container-title":"Renewable and Sustainable Energy Reviews","DOI":"10.1016/j.rser.2016.07.061","ISSN":"1364-0321","journalAbbreviation":"Renewable and Sustainable Energy Reviews","language":"en","page":"1247-1266","source":"ScienceDirect","title":"Biomass applications in iron and steel industry: An overview of challenges and opportunities","title-short":"Biomass applications in iron and steel industry","URL":"https://www.sciencedirect.com/science/article/pii/S1364032116303896","volume":"65","author":[{"family":"Mousa","given":"Elsayed"},{"family":"Wang","given":"Chuan"},{"family":"Riesbeck","given":"Johan"},{"family":"Larsson","given":"Mikael"}],"accessed":{"date-parts":[["2021",2,15]]},"issued":{"date-parts":[["2016",11,1]]}}}],"schema":"https://github.com/citation-style-language/schema/raw/master/csl-citation.json"} </w:instrText>
      </w:r>
      <w:r w:rsidR="008238C8">
        <w:fldChar w:fldCharType="separate"/>
      </w:r>
      <w:r w:rsidR="00192334" w:rsidRPr="00192334">
        <w:rPr>
          <w:rFonts w:ascii="Calibri" w:hAnsi="Calibri" w:cs="Calibri"/>
          <w:szCs w:val="24"/>
        </w:rPr>
        <w:t xml:space="preserve">(Mousa </w:t>
      </w:r>
      <w:r w:rsidR="00192334" w:rsidRPr="00192334">
        <w:rPr>
          <w:rFonts w:ascii="Calibri" w:hAnsi="Calibri" w:cs="Calibri"/>
          <w:i/>
          <w:iCs/>
          <w:szCs w:val="24"/>
        </w:rPr>
        <w:t>et al.</w:t>
      </w:r>
      <w:r w:rsidR="00192334" w:rsidRPr="00192334">
        <w:rPr>
          <w:rFonts w:ascii="Calibri" w:hAnsi="Calibri" w:cs="Calibri"/>
          <w:szCs w:val="24"/>
        </w:rPr>
        <w:t>, 2016)</w:t>
      </w:r>
      <w:r w:rsidR="008238C8">
        <w:fldChar w:fldCharType="end"/>
      </w:r>
      <w:r w:rsidR="008238C8">
        <w:t>.</w:t>
      </w:r>
    </w:p>
    <w:p w14:paraId="0ADFAE85" w14:textId="1295AD95" w:rsidR="00225BF7" w:rsidRDefault="003B5E92" w:rsidP="005F4F16">
      <w:pPr>
        <w:spacing w:line="360" w:lineRule="auto"/>
        <w:jc w:val="both"/>
      </w:pPr>
      <w:r w:rsidRPr="003B5E92">
        <w:rPr>
          <w:noProof/>
        </w:rPr>
        <w:drawing>
          <wp:inline distT="0" distB="0" distL="0" distR="0" wp14:anchorId="1330F3F0" wp14:editId="160D8F72">
            <wp:extent cx="4152183" cy="2062886"/>
            <wp:effectExtent l="0" t="0" r="1270" b="0"/>
            <wp:docPr id="26" name="Picture 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a:blip r:embed="rId44"/>
                    <a:stretch>
                      <a:fillRect/>
                    </a:stretch>
                  </pic:blipFill>
                  <pic:spPr>
                    <a:xfrm>
                      <a:off x="0" y="0"/>
                      <a:ext cx="4168421" cy="2070954"/>
                    </a:xfrm>
                    <a:prstGeom prst="rect">
                      <a:avLst/>
                    </a:prstGeom>
                  </pic:spPr>
                </pic:pic>
              </a:graphicData>
            </a:graphic>
          </wp:inline>
        </w:drawing>
      </w:r>
    </w:p>
    <w:p w14:paraId="3813F598" w14:textId="1FDD1782" w:rsidR="00D33078" w:rsidRDefault="00D33078" w:rsidP="00D33078">
      <w:pPr>
        <w:pStyle w:val="Caption"/>
      </w:pPr>
      <w:bookmarkStart w:id="34" w:name="_Toc127110910"/>
      <w:r>
        <w:t xml:space="preserve">Figure </w:t>
      </w:r>
      <w:fldSimple w:instr=" SEQ Figure \* ARABIC ">
        <w:r w:rsidR="00A0212F">
          <w:rPr>
            <w:noProof/>
          </w:rPr>
          <w:t>16</w:t>
        </w:r>
      </w:fldSimple>
      <w:r>
        <w:t xml:space="preserve"> The cost of charcoal production </w:t>
      </w:r>
      <w:r w:rsidR="000D7227">
        <w:fldChar w:fldCharType="begin"/>
      </w:r>
      <w:r w:rsidR="00192334">
        <w:instrText xml:space="preserve"> ADDIN ZOTERO_ITEM CSL_CITATION {"citationID":"T5H8swyD","properties":{"formattedCitation":"(Suopaj\\uc0\\u228{}rvi and Fabritius, 2013)","plainCitation":"(Suopajärvi and Fabritius, 2013)","noteIndex":0},"citationItems":[{"id":1698,"uris":["http://zotero.org/users/local/AB2owHL2/items/GCVPYUYJ"],"itemData":{"id":1698,"type":"article-journal","abstract":"Replacement of fossil carbon by renewable biomass-based carbon is an effective measure to mitigate CO2 emission intensity in the blast furnace ironmaking process. Depending on the substitution rate of fossil fuels, the required amount of biomass can be substantial. This raises questions about the availability of biomass for multiple uses. At the same time, the economic competitiveness of biomass-based fuels in ironmaking applications should also be a key consideration. In this assessment, availability of energy wood, i.e., logging residues, small-diameter wood and stumps, in Finland is discussed. Since biomass must be submitted to a thermochemical process before use in a blast furnace, the paper describes the production chain, from biomass to charcoal, and economics related to each processing step. The economics of biomass-based reducing agents is compared to fossil-based ones by taking into account the effect of European Union Emissions Trading System (EU ETS). The assessment reveals that there would be sufficient amounts of energy wood available for current users as well as for ironmaking. At present, the economics of biomass-based reducing agents in ironmaking applications is unfavorable. High CO2 emission allowance prices would be required to make such a scheme competitive against fossil-based reducing agents at current fuel prices.","container-title":"Sustainability","DOI":"https://doi-org.ezproxy.uwtsd.ac.uk/10.3390/su5031188","issue":"3","language":"English","license":"Copyright MDPI AG 2013","note":"number-of-pages: 1188-1207\npublisher-place: Basel, Switzerland\npublisher: MDPI AG","page":"1188-1207","source":"ProQuest","title":"Towards More Sustainable Ironmaking-An Analysis of Energy Wood Availability in Finland and the Economics of Charcoal Production","URL":"http://www.proquest.com/docview/1537436641/abstract/C57D008FADF84950PQ/1","volume":"5","author":[{"family":"Suopajärvi","given":"Hannu"},{"family":"Fabritius","given":"Timo"}],"accessed":{"date-parts":[["2022",6,28]]},"issued":{"date-parts":[["2013"]]}}}],"schema":"https://github.com/citation-style-language/schema/raw/master/csl-citation.json"} </w:instrText>
      </w:r>
      <w:r w:rsidR="000D7227">
        <w:fldChar w:fldCharType="separate"/>
      </w:r>
      <w:bookmarkEnd w:id="34"/>
      <w:r w:rsidR="00192334" w:rsidRPr="00192334">
        <w:rPr>
          <w:rFonts w:ascii="Calibri" w:hAnsi="Calibri" w:cs="Calibri"/>
          <w:szCs w:val="24"/>
        </w:rPr>
        <w:t>(Suopajärvi and Fabritius, 2013)</w:t>
      </w:r>
      <w:r w:rsidR="000D7227">
        <w:fldChar w:fldCharType="end"/>
      </w:r>
    </w:p>
    <w:p w14:paraId="00CE8F3C" w14:textId="692E1745" w:rsidR="00D84085" w:rsidRPr="009A29D7" w:rsidRDefault="000E288B" w:rsidP="007710EA">
      <w:pPr>
        <w:spacing w:line="360" w:lineRule="auto"/>
        <w:jc w:val="both"/>
      </w:pPr>
      <w:r>
        <w:t xml:space="preserve">Charcoal production costs range </w:t>
      </w:r>
      <w:r w:rsidR="004F266D">
        <w:t xml:space="preserve">from </w:t>
      </w:r>
      <w:r w:rsidR="00B62E3E">
        <w:rPr>
          <w:rFonts w:cstheme="minorHAnsi"/>
        </w:rPr>
        <w:t>€</w:t>
      </w:r>
      <w:r w:rsidR="00B62E3E">
        <w:t xml:space="preserve">268/t to </w:t>
      </w:r>
      <w:r w:rsidR="00B62E3E">
        <w:rPr>
          <w:rFonts w:cstheme="minorHAnsi"/>
        </w:rPr>
        <w:t>€</w:t>
      </w:r>
      <w:r w:rsidR="00610E34">
        <w:t xml:space="preserve">478/t, for logging residues. </w:t>
      </w:r>
      <w:r w:rsidR="002037EA">
        <w:t>Raw material costs account for</w:t>
      </w:r>
      <w:r w:rsidR="00E1406A">
        <w:t xml:space="preserve"> between 54% - 65.4% and transport</w:t>
      </w:r>
      <w:r w:rsidR="00682B58">
        <w:t>ation</w:t>
      </w:r>
      <w:r w:rsidR="00E1406A">
        <w:t xml:space="preserve"> costs </w:t>
      </w:r>
      <w:r w:rsidR="00682B58">
        <w:t>make up 21% - 34%</w:t>
      </w:r>
      <w:r w:rsidR="007710EA">
        <w:t xml:space="preserve">. Investment in </w:t>
      </w:r>
      <w:r w:rsidR="00157AEE">
        <w:t xml:space="preserve">Charcoal </w:t>
      </w:r>
      <w:r w:rsidR="007710EA">
        <w:t>production plants near to the steel plants would help to reduce costs significantly</w:t>
      </w:r>
      <w:r w:rsidR="00EB4EEF">
        <w:t xml:space="preserve"> </w:t>
      </w:r>
      <w:r w:rsidR="00C77A84">
        <w:fldChar w:fldCharType="begin"/>
      </w:r>
      <w:r w:rsidR="00192334">
        <w:instrText xml:space="preserve"> ADDIN ZOTERO_ITEM CSL_CITATION {"citationID":"H1Q2LYAs","properties":{"formattedCitation":"(Suopaj\\uc0\\u228{}rvi, 2014)","plainCitation":"(Suopajärvi, 2014)","noteIndex":0},"citationItems":[{"id":757,"uris":["http://zotero.org/users/local/AB2owHL2/items/9NTAJJT4"],"itemData":{"id":757,"type":"article-journal","abstract":"Most of the steel produced in the world is based on the integrated blast furnace-converter route, which is based on the use of virgin raw materials. Large amounts of fossil-based, carbon containing reductants are used in blast furnaces, which results in carbon dioxide emissions into the atmosphere. Fossil carbon dioxide emissions from steel production can be reduced by new technologies or moving from non-renewable to renewable energy sources. Biomass-based reductants could be one way to reduce the specific emissions from blast furnace-based steel production.","language":"en","page":"100","source":"Zotero","title":"Bioreducer use in blast furnace ironmaking in Finland : techno-economic assessment and CO2 emission reduction potential","author":[{"family":"Suopajärvi","given":"Hannu"}],"issued":{"date-parts":[["2014"]]}}}],"schema":"https://github.com/citation-style-language/schema/raw/master/csl-citation.json"} </w:instrText>
      </w:r>
      <w:r w:rsidR="00C77A84">
        <w:fldChar w:fldCharType="separate"/>
      </w:r>
      <w:r w:rsidR="00192334" w:rsidRPr="00192334">
        <w:rPr>
          <w:rFonts w:ascii="Calibri" w:hAnsi="Calibri" w:cs="Calibri"/>
          <w:szCs w:val="24"/>
        </w:rPr>
        <w:t>(Suopajärvi, 2014)</w:t>
      </w:r>
      <w:r w:rsidR="00C77A84">
        <w:fldChar w:fldCharType="end"/>
      </w:r>
      <w:r w:rsidR="007710EA">
        <w:t>.</w:t>
      </w:r>
      <w:r w:rsidR="005C42FA">
        <w:t xml:space="preserve"> </w:t>
      </w:r>
      <w:r w:rsidR="005C42FA">
        <w:fldChar w:fldCharType="begin"/>
      </w:r>
      <w:r w:rsidR="00192334">
        <w:instrText xml:space="preserve"> ADDIN ZOTERO_ITEM CSL_CITATION {"citationID":"Es4vDOUE","properties":{"formattedCitation":"(Mandova {\\i{}et al.}, 2018)","plainCitation":"(Mandova et al., 2018)","noteIndex":0},"citationItems":[{"id":1645,"uris":["http://zotero.org/users/local/AB2owHL2/items/U7AYIKF9"],"itemData":{"id":1645,"type":"article-journal","abstract":"Iron and steel plants producing steel via the blast furnace-basic oxygen furnace (BF-BOF) route constitute among the largest single point CO2 emitters within the European Union (EU). As the iron ore reduction process in the blast furnace is fully dependent on carbon mainly supplied by coal and coke, bioenergy is the only renewable that presents a possibility for their partial substitution. Using the BeWhere model, this work optimised the mobilization and use of biomass resources within the EU in order to identify the opportunities that bioenergy can bring to the 30 operating BF-BOF plants. The results demonstrate competition for the available biomass resources within existing industries and economically unappealing prices of the bio-based fuels. A carbon dioxide price of 60 € t−1 is required to substitute 20% of the CO2 emissions from the fossil fuels use, while a price of 140 € t−1 is needed to reach the maximum potential of 42%. The possibility to use organic wastes to produce hydrochar would not enhance the maximum emission reduction potential, but it would broaden the available feedstock during the low levels of substitution. The scope for bioenergy integration is different for each plant and so consideration of its deployment should be treated individually. Therefore, the EU-ETS (Emission Trading System) may not be the best policy tool for bioenergy as an emission reduction strategy for the iron and steel industry, as it does not differentiate between the opportunities across the different steel plants and creates additional costs for the already struggling European steel industry.","container-title":"Biomass and Bioenergy","DOI":"10.1016/j.biombioe.2018.04.021","ISSN":"0961-9534","journalAbbreviation":"Biomass and Bioenergy","language":"en","page":"231-243","source":"ScienceDirect","title":"Possibilities for CO2 emission reduction using biomass in European integrated steel plants","URL":"https://www.sciencedirect.com/science/article/pii/S0961953418301107","volume":"115","author":[{"family":"Mandova","given":"H."},{"family":"Leduc","given":"S."},{"family":"Wang","given":"C."},{"family":"Wetterlund","given":"E."},{"family":"Patrizio","given":"P."},{"family":"Gale","given":"W."},{"family":"Kraxner","given":"F."}],"accessed":{"date-parts":[["2022",5,3]]},"issued":{"date-parts":[["2018",8,1]]}}}],"schema":"https://github.com/citation-style-language/schema/raw/master/csl-citation.json"} </w:instrText>
      </w:r>
      <w:r w:rsidR="005C42FA">
        <w:fldChar w:fldCharType="separate"/>
      </w:r>
      <w:r w:rsidR="00192334" w:rsidRPr="00192334">
        <w:rPr>
          <w:rFonts w:ascii="Calibri" w:hAnsi="Calibri" w:cs="Calibri"/>
          <w:szCs w:val="24"/>
        </w:rPr>
        <w:t xml:space="preserve">(Mandova </w:t>
      </w:r>
      <w:r w:rsidR="00192334" w:rsidRPr="00192334">
        <w:rPr>
          <w:rFonts w:ascii="Calibri" w:hAnsi="Calibri" w:cs="Calibri"/>
          <w:i/>
          <w:iCs/>
          <w:szCs w:val="24"/>
        </w:rPr>
        <w:t>et al.</w:t>
      </w:r>
      <w:r w:rsidR="00192334" w:rsidRPr="00192334">
        <w:rPr>
          <w:rFonts w:ascii="Calibri" w:hAnsi="Calibri" w:cs="Calibri"/>
          <w:szCs w:val="24"/>
        </w:rPr>
        <w:t>, 2018)</w:t>
      </w:r>
      <w:r w:rsidR="005C42FA">
        <w:fldChar w:fldCharType="end"/>
      </w:r>
      <w:r w:rsidR="005C42FA">
        <w:t xml:space="preserve"> </w:t>
      </w:r>
      <w:r w:rsidR="009A29D7">
        <w:t>found that maximising CO</w:t>
      </w:r>
      <w:r w:rsidR="009A29D7" w:rsidRPr="009A29D7">
        <w:rPr>
          <w:vertAlign w:val="subscript"/>
        </w:rPr>
        <w:t>2</w:t>
      </w:r>
      <w:r w:rsidR="009A29D7">
        <w:t xml:space="preserve"> reduction </w:t>
      </w:r>
      <w:r w:rsidR="00F23F49">
        <w:t>using</w:t>
      </w:r>
      <w:r w:rsidR="009A29D7">
        <w:t xml:space="preserve"> biomass</w:t>
      </w:r>
      <w:r w:rsidR="00810CC5">
        <w:t xml:space="preserve"> would increase steel production costs by 50%</w:t>
      </w:r>
      <w:r w:rsidR="00C10C56">
        <w:t xml:space="preserve">. </w:t>
      </w:r>
      <w:r w:rsidR="00F0671F">
        <w:t>This would therefore require that the EUETS CO</w:t>
      </w:r>
      <w:r w:rsidR="00F0671F" w:rsidRPr="00F266D7">
        <w:rPr>
          <w:vertAlign w:val="subscript"/>
        </w:rPr>
        <w:t>2</w:t>
      </w:r>
      <w:r w:rsidR="00F0671F">
        <w:t xml:space="preserve"> price be set at </w:t>
      </w:r>
      <w:r w:rsidR="0027281A">
        <w:t>124</w:t>
      </w:r>
      <w:r w:rsidR="00941132">
        <w:t xml:space="preserve"> £/t</w:t>
      </w:r>
      <w:r w:rsidR="008C5F3E">
        <w:t xml:space="preserve"> to encourage the use of biomass. They found that the carbon tax would </w:t>
      </w:r>
      <w:r w:rsidR="00922CF9">
        <w:t>severely impact upon</w:t>
      </w:r>
      <w:r w:rsidR="00665605">
        <w:t xml:space="preserve"> the</w:t>
      </w:r>
      <w:r w:rsidR="008C5F3E">
        <w:t xml:space="preserve"> cost of steelmaking </w:t>
      </w:r>
      <w:r w:rsidR="00922CF9">
        <w:t>in Europe and that other measures such as subsid</w:t>
      </w:r>
      <w:r w:rsidR="00F23F49">
        <w:t>i</w:t>
      </w:r>
      <w:r w:rsidR="00922CF9">
        <w:t>es or tax relief should be considered.</w:t>
      </w:r>
      <w:r w:rsidR="008C5F3E">
        <w:t xml:space="preserve"> </w:t>
      </w:r>
    </w:p>
    <w:p w14:paraId="0BBC3F0A" w14:textId="75DE5380" w:rsidR="00133213" w:rsidRDefault="000B651A" w:rsidP="007710EA">
      <w:pPr>
        <w:spacing w:line="360" w:lineRule="auto"/>
        <w:jc w:val="both"/>
      </w:pPr>
      <w:r>
        <w:fldChar w:fldCharType="begin"/>
      </w:r>
      <w:r w:rsidR="0032252B">
        <w:instrText xml:space="preserve"> ADDIN ZOTERO_ITEM CSL_CITATION {"citationID":"PpRey49h","properties":{"formattedCitation":"(Mathieson {\\i{}et al.}, 2011)","plainCitation":"(Mathieson et al., 2011)","noteIndex":0},"citationItems":[{"id":1758,"uris":["http://zotero.org/users/local/AB2owHL2/items/38ME85SD"],"itemData":{"id":1758,"type":"paper-conference","container-title":"Alternative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schema":"https://github.com/citation-style-language/schema/raw/master/csl-citation.json"} </w:instrText>
      </w:r>
      <w:r>
        <w:fldChar w:fldCharType="separate"/>
      </w:r>
      <w:r w:rsidR="00192334" w:rsidRPr="00192334">
        <w:rPr>
          <w:rFonts w:ascii="Calibri" w:hAnsi="Calibri" w:cs="Calibri"/>
          <w:szCs w:val="24"/>
        </w:rPr>
        <w:t xml:space="preserve">(Mathieson </w:t>
      </w:r>
      <w:r w:rsidR="00192334" w:rsidRPr="00192334">
        <w:rPr>
          <w:rFonts w:ascii="Calibri" w:hAnsi="Calibri" w:cs="Calibri"/>
          <w:i/>
          <w:iCs/>
          <w:szCs w:val="24"/>
        </w:rPr>
        <w:t>et al.</w:t>
      </w:r>
      <w:r w:rsidR="00192334" w:rsidRPr="00192334">
        <w:rPr>
          <w:rFonts w:ascii="Calibri" w:hAnsi="Calibri" w:cs="Calibri"/>
          <w:szCs w:val="24"/>
        </w:rPr>
        <w:t>, 2011)</w:t>
      </w:r>
      <w:r>
        <w:fldChar w:fldCharType="end"/>
      </w:r>
      <w:r w:rsidR="00CE768B">
        <w:t xml:space="preserve"> </w:t>
      </w:r>
      <w:r w:rsidR="00170628">
        <w:t>showed</w:t>
      </w:r>
      <w:r w:rsidR="00CE768B">
        <w:t xml:space="preserve"> the value in us</w:t>
      </w:r>
      <w:r w:rsidR="007F5C5E">
        <w:t>e</w:t>
      </w:r>
      <w:r w:rsidR="00CE768B">
        <w:t xml:space="preserve"> (VUI</w:t>
      </w:r>
      <w:r w:rsidR="007F5C5E">
        <w:t xml:space="preserve">) of various charcoal </w:t>
      </w:r>
      <w:r w:rsidR="00A33EA2">
        <w:t>examples</w:t>
      </w:r>
      <w:r w:rsidR="007F5C5E">
        <w:t xml:space="preserve"> compared with</w:t>
      </w:r>
      <w:r w:rsidR="00A33EA2">
        <w:t xml:space="preserve"> diffe</w:t>
      </w:r>
      <w:r w:rsidR="00AD224F">
        <w:t>rent</w:t>
      </w:r>
      <w:r w:rsidR="007F5C5E">
        <w:t xml:space="preserve"> coal</w:t>
      </w:r>
      <w:r w:rsidR="00A33EA2">
        <w:t>s</w:t>
      </w:r>
      <w:r w:rsidR="007F5C5E">
        <w:t xml:space="preserve"> for BF t</w:t>
      </w:r>
      <w:r w:rsidR="00B406D8">
        <w:t>uyere injection at 140kg/t-HM shown in figure</w:t>
      </w:r>
      <w:r w:rsidR="00F77978">
        <w:t xml:space="preserve"> </w:t>
      </w:r>
      <w:r w:rsidR="00B406D8">
        <w:t>1</w:t>
      </w:r>
      <w:r w:rsidR="00F96C05">
        <w:t>7</w:t>
      </w:r>
      <w:r w:rsidR="00C32434">
        <w:t>.</w:t>
      </w:r>
      <w:r w:rsidR="0089298A">
        <w:t xml:space="preserve"> </w:t>
      </w:r>
      <w:r w:rsidR="00776BF5">
        <w:t>Three charcoal samples had calculated</w:t>
      </w:r>
      <w:r w:rsidR="007933C1">
        <w:t xml:space="preserve"> values</w:t>
      </w:r>
      <w:r w:rsidR="00776BF5">
        <w:t xml:space="preserve"> 50% greater than the reference bituminous coal</w:t>
      </w:r>
      <w:r w:rsidR="00AF0D09">
        <w:t>.</w:t>
      </w:r>
      <w:r w:rsidR="00780E7F">
        <w:t xml:space="preserve"> </w:t>
      </w:r>
      <w:r w:rsidR="001678C3">
        <w:t>The reason for this is the predicted lower BF coke rates and improved hot metal composition</w:t>
      </w:r>
      <w:r w:rsidR="00731326">
        <w:t>.</w:t>
      </w:r>
    </w:p>
    <w:p w14:paraId="4140A917" w14:textId="23EAE02D" w:rsidR="00AF0D09" w:rsidRDefault="00AF0D09" w:rsidP="007710EA">
      <w:pPr>
        <w:spacing w:line="360" w:lineRule="auto"/>
        <w:jc w:val="both"/>
      </w:pPr>
      <w:r w:rsidRPr="00AF0D09">
        <w:rPr>
          <w:noProof/>
        </w:rPr>
        <w:drawing>
          <wp:inline distT="0" distB="0" distL="0" distR="0" wp14:anchorId="04A6D8F2" wp14:editId="7CBB74E6">
            <wp:extent cx="4697730" cy="1865376"/>
            <wp:effectExtent l="0" t="0" r="7620" b="1905"/>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45"/>
                    <a:stretch>
                      <a:fillRect/>
                    </a:stretch>
                  </pic:blipFill>
                  <pic:spPr>
                    <a:xfrm>
                      <a:off x="0" y="0"/>
                      <a:ext cx="4884305" cy="1939461"/>
                    </a:xfrm>
                    <a:prstGeom prst="rect">
                      <a:avLst/>
                    </a:prstGeom>
                  </pic:spPr>
                </pic:pic>
              </a:graphicData>
            </a:graphic>
          </wp:inline>
        </w:drawing>
      </w:r>
    </w:p>
    <w:p w14:paraId="2CB194E5" w14:textId="7DE83FC3" w:rsidR="009E56D4" w:rsidRDefault="00AF0D09" w:rsidP="0099718A">
      <w:pPr>
        <w:pStyle w:val="Caption"/>
      </w:pPr>
      <w:bookmarkStart w:id="35" w:name="_Toc127110911"/>
      <w:r>
        <w:t xml:space="preserve">Figure </w:t>
      </w:r>
      <w:fldSimple w:instr=" SEQ Figure \* ARABIC ">
        <w:r w:rsidR="00A0212F">
          <w:rPr>
            <w:noProof/>
          </w:rPr>
          <w:t>17</w:t>
        </w:r>
      </w:fldSimple>
      <w:r>
        <w:t xml:space="preserve"> Calculated VUI's for BF </w:t>
      </w:r>
      <w:r w:rsidR="00AD224F">
        <w:t xml:space="preserve">fuels </w:t>
      </w:r>
      <w:r>
        <w:t xml:space="preserve">and </w:t>
      </w:r>
      <w:r w:rsidR="00B6584F">
        <w:t xml:space="preserve">subsequent </w:t>
      </w:r>
      <w:r>
        <w:t>CO2 emissions from the BF</w:t>
      </w:r>
      <w:r w:rsidR="00853BE5">
        <w:t xml:space="preserve"> </w:t>
      </w:r>
      <w:r w:rsidR="00853BE5">
        <w:fldChar w:fldCharType="begin"/>
      </w:r>
      <w:r w:rsidR="0032252B">
        <w:instrText xml:space="preserve"> ADDIN ZOTERO_ITEM CSL_CITATION {"citationID":"E9TyAMfY","properties":{"formattedCitation":"(Mathieson {\\i{}et al.}, 2011)","plainCitation":"(Mathieson et al., 2011)","noteIndex":0},"citationItems":[{"id":1758,"uris":["http://zotero.org/users/local/AB2owHL2/items/38ME85SD"],"itemData":{"id":1758,"type":"paper-conference","container-title":"Alternative fuels in iron- and steelmaking","event-place":"Düsseldorf Germany","event-title":"Metec insteel conference","publisher-place":"Düsseldorf Germany","source":"ResearchGate","title":"Use of biomass in the iron and steel industry - An Australian perspective","URL":"https://www.researchgate.net/publication/281640741","author":[{"family":"Mathieson","given":"John"},{"family":"Rogers","given":"Harold"},{"family":"Somerville","given":"Michael"},{"family":"Ridgeway","given":"Phillip"},{"family":"Jahanshahi","given":"Sharif"}],"accessed":{"date-parts":[["2022",10,27]]},"issued":{"date-parts":[["2011",7,1]]}}}],"schema":"https://github.com/citation-style-language/schema/raw/master/csl-citation.json"} </w:instrText>
      </w:r>
      <w:r w:rsidR="00853BE5">
        <w:fldChar w:fldCharType="separate"/>
      </w:r>
      <w:bookmarkEnd w:id="35"/>
      <w:r w:rsidR="00192334" w:rsidRPr="00192334">
        <w:rPr>
          <w:rFonts w:ascii="Calibri" w:hAnsi="Calibri" w:cs="Calibri"/>
          <w:szCs w:val="24"/>
        </w:rPr>
        <w:t xml:space="preserve">(Mathieson </w:t>
      </w:r>
      <w:r w:rsidR="00192334" w:rsidRPr="00192334">
        <w:rPr>
          <w:rFonts w:ascii="Calibri" w:hAnsi="Calibri" w:cs="Calibri"/>
          <w:i w:val="0"/>
          <w:iCs w:val="0"/>
          <w:szCs w:val="24"/>
        </w:rPr>
        <w:t>et al.</w:t>
      </w:r>
      <w:r w:rsidR="00192334" w:rsidRPr="00192334">
        <w:rPr>
          <w:rFonts w:ascii="Calibri" w:hAnsi="Calibri" w:cs="Calibri"/>
          <w:szCs w:val="24"/>
        </w:rPr>
        <w:t>, 2011)</w:t>
      </w:r>
      <w:r w:rsidR="00853BE5">
        <w:fldChar w:fldCharType="end"/>
      </w:r>
    </w:p>
    <w:p w14:paraId="5F1FD60E" w14:textId="6D246F30" w:rsidR="00BF1844" w:rsidRDefault="002C76A9" w:rsidP="00ED14A2">
      <w:pPr>
        <w:pStyle w:val="Heading1"/>
        <w:spacing w:line="360" w:lineRule="auto"/>
        <w:jc w:val="both"/>
      </w:pPr>
      <w:bookmarkStart w:id="36" w:name="_Toc128599602"/>
      <w:r>
        <w:lastRenderedPageBreak/>
        <w:t>Analysis</w:t>
      </w:r>
      <w:bookmarkEnd w:id="36"/>
    </w:p>
    <w:p w14:paraId="0AFB4F57" w14:textId="3FDDD67F" w:rsidR="00276302" w:rsidRDefault="00276302" w:rsidP="00ED14A2">
      <w:pPr>
        <w:spacing w:line="360" w:lineRule="auto"/>
        <w:jc w:val="both"/>
      </w:pPr>
      <w:r>
        <w:t xml:space="preserve">Two biochar samples </w:t>
      </w:r>
      <w:r w:rsidR="00ED14A2">
        <w:t>were considered for assessment. The first sample</w:t>
      </w:r>
      <w:r w:rsidR="00CA4EE7">
        <w:t xml:space="preserve"> (biochar 1)</w:t>
      </w:r>
      <w:r w:rsidR="00ED14A2">
        <w:t xml:space="preserve"> is a </w:t>
      </w:r>
      <w:r w:rsidR="004E2ED0">
        <w:t>softwood pellet biochar that has been pyrolysed at 650</w:t>
      </w:r>
      <w:r w:rsidR="004E2ED0" w:rsidRPr="004E2ED0">
        <w:rPr>
          <w:vertAlign w:val="superscript"/>
        </w:rPr>
        <w:t>0</w:t>
      </w:r>
      <w:r w:rsidR="004E2ED0">
        <w:t>c</w:t>
      </w:r>
      <w:r w:rsidR="009663B3">
        <w:t xml:space="preserve"> </w:t>
      </w:r>
      <w:r w:rsidR="00970AA6">
        <w:t>in a rotary kiln</w:t>
      </w:r>
      <w:r w:rsidR="00242F56">
        <w:t xml:space="preserve"> </w:t>
      </w:r>
      <w:r w:rsidR="00242F56">
        <w:fldChar w:fldCharType="begin"/>
      </w:r>
      <w:r w:rsidR="00192334">
        <w:instrText xml:space="preserve"> ADDIN ZOTERO_ITEM CSL_CITATION {"citationID":"x2N6WC5c","properties":{"formattedCitation":"(Ma\\uc0\\u353{}ek {\\i{}et al.}, 2018)","plainCitation":"(Mašek et al., 2018)","noteIndex":0},"citationItems":[{"id":1896,"uris":["http://zotero.org/users/local/AB2owHL2/items/2KNFXK2A"],"itemData":{"id":1896,"type":"article-journal","abstract":"Users of biochar in the field require this product to reliably meet its declared specifications. For the first time, this work investigated, whether these specifications could be reproducibly obtained as a sole function of the thermal history of the biomass feedstock during slow pyrolysis, irrespective of the type and scale of the production unit. Using volatile matter content as a proxy for a wider set of biochar quality parameters, biochar from units at scales from grams to hundreds of kilograms, representing three main types of slow pyrolysis units (fixed bed, screw reactor and rotary kiln) were investigated. For the first time we showed that comparable biochar could be produced by these very different pyrolysis units, with good reproducibility within individual as well as among separate production runs.","container-title":"Journal of Analytical and Applied Pyrolysis","DOI":"10.1016/j.jaap.2018.02.020","ISSN":"0165-2370","journalAbbreviation":"Journal of Analytical and Applied Pyrolysis","language":"en","page":"200-210","source":"ScienceDirect","title":"Consistency of biochar properties over time and production scales: A characterisation of standard materials","title-short":"Consistency of biochar properties over time and production scales","URL":"https://www.sciencedirect.com/science/article/pii/S0165237017311178","volume":"132","author":[{"family":"Mašek","given":"Ondřej"},{"family":"Buss","given":"Wolfram"},{"family":"Roy-Poirier","given":"Audrey"},{"family":"Lowe","given":"Walter"},{"family":"Peters","given":"Clare"},{"family":"Brownsort","given":"Peter"},{"family":"Mignard","given":"Dimitri"},{"family":"Pritchard","given":"Colin"},{"family":"Sohi","given":"Saran"}],"accessed":{"date-parts":[["2022",8,22]]},"issued":{"date-parts":[["2018",6,1]]}}}],"schema":"https://github.com/citation-style-language/schema/raw/master/csl-citation.json"} </w:instrText>
      </w:r>
      <w:r w:rsidR="00242F56">
        <w:fldChar w:fldCharType="separate"/>
      </w:r>
      <w:r w:rsidR="00192334" w:rsidRPr="00192334">
        <w:rPr>
          <w:rFonts w:ascii="Calibri" w:hAnsi="Calibri" w:cs="Calibri"/>
          <w:szCs w:val="24"/>
        </w:rPr>
        <w:t xml:space="preserve">(Mašek </w:t>
      </w:r>
      <w:r w:rsidR="00192334" w:rsidRPr="00192334">
        <w:rPr>
          <w:rFonts w:ascii="Calibri" w:hAnsi="Calibri" w:cs="Calibri"/>
          <w:i/>
          <w:iCs/>
          <w:szCs w:val="24"/>
        </w:rPr>
        <w:t>et al.</w:t>
      </w:r>
      <w:r w:rsidR="00192334" w:rsidRPr="00192334">
        <w:rPr>
          <w:rFonts w:ascii="Calibri" w:hAnsi="Calibri" w:cs="Calibri"/>
          <w:szCs w:val="24"/>
        </w:rPr>
        <w:t>, 2018)</w:t>
      </w:r>
      <w:r w:rsidR="00242F56">
        <w:fldChar w:fldCharType="end"/>
      </w:r>
      <w:r w:rsidR="0010636B">
        <w:t xml:space="preserve"> shown below in figure</w:t>
      </w:r>
      <w:r w:rsidR="00CC1C9B">
        <w:t xml:space="preserve"> </w:t>
      </w:r>
      <w:r w:rsidR="00F96C05">
        <w:t>18</w:t>
      </w:r>
      <w:r w:rsidR="00CC1C9B">
        <w:t>.</w:t>
      </w:r>
    </w:p>
    <w:p w14:paraId="54E7BECE" w14:textId="204F755F" w:rsidR="0010636B" w:rsidRPr="00276302" w:rsidRDefault="0010636B" w:rsidP="00CB3040">
      <w:pPr>
        <w:spacing w:line="360" w:lineRule="auto"/>
        <w:jc w:val="both"/>
      </w:pPr>
      <w:r w:rsidRPr="0010636B">
        <w:rPr>
          <w:noProof/>
        </w:rPr>
        <w:drawing>
          <wp:inline distT="0" distB="0" distL="0" distR="0" wp14:anchorId="13A17E4A" wp14:editId="3D196BDB">
            <wp:extent cx="4881880" cy="2425148"/>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46"/>
                    <a:stretch>
                      <a:fillRect/>
                    </a:stretch>
                  </pic:blipFill>
                  <pic:spPr>
                    <a:xfrm>
                      <a:off x="0" y="0"/>
                      <a:ext cx="4895692" cy="2432009"/>
                    </a:xfrm>
                    <a:prstGeom prst="rect">
                      <a:avLst/>
                    </a:prstGeom>
                  </pic:spPr>
                </pic:pic>
              </a:graphicData>
            </a:graphic>
          </wp:inline>
        </w:drawing>
      </w:r>
    </w:p>
    <w:p w14:paraId="509A7D4B" w14:textId="58FBA280" w:rsidR="00CB3040" w:rsidRDefault="00CB3040" w:rsidP="00CB3040">
      <w:pPr>
        <w:pStyle w:val="Caption"/>
        <w:jc w:val="both"/>
      </w:pPr>
      <w:bookmarkStart w:id="37" w:name="_Toc127110912"/>
      <w:r>
        <w:t xml:space="preserve">Figure </w:t>
      </w:r>
      <w:fldSimple w:instr=" SEQ Figure \* ARABIC ">
        <w:r w:rsidR="00A0212F">
          <w:rPr>
            <w:noProof/>
          </w:rPr>
          <w:t>18</w:t>
        </w:r>
      </w:fldSimple>
      <w:r>
        <w:t xml:space="preserve"> </w:t>
      </w:r>
      <w:r w:rsidRPr="00CB3040">
        <w:t>Rotary kiln pilot-scale pyrolysis unit</w:t>
      </w:r>
      <w:r>
        <w:t xml:space="preserve"> used to make </w:t>
      </w:r>
      <w:r w:rsidR="00C808CD">
        <w:t xml:space="preserve">biochar 1 </w:t>
      </w:r>
      <w:r w:rsidR="00C808CD">
        <w:fldChar w:fldCharType="begin"/>
      </w:r>
      <w:r w:rsidR="00192334">
        <w:instrText xml:space="preserve"> ADDIN ZOTERO_ITEM CSL_CITATION {"citationID":"DNS9lTMQ","properties":{"formattedCitation":"(Ma\\uc0\\u353{}ek {\\i{}et al.}, 2018)","plainCitation":"(Mašek et al., 2018)","noteIndex":0},"citationItems":[{"id":1896,"uris":["http://zotero.org/users/local/AB2owHL2/items/2KNFXK2A"],"itemData":{"id":1896,"type":"article-journal","abstract":"Users of biochar in the field require this product to reliably meet its declared specifications. For the first time, this work investigated, whether these specifications could be reproducibly obtained as a sole function of the thermal history of the biomass feedstock during slow pyrolysis, irrespective of the type and scale of the production unit. Using volatile matter content as a proxy for a wider set of biochar quality parameters, biochar from units at scales from grams to hundreds of kilograms, representing three main types of slow pyrolysis units (fixed bed, screw reactor and rotary kiln) were investigated. For the first time we showed that comparable biochar could be produced by these very different pyrolysis units, with good reproducibility within individual as well as among separate production runs.","container-title":"Journal of Analytical and Applied Pyrolysis","DOI":"10.1016/j.jaap.2018.02.020","ISSN":"0165-2370","journalAbbreviation":"Journal of Analytical and Applied Pyrolysis","language":"en","page":"200-210","source":"ScienceDirect","title":"Consistency of biochar properties over time and production scales: A characterisation of standard materials","title-short":"Consistency of biochar properties over time and production scales","URL":"https://www.sciencedirect.com/science/article/pii/S0165237017311178","volume":"132","author":[{"family":"Mašek","given":"Ondřej"},{"family":"Buss","given":"Wolfram"},{"family":"Roy-Poirier","given":"Audrey"},{"family":"Lowe","given":"Walter"},{"family":"Peters","given":"Clare"},{"family":"Brownsort","given":"Peter"},{"family":"Mignard","given":"Dimitri"},{"family":"Pritchard","given":"Colin"},{"family":"Sohi","given":"Saran"}],"accessed":{"date-parts":[["2022",8,22]]},"issued":{"date-parts":[["2018",6,1]]}}}],"schema":"https://github.com/citation-style-language/schema/raw/master/csl-citation.json"} </w:instrText>
      </w:r>
      <w:r w:rsidR="00C808CD">
        <w:fldChar w:fldCharType="separate"/>
      </w:r>
      <w:bookmarkEnd w:id="37"/>
      <w:r w:rsidR="00192334" w:rsidRPr="00192334">
        <w:rPr>
          <w:rFonts w:ascii="Calibri" w:hAnsi="Calibri" w:cs="Calibri"/>
          <w:szCs w:val="24"/>
        </w:rPr>
        <w:t xml:space="preserve">(Mašek </w:t>
      </w:r>
      <w:r w:rsidR="00192334" w:rsidRPr="00192334">
        <w:rPr>
          <w:rFonts w:ascii="Calibri" w:hAnsi="Calibri" w:cs="Calibri"/>
          <w:i w:val="0"/>
          <w:iCs w:val="0"/>
          <w:szCs w:val="24"/>
        </w:rPr>
        <w:t>et al.</w:t>
      </w:r>
      <w:r w:rsidR="00192334" w:rsidRPr="00192334">
        <w:rPr>
          <w:rFonts w:ascii="Calibri" w:hAnsi="Calibri" w:cs="Calibri"/>
          <w:szCs w:val="24"/>
        </w:rPr>
        <w:t>, 2018)</w:t>
      </w:r>
      <w:r w:rsidR="00C808CD">
        <w:fldChar w:fldCharType="end"/>
      </w:r>
    </w:p>
    <w:p w14:paraId="4BAD1CBE" w14:textId="1F3FB978" w:rsidR="00807323" w:rsidRDefault="00CA4EE7" w:rsidP="00B42EC1">
      <w:pPr>
        <w:spacing w:line="360" w:lineRule="auto"/>
        <w:jc w:val="both"/>
      </w:pPr>
      <w:r>
        <w:t>The second sample (biochar 2) is a mixed hardwood sample</w:t>
      </w:r>
      <w:r w:rsidR="00721BCC">
        <w:t xml:space="preserve"> sourced from industry waste.</w:t>
      </w:r>
      <w:r w:rsidR="00B00637">
        <w:t xml:space="preserve"> </w:t>
      </w:r>
      <w:r w:rsidR="004C1247">
        <w:t>For which the process parameters and specifications were unavailable.</w:t>
      </w:r>
    </w:p>
    <w:p w14:paraId="726E172F" w14:textId="148D4DF2" w:rsidR="00721BCC" w:rsidRPr="00807323" w:rsidRDefault="0073714B" w:rsidP="00B42EC1">
      <w:pPr>
        <w:spacing w:line="360" w:lineRule="auto"/>
        <w:jc w:val="both"/>
      </w:pPr>
      <w:r>
        <w:t xml:space="preserve">Before </w:t>
      </w:r>
      <w:r w:rsidR="005B5BC5">
        <w:t xml:space="preserve">these materials can be assessed for use in the iron making processes it is necessary to fully understand their </w:t>
      </w:r>
      <w:r w:rsidR="00B42EC1">
        <w:t>chemi</w:t>
      </w:r>
      <w:r w:rsidR="00E95FB8">
        <w:t>cal</w:t>
      </w:r>
      <w:r w:rsidR="00B42EC1">
        <w:t xml:space="preserve"> and physical properties</w:t>
      </w:r>
      <w:r w:rsidR="00D943C6">
        <w:t xml:space="preserve"> to ensure they are suitable for the </w:t>
      </w:r>
      <w:r w:rsidR="00E95FB8">
        <w:t>processes they are being assessed in</w:t>
      </w:r>
      <w:r w:rsidR="00B42EC1">
        <w:t xml:space="preserve">. These can then be compared </w:t>
      </w:r>
      <w:r w:rsidR="00E95FB8">
        <w:t>with</w:t>
      </w:r>
      <w:r w:rsidR="00B42EC1">
        <w:t xml:space="preserve"> the fossil fuels they are replacing</w:t>
      </w:r>
      <w:r w:rsidR="00C13ED5">
        <w:t>.</w:t>
      </w:r>
      <w:r w:rsidR="00D943C6">
        <w:t xml:space="preserve"> </w:t>
      </w:r>
    </w:p>
    <w:p w14:paraId="0D0954A6" w14:textId="1CC0BB01" w:rsidR="00EA610D" w:rsidRDefault="00EA610D" w:rsidP="00B9022B">
      <w:pPr>
        <w:pStyle w:val="Heading2"/>
        <w:spacing w:line="360" w:lineRule="auto"/>
        <w:jc w:val="both"/>
      </w:pPr>
      <w:bookmarkStart w:id="38" w:name="_Toc128599603"/>
      <w:r>
        <w:t>Biochar characterisation</w:t>
      </w:r>
      <w:bookmarkEnd w:id="38"/>
    </w:p>
    <w:p w14:paraId="139AA4CE" w14:textId="77777777" w:rsidR="00EA610D" w:rsidRDefault="00EA610D" w:rsidP="00F22780">
      <w:pPr>
        <w:pStyle w:val="Heading3"/>
        <w:spacing w:line="360" w:lineRule="auto"/>
        <w:jc w:val="both"/>
      </w:pPr>
      <w:bookmarkStart w:id="39" w:name="_Toc128599604"/>
      <w:r>
        <w:t>Proximate analysis</w:t>
      </w:r>
      <w:bookmarkEnd w:id="39"/>
    </w:p>
    <w:p w14:paraId="2DE96BF2" w14:textId="7A16F382" w:rsidR="008764B9" w:rsidRDefault="00BC32FC" w:rsidP="00F22780">
      <w:pPr>
        <w:spacing w:line="360" w:lineRule="auto"/>
        <w:jc w:val="both"/>
      </w:pPr>
      <w:r>
        <w:t>Proximate analysis</w:t>
      </w:r>
      <w:r w:rsidR="00437106">
        <w:t xml:space="preserve"> </w:t>
      </w:r>
      <w:r w:rsidR="009C3EFF">
        <w:t>is widely accepted as the basis for coal characterisation</w:t>
      </w:r>
      <w:r w:rsidR="00D606D4">
        <w:t xml:space="preserve"> in connection with the </w:t>
      </w:r>
      <w:r w:rsidR="00F22780">
        <w:t xml:space="preserve">utilisation of coal. </w:t>
      </w:r>
      <w:r w:rsidR="00281028">
        <w:t xml:space="preserve">Proximate analysis </w:t>
      </w:r>
      <w:r w:rsidR="00D5699A">
        <w:t xml:space="preserve">is a means of determining the products </w:t>
      </w:r>
      <w:r w:rsidR="00C30809">
        <w:t>obtained when a coal sample is heated under specific conditions.</w:t>
      </w:r>
      <w:r w:rsidR="00BA0CC1">
        <w:t xml:space="preserve"> The proximate analysis of coal </w:t>
      </w:r>
      <w:r w:rsidR="005C12B9">
        <w:t>separates these products into four groups</w:t>
      </w:r>
      <w:r w:rsidR="00F11D87">
        <w:t xml:space="preserve"> </w:t>
      </w:r>
      <w:r w:rsidR="00F11D87">
        <w:fldChar w:fldCharType="begin"/>
      </w:r>
      <w:r w:rsidR="00192334">
        <w:instrText xml:space="preserve"> ADDIN ZOTERO_ITEM CSL_CITATION {"citationID":"lopniFiW","properties":{"formattedCitation":"(Speight, 2015)","plainCitation":"(Speight, 2015)","noteIndex":0},"citationItems":[{"id":1940,"uris":["http://zotero.org/users/local/AB2owHL2/items/VH6TF2ZU"],"itemData":{"id":1940,"type":"book","edition":"Second","event-place":"New Jersey","publisher":"John Wiley &amp; Sons, Inc.","publisher-place":"New Jersey","title":"Handbook of Coal Analysis","author":[{"family":"Speight","given":"James G."}],"issued":{"date-parts":[["2015"]]}}}],"schema":"https://github.com/citation-style-language/schema/raw/master/csl-citation.json"} </w:instrText>
      </w:r>
      <w:r w:rsidR="00F11D87">
        <w:fldChar w:fldCharType="separate"/>
      </w:r>
      <w:r w:rsidR="00192334" w:rsidRPr="00192334">
        <w:rPr>
          <w:rFonts w:ascii="Calibri" w:hAnsi="Calibri" w:cs="Calibri"/>
        </w:rPr>
        <w:t>(Speight, 2015)</w:t>
      </w:r>
      <w:r w:rsidR="00F11D87">
        <w:fldChar w:fldCharType="end"/>
      </w:r>
      <w:r w:rsidR="00A14EB3">
        <w:t xml:space="preserve">, see figure </w:t>
      </w:r>
      <w:r w:rsidR="00F96C05">
        <w:t>19</w:t>
      </w:r>
      <w:r w:rsidR="000C48D3">
        <w:t>.</w:t>
      </w:r>
      <w:r w:rsidR="0083035C">
        <w:t xml:space="preserve"> </w:t>
      </w:r>
    </w:p>
    <w:p w14:paraId="59F09EC7" w14:textId="207F3F83" w:rsidR="005D5436" w:rsidRDefault="008F045F" w:rsidP="005D5436">
      <w:pPr>
        <w:pStyle w:val="ListParagraph"/>
        <w:numPr>
          <w:ilvl w:val="0"/>
          <w:numId w:val="11"/>
        </w:numPr>
        <w:spacing w:line="360" w:lineRule="auto"/>
        <w:jc w:val="both"/>
      </w:pPr>
      <w:r>
        <w:t>Moisture -</w:t>
      </w:r>
      <w:r w:rsidR="00744D1A">
        <w:t xml:space="preserve"> Water content</w:t>
      </w:r>
      <w:r w:rsidR="003A5F80">
        <w:t>.</w:t>
      </w:r>
    </w:p>
    <w:p w14:paraId="5F1F2EDC" w14:textId="1D4A3466" w:rsidR="005D5436" w:rsidRDefault="005D5436" w:rsidP="005D5436">
      <w:pPr>
        <w:pStyle w:val="ListParagraph"/>
        <w:numPr>
          <w:ilvl w:val="0"/>
          <w:numId w:val="11"/>
        </w:numPr>
        <w:spacing w:line="360" w:lineRule="auto"/>
        <w:jc w:val="both"/>
      </w:pPr>
      <w:r>
        <w:t xml:space="preserve">Volatile matter </w:t>
      </w:r>
      <w:r w:rsidR="00744D1A">
        <w:t xml:space="preserve">– the gases and vapours driven off during </w:t>
      </w:r>
      <w:r w:rsidR="003A5F80">
        <w:t>pyrolysis.</w:t>
      </w:r>
      <w:r w:rsidR="00744D1A">
        <w:t xml:space="preserve"> </w:t>
      </w:r>
    </w:p>
    <w:p w14:paraId="54D727ED" w14:textId="4CB44E3E" w:rsidR="00833A21" w:rsidRDefault="00B17EED" w:rsidP="005D5436">
      <w:pPr>
        <w:pStyle w:val="ListParagraph"/>
        <w:numPr>
          <w:ilvl w:val="0"/>
          <w:numId w:val="11"/>
        </w:numPr>
        <w:spacing w:line="360" w:lineRule="auto"/>
        <w:jc w:val="both"/>
      </w:pPr>
      <w:r>
        <w:t>Ash – The inorganic residue remaining after combustion</w:t>
      </w:r>
      <w:r w:rsidR="003A5F80">
        <w:t>.</w:t>
      </w:r>
    </w:p>
    <w:p w14:paraId="32584E10" w14:textId="3C2A8F91" w:rsidR="007A4F75" w:rsidRDefault="007A4F75" w:rsidP="007A4F75">
      <w:pPr>
        <w:pStyle w:val="ListParagraph"/>
        <w:numPr>
          <w:ilvl w:val="0"/>
          <w:numId w:val="11"/>
        </w:numPr>
        <w:spacing w:line="360" w:lineRule="auto"/>
        <w:jc w:val="both"/>
      </w:pPr>
      <w:r>
        <w:t>Fixed carbon – The non-volatile fraction of coal</w:t>
      </w:r>
      <w:r w:rsidR="003A5F80">
        <w:t>.</w:t>
      </w:r>
    </w:p>
    <w:p w14:paraId="2995F7B3" w14:textId="47D28EDC" w:rsidR="00B17EED" w:rsidRDefault="00B17EED" w:rsidP="005D5436">
      <w:pPr>
        <w:pStyle w:val="ListParagraph"/>
        <w:numPr>
          <w:ilvl w:val="0"/>
          <w:numId w:val="11"/>
        </w:numPr>
        <w:spacing w:line="360" w:lineRule="auto"/>
        <w:jc w:val="both"/>
      </w:pPr>
      <w:r>
        <w:t>Free swell index – The swelling properties of the coal</w:t>
      </w:r>
      <w:r w:rsidR="003A5F80">
        <w:t>.</w:t>
      </w:r>
    </w:p>
    <w:p w14:paraId="6E3170BE" w14:textId="4EF0DE13" w:rsidR="001C6466" w:rsidRDefault="001C6466" w:rsidP="008F045F">
      <w:pPr>
        <w:spacing w:line="360" w:lineRule="auto"/>
        <w:jc w:val="both"/>
      </w:pPr>
      <w:r w:rsidRPr="001C6466">
        <w:rPr>
          <w:noProof/>
        </w:rPr>
        <w:lastRenderedPageBreak/>
        <w:drawing>
          <wp:inline distT="0" distB="0" distL="0" distR="0" wp14:anchorId="09845DEA" wp14:editId="1A2F67CE">
            <wp:extent cx="3450866" cy="2415607"/>
            <wp:effectExtent l="0" t="0" r="0" b="0"/>
            <wp:docPr id="21" name="Picture 2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able&#10;&#10;Description automatically generated"/>
                    <pic:cNvPicPr/>
                  </pic:nvPicPr>
                  <pic:blipFill>
                    <a:blip r:embed="rId47"/>
                    <a:stretch>
                      <a:fillRect/>
                    </a:stretch>
                  </pic:blipFill>
                  <pic:spPr>
                    <a:xfrm>
                      <a:off x="0" y="0"/>
                      <a:ext cx="3469566" cy="2428697"/>
                    </a:xfrm>
                    <a:prstGeom prst="rect">
                      <a:avLst/>
                    </a:prstGeom>
                  </pic:spPr>
                </pic:pic>
              </a:graphicData>
            </a:graphic>
          </wp:inline>
        </w:drawing>
      </w:r>
    </w:p>
    <w:p w14:paraId="772D0B4C" w14:textId="217196B8" w:rsidR="00A14EB3" w:rsidRDefault="00A14EB3" w:rsidP="00A14EB3">
      <w:pPr>
        <w:pStyle w:val="Caption"/>
      </w:pPr>
      <w:bookmarkStart w:id="40" w:name="_Toc127110913"/>
      <w:r>
        <w:t xml:space="preserve">Figure </w:t>
      </w:r>
      <w:fldSimple w:instr=" SEQ Figure \* ARABIC ">
        <w:r w:rsidR="00A0212F">
          <w:rPr>
            <w:noProof/>
          </w:rPr>
          <w:t>19</w:t>
        </w:r>
      </w:fldSimple>
      <w:r>
        <w:t xml:space="preserve"> The components of coal</w:t>
      </w:r>
      <w:r w:rsidR="004C4D87">
        <w:t xml:space="preserve"> </w:t>
      </w:r>
      <w:r w:rsidR="004C4D87">
        <w:fldChar w:fldCharType="begin"/>
      </w:r>
      <w:r w:rsidR="00192334">
        <w:instrText xml:space="preserve"> ADDIN ZOTERO_ITEM CSL_CITATION {"citationID":"H0qgB1PR","properties":{"formattedCitation":"(Backus, 2022)","plainCitation":"(Backus, 2022)","noteIndex":0},"citationItems":[{"id":1943,"uris":["http://zotero.org/users/local/AB2owHL2/items/JUGPZ4Z3"],"itemData":{"id":1943,"type":"webpage","container-title":", Kentucky Geological Survey, University of Kentucky","genre":"University","title":"​​Volatile Matter (Part of Proximate Analysis), Coal Analysis","URL":"http://www.uky.edu/KGS/coal/coal-analyses-volatile-matter.php","author":[{"family":"Backus","given":"Jason"}],"accessed":{"date-parts":[["2022",9,14]]},"issued":{"date-parts":[["2022"]]}}}],"schema":"https://github.com/citation-style-language/schema/raw/master/csl-citation.json"} </w:instrText>
      </w:r>
      <w:r w:rsidR="004C4D87">
        <w:fldChar w:fldCharType="separate"/>
      </w:r>
      <w:bookmarkEnd w:id="40"/>
      <w:r w:rsidR="00192334" w:rsidRPr="00192334">
        <w:rPr>
          <w:rFonts w:ascii="Calibri" w:hAnsi="Calibri" w:cs="Calibri"/>
        </w:rPr>
        <w:t>(Backus, 2022)</w:t>
      </w:r>
      <w:r w:rsidR="004C4D87">
        <w:fldChar w:fldCharType="end"/>
      </w:r>
    </w:p>
    <w:p w14:paraId="2EB127E3" w14:textId="77777777" w:rsidR="00EA610D" w:rsidRDefault="00EA610D" w:rsidP="00F65225">
      <w:pPr>
        <w:pStyle w:val="Heading4"/>
        <w:spacing w:line="360" w:lineRule="auto"/>
        <w:jc w:val="both"/>
      </w:pPr>
      <w:r>
        <w:t>Moisture</w:t>
      </w:r>
    </w:p>
    <w:p w14:paraId="36348D43" w14:textId="60B02319" w:rsidR="00AB6090" w:rsidRDefault="009007F8" w:rsidP="00F65225">
      <w:pPr>
        <w:spacing w:line="360" w:lineRule="auto"/>
        <w:jc w:val="both"/>
      </w:pPr>
      <w:r>
        <w:t xml:space="preserve">There are several types of moisture values </w:t>
      </w:r>
      <w:r w:rsidR="00266712">
        <w:t>reported for coal. The surface moisture is water</w:t>
      </w:r>
      <w:r w:rsidR="00970F40">
        <w:t xml:space="preserve"> adhering to the outside of the coal sample or particle, </w:t>
      </w:r>
      <w:r w:rsidR="00F65225">
        <w:t xml:space="preserve">inherent moisture </w:t>
      </w:r>
      <w:r w:rsidR="00BA672E">
        <w:t xml:space="preserve">is </w:t>
      </w:r>
      <w:r w:rsidR="005531DC">
        <w:t>held by capillary action in the</w:t>
      </w:r>
      <w:r w:rsidR="00F65225">
        <w:t xml:space="preserve"> microscopic structure of the coal</w:t>
      </w:r>
      <w:r w:rsidR="004B5CBF">
        <w:t xml:space="preserve">, residual moisture </w:t>
      </w:r>
      <w:r w:rsidR="004B04C3">
        <w:t xml:space="preserve">is water that remains in the coal after </w:t>
      </w:r>
      <w:r w:rsidR="00B6753A">
        <w:t xml:space="preserve">air drying and/or minor heating to 10 </w:t>
      </w:r>
      <w:r w:rsidR="00B43128">
        <w:t>-15</w:t>
      </w:r>
      <w:r w:rsidR="00B43128" w:rsidRPr="00B43128">
        <w:rPr>
          <w:vertAlign w:val="superscript"/>
        </w:rPr>
        <w:t>0</w:t>
      </w:r>
      <w:r w:rsidR="00B43128">
        <w:t xml:space="preserve">C. The moisture value that will be used in this report is </w:t>
      </w:r>
      <w:r w:rsidR="00E343E3">
        <w:t xml:space="preserve">the </w:t>
      </w:r>
      <w:r w:rsidR="00B43128">
        <w:t>total moisture</w:t>
      </w:r>
      <w:r w:rsidR="000E2953">
        <w:t xml:space="preserve"> – All moisture in and on a coal sample that can be removed through heating</w:t>
      </w:r>
      <w:r w:rsidR="00555DB3">
        <w:t xml:space="preserve"> </w:t>
      </w:r>
      <w:r w:rsidR="00387E7C">
        <w:fldChar w:fldCharType="begin"/>
      </w:r>
      <w:r w:rsidR="00192334">
        <w:instrText xml:space="preserve"> ADDIN ZOTERO_ITEM CSL_CITATION {"citationID":"0z6tkDdt","properties":{"formattedCitation":"(Backus, 2015)","plainCitation":"(Backus, 2015)","noteIndex":0},"citationItems":[{"id":1945,"uris":["http://zotero.org/users/local/AB2owHL2/items/UJQKLWJT"],"itemData":{"id":1945,"type":"webpage","container-title":"Kentucky Geological Survey, University of Kentucky","genre":"University","title":"Coal Analysis","URL":"http://www.uky.edu/KGS/coal/coal-analyses-moisture.php","author":[{"family":"Backus","given":"Jason"}],"accessed":{"date-parts":[["2022",9,14]]},"issued":{"date-parts":[["2015"]]}}}],"schema":"https://github.com/citation-style-language/schema/raw/master/csl-citation.json"} </w:instrText>
      </w:r>
      <w:r w:rsidR="00387E7C">
        <w:fldChar w:fldCharType="separate"/>
      </w:r>
      <w:r w:rsidR="00192334" w:rsidRPr="00192334">
        <w:rPr>
          <w:rFonts w:ascii="Calibri" w:hAnsi="Calibri" w:cs="Calibri"/>
        </w:rPr>
        <w:t>(Backus, 2015)</w:t>
      </w:r>
      <w:r w:rsidR="00387E7C">
        <w:fldChar w:fldCharType="end"/>
      </w:r>
      <w:r w:rsidR="000E2953">
        <w:t>.</w:t>
      </w:r>
    </w:p>
    <w:p w14:paraId="59ECF10B" w14:textId="2C62ECE6" w:rsidR="006058F3" w:rsidRDefault="008B19BA" w:rsidP="00F65225">
      <w:pPr>
        <w:spacing w:line="360" w:lineRule="auto"/>
        <w:jc w:val="both"/>
      </w:pPr>
      <w:r>
        <w:t xml:space="preserve">The method used to determine moisture is taken from the British standard </w:t>
      </w:r>
      <w:r w:rsidR="007C568D">
        <w:t xml:space="preserve">BS 1016-1: 1973, </w:t>
      </w:r>
      <w:r w:rsidR="00BF6B87">
        <w:t>1</w:t>
      </w:r>
      <w:r w:rsidR="007C568D">
        <w:t xml:space="preserve"> Kg of </w:t>
      </w:r>
      <w:r w:rsidR="001D059C">
        <w:t>sa</w:t>
      </w:r>
      <w:r w:rsidR="00DF7E76">
        <w:t>mple</w:t>
      </w:r>
      <w:r w:rsidR="007C568D">
        <w:t xml:space="preserve"> </w:t>
      </w:r>
      <w:r w:rsidR="00A568DE">
        <w:t>is heated in an air oven at 105</w:t>
      </w:r>
      <w:r w:rsidR="00A568DE" w:rsidRPr="00A568DE">
        <w:rPr>
          <w:vertAlign w:val="superscript"/>
        </w:rPr>
        <w:t>0</w:t>
      </w:r>
      <w:r w:rsidR="00A568DE">
        <w:t>to 100</w:t>
      </w:r>
      <w:r w:rsidR="00A568DE" w:rsidRPr="00A568DE">
        <w:rPr>
          <w:vertAlign w:val="superscript"/>
        </w:rPr>
        <w:t>0</w:t>
      </w:r>
      <w:r w:rsidR="00A568DE">
        <w:t xml:space="preserve">C </w:t>
      </w:r>
      <w:r w:rsidR="00715B4D">
        <w:t xml:space="preserve">for </w:t>
      </w:r>
      <w:r w:rsidR="00FE166F">
        <w:t>approx. 4 – 5 hours</w:t>
      </w:r>
      <w:r w:rsidR="00BF6B87">
        <w:t xml:space="preserve">, the </w:t>
      </w:r>
      <w:r w:rsidR="00575990">
        <w:t>sample and container is then weighed and returned to the oven. T</w:t>
      </w:r>
      <w:r w:rsidR="00DB7DDF">
        <w:t>his is repeated until a constant mass is achieved. The Moisture is calculated from the loss in mass of the sample.</w:t>
      </w:r>
    </w:p>
    <w:p w14:paraId="0A80A049" w14:textId="6FFEED5C" w:rsidR="004A509C" w:rsidRDefault="004A509C" w:rsidP="00F65225">
      <w:pPr>
        <w:spacing w:line="360" w:lineRule="auto"/>
        <w:jc w:val="both"/>
      </w:pPr>
      <w:r>
        <w:t xml:space="preserve">If </w:t>
      </w:r>
      <w:r w:rsidR="00DA0B2C">
        <w:tab/>
      </w:r>
      <w:r>
        <w:t xml:space="preserve">m1 = Mass of container plus sample as received (g), </w:t>
      </w:r>
    </w:p>
    <w:p w14:paraId="0C8E62FD" w14:textId="77777777" w:rsidR="004A509C" w:rsidRDefault="004A509C" w:rsidP="000D4166">
      <w:pPr>
        <w:spacing w:line="360" w:lineRule="auto"/>
        <w:ind w:firstLine="720"/>
        <w:jc w:val="both"/>
      </w:pPr>
      <w:r>
        <w:t xml:space="preserve">m2 = Mass of empty tray (g), </w:t>
      </w:r>
    </w:p>
    <w:p w14:paraId="1A9AE3FD" w14:textId="77777777" w:rsidR="004A509C" w:rsidRDefault="004A509C" w:rsidP="000D4166">
      <w:pPr>
        <w:spacing w:line="360" w:lineRule="auto"/>
        <w:ind w:firstLine="720"/>
        <w:jc w:val="both"/>
      </w:pPr>
      <w:r>
        <w:t xml:space="preserve">m3 = Mass of tray plus sample after heating (g), </w:t>
      </w:r>
    </w:p>
    <w:p w14:paraId="1D0AE898" w14:textId="77777777" w:rsidR="004A509C" w:rsidRDefault="004A509C" w:rsidP="000D4166">
      <w:pPr>
        <w:spacing w:line="360" w:lineRule="auto"/>
        <w:ind w:firstLine="720"/>
        <w:jc w:val="both"/>
      </w:pPr>
      <w:r>
        <w:t xml:space="preserve">m4 = Mass of dry empty container (g), </w:t>
      </w:r>
    </w:p>
    <w:p w14:paraId="3E171FE8" w14:textId="77777777" w:rsidR="003C2443" w:rsidRDefault="004A509C" w:rsidP="000D4166">
      <w:pPr>
        <w:spacing w:line="360" w:lineRule="auto"/>
        <w:ind w:firstLine="720"/>
        <w:jc w:val="both"/>
      </w:pPr>
      <w:r>
        <w:t xml:space="preserve">M = Percentage of moisture in the sample analysed, </w:t>
      </w:r>
    </w:p>
    <w:p w14:paraId="597B726D" w14:textId="44870361" w:rsidR="007B3542" w:rsidRDefault="004A509C" w:rsidP="000D4166">
      <w:pPr>
        <w:spacing w:line="360" w:lineRule="auto"/>
        <w:ind w:firstLine="720"/>
        <w:jc w:val="both"/>
        <w:rPr>
          <w:rFonts w:eastAsiaTheme="minorEastAsia"/>
        </w:rPr>
      </w:pPr>
      <w:r>
        <w:t xml:space="preserve">then </w:t>
      </w:r>
      <m:oMath>
        <m:r>
          <w:rPr>
            <w:rFonts w:ascii="Cambria Math" w:hAnsi="Cambria Math"/>
          </w:rPr>
          <m:t>M=</m:t>
        </m:r>
        <m:f>
          <m:fPr>
            <m:ctrlPr>
              <w:rPr>
                <w:rFonts w:ascii="Cambria Math" w:hAnsi="Cambria Math"/>
                <w:i/>
              </w:rPr>
            </m:ctrlPr>
          </m:fPr>
          <m:num>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4</m:t>
                    </m:r>
                  </m:sub>
                </m:sSub>
              </m:e>
            </m:d>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2)</m:t>
                </m:r>
              </m:sub>
            </m:sSub>
          </m:num>
          <m:den>
            <m:d>
              <m:dPr>
                <m:ctrlPr>
                  <w:rPr>
                    <w:rFonts w:ascii="Cambria Math" w:hAnsi="Cambria Math"/>
                    <w:i/>
                  </w:rPr>
                </m:ctrlPr>
              </m:dPr>
              <m:e>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4</m:t>
                    </m:r>
                  </m:sub>
                </m:sSub>
              </m:e>
            </m:d>
          </m:den>
        </m:f>
        <m:r>
          <w:rPr>
            <w:rFonts w:ascii="Cambria Math" w:hAnsi="Cambria Math"/>
          </w:rPr>
          <m:t>*100</m:t>
        </m:r>
      </m:oMath>
    </w:p>
    <w:p w14:paraId="3E4C72E8" w14:textId="54A22063" w:rsidR="00576F0A" w:rsidRDefault="006C3A48" w:rsidP="00F65225">
      <w:pPr>
        <w:spacing w:line="360" w:lineRule="auto"/>
        <w:jc w:val="both"/>
        <w:rPr>
          <w:rFonts w:eastAsiaTheme="minorEastAsia"/>
        </w:rPr>
      </w:pPr>
      <w:r>
        <w:rPr>
          <w:rFonts w:eastAsiaTheme="minorEastAsia"/>
        </w:rPr>
        <w:fldChar w:fldCharType="begin"/>
      </w:r>
      <w:r w:rsidR="00430AAA">
        <w:rPr>
          <w:rFonts w:eastAsiaTheme="minorEastAsia"/>
        </w:rPr>
        <w:instrText xml:space="preserve"> ADDIN ZOTERO_ITEM CSL_CITATION {"citationID":"j71AF7HD","properties":{"formattedCitation":"(British Standards Institute 1999)","plainCitation":"(British Standards Institute 1999)","dontUpdate":true,"noteIndex":0},"citationItems":[{"id":1947,"uris":["http://zotero.org/users/local/AB2owHL2/items/89I2X8SS"],"itemData":{"id":1947,"type":"document","publisher":"British Standards Institution","title":"BS 1016-1: 1973, The analysis and  testing of coal and  coke — Part 1: Total moisture of coal","author":[{"family":"British Standards Institute","given":""}],"issued":{"date-parts":[["1999"]]}}}],"schema":"https://github.com/citation-style-language/schema/raw/master/csl-citation.json"} </w:instrText>
      </w:r>
      <w:r>
        <w:rPr>
          <w:rFonts w:eastAsiaTheme="minorEastAsia"/>
        </w:rPr>
        <w:fldChar w:fldCharType="separate"/>
      </w:r>
      <w:r w:rsidR="00CD38AF" w:rsidRPr="00CD38AF">
        <w:t xml:space="preserve"> </w:t>
      </w:r>
      <w:r w:rsidR="00CD38AF">
        <w:t>(</w:t>
      </w:r>
      <w:r w:rsidR="00CD38AF" w:rsidRPr="00CD38AF">
        <w:rPr>
          <w:rFonts w:ascii="Calibri" w:hAnsi="Calibri" w:cs="Calibri"/>
        </w:rPr>
        <w:t>BS 1016-1: 1973</w:t>
      </w:r>
      <w:r w:rsidRPr="006C3A48">
        <w:rPr>
          <w:rFonts w:ascii="Calibri" w:hAnsi="Calibri" w:cs="Calibri"/>
        </w:rPr>
        <w:t>)</w:t>
      </w:r>
      <w:r>
        <w:rPr>
          <w:rFonts w:eastAsiaTheme="minorEastAsia"/>
        </w:rPr>
        <w:fldChar w:fldCharType="end"/>
      </w:r>
    </w:p>
    <w:p w14:paraId="5657A100" w14:textId="320C3E40" w:rsidR="00EE4244" w:rsidRPr="00EE4244" w:rsidRDefault="00EE4244" w:rsidP="00EE4244">
      <w:pPr>
        <w:pStyle w:val="Heading4"/>
        <w:spacing w:line="360" w:lineRule="auto"/>
        <w:jc w:val="both"/>
      </w:pPr>
      <w:r>
        <w:lastRenderedPageBreak/>
        <w:t>Volatile</w:t>
      </w:r>
      <w:r w:rsidR="00A07DC2">
        <w:t xml:space="preserve"> matter</w:t>
      </w:r>
    </w:p>
    <w:p w14:paraId="734DC10D" w14:textId="517B7A4F" w:rsidR="00EE4244" w:rsidRDefault="002C4A2C" w:rsidP="00F65225">
      <w:pPr>
        <w:spacing w:line="360" w:lineRule="auto"/>
        <w:jc w:val="both"/>
        <w:rPr>
          <w:rFonts w:eastAsiaTheme="minorEastAsia"/>
        </w:rPr>
      </w:pPr>
      <w:r>
        <w:rPr>
          <w:rFonts w:eastAsiaTheme="minorEastAsia"/>
        </w:rPr>
        <w:t>Vol</w:t>
      </w:r>
      <w:r w:rsidR="0039221C">
        <w:rPr>
          <w:rFonts w:eastAsiaTheme="minorEastAsia"/>
        </w:rPr>
        <w:t>atile matter</w:t>
      </w:r>
      <w:r w:rsidR="00F117F9">
        <w:rPr>
          <w:rFonts w:eastAsiaTheme="minorEastAsia"/>
        </w:rPr>
        <w:t xml:space="preserve"> (VM) </w:t>
      </w:r>
      <w:r w:rsidR="0039221C">
        <w:rPr>
          <w:rFonts w:eastAsiaTheme="minorEastAsia"/>
        </w:rPr>
        <w:t>refers to the components of coal</w:t>
      </w:r>
      <w:r w:rsidR="000B16CD">
        <w:rPr>
          <w:rFonts w:eastAsiaTheme="minorEastAsia"/>
        </w:rPr>
        <w:t xml:space="preserve">, excluding moisture, that are </w:t>
      </w:r>
      <w:r w:rsidR="009C7D09">
        <w:rPr>
          <w:rFonts w:eastAsiaTheme="minorEastAsia"/>
        </w:rPr>
        <w:t>released</w:t>
      </w:r>
      <w:r w:rsidR="000B16CD">
        <w:rPr>
          <w:rFonts w:eastAsiaTheme="minorEastAsia"/>
        </w:rPr>
        <w:t xml:space="preserve"> at high temperature in the absence of air. </w:t>
      </w:r>
      <w:r w:rsidR="00B65C7C">
        <w:rPr>
          <w:rFonts w:eastAsiaTheme="minorEastAsia"/>
        </w:rPr>
        <w:t xml:space="preserve">Coals are ranked by the amount of carbon </w:t>
      </w:r>
      <w:r w:rsidR="00A07DC2">
        <w:rPr>
          <w:rFonts w:eastAsiaTheme="minorEastAsia"/>
        </w:rPr>
        <w:t>present in them</w:t>
      </w:r>
      <w:r w:rsidR="00B65C7C">
        <w:rPr>
          <w:rFonts w:eastAsiaTheme="minorEastAsia"/>
        </w:rPr>
        <w:t xml:space="preserve"> and </w:t>
      </w:r>
      <w:r w:rsidR="001A7E34">
        <w:rPr>
          <w:rFonts w:eastAsiaTheme="minorEastAsia"/>
        </w:rPr>
        <w:t>therefore</w:t>
      </w:r>
      <w:r w:rsidR="00B65C7C">
        <w:rPr>
          <w:rFonts w:eastAsiaTheme="minorEastAsia"/>
        </w:rPr>
        <w:t xml:space="preserve"> their energy content</w:t>
      </w:r>
      <w:r w:rsidR="001A7E34">
        <w:rPr>
          <w:rFonts w:eastAsiaTheme="minorEastAsia"/>
        </w:rPr>
        <w:t>.</w:t>
      </w:r>
      <w:r w:rsidR="00A07DC2">
        <w:rPr>
          <w:rFonts w:eastAsiaTheme="minorEastAsia"/>
        </w:rPr>
        <w:t xml:space="preserve"> </w:t>
      </w:r>
      <w:r w:rsidR="003B37D9">
        <w:rPr>
          <w:rFonts w:eastAsiaTheme="minorEastAsia"/>
        </w:rPr>
        <w:t xml:space="preserve">Measuring </w:t>
      </w:r>
      <w:r w:rsidR="00F117F9">
        <w:rPr>
          <w:rFonts w:eastAsiaTheme="minorEastAsia"/>
        </w:rPr>
        <w:t>VM</w:t>
      </w:r>
      <w:r w:rsidR="003B37D9">
        <w:rPr>
          <w:rFonts w:eastAsiaTheme="minorEastAsia"/>
        </w:rPr>
        <w:t xml:space="preserve"> is </w:t>
      </w:r>
      <w:r w:rsidR="00EC5642">
        <w:rPr>
          <w:rFonts w:eastAsiaTheme="minorEastAsia"/>
        </w:rPr>
        <w:t xml:space="preserve">an important parameter used to help identify a coals rank. </w:t>
      </w:r>
      <w:r w:rsidR="0089351C">
        <w:rPr>
          <w:rFonts w:eastAsiaTheme="minorEastAsia"/>
        </w:rPr>
        <w:t>VM decrea</w:t>
      </w:r>
      <w:r w:rsidR="00D76A86">
        <w:rPr>
          <w:rFonts w:eastAsiaTheme="minorEastAsia"/>
        </w:rPr>
        <w:t xml:space="preserve">ses </w:t>
      </w:r>
      <w:r w:rsidR="00C16B5C">
        <w:rPr>
          <w:rFonts w:eastAsiaTheme="minorEastAsia"/>
        </w:rPr>
        <w:t xml:space="preserve">as </w:t>
      </w:r>
      <w:r w:rsidR="00D76A86">
        <w:rPr>
          <w:rFonts w:eastAsiaTheme="minorEastAsia"/>
        </w:rPr>
        <w:t>the coal rank increases</w:t>
      </w:r>
      <w:r w:rsidR="003333A0">
        <w:rPr>
          <w:rFonts w:eastAsiaTheme="minorEastAsia"/>
        </w:rPr>
        <w:t xml:space="preserve"> see table 1 </w:t>
      </w:r>
      <w:r w:rsidR="003333A0">
        <w:rPr>
          <w:rFonts w:eastAsiaTheme="minorEastAsia"/>
        </w:rPr>
        <w:fldChar w:fldCharType="begin"/>
      </w:r>
      <w:r w:rsidR="00192334">
        <w:rPr>
          <w:rFonts w:eastAsiaTheme="minorEastAsia"/>
        </w:rPr>
        <w:instrText xml:space="preserve"> ADDIN ZOTERO_ITEM CSL_CITATION {"citationID":"jN3SgpVO","properties":{"formattedCitation":"(Speight, 2015)","plainCitation":"(Speight, 2015)","noteIndex":0},"citationItems":[{"id":1940,"uris":["http://zotero.org/users/local/AB2owHL2/items/VH6TF2ZU"],"itemData":{"id":1940,"type":"book","edition":"Second","event-place":"New Jersey","publisher":"John Wiley &amp; Sons, Inc.","publisher-place":"New Jersey","title":"Handbook of Coal Analysis","author":[{"family":"Speight","given":"James G."}],"issued":{"date-parts":[["2015"]]}}}],"schema":"https://github.com/citation-style-language/schema/raw/master/csl-citation.json"} </w:instrText>
      </w:r>
      <w:r w:rsidR="003333A0">
        <w:rPr>
          <w:rFonts w:eastAsiaTheme="minorEastAsia"/>
        </w:rPr>
        <w:fldChar w:fldCharType="separate"/>
      </w:r>
      <w:r w:rsidR="00192334" w:rsidRPr="00192334">
        <w:rPr>
          <w:rFonts w:ascii="Calibri" w:hAnsi="Calibri" w:cs="Calibri"/>
        </w:rPr>
        <w:t>(Speight, 2015)</w:t>
      </w:r>
      <w:r w:rsidR="003333A0">
        <w:rPr>
          <w:rFonts w:eastAsiaTheme="minorEastAsia"/>
        </w:rPr>
        <w:fldChar w:fldCharType="end"/>
      </w:r>
      <w:r w:rsidR="00D76A86">
        <w:rPr>
          <w:rFonts w:eastAsiaTheme="minorEastAsia"/>
        </w:rPr>
        <w:t>.</w:t>
      </w:r>
      <w:r w:rsidR="00FA34BD">
        <w:rPr>
          <w:rFonts w:eastAsiaTheme="minorEastAsia"/>
        </w:rPr>
        <w:t xml:space="preserve"> </w:t>
      </w:r>
      <w:r w:rsidR="00FA34BD" w:rsidRPr="00FA34BD">
        <w:rPr>
          <w:rFonts w:eastAsiaTheme="minorEastAsia"/>
        </w:rPr>
        <w:t xml:space="preserve">Most </w:t>
      </w:r>
      <w:r w:rsidR="00F117F9">
        <w:rPr>
          <w:rFonts w:eastAsiaTheme="minorEastAsia"/>
        </w:rPr>
        <w:t>VM</w:t>
      </w:r>
      <w:r w:rsidR="00FA34BD" w:rsidRPr="00FA34BD">
        <w:rPr>
          <w:rFonts w:eastAsiaTheme="minorEastAsia"/>
        </w:rPr>
        <w:t xml:space="preserve"> comes from the organic components in coal, but some elements from minerals combine to form volatile oxides. The most common </w:t>
      </w:r>
      <w:r w:rsidR="00F117F9">
        <w:rPr>
          <w:rFonts w:eastAsiaTheme="minorEastAsia"/>
        </w:rPr>
        <w:t>VM</w:t>
      </w:r>
      <w:r w:rsidR="00FA34BD" w:rsidRPr="00FA34BD">
        <w:rPr>
          <w:rFonts w:eastAsiaTheme="minorEastAsia"/>
        </w:rPr>
        <w:t xml:space="preserve"> in coal is water, carbon dioxide, and </w:t>
      </w:r>
      <w:r w:rsidR="005B702F" w:rsidRPr="00FA34BD">
        <w:rPr>
          <w:rFonts w:eastAsiaTheme="minorEastAsia"/>
        </w:rPr>
        <w:t>sulphur</w:t>
      </w:r>
      <w:r w:rsidR="00FA34BD" w:rsidRPr="00FA34BD">
        <w:rPr>
          <w:rFonts w:eastAsiaTheme="minorEastAsia"/>
        </w:rPr>
        <w:t xml:space="preserve"> dioxide</w:t>
      </w:r>
      <w:r w:rsidR="00A831DD">
        <w:rPr>
          <w:rFonts w:eastAsiaTheme="minorEastAsia"/>
        </w:rPr>
        <w:t xml:space="preserve"> </w:t>
      </w:r>
      <w:r w:rsidR="00A831DD">
        <w:rPr>
          <w:rFonts w:eastAsiaTheme="minorEastAsia"/>
        </w:rPr>
        <w:fldChar w:fldCharType="begin"/>
      </w:r>
      <w:r w:rsidR="00192334">
        <w:rPr>
          <w:rFonts w:eastAsiaTheme="minorEastAsia"/>
        </w:rPr>
        <w:instrText xml:space="preserve"> ADDIN ZOTERO_ITEM CSL_CITATION {"citationID":"Zbe9XYhi","properties":{"formattedCitation":"(Backus, 2015)","plainCitation":"(Backus, 2015)","noteIndex":0},"citationItems":[{"id":1945,"uris":["http://zotero.org/users/local/AB2owHL2/items/UJQKLWJT"],"itemData":{"id":1945,"type":"webpage","container-title":"Kentucky Geological Survey, University of Kentucky","genre":"University","title":"Coal Analysis","URL":"http://www.uky.edu/KGS/coal/coal-analyses-moisture.php","author":[{"family":"Backus","given":"Jason"}],"accessed":{"date-parts":[["2022",9,14]]},"issued":{"date-parts":[["2015"]]}}}],"schema":"https://github.com/citation-style-language/schema/raw/master/csl-citation.json"} </w:instrText>
      </w:r>
      <w:r w:rsidR="00A831DD">
        <w:rPr>
          <w:rFonts w:eastAsiaTheme="minorEastAsia"/>
        </w:rPr>
        <w:fldChar w:fldCharType="separate"/>
      </w:r>
      <w:r w:rsidR="00192334" w:rsidRPr="00192334">
        <w:rPr>
          <w:rFonts w:ascii="Calibri" w:hAnsi="Calibri" w:cs="Calibri"/>
        </w:rPr>
        <w:t>(Backus, 2015)</w:t>
      </w:r>
      <w:r w:rsidR="00A831DD">
        <w:rPr>
          <w:rFonts w:eastAsiaTheme="minorEastAsia"/>
        </w:rPr>
        <w:fldChar w:fldCharType="end"/>
      </w:r>
      <w:r w:rsidR="00FA34BD" w:rsidRPr="00FA34BD">
        <w:rPr>
          <w:rFonts w:eastAsiaTheme="minorEastAsia"/>
        </w:rPr>
        <w:t>.</w:t>
      </w:r>
    </w:p>
    <w:p w14:paraId="260CD6B6" w14:textId="661A083B" w:rsidR="00317A26" w:rsidRDefault="00317A26" w:rsidP="00317A26">
      <w:pPr>
        <w:pStyle w:val="Caption"/>
        <w:rPr>
          <w:rFonts w:eastAsiaTheme="minorEastAsia"/>
        </w:rPr>
      </w:pPr>
      <w:r>
        <w:t xml:space="preserve">Table </w:t>
      </w:r>
      <w:fldSimple w:instr=" SEQ Table \* ARABIC ">
        <w:r w:rsidR="00DA2639">
          <w:rPr>
            <w:noProof/>
          </w:rPr>
          <w:t>1</w:t>
        </w:r>
      </w:fldSimple>
      <w:r>
        <w:t xml:space="preserve"> Decrease of VM in bituminous coals in response</w:t>
      </w:r>
      <w:r w:rsidR="00E015A3">
        <w:t xml:space="preserve"> to increasing coal rank </w:t>
      </w:r>
      <w:r w:rsidR="005D2C82">
        <w:fldChar w:fldCharType="begin"/>
      </w:r>
      <w:r w:rsidR="00192334">
        <w:instrText xml:space="preserve"> ADDIN ZOTERO_ITEM CSL_CITATION {"citationID":"iGKScnJ7","properties":{"formattedCitation":"(Osbourne, 2013)","plainCitation":"(Osbourne, 2013)","noteIndex":0},"citationItems":[{"id":442,"uris":["http://zotero.org/users/local/AB2owHL2/items/I728WGK6"],"itemData":{"id":442,"type":"book","event-place":"Cambridge","publisher":"Woodhead Publishing Limited","publisher-place":"Cambridge","title":"The Coal Handbook :Towards Cleaner Production","volume":"1 - Coal Production","author":[{"family":"Osbourne","given":"Dave"}],"issued":{"date-parts":[["2013"]]}}}],"schema":"https://github.com/citation-style-language/schema/raw/master/csl-citation.json"} </w:instrText>
      </w:r>
      <w:r w:rsidR="005D2C82">
        <w:fldChar w:fldCharType="separate"/>
      </w:r>
      <w:r w:rsidR="00192334" w:rsidRPr="00192334">
        <w:rPr>
          <w:rFonts w:ascii="Calibri" w:hAnsi="Calibri" w:cs="Calibri"/>
        </w:rPr>
        <w:t>(Osbourne, 2013)</w:t>
      </w:r>
      <w:r w:rsidR="005D2C82">
        <w:fldChar w:fldCharType="end"/>
      </w:r>
    </w:p>
    <w:p w14:paraId="475304F8" w14:textId="461DFD45" w:rsidR="00317A26" w:rsidRDefault="00317A26" w:rsidP="00F65225">
      <w:pPr>
        <w:spacing w:line="360" w:lineRule="auto"/>
        <w:jc w:val="both"/>
        <w:rPr>
          <w:rFonts w:eastAsiaTheme="minorEastAsia"/>
        </w:rPr>
      </w:pPr>
      <w:r w:rsidRPr="00317A26">
        <w:rPr>
          <w:rFonts w:eastAsiaTheme="minorEastAsia"/>
          <w:noProof/>
        </w:rPr>
        <w:drawing>
          <wp:inline distT="0" distB="0" distL="0" distR="0" wp14:anchorId="078A12F1" wp14:editId="57056DFB">
            <wp:extent cx="3134162" cy="1619476"/>
            <wp:effectExtent l="0" t="0" r="9525"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48"/>
                    <a:stretch>
                      <a:fillRect/>
                    </a:stretch>
                  </pic:blipFill>
                  <pic:spPr>
                    <a:xfrm>
                      <a:off x="0" y="0"/>
                      <a:ext cx="3134162" cy="1619476"/>
                    </a:xfrm>
                    <a:prstGeom prst="rect">
                      <a:avLst/>
                    </a:prstGeom>
                  </pic:spPr>
                </pic:pic>
              </a:graphicData>
            </a:graphic>
          </wp:inline>
        </w:drawing>
      </w:r>
    </w:p>
    <w:p w14:paraId="1DFE2059" w14:textId="331417DE" w:rsidR="00BC142C" w:rsidRDefault="00F117F9" w:rsidP="0079300D">
      <w:pPr>
        <w:spacing w:line="360" w:lineRule="auto"/>
        <w:jc w:val="both"/>
        <w:rPr>
          <w:rFonts w:eastAsiaTheme="minorEastAsia"/>
        </w:rPr>
      </w:pPr>
      <w:r>
        <w:rPr>
          <w:rFonts w:eastAsiaTheme="minorEastAsia"/>
        </w:rPr>
        <w:t>VM</w:t>
      </w:r>
      <w:r w:rsidR="00CE229D">
        <w:rPr>
          <w:rFonts w:eastAsiaTheme="minorEastAsia"/>
        </w:rPr>
        <w:t xml:space="preserve"> is determined by measuring 1</w:t>
      </w:r>
      <w:r w:rsidR="00545FAE">
        <w:rPr>
          <w:rFonts w:eastAsiaTheme="minorEastAsia"/>
        </w:rPr>
        <w:t>g of sample into a lidded silica crucible</w:t>
      </w:r>
      <w:r w:rsidR="00B646CC">
        <w:rPr>
          <w:rFonts w:eastAsiaTheme="minorEastAsia"/>
        </w:rPr>
        <w:t xml:space="preserve"> (prevent</w:t>
      </w:r>
      <w:r w:rsidR="00542208">
        <w:rPr>
          <w:rFonts w:eastAsiaTheme="minorEastAsia"/>
        </w:rPr>
        <w:t>ing</w:t>
      </w:r>
      <w:r w:rsidR="00B646CC">
        <w:rPr>
          <w:rFonts w:eastAsiaTheme="minorEastAsia"/>
        </w:rPr>
        <w:t xml:space="preserve"> air ingress), the crucible is placed in a furnace at 900</w:t>
      </w:r>
      <w:r w:rsidR="00B646CC" w:rsidRPr="00B646CC">
        <w:rPr>
          <w:rFonts w:eastAsiaTheme="minorEastAsia"/>
          <w:vertAlign w:val="superscript"/>
        </w:rPr>
        <w:t>0</w:t>
      </w:r>
      <w:r w:rsidR="00B646CC">
        <w:rPr>
          <w:rFonts w:eastAsiaTheme="minorEastAsia"/>
        </w:rPr>
        <w:t>C for 7 minutes</w:t>
      </w:r>
      <w:r w:rsidR="00E51C82">
        <w:rPr>
          <w:rFonts w:eastAsiaTheme="minorEastAsia"/>
        </w:rPr>
        <w:t xml:space="preserve">. VM is calculated from the loss in mass of the sample after </w:t>
      </w:r>
      <w:r w:rsidR="00586630">
        <w:rPr>
          <w:rFonts w:eastAsiaTheme="minorEastAsia"/>
        </w:rPr>
        <w:t>adjusting for moisture.</w:t>
      </w:r>
      <w:r w:rsidR="004C6815">
        <w:rPr>
          <w:rFonts w:eastAsiaTheme="minorEastAsia"/>
        </w:rPr>
        <w:t xml:space="preserve"> </w:t>
      </w:r>
    </w:p>
    <w:p w14:paraId="18556EE9" w14:textId="49EB8932" w:rsidR="00E47E8B" w:rsidRDefault="00E47E8B" w:rsidP="0079300D">
      <w:pPr>
        <w:spacing w:line="360" w:lineRule="auto"/>
        <w:jc w:val="both"/>
        <w:rPr>
          <w:rFonts w:eastAsiaTheme="minorEastAsia"/>
        </w:rPr>
      </w:pPr>
      <w:r>
        <w:rPr>
          <w:rFonts w:eastAsiaTheme="minorEastAsia"/>
        </w:rPr>
        <w:t xml:space="preserve">VM is given by </w:t>
      </w:r>
      <m:oMath>
        <m:r>
          <m:rPr>
            <m:sty m:val="p"/>
          </m:rPr>
          <w:rPr>
            <w:rFonts w:ascii="Cambria Math" w:hAnsi="Cambria Math"/>
          </w:rPr>
          <m:t>V</m:t>
        </m:r>
        <m:r>
          <m:rPr>
            <m:sty m:val="p"/>
          </m:rPr>
          <w:rPr>
            <w:rFonts w:ascii="Cambria Math" w:eastAsiaTheme="minorEastAsia" w:hAnsi="Cambria Math" w:cs="Cambria Math"/>
          </w:rPr>
          <m:t>=</m:t>
        </m:r>
        <m:f>
          <m:fPr>
            <m:ctrlPr>
              <w:rPr>
                <w:rFonts w:ascii="Cambria Math" w:eastAsiaTheme="minorEastAsia" w:hAnsi="Cambria Math"/>
              </w:rPr>
            </m:ctrlPr>
          </m:fPr>
          <m:num>
            <m:r>
              <w:rPr>
                <w:rFonts w:ascii="Cambria Math" w:eastAsiaTheme="minorEastAsia" w:hAnsi="Cambria Math" w:cs="Cambria Math"/>
              </w:rPr>
              <m:t>100</m:t>
            </m:r>
            <m:d>
              <m:dPr>
                <m:ctrlPr>
                  <w:rPr>
                    <w:rFonts w:ascii="Cambria Math" w:eastAsiaTheme="minorEastAsia" w:hAnsi="Cambria Math" w:cs="Cambria Math"/>
                    <w:i/>
                  </w:rPr>
                </m:ctrlPr>
              </m:dPr>
              <m:e>
                <m:sSub>
                  <m:sSubPr>
                    <m:ctrlPr>
                      <w:rPr>
                        <w:rFonts w:ascii="Cambria Math" w:eastAsiaTheme="minorEastAsia" w:hAnsi="Cambria Math" w:cs="Cambria Math"/>
                        <w:i/>
                      </w:rPr>
                    </m:ctrlPr>
                  </m:sSubPr>
                  <m:e>
                    <m:r>
                      <w:rPr>
                        <w:rFonts w:ascii="Cambria Math" w:eastAsiaTheme="minorEastAsia" w:hAnsi="Cambria Math" w:cs="Cambria Math"/>
                      </w:rPr>
                      <m:t>m</m:t>
                    </m:r>
                  </m:e>
                  <m:sub>
                    <m:r>
                      <w:rPr>
                        <w:rFonts w:ascii="Cambria Math" w:eastAsiaTheme="minorEastAsia" w:hAnsi="Cambria Math" w:cs="Cambria Math"/>
                      </w:rPr>
                      <m:t>2</m:t>
                    </m:r>
                  </m:sub>
                </m:sSub>
                <m:r>
                  <w:rPr>
                    <w:rFonts w:ascii="Cambria Math" w:eastAsiaTheme="minorEastAsia" w:hAnsi="Cambria Math" w:cs="Cambria Math"/>
                  </w:rPr>
                  <m:t>-</m:t>
                </m:r>
                <m:sSub>
                  <m:sSubPr>
                    <m:ctrlPr>
                      <w:rPr>
                        <w:rFonts w:ascii="Cambria Math" w:eastAsiaTheme="minorEastAsia" w:hAnsi="Cambria Math" w:cs="Cambria Math"/>
                        <w:i/>
                      </w:rPr>
                    </m:ctrlPr>
                  </m:sSubPr>
                  <m:e>
                    <m:r>
                      <w:rPr>
                        <w:rFonts w:ascii="Cambria Math" w:eastAsiaTheme="minorEastAsia" w:hAnsi="Cambria Math" w:cs="Cambria Math"/>
                      </w:rPr>
                      <m:t>m</m:t>
                    </m:r>
                  </m:e>
                  <m:sub>
                    <m:r>
                      <w:rPr>
                        <w:rFonts w:ascii="Cambria Math" w:eastAsiaTheme="minorEastAsia" w:hAnsi="Cambria Math" w:cs="Cambria Math"/>
                      </w:rPr>
                      <m:t>3</m:t>
                    </m:r>
                  </m:sub>
                </m:sSub>
              </m:e>
            </m:d>
          </m:num>
          <m:den>
            <m:sSub>
              <m:sSubPr>
                <m:ctrlPr>
                  <w:rPr>
                    <w:rFonts w:ascii="Cambria Math" w:eastAsiaTheme="minorEastAsia" w:hAnsi="Cambria Math" w:cs="Cambria Math"/>
                    <w:i/>
                  </w:rPr>
                </m:ctrlPr>
              </m:sSubPr>
              <m:e>
                <m:r>
                  <w:rPr>
                    <w:rFonts w:ascii="Cambria Math" w:eastAsiaTheme="minorEastAsia" w:hAnsi="Cambria Math" w:cs="Cambria Math"/>
                  </w:rPr>
                  <m:t>m</m:t>
                </m:r>
              </m:e>
              <m:sub>
                <m:r>
                  <w:rPr>
                    <w:rFonts w:ascii="Cambria Math" w:eastAsiaTheme="minorEastAsia" w:hAnsi="Cambria Math" w:cs="Cambria Math"/>
                  </w:rPr>
                  <m:t>2</m:t>
                </m:r>
              </m:sub>
            </m:sSub>
            <m:r>
              <w:rPr>
                <w:rFonts w:ascii="Cambria Math" w:eastAsiaTheme="minorEastAsia" w:hAnsi="Cambria Math" w:cs="Cambria Math"/>
              </w:rPr>
              <m:t>-</m:t>
            </m:r>
            <m:sSub>
              <m:sSubPr>
                <m:ctrlPr>
                  <w:rPr>
                    <w:rFonts w:ascii="Cambria Math" w:eastAsiaTheme="minorEastAsia" w:hAnsi="Cambria Math" w:cs="Cambria Math"/>
                    <w:i/>
                  </w:rPr>
                </m:ctrlPr>
              </m:sSubPr>
              <m:e>
                <m:r>
                  <w:rPr>
                    <w:rFonts w:ascii="Cambria Math" w:eastAsiaTheme="minorEastAsia" w:hAnsi="Cambria Math" w:cs="Cambria Math"/>
                  </w:rPr>
                  <m:t>m</m:t>
                </m:r>
              </m:e>
              <m:sub>
                <m:r>
                  <w:rPr>
                    <w:rFonts w:ascii="Cambria Math" w:eastAsiaTheme="minorEastAsia" w:hAnsi="Cambria Math" w:cs="Cambria Math"/>
                  </w:rPr>
                  <m:t>1</m:t>
                </m:r>
              </m:sub>
            </m:sSub>
          </m:den>
        </m:f>
        <m:r>
          <w:rPr>
            <w:rFonts w:ascii="Cambria Math" w:eastAsiaTheme="minorEastAsia" w:hAnsi="Cambria Math"/>
          </w:rPr>
          <m:t xml:space="preserve">- </m:t>
        </m:r>
        <m:sSub>
          <m:sSubPr>
            <m:ctrlPr>
              <w:rPr>
                <w:rFonts w:ascii="Cambria Math" w:eastAsiaTheme="minorEastAsia" w:hAnsi="Cambria Math"/>
                <w:i/>
              </w:rPr>
            </m:ctrlPr>
          </m:sSubPr>
          <m:e>
            <m:r>
              <w:rPr>
                <w:rFonts w:ascii="Cambria Math" w:hAnsi="Cambria Math"/>
              </w:rPr>
              <m:t>ω</m:t>
            </m:r>
          </m:e>
          <m:sub>
            <m:sSub>
              <m:sSubPr>
                <m:ctrlPr>
                  <w:rPr>
                    <w:rFonts w:ascii="Cambria Math" w:eastAsiaTheme="minorEastAsia" w:hAnsi="Cambria Math"/>
                    <w:i/>
                  </w:rPr>
                </m:ctrlPr>
              </m:sSubPr>
              <m:e>
                <m:r>
                  <w:rPr>
                    <w:rFonts w:ascii="Cambria Math" w:eastAsiaTheme="minorEastAsia" w:hAnsi="Cambria Math"/>
                  </w:rPr>
                  <m:t>H</m:t>
                </m:r>
              </m:e>
              <m:sub>
                <m:r>
                  <w:rPr>
                    <w:rFonts w:ascii="Cambria Math" w:eastAsiaTheme="minorEastAsia" w:hAnsi="Cambria Math"/>
                  </w:rPr>
                  <m:t>2</m:t>
                </m:r>
              </m:sub>
            </m:sSub>
            <m:r>
              <w:rPr>
                <w:rFonts w:ascii="Cambria Math" w:eastAsiaTheme="minorEastAsia" w:hAnsi="Cambria Math"/>
              </w:rPr>
              <m:t>O</m:t>
            </m:r>
          </m:sub>
        </m:sSub>
      </m:oMath>
    </w:p>
    <w:p w14:paraId="6C331E5A" w14:textId="75C2A51A" w:rsidR="000D4166" w:rsidRDefault="000D4166" w:rsidP="00522785">
      <w:pPr>
        <w:spacing w:line="360" w:lineRule="auto"/>
        <w:jc w:val="both"/>
      </w:pPr>
      <w:r>
        <w:rPr>
          <w:rFonts w:eastAsiaTheme="minorEastAsia"/>
        </w:rPr>
        <w:t>Where</w:t>
      </w:r>
      <w:r w:rsidR="00141552">
        <w:rPr>
          <w:rFonts w:eastAsiaTheme="minorEastAsia"/>
        </w:rPr>
        <w:t>:</w:t>
      </w:r>
      <w:r>
        <w:rPr>
          <w:rFonts w:eastAsiaTheme="minorEastAsia"/>
        </w:rPr>
        <w:t xml:space="preserve"> </w:t>
      </w:r>
      <w:r>
        <w:rPr>
          <w:rFonts w:eastAsiaTheme="minorEastAsia"/>
        </w:rPr>
        <w:tab/>
      </w:r>
      <w:r>
        <w:t>m1 is the mass</w:t>
      </w:r>
      <w:r w:rsidR="009F7EC6">
        <w:t xml:space="preserve"> (g) </w:t>
      </w:r>
      <w:r>
        <w:t xml:space="preserve">of the empty crucible and </w:t>
      </w:r>
      <w:r w:rsidR="005E4510">
        <w:t>lid.</w:t>
      </w:r>
    </w:p>
    <w:p w14:paraId="2B5088B9" w14:textId="6D61D656" w:rsidR="00933092" w:rsidRDefault="000D4166" w:rsidP="00522785">
      <w:pPr>
        <w:spacing w:line="360" w:lineRule="auto"/>
        <w:ind w:left="720"/>
        <w:jc w:val="both"/>
      </w:pPr>
      <w:r>
        <w:t>m2 is the mass</w:t>
      </w:r>
      <w:r w:rsidR="009F7EC6">
        <w:t xml:space="preserve"> (g)</w:t>
      </w:r>
      <w:r>
        <w:t xml:space="preserve"> of the crucible and lid and test portion before </w:t>
      </w:r>
      <w:r w:rsidR="001D33EC">
        <w:t>heating.</w:t>
      </w:r>
      <w:r>
        <w:t xml:space="preserve"> </w:t>
      </w:r>
    </w:p>
    <w:p w14:paraId="5D72741E" w14:textId="4C4E92D5" w:rsidR="0079300D" w:rsidRDefault="000D4166" w:rsidP="00522785">
      <w:pPr>
        <w:spacing w:line="360" w:lineRule="auto"/>
        <w:ind w:left="720"/>
        <w:jc w:val="both"/>
      </w:pPr>
      <w:r>
        <w:t>m3 is the mass</w:t>
      </w:r>
      <w:r w:rsidR="009F7EC6">
        <w:t xml:space="preserve"> (g)</w:t>
      </w:r>
      <w:r w:rsidR="00933092">
        <w:t xml:space="preserve"> </w:t>
      </w:r>
      <w:r>
        <w:t xml:space="preserve">of the crucible and lid and contents after </w:t>
      </w:r>
      <w:r w:rsidR="005E4510">
        <w:t>heating.</w:t>
      </w:r>
      <w:r>
        <w:t xml:space="preserve"> </w:t>
      </w:r>
    </w:p>
    <w:p w14:paraId="5449574F" w14:textId="4B6785B9" w:rsidR="00323B6D" w:rsidRDefault="000D4166" w:rsidP="00323B6D">
      <w:pPr>
        <w:spacing w:line="360" w:lineRule="auto"/>
        <w:ind w:left="720"/>
        <w:jc w:val="both"/>
      </w:pPr>
      <w:r w:rsidRPr="00522785">
        <w:rPr>
          <w:vertAlign w:val="superscript"/>
        </w:rPr>
        <w:t>ω</w:t>
      </w:r>
      <w:r>
        <w:t>H</w:t>
      </w:r>
      <w:r w:rsidRPr="00522785">
        <w:rPr>
          <w:vertAlign w:val="subscript"/>
        </w:rPr>
        <w:t>2</w:t>
      </w:r>
      <w:r>
        <w:t>O</w:t>
      </w:r>
      <w:r w:rsidR="009F7EC6">
        <w:t xml:space="preserve"> (%)</w:t>
      </w:r>
      <w:r>
        <w:t xml:space="preserve"> is the </w:t>
      </w:r>
      <w:r w:rsidR="000F4BE9">
        <w:t>moisture.</w:t>
      </w:r>
    </w:p>
    <w:p w14:paraId="5DF1F505" w14:textId="7B3BDE37" w:rsidR="00063AD2" w:rsidRDefault="00F734FD" w:rsidP="00063AD2">
      <w:pPr>
        <w:spacing w:line="360" w:lineRule="auto"/>
        <w:jc w:val="both"/>
      </w:pPr>
      <w:r>
        <w:fldChar w:fldCharType="begin"/>
      </w:r>
      <w:r w:rsidR="00430AAA">
        <w:instrText xml:space="preserve"> ADDIN ZOTERO_ITEM CSL_CITATION {"citationID":"jiWZuSi1","properties":{"formattedCitation":"(British Standards Institute 2010a)","plainCitation":"(British Standards Institute 2010a)","dontUpdate":true,"noteIndex":0},"citationItems":[{"id":1950,"uris":["http://zotero.org/users/local/AB2owHL2/items/P9SBBLZH"],"itemData":{"id":1950,"type":"document","publisher":"BSI Standards Institution","title":"BS ISO 562: 2010, Hard coal and coke — Determination of volatile matter","author":[{"family":"British Standards Institute","given":""}],"issued":{"date-parts":[["2010"]]}}}],"schema":"https://github.com/citation-style-language/schema/raw/master/csl-citation.json"} </w:instrText>
      </w:r>
      <w:r>
        <w:fldChar w:fldCharType="separate"/>
      </w:r>
      <w:r w:rsidR="003460E3" w:rsidRPr="003460E3">
        <w:rPr>
          <w:rFonts w:ascii="Calibri" w:hAnsi="Calibri" w:cs="Calibri"/>
        </w:rPr>
        <w:t>(</w:t>
      </w:r>
      <w:r w:rsidR="00620964" w:rsidRPr="00620964">
        <w:rPr>
          <w:rFonts w:ascii="Calibri" w:hAnsi="Calibri" w:cs="Calibri"/>
        </w:rPr>
        <w:t>B</w:t>
      </w:r>
      <w:r w:rsidR="00786A9D">
        <w:rPr>
          <w:rFonts w:ascii="Calibri" w:hAnsi="Calibri" w:cs="Calibri"/>
        </w:rPr>
        <w:t>S</w:t>
      </w:r>
      <w:r w:rsidR="00620964" w:rsidRPr="00620964">
        <w:rPr>
          <w:rFonts w:ascii="Calibri" w:hAnsi="Calibri" w:cs="Calibri"/>
        </w:rPr>
        <w:t xml:space="preserve"> ISO 562: 2010</w:t>
      </w:r>
      <w:r w:rsidR="003460E3" w:rsidRPr="003460E3">
        <w:rPr>
          <w:rFonts w:ascii="Calibri" w:hAnsi="Calibri" w:cs="Calibri"/>
        </w:rPr>
        <w:t>)</w:t>
      </w:r>
      <w:r>
        <w:fldChar w:fldCharType="end"/>
      </w:r>
    </w:p>
    <w:p w14:paraId="4EB3F687" w14:textId="77777777" w:rsidR="007A4F75" w:rsidRPr="004B7BF8" w:rsidRDefault="007A4F75" w:rsidP="007A4F75">
      <w:pPr>
        <w:pStyle w:val="Heading4"/>
        <w:spacing w:line="360" w:lineRule="auto"/>
        <w:jc w:val="both"/>
      </w:pPr>
      <w:r>
        <w:t>Ash</w:t>
      </w:r>
    </w:p>
    <w:p w14:paraId="36891D0C" w14:textId="75D84B13" w:rsidR="00A43EE7" w:rsidRDefault="007A4F75" w:rsidP="007A4F75">
      <w:pPr>
        <w:spacing w:line="360" w:lineRule="auto"/>
        <w:jc w:val="both"/>
      </w:pPr>
      <w:r>
        <w:t xml:space="preserve">Ash </w:t>
      </w:r>
      <w:r w:rsidR="00D8455A">
        <w:t xml:space="preserve">is the </w:t>
      </w:r>
      <w:r w:rsidR="008F081B">
        <w:t xml:space="preserve">non-combustible </w:t>
      </w:r>
      <w:r w:rsidR="00D8455A">
        <w:t xml:space="preserve">residue </w:t>
      </w:r>
      <w:r w:rsidR="008F081B">
        <w:t>left after coal is burned</w:t>
      </w:r>
      <w:r w:rsidR="008A3161">
        <w:t xml:space="preserve"> a</w:t>
      </w:r>
      <w:r w:rsidR="008F081B">
        <w:t>nd represents the bulk mineral matter after carbon, sulphur and water</w:t>
      </w:r>
      <w:r w:rsidR="008A3161">
        <w:t xml:space="preserve"> has been driven off during combustion.</w:t>
      </w:r>
      <w:r w:rsidR="00BA5DFC">
        <w:t xml:space="preserve"> The ash is composed primarily of oxides and sulphides</w:t>
      </w:r>
      <w:r w:rsidR="006A50F8">
        <w:t xml:space="preserve"> and </w:t>
      </w:r>
      <w:r w:rsidR="00904F8C">
        <w:t>can be</w:t>
      </w:r>
      <w:r w:rsidR="006A50F8">
        <w:t xml:space="preserve"> </w:t>
      </w:r>
      <w:r w:rsidR="00E076CC">
        <w:t xml:space="preserve">considered </w:t>
      </w:r>
      <w:r w:rsidR="00904F8C">
        <w:t xml:space="preserve">to be </w:t>
      </w:r>
      <w:r w:rsidR="00144670">
        <w:t>an approximation for the mineral content</w:t>
      </w:r>
      <w:r w:rsidR="004C38A7">
        <w:t xml:space="preserve"> but does not equal the original mineral content as some of the mineral phases are</w:t>
      </w:r>
      <w:r w:rsidR="002D04C5">
        <w:t xml:space="preserve"> altered when the coal is combusted </w:t>
      </w:r>
      <w:r w:rsidR="002F41B3">
        <w:t>e.g.,</w:t>
      </w:r>
      <w:r w:rsidR="002D04C5">
        <w:t xml:space="preserve"> </w:t>
      </w:r>
      <w:r w:rsidR="00CB3E4A">
        <w:t>CO</w:t>
      </w:r>
      <w:r w:rsidR="00CB3E4A" w:rsidRPr="00CB3E4A">
        <w:rPr>
          <w:vertAlign w:val="subscript"/>
        </w:rPr>
        <w:t>2</w:t>
      </w:r>
      <w:r w:rsidR="00CB3E4A">
        <w:t xml:space="preserve"> is removed from carbonates and SO</w:t>
      </w:r>
      <w:r w:rsidR="00CB3E4A" w:rsidRPr="00CB3E4A">
        <w:rPr>
          <w:vertAlign w:val="subscript"/>
        </w:rPr>
        <w:t>3</w:t>
      </w:r>
      <w:r w:rsidR="00CB3E4A">
        <w:t xml:space="preserve"> is removed from the sulphides </w:t>
      </w:r>
      <w:r w:rsidR="00B10A39">
        <w:fldChar w:fldCharType="begin"/>
      </w:r>
      <w:r w:rsidR="00192334">
        <w:instrText xml:space="preserve"> ADDIN ZOTERO_ITEM CSL_CITATION {"citationID":"EloZj0bR","properties":{"formattedCitation":"(Speight, 2015)","plainCitation":"(Speight, 2015)","noteIndex":0},"citationItems":[{"id":1940,"uris":["http://zotero.org/users/local/AB2owHL2/items/VH6TF2ZU"],"itemData":{"id":1940,"type":"book","edition":"Second","event-place":"New Jersey","publisher":"John Wiley &amp; Sons, Inc.","publisher-place":"New Jersey","title":"Handbook of Coal Analysis","author":[{"family":"Speight","given":"James G."}],"issued":{"date-parts":[["2015"]]}}}],"schema":"https://github.com/citation-style-language/schema/raw/master/csl-citation.json"} </w:instrText>
      </w:r>
      <w:r w:rsidR="00B10A39">
        <w:fldChar w:fldCharType="separate"/>
      </w:r>
      <w:r w:rsidR="00192334" w:rsidRPr="00192334">
        <w:rPr>
          <w:rFonts w:ascii="Calibri" w:hAnsi="Calibri" w:cs="Calibri"/>
        </w:rPr>
        <w:t>(Speight, 2015)</w:t>
      </w:r>
      <w:r w:rsidR="00B10A39">
        <w:fldChar w:fldCharType="end"/>
      </w:r>
      <w:r w:rsidR="00CB3E4A">
        <w:t>.</w:t>
      </w:r>
      <w:r w:rsidR="00501612">
        <w:t xml:space="preserve"> </w:t>
      </w:r>
      <w:r w:rsidR="00E80A21">
        <w:t xml:space="preserve">Ash is determined by </w:t>
      </w:r>
      <w:r w:rsidR="00473F41">
        <w:t xml:space="preserve">measuring </w:t>
      </w:r>
      <w:r w:rsidR="00E80A21">
        <w:t xml:space="preserve">1g of </w:t>
      </w:r>
      <w:r w:rsidR="00473F41">
        <w:t>sample</w:t>
      </w:r>
      <w:r w:rsidR="00E80A21">
        <w:t xml:space="preserve"> in</w:t>
      </w:r>
      <w:r w:rsidR="00473F41">
        <w:t>to</w:t>
      </w:r>
      <w:r w:rsidR="00E80A21">
        <w:t xml:space="preserve"> a silica dish</w:t>
      </w:r>
      <w:r w:rsidR="00831B69">
        <w:t xml:space="preserve">, the dish is placed into a furnace </w:t>
      </w:r>
      <w:r w:rsidR="00831B69">
        <w:lastRenderedPageBreak/>
        <w:t>at 815</w:t>
      </w:r>
      <w:r w:rsidR="00831B69" w:rsidRPr="00831B69">
        <w:rPr>
          <w:vertAlign w:val="superscript"/>
        </w:rPr>
        <w:t>0</w:t>
      </w:r>
      <w:r w:rsidR="00831B69">
        <w:t xml:space="preserve">C </w:t>
      </w:r>
      <w:r w:rsidR="000C6374">
        <w:t>for 60 minutes</w:t>
      </w:r>
      <w:r w:rsidR="00B009E4">
        <w:t xml:space="preserve">. </w:t>
      </w:r>
      <w:r w:rsidR="00E76D17">
        <w:t xml:space="preserve">The ash is calculated as the mass remaining </w:t>
      </w:r>
      <w:r w:rsidR="00836DBD">
        <w:t>in the dish</w:t>
      </w:r>
      <w:r w:rsidR="009757CE">
        <w:t xml:space="preserve"> as a fraction of the original sample weight. </w:t>
      </w:r>
    </w:p>
    <w:p w14:paraId="2FDFE700" w14:textId="4950A9A6" w:rsidR="007A4F75" w:rsidRDefault="00383358" w:rsidP="007A4F75">
      <w:pPr>
        <w:spacing w:line="360" w:lineRule="auto"/>
        <w:jc w:val="both"/>
      </w:pPr>
      <w:r>
        <w:t>The ash is expressed as a percentage mass fraction</w:t>
      </w:r>
      <w:r w:rsidR="00AE042D">
        <w:t>:</w:t>
      </w:r>
    </w:p>
    <w:p w14:paraId="5FD67031" w14:textId="1414058E" w:rsidR="00AE042D" w:rsidRPr="00FB6910" w:rsidRDefault="00AE042D" w:rsidP="007A4F75">
      <w:pPr>
        <w:spacing w:line="360" w:lineRule="auto"/>
        <w:jc w:val="both"/>
        <w:rPr>
          <w:rFonts w:eastAsiaTheme="minorEastAsia"/>
        </w:rPr>
      </w:pPr>
      <m:oMathPara>
        <m:oMath>
          <m:r>
            <w:rPr>
              <w:rFonts w:ascii="Cambria Math" w:hAnsi="Cambria Math" w:cs="Cambria Math"/>
            </w:rPr>
            <m:t>A</m:t>
          </m:r>
          <m:r>
            <m:rPr>
              <m:sty m:val="p"/>
            </m:rPr>
            <w:rPr>
              <w:rFonts w:ascii="Cambria Math" w:hAnsi="Cambria Math" w:cs="Cambria Math"/>
            </w:rPr>
            <m:t>=</m:t>
          </m:r>
          <m:f>
            <m:fPr>
              <m:ctrlPr>
                <w:rPr>
                  <w:rFonts w:ascii="Cambria Math" w:hAnsi="Cambria Math"/>
                </w:rPr>
              </m:ctrlPr>
            </m:fPr>
            <m:num>
              <m:sSub>
                <m:sSubPr>
                  <m:ctrlPr>
                    <w:rPr>
                      <w:rFonts w:ascii="Cambria Math" w:hAnsi="Cambria Math"/>
                      <w:i/>
                    </w:rPr>
                  </m:ctrlPr>
                </m:sSubPr>
                <m:e>
                  <m:r>
                    <w:rPr>
                      <w:rFonts w:ascii="Cambria Math" w:hAnsi="Cambria Math"/>
                    </w:rPr>
                    <m:t>m</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1</m:t>
                  </m:r>
                </m:sub>
              </m:sSub>
            </m:num>
            <m:den>
              <m:sSub>
                <m:sSubPr>
                  <m:ctrlPr>
                    <w:rPr>
                      <w:rFonts w:ascii="Cambria Math" w:hAnsi="Cambria Math" w:cs="Cambria Math"/>
                    </w:rPr>
                  </m:ctrlPr>
                </m:sSubPr>
                <m:e>
                  <m:r>
                    <w:rPr>
                      <w:rFonts w:ascii="Cambria Math" w:hAnsi="Cambria Math" w:cs="Cambria Math"/>
                    </w:rPr>
                    <m:t>m</m:t>
                  </m:r>
                </m:e>
                <m:sub>
                  <m:r>
                    <w:rPr>
                      <w:rFonts w:ascii="Cambria Math" w:hAnsi="Cambria Math" w:cs="Cambria Math"/>
                    </w:rPr>
                    <m:t>2</m:t>
                  </m:r>
                </m:sub>
              </m:sSub>
              <m:r>
                <w:rPr>
                  <w:rFonts w:ascii="Cambria Math" w:hAnsi="Cambria Math" w:cs="Cambria Math"/>
                </w:rPr>
                <m:t xml:space="preserve">- </m:t>
              </m:r>
              <m:sSub>
                <m:sSubPr>
                  <m:ctrlPr>
                    <w:rPr>
                      <w:rFonts w:ascii="Cambria Math" w:hAnsi="Cambria Math" w:cs="Cambria Math"/>
                      <w:i/>
                    </w:rPr>
                  </m:ctrlPr>
                </m:sSubPr>
                <m:e>
                  <m:r>
                    <w:rPr>
                      <w:rFonts w:ascii="Cambria Math" w:hAnsi="Cambria Math" w:cs="Cambria Math"/>
                    </w:rPr>
                    <m:t>m</m:t>
                  </m:r>
                </m:e>
                <m:sub>
                  <m:r>
                    <w:rPr>
                      <w:rFonts w:ascii="Cambria Math" w:hAnsi="Cambria Math" w:cs="Cambria Math"/>
                    </w:rPr>
                    <m:t>1</m:t>
                  </m:r>
                </m:sub>
              </m:sSub>
              <m:r>
                <w:rPr>
                  <w:rFonts w:ascii="Cambria Math" w:hAnsi="Cambria Math" w:cs="Cambria Math"/>
                </w:rPr>
                <m:t xml:space="preserve"> </m:t>
              </m:r>
            </m:den>
          </m:f>
          <m:r>
            <w:rPr>
              <w:rFonts w:ascii="Cambria Math" w:hAnsi="Cambria Math"/>
            </w:rPr>
            <m:t xml:space="preserve"> ×100</m:t>
          </m:r>
        </m:oMath>
      </m:oMathPara>
    </w:p>
    <w:p w14:paraId="2B07C4CE" w14:textId="692A1D9C" w:rsidR="00FB6910" w:rsidRDefault="00055329" w:rsidP="00856990">
      <w:pPr>
        <w:spacing w:line="360" w:lineRule="auto"/>
        <w:jc w:val="both"/>
      </w:pPr>
      <w:r>
        <w:t>where:</w:t>
      </w:r>
      <w:r w:rsidR="00856990">
        <w:t xml:space="preserve"> </w:t>
      </w:r>
      <w:r w:rsidR="00FB6910">
        <w:t>m1 is the mass</w:t>
      </w:r>
      <w:r w:rsidR="009F7EC6">
        <w:t xml:space="preserve"> (g) </w:t>
      </w:r>
      <w:r w:rsidR="00FB6910">
        <w:t xml:space="preserve">of the empty </w:t>
      </w:r>
      <w:r w:rsidR="005E4510">
        <w:t>dish.</w:t>
      </w:r>
      <w:r w:rsidR="00FB6910">
        <w:t xml:space="preserve"> </w:t>
      </w:r>
    </w:p>
    <w:p w14:paraId="34E6BFE5" w14:textId="1E44D300" w:rsidR="00FB6910" w:rsidRDefault="00FB6910" w:rsidP="00FB6910">
      <w:pPr>
        <w:spacing w:line="360" w:lineRule="auto"/>
        <w:ind w:left="720"/>
        <w:jc w:val="both"/>
      </w:pPr>
      <w:r>
        <w:t>m2 is the mass</w:t>
      </w:r>
      <w:r w:rsidR="009F7EC6">
        <w:t xml:space="preserve"> (g) </w:t>
      </w:r>
      <w:r>
        <w:t xml:space="preserve">of dish plus test </w:t>
      </w:r>
      <w:r w:rsidR="005E4510">
        <w:t>portion.</w:t>
      </w:r>
      <w:r>
        <w:t xml:space="preserve"> </w:t>
      </w:r>
    </w:p>
    <w:p w14:paraId="2C2D8AB1" w14:textId="0D6B3D95" w:rsidR="00FB6910" w:rsidRDefault="00FB6910" w:rsidP="00FB6910">
      <w:pPr>
        <w:spacing w:line="360" w:lineRule="auto"/>
        <w:ind w:left="720"/>
        <w:jc w:val="both"/>
      </w:pPr>
      <w:r>
        <w:t>m3 is the mass</w:t>
      </w:r>
      <w:r w:rsidR="009F7EC6">
        <w:t xml:space="preserve"> (g) </w:t>
      </w:r>
      <w:r>
        <w:t>of dish plus ash.</w:t>
      </w:r>
    </w:p>
    <w:p w14:paraId="145AAF4A" w14:textId="576BFAEC" w:rsidR="0095262A" w:rsidRDefault="003460E3" w:rsidP="0095262A">
      <w:pPr>
        <w:spacing w:line="360" w:lineRule="auto"/>
        <w:jc w:val="both"/>
      </w:pPr>
      <w:r>
        <w:fldChar w:fldCharType="begin"/>
      </w:r>
      <w:r w:rsidR="00430AAA">
        <w:instrText xml:space="preserve"> ADDIN ZOTERO_ITEM CSL_CITATION {"citationID":"fmgPfKbO","properties":{"formattedCitation":"(British Standards Institute 2010b)","plainCitation":"(British Standards Institute 2010b)","dontUpdate":true,"noteIndex":0},"citationItems":[{"id":1951,"uris":["http://zotero.org/users/local/AB2owHL2/items/QA2BWHY3"],"itemData":{"id":1951,"type":"document","publisher":"British Standards Institution","title":"BS ISO 1171: 2010,  Solid mineral fuels — Determination of ash","author":[{"family":"British Standards Institute","given":""}],"issued":{"date-parts":[["2010"]]}}}],"schema":"https://github.com/citation-style-language/schema/raw/master/csl-citation.json"} </w:instrText>
      </w:r>
      <w:r>
        <w:fldChar w:fldCharType="separate"/>
      </w:r>
      <w:r w:rsidRPr="003460E3">
        <w:rPr>
          <w:rFonts w:ascii="Calibri" w:hAnsi="Calibri" w:cs="Calibri"/>
        </w:rPr>
        <w:t>(</w:t>
      </w:r>
      <w:r w:rsidR="00A41961" w:rsidRPr="00A41961">
        <w:rPr>
          <w:rFonts w:ascii="Calibri" w:hAnsi="Calibri" w:cs="Calibri"/>
        </w:rPr>
        <w:t>BS ISO 1171: 2010</w:t>
      </w:r>
      <w:r w:rsidRPr="003460E3">
        <w:rPr>
          <w:rFonts w:ascii="Calibri" w:hAnsi="Calibri" w:cs="Calibri"/>
        </w:rPr>
        <w:t>)</w:t>
      </w:r>
      <w:r>
        <w:fldChar w:fldCharType="end"/>
      </w:r>
    </w:p>
    <w:p w14:paraId="3EC40F6C" w14:textId="1E08D7BE" w:rsidR="00EA610D" w:rsidRDefault="00EA610D" w:rsidP="00A01C12">
      <w:pPr>
        <w:pStyle w:val="Heading4"/>
        <w:spacing w:line="360" w:lineRule="auto"/>
        <w:jc w:val="both"/>
      </w:pPr>
      <w:r>
        <w:t>Fixed carbon</w:t>
      </w:r>
    </w:p>
    <w:p w14:paraId="364F3A3E" w14:textId="0AC314E3" w:rsidR="00323B6D" w:rsidRDefault="007A4F75" w:rsidP="00A01C12">
      <w:pPr>
        <w:spacing w:line="360" w:lineRule="auto"/>
        <w:jc w:val="both"/>
      </w:pPr>
      <w:r>
        <w:t xml:space="preserve">Fixed carbon is the solid combustible residue remaining after removal </w:t>
      </w:r>
      <w:r w:rsidR="004F1F39">
        <w:t>of moisture, ash and volatile materials</w:t>
      </w:r>
      <w:r w:rsidR="004E43D7">
        <w:t>. Fixed carbon is calculated by subtracting the percentage moisture, ash and VM from 100%</w:t>
      </w:r>
      <w:r w:rsidR="00432D60">
        <w:t xml:space="preserve">. </w:t>
      </w:r>
    </w:p>
    <w:p w14:paraId="15A67A15" w14:textId="563A7CED" w:rsidR="002D449C" w:rsidRPr="00055329" w:rsidRDefault="002D449C" w:rsidP="00A01C12">
      <w:pPr>
        <w:spacing w:line="360" w:lineRule="auto"/>
        <w:jc w:val="both"/>
        <w:rPr>
          <w:rFonts w:eastAsiaTheme="minorEastAsia"/>
        </w:rPr>
      </w:pPr>
      <m:oMathPara>
        <m:oMath>
          <m:r>
            <w:rPr>
              <w:rFonts w:ascii="Cambria Math" w:hAnsi="Cambria Math"/>
            </w:rPr>
            <m:t>FC=100-</m:t>
          </m:r>
          <m:d>
            <m:dPr>
              <m:ctrlPr>
                <w:rPr>
                  <w:rFonts w:ascii="Cambria Math" w:hAnsi="Cambria Math"/>
                  <w:i/>
                </w:rPr>
              </m:ctrlPr>
            </m:dPr>
            <m:e>
              <m:r>
                <w:rPr>
                  <w:rFonts w:ascii="Cambria Math" w:hAnsi="Cambria Math"/>
                </w:rPr>
                <m:t>M+A+V</m:t>
              </m:r>
            </m:e>
          </m:d>
        </m:oMath>
      </m:oMathPara>
    </w:p>
    <w:p w14:paraId="74ED2C54" w14:textId="2D0EBB4F" w:rsidR="00055329" w:rsidRDefault="00055329" w:rsidP="00A01C12">
      <w:pPr>
        <w:spacing w:line="360" w:lineRule="auto"/>
        <w:jc w:val="both"/>
        <w:rPr>
          <w:rFonts w:eastAsiaTheme="minorEastAsia"/>
        </w:rPr>
      </w:pPr>
      <w:r>
        <w:rPr>
          <w:rFonts w:eastAsiaTheme="minorEastAsia"/>
        </w:rPr>
        <w:t>where:</w:t>
      </w:r>
      <w:r w:rsidR="00856990">
        <w:rPr>
          <w:rFonts w:eastAsiaTheme="minorEastAsia"/>
        </w:rPr>
        <w:t xml:space="preserve"> </w:t>
      </w:r>
      <w:r>
        <w:rPr>
          <w:rFonts w:eastAsiaTheme="minorEastAsia"/>
        </w:rPr>
        <w:t>M</w:t>
      </w:r>
      <w:r w:rsidR="00B46B59">
        <w:rPr>
          <w:rFonts w:eastAsiaTheme="minorEastAsia"/>
        </w:rPr>
        <w:t xml:space="preserve"> = Moisture</w:t>
      </w:r>
      <w:r w:rsidR="004A6DDB">
        <w:rPr>
          <w:rFonts w:eastAsiaTheme="minorEastAsia"/>
        </w:rPr>
        <w:t xml:space="preserve"> content </w:t>
      </w:r>
      <w:r w:rsidR="006832C5">
        <w:rPr>
          <w:rFonts w:eastAsiaTheme="minorEastAsia"/>
        </w:rPr>
        <w:t>(%)</w:t>
      </w:r>
    </w:p>
    <w:p w14:paraId="137A4BED" w14:textId="65F2D1DE" w:rsidR="004A6DDB" w:rsidRDefault="00B46B59" w:rsidP="00A01C12">
      <w:pPr>
        <w:spacing w:line="360" w:lineRule="auto"/>
        <w:jc w:val="both"/>
        <w:rPr>
          <w:rFonts w:eastAsiaTheme="minorEastAsia"/>
        </w:rPr>
      </w:pPr>
      <w:r>
        <w:rPr>
          <w:rFonts w:eastAsiaTheme="minorEastAsia"/>
        </w:rPr>
        <w:tab/>
        <w:t xml:space="preserve">A = Ash </w:t>
      </w:r>
      <w:r w:rsidR="004A6DDB">
        <w:rPr>
          <w:rFonts w:eastAsiaTheme="minorEastAsia"/>
        </w:rPr>
        <w:t xml:space="preserve">content </w:t>
      </w:r>
      <w:r w:rsidR="006832C5">
        <w:rPr>
          <w:rFonts w:eastAsiaTheme="minorEastAsia"/>
        </w:rPr>
        <w:t>(%)</w:t>
      </w:r>
    </w:p>
    <w:p w14:paraId="2064874C" w14:textId="04AA362C" w:rsidR="00A4439D" w:rsidRDefault="004A6DDB" w:rsidP="00A01C12">
      <w:pPr>
        <w:spacing w:line="360" w:lineRule="auto"/>
        <w:jc w:val="both"/>
        <w:rPr>
          <w:rFonts w:eastAsiaTheme="minorEastAsia"/>
        </w:rPr>
      </w:pPr>
      <w:r>
        <w:rPr>
          <w:rFonts w:eastAsiaTheme="minorEastAsia"/>
        </w:rPr>
        <w:tab/>
        <w:t xml:space="preserve">V= Volatile matter content </w:t>
      </w:r>
      <w:r w:rsidR="006832C5">
        <w:rPr>
          <w:rFonts w:eastAsiaTheme="minorEastAsia"/>
        </w:rPr>
        <w:t>(%)</w:t>
      </w:r>
    </w:p>
    <w:p w14:paraId="178AACEB" w14:textId="04DC444F" w:rsidR="0010010D" w:rsidRDefault="00A4439D" w:rsidP="00CE0797">
      <w:pPr>
        <w:spacing w:line="360" w:lineRule="auto"/>
        <w:jc w:val="both"/>
        <w:rPr>
          <w:rFonts w:eastAsiaTheme="minorEastAsia"/>
        </w:rPr>
      </w:pPr>
      <w:r>
        <w:rPr>
          <w:rFonts w:eastAsiaTheme="minorEastAsia"/>
        </w:rPr>
        <w:fldChar w:fldCharType="begin"/>
      </w:r>
      <w:r w:rsidR="00192334">
        <w:rPr>
          <w:rFonts w:eastAsiaTheme="minorEastAsia"/>
        </w:rPr>
        <w:instrText xml:space="preserve"> ADDIN ZOTERO_ITEM CSL_CITATION {"citationID":"bGHYBkZ2","properties":{"formattedCitation":"(Loison, Foch and Boyer, 1989)","plainCitation":"(Loison, Foch and Boyer, 1989)","noteIndex":0},"citationItems":[{"id":454,"uris":["http://zotero.org/users/local/AB2owHL2/items/6D266ISA"],"itemData":{"id":454,"type":"book","edition":"2nd","event-place":"Cambridge","publisher":"Butterworths","publisher-place":"Cambridge","title":"Coke : Quality and Production","author":[{"family":"Loison","given":"Roger"},{"family":"Foch","given":"Pierre"},{"family":"Boyer","given":"Andre"}],"issued":{"date-parts":[["1989"]]}}}],"schema":"https://github.com/citation-style-language/schema/raw/master/csl-citation.json"} </w:instrText>
      </w:r>
      <w:r>
        <w:rPr>
          <w:rFonts w:eastAsiaTheme="minorEastAsia"/>
        </w:rPr>
        <w:fldChar w:fldCharType="separate"/>
      </w:r>
      <w:r w:rsidR="00192334" w:rsidRPr="00192334">
        <w:rPr>
          <w:rFonts w:ascii="Calibri" w:hAnsi="Calibri" w:cs="Calibri"/>
        </w:rPr>
        <w:t>(Loison, Foch and Boyer, 1989)</w:t>
      </w:r>
      <w:r>
        <w:rPr>
          <w:rFonts w:eastAsiaTheme="minorEastAsia"/>
        </w:rPr>
        <w:fldChar w:fldCharType="end"/>
      </w:r>
      <w:r w:rsidR="00B46B59">
        <w:rPr>
          <w:rFonts w:eastAsiaTheme="minorEastAsia"/>
        </w:rPr>
        <w:t xml:space="preserve"> </w:t>
      </w:r>
    </w:p>
    <w:p w14:paraId="63D40E45" w14:textId="23828485" w:rsidR="009D7182" w:rsidRDefault="009D7182" w:rsidP="007B475A">
      <w:pPr>
        <w:pStyle w:val="Heading3"/>
      </w:pPr>
      <w:bookmarkStart w:id="41" w:name="_Toc128599605"/>
      <w:r w:rsidRPr="009A5A9C">
        <w:t>Ultimate analysis</w:t>
      </w:r>
      <w:bookmarkEnd w:id="41"/>
      <w:r w:rsidR="009A5A9C" w:rsidRPr="009A5A9C">
        <w:t xml:space="preserve"> </w:t>
      </w:r>
    </w:p>
    <w:p w14:paraId="3BF36341" w14:textId="01BBD2C3" w:rsidR="009B3A9B" w:rsidRDefault="00112CBA" w:rsidP="00E268A3">
      <w:pPr>
        <w:spacing w:line="360" w:lineRule="auto"/>
        <w:jc w:val="both"/>
      </w:pPr>
      <w:r>
        <w:t>The organic compon</w:t>
      </w:r>
      <w:r w:rsidR="00CB3EFE">
        <w:t xml:space="preserve">ents of coal are composed of carbon, hydrogen, </w:t>
      </w:r>
      <w:r w:rsidR="00197469">
        <w:t>nitrogen</w:t>
      </w:r>
      <w:r w:rsidR="009B3A9B">
        <w:t xml:space="preserve">, </w:t>
      </w:r>
      <w:r w:rsidR="00197469">
        <w:t>oxygen and sulphur</w:t>
      </w:r>
      <w:r w:rsidR="005B30D7">
        <w:t>, these components make up 99% of the organic portion of coal</w:t>
      </w:r>
      <w:r w:rsidR="001A53A1">
        <w:t>.</w:t>
      </w:r>
      <w:r w:rsidR="00C43695">
        <w:t xml:space="preserve"> </w:t>
      </w:r>
      <w:r w:rsidR="00565314">
        <w:t>Analysis</w:t>
      </w:r>
      <w:r w:rsidR="0073757A">
        <w:t xml:space="preserve"> performed using an instrument called an ultimate analyser</w:t>
      </w:r>
      <w:r w:rsidR="00B0787B">
        <w:t>, carbo</w:t>
      </w:r>
      <w:r w:rsidR="00913BA1">
        <w:t xml:space="preserve">n, </w:t>
      </w:r>
      <w:r w:rsidR="001B25D8">
        <w:t>hydrogen,</w:t>
      </w:r>
      <w:r w:rsidR="00913BA1">
        <w:t xml:space="preserve"> and nitrogen </w:t>
      </w:r>
      <w:r w:rsidR="009B3A9B">
        <w:t>are</w:t>
      </w:r>
      <w:r w:rsidR="00913BA1">
        <w:t xml:space="preserve"> </w:t>
      </w:r>
      <w:r w:rsidR="007D4A84">
        <w:t xml:space="preserve">determined by combusting </w:t>
      </w:r>
      <w:r w:rsidR="009B3A9B">
        <w:t>the</w:t>
      </w:r>
      <w:r w:rsidR="007D4A84">
        <w:t xml:space="preserve"> sample</w:t>
      </w:r>
      <w:r w:rsidR="005F1519">
        <w:t>, the element</w:t>
      </w:r>
      <w:r w:rsidR="009B3A9B">
        <w:t>s</w:t>
      </w:r>
      <w:r w:rsidR="005F1519">
        <w:t xml:space="preserve"> carbon, hydrogen and nitrogen are converted into CO</w:t>
      </w:r>
      <w:r w:rsidR="005F1519" w:rsidRPr="005F1519">
        <w:rPr>
          <w:vertAlign w:val="subscript"/>
        </w:rPr>
        <w:t>2</w:t>
      </w:r>
      <w:r w:rsidR="005F1519">
        <w:t>, H</w:t>
      </w:r>
      <w:r w:rsidR="005F1519" w:rsidRPr="005F1519">
        <w:rPr>
          <w:vertAlign w:val="subscript"/>
        </w:rPr>
        <w:t>2</w:t>
      </w:r>
      <w:r w:rsidR="005F1519">
        <w:t>0, N</w:t>
      </w:r>
      <w:r w:rsidR="005F1519" w:rsidRPr="005F1519">
        <w:rPr>
          <w:vertAlign w:val="subscript"/>
        </w:rPr>
        <w:t>2</w:t>
      </w:r>
      <w:r w:rsidR="005F1519">
        <w:t xml:space="preserve"> and NO</w:t>
      </w:r>
      <w:r w:rsidR="005F1519" w:rsidRPr="005F1519">
        <w:rPr>
          <w:vertAlign w:val="subscript"/>
        </w:rPr>
        <w:t>X</w:t>
      </w:r>
      <w:r w:rsidR="00FA440F">
        <w:t xml:space="preserve">. </w:t>
      </w:r>
      <w:r w:rsidR="003D29ED">
        <w:t>C</w:t>
      </w:r>
      <w:r w:rsidR="00646A57">
        <w:t>arbon and hydrogen content</w:t>
      </w:r>
      <w:r w:rsidR="008A0523">
        <w:t xml:space="preserve"> are determined by passing the gasses through an infrared cell</w:t>
      </w:r>
      <w:r w:rsidR="00646A57">
        <w:t xml:space="preserve">, a thermal conductivity </w:t>
      </w:r>
      <w:r w:rsidR="001B25D8">
        <w:t>cell is</w:t>
      </w:r>
      <w:r w:rsidR="008A0523">
        <w:t xml:space="preserve"> used </w:t>
      </w:r>
      <w:r w:rsidR="00646A57">
        <w:t xml:space="preserve">to determine </w:t>
      </w:r>
      <w:r w:rsidR="00877FFA">
        <w:t>nitrogen. The raw hydrogen analysis result is moisture corrected.</w:t>
      </w:r>
      <w:r w:rsidR="00824705">
        <w:t xml:space="preserve"> The total oxygen is calculated from the other values</w:t>
      </w:r>
      <w:r w:rsidR="006623BC">
        <w:t xml:space="preserve"> </w:t>
      </w:r>
      <w:r w:rsidR="004B6475">
        <w:fldChar w:fldCharType="begin"/>
      </w:r>
      <w:r w:rsidR="00192334">
        <w:instrText xml:space="preserve"> ADDIN ZOTERO_ITEM CSL_CITATION {"citationID":"o4L666OA","properties":{"formattedCitation":"(Osbourne, 2013)","plainCitation":"(Osbourne, 2013)","noteIndex":0},"citationItems":[{"id":442,"uris":["http://zotero.org/users/local/AB2owHL2/items/I728WGK6"],"itemData":{"id":442,"type":"book","event-place":"Cambridge","publisher":"Woodhead Publishing Limited","publisher-place":"Cambridge","title":"The Coal Handbook :Towards Cleaner Production","volume":"1 - Coal Production","author":[{"family":"Osbourne","given":"Dave"}],"issued":{"date-parts":[["2013"]]}}}],"schema":"https://github.com/citation-style-language/schema/raw/master/csl-citation.json"} </w:instrText>
      </w:r>
      <w:r w:rsidR="004B6475">
        <w:fldChar w:fldCharType="separate"/>
      </w:r>
      <w:r w:rsidR="00192334" w:rsidRPr="00192334">
        <w:rPr>
          <w:rFonts w:ascii="Calibri" w:hAnsi="Calibri" w:cs="Calibri"/>
        </w:rPr>
        <w:t>(Osbourne, 2013)</w:t>
      </w:r>
      <w:r w:rsidR="004B6475">
        <w:fldChar w:fldCharType="end"/>
      </w:r>
      <w:r w:rsidR="00824705">
        <w:t>.</w:t>
      </w:r>
      <w:r w:rsidR="00C64462">
        <w:t xml:space="preserve"> </w:t>
      </w:r>
    </w:p>
    <w:p w14:paraId="6CE9BE6E" w14:textId="77777777" w:rsidR="009B3A9B" w:rsidRDefault="00C64462" w:rsidP="00E268A3">
      <w:pPr>
        <w:spacing w:line="360" w:lineRule="auto"/>
        <w:jc w:val="both"/>
      </w:pPr>
      <w:r w:rsidRPr="00C64462">
        <w:t>Total oxygen weight % = 100 – (total carbon weight % + total hydrogen weight % + total nitrogen weight % + total sul</w:t>
      </w:r>
      <w:r w:rsidR="00C16023">
        <w:t>ph</w:t>
      </w:r>
      <w:r w:rsidRPr="00C64462">
        <w:t>ur weight % + total ash weight%)</w:t>
      </w:r>
      <w:r w:rsidR="004F738D">
        <w:t xml:space="preserve">. </w:t>
      </w:r>
    </w:p>
    <w:p w14:paraId="69D2179D" w14:textId="63597447" w:rsidR="00CE0797" w:rsidRDefault="004F738D" w:rsidP="00E268A3">
      <w:pPr>
        <w:spacing w:line="360" w:lineRule="auto"/>
        <w:jc w:val="both"/>
      </w:pPr>
      <w:r>
        <w:t xml:space="preserve">Sulphur can be determined using a </w:t>
      </w:r>
      <w:r w:rsidR="00484887">
        <w:t>combustion analyser</w:t>
      </w:r>
      <w:r w:rsidR="00756598">
        <w:t>,</w:t>
      </w:r>
      <w:r w:rsidR="00484887">
        <w:t xml:space="preserve"> </w:t>
      </w:r>
      <w:r w:rsidR="00756598">
        <w:t>a sample is</w:t>
      </w:r>
      <w:r w:rsidR="00484887" w:rsidRPr="00484887">
        <w:t xml:space="preserve"> placed in </w:t>
      </w:r>
      <w:r w:rsidR="00756598">
        <w:t>the</w:t>
      </w:r>
      <w:r w:rsidR="00484887" w:rsidRPr="00484887">
        <w:t xml:space="preserve"> sul</w:t>
      </w:r>
      <w:r w:rsidR="00756598">
        <w:t>ph</w:t>
      </w:r>
      <w:r w:rsidR="00484887" w:rsidRPr="00484887">
        <w:t>ur analy</w:t>
      </w:r>
      <w:r w:rsidR="00484887">
        <w:t>s</w:t>
      </w:r>
      <w:r w:rsidR="00484887" w:rsidRPr="00484887">
        <w:t xml:space="preserve">er. </w:t>
      </w:r>
      <w:r w:rsidR="006623BC">
        <w:t>The</w:t>
      </w:r>
      <w:r w:rsidR="00484887" w:rsidRPr="00484887">
        <w:t xml:space="preserve"> sample is combusted at a temperature of 1,370°C in an oxygen atmosphere. The oxygen reacts </w:t>
      </w:r>
      <w:r w:rsidR="00484887" w:rsidRPr="00484887">
        <w:lastRenderedPageBreak/>
        <w:t>with sul</w:t>
      </w:r>
      <w:r w:rsidR="00484887">
        <w:t>ph</w:t>
      </w:r>
      <w:r w:rsidR="00484887" w:rsidRPr="00484887">
        <w:t>ur to form sul</w:t>
      </w:r>
      <w:r w:rsidR="00484887">
        <w:t>ph</w:t>
      </w:r>
      <w:r w:rsidR="00484887" w:rsidRPr="00484887">
        <w:t xml:space="preserve">ur dioxide gas. </w:t>
      </w:r>
      <w:r w:rsidR="000003CA">
        <w:t xml:space="preserve">An infrared detector then measures the sulphur concentration </w:t>
      </w:r>
      <w:r w:rsidR="001E2C4A">
        <w:fldChar w:fldCharType="begin"/>
      </w:r>
      <w:r w:rsidR="00192334">
        <w:instrText xml:space="preserve"> ADDIN ZOTERO_ITEM CSL_CITATION {"citationID":"Qr9aYI30","properties":{"formattedCitation":"(Backus, 2015)","plainCitation":"(Backus, 2015)","noteIndex":0},"citationItems":[{"id":1945,"uris":["http://zotero.org/users/local/AB2owHL2/items/UJQKLWJT"],"itemData":{"id":1945,"type":"webpage","container-title":"Kentucky Geological Survey, University of Kentucky","genre":"University","title":"Coal Analysis","URL":"http://www.uky.edu/KGS/coal/coal-analyses-moisture.php","author":[{"family":"Backus","given":"Jason"}],"accessed":{"date-parts":[["2022",9,14]]},"issued":{"date-parts":[["2015"]]}}}],"schema":"https://github.com/citation-style-language/schema/raw/master/csl-citation.json"} </w:instrText>
      </w:r>
      <w:r w:rsidR="001E2C4A">
        <w:fldChar w:fldCharType="separate"/>
      </w:r>
      <w:r w:rsidR="00192334" w:rsidRPr="00192334">
        <w:rPr>
          <w:rFonts w:ascii="Calibri" w:hAnsi="Calibri" w:cs="Calibri"/>
        </w:rPr>
        <w:t>(Backus, 2015)</w:t>
      </w:r>
      <w:r w:rsidR="001E2C4A">
        <w:fldChar w:fldCharType="end"/>
      </w:r>
      <w:r w:rsidR="00484887" w:rsidRPr="00484887">
        <w:t>.</w:t>
      </w:r>
    </w:p>
    <w:p w14:paraId="4276D4F2" w14:textId="0B0CAEFB" w:rsidR="009D7182" w:rsidRDefault="009D7182" w:rsidP="007C0900">
      <w:pPr>
        <w:pStyle w:val="Heading3"/>
        <w:spacing w:line="360" w:lineRule="auto"/>
        <w:jc w:val="both"/>
      </w:pPr>
      <w:bookmarkStart w:id="42" w:name="_Toc128599606"/>
      <w:r>
        <w:t>Calorific value</w:t>
      </w:r>
      <w:bookmarkEnd w:id="42"/>
      <w:r w:rsidR="008A0BB8">
        <w:t xml:space="preserve"> </w:t>
      </w:r>
    </w:p>
    <w:p w14:paraId="327A88EC" w14:textId="4D6FAE3A" w:rsidR="006623BC" w:rsidRPr="006623BC" w:rsidRDefault="00370B80" w:rsidP="007C0900">
      <w:pPr>
        <w:spacing w:line="360" w:lineRule="auto"/>
        <w:jc w:val="both"/>
      </w:pPr>
      <w:r>
        <w:t xml:space="preserve">The calorific value </w:t>
      </w:r>
      <w:r w:rsidR="00562F64">
        <w:t xml:space="preserve">is a measure </w:t>
      </w:r>
      <w:r w:rsidR="00D3745F">
        <w:t xml:space="preserve">of the energy content of the coal. It </w:t>
      </w:r>
      <w:r w:rsidR="008174FD">
        <w:t>is the amount of energy produced when a known quantity</w:t>
      </w:r>
      <w:r w:rsidR="009100F1">
        <w:t xml:space="preserve"> of sample</w:t>
      </w:r>
      <w:r w:rsidR="008174FD">
        <w:t xml:space="preserve"> is </w:t>
      </w:r>
      <w:r w:rsidR="007C0900">
        <w:t>combusted in oxygen</w:t>
      </w:r>
      <w:r w:rsidR="001A5C33">
        <w:t>. The instrument used to measure this is called a bomb cal</w:t>
      </w:r>
      <w:r w:rsidR="000C4CFC">
        <w:t>o</w:t>
      </w:r>
      <w:r w:rsidR="001A5C33">
        <w:t>r</w:t>
      </w:r>
      <w:r w:rsidR="000C4CFC">
        <w:t>i</w:t>
      </w:r>
      <w:r w:rsidR="001A5C33">
        <w:t>meter</w:t>
      </w:r>
      <w:r w:rsidR="006E0BBC">
        <w:t xml:space="preserve">. </w:t>
      </w:r>
      <w:r w:rsidR="003E256E">
        <w:t>The sample is combusted in a steel container placed in water. The change in water temperature is used to determine the calorific value of the sample.</w:t>
      </w:r>
      <w:r w:rsidR="00C16023">
        <w:t xml:space="preserve"> </w:t>
      </w:r>
      <w:r w:rsidR="00E14654">
        <w:t xml:space="preserve">Calorific value is measured in </w:t>
      </w:r>
      <w:r w:rsidR="00C472B1">
        <w:t>kilojoules/</w:t>
      </w:r>
      <w:r w:rsidR="00AE6726">
        <w:t>k</w:t>
      </w:r>
      <w:r w:rsidR="00C472B1">
        <w:t>g or megajoules/</w:t>
      </w:r>
      <w:r w:rsidR="00AE6726">
        <w:t>kg</w:t>
      </w:r>
      <w:r w:rsidR="00CC4C86">
        <w:t xml:space="preserve"> </w:t>
      </w:r>
      <w:r w:rsidR="009C11C3">
        <w:fldChar w:fldCharType="begin"/>
      </w:r>
      <w:r w:rsidR="00192334">
        <w:instrText xml:space="preserve"> ADDIN ZOTERO_ITEM CSL_CITATION {"citationID":"Oderh7nD","properties":{"formattedCitation":"(Backus, 2015)","plainCitation":"(Backus, 2015)","noteIndex":0},"citationItems":[{"id":1945,"uris":["http://zotero.org/users/local/AB2owHL2/items/UJQKLWJT"],"itemData":{"id":1945,"type":"webpage","container-title":"Kentucky Geological Survey, University of Kentucky","genre":"University","title":"Coal Analysis","URL":"http://www.uky.edu/KGS/coal/coal-analyses-moisture.php","author":[{"family":"Backus","given":"Jason"}],"accessed":{"date-parts":[["2022",9,14]]},"issued":{"date-parts":[["2015"]]}}}],"schema":"https://github.com/citation-style-language/schema/raw/master/csl-citation.json"} </w:instrText>
      </w:r>
      <w:r w:rsidR="009C11C3">
        <w:fldChar w:fldCharType="separate"/>
      </w:r>
      <w:r w:rsidR="00192334" w:rsidRPr="00192334">
        <w:rPr>
          <w:rFonts w:ascii="Calibri" w:hAnsi="Calibri" w:cs="Calibri"/>
        </w:rPr>
        <w:t>(Backus, 2015)</w:t>
      </w:r>
      <w:r w:rsidR="009C11C3">
        <w:fldChar w:fldCharType="end"/>
      </w:r>
      <w:r w:rsidR="00AE6726">
        <w:t>.</w:t>
      </w:r>
    </w:p>
    <w:p w14:paraId="42272468" w14:textId="7D70D84B" w:rsidR="00224D8A" w:rsidRDefault="00C027A6" w:rsidP="008A2E3A">
      <w:pPr>
        <w:pStyle w:val="Heading3"/>
        <w:spacing w:line="360" w:lineRule="auto"/>
        <w:jc w:val="both"/>
      </w:pPr>
      <w:bookmarkStart w:id="43" w:name="_Toc128599607"/>
      <w:r>
        <w:t xml:space="preserve">Major </w:t>
      </w:r>
      <w:r w:rsidR="005F5D6C">
        <w:t>Elemental Analysis</w:t>
      </w:r>
      <w:bookmarkEnd w:id="43"/>
    </w:p>
    <w:p w14:paraId="4BF7F867" w14:textId="49F24783" w:rsidR="001D1A4B" w:rsidRDefault="00CC6CBD" w:rsidP="008A2E3A">
      <w:pPr>
        <w:spacing w:line="360" w:lineRule="auto"/>
        <w:jc w:val="both"/>
      </w:pPr>
      <w:r>
        <w:t>Coals can contain a vari</w:t>
      </w:r>
      <w:r w:rsidR="00D21B7D">
        <w:t>ety of elements,</w:t>
      </w:r>
      <w:r w:rsidR="00126F9E">
        <w:t xml:space="preserve"> major elements make up more than 1%, they</w:t>
      </w:r>
      <w:r w:rsidR="00D21B7D">
        <w:t xml:space="preserve"> are determined </w:t>
      </w:r>
      <w:r w:rsidR="0040268F">
        <w:t xml:space="preserve">by X-ray </w:t>
      </w:r>
      <w:r w:rsidR="00333015">
        <w:t>fluorescence</w:t>
      </w:r>
      <w:r w:rsidR="008A2E3A">
        <w:t xml:space="preserve"> (XRF)</w:t>
      </w:r>
      <w:r w:rsidR="00213324">
        <w:t xml:space="preserve">, the coal is </w:t>
      </w:r>
      <w:r w:rsidR="008A2E3A">
        <w:t>combusted,</w:t>
      </w:r>
      <w:r w:rsidR="00213324">
        <w:t xml:space="preserve"> and the </w:t>
      </w:r>
      <w:r w:rsidR="00221EB3">
        <w:t xml:space="preserve">remaining </w:t>
      </w:r>
      <w:r w:rsidR="00213324">
        <w:t xml:space="preserve">ash </w:t>
      </w:r>
      <w:r w:rsidR="00221EB3">
        <w:t xml:space="preserve">is fused with a flux material before </w:t>
      </w:r>
      <w:r w:rsidR="008A2E3A">
        <w:t>being analysed on the</w:t>
      </w:r>
      <w:r w:rsidR="000B2D04">
        <w:t xml:space="preserve"> XRF</w:t>
      </w:r>
      <w:r w:rsidR="00077B95">
        <w:t xml:space="preserve">. </w:t>
      </w:r>
      <w:r w:rsidR="00B92925">
        <w:t>The XRF works as follow</w:t>
      </w:r>
      <w:r w:rsidR="00532342">
        <w:t>s</w:t>
      </w:r>
      <w:r w:rsidR="00B92925">
        <w:t xml:space="preserve">: Photons from the x-ray tube </w:t>
      </w:r>
      <w:r w:rsidR="004F245C">
        <w:t xml:space="preserve">strike the sample with enough energy to expel the </w:t>
      </w:r>
      <w:r w:rsidR="002E0D91">
        <w:t xml:space="preserve">electrons out of the </w:t>
      </w:r>
      <w:r w:rsidR="00576DD3">
        <w:t>element’s</w:t>
      </w:r>
      <w:r w:rsidR="002E0D91">
        <w:t xml:space="preserve"> innermost orbital</w:t>
      </w:r>
      <w:r w:rsidR="00576DD3">
        <w:t xml:space="preserve">, the atoms become unstable. To regain stability </w:t>
      </w:r>
      <w:r w:rsidR="009A77AA">
        <w:t>electrons in</w:t>
      </w:r>
      <w:r w:rsidR="00576DD3">
        <w:t xml:space="preserve"> </w:t>
      </w:r>
      <w:r w:rsidR="009A77AA">
        <w:t xml:space="preserve">the </w:t>
      </w:r>
      <w:r w:rsidR="00576DD3">
        <w:t xml:space="preserve">outer </w:t>
      </w:r>
      <w:r w:rsidR="001B25D8">
        <w:t>orbitals,</w:t>
      </w:r>
      <w:r w:rsidR="00576DD3">
        <w:t xml:space="preserve"> </w:t>
      </w:r>
      <w:r w:rsidR="009A77AA">
        <w:t xml:space="preserve">move into the newly vacant </w:t>
      </w:r>
      <w:r w:rsidR="00A00469">
        <w:t xml:space="preserve">inner orbitals. When an electron transitions </w:t>
      </w:r>
      <w:r w:rsidR="009751D4">
        <w:t xml:space="preserve">from an outer orbital to an inner orbital it </w:t>
      </w:r>
      <w:r w:rsidR="000B26F1">
        <w:t>emits</w:t>
      </w:r>
      <w:r w:rsidR="009751D4">
        <w:t xml:space="preserve"> energy known as x-</w:t>
      </w:r>
      <w:r w:rsidR="000B26F1">
        <w:t>ray</w:t>
      </w:r>
      <w:r w:rsidR="009751D4">
        <w:t xml:space="preserve"> </w:t>
      </w:r>
      <w:r w:rsidR="000B26F1">
        <w:t>fluorescence</w:t>
      </w:r>
      <w:r w:rsidR="00697E9D">
        <w:t xml:space="preserve">, each element has a </w:t>
      </w:r>
      <w:r w:rsidR="005558B0">
        <w:t>specific energy signature</w:t>
      </w:r>
      <w:r w:rsidR="00984468">
        <w:t xml:space="preserve"> which is picked up by the detector</w:t>
      </w:r>
      <w:r w:rsidR="005558B0">
        <w:t>,</w:t>
      </w:r>
      <w:r w:rsidR="000B26F1">
        <w:t xml:space="preserve"> see figure</w:t>
      </w:r>
      <w:r w:rsidR="00F15821">
        <w:t xml:space="preserve"> 20</w:t>
      </w:r>
      <w:r w:rsidR="000B26F1">
        <w:t xml:space="preserve"> below</w:t>
      </w:r>
      <w:r w:rsidR="00CA64F0">
        <w:t xml:space="preserve"> </w:t>
      </w:r>
      <w:r w:rsidR="00CA64F0">
        <w:fldChar w:fldCharType="begin"/>
      </w:r>
      <w:r w:rsidR="00192334">
        <w:instrText xml:space="preserve"> ADDIN ZOTERO_ITEM CSL_CITATION {"citationID":"7583DD4T","properties":{"formattedCitation":"(Blondel, 2020)","plainCitation":"(Blondel, 2020)","noteIndex":0},"citationItems":[{"id":1956,"uris":["http://zotero.org/users/local/AB2owHL2/items/TINTIWFS"],"itemData":{"id":1956,"type":"webpage","abstract":"Handheld analyzers like our popular Vanta™ series use energy dispersive X-ray fluorescence to determine a material’s elemental composition in seconds. Learn all about the science behind XRF and how it works in handheld analyzers.","language":"en-US","title":"Understanding X-Ray Fluorescence: How Does XRF Work?","title-short":"Understanding X-Ray Fluorescence","URL":"https://www.olympus-ims.com/en/insight/understanding-x-ray-fluorescence-how-does-xrf-work/","author":[{"family":"Blondel","given":"Damien"}],"accessed":{"date-parts":[["2022",9,20]]},"issued":{"date-parts":[["2020"]]}}}],"schema":"https://github.com/citation-style-language/schema/raw/master/csl-citation.json"} </w:instrText>
      </w:r>
      <w:r w:rsidR="00CA64F0">
        <w:fldChar w:fldCharType="separate"/>
      </w:r>
      <w:r w:rsidR="00192334" w:rsidRPr="00192334">
        <w:rPr>
          <w:rFonts w:ascii="Calibri" w:hAnsi="Calibri" w:cs="Calibri"/>
        </w:rPr>
        <w:t>(Blondel, 2020)</w:t>
      </w:r>
      <w:r w:rsidR="00CA64F0">
        <w:fldChar w:fldCharType="end"/>
      </w:r>
      <w:r w:rsidR="000B26F1">
        <w:t>.</w:t>
      </w:r>
    </w:p>
    <w:p w14:paraId="0526FA01" w14:textId="03ED9CE0" w:rsidR="00097B87" w:rsidRPr="001D1A4B" w:rsidRDefault="00097B87" w:rsidP="008A2E3A">
      <w:pPr>
        <w:spacing w:line="360" w:lineRule="auto"/>
        <w:jc w:val="both"/>
      </w:pPr>
      <w:r w:rsidRPr="00097B87">
        <w:rPr>
          <w:noProof/>
        </w:rPr>
        <w:drawing>
          <wp:inline distT="0" distB="0" distL="0" distR="0" wp14:anchorId="4DA7F20D" wp14:editId="2FDED63B">
            <wp:extent cx="4976901" cy="2611526"/>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49"/>
                    <a:stretch>
                      <a:fillRect/>
                    </a:stretch>
                  </pic:blipFill>
                  <pic:spPr>
                    <a:xfrm>
                      <a:off x="0" y="0"/>
                      <a:ext cx="5076316" cy="2663692"/>
                    </a:xfrm>
                    <a:prstGeom prst="rect">
                      <a:avLst/>
                    </a:prstGeom>
                  </pic:spPr>
                </pic:pic>
              </a:graphicData>
            </a:graphic>
          </wp:inline>
        </w:drawing>
      </w:r>
    </w:p>
    <w:p w14:paraId="2B2D0670" w14:textId="06F4C4C5" w:rsidR="00097B87" w:rsidRDefault="00097B87" w:rsidP="00097B87">
      <w:pPr>
        <w:pStyle w:val="Caption"/>
      </w:pPr>
      <w:bookmarkStart w:id="44" w:name="_Toc127110914"/>
      <w:r>
        <w:t xml:space="preserve">Figure </w:t>
      </w:r>
      <w:fldSimple w:instr=" SEQ Figure \* ARABIC ">
        <w:r w:rsidR="00A0212F">
          <w:rPr>
            <w:noProof/>
          </w:rPr>
          <w:t>20</w:t>
        </w:r>
      </w:fldSimple>
      <w:r>
        <w:t xml:space="preserve"> Illustrating x-ray </w:t>
      </w:r>
      <w:r w:rsidR="00C17A81">
        <w:t xml:space="preserve">fluorescence </w:t>
      </w:r>
      <w:r w:rsidR="00C17A81">
        <w:fldChar w:fldCharType="begin"/>
      </w:r>
      <w:r w:rsidR="00192334">
        <w:instrText xml:space="preserve"> ADDIN ZOTERO_ITEM CSL_CITATION {"citationID":"0AXRSDEr","properties":{"formattedCitation":"(Blondel, 2020)","plainCitation":"(Blondel, 2020)","noteIndex":0},"citationItems":[{"id":1956,"uris":["http://zotero.org/users/local/AB2owHL2/items/TINTIWFS"],"itemData":{"id":1956,"type":"webpage","abstract":"Handheld analyzers like our popular Vanta™ series use energy dispersive X-ray fluorescence to determine a material’s elemental composition in seconds. Learn all about the science behind XRF and how it works in handheld analyzers.","language":"en-US","title":"Understanding X-Ray Fluorescence: How Does XRF Work?","title-short":"Understanding X-Ray Fluorescence","URL":"https://www.olympus-ims.com/en/insight/understanding-x-ray-fluorescence-how-does-xrf-work/","author":[{"family":"Blondel","given":"Damien"}],"accessed":{"date-parts":[["2022",9,20]]},"issued":{"date-parts":[["2020"]]}}}],"schema":"https://github.com/citation-style-language/schema/raw/master/csl-citation.json"} </w:instrText>
      </w:r>
      <w:r w:rsidR="00C17A81">
        <w:fldChar w:fldCharType="separate"/>
      </w:r>
      <w:bookmarkEnd w:id="44"/>
      <w:r w:rsidR="00192334" w:rsidRPr="00192334">
        <w:rPr>
          <w:rFonts w:ascii="Calibri" w:hAnsi="Calibri" w:cs="Calibri"/>
        </w:rPr>
        <w:t>(Blondel, 2020)</w:t>
      </w:r>
      <w:r w:rsidR="00C17A81">
        <w:fldChar w:fldCharType="end"/>
      </w:r>
    </w:p>
    <w:p w14:paraId="4CA5E331" w14:textId="57B3DBE1" w:rsidR="00483B39" w:rsidRPr="00483B39" w:rsidRDefault="00DF6D71" w:rsidP="009662DE">
      <w:pPr>
        <w:spacing w:line="360" w:lineRule="auto"/>
        <w:jc w:val="both"/>
      </w:pPr>
      <w:r>
        <w:t>Results are presented on an oxides basis</w:t>
      </w:r>
      <w:r w:rsidR="0060465D">
        <w:t>, such as SiO</w:t>
      </w:r>
      <w:r w:rsidR="0060465D" w:rsidRPr="0060465D">
        <w:rPr>
          <w:vertAlign w:val="subscript"/>
        </w:rPr>
        <w:t>2</w:t>
      </w:r>
      <w:r w:rsidR="0060465D">
        <w:t>, Al</w:t>
      </w:r>
      <w:r w:rsidR="0060465D" w:rsidRPr="007654D0">
        <w:rPr>
          <w:vertAlign w:val="subscript"/>
        </w:rPr>
        <w:t>2</w:t>
      </w:r>
      <w:r w:rsidR="0060465D">
        <w:t>O</w:t>
      </w:r>
      <w:r w:rsidR="0060465D" w:rsidRPr="007654D0">
        <w:rPr>
          <w:vertAlign w:val="subscript"/>
        </w:rPr>
        <w:t>3</w:t>
      </w:r>
      <w:r w:rsidR="0060465D">
        <w:t>, Fe</w:t>
      </w:r>
      <w:r w:rsidR="0060465D" w:rsidRPr="007654D0">
        <w:rPr>
          <w:vertAlign w:val="subscript"/>
        </w:rPr>
        <w:t>2</w:t>
      </w:r>
      <w:r w:rsidR="0060465D">
        <w:t>O</w:t>
      </w:r>
      <w:r w:rsidR="0060465D" w:rsidRPr="007654D0">
        <w:rPr>
          <w:vertAlign w:val="subscript"/>
        </w:rPr>
        <w:t>3</w:t>
      </w:r>
      <w:r w:rsidR="0060465D">
        <w:t xml:space="preserve">, </w:t>
      </w:r>
      <w:proofErr w:type="spellStart"/>
      <w:r w:rsidR="0060465D">
        <w:t>CaO</w:t>
      </w:r>
      <w:proofErr w:type="spellEnd"/>
      <w:r w:rsidR="0060465D">
        <w:t>, MgO, Na</w:t>
      </w:r>
      <w:r w:rsidR="0060465D" w:rsidRPr="007654D0">
        <w:rPr>
          <w:vertAlign w:val="subscript"/>
        </w:rPr>
        <w:t>2</w:t>
      </w:r>
      <w:r w:rsidR="0060465D">
        <w:t>O, K</w:t>
      </w:r>
      <w:r w:rsidR="0060465D" w:rsidRPr="007654D0">
        <w:rPr>
          <w:vertAlign w:val="subscript"/>
        </w:rPr>
        <w:t>2</w:t>
      </w:r>
      <w:r w:rsidR="0060465D">
        <w:t>O, TiO</w:t>
      </w:r>
      <w:r w:rsidR="0060465D" w:rsidRPr="007654D0">
        <w:rPr>
          <w:vertAlign w:val="subscript"/>
        </w:rPr>
        <w:t>2</w:t>
      </w:r>
      <w:r w:rsidR="0060465D">
        <w:t>,</w:t>
      </w:r>
      <w:r w:rsidR="009662DE">
        <w:t xml:space="preserve"> </w:t>
      </w:r>
      <w:r w:rsidR="0060465D">
        <w:t>Mn</w:t>
      </w:r>
      <w:r w:rsidR="0060465D" w:rsidRPr="007654D0">
        <w:rPr>
          <w:vertAlign w:val="subscript"/>
        </w:rPr>
        <w:t>3</w:t>
      </w:r>
      <w:r w:rsidR="0060465D">
        <w:t>O</w:t>
      </w:r>
      <w:r w:rsidR="0060465D" w:rsidRPr="007654D0">
        <w:rPr>
          <w:vertAlign w:val="subscript"/>
        </w:rPr>
        <w:t>4</w:t>
      </w:r>
      <w:r w:rsidR="0060465D">
        <w:t>, SO</w:t>
      </w:r>
      <w:r w:rsidR="0060465D" w:rsidRPr="007654D0">
        <w:rPr>
          <w:vertAlign w:val="subscript"/>
        </w:rPr>
        <w:t>3</w:t>
      </w:r>
      <w:r w:rsidR="0060465D">
        <w:t>, P</w:t>
      </w:r>
      <w:r w:rsidR="0060465D" w:rsidRPr="007654D0">
        <w:rPr>
          <w:vertAlign w:val="subscript"/>
        </w:rPr>
        <w:t>2</w:t>
      </w:r>
      <w:r w:rsidR="0060465D">
        <w:t>O</w:t>
      </w:r>
      <w:r w:rsidR="0060465D" w:rsidRPr="007654D0">
        <w:rPr>
          <w:vertAlign w:val="subscript"/>
        </w:rPr>
        <w:t>5</w:t>
      </w:r>
      <w:r w:rsidR="007654D0" w:rsidRPr="00856990">
        <w:t>.</w:t>
      </w:r>
    </w:p>
    <w:p w14:paraId="3C5AA80A" w14:textId="615E4B4E" w:rsidR="00B9022B" w:rsidRDefault="002C393E" w:rsidP="00F104D1">
      <w:pPr>
        <w:pStyle w:val="Heading3"/>
        <w:spacing w:line="360" w:lineRule="auto"/>
        <w:jc w:val="both"/>
      </w:pPr>
      <w:bookmarkStart w:id="45" w:name="_Toc128599608"/>
      <w:r>
        <w:lastRenderedPageBreak/>
        <w:t>Minor</w:t>
      </w:r>
      <w:r w:rsidR="00C027A6">
        <w:t xml:space="preserve"> </w:t>
      </w:r>
      <w:r w:rsidR="00627C40">
        <w:t>elemental analysis</w:t>
      </w:r>
      <w:bookmarkEnd w:id="45"/>
    </w:p>
    <w:p w14:paraId="5ADC38CE" w14:textId="5B6FBA2A" w:rsidR="00A74466" w:rsidRDefault="002C393E" w:rsidP="00F104D1">
      <w:pPr>
        <w:spacing w:line="360" w:lineRule="auto"/>
        <w:jc w:val="both"/>
      </w:pPr>
      <w:r>
        <w:t>Minor</w:t>
      </w:r>
      <w:r w:rsidR="00A05769">
        <w:t xml:space="preserve"> elements make up less than 1%</w:t>
      </w:r>
      <w:r w:rsidR="008D09CA">
        <w:t xml:space="preserve"> of the sample </w:t>
      </w:r>
      <w:r w:rsidR="00BD5A32">
        <w:t>by weight</w:t>
      </w:r>
      <w:r w:rsidR="008D09CA">
        <w:t xml:space="preserve">. They are determined by </w:t>
      </w:r>
      <w:r w:rsidR="00C06A29">
        <w:t xml:space="preserve">using </w:t>
      </w:r>
      <w:r w:rsidR="00937D26">
        <w:t>an</w:t>
      </w:r>
      <w:r w:rsidR="00C06A29">
        <w:t xml:space="preserve"> inductively coupled plasma</w:t>
      </w:r>
      <w:r w:rsidR="00913250">
        <w:t xml:space="preserve"> optical emission spectrometer (ICP-OES).</w:t>
      </w:r>
      <w:r w:rsidR="00A5145C">
        <w:t xml:space="preserve"> </w:t>
      </w:r>
      <w:r w:rsidR="00DB2EB5">
        <w:t>A plasma is formed by</w:t>
      </w:r>
      <w:r w:rsidR="00721D6E">
        <w:t xml:space="preserve"> </w:t>
      </w:r>
      <w:r w:rsidR="003E5FDE">
        <w:t xml:space="preserve">applying a high frequency electric current </w:t>
      </w:r>
      <w:r w:rsidR="00893BDE">
        <w:t xml:space="preserve">to argon gas. The electromagnetic field created by the current ionises </w:t>
      </w:r>
      <w:r w:rsidR="00532C54">
        <w:t xml:space="preserve">the argon gas and a plasma is created. </w:t>
      </w:r>
      <w:r w:rsidR="00545C63">
        <w:t xml:space="preserve">The analyte </w:t>
      </w:r>
      <w:r w:rsidR="00575D8E">
        <w:t xml:space="preserve">in the form of atoms is introduced to the plasma </w:t>
      </w:r>
      <w:r w:rsidR="00C51BD6">
        <w:t xml:space="preserve">which then becomes ionised. When an atom or ion is </w:t>
      </w:r>
      <w:r w:rsidR="006A5410">
        <w:t>excited within the plasma, its electrons move from a lower energy level to a higher energy level</w:t>
      </w:r>
      <w:r w:rsidR="00D305FB">
        <w:t xml:space="preserve"> (see figure</w:t>
      </w:r>
      <w:r w:rsidR="001767F7">
        <w:t xml:space="preserve"> 2</w:t>
      </w:r>
      <w:r w:rsidR="00F15821">
        <w:t>1</w:t>
      </w:r>
      <w:r w:rsidR="00D305FB">
        <w:t xml:space="preserve">). When the </w:t>
      </w:r>
      <w:r w:rsidR="00C55896">
        <w:t>electrons then return to their initial state, energy is emitted in the form of photons</w:t>
      </w:r>
      <w:r w:rsidR="00F03522">
        <w:t xml:space="preserve"> which a picked up by a detector</w:t>
      </w:r>
      <w:r w:rsidR="002F613C">
        <w:t xml:space="preserve">. These photons possess wavelengths that are </w:t>
      </w:r>
      <w:r w:rsidR="005C631F">
        <w:t>unique</w:t>
      </w:r>
      <w:r w:rsidR="002F613C">
        <w:t xml:space="preserve"> </w:t>
      </w:r>
      <w:r w:rsidR="005C631F">
        <w:t>to</w:t>
      </w:r>
      <w:r w:rsidR="002F613C">
        <w:t xml:space="preserve"> their respective elements</w:t>
      </w:r>
      <w:r w:rsidR="00A950D6">
        <w:t xml:space="preserve"> </w:t>
      </w:r>
      <w:r w:rsidR="00A950D6">
        <w:fldChar w:fldCharType="begin"/>
      </w:r>
      <w:r w:rsidR="00192334">
        <w:instrText xml:space="preserve"> ADDIN ZOTERO_ITEM CSL_CITATION {"citationID":"hFCXQyMa","properties":{"formattedCitation":"(Thermo Fisher Scientific, 2022)","plainCitation":"(Thermo Fisher Scientific, 2022)","noteIndex":0},"citationItems":[{"id":1958,"uris":["http://zotero.org/users/local/AB2owHL2/items/ABNWMQHC"],"itemData":{"id":1958,"type":"webpage","abstract":"Learn how inductively coupled plasma optical emission spectroscopy (ICP-OES) extracts data from a variety of sample types in the environmental, metallurgical, geological, petrochemical, pharmaceutical, materials, and food safety arenas via their light emission spectra.","container-title":"Thermo Fisher Scientific","language":"en","title":"Inductively Coupled Plasma Optical Emission Spectroscopy (ICP-OES) Information - UK","URL":"https://www.thermofisher.com/uk/en/home/industrial/spectroscopy-elemental-isotope-analysis/spectroscopy-elemental-isotope-analysis-learning-center/trace-elemental-analysis-tea-information/icp-oes-information.html","author":[{"family":"Thermo Fisher Scientific","given":""}],"accessed":{"date-parts":[["2022",9,23]]},"issued":{"date-parts":[["2022"]]}}}],"schema":"https://github.com/citation-style-language/schema/raw/master/csl-citation.json"} </w:instrText>
      </w:r>
      <w:r w:rsidR="00A950D6">
        <w:fldChar w:fldCharType="separate"/>
      </w:r>
      <w:r w:rsidR="00192334" w:rsidRPr="00192334">
        <w:rPr>
          <w:rFonts w:ascii="Calibri" w:hAnsi="Calibri" w:cs="Calibri"/>
        </w:rPr>
        <w:t>(Thermo Fisher Scientific, 2022)</w:t>
      </w:r>
      <w:r w:rsidR="00A950D6">
        <w:fldChar w:fldCharType="end"/>
      </w:r>
      <w:r w:rsidR="002F613C">
        <w:t xml:space="preserve">. </w:t>
      </w:r>
    </w:p>
    <w:p w14:paraId="56862F60" w14:textId="6B1F3543" w:rsidR="005C631F" w:rsidRDefault="009F6D49" w:rsidP="00913250">
      <w:pPr>
        <w:spacing w:line="360" w:lineRule="auto"/>
        <w:jc w:val="both"/>
      </w:pPr>
      <w:r w:rsidRPr="009F6D49">
        <w:rPr>
          <w:noProof/>
        </w:rPr>
        <w:drawing>
          <wp:inline distT="0" distB="0" distL="0" distR="0" wp14:anchorId="274B2D93" wp14:editId="1346FCBD">
            <wp:extent cx="4076643" cy="2143353"/>
            <wp:effectExtent l="0" t="0" r="635" b="0"/>
            <wp:docPr id="28" name="Picture 2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schematic&#10;&#10;Description automatically generated"/>
                    <pic:cNvPicPr/>
                  </pic:nvPicPr>
                  <pic:blipFill>
                    <a:blip r:embed="rId50"/>
                    <a:stretch>
                      <a:fillRect/>
                    </a:stretch>
                  </pic:blipFill>
                  <pic:spPr>
                    <a:xfrm>
                      <a:off x="0" y="0"/>
                      <a:ext cx="4131937" cy="2172425"/>
                    </a:xfrm>
                    <a:prstGeom prst="rect">
                      <a:avLst/>
                    </a:prstGeom>
                  </pic:spPr>
                </pic:pic>
              </a:graphicData>
            </a:graphic>
          </wp:inline>
        </w:drawing>
      </w:r>
    </w:p>
    <w:p w14:paraId="290D019A" w14:textId="512DFF5A" w:rsidR="009F6D49" w:rsidRPr="00A74466" w:rsidRDefault="009F6D49" w:rsidP="009F6D49">
      <w:pPr>
        <w:pStyle w:val="Caption"/>
      </w:pPr>
      <w:bookmarkStart w:id="46" w:name="_Toc127110915"/>
      <w:r>
        <w:t xml:space="preserve">Figure </w:t>
      </w:r>
      <w:fldSimple w:instr=" SEQ Figure \* ARABIC ">
        <w:r w:rsidR="00A0212F">
          <w:rPr>
            <w:noProof/>
          </w:rPr>
          <w:t>21</w:t>
        </w:r>
      </w:fldSimple>
      <w:r w:rsidR="001767F7">
        <w:t xml:space="preserve"> </w:t>
      </w:r>
      <w:r>
        <w:t>Excitation of an atom by a plasma</w:t>
      </w:r>
      <w:r w:rsidR="001767F7">
        <w:t xml:space="preserve"> </w:t>
      </w:r>
      <w:r w:rsidR="00B96D46">
        <w:fldChar w:fldCharType="begin"/>
      </w:r>
      <w:r w:rsidR="00192334">
        <w:instrText xml:space="preserve"> ADDIN ZOTERO_ITEM CSL_CITATION {"citationID":"MmBwKMbj","properties":{"formattedCitation":"(Thermo Fisher Scientific, 2022)","plainCitation":"(Thermo Fisher Scientific, 2022)","noteIndex":0},"citationItems":[{"id":1958,"uris":["http://zotero.org/users/local/AB2owHL2/items/ABNWMQHC"],"itemData":{"id":1958,"type":"webpage","abstract":"Learn how inductively coupled plasma optical emission spectroscopy (ICP-OES) extracts data from a variety of sample types in the environmental, metallurgical, geological, petrochemical, pharmaceutical, materials, and food safety arenas via their light emission spectra.","container-title":"Thermo Fisher Scientific","language":"en","title":"Inductively Coupled Plasma Optical Emission Spectroscopy (ICP-OES) Information - UK","URL":"https://www.thermofisher.com/uk/en/home/industrial/spectroscopy-elemental-isotope-analysis/spectroscopy-elemental-isotope-analysis-learning-center/trace-elemental-analysis-tea-information/icp-oes-information.html","author":[{"family":"Thermo Fisher Scientific","given":""}],"accessed":{"date-parts":[["2022",9,23]]},"issued":{"date-parts":[["2022"]]}}}],"schema":"https://github.com/citation-style-language/schema/raw/master/csl-citation.json"} </w:instrText>
      </w:r>
      <w:r w:rsidR="00B96D46">
        <w:fldChar w:fldCharType="separate"/>
      </w:r>
      <w:bookmarkEnd w:id="46"/>
      <w:r w:rsidR="00192334" w:rsidRPr="00192334">
        <w:rPr>
          <w:rFonts w:ascii="Calibri" w:hAnsi="Calibri" w:cs="Calibri"/>
        </w:rPr>
        <w:t>(Thermo Fisher Scientific, 2022)</w:t>
      </w:r>
      <w:r w:rsidR="00B96D46">
        <w:fldChar w:fldCharType="end"/>
      </w:r>
    </w:p>
    <w:p w14:paraId="4E85CA6C" w14:textId="7C16AF7E" w:rsidR="002550B9" w:rsidRDefault="002550B9" w:rsidP="00FA48D3">
      <w:pPr>
        <w:pStyle w:val="Heading3"/>
        <w:spacing w:line="360" w:lineRule="auto"/>
        <w:jc w:val="both"/>
      </w:pPr>
      <w:bookmarkStart w:id="47" w:name="_Toc128599609"/>
      <w:r>
        <w:t>Particle size distribution</w:t>
      </w:r>
      <w:bookmarkEnd w:id="47"/>
    </w:p>
    <w:p w14:paraId="2FB7BE80" w14:textId="268331C8" w:rsidR="00FA48D3" w:rsidRDefault="009376C1" w:rsidP="00FA48D3">
      <w:pPr>
        <w:spacing w:line="360" w:lineRule="auto"/>
        <w:jc w:val="both"/>
      </w:pPr>
      <w:r>
        <w:t>The particle size distribution</w:t>
      </w:r>
      <w:r w:rsidR="002F73BE">
        <w:t xml:space="preserve"> (PSD)</w:t>
      </w:r>
      <w:r>
        <w:t xml:space="preserve"> of a material </w:t>
      </w:r>
      <w:r w:rsidR="00BA08AD">
        <w:t xml:space="preserve">can be of critical importance </w:t>
      </w:r>
      <w:r w:rsidR="00F97945">
        <w:t xml:space="preserve">to the performance of the material in </w:t>
      </w:r>
      <w:r w:rsidR="00C30D8F">
        <w:t xml:space="preserve">its use. </w:t>
      </w:r>
      <w:r w:rsidR="009C2ED6">
        <w:t xml:space="preserve">A </w:t>
      </w:r>
      <w:r w:rsidR="002F73BE">
        <w:t>PSD</w:t>
      </w:r>
      <w:r w:rsidR="0052761D">
        <w:t xml:space="preserve"> indicates the percentages of particles of</w:t>
      </w:r>
      <w:r w:rsidR="00414580">
        <w:t xml:space="preserve"> </w:t>
      </w:r>
      <w:r w:rsidR="0052761D">
        <w:t>certain size fractio</w:t>
      </w:r>
      <w:r w:rsidR="005031CC">
        <w:t>n</w:t>
      </w:r>
      <w:r w:rsidR="00414580">
        <w:t xml:space="preserve">s </w:t>
      </w:r>
      <w:r w:rsidR="001239C9">
        <w:t xml:space="preserve">of a granular material. It is determined by allowing </w:t>
      </w:r>
      <w:r w:rsidR="00DE3B3F">
        <w:t>a representative sample o</w:t>
      </w:r>
      <w:r w:rsidR="009A05C6">
        <w:t>f the material to pass through</w:t>
      </w:r>
      <w:r w:rsidR="005A1444">
        <w:t xml:space="preserve"> a series of sieves</w:t>
      </w:r>
      <w:r w:rsidR="003977E2">
        <w:t xml:space="preserve"> (typically woven wire or </w:t>
      </w:r>
      <w:r w:rsidR="000E1E67">
        <w:t>punched plate for larger particle sizes)</w:t>
      </w:r>
      <w:r w:rsidR="00D7627C">
        <w:t xml:space="preserve"> of de</w:t>
      </w:r>
      <w:r w:rsidR="004952AC">
        <w:t xml:space="preserve">creasing </w:t>
      </w:r>
      <w:r w:rsidR="00CA058D">
        <w:t xml:space="preserve">opening </w:t>
      </w:r>
      <w:r w:rsidR="004952AC">
        <w:t>size</w:t>
      </w:r>
      <w:r w:rsidR="00EC4FF6">
        <w:t xml:space="preserve"> (see figure 2</w:t>
      </w:r>
      <w:r w:rsidR="00F15821">
        <w:t>2</w:t>
      </w:r>
      <w:r w:rsidR="00EC4FF6">
        <w:t>)</w:t>
      </w:r>
      <w:r w:rsidR="00CA058D">
        <w:t>.</w:t>
      </w:r>
      <w:r w:rsidR="004510DA">
        <w:t xml:space="preserve"> The </w:t>
      </w:r>
      <w:r w:rsidR="00A4711F">
        <w:t xml:space="preserve">sieves are placed on a mechanical </w:t>
      </w:r>
      <w:r w:rsidR="00ED6768">
        <w:t>shaker</w:t>
      </w:r>
      <w:r w:rsidR="00A4711F">
        <w:t xml:space="preserve"> which shakes them for a set </w:t>
      </w:r>
      <w:r w:rsidR="00ED6768">
        <w:t xml:space="preserve">period to allow </w:t>
      </w:r>
      <w:r w:rsidR="009E03E9">
        <w:t xml:space="preserve">the material to fall through the </w:t>
      </w:r>
      <w:r w:rsidR="005460A6">
        <w:t xml:space="preserve">sieve </w:t>
      </w:r>
      <w:r w:rsidR="009E03E9">
        <w:t>openings</w:t>
      </w:r>
      <w:r w:rsidR="005460A6">
        <w:t>.</w:t>
      </w:r>
      <w:r w:rsidR="00F72682">
        <w:t xml:space="preserve"> </w:t>
      </w:r>
      <w:r w:rsidR="002F73BE">
        <w:t xml:space="preserve"> PSD results are reported as the </w:t>
      </w:r>
      <w:r w:rsidR="001338CA">
        <w:t>weight percent retained on each sieve as well as the cumulative weight percent less than the sieve size.</w:t>
      </w:r>
    </w:p>
    <w:p w14:paraId="65CBF6D7" w14:textId="7990ED6F" w:rsidR="001D3235" w:rsidRPr="00FA48D3" w:rsidRDefault="001D3235" w:rsidP="00FA48D3">
      <w:pPr>
        <w:spacing w:line="360" w:lineRule="auto"/>
        <w:jc w:val="both"/>
      </w:pPr>
      <w:r w:rsidRPr="001D3235">
        <w:rPr>
          <w:noProof/>
        </w:rPr>
        <w:lastRenderedPageBreak/>
        <w:drawing>
          <wp:inline distT="0" distB="0" distL="0" distR="0" wp14:anchorId="47F1BD53" wp14:editId="5B5559BD">
            <wp:extent cx="5247861" cy="3378835"/>
            <wp:effectExtent l="0" t="0" r="0" b="0"/>
            <wp:docPr id="29" name="Picture 2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chart&#10;&#10;Description automatically generated"/>
                    <pic:cNvPicPr/>
                  </pic:nvPicPr>
                  <pic:blipFill>
                    <a:blip r:embed="rId51"/>
                    <a:stretch>
                      <a:fillRect/>
                    </a:stretch>
                  </pic:blipFill>
                  <pic:spPr>
                    <a:xfrm>
                      <a:off x="0" y="0"/>
                      <a:ext cx="5260824" cy="3387181"/>
                    </a:xfrm>
                    <a:prstGeom prst="rect">
                      <a:avLst/>
                    </a:prstGeom>
                  </pic:spPr>
                </pic:pic>
              </a:graphicData>
            </a:graphic>
          </wp:inline>
        </w:drawing>
      </w:r>
    </w:p>
    <w:p w14:paraId="2F334502" w14:textId="440EA68B" w:rsidR="00A74466" w:rsidRPr="00A74466" w:rsidRDefault="00655BAC" w:rsidP="00655BAC">
      <w:pPr>
        <w:pStyle w:val="Caption"/>
      </w:pPr>
      <w:bookmarkStart w:id="48" w:name="_Toc127110916"/>
      <w:r>
        <w:t xml:space="preserve">Figure </w:t>
      </w:r>
      <w:fldSimple w:instr=" SEQ Figure \* ARABIC ">
        <w:r w:rsidR="00A0212F">
          <w:rPr>
            <w:noProof/>
          </w:rPr>
          <w:t>22</w:t>
        </w:r>
      </w:fldSimple>
      <w:r>
        <w:t xml:space="preserve"> Particle size distribution by sieves </w:t>
      </w:r>
      <w:r>
        <w:fldChar w:fldCharType="begin"/>
      </w:r>
      <w:r w:rsidR="00192334">
        <w:instrText xml:space="preserve"> ADDIN ZOTERO_ITEM CSL_CITATION {"citationID":"nKxi6Aod","properties":{"formattedCitation":"(Particle Technology Labs, 2022)","plainCitation":"(Particle Technology Labs, 2022)","noteIndex":0},"citationItems":[{"id":1960,"uris":["http://zotero.org/users/local/AB2owHL2/items/WQ3ZT5I6"],"itemData":{"id":1960,"type":"webpage","abstract":"A sieve analysis consists of using a single or set of screens (typically woven wire mesh), decreasing in opening size, to separate or classify a sample. Sieve results are reported as the differential weight percent retained on each sieve as well as the Si","container-title":"Particle Technology Labs","language":"en-gb","title":"Sieve Analysis","URL":"https://www.particletechlabs.com/analytical-testing/particle-size-distribution-analyses/sieve-analysis","author":[{"family":"Particle Technology Labs","given":""}],"accessed":{"date-parts":[["2022",9,25]]},"issued":{"date-parts":[["2022"]]}}}],"schema":"https://github.com/citation-style-language/schema/raw/master/csl-citation.json"} </w:instrText>
      </w:r>
      <w:r>
        <w:fldChar w:fldCharType="separate"/>
      </w:r>
      <w:bookmarkEnd w:id="48"/>
      <w:r w:rsidR="00192334" w:rsidRPr="00192334">
        <w:rPr>
          <w:rFonts w:ascii="Calibri" w:hAnsi="Calibri" w:cs="Calibri"/>
        </w:rPr>
        <w:t>(Particle Technology Labs, 2022)</w:t>
      </w:r>
      <w:r>
        <w:fldChar w:fldCharType="end"/>
      </w:r>
    </w:p>
    <w:p w14:paraId="36DB0845" w14:textId="77777777" w:rsidR="00422F67" w:rsidRDefault="00422F67" w:rsidP="00B9022B">
      <w:pPr>
        <w:pStyle w:val="Heading2"/>
        <w:spacing w:line="360" w:lineRule="auto"/>
        <w:jc w:val="both"/>
      </w:pPr>
      <w:bookmarkStart w:id="49" w:name="_Toc128599610"/>
      <w:r>
        <w:t>Assessing biochar substitution in pulverised coal injection (PCI)</w:t>
      </w:r>
      <w:bookmarkEnd w:id="49"/>
    </w:p>
    <w:p w14:paraId="0BD90CEC" w14:textId="7259F770" w:rsidR="00422F67" w:rsidRDefault="00422F67" w:rsidP="00B9022B">
      <w:pPr>
        <w:pStyle w:val="Heading3"/>
        <w:spacing w:line="360" w:lineRule="auto"/>
        <w:jc w:val="both"/>
      </w:pPr>
      <w:bookmarkStart w:id="50" w:name="_Toc128599611"/>
      <w:r>
        <w:t xml:space="preserve">Drop tube </w:t>
      </w:r>
      <w:r w:rsidR="0069618B">
        <w:t>furnace.</w:t>
      </w:r>
      <w:bookmarkEnd w:id="50"/>
    </w:p>
    <w:p w14:paraId="7C5A2F34" w14:textId="2B6BDA99" w:rsidR="005926E3" w:rsidRDefault="00D762DF" w:rsidP="000079F1">
      <w:pPr>
        <w:spacing w:line="360" w:lineRule="auto"/>
        <w:jc w:val="both"/>
      </w:pPr>
      <w:r>
        <w:t>A drop tube furnace</w:t>
      </w:r>
      <w:r w:rsidR="005926E3">
        <w:t xml:space="preserve"> (DTF)</w:t>
      </w:r>
      <w:r>
        <w:t xml:space="preserve"> is designed to study </w:t>
      </w:r>
      <w:r w:rsidR="000079F1">
        <w:t>the</w:t>
      </w:r>
      <w:r w:rsidR="00DC5000">
        <w:t xml:space="preserve"> high temperature combustion and </w:t>
      </w:r>
      <w:proofErr w:type="spellStart"/>
      <w:r w:rsidR="00DC5000">
        <w:t>devolatil</w:t>
      </w:r>
      <w:r w:rsidR="0058196D">
        <w:t>asation</w:t>
      </w:r>
      <w:proofErr w:type="spellEnd"/>
      <w:r w:rsidR="0058196D">
        <w:t xml:space="preserve"> of materials such as pulverised coal.</w:t>
      </w:r>
      <w:r w:rsidR="00973441">
        <w:t xml:space="preserve"> The </w:t>
      </w:r>
      <w:r w:rsidR="005926E3">
        <w:t>DTF</w:t>
      </w:r>
      <w:r w:rsidR="00973441">
        <w:t xml:space="preserve"> is designed to achieve rapid particle heating rates </w:t>
      </w:r>
      <w:r w:rsidR="00761FE4">
        <w:t>(up to 14</w:t>
      </w:r>
      <w:r w:rsidR="00E30262">
        <w:t>5</w:t>
      </w:r>
      <w:r w:rsidR="00761FE4">
        <w:t>0</w:t>
      </w:r>
      <w:r w:rsidR="00761FE4" w:rsidRPr="00761FE4">
        <w:rPr>
          <w:vertAlign w:val="superscript"/>
        </w:rPr>
        <w:t>0</w:t>
      </w:r>
      <w:r w:rsidR="00761FE4">
        <w:t xml:space="preserve">C) using </w:t>
      </w:r>
      <w:r w:rsidR="005E4F40">
        <w:t xml:space="preserve">different gas compositions (inert or oxidising) and residence times ranging from 30ms to </w:t>
      </w:r>
      <w:r w:rsidR="000079F1">
        <w:t>700ms.</w:t>
      </w:r>
      <w:r w:rsidR="003D205C">
        <w:t xml:space="preserve"> </w:t>
      </w:r>
      <w:r w:rsidR="00501445">
        <w:t>The DTF can replicate conditions similar to those found in the BF raceway.</w:t>
      </w:r>
      <w:r w:rsidR="005D5F7C">
        <w:t xml:space="preserve"> </w:t>
      </w:r>
    </w:p>
    <w:p w14:paraId="194FFB3B" w14:textId="76EF9785" w:rsidR="00C950BD" w:rsidRDefault="005D5F7C" w:rsidP="000079F1">
      <w:pPr>
        <w:spacing w:line="360" w:lineRule="auto"/>
        <w:jc w:val="both"/>
      </w:pPr>
      <w:r>
        <w:t xml:space="preserve">The </w:t>
      </w:r>
      <w:r w:rsidR="005926E3">
        <w:t>DTF</w:t>
      </w:r>
      <w:r>
        <w:t xml:space="preserve"> </w:t>
      </w:r>
      <w:r w:rsidR="00FF3E66">
        <w:t>(shown in figure 2</w:t>
      </w:r>
      <w:r w:rsidR="00F15821">
        <w:t>3</w:t>
      </w:r>
      <w:r w:rsidR="00FF3E66">
        <w:t>)</w:t>
      </w:r>
      <w:r w:rsidR="00D546D5">
        <w:t xml:space="preserve"> </w:t>
      </w:r>
      <w:r>
        <w:t>consists of</w:t>
      </w:r>
      <w:r w:rsidR="00E94D74">
        <w:t xml:space="preserve"> a vertically mounted alumina work tube which is heated by</w:t>
      </w:r>
      <w:r w:rsidR="009E569D">
        <w:t xml:space="preserve"> four main and two trim silicon carbide heating elements. The temperature is monitored </w:t>
      </w:r>
      <w:r w:rsidR="00EC6237">
        <w:t xml:space="preserve">by three thermocouples spaced evenly along the length of the tube. </w:t>
      </w:r>
      <w:r w:rsidR="004E47E7">
        <w:t>The gas has a lamina</w:t>
      </w:r>
      <w:r w:rsidR="00275887">
        <w:t xml:space="preserve">r flow, </w:t>
      </w:r>
      <w:r w:rsidR="007039F3">
        <w:t xml:space="preserve">such that particles delivered into </w:t>
      </w:r>
      <w:r w:rsidR="00B04F3E">
        <w:t>the DTF drop at a constant velocity</w:t>
      </w:r>
      <w:r w:rsidR="00FD4D81">
        <w:t>, enabling accurate residence times.</w:t>
      </w:r>
      <w:r w:rsidR="007224CD">
        <w:t xml:space="preserve"> Samples are fed through a </w:t>
      </w:r>
      <w:r w:rsidR="00E06D50">
        <w:t>water-cooled stainless-steel tube at the top of the DTF. A</w:t>
      </w:r>
      <w:r w:rsidR="009F3114">
        <w:t xml:space="preserve"> </w:t>
      </w:r>
      <w:r w:rsidR="00D546D5">
        <w:t>water-cooled</w:t>
      </w:r>
      <w:r w:rsidR="008037D7">
        <w:t xml:space="preserve"> stainless steel collection probe</w:t>
      </w:r>
      <w:r w:rsidR="006833D2">
        <w:t xml:space="preserve"> is positioned within the lower half of the work tube. The residence time is varied </w:t>
      </w:r>
      <w:r w:rsidR="00FC24B6">
        <w:t>by adjusting the length of the probe inside the tube.</w:t>
      </w:r>
    </w:p>
    <w:p w14:paraId="4942284C" w14:textId="4130850B" w:rsidR="00C74DEF" w:rsidRDefault="00C950BD" w:rsidP="000079F1">
      <w:pPr>
        <w:spacing w:line="360" w:lineRule="auto"/>
        <w:jc w:val="both"/>
      </w:pPr>
      <w:r>
        <w:t xml:space="preserve">The biochar samples were dried to a constant mass and then crushed in a hammermill. </w:t>
      </w:r>
      <w:r w:rsidR="00233523">
        <w:t>15g of</w:t>
      </w:r>
      <w:r>
        <w:t xml:space="preserve"> each</w:t>
      </w:r>
      <w:r w:rsidR="00FE5F23">
        <w:t xml:space="preserve"> sample</w:t>
      </w:r>
      <w:r w:rsidR="00326E85">
        <w:t>,</w:t>
      </w:r>
      <w:r w:rsidR="00FE5F23">
        <w:t xml:space="preserve"> sieved</w:t>
      </w:r>
      <w:r w:rsidR="00DE06D3">
        <w:t xml:space="preserve"> to 100% </w:t>
      </w:r>
      <w:r w:rsidR="001641C8">
        <w:t>&lt;</w:t>
      </w:r>
      <w:r w:rsidR="00DE06D3">
        <w:t xml:space="preserve"> 1mm and 50%</w:t>
      </w:r>
      <w:r w:rsidR="007807CF">
        <w:t xml:space="preserve"> </w:t>
      </w:r>
      <w:r w:rsidR="00DE06D3">
        <w:t>&lt;</w:t>
      </w:r>
      <w:r w:rsidR="00B1373C">
        <w:t xml:space="preserve"> </w:t>
      </w:r>
      <w:r w:rsidR="007807CF">
        <w:t>200μm</w:t>
      </w:r>
      <w:r w:rsidR="00326E85">
        <w:t>,</w:t>
      </w:r>
      <w:r w:rsidR="00B1373C">
        <w:t xml:space="preserve"> </w:t>
      </w:r>
      <w:r>
        <w:t>were</w:t>
      </w:r>
      <w:r w:rsidR="00B1373C">
        <w:t xml:space="preserve"> fed via a vibrating hopper</w:t>
      </w:r>
      <w:r w:rsidR="004875DD">
        <w:t xml:space="preserve"> at a rate of 15</w:t>
      </w:r>
      <w:r w:rsidR="001A2BEE">
        <w:t>g/hour</w:t>
      </w:r>
      <w:r w:rsidR="00D5748F">
        <w:t xml:space="preserve"> into the DTF</w:t>
      </w:r>
      <w:r w:rsidR="00416EB8">
        <w:t>, th</w:t>
      </w:r>
      <w:r>
        <w:t>is</w:t>
      </w:r>
      <w:r w:rsidR="00416EB8">
        <w:t xml:space="preserve"> sample particle size is representative of the </w:t>
      </w:r>
      <w:r w:rsidR="00AB441A">
        <w:t xml:space="preserve">coal that would be injected into the BF after being crushed and processed through the PCI plant </w:t>
      </w:r>
      <w:r w:rsidR="003176A2">
        <w:t>at</w:t>
      </w:r>
      <w:r w:rsidR="00AB441A">
        <w:t xml:space="preserve"> Port Talb</w:t>
      </w:r>
      <w:r w:rsidR="006F2A5E">
        <w:t>ot</w:t>
      </w:r>
      <w:r w:rsidR="00D5748F">
        <w:t xml:space="preserve">. </w:t>
      </w:r>
      <w:r w:rsidR="00FB29B4">
        <w:t xml:space="preserve"> </w:t>
      </w:r>
      <w:r w:rsidR="00977A12">
        <w:t xml:space="preserve">The sample travels through the work tube </w:t>
      </w:r>
      <w:r w:rsidR="00FF3E66">
        <w:t>in the main gas stream and the residue is collected in a cyclone trap.</w:t>
      </w:r>
      <w:r w:rsidR="003176A2">
        <w:t xml:space="preserve"> The residence time </w:t>
      </w:r>
      <w:r w:rsidR="003176A2">
        <w:lastRenderedPageBreak/>
        <w:t xml:space="preserve">of the samples </w:t>
      </w:r>
      <w:r w:rsidR="00A16FB4">
        <w:t xml:space="preserve">can be controlled by adjusting the length of the </w:t>
      </w:r>
      <w:r w:rsidR="00A0110F">
        <w:t xml:space="preserve">collection probe. </w:t>
      </w:r>
      <w:r w:rsidR="005968AB">
        <w:t>Coals injected into the furn</w:t>
      </w:r>
      <w:r w:rsidR="00DE7474">
        <w:t xml:space="preserve">ace have residency times of approx. 35ms, therefore the </w:t>
      </w:r>
      <w:r w:rsidR="0046400F">
        <w:t>biochar</w:t>
      </w:r>
      <w:r w:rsidR="00DE7474">
        <w:t xml:space="preserve"> </w:t>
      </w:r>
      <w:r w:rsidR="0046400F">
        <w:t xml:space="preserve">samples </w:t>
      </w:r>
      <w:r>
        <w:t>were</w:t>
      </w:r>
      <w:r w:rsidR="00DE7474">
        <w:t xml:space="preserve"> tested at this residency time to assess burnout characteristics, as the DTF has a lower temperature</w:t>
      </w:r>
      <w:r w:rsidR="0046400F">
        <w:t>,</w:t>
      </w:r>
      <w:r w:rsidR="00DE7474">
        <w:t xml:space="preserve"> a longer residency time</w:t>
      </w:r>
      <w:r w:rsidR="0046400F">
        <w:t xml:space="preserve"> of 700ms</w:t>
      </w:r>
      <w:r w:rsidR="00DE7474">
        <w:t xml:space="preserve"> </w:t>
      </w:r>
      <w:r>
        <w:t>was also</w:t>
      </w:r>
      <w:r w:rsidR="00DE7474">
        <w:t xml:space="preserve"> assessed</w:t>
      </w:r>
      <w:r w:rsidR="0046400F">
        <w:t>.</w:t>
      </w:r>
    </w:p>
    <w:p w14:paraId="725F8F48" w14:textId="360377FD" w:rsidR="00E71E33" w:rsidRDefault="0026676A" w:rsidP="00E71E33">
      <w:r w:rsidRPr="0026676A">
        <w:rPr>
          <w:noProof/>
        </w:rPr>
        <w:drawing>
          <wp:inline distT="0" distB="0" distL="0" distR="0" wp14:anchorId="0F2583F2" wp14:editId="649F0F9A">
            <wp:extent cx="2774945" cy="3642970"/>
            <wp:effectExtent l="0" t="0" r="0" b="0"/>
            <wp:docPr id="45" name="Picture 45" descr="A picture containing indoor, floor, area,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indoor, floor, area, cluttered&#10;&#10;Description automatically generated"/>
                    <pic:cNvPicPr/>
                  </pic:nvPicPr>
                  <pic:blipFill>
                    <a:blip r:embed="rId52"/>
                    <a:stretch>
                      <a:fillRect/>
                    </a:stretch>
                  </pic:blipFill>
                  <pic:spPr>
                    <a:xfrm>
                      <a:off x="0" y="0"/>
                      <a:ext cx="2780525" cy="3650296"/>
                    </a:xfrm>
                    <a:prstGeom prst="rect">
                      <a:avLst/>
                    </a:prstGeom>
                  </pic:spPr>
                </pic:pic>
              </a:graphicData>
            </a:graphic>
          </wp:inline>
        </w:drawing>
      </w:r>
      <w:r w:rsidR="00BA6A37">
        <w:t xml:space="preserve">   </w:t>
      </w:r>
      <w:r w:rsidR="00B72108" w:rsidRPr="00B72108">
        <w:rPr>
          <w:noProof/>
        </w:rPr>
        <w:drawing>
          <wp:inline distT="0" distB="0" distL="0" distR="0" wp14:anchorId="291684F1" wp14:editId="78FB7C55">
            <wp:extent cx="2713889" cy="3637849"/>
            <wp:effectExtent l="0" t="0" r="0" b="0"/>
            <wp:docPr id="44" name="Picture 4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diagram&#10;&#10;Description automatically generated"/>
                    <pic:cNvPicPr/>
                  </pic:nvPicPr>
                  <pic:blipFill>
                    <a:blip r:embed="rId53"/>
                    <a:stretch>
                      <a:fillRect/>
                    </a:stretch>
                  </pic:blipFill>
                  <pic:spPr>
                    <a:xfrm>
                      <a:off x="0" y="0"/>
                      <a:ext cx="2725033" cy="3652787"/>
                    </a:xfrm>
                    <a:prstGeom prst="rect">
                      <a:avLst/>
                    </a:prstGeom>
                  </pic:spPr>
                </pic:pic>
              </a:graphicData>
            </a:graphic>
          </wp:inline>
        </w:drawing>
      </w:r>
    </w:p>
    <w:p w14:paraId="19021404" w14:textId="470831BC" w:rsidR="00B72108" w:rsidRDefault="00B72108" w:rsidP="00B72108">
      <w:pPr>
        <w:pStyle w:val="Caption"/>
      </w:pPr>
      <w:bookmarkStart w:id="51" w:name="_Toc127110917"/>
      <w:r>
        <w:t xml:space="preserve">Figure </w:t>
      </w:r>
      <w:fldSimple w:instr=" SEQ Figure \* ARABIC ">
        <w:r w:rsidR="00A0212F">
          <w:rPr>
            <w:noProof/>
          </w:rPr>
          <w:t>23</w:t>
        </w:r>
      </w:fldSimple>
      <w:r>
        <w:t xml:space="preserve"> </w:t>
      </w:r>
      <w:r w:rsidR="00040EFA">
        <w:t>A picture and</w:t>
      </w:r>
      <w:r>
        <w:t xml:space="preserve"> schematic</w:t>
      </w:r>
      <w:r w:rsidR="003768AA">
        <w:t xml:space="preserve"> </w:t>
      </w:r>
      <w:r w:rsidR="003768AA">
        <w:fldChar w:fldCharType="begin"/>
      </w:r>
      <w:r w:rsidR="00192334">
        <w:instrText xml:space="preserve"> ADDIN ZOTERO_ITEM CSL_CITATION {"citationID":"DeD7GbBe","properties":{"formattedCitation":"(Steer {\\i{}et al.}, 2021)","plainCitation":"(Steer et al., 2021)","noteIndex":0},"citationItems":[{"id":2001,"uris":["http://zotero.org/users/local/AB2owHL2/items/2RAHQNGP"],"itemData":{"id":2001,"type":"article-journal","abstract":"The injection of coal through tuyeres into a blast furnace is widely adopted throughout the industry to reduce the amount of coke used and to improve the efficiency of the iron making process. Coals are selected depending on their availability, cost, and the physical and chemical properties determined by tests, such as the volatile matter content, fixed carbon, and ash content. This paper describes research comparing the laboratory measured properties of injection coals that were used over a two-month production period compared to the process variables and measurements of the blast furnace during that study period. In addition to the standard tests, a drop tube furnace (DTF) was used to compare the burnout of coals and the char properties against the production data using a range of statistical techniques. Linear regression modelling indicated that the coal type was the most important predictor of the coal rate but that the properties measured using laboratory tests of those coals were a minor feature in the model. However, comparisons of the Spearman’s correlations between different variables indicated that the reverse Boudouard reactivity of the chars, prepared in the DTF from the coals, did appear to be related to some extent to the coal and coke rates on production. It appears that the constant process adjustments made by the process control systems on the furnace make it difficult to identify strong correlations with the laboratory data and that the frequency of coal sampling and the coal blend variability are likely to contribute to this difficulty.","container-title":"Metals","DOI":"10.3390/met11091476","issue":"9","language":"English","license":"© 2021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1476\npublisher-place: Basel, Switzerland\npublisher: MDPI AG","page":"1476","source":"ProQuest","title":"A Comparison of Laboratory Coal Testing with the Blast Furnace Process and Coal Injection","URL":"http://www.proquest.com/docview/2576461027/abstract/2F8C1DC2C0F24AFEPQ/1","volume":"11","author":[{"family":"Steer","given":"Julian"},{"family":"Link to external site","given":"this","dropping-particle":"link will open in a new window"},{"family":"Greenslade","given":"Mark"},{"family":"Marsh","given":"Richard"}],"accessed":{"date-parts":[["2022",10,12]]},"issued":{"date-parts":[["2021"]]}}}],"schema":"https://github.com/citation-style-language/schema/raw/master/csl-citation.json"} </w:instrText>
      </w:r>
      <w:r w:rsidR="003768AA">
        <w:fldChar w:fldCharType="separate"/>
      </w:r>
      <w:r w:rsidR="00192334" w:rsidRPr="00192334">
        <w:rPr>
          <w:rFonts w:ascii="Calibri" w:hAnsi="Calibri" w:cs="Calibri"/>
          <w:szCs w:val="24"/>
        </w:rPr>
        <w:t xml:space="preserve">(Steer </w:t>
      </w:r>
      <w:r w:rsidR="00192334" w:rsidRPr="00192334">
        <w:rPr>
          <w:rFonts w:ascii="Calibri" w:hAnsi="Calibri" w:cs="Calibri"/>
          <w:i w:val="0"/>
          <w:iCs w:val="0"/>
          <w:szCs w:val="24"/>
        </w:rPr>
        <w:t>et al.</w:t>
      </w:r>
      <w:r w:rsidR="00192334" w:rsidRPr="00192334">
        <w:rPr>
          <w:rFonts w:ascii="Calibri" w:hAnsi="Calibri" w:cs="Calibri"/>
          <w:szCs w:val="24"/>
        </w:rPr>
        <w:t>, 2021)</w:t>
      </w:r>
      <w:r w:rsidR="003768AA">
        <w:fldChar w:fldCharType="end"/>
      </w:r>
      <w:r>
        <w:t xml:space="preserve"> of the drop tube furnace</w:t>
      </w:r>
      <w:r w:rsidR="00512908">
        <w:t>.</w:t>
      </w:r>
      <w:bookmarkEnd w:id="51"/>
    </w:p>
    <w:p w14:paraId="2613B075" w14:textId="77777777" w:rsidR="00FF3E66" w:rsidRPr="00FF3E66" w:rsidRDefault="00FF3E66" w:rsidP="00FF3E66"/>
    <w:p w14:paraId="43F82AF0" w14:textId="5729C086" w:rsidR="00FF3E66" w:rsidRDefault="00FF3E66" w:rsidP="00FF3E66">
      <w:pPr>
        <w:spacing w:line="360" w:lineRule="auto"/>
        <w:jc w:val="both"/>
      </w:pPr>
      <w:r w:rsidRPr="00FF3E66">
        <w:t xml:space="preserve">The ash tracer method </w:t>
      </w:r>
      <w:r w:rsidR="00C950BD">
        <w:t>was</w:t>
      </w:r>
      <w:r w:rsidRPr="00FF3E66">
        <w:t xml:space="preserve"> used to calculate the burnout of the coals, </w:t>
      </w:r>
      <w:r w:rsidR="00DF4E4C">
        <w:t>also</w:t>
      </w:r>
      <w:r w:rsidRPr="00FF3E66">
        <w:t xml:space="preserve"> referred to as the </w:t>
      </w:r>
      <w:r>
        <w:t xml:space="preserve">combustion efficiency. </w:t>
      </w:r>
      <w:r w:rsidR="008B1168">
        <w:t xml:space="preserve">The burnout (%) is calculated </w:t>
      </w:r>
      <w:r w:rsidR="00D947F9">
        <w:t>using</w:t>
      </w:r>
      <w:r w:rsidR="00624F51">
        <w:t xml:space="preserve"> the initial weight of the ash (A</w:t>
      </w:r>
      <w:r w:rsidR="00624F51" w:rsidRPr="00624F51">
        <w:rPr>
          <w:vertAlign w:val="subscript"/>
        </w:rPr>
        <w:t>0</w:t>
      </w:r>
      <w:r w:rsidR="00624F51">
        <w:t>)</w:t>
      </w:r>
      <w:r w:rsidR="00D947F9">
        <w:t xml:space="preserve"> and its final weight</w:t>
      </w:r>
      <w:r w:rsidR="000B03D3">
        <w:t xml:space="preserve"> (A</w:t>
      </w:r>
      <w:r w:rsidR="000B03D3" w:rsidRPr="000B03D3">
        <w:rPr>
          <w:vertAlign w:val="subscript"/>
        </w:rPr>
        <w:t>1</w:t>
      </w:r>
      <w:r w:rsidR="000B03D3">
        <w:t>) after leaving the DTF.</w:t>
      </w:r>
    </w:p>
    <w:p w14:paraId="35F24D32" w14:textId="0F44D6F9" w:rsidR="00FF3E66" w:rsidRPr="00313332" w:rsidRDefault="00FF3E66" w:rsidP="00313332">
      <w:pPr>
        <w:spacing w:line="360" w:lineRule="auto"/>
        <w:jc w:val="both"/>
        <w:rPr>
          <w:rFonts w:cstheme="minorHAnsi"/>
        </w:rPr>
      </w:pPr>
      <m:oMathPara>
        <m:oMath>
          <m:r>
            <w:rPr>
              <w:rFonts w:ascii="Cambria Math" w:hAnsi="Cambria Math" w:cstheme="minorHAnsi"/>
            </w:rPr>
            <m:t xml:space="preserve">Burnout %=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4</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1</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0</m:t>
                  </m:r>
                </m:sub>
              </m:sSub>
              <m:r>
                <w:rPr>
                  <w:rFonts w:ascii="Cambria Math" w:hAnsi="Cambria Math" w:cstheme="minorHAnsi"/>
                </w:rPr>
                <m:t>)</m:t>
              </m:r>
            </m:num>
            <m:den>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1</m:t>
                  </m:r>
                </m:sub>
              </m:sSub>
              <m:r>
                <w:rPr>
                  <w:rFonts w:ascii="Cambria Math" w:hAnsi="Cambria Math" w:cstheme="minorHAnsi"/>
                </w:rPr>
                <m:t xml:space="preserve">(100- </m:t>
              </m:r>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0</m:t>
                  </m:r>
                </m:sub>
              </m:sSub>
              <m:r>
                <w:rPr>
                  <w:rFonts w:ascii="Cambria Math" w:hAnsi="Cambria Math" w:cstheme="minorHAnsi"/>
                </w:rPr>
                <m:t>)</m:t>
              </m:r>
            </m:den>
          </m:f>
        </m:oMath>
      </m:oMathPara>
    </w:p>
    <w:p w14:paraId="16E0AA76" w14:textId="68C3E2BB" w:rsidR="00FF3E66" w:rsidRPr="009B3A9B" w:rsidRDefault="00313332" w:rsidP="00313332">
      <w:pPr>
        <w:jc w:val="both"/>
        <w:rPr>
          <w:rFonts w:cstheme="minorHAnsi"/>
        </w:rPr>
      </w:pPr>
      <w:r w:rsidRPr="009B3A9B">
        <w:rPr>
          <w:rFonts w:cstheme="minorHAnsi"/>
        </w:rPr>
        <w:fldChar w:fldCharType="begin"/>
      </w:r>
      <w:r w:rsidR="00192334">
        <w:rPr>
          <w:rFonts w:cstheme="minorHAnsi"/>
        </w:rPr>
        <w:instrText xml:space="preserve"> ADDIN ZOTERO_ITEM CSL_CITATION {"citationID":"uGbVQMCX","properties":{"formattedCitation":"(Steer {\\i{}et al.}, 2021)","plainCitation":"(Steer et al., 2021)","noteIndex":0},"citationItems":[{"id":2001,"uris":["http://zotero.org/users/local/AB2owHL2/items/2RAHQNGP"],"itemData":{"id":2001,"type":"article-journal","abstract":"The injection of coal through tuyeres into a blast furnace is widely adopted throughout the industry to reduce the amount of coke used and to improve the efficiency of the iron making process. Coals are selected depending on their availability, cost, and the physical and chemical properties determined by tests, such as the volatile matter content, fixed carbon, and ash content. This paper describes research comparing the laboratory measured properties of injection coals that were used over a two-month production period compared to the process variables and measurements of the blast furnace during that study period. In addition to the standard tests, a drop tube furnace (DTF) was used to compare the burnout of coals and the char properties against the production data using a range of statistical techniques. Linear regression modelling indicated that the coal type was the most important predictor of the coal rate but that the properties measured using laboratory tests of those coals were a minor feature in the model. However, comparisons of the Spearman’s correlations between different variables indicated that the reverse Boudouard reactivity of the chars, prepared in the DTF from the coals, did appear to be related to some extent to the coal and coke rates on production. It appears that the constant process adjustments made by the process control systems on the furnace make it difficult to identify strong correlations with the laboratory data and that the frequency of coal sampling and the coal blend variability are likely to contribute to this difficulty.","container-title":"Metals","DOI":"10.3390/met11091476","issue":"9","language":"English","license":"© 2021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1476\npublisher-place: Basel, Switzerland\npublisher: MDPI AG","page":"1476","source":"ProQuest","title":"A Comparison of Laboratory Coal Testing with the Blast Furnace Process and Coal Injection","URL":"http://www.proquest.com/docview/2576461027/abstract/2F8C1DC2C0F24AFEPQ/1","volume":"11","author":[{"family":"Steer","given":"Julian"},{"family":"Link to external site","given":"this","dropping-particle":"link will open in a new window"},{"family":"Greenslade","given":"Mark"},{"family":"Marsh","given":"Richard"}],"accessed":{"date-parts":[["2022",10,12]]},"issued":{"date-parts":[["2021"]]}}}],"schema":"https://github.com/citation-style-language/schema/raw/master/csl-citation.json"} </w:instrText>
      </w:r>
      <w:r w:rsidRPr="009B3A9B">
        <w:rPr>
          <w:rFonts w:cstheme="minorHAnsi"/>
        </w:rPr>
        <w:fldChar w:fldCharType="separate"/>
      </w:r>
      <w:r w:rsidR="00192334" w:rsidRPr="00192334">
        <w:rPr>
          <w:rFonts w:ascii="Calibri" w:hAnsi="Calibri" w:cs="Calibri"/>
          <w:szCs w:val="24"/>
        </w:rPr>
        <w:t xml:space="preserve">(Steer </w:t>
      </w:r>
      <w:r w:rsidR="00192334" w:rsidRPr="00192334">
        <w:rPr>
          <w:rFonts w:ascii="Calibri" w:hAnsi="Calibri" w:cs="Calibri"/>
          <w:i/>
          <w:iCs/>
          <w:szCs w:val="24"/>
        </w:rPr>
        <w:t>et al.</w:t>
      </w:r>
      <w:r w:rsidR="00192334" w:rsidRPr="00192334">
        <w:rPr>
          <w:rFonts w:ascii="Calibri" w:hAnsi="Calibri" w:cs="Calibri"/>
          <w:szCs w:val="24"/>
        </w:rPr>
        <w:t>, 2021)</w:t>
      </w:r>
      <w:r w:rsidRPr="009B3A9B">
        <w:rPr>
          <w:rFonts w:cstheme="minorHAnsi"/>
        </w:rPr>
        <w:fldChar w:fldCharType="end"/>
      </w:r>
    </w:p>
    <w:p w14:paraId="7640E39B" w14:textId="23A11440" w:rsidR="004A6531" w:rsidRPr="004A6531" w:rsidRDefault="008B50A3" w:rsidP="004A6531">
      <w:r>
        <w:t>The biochar samples will be compared with a coal often used at Port Talbot for PCI called T-coal.</w:t>
      </w:r>
    </w:p>
    <w:p w14:paraId="0E88A707" w14:textId="6F315D0E" w:rsidR="004E0841" w:rsidRDefault="00D06C79" w:rsidP="00B9022B">
      <w:pPr>
        <w:pStyle w:val="Heading2"/>
        <w:spacing w:line="360" w:lineRule="auto"/>
        <w:jc w:val="both"/>
      </w:pPr>
      <w:bookmarkStart w:id="52" w:name="_Toc128599612"/>
      <w:r>
        <w:lastRenderedPageBreak/>
        <w:t>Assessing b</w:t>
      </w:r>
      <w:r w:rsidR="00627371">
        <w:t>iochar substitution in coke making</w:t>
      </w:r>
      <w:bookmarkEnd w:id="52"/>
    </w:p>
    <w:p w14:paraId="0BACD09F" w14:textId="768C2A6A" w:rsidR="00F472DC" w:rsidRDefault="0072037B" w:rsidP="00F472DC">
      <w:pPr>
        <w:pStyle w:val="Heading3"/>
        <w:spacing w:line="360" w:lineRule="auto"/>
        <w:jc w:val="both"/>
      </w:pPr>
      <w:bookmarkStart w:id="53" w:name="_Toc128599613"/>
      <w:r>
        <w:t>Pilot</w:t>
      </w:r>
      <w:r w:rsidR="00755D6D">
        <w:t xml:space="preserve"> scale</w:t>
      </w:r>
      <w:r>
        <w:t xml:space="preserve"> </w:t>
      </w:r>
      <w:r w:rsidR="00510FEA">
        <w:t xml:space="preserve">coke </w:t>
      </w:r>
      <w:r>
        <w:t>oven</w:t>
      </w:r>
      <w:bookmarkEnd w:id="53"/>
    </w:p>
    <w:p w14:paraId="56C08D02" w14:textId="65FE66D6" w:rsidR="00F472DC" w:rsidRDefault="00F472DC" w:rsidP="00F472DC">
      <w:r>
        <w:rPr>
          <w:noProof/>
        </w:rPr>
        <w:drawing>
          <wp:inline distT="0" distB="0" distL="0" distR="0" wp14:anchorId="6BBC11C8" wp14:editId="7EAD495D">
            <wp:extent cx="5366437" cy="2472856"/>
            <wp:effectExtent l="0" t="0" r="0" b="0"/>
            <wp:docPr id="30" name="Picture 30" descr="A picture containing furniture, trash&#10;&#10;Description automatically generated"/>
            <wp:cNvGraphicFramePr/>
            <a:graphic xmlns:a="http://schemas.openxmlformats.org/drawingml/2006/main">
              <a:graphicData uri="http://schemas.openxmlformats.org/drawingml/2006/picture">
                <pic:pic xmlns:pic="http://schemas.openxmlformats.org/drawingml/2006/picture">
                  <pic:nvPicPr>
                    <pic:cNvPr id="30" name="Picture 30" descr="A picture containing furniture, trash&#10;&#10;Description automatically generated"/>
                    <pic:cNvPicPr/>
                  </pic:nvPicPr>
                  <pic:blipFill>
                    <a:blip r:embed="rId54" r:link="rId55">
                      <a:extLst>
                        <a:ext uri="{28A0092B-C50C-407E-A947-70E740481C1C}">
                          <a14:useLocalDpi xmlns:a14="http://schemas.microsoft.com/office/drawing/2010/main" val="0"/>
                        </a:ext>
                      </a:extLst>
                    </a:blip>
                    <a:srcRect/>
                    <a:stretch>
                      <a:fillRect/>
                    </a:stretch>
                  </pic:blipFill>
                  <pic:spPr bwMode="auto">
                    <a:xfrm>
                      <a:off x="0" y="0"/>
                      <a:ext cx="5412788" cy="2494214"/>
                    </a:xfrm>
                    <a:prstGeom prst="rect">
                      <a:avLst/>
                    </a:prstGeom>
                    <a:noFill/>
                    <a:ln>
                      <a:noFill/>
                    </a:ln>
                  </pic:spPr>
                </pic:pic>
              </a:graphicData>
            </a:graphic>
          </wp:inline>
        </w:drawing>
      </w:r>
    </w:p>
    <w:p w14:paraId="34B64704" w14:textId="324FFCFB" w:rsidR="00F472DC" w:rsidRPr="00F472DC" w:rsidRDefault="00F472DC" w:rsidP="00E8513E">
      <w:pPr>
        <w:pStyle w:val="Caption"/>
      </w:pPr>
      <w:bookmarkStart w:id="54" w:name="_Toc127110918"/>
      <w:r>
        <w:t xml:space="preserve">Figure </w:t>
      </w:r>
      <w:fldSimple w:instr=" SEQ Figure \* ARABIC ">
        <w:r w:rsidR="00A0212F">
          <w:rPr>
            <w:noProof/>
          </w:rPr>
          <w:t>24</w:t>
        </w:r>
      </w:fldSimple>
      <w:r>
        <w:t xml:space="preserve"> The Pilot scale coke oven at Tata</w:t>
      </w:r>
      <w:r w:rsidR="00CB3A8D">
        <w:t xml:space="preserve"> </w:t>
      </w:r>
      <w:r>
        <w:t>steel</w:t>
      </w:r>
      <w:bookmarkEnd w:id="54"/>
      <w:r w:rsidR="00CB3A8D">
        <w:t>. Taken by Autor.</w:t>
      </w:r>
    </w:p>
    <w:p w14:paraId="29BACA7F" w14:textId="47457680" w:rsidR="001240A7" w:rsidRDefault="00C840A8" w:rsidP="001240A7">
      <w:pPr>
        <w:spacing w:line="360" w:lineRule="auto"/>
        <w:jc w:val="both"/>
      </w:pPr>
      <w:r>
        <w:t>Pilot scale coke ovens (PSCO</w:t>
      </w:r>
      <w:r w:rsidR="003513EF">
        <w:t>’s</w:t>
      </w:r>
      <w:r>
        <w:t>)</w:t>
      </w:r>
      <w:r w:rsidR="005831C5">
        <w:t xml:space="preserve"> are widely used to produce coke samples for characterisation and to assess the coking behaviour of coal blend. This allows the </w:t>
      </w:r>
      <w:r w:rsidR="000929F4">
        <w:t>business</w:t>
      </w:r>
      <w:r w:rsidR="005831C5">
        <w:t xml:space="preserve"> </w:t>
      </w:r>
      <w:r w:rsidR="00A85417">
        <w:t xml:space="preserve">to optimise the value in use of </w:t>
      </w:r>
      <w:r w:rsidR="000765AC">
        <w:t xml:space="preserve">the </w:t>
      </w:r>
      <w:r w:rsidR="00A85417">
        <w:t>coal</w:t>
      </w:r>
      <w:r w:rsidR="00DE2D85">
        <w:t>s</w:t>
      </w:r>
      <w:r w:rsidR="000765AC">
        <w:t xml:space="preserve"> available to </w:t>
      </w:r>
      <w:r w:rsidR="00C518A4">
        <w:t>it</w:t>
      </w:r>
      <w:r w:rsidR="00DE2D85">
        <w:t xml:space="preserve">. </w:t>
      </w:r>
      <w:r w:rsidR="00C9371E">
        <w:t>The purpose</w:t>
      </w:r>
      <w:r w:rsidR="003F07BF">
        <w:t xml:space="preserve"> of pilot scale testing is to determine the </w:t>
      </w:r>
      <w:r w:rsidR="00872743">
        <w:t>suitability of the</w:t>
      </w:r>
      <w:r w:rsidR="00AD5DCD">
        <w:t xml:space="preserve"> coke</w:t>
      </w:r>
      <w:r w:rsidR="00872743">
        <w:t xml:space="preserve"> produced </w:t>
      </w:r>
      <w:r w:rsidR="00D42A7C">
        <w:t xml:space="preserve">for use in the </w:t>
      </w:r>
      <w:r w:rsidR="00823C82">
        <w:t>BF</w:t>
      </w:r>
      <w:r w:rsidR="00D42A7C">
        <w:t xml:space="preserve"> and to assess the pressure generated</w:t>
      </w:r>
      <w:r w:rsidR="008A28DF">
        <w:t xml:space="preserve"> at the oven walls during </w:t>
      </w:r>
      <w:proofErr w:type="spellStart"/>
      <w:r w:rsidR="008A28DF">
        <w:t>coking</w:t>
      </w:r>
      <w:proofErr w:type="spellEnd"/>
      <w:r w:rsidR="008A28DF">
        <w:t>.</w:t>
      </w:r>
      <w:r w:rsidR="00E8513E">
        <w:t xml:space="preserve"> </w:t>
      </w:r>
      <w:r w:rsidR="002F571F">
        <w:t>T</w:t>
      </w:r>
      <w:r w:rsidR="006D3814">
        <w:t>he 25Kg</w:t>
      </w:r>
      <w:r w:rsidR="002F571F">
        <w:t xml:space="preserve"> PSCO at </w:t>
      </w:r>
      <w:r w:rsidR="00EE682E">
        <w:t>Tata</w:t>
      </w:r>
      <w:r w:rsidR="00CA6DB4">
        <w:t xml:space="preserve"> </w:t>
      </w:r>
      <w:r w:rsidR="00EE682E">
        <w:t>steel is pictured above in figure 2</w:t>
      </w:r>
      <w:r w:rsidR="003A4C09">
        <w:t>4</w:t>
      </w:r>
      <w:r w:rsidR="00EE682E">
        <w:t xml:space="preserve">. </w:t>
      </w:r>
    </w:p>
    <w:p w14:paraId="1DBF4C20" w14:textId="70BEA8D2" w:rsidR="00CA6DB4" w:rsidRDefault="00CA6DB4" w:rsidP="001240A7">
      <w:pPr>
        <w:spacing w:line="360" w:lineRule="auto"/>
        <w:jc w:val="both"/>
      </w:pPr>
      <w:r>
        <w:t>The oven uses</w:t>
      </w:r>
      <w:r w:rsidR="008C4298">
        <w:t xml:space="preserve"> a</w:t>
      </w:r>
      <w:r>
        <w:t xml:space="preserve"> </w:t>
      </w:r>
      <w:r w:rsidR="008C4298">
        <w:t xml:space="preserve">silicon carbide plate </w:t>
      </w:r>
      <w:r w:rsidR="00D86601">
        <w:t>in the refractory walls</w:t>
      </w:r>
      <w:r w:rsidR="00E9415D">
        <w:t xml:space="preserve"> to heat the oven. The</w:t>
      </w:r>
      <w:r w:rsidR="008D5A59">
        <w:t xml:space="preserve"> electrical heating elements are </w:t>
      </w:r>
      <w:r w:rsidR="00B53131">
        <w:t xml:space="preserve">situated inside the refractory wall and behind the </w:t>
      </w:r>
      <w:r w:rsidR="00AB6829">
        <w:t>silicon</w:t>
      </w:r>
      <w:r w:rsidR="00B53131">
        <w:t xml:space="preserve"> carbide plate</w:t>
      </w:r>
      <w:r w:rsidR="00AB6829">
        <w:t>. The walls of the oven can both move</w:t>
      </w:r>
      <w:r w:rsidR="00F06FB8">
        <w:t xml:space="preserve"> horizontally</w:t>
      </w:r>
      <w:r w:rsidR="00452787">
        <w:t>. A ref</w:t>
      </w:r>
      <w:r w:rsidR="00C5520B">
        <w:t>r</w:t>
      </w:r>
      <w:r w:rsidR="00452787">
        <w:t>actory</w:t>
      </w:r>
      <w:r w:rsidR="00C5520B">
        <w:t xml:space="preserve"> C-section sits in the middle. </w:t>
      </w:r>
      <w:r w:rsidR="00CD27CB">
        <w:t>An illustration of the PSCO is shown in figure 2</w:t>
      </w:r>
      <w:r w:rsidR="003A4C09">
        <w:t>5</w:t>
      </w:r>
      <w:r w:rsidR="00CD27CB">
        <w:t xml:space="preserve">. </w:t>
      </w:r>
      <w:r w:rsidR="00C5520B">
        <w:t xml:space="preserve">The </w:t>
      </w:r>
      <w:r w:rsidR="00CD27CB">
        <w:t xml:space="preserve">25 Kg </w:t>
      </w:r>
      <w:r w:rsidR="00C5520B">
        <w:t xml:space="preserve">packed coal </w:t>
      </w:r>
      <w:r w:rsidR="00914552">
        <w:t>bed is charged into the furnace in a rectangular cardboard box which sits inside a refractory cassette.</w:t>
      </w:r>
      <w:r w:rsidR="005F387B">
        <w:t xml:space="preserve"> The cassette is charged</w:t>
      </w:r>
      <w:r w:rsidR="002F07CD">
        <w:t xml:space="preserve"> through the front of the furnace</w:t>
      </w:r>
      <w:r w:rsidR="005F387B">
        <w:t xml:space="preserve"> </w:t>
      </w:r>
      <w:r w:rsidR="002F07CD">
        <w:t>via</w:t>
      </w:r>
      <w:r w:rsidR="00B21756">
        <w:t xml:space="preserve"> movable cooling </w:t>
      </w:r>
      <w:r w:rsidR="00706694">
        <w:t>jackets</w:t>
      </w:r>
      <w:r w:rsidR="006B0227">
        <w:t>. The walls are then close</w:t>
      </w:r>
      <w:r w:rsidR="009A13B4">
        <w:t xml:space="preserve">d, a </w:t>
      </w:r>
      <w:r w:rsidR="00A74548">
        <w:t>stainless-steel</w:t>
      </w:r>
      <w:r w:rsidR="009A13B4">
        <w:t xml:space="preserve"> gasket keeps the oven sealed</w:t>
      </w:r>
      <w:r w:rsidR="00174BC2">
        <w:t xml:space="preserve">. The furnace is charged at </w:t>
      </w:r>
      <w:r w:rsidR="00810B3E">
        <w:t>9</w:t>
      </w:r>
      <w:r w:rsidR="00174BC2">
        <w:t>00</w:t>
      </w:r>
      <w:r w:rsidR="00174BC2" w:rsidRPr="00174BC2">
        <w:rPr>
          <w:vertAlign w:val="superscript"/>
        </w:rPr>
        <w:t>0</w:t>
      </w:r>
      <w:r w:rsidR="00174BC2">
        <w:t>C</w:t>
      </w:r>
      <w:r w:rsidR="00425863">
        <w:t xml:space="preserve"> and </w:t>
      </w:r>
      <w:r w:rsidR="00C92EC7">
        <w:t>left for 3 hours to allow the furnace to stabilise</w:t>
      </w:r>
      <w:r w:rsidR="0049720C">
        <w:t>, the temperature is then ramped up to 1000</w:t>
      </w:r>
      <w:r w:rsidR="0049720C" w:rsidRPr="0049720C">
        <w:rPr>
          <w:vertAlign w:val="superscript"/>
        </w:rPr>
        <w:t>0</w:t>
      </w:r>
      <w:r w:rsidR="0049720C">
        <w:t xml:space="preserve">C </w:t>
      </w:r>
      <w:r w:rsidR="00767E04">
        <w:t>and held at temperature for 5 hours before ramping back down</w:t>
      </w:r>
      <w:r w:rsidR="009930DE">
        <w:t>. The ramp ensures full carbon</w:t>
      </w:r>
      <w:r w:rsidR="00721A34">
        <w:t>isation of the coke by driving off any excess volatiles.</w:t>
      </w:r>
      <w:r w:rsidR="00A74548">
        <w:t xml:space="preserve"> All exhaust gases are vented into</w:t>
      </w:r>
      <w:r w:rsidR="007B2853">
        <w:t xml:space="preserve"> a </w:t>
      </w:r>
      <w:r w:rsidR="00F15FCC">
        <w:t>local exhaust ventilation system.</w:t>
      </w:r>
      <w:r w:rsidR="00A74548">
        <w:t xml:space="preserve"> </w:t>
      </w:r>
      <w:r w:rsidR="001D334A">
        <w:t xml:space="preserve">The charge stays in the furnace for </w:t>
      </w:r>
      <w:r w:rsidR="00530CCA">
        <w:t>18</w:t>
      </w:r>
      <w:r w:rsidR="001D334A">
        <w:t xml:space="preserve"> hours</w:t>
      </w:r>
      <w:r w:rsidR="00A005FF">
        <w:t>,</w:t>
      </w:r>
      <w:r w:rsidR="001D334A">
        <w:t xml:space="preserve"> </w:t>
      </w:r>
      <w:r w:rsidR="00A005FF">
        <w:t xml:space="preserve">once the coal is fully </w:t>
      </w:r>
      <w:proofErr w:type="spellStart"/>
      <w:r w:rsidR="00A005FF">
        <w:t>coked</w:t>
      </w:r>
      <w:proofErr w:type="spellEnd"/>
      <w:r w:rsidR="00A005FF">
        <w:t>, the</w:t>
      </w:r>
      <w:r w:rsidR="001D334A">
        <w:t xml:space="preserve"> </w:t>
      </w:r>
      <w:r w:rsidR="00C82DCF">
        <w:t>cassette</w:t>
      </w:r>
      <w:r w:rsidR="001D334A">
        <w:t xml:space="preserve"> is placed into a </w:t>
      </w:r>
      <w:r w:rsidR="00706694">
        <w:t>water-cooled</w:t>
      </w:r>
      <w:r w:rsidR="001D334A">
        <w:t xml:space="preserve"> </w:t>
      </w:r>
      <w:r w:rsidR="00706694">
        <w:t>jacket</w:t>
      </w:r>
      <w:r w:rsidR="001D334A">
        <w:t xml:space="preserve"> and left to cool.</w:t>
      </w:r>
    </w:p>
    <w:p w14:paraId="5FCB8212" w14:textId="5BFADC32" w:rsidR="003513EF" w:rsidRPr="001240A7" w:rsidRDefault="00281276" w:rsidP="001240A7">
      <w:pPr>
        <w:spacing w:line="360" w:lineRule="auto"/>
        <w:jc w:val="both"/>
      </w:pPr>
      <w:r w:rsidRPr="00281276">
        <w:rPr>
          <w:noProof/>
        </w:rPr>
        <w:lastRenderedPageBreak/>
        <w:drawing>
          <wp:inline distT="0" distB="0" distL="0" distR="0" wp14:anchorId="41DE5E27" wp14:editId="19699730">
            <wp:extent cx="4184015" cy="3145536"/>
            <wp:effectExtent l="0" t="0" r="0" b="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56"/>
                    <a:stretch>
                      <a:fillRect/>
                    </a:stretch>
                  </pic:blipFill>
                  <pic:spPr>
                    <a:xfrm>
                      <a:off x="0" y="0"/>
                      <a:ext cx="4197315" cy="3155535"/>
                    </a:xfrm>
                    <a:prstGeom prst="rect">
                      <a:avLst/>
                    </a:prstGeom>
                  </pic:spPr>
                </pic:pic>
              </a:graphicData>
            </a:graphic>
          </wp:inline>
        </w:drawing>
      </w:r>
    </w:p>
    <w:p w14:paraId="3483D374" w14:textId="555B25F4" w:rsidR="000820C5" w:rsidRDefault="00CD27CB" w:rsidP="00CD27CB">
      <w:pPr>
        <w:pStyle w:val="Caption"/>
      </w:pPr>
      <w:bookmarkStart w:id="55" w:name="_Toc127110919"/>
      <w:r>
        <w:t xml:space="preserve">Figure </w:t>
      </w:r>
      <w:fldSimple w:instr=" SEQ Figure \* ARABIC ">
        <w:r w:rsidR="00A0212F">
          <w:rPr>
            <w:noProof/>
          </w:rPr>
          <w:t>25</w:t>
        </w:r>
      </w:fldSimple>
      <w:r>
        <w:t xml:space="preserve"> An illustration of the 25Kg pilot scale coke oven at Port Talbot</w:t>
      </w:r>
      <w:r w:rsidR="00CA3481">
        <w:t>,</w:t>
      </w:r>
      <w:r w:rsidR="00B45A47">
        <w:t xml:space="preserve"> </w:t>
      </w:r>
      <w:r w:rsidR="005F5042">
        <w:t xml:space="preserve">illustration </w:t>
      </w:r>
      <w:r w:rsidR="00CA3481">
        <w:t>made by the author</w:t>
      </w:r>
      <w:r w:rsidR="006A730B">
        <w:t>.</w:t>
      </w:r>
      <w:bookmarkEnd w:id="55"/>
    </w:p>
    <w:p w14:paraId="7DAF8FE4" w14:textId="77777777" w:rsidR="00C20227" w:rsidRDefault="00330784" w:rsidP="00BB64E0">
      <w:pPr>
        <w:spacing w:line="360" w:lineRule="auto"/>
        <w:jc w:val="both"/>
      </w:pPr>
      <w:r>
        <w:t xml:space="preserve">The biochar will be assessed against a </w:t>
      </w:r>
      <w:r w:rsidR="004D66C0">
        <w:t xml:space="preserve">coal used </w:t>
      </w:r>
      <w:r w:rsidR="008379A6">
        <w:t>at Port Talbot steelworks called Riverside</w:t>
      </w:r>
      <w:r w:rsidR="00A83A68">
        <w:t>. Riverside is a high-quality Australian coking coal.</w:t>
      </w:r>
      <w:r>
        <w:t xml:space="preserve"> </w:t>
      </w:r>
      <w:r w:rsidR="00A83A68">
        <w:t>E</w:t>
      </w:r>
      <w:r w:rsidR="001C75D3">
        <w:t xml:space="preserve">ach biochar will be </w:t>
      </w:r>
      <w:r w:rsidR="00A32808">
        <w:t>blended</w:t>
      </w:r>
      <w:r w:rsidR="001C75D3">
        <w:t xml:space="preserve"> </w:t>
      </w:r>
      <w:r w:rsidR="00A32808">
        <w:t>with</w:t>
      </w:r>
      <w:r w:rsidR="001C75D3">
        <w:t xml:space="preserve"> </w:t>
      </w:r>
      <w:r w:rsidR="00A83A68">
        <w:t xml:space="preserve">Riverside </w:t>
      </w:r>
      <w:r w:rsidR="001C75D3">
        <w:t>in increments of 3%, 5% and 7</w:t>
      </w:r>
      <w:r w:rsidR="00C20227">
        <w:t>.5</w:t>
      </w:r>
      <w:r w:rsidR="001C75D3">
        <w:t>% addi</w:t>
      </w:r>
      <w:r w:rsidR="002204F2">
        <w:t>tion.</w:t>
      </w:r>
      <w:r w:rsidR="00BF49D1">
        <w:t xml:space="preserve"> </w:t>
      </w:r>
    </w:p>
    <w:p w14:paraId="5366CD6C" w14:textId="14A607E1" w:rsidR="00143238" w:rsidRDefault="00143238" w:rsidP="00143238">
      <w:pPr>
        <w:spacing w:line="360" w:lineRule="auto"/>
        <w:jc w:val="both"/>
      </w:pPr>
      <w:r>
        <w:t>Riverside coal was sampled from a stockpile, 50 shovel loads of material were collected from around the stockpile at evenly spaced points</w:t>
      </w:r>
      <w:r w:rsidR="009D141E">
        <w:t xml:space="preserve"> </w:t>
      </w:r>
      <w:r w:rsidR="00A53452">
        <w:t>(5 meters)</w:t>
      </w:r>
      <w:r>
        <w:t xml:space="preserve">. The heights of the sample points were varied to avoid material size bias. </w:t>
      </w:r>
      <w:r w:rsidR="005C77FA">
        <w:t>Auto</w:t>
      </w:r>
      <w:r w:rsidR="004264F3">
        <w:t>-</w:t>
      </w:r>
      <w:r w:rsidR="005C77FA">
        <w:t>sampling</w:t>
      </w:r>
      <w:r>
        <w:t xml:space="preserve"> is </w:t>
      </w:r>
      <w:r w:rsidR="005C77FA">
        <w:t>preferred</w:t>
      </w:r>
      <w:r>
        <w:t xml:space="preserve"> by the ISO standard however there are no coal autosamplers or belt sampling points onsite. </w:t>
      </w:r>
      <w:r w:rsidR="00FC6F4C">
        <w:t>Manual</w:t>
      </w:r>
      <w:r w:rsidR="005C77FA">
        <w:t xml:space="preserve"> sampling is </w:t>
      </w:r>
      <w:r w:rsidR="003A5F80">
        <w:t>permitted</w:t>
      </w:r>
      <w:r w:rsidR="00C10D35">
        <w:t xml:space="preserve"> by </w:t>
      </w:r>
      <w:r w:rsidR="00DD43CE">
        <w:t>the ISO standard</w:t>
      </w:r>
      <w:r w:rsidR="003A5F80">
        <w:t>,</w:t>
      </w:r>
      <w:r w:rsidR="005C77FA">
        <w:t xml:space="preserve"> however.</w:t>
      </w:r>
    </w:p>
    <w:p w14:paraId="4515C311" w14:textId="388F978B" w:rsidR="00C20227" w:rsidRDefault="00C20227" w:rsidP="00BB64E0">
      <w:pPr>
        <w:spacing w:line="360" w:lineRule="auto"/>
        <w:jc w:val="both"/>
      </w:pPr>
      <w:r>
        <w:t>To mimic the coal charged into the Morfa coke ovens at Port Talbot, t</w:t>
      </w:r>
      <w:r w:rsidR="00BF49D1">
        <w:t>h</w:t>
      </w:r>
      <w:r w:rsidR="00FF2C41">
        <w:t xml:space="preserve">e </w:t>
      </w:r>
      <w:r>
        <w:t>Riverside coal and the biochar samples will be passed through a hammer mill, set to crush the materials to 80% &gt; 3.175mm and 40% &gt; 0.5mm and the</w:t>
      </w:r>
      <w:r w:rsidR="009E0339">
        <w:t xml:space="preserve"> bulk density will be </w:t>
      </w:r>
      <w:r w:rsidR="00ED4FA9">
        <w:t>750</w:t>
      </w:r>
      <w:r w:rsidR="002943E7">
        <w:t xml:space="preserve"> </w:t>
      </w:r>
      <w:r w:rsidR="00ED4FA9">
        <w:t>Kg/m</w:t>
      </w:r>
      <w:r w:rsidR="00ED4FA9" w:rsidRPr="008E4C8B">
        <w:rPr>
          <w:vertAlign w:val="superscript"/>
        </w:rPr>
        <w:t>3</w:t>
      </w:r>
      <w:r w:rsidR="00ED4FA9">
        <w:t xml:space="preserve"> dry</w:t>
      </w:r>
      <w:r>
        <w:t xml:space="preserve">. </w:t>
      </w:r>
    </w:p>
    <w:p w14:paraId="0561F67E" w14:textId="38B1A9A6" w:rsidR="00143238" w:rsidRDefault="00143238" w:rsidP="00BB64E0">
      <w:pPr>
        <w:spacing w:line="360" w:lineRule="auto"/>
        <w:jc w:val="both"/>
      </w:pPr>
      <w:r>
        <w:t>The Riverside coal and Biochar blends were tested in duplicate 2x 25Kg charges, to calculate the biochar additions the total blend weight the following calculation was applied.</w:t>
      </w:r>
    </w:p>
    <w:p w14:paraId="7A1F814D" w14:textId="7A2D4107" w:rsidR="00143238" w:rsidRPr="00CA0347" w:rsidRDefault="00143238" w:rsidP="00BB64E0">
      <w:pPr>
        <w:spacing w:line="360" w:lineRule="auto"/>
        <w:jc w:val="both"/>
        <w:rPr>
          <w:rFonts w:eastAsiaTheme="minorEastAsia"/>
        </w:rPr>
      </w:pPr>
      <m:oMathPara>
        <m:oMath>
          <m:r>
            <w:rPr>
              <w:rFonts w:ascii="Cambria Math" w:hAnsi="Cambria Math"/>
            </w:rPr>
            <m:t>Biochar addition=Tw*(</m:t>
          </m:r>
          <m:f>
            <m:fPr>
              <m:ctrlPr>
                <w:rPr>
                  <w:rFonts w:ascii="Cambria Math" w:hAnsi="Cambria Math"/>
                  <w:i/>
                </w:rPr>
              </m:ctrlPr>
            </m:fPr>
            <m:num>
              <m:r>
                <w:rPr>
                  <w:rFonts w:ascii="Cambria Math" w:hAnsi="Cambria Math"/>
                </w:rPr>
                <m:t>B%</m:t>
              </m:r>
            </m:num>
            <m:den>
              <m:r>
                <w:rPr>
                  <w:rFonts w:ascii="Cambria Math" w:hAnsi="Cambria Math"/>
                </w:rPr>
                <m:t>100</m:t>
              </m:r>
            </m:den>
          </m:f>
          <m:r>
            <w:rPr>
              <w:rFonts w:ascii="Cambria Math" w:hAnsi="Cambria Math"/>
            </w:rPr>
            <m:t>)</m:t>
          </m:r>
        </m:oMath>
      </m:oMathPara>
    </w:p>
    <w:p w14:paraId="3524912C" w14:textId="50FA661E" w:rsidR="00CA0347" w:rsidRDefault="00CA0347" w:rsidP="00BB64E0">
      <w:pPr>
        <w:spacing w:line="360" w:lineRule="auto"/>
        <w:jc w:val="both"/>
        <w:rPr>
          <w:rFonts w:eastAsiaTheme="minorEastAsia"/>
        </w:rPr>
      </w:pPr>
      <w:r>
        <w:rPr>
          <w:rFonts w:eastAsiaTheme="minorEastAsia"/>
        </w:rPr>
        <w:t>Where: Tw is the total weight of the duplicate charge = 50Kg</w:t>
      </w:r>
    </w:p>
    <w:p w14:paraId="312C60D2" w14:textId="119E6C28" w:rsidR="00CA0347" w:rsidRDefault="00CA0347" w:rsidP="00BB64E0">
      <w:pPr>
        <w:spacing w:line="360" w:lineRule="auto"/>
        <w:jc w:val="both"/>
        <w:rPr>
          <w:rFonts w:eastAsiaTheme="minorEastAsia"/>
        </w:rPr>
      </w:pPr>
      <w:r>
        <w:rPr>
          <w:rFonts w:eastAsiaTheme="minorEastAsia"/>
        </w:rPr>
        <w:tab/>
        <w:t>B% is the biochar addition</w:t>
      </w:r>
      <w:r w:rsidR="00BF620B">
        <w:rPr>
          <w:rFonts w:eastAsiaTheme="minorEastAsia"/>
        </w:rPr>
        <w:t xml:space="preserve"> in Kg</w:t>
      </w:r>
      <w:r>
        <w:rPr>
          <w:rFonts w:eastAsiaTheme="minorEastAsia"/>
        </w:rPr>
        <w:t>.</w:t>
      </w:r>
    </w:p>
    <w:p w14:paraId="233B95DD" w14:textId="16A1D18E" w:rsidR="00CA0347" w:rsidRDefault="00CA0347" w:rsidP="00BB64E0">
      <w:pPr>
        <w:spacing w:line="360" w:lineRule="auto"/>
        <w:jc w:val="both"/>
        <w:rPr>
          <w:rFonts w:eastAsiaTheme="minorEastAsia"/>
        </w:rPr>
      </w:pPr>
      <w:r>
        <w:rPr>
          <w:rFonts w:eastAsiaTheme="minorEastAsia"/>
        </w:rPr>
        <w:lastRenderedPageBreak/>
        <w:t xml:space="preserve">An example would be for a biochar addition of </w:t>
      </w:r>
      <m:oMath>
        <m:r>
          <w:rPr>
            <w:rFonts w:ascii="Cambria Math" w:eastAsiaTheme="minorEastAsia" w:hAnsi="Cambria Math"/>
          </w:rPr>
          <m:t>x= 50*(</m:t>
        </m:r>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100</m:t>
            </m:r>
          </m:den>
        </m:f>
        <m:r>
          <w:rPr>
            <w:rFonts w:ascii="Cambria Math" w:eastAsiaTheme="minorEastAsia" w:hAnsi="Cambria Math"/>
          </w:rPr>
          <m:t>)</m:t>
        </m:r>
      </m:oMath>
      <w:r>
        <w:rPr>
          <w:rFonts w:eastAsiaTheme="minorEastAsia"/>
        </w:rPr>
        <w:t xml:space="preserve"> which equals 1.5Kg of Biochar. The blend would consist of 48.5</w:t>
      </w:r>
      <w:r w:rsidR="00BF620B">
        <w:rPr>
          <w:rFonts w:eastAsiaTheme="minorEastAsia"/>
        </w:rPr>
        <w:t xml:space="preserve"> </w:t>
      </w:r>
      <w:r>
        <w:rPr>
          <w:rFonts w:eastAsiaTheme="minorEastAsia"/>
        </w:rPr>
        <w:t>Kg of Riverside coal and 1.5</w:t>
      </w:r>
      <w:r w:rsidR="00BF620B">
        <w:rPr>
          <w:rFonts w:eastAsiaTheme="minorEastAsia"/>
        </w:rPr>
        <w:t xml:space="preserve"> </w:t>
      </w:r>
      <w:r>
        <w:rPr>
          <w:rFonts w:eastAsiaTheme="minorEastAsia"/>
        </w:rPr>
        <w:t>Kg of biochar.</w:t>
      </w:r>
    </w:p>
    <w:p w14:paraId="1FB2762B" w14:textId="384AAF0A" w:rsidR="00330784" w:rsidRDefault="00C20227" w:rsidP="00BB64E0">
      <w:pPr>
        <w:spacing w:line="360" w:lineRule="auto"/>
        <w:jc w:val="both"/>
      </w:pPr>
      <w:r>
        <w:t>T</w:t>
      </w:r>
      <w:r w:rsidR="00ED4FA9">
        <w:t xml:space="preserve">he </w:t>
      </w:r>
      <w:r>
        <w:t>moisture of the charges will be set at</w:t>
      </w:r>
      <w:r w:rsidR="00ED4FA9">
        <w:t xml:space="preserve"> 9.5%</w:t>
      </w:r>
      <w:r w:rsidR="0056207E">
        <w:t>, this is to reduce variation across tests</w:t>
      </w:r>
      <w:r w:rsidR="00ED4FA9">
        <w:t>.</w:t>
      </w:r>
      <w:r w:rsidR="004000CB">
        <w:t xml:space="preserve"> </w:t>
      </w:r>
      <w:r w:rsidR="00C954AD">
        <w:t>Adding water to the coal to increase moisture content is a lot less labour intensive than drying the coal to reduce</w:t>
      </w:r>
      <w:r w:rsidR="00CE65CA">
        <w:t xml:space="preserve"> moisture content. The figure 9.5%</w:t>
      </w:r>
      <w:r w:rsidR="0009107F">
        <w:t xml:space="preserve"> was c</w:t>
      </w:r>
      <w:r w:rsidR="00867FA6">
        <w:t>hosen as the majority of coal sampled is less than 9.5%.</w:t>
      </w:r>
      <w:r w:rsidR="009E0339">
        <w:t xml:space="preserve"> </w:t>
      </w:r>
      <w:r w:rsidR="00CA0347">
        <w:t>In all cases for this project the moisture was measured &gt;9.5 %, meaning water needed to be added to the charge. The calculation used to assess the required water addition was:</w:t>
      </w:r>
    </w:p>
    <w:p w14:paraId="4F4D4647" w14:textId="688A4B8E" w:rsidR="00CA0347" w:rsidRPr="00CA0347" w:rsidRDefault="00CA0347" w:rsidP="00BB64E0">
      <w:pPr>
        <w:spacing w:line="360" w:lineRule="auto"/>
        <w:jc w:val="both"/>
        <w:rPr>
          <w:rFonts w:eastAsiaTheme="minorEastAsia"/>
        </w:rPr>
      </w:pPr>
      <m:oMathPara>
        <m:oMath>
          <m:r>
            <w:rPr>
              <w:rFonts w:ascii="Cambria Math" w:hAnsi="Cambria Math"/>
            </w:rPr>
            <m:t>Wa=</m:t>
          </m:r>
          <m:d>
            <m:dPr>
              <m:ctrlPr>
                <w:rPr>
                  <w:rFonts w:ascii="Cambria Math" w:hAnsi="Cambria Math"/>
                  <w:i/>
                </w:rPr>
              </m:ctrlPr>
            </m:dPr>
            <m:e>
              <m:f>
                <m:fPr>
                  <m:ctrlPr>
                    <w:rPr>
                      <w:rFonts w:ascii="Cambria Math" w:hAnsi="Cambria Math"/>
                      <w:i/>
                    </w:rPr>
                  </m:ctrlPr>
                </m:fPr>
                <m:num>
                  <m:r>
                    <w:rPr>
                      <w:rFonts w:ascii="Cambria Math" w:hAnsi="Cambria Math"/>
                    </w:rPr>
                    <m:t>9.5-M%</m:t>
                  </m:r>
                </m:num>
                <m:den>
                  <m:r>
                    <w:rPr>
                      <w:rFonts w:ascii="Cambria Math" w:hAnsi="Cambria Math"/>
                    </w:rPr>
                    <m:t>100</m:t>
                  </m:r>
                </m:den>
              </m:f>
            </m:e>
          </m:d>
          <m:r>
            <w:rPr>
              <w:rFonts w:ascii="Cambria Math" w:hAnsi="Cambria Math"/>
            </w:rPr>
            <m:t>*Tw</m:t>
          </m:r>
        </m:oMath>
      </m:oMathPara>
    </w:p>
    <w:p w14:paraId="20C985BF" w14:textId="34E5D89D" w:rsidR="00CA0347" w:rsidRDefault="00CA0347" w:rsidP="00BB64E0">
      <w:pPr>
        <w:spacing w:line="360" w:lineRule="auto"/>
        <w:jc w:val="both"/>
        <w:rPr>
          <w:rFonts w:eastAsiaTheme="minorEastAsia"/>
        </w:rPr>
      </w:pPr>
      <w:r>
        <w:rPr>
          <w:rFonts w:eastAsiaTheme="minorEastAsia"/>
        </w:rPr>
        <w:t>Where</w:t>
      </w:r>
      <w:r w:rsidR="000E59FA">
        <w:rPr>
          <w:rFonts w:eastAsiaTheme="minorEastAsia"/>
        </w:rPr>
        <w:t>:</w:t>
      </w:r>
      <w:r>
        <w:rPr>
          <w:rFonts w:eastAsiaTheme="minorEastAsia"/>
        </w:rPr>
        <w:t xml:space="preserve"> </w:t>
      </w:r>
      <w:proofErr w:type="spellStart"/>
      <w:r>
        <w:rPr>
          <w:rFonts w:eastAsiaTheme="minorEastAsia"/>
        </w:rPr>
        <w:t>Wa</w:t>
      </w:r>
      <w:proofErr w:type="spellEnd"/>
      <w:r>
        <w:rPr>
          <w:rFonts w:eastAsiaTheme="minorEastAsia"/>
        </w:rPr>
        <w:t xml:space="preserve"> is the water addition required</w:t>
      </w:r>
      <w:r w:rsidR="00BF620B">
        <w:rPr>
          <w:rFonts w:eastAsiaTheme="minorEastAsia"/>
        </w:rPr>
        <w:t xml:space="preserve"> in Litres</w:t>
      </w:r>
    </w:p>
    <w:p w14:paraId="271E91BF" w14:textId="559FF1C0" w:rsidR="00CA0347" w:rsidRDefault="00CA0347" w:rsidP="00BB64E0">
      <w:pPr>
        <w:spacing w:line="360" w:lineRule="auto"/>
        <w:jc w:val="both"/>
        <w:rPr>
          <w:rFonts w:eastAsiaTheme="minorEastAsia"/>
        </w:rPr>
      </w:pPr>
      <w:r>
        <w:rPr>
          <w:rFonts w:eastAsiaTheme="minorEastAsia"/>
        </w:rPr>
        <w:tab/>
        <w:t xml:space="preserve">M5 is the measured moisture </w:t>
      </w:r>
      <w:r w:rsidR="006A730B">
        <w:rPr>
          <w:rFonts w:eastAsiaTheme="minorEastAsia"/>
        </w:rPr>
        <w:t>percentage.</w:t>
      </w:r>
    </w:p>
    <w:p w14:paraId="6EE15F08" w14:textId="2AE9A39E" w:rsidR="00CA0347" w:rsidRDefault="00CA0347" w:rsidP="00BB64E0">
      <w:pPr>
        <w:spacing w:line="360" w:lineRule="auto"/>
        <w:jc w:val="both"/>
        <w:rPr>
          <w:rFonts w:eastAsiaTheme="minorEastAsia"/>
        </w:rPr>
      </w:pPr>
      <w:r>
        <w:rPr>
          <w:rFonts w:eastAsiaTheme="minorEastAsia"/>
        </w:rPr>
        <w:tab/>
        <w:t>Tw is the total charge weight</w:t>
      </w:r>
      <w:r w:rsidR="00BF620B">
        <w:rPr>
          <w:rFonts w:eastAsiaTheme="minorEastAsia"/>
        </w:rPr>
        <w:t xml:space="preserve"> in Kg</w:t>
      </w:r>
    </w:p>
    <w:p w14:paraId="2D6C67DD" w14:textId="3FFD7530" w:rsidR="00CA0347" w:rsidRDefault="00CA0347" w:rsidP="00BB64E0">
      <w:pPr>
        <w:spacing w:line="360" w:lineRule="auto"/>
        <w:jc w:val="both"/>
        <w:rPr>
          <w:rFonts w:eastAsiaTheme="minorEastAsia"/>
        </w:rPr>
      </w:pPr>
      <w:r>
        <w:rPr>
          <w:rFonts w:eastAsiaTheme="minorEastAsia"/>
        </w:rPr>
        <w:t>An example would be</w:t>
      </w:r>
      <w:r w:rsidR="00BF620B">
        <w:rPr>
          <w:rFonts w:eastAsiaTheme="minorEastAsia"/>
        </w:rPr>
        <w:t xml:space="preserve"> for a charge measuring 8.4% moisture =</w:t>
      </w:r>
      <w:r>
        <w:rPr>
          <w:rFonts w:eastAsiaTheme="minorEastAsia"/>
        </w:rPr>
        <w:t xml:space="preserve"> </w:t>
      </w:r>
      <m:oMath>
        <m:r>
          <w:rPr>
            <w:rFonts w:ascii="Cambria Math" w:eastAsiaTheme="minorEastAsia" w:hAnsi="Cambria Math"/>
          </w:rPr>
          <m:t>Wa=</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9.5-8.4</m:t>
                </m:r>
              </m:num>
              <m:den>
                <m:r>
                  <w:rPr>
                    <w:rFonts w:ascii="Cambria Math" w:eastAsiaTheme="minorEastAsia" w:hAnsi="Cambria Math"/>
                  </w:rPr>
                  <m:t>100</m:t>
                </m:r>
              </m:den>
            </m:f>
          </m:e>
        </m:d>
        <m:r>
          <w:rPr>
            <w:rFonts w:ascii="Cambria Math" w:eastAsiaTheme="minorEastAsia" w:hAnsi="Cambria Math"/>
          </w:rPr>
          <m:t>*50 Kg</m:t>
        </m:r>
      </m:oMath>
      <w:r w:rsidR="00BF620B">
        <w:rPr>
          <w:rFonts w:eastAsiaTheme="minorEastAsia"/>
        </w:rPr>
        <w:t xml:space="preserve"> which equals 0.55 L of water addition to the charge. </w:t>
      </w:r>
    </w:p>
    <w:p w14:paraId="798598F0" w14:textId="1759B9C0" w:rsidR="00BF620B" w:rsidRDefault="00BF620B" w:rsidP="00BB64E0">
      <w:pPr>
        <w:spacing w:line="360" w:lineRule="auto"/>
        <w:jc w:val="both"/>
        <w:rPr>
          <w:rFonts w:eastAsiaTheme="minorEastAsia"/>
        </w:rPr>
      </w:pPr>
      <w:r>
        <w:rPr>
          <w:rFonts w:eastAsiaTheme="minorEastAsia"/>
        </w:rPr>
        <w:t xml:space="preserve">The riverside coal is weighed out and </w:t>
      </w:r>
      <w:r w:rsidR="00EB2200">
        <w:rPr>
          <w:rFonts w:eastAsiaTheme="minorEastAsia"/>
        </w:rPr>
        <w:t>decanted</w:t>
      </w:r>
      <w:r>
        <w:rPr>
          <w:rFonts w:eastAsiaTheme="minorEastAsia"/>
        </w:rPr>
        <w:t xml:space="preserve"> into a cement mixer, the biochar is then weighed out and added, while the materials are mixing the water is sprayed onto the material in the cement mixer.</w:t>
      </w:r>
    </w:p>
    <w:p w14:paraId="65A79577" w14:textId="767F77F4" w:rsidR="00AA31F2" w:rsidRDefault="000E59FA" w:rsidP="00BB64E0">
      <w:pPr>
        <w:spacing w:line="360" w:lineRule="auto"/>
        <w:jc w:val="both"/>
        <w:rPr>
          <w:rFonts w:eastAsiaTheme="minorEastAsia"/>
        </w:rPr>
      </w:pPr>
      <w:r>
        <w:rPr>
          <w:rFonts w:eastAsiaTheme="minorEastAsia"/>
        </w:rPr>
        <w:t>A</w:t>
      </w:r>
      <w:r w:rsidR="00AA31F2">
        <w:rPr>
          <w:rFonts w:eastAsiaTheme="minorEastAsia"/>
        </w:rPr>
        <w:t xml:space="preserve"> cardboard box placed inside the refractory cassette to</w:t>
      </w:r>
      <w:r>
        <w:rPr>
          <w:rFonts w:eastAsiaTheme="minorEastAsia"/>
        </w:rPr>
        <w:t xml:space="preserve"> contain the coal</w:t>
      </w:r>
      <w:r w:rsidR="00AA31F2">
        <w:rPr>
          <w:rFonts w:eastAsiaTheme="minorEastAsia"/>
        </w:rPr>
        <w:t>. Lines are drawn inside the cardboard box using a template</w:t>
      </w:r>
      <w:r w:rsidR="007C00B4">
        <w:rPr>
          <w:rFonts w:eastAsiaTheme="minorEastAsia"/>
        </w:rPr>
        <w:t>, see figure 26</w:t>
      </w:r>
      <w:r w:rsidR="00AA31F2">
        <w:rPr>
          <w:rFonts w:eastAsiaTheme="minorEastAsia"/>
        </w:rPr>
        <w:t>. A known mass of coal is then compacted into the known volume of space inside the box which results in the required coal density</w:t>
      </w:r>
      <w:r w:rsidR="007C00B4">
        <w:rPr>
          <w:rFonts w:eastAsiaTheme="minorEastAsia"/>
        </w:rPr>
        <w:t xml:space="preserve"> (figure 27)</w:t>
      </w:r>
      <w:r w:rsidR="00AA31F2">
        <w:rPr>
          <w:rFonts w:eastAsiaTheme="minorEastAsia"/>
        </w:rPr>
        <w:t>.</w:t>
      </w:r>
    </w:p>
    <w:p w14:paraId="653F79B2" w14:textId="73818405" w:rsidR="00AA31F2" w:rsidRDefault="00AA31F2" w:rsidP="00BB64E0">
      <w:pPr>
        <w:spacing w:line="360" w:lineRule="auto"/>
        <w:jc w:val="both"/>
        <w:rPr>
          <w:rFonts w:eastAsiaTheme="minorEastAsia"/>
        </w:rPr>
      </w:pPr>
      <w:r w:rsidRPr="00AA31F2">
        <w:rPr>
          <w:rFonts w:eastAsiaTheme="minorEastAsia"/>
          <w:noProof/>
        </w:rPr>
        <w:drawing>
          <wp:inline distT="0" distB="0" distL="0" distR="0" wp14:anchorId="1F13730F" wp14:editId="0368277A">
            <wp:extent cx="2867024" cy="202758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874338" cy="2032755"/>
                    </a:xfrm>
                    <a:prstGeom prst="rect">
                      <a:avLst/>
                    </a:prstGeom>
                  </pic:spPr>
                </pic:pic>
              </a:graphicData>
            </a:graphic>
          </wp:inline>
        </w:drawing>
      </w:r>
      <w:r>
        <w:rPr>
          <w:rFonts w:eastAsiaTheme="minorEastAsia"/>
        </w:rPr>
        <w:t xml:space="preserve">         </w:t>
      </w:r>
      <w:r w:rsidRPr="00AA31F2">
        <w:rPr>
          <w:rFonts w:eastAsiaTheme="minorEastAsia"/>
          <w:noProof/>
        </w:rPr>
        <w:drawing>
          <wp:inline distT="0" distB="0" distL="0" distR="0" wp14:anchorId="57174BA1" wp14:editId="1B23464D">
            <wp:extent cx="1653871" cy="2010901"/>
            <wp:effectExtent l="0" t="0" r="3810" b="889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rot="10800000" flipV="1">
                      <a:off x="0" y="0"/>
                      <a:ext cx="1708171" cy="2076923"/>
                    </a:xfrm>
                    <a:prstGeom prst="rect">
                      <a:avLst/>
                    </a:prstGeom>
                  </pic:spPr>
                </pic:pic>
              </a:graphicData>
            </a:graphic>
          </wp:inline>
        </w:drawing>
      </w:r>
    </w:p>
    <w:p w14:paraId="4AB2B6CA" w14:textId="35F8BB9D" w:rsidR="00AA31F2" w:rsidRDefault="00AA31F2" w:rsidP="00AA31F2">
      <w:pPr>
        <w:pStyle w:val="Caption"/>
        <w:rPr>
          <w:rFonts w:eastAsiaTheme="minorEastAsia"/>
        </w:rPr>
      </w:pPr>
      <w:bookmarkStart w:id="56" w:name="_Toc127110920"/>
      <w:r>
        <w:t xml:space="preserve">Figure </w:t>
      </w:r>
      <w:fldSimple w:instr=" SEQ Figure \* ARABIC ">
        <w:r w:rsidR="00A0212F">
          <w:rPr>
            <w:noProof/>
          </w:rPr>
          <w:t>26</w:t>
        </w:r>
      </w:fldSimple>
      <w:r>
        <w:t xml:space="preserve"> Preparing the coal charge</w:t>
      </w:r>
      <w:bookmarkEnd w:id="56"/>
      <w:r w:rsidR="00D647DA">
        <w:t xml:space="preserve">. </w:t>
      </w:r>
      <w:proofErr w:type="spellStart"/>
      <w:r w:rsidR="00D647DA">
        <w:t>Photo’s</w:t>
      </w:r>
      <w:proofErr w:type="spellEnd"/>
      <w:r w:rsidR="00D647DA">
        <w:t xml:space="preserve"> taken by author.</w:t>
      </w:r>
    </w:p>
    <w:p w14:paraId="5930A418" w14:textId="691DF1A3" w:rsidR="00C044F0" w:rsidRDefault="00AA31F2" w:rsidP="00BB64E0">
      <w:pPr>
        <w:spacing w:line="360" w:lineRule="auto"/>
        <w:jc w:val="both"/>
        <w:rPr>
          <w:rFonts w:eastAsiaTheme="minorEastAsia"/>
        </w:rPr>
      </w:pPr>
      <w:r w:rsidRPr="00AA31F2">
        <w:rPr>
          <w:rFonts w:eastAsiaTheme="minorEastAsia"/>
          <w:noProof/>
        </w:rPr>
        <w:lastRenderedPageBreak/>
        <w:drawing>
          <wp:inline distT="0" distB="0" distL="0" distR="0" wp14:anchorId="4E6DBABE" wp14:editId="46B67033">
            <wp:extent cx="3928262" cy="186794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942944" cy="1874930"/>
                    </a:xfrm>
                    <a:prstGeom prst="rect">
                      <a:avLst/>
                    </a:prstGeom>
                  </pic:spPr>
                </pic:pic>
              </a:graphicData>
            </a:graphic>
          </wp:inline>
        </w:drawing>
      </w:r>
    </w:p>
    <w:p w14:paraId="3CCBDA46" w14:textId="7C8BCD17" w:rsidR="00AA31F2" w:rsidRDefault="00AA31F2" w:rsidP="00AA31F2">
      <w:pPr>
        <w:pStyle w:val="Caption"/>
      </w:pPr>
      <w:bookmarkStart w:id="57" w:name="_Toc127110921"/>
      <w:r>
        <w:t xml:space="preserve">Figure </w:t>
      </w:r>
      <w:fldSimple w:instr=" SEQ Figure \* ARABIC ">
        <w:r w:rsidR="00A0212F">
          <w:rPr>
            <w:noProof/>
          </w:rPr>
          <w:t>27</w:t>
        </w:r>
      </w:fldSimple>
      <w:r>
        <w:t xml:space="preserve"> The coal density calculation</w:t>
      </w:r>
      <w:bookmarkEnd w:id="57"/>
      <w:r>
        <w:t xml:space="preserve"> </w:t>
      </w:r>
    </w:p>
    <w:p w14:paraId="66538F2C" w14:textId="580825EE" w:rsidR="000E59FA" w:rsidRPr="000E59FA" w:rsidRDefault="000E59FA" w:rsidP="00287016">
      <w:pPr>
        <w:spacing w:line="360" w:lineRule="auto"/>
        <w:jc w:val="both"/>
      </w:pPr>
      <w:r>
        <w:t xml:space="preserve">The cassette is then charged into the PO and left for </w:t>
      </w:r>
      <w:r w:rsidR="00287016">
        <w:t xml:space="preserve">18 </w:t>
      </w:r>
      <w:r>
        <w:t>hours</w:t>
      </w:r>
      <w:r w:rsidR="00287016">
        <w:t>. After which the cassette is discharged into a steel water-cooled jacket</w:t>
      </w:r>
      <w:r w:rsidR="006F7BEA">
        <w:t xml:space="preserve"> and left to cool</w:t>
      </w:r>
      <w:r w:rsidR="00287016">
        <w:t>.</w:t>
      </w:r>
    </w:p>
    <w:p w14:paraId="727845C4" w14:textId="7BFA3573" w:rsidR="00015D27" w:rsidRPr="00D91A52" w:rsidRDefault="00015D27" w:rsidP="00BB64E0">
      <w:pPr>
        <w:spacing w:line="360" w:lineRule="auto"/>
        <w:jc w:val="both"/>
      </w:pPr>
      <w:r>
        <w:t xml:space="preserve">The coke produced in the </w:t>
      </w:r>
      <w:r w:rsidR="00B9483C">
        <w:t xml:space="preserve">PSCO </w:t>
      </w:r>
      <w:r w:rsidR="00287016">
        <w:t>was then</w:t>
      </w:r>
      <w:r w:rsidR="00824312">
        <w:t xml:space="preserve"> assessed for its quality using the tests described below.</w:t>
      </w:r>
    </w:p>
    <w:p w14:paraId="335E8BC8" w14:textId="4E605EBD" w:rsidR="0072037B" w:rsidRDefault="0072037B" w:rsidP="00465187">
      <w:pPr>
        <w:pStyle w:val="Heading3"/>
        <w:spacing w:line="360" w:lineRule="auto"/>
        <w:jc w:val="both"/>
      </w:pPr>
      <w:bookmarkStart w:id="58" w:name="_Toc128599614"/>
      <w:r w:rsidRPr="00342228">
        <w:t xml:space="preserve">1/5th </w:t>
      </w:r>
      <w:proofErr w:type="spellStart"/>
      <w:r w:rsidR="00C23DB2">
        <w:t>M</w:t>
      </w:r>
      <w:r w:rsidRPr="00342228">
        <w:t>icum</w:t>
      </w:r>
      <w:proofErr w:type="spellEnd"/>
      <w:r w:rsidR="004C7CFB">
        <w:t xml:space="preserve"> – </w:t>
      </w:r>
      <w:r w:rsidR="00D1197D">
        <w:t>Mechanical</w:t>
      </w:r>
      <w:r w:rsidR="004C7CFB">
        <w:t xml:space="preserve"> Strength</w:t>
      </w:r>
      <w:bookmarkEnd w:id="58"/>
    </w:p>
    <w:p w14:paraId="6641921C" w14:textId="77777777" w:rsidR="00F8741B" w:rsidRDefault="002A0479" w:rsidP="00465187">
      <w:pPr>
        <w:spacing w:line="360" w:lineRule="auto"/>
        <w:jc w:val="both"/>
      </w:pPr>
      <w:r>
        <w:t xml:space="preserve">During its transportation from the coke ovens to the </w:t>
      </w:r>
      <w:r w:rsidR="004A40B9">
        <w:t>BF</w:t>
      </w:r>
      <w:r>
        <w:t>, the coke will be handled several times</w:t>
      </w:r>
      <w:r w:rsidR="009567C6">
        <w:t>, through conveyors, stockpiles and bunkers before finally being charged through the top of the BF</w:t>
      </w:r>
      <w:r w:rsidR="004A40B9">
        <w:t>. This handling will result in some degradation</w:t>
      </w:r>
      <w:r w:rsidR="002F1C31">
        <w:t xml:space="preserve"> due to abrasion and shock. The resistance to this degradation is measured </w:t>
      </w:r>
      <w:r w:rsidR="00152293">
        <w:t xml:space="preserve">using a test called the </w:t>
      </w:r>
      <w:proofErr w:type="spellStart"/>
      <w:r w:rsidR="00152293">
        <w:t>micum</w:t>
      </w:r>
      <w:proofErr w:type="spellEnd"/>
      <w:r w:rsidR="00152293">
        <w:t xml:space="preserve"> test</w:t>
      </w:r>
      <w:r w:rsidR="006A13B0">
        <w:t>.</w:t>
      </w:r>
      <w:r w:rsidR="00152293">
        <w:t xml:space="preserve"> </w:t>
      </w:r>
    </w:p>
    <w:p w14:paraId="640AAF8E" w14:textId="439AAC02" w:rsidR="00EB6D3A" w:rsidRDefault="006F7BEA" w:rsidP="00465187">
      <w:pPr>
        <w:spacing w:line="360" w:lineRule="auto"/>
        <w:jc w:val="both"/>
      </w:pPr>
      <w:r>
        <w:t>The coke</w:t>
      </w:r>
      <w:r w:rsidR="001A6D3E">
        <w:t xml:space="preserve"> sample is </w:t>
      </w:r>
      <w:r w:rsidR="00390745">
        <w:t>screened</w:t>
      </w:r>
      <w:r w:rsidR="001A6D3E">
        <w:t xml:space="preserve"> </w:t>
      </w:r>
      <w:r w:rsidR="008C45B0">
        <w:t xml:space="preserve">and a composite sample is made up </w:t>
      </w:r>
      <w:r w:rsidR="00390745">
        <w:t xml:space="preserve">of </w:t>
      </w:r>
      <w:r w:rsidR="00335444">
        <w:t>the</w:t>
      </w:r>
      <w:r w:rsidR="00390745">
        <w:t xml:space="preserve"> </w:t>
      </w:r>
      <w:r w:rsidR="00335444">
        <w:t xml:space="preserve">representative size </w:t>
      </w:r>
      <w:r w:rsidR="0081306F">
        <w:t>distribution of coke +40 mm.</w:t>
      </w:r>
      <w:r w:rsidR="00AF0599">
        <w:t xml:space="preserve"> This composite sample is the</w:t>
      </w:r>
      <w:r w:rsidR="00F8741B">
        <w:t>n</w:t>
      </w:r>
      <w:r w:rsidR="00AF0599">
        <w:t xml:space="preserve"> subjected to 100 revolutions</w:t>
      </w:r>
      <w:r w:rsidR="00335444">
        <w:t xml:space="preserve"> </w:t>
      </w:r>
      <w:r w:rsidR="00AF0599">
        <w:t>inside a</w:t>
      </w:r>
      <w:r w:rsidR="00BD4E59">
        <w:t xml:space="preserve"> </w:t>
      </w:r>
      <w:r w:rsidR="00AF0599">
        <w:t>drum</w:t>
      </w:r>
      <w:r w:rsidR="00BD4E59">
        <w:t xml:space="preserve"> </w:t>
      </w:r>
      <w:r w:rsidR="00CF00C2">
        <w:t xml:space="preserve">at 25 rpm, </w:t>
      </w:r>
      <w:r w:rsidR="00BD4E59">
        <w:t>containing paddle lifters</w:t>
      </w:r>
      <w:r w:rsidR="007C00B4">
        <w:t>, as shown in figure 28</w:t>
      </w:r>
      <w:r w:rsidR="00BD4E59">
        <w:t xml:space="preserve">. The coke </w:t>
      </w:r>
      <w:r w:rsidR="009261DE">
        <w:t>is essentially subjected to a 100</w:t>
      </w:r>
      <w:r w:rsidR="00352688">
        <w:t xml:space="preserve"> </w:t>
      </w:r>
      <w:r w:rsidR="009261DE">
        <w:t>m drop.</w:t>
      </w:r>
      <w:r w:rsidR="00CF00C2">
        <w:t xml:space="preserve"> The coke is then rescreened</w:t>
      </w:r>
      <w:r w:rsidR="006965E6">
        <w:t xml:space="preserve"> and</w:t>
      </w:r>
      <w:r w:rsidR="0027475E">
        <w:t xml:space="preserve"> the percentage of coke</w:t>
      </w:r>
      <w:r w:rsidR="002524A7">
        <w:t xml:space="preserve"> left</w:t>
      </w:r>
      <w:r w:rsidR="0027475E">
        <w:t xml:space="preserve"> over 40</w:t>
      </w:r>
      <w:r w:rsidR="00E25935">
        <w:t xml:space="preserve"> </w:t>
      </w:r>
      <w:r w:rsidR="0027475E">
        <w:t>mm</w:t>
      </w:r>
      <w:r w:rsidR="006965E6">
        <w:t xml:space="preserve"> </w:t>
      </w:r>
      <w:r w:rsidR="00553BC4">
        <w:t>is called</w:t>
      </w:r>
      <w:r w:rsidR="006965E6">
        <w:t xml:space="preserve"> </w:t>
      </w:r>
      <w:r w:rsidR="00553BC4">
        <w:t xml:space="preserve">the </w:t>
      </w:r>
      <w:r w:rsidR="00D7169C">
        <w:t>M</w:t>
      </w:r>
      <w:r w:rsidR="00D7169C" w:rsidRPr="00421F3B">
        <w:rPr>
          <w:vertAlign w:val="subscript"/>
        </w:rPr>
        <w:t>40</w:t>
      </w:r>
      <w:r w:rsidR="00D7169C">
        <w:t xml:space="preserve"> </w:t>
      </w:r>
      <w:r w:rsidR="006965E6">
        <w:t>fracture index and</w:t>
      </w:r>
      <w:r w:rsidR="00421F3B">
        <w:t xml:space="preserve"> the percentage of coke under 10 mm</w:t>
      </w:r>
      <w:r w:rsidR="00E25935">
        <w:t xml:space="preserve"> is called the M</w:t>
      </w:r>
      <w:r w:rsidR="00E25935" w:rsidRPr="00E25935">
        <w:rPr>
          <w:vertAlign w:val="subscript"/>
        </w:rPr>
        <w:t>10</w:t>
      </w:r>
      <w:r w:rsidR="006965E6">
        <w:t xml:space="preserve"> abrasion index</w:t>
      </w:r>
      <w:r w:rsidR="006A13B0">
        <w:t xml:space="preserve"> </w:t>
      </w:r>
      <w:r w:rsidR="006A13B0">
        <w:fldChar w:fldCharType="begin"/>
      </w:r>
      <w:r w:rsidR="00192334">
        <w:instrText xml:space="preserve"> ADDIN ZOTERO_ITEM CSL_CITATION {"citationID":"034raWwM","properties":{"formattedCitation":"(Geerdes,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6A13B0">
        <w:fldChar w:fldCharType="separate"/>
      </w:r>
      <w:r w:rsidR="00192334" w:rsidRPr="00192334">
        <w:rPr>
          <w:rFonts w:ascii="Calibri" w:hAnsi="Calibri" w:cs="Calibri"/>
        </w:rPr>
        <w:t>(Geerdes, Toxopeus and Vliet, 2009)</w:t>
      </w:r>
      <w:r w:rsidR="006A13B0">
        <w:fldChar w:fldCharType="end"/>
      </w:r>
      <w:r w:rsidR="006965E6">
        <w:t>.</w:t>
      </w:r>
      <w:r w:rsidR="00C86D01">
        <w:t xml:space="preserve"> </w:t>
      </w:r>
    </w:p>
    <w:p w14:paraId="0D4577D7" w14:textId="561EDFFF" w:rsidR="003503E7" w:rsidRDefault="007F0120" w:rsidP="00465187">
      <w:pPr>
        <w:spacing w:line="360" w:lineRule="auto"/>
        <w:jc w:val="both"/>
      </w:pPr>
      <w:r>
        <w:t xml:space="preserve">As the coke produced in a PSCO weighs only </w:t>
      </w:r>
      <w:r w:rsidR="00067E0D">
        <w:t xml:space="preserve">~15Kg the </w:t>
      </w:r>
      <w:r w:rsidR="00CB17EF" w:rsidRPr="00CB17EF">
        <w:rPr>
          <w:rFonts w:hint="eastAsia"/>
        </w:rPr>
        <w:t>ISO 556-2020</w:t>
      </w:r>
      <w:r w:rsidR="000C56D1">
        <w:t xml:space="preserve"> standard does not apply, the standard states a full </w:t>
      </w:r>
      <w:proofErr w:type="spellStart"/>
      <w:r w:rsidR="000C56D1">
        <w:t>micum</w:t>
      </w:r>
      <w:proofErr w:type="spellEnd"/>
      <w:r w:rsidR="000C56D1">
        <w:t xml:space="preserve"> sample weight of 50 Kg or a half </w:t>
      </w:r>
      <w:proofErr w:type="spellStart"/>
      <w:r w:rsidR="000C56D1">
        <w:t>micum</w:t>
      </w:r>
      <w:proofErr w:type="spellEnd"/>
      <w:r w:rsidR="000C56D1">
        <w:t xml:space="preserve"> weight of </w:t>
      </w:r>
      <w:r w:rsidR="00BC473C">
        <w:t xml:space="preserve">25Kg. For the purposes of the PSCO, a 1/5 </w:t>
      </w:r>
      <w:proofErr w:type="spellStart"/>
      <w:r w:rsidR="00BC473C">
        <w:t>micum</w:t>
      </w:r>
      <w:proofErr w:type="spellEnd"/>
      <w:r w:rsidR="00BC473C">
        <w:t xml:space="preserve"> has </w:t>
      </w:r>
      <w:r w:rsidR="00184F4C">
        <w:t xml:space="preserve">been adapted from the standard. </w:t>
      </w:r>
      <w:r w:rsidR="0026393C">
        <w:t>For this</w:t>
      </w:r>
      <w:r w:rsidR="001D1846">
        <w:t xml:space="preserve"> test,</w:t>
      </w:r>
      <w:r w:rsidR="0026393C">
        <w:t xml:space="preserve"> </w:t>
      </w:r>
      <w:r w:rsidR="00CD0348">
        <w:t xml:space="preserve">the sample weight is ratioed at 10Kg and the drum width </w:t>
      </w:r>
      <w:r w:rsidR="00340408">
        <w:t>is</w:t>
      </w:r>
      <w:r w:rsidR="00D10A48">
        <w:t xml:space="preserve"> 1</w:t>
      </w:r>
      <w:r w:rsidR="000768C3">
        <w:t>m x</w:t>
      </w:r>
      <w:r w:rsidR="00CD0348">
        <w:t xml:space="preserve"> 1m to </w:t>
      </w:r>
      <w:r w:rsidR="000768C3">
        <w:t>1m x 0.</w:t>
      </w:r>
      <w:r w:rsidR="00CD0348">
        <w:t>2m. All other specification</w:t>
      </w:r>
      <w:r w:rsidR="00F028FF">
        <w:t>s</w:t>
      </w:r>
      <w:r w:rsidR="00CD0348">
        <w:t xml:space="preserve"> remain the same in both tests.</w:t>
      </w:r>
    </w:p>
    <w:p w14:paraId="4D0C3F47" w14:textId="29139710" w:rsidR="00C86D01" w:rsidRDefault="00C86D01" w:rsidP="00465187">
      <w:pPr>
        <w:spacing w:line="360" w:lineRule="auto"/>
        <w:jc w:val="both"/>
      </w:pPr>
      <w:r w:rsidRPr="00C86D01">
        <w:rPr>
          <w:noProof/>
        </w:rPr>
        <w:lastRenderedPageBreak/>
        <w:drawing>
          <wp:inline distT="0" distB="0" distL="0" distR="0" wp14:anchorId="6F9718C7" wp14:editId="129E6D93">
            <wp:extent cx="1952898" cy="1857634"/>
            <wp:effectExtent l="0" t="0" r="9525" b="0"/>
            <wp:docPr id="34" name="Picture 34"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Shape, circle&#10;&#10;Description automatically generated"/>
                    <pic:cNvPicPr/>
                  </pic:nvPicPr>
                  <pic:blipFill>
                    <a:blip r:embed="rId60"/>
                    <a:stretch>
                      <a:fillRect/>
                    </a:stretch>
                  </pic:blipFill>
                  <pic:spPr>
                    <a:xfrm>
                      <a:off x="0" y="0"/>
                      <a:ext cx="1952898" cy="1857634"/>
                    </a:xfrm>
                    <a:prstGeom prst="rect">
                      <a:avLst/>
                    </a:prstGeom>
                  </pic:spPr>
                </pic:pic>
              </a:graphicData>
            </a:graphic>
          </wp:inline>
        </w:drawing>
      </w:r>
    </w:p>
    <w:p w14:paraId="766A25B0" w14:textId="5B4AD1C2" w:rsidR="00E33924" w:rsidRDefault="00E33924" w:rsidP="00E33924">
      <w:pPr>
        <w:pStyle w:val="Caption"/>
      </w:pPr>
      <w:bookmarkStart w:id="59" w:name="_Toc127110922"/>
      <w:r>
        <w:t xml:space="preserve">Figure </w:t>
      </w:r>
      <w:fldSimple w:instr=" SEQ Figure \* ARABIC ">
        <w:r w:rsidR="00A0212F">
          <w:rPr>
            <w:noProof/>
          </w:rPr>
          <w:t>28</w:t>
        </w:r>
      </w:fldSimple>
      <w:r>
        <w:t xml:space="preserve"> The motion of coke in a </w:t>
      </w:r>
      <w:proofErr w:type="spellStart"/>
      <w:r>
        <w:t>micum</w:t>
      </w:r>
      <w:proofErr w:type="spellEnd"/>
      <w:r>
        <w:t xml:space="preserve"> test </w:t>
      </w:r>
      <w:r>
        <w:fldChar w:fldCharType="begin"/>
      </w:r>
      <w:r w:rsidR="00192334">
        <w:instrText xml:space="preserve"> ADDIN ZOTERO_ITEM CSL_CITATION {"citationID":"Oq5jocr5","properties":{"formattedCitation":"(Geerdes,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fldChar w:fldCharType="separate"/>
      </w:r>
      <w:r w:rsidR="00192334" w:rsidRPr="00192334">
        <w:rPr>
          <w:rFonts w:ascii="Calibri" w:hAnsi="Calibri" w:cs="Calibri"/>
        </w:rPr>
        <w:t>(</w:t>
      </w:r>
      <w:proofErr w:type="spellStart"/>
      <w:r w:rsidR="00192334" w:rsidRPr="00192334">
        <w:rPr>
          <w:rFonts w:ascii="Calibri" w:hAnsi="Calibri" w:cs="Calibri"/>
        </w:rPr>
        <w:t>Geerdes</w:t>
      </w:r>
      <w:proofErr w:type="spellEnd"/>
      <w:r w:rsidR="00192334" w:rsidRPr="00192334">
        <w:rPr>
          <w:rFonts w:ascii="Calibri" w:hAnsi="Calibri" w:cs="Calibri"/>
        </w:rPr>
        <w:t xml:space="preserve">, </w:t>
      </w:r>
      <w:proofErr w:type="spellStart"/>
      <w:r w:rsidR="00192334" w:rsidRPr="00192334">
        <w:rPr>
          <w:rFonts w:ascii="Calibri" w:hAnsi="Calibri" w:cs="Calibri"/>
        </w:rPr>
        <w:t>Toxopeus</w:t>
      </w:r>
      <w:proofErr w:type="spellEnd"/>
      <w:r w:rsidR="00192334" w:rsidRPr="00192334">
        <w:rPr>
          <w:rFonts w:ascii="Calibri" w:hAnsi="Calibri" w:cs="Calibri"/>
        </w:rPr>
        <w:t xml:space="preserve"> and Vliet, 2009)</w:t>
      </w:r>
      <w:r>
        <w:fldChar w:fldCharType="end"/>
      </w:r>
      <w:r>
        <w:t>.</w:t>
      </w:r>
      <w:bookmarkEnd w:id="59"/>
    </w:p>
    <w:p w14:paraId="0BDB546A" w14:textId="62E57B19" w:rsidR="00B04BCF" w:rsidRPr="00B04BCF" w:rsidRDefault="00B04BCF" w:rsidP="00B04BCF">
      <w:r w:rsidRPr="001D3043">
        <w:t xml:space="preserve">The </w:t>
      </w:r>
      <w:r w:rsidRPr="001D3043">
        <w:rPr>
          <w:i/>
        </w:rPr>
        <w:t>M</w:t>
      </w:r>
      <w:r w:rsidRPr="001D3043">
        <w:t xml:space="preserve">₁₀ </w:t>
      </w:r>
      <w:r>
        <w:t>is</w:t>
      </w:r>
      <w:r w:rsidRPr="001D3043">
        <w:t xml:space="preserve"> calculated as follows:</w:t>
      </w:r>
    </w:p>
    <w:p w14:paraId="413DAA57" w14:textId="5857D99A" w:rsidR="00B04BCF" w:rsidRPr="00B04BCF" w:rsidRDefault="00000000" w:rsidP="00B04BCF">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10</m:t>
              </m:r>
            </m:sub>
          </m:sSub>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2</m:t>
                      </m:r>
                    </m:sub>
                  </m:sSub>
                </m:e>
              </m:d>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3</m:t>
                  </m:r>
                </m:sub>
              </m:sSub>
            </m:den>
          </m:f>
          <m:r>
            <w:rPr>
              <w:rFonts w:ascii="Cambria Math" w:eastAsiaTheme="minorEastAsia" w:hAnsi="Cambria Math"/>
            </w:rPr>
            <m:t xml:space="preserve">x100 </m:t>
          </m:r>
        </m:oMath>
      </m:oMathPara>
    </w:p>
    <w:p w14:paraId="5E947592" w14:textId="3E2EC9B4" w:rsidR="00B04BCF" w:rsidRPr="00B04BCF" w:rsidRDefault="00B04BCF" w:rsidP="00B04BCF">
      <w:r w:rsidRPr="00B04BCF">
        <w:t xml:space="preserve">Where: </w:t>
      </w:r>
      <w:r w:rsidR="00856990">
        <w:t xml:space="preserve"> </w:t>
      </w:r>
      <w:r w:rsidRPr="00B04BCF">
        <w:rPr>
          <w:i/>
        </w:rPr>
        <w:t>m₁=</w:t>
      </w:r>
      <w:r w:rsidRPr="00B04BCF">
        <w:t xml:space="preserve"> is the mass of coke </w:t>
      </w:r>
      <w:r w:rsidR="0093716A">
        <w:t>(</w:t>
      </w:r>
      <w:r w:rsidR="00DB6E85">
        <w:t>-10mm</w:t>
      </w:r>
      <w:r w:rsidR="0093716A">
        <w:t>) after 100 drum rotations</w:t>
      </w:r>
    </w:p>
    <w:p w14:paraId="006F4E77" w14:textId="77777777" w:rsidR="00B04BCF" w:rsidRPr="00B04BCF" w:rsidRDefault="00B04BCF" w:rsidP="00856990">
      <w:pPr>
        <w:ind w:firstLine="720"/>
      </w:pPr>
      <w:r w:rsidRPr="00B04BCF">
        <w:rPr>
          <w:i/>
        </w:rPr>
        <w:t>m₂</w:t>
      </w:r>
      <w:r w:rsidRPr="00B04BCF">
        <w:t>= is the mass of material lost during determination</w:t>
      </w:r>
    </w:p>
    <w:p w14:paraId="15397136" w14:textId="25406CC4" w:rsidR="00B04BCF" w:rsidRDefault="00B04BCF" w:rsidP="00856990">
      <w:pPr>
        <w:ind w:firstLine="720"/>
      </w:pPr>
      <w:r w:rsidRPr="00B04BCF">
        <w:rPr>
          <w:i/>
        </w:rPr>
        <w:t>m₃</w:t>
      </w:r>
      <w:r w:rsidRPr="00B04BCF">
        <w:t xml:space="preserve">= is the mass of the test portion </w:t>
      </w:r>
    </w:p>
    <w:p w14:paraId="46ED276F" w14:textId="765D543D" w:rsidR="001D3043" w:rsidRPr="001D3043" w:rsidRDefault="001D3043" w:rsidP="001D3043">
      <w:r w:rsidRPr="001D3043">
        <w:t xml:space="preserve">The </w:t>
      </w:r>
      <w:bookmarkStart w:id="60" w:name="_Hlk527812395"/>
      <w:r w:rsidRPr="001D3043">
        <w:rPr>
          <w:i/>
        </w:rPr>
        <w:t>M</w:t>
      </w:r>
      <w:r w:rsidRPr="001D3043">
        <w:t xml:space="preserve">₄₀ </w:t>
      </w:r>
      <w:bookmarkEnd w:id="60"/>
      <w:r w:rsidR="00B04BCF">
        <w:t xml:space="preserve">is </w:t>
      </w:r>
      <w:r w:rsidRPr="001D3043">
        <w:t>calculated as follows:</w:t>
      </w:r>
    </w:p>
    <w:p w14:paraId="130EA9CA" w14:textId="03B9DC4D" w:rsidR="001D3043" w:rsidRPr="001D3043" w:rsidRDefault="00000000" w:rsidP="001D3043">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40</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4</m:t>
                  </m:r>
                </m:sub>
              </m:sSub>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3</m:t>
                  </m:r>
                </m:sub>
              </m:sSub>
            </m:den>
          </m:f>
          <m:r>
            <w:rPr>
              <w:rFonts w:ascii="Cambria Math" w:eastAsiaTheme="minorEastAsia" w:hAnsi="Cambria Math"/>
            </w:rPr>
            <m:t xml:space="preserve"> x 100    </m:t>
          </m:r>
        </m:oMath>
      </m:oMathPara>
    </w:p>
    <w:p w14:paraId="1FE7BB37" w14:textId="0FAFC416" w:rsidR="00B04BCF" w:rsidRPr="001D3043" w:rsidRDefault="001D3043" w:rsidP="001D3043">
      <w:r w:rsidRPr="001D3043">
        <w:t>Where</w:t>
      </w:r>
      <w:r w:rsidR="00856990">
        <w:t xml:space="preserve">: </w:t>
      </w:r>
      <w:r w:rsidR="00B04BCF" w:rsidRPr="00B04BCF">
        <w:rPr>
          <w:i/>
        </w:rPr>
        <w:t>m₃</w:t>
      </w:r>
      <w:r w:rsidR="00B04BCF" w:rsidRPr="00B04BCF">
        <w:t xml:space="preserve">= is the mass of the test portion </w:t>
      </w:r>
    </w:p>
    <w:p w14:paraId="0619C364" w14:textId="053151B2" w:rsidR="0011049D" w:rsidRDefault="001D3043" w:rsidP="00856990">
      <w:pPr>
        <w:ind w:firstLine="720"/>
      </w:pPr>
      <w:r w:rsidRPr="001D3043">
        <w:rPr>
          <w:i/>
        </w:rPr>
        <w:t>m</w:t>
      </w:r>
      <w:r w:rsidRPr="001D3043">
        <w:t xml:space="preserve">₄= Is the cumulative mass of coke </w:t>
      </w:r>
      <w:r w:rsidR="00CF6408">
        <w:t>(=/&gt; 40mm)</w:t>
      </w:r>
      <w:r w:rsidR="004912A3">
        <w:t xml:space="preserve"> after 100 drum rotations</w:t>
      </w:r>
    </w:p>
    <w:p w14:paraId="724BE937" w14:textId="22916EAE" w:rsidR="00B35EB3" w:rsidRPr="006C4F36" w:rsidRDefault="00E64B18" w:rsidP="006C4F36">
      <w:r>
        <w:fldChar w:fldCharType="begin"/>
      </w:r>
      <w:r w:rsidR="00430AAA">
        <w:instrText xml:space="preserve"> ADDIN ZOTERO_ITEM CSL_CITATION {"citationID":"oPHQsL18","properties":{"formattedCitation":"(International Standards Association 2020)","plainCitation":"(International Standards Association 2020)","dontUpdate":true,"noteIndex":0},"citationItems":[{"id":1978,"uris":["http://zotero.org/users/local/AB2owHL2/items/CRCMNNLK"],"itemData":{"id":1978,"type":"document","publisher":"ISO","title":"ISO 556-2020","author":[{"family":"International Standards Association","given":""}],"issued":{"date-parts":[["2020"]]}}}],"schema":"https://github.com/citation-style-language/schema/raw/master/csl-citation.json"} </w:instrText>
      </w:r>
      <w:r>
        <w:fldChar w:fldCharType="separate"/>
      </w:r>
      <w:r w:rsidRPr="00E64B18">
        <w:rPr>
          <w:rFonts w:ascii="Calibri" w:hAnsi="Calibri" w:cs="Calibri"/>
        </w:rPr>
        <w:t>(</w:t>
      </w:r>
      <w:r w:rsidR="000C1CC8" w:rsidRPr="000C1CC8">
        <w:rPr>
          <w:rFonts w:ascii="Calibri" w:hAnsi="Calibri" w:cs="Calibri"/>
        </w:rPr>
        <w:t>ISO 556</w:t>
      </w:r>
      <w:r w:rsidR="000C1CC8">
        <w:rPr>
          <w:rFonts w:ascii="Calibri" w:hAnsi="Calibri" w:cs="Calibri"/>
        </w:rPr>
        <w:t xml:space="preserve"> </w:t>
      </w:r>
      <w:r w:rsidR="000C1CC8" w:rsidRPr="000C1CC8">
        <w:rPr>
          <w:rFonts w:ascii="Calibri" w:hAnsi="Calibri" w:cs="Calibri"/>
        </w:rPr>
        <w:t>-</w:t>
      </w:r>
      <w:r w:rsidR="000C1CC8">
        <w:rPr>
          <w:rFonts w:ascii="Calibri" w:hAnsi="Calibri" w:cs="Calibri"/>
        </w:rPr>
        <w:t xml:space="preserve"> </w:t>
      </w:r>
      <w:r w:rsidR="000C1CC8" w:rsidRPr="000C1CC8">
        <w:rPr>
          <w:rFonts w:ascii="Calibri" w:hAnsi="Calibri" w:cs="Calibri"/>
        </w:rPr>
        <w:t>2020</w:t>
      </w:r>
      <w:r w:rsidRPr="00E64B18">
        <w:rPr>
          <w:rFonts w:ascii="Calibri" w:hAnsi="Calibri" w:cs="Calibri"/>
        </w:rPr>
        <w:t>)</w:t>
      </w:r>
      <w:r>
        <w:fldChar w:fldCharType="end"/>
      </w:r>
    </w:p>
    <w:p w14:paraId="4AB90FF2" w14:textId="35891D93" w:rsidR="00827ACD" w:rsidRDefault="00FC1C5D" w:rsidP="00204E67">
      <w:pPr>
        <w:pStyle w:val="Heading3"/>
        <w:spacing w:line="360" w:lineRule="auto"/>
        <w:jc w:val="both"/>
      </w:pPr>
      <w:bookmarkStart w:id="61" w:name="_Toc7375861"/>
      <w:bookmarkStart w:id="62" w:name="_Toc128599615"/>
      <w:r>
        <w:t>Coke strength after reaction and Coke reactivity index (CSR/CRI)</w:t>
      </w:r>
      <w:bookmarkEnd w:id="61"/>
      <w:bookmarkEnd w:id="62"/>
    </w:p>
    <w:p w14:paraId="05152F1B" w14:textId="6ACE21AC" w:rsidR="003F31D3" w:rsidRPr="004F5E8B" w:rsidRDefault="00E30B02" w:rsidP="00204E67">
      <w:pPr>
        <w:spacing w:line="360" w:lineRule="auto"/>
        <w:jc w:val="both"/>
      </w:pPr>
      <w:r>
        <w:t xml:space="preserve">The CSR/CRI test </w:t>
      </w:r>
      <w:r w:rsidR="00FD2213">
        <w:t>replicates some of the</w:t>
      </w:r>
      <w:r w:rsidR="00711C73">
        <w:t xml:space="preserve"> conditions </w:t>
      </w:r>
      <w:r w:rsidR="008345A5">
        <w:t xml:space="preserve">metallurgical </w:t>
      </w:r>
      <w:r w:rsidR="00711C73">
        <w:t>coke is exposed to in a blast furnace</w:t>
      </w:r>
      <w:r w:rsidR="00204E67">
        <w:t xml:space="preserve">. A high CSR is believed to indicate that the coke </w:t>
      </w:r>
      <w:r w:rsidR="006D3C10">
        <w:t xml:space="preserve">will resist breaking down, improve the </w:t>
      </w:r>
      <w:r w:rsidR="00AA0B10">
        <w:t>permeability</w:t>
      </w:r>
      <w:r w:rsidR="006D3C10">
        <w:t xml:space="preserve"> of gas and liquid</w:t>
      </w:r>
      <w:r w:rsidR="006633EF">
        <w:t xml:space="preserve"> iron</w:t>
      </w:r>
      <w:r w:rsidR="00AA0B10">
        <w:t>,</w:t>
      </w:r>
      <w:r w:rsidR="006D3C10">
        <w:t xml:space="preserve"> increase </w:t>
      </w:r>
      <w:r w:rsidR="00AA0B10">
        <w:t>productivity and reduce coke consumption in the BF</w:t>
      </w:r>
      <w:r w:rsidR="000640EC">
        <w:t xml:space="preserve"> </w:t>
      </w:r>
      <w:r w:rsidR="000640EC">
        <w:fldChar w:fldCharType="begin"/>
      </w:r>
      <w:r w:rsidR="00192334">
        <w:instrText xml:space="preserve"> ADDIN ZOTERO_ITEM CSL_CITATION {"citationID":"4omTV7Tk","properties":{"formattedCitation":"(Li {\\i{}et al.}, 2014)","plainCitation":"(Li et al., 2014)","noteIndex":0},"citationItems":[{"id":1972,"uris":["http://zotero.org/users/local/AB2owHL2/items/FVU39SNY"],"itemData":{"id":1972,"type":"article-journal","abstract":"The implementation of pulverized coal injection technology has resulted in the reduction in the amounts of coke being used in the blast furnace, which has led to increased demands for high quality cokes to provide enhanced performance. Under the twin pressures of resource shortage of coking coals and continuous requirements for improved coke quality, an in-depth understanding of coke behavior in blast furnace has become very important and pertinent. This review article is focused on a comprehensive investigation on the evolution of structural order, microstructure and mineral matter of metallurgical coke in a blast furnace and presents various mechanisms of coke degradation during its descent in a blast furnace toward establishing reference standards for coke quality and performance. Coke structure, microstructure and reactivity were investigated as a function of temperature, its location in the blast furnace and under the influence of alkalis above the tuyere level. The transformation of coke in the blast furnace hearth and its dissolution into hot metal were also reviewed. The current indices for evaluating coke quality were examined based on the modifications of coke structure, and several unresolved issues in the field requiring further research were identified. This literature survey has shown that while crystalline order and microstructure had a strong influence on carburization, gasification reactions and the strength of coke, factors such as mineral matter, alkalis, temperature were among some of the important factors that affected the degradation of coke in a blast furnace.","container-title":"Fuel","DOI":"10.1016/j.fuel.2014.05.014","ISSN":"0016-2361","journalAbbreviation":"Fuel","language":"en","page":"194-215","source":"ScienceDirect","title":"The evolution of structural order, microstructure and mineral matter of metallurgical coke in a blast furnace: A review","title-short":"The evolution of structural order, microstructure and mineral matter of metallurgical coke in a blast furnace","URL":"https://www.sciencedirect.com/science/article/pii/S001623611400461X","volume":"133","author":[{"family":"Li","given":"Kejiang"},{"family":"Khanna","given":"Rita"},{"family":"Zhang","given":"Jianliang"},{"family":"Liu","given":"Zhengjian"},{"family":"Sahajwalla","given":"Veena"},{"family":"Yang","given":"Tianjun"},{"family":"Kong","given":"Dewen"}],"accessed":{"date-parts":[["2022",9,28]]},"issued":{"date-parts":[["2014",10,1]]}}}],"schema":"https://github.com/citation-style-language/schema/raw/master/csl-citation.json"} </w:instrText>
      </w:r>
      <w:r w:rsidR="000640EC">
        <w:fldChar w:fldCharType="separate"/>
      </w:r>
      <w:r w:rsidR="00192334" w:rsidRPr="00192334">
        <w:rPr>
          <w:rFonts w:ascii="Calibri" w:hAnsi="Calibri" w:cs="Calibri"/>
          <w:szCs w:val="24"/>
        </w:rPr>
        <w:t xml:space="preserve">(Li </w:t>
      </w:r>
      <w:r w:rsidR="00192334" w:rsidRPr="00192334">
        <w:rPr>
          <w:rFonts w:ascii="Calibri" w:hAnsi="Calibri" w:cs="Calibri"/>
          <w:i/>
          <w:iCs/>
          <w:szCs w:val="24"/>
        </w:rPr>
        <w:t>et al.</w:t>
      </w:r>
      <w:r w:rsidR="00192334" w:rsidRPr="00192334">
        <w:rPr>
          <w:rFonts w:ascii="Calibri" w:hAnsi="Calibri" w:cs="Calibri"/>
          <w:szCs w:val="24"/>
        </w:rPr>
        <w:t>, 2014)</w:t>
      </w:r>
      <w:r w:rsidR="000640EC">
        <w:fldChar w:fldCharType="end"/>
      </w:r>
      <w:r w:rsidR="00AA0B10">
        <w:t>.</w:t>
      </w:r>
      <w:r w:rsidR="00191FA9">
        <w:t xml:space="preserve"> </w:t>
      </w:r>
      <w:r w:rsidR="008B1B18">
        <w:t xml:space="preserve">A good quality coke </w:t>
      </w:r>
      <w:r w:rsidR="000A1ADB">
        <w:t>should have a low CRI and high CSR</w:t>
      </w:r>
      <w:r w:rsidR="000178D7">
        <w:t xml:space="preserve">. </w:t>
      </w:r>
      <w:r w:rsidR="00DB0CDF">
        <w:t xml:space="preserve"> The CRI measures the solution loss reaction of coke</w:t>
      </w:r>
      <w:r w:rsidR="004F5E8B">
        <w:t xml:space="preserve"> by CO</w:t>
      </w:r>
      <w:r w:rsidR="004F5E8B" w:rsidRPr="004F5E8B">
        <w:rPr>
          <w:vertAlign w:val="subscript"/>
        </w:rPr>
        <w:t>2</w:t>
      </w:r>
      <w:r w:rsidR="004F5E8B">
        <w:t xml:space="preserve"> at 1100</w:t>
      </w:r>
      <w:r w:rsidR="004F5E8B" w:rsidRPr="004F5E8B">
        <w:rPr>
          <w:vertAlign w:val="superscript"/>
        </w:rPr>
        <w:t>0</w:t>
      </w:r>
      <w:r w:rsidR="004F5E8B">
        <w:t xml:space="preserve">C for 2 hours under </w:t>
      </w:r>
      <w:r w:rsidR="009C621F">
        <w:t>standardised</w:t>
      </w:r>
      <w:r w:rsidR="004F5E8B">
        <w:t xml:space="preserve"> gas flow rate conditions</w:t>
      </w:r>
      <w:r w:rsidR="009C621F">
        <w:t xml:space="preserve">. </w:t>
      </w:r>
      <w:r w:rsidR="005D6DD5">
        <w:t>For the CSR</w:t>
      </w:r>
      <w:r w:rsidR="006633EF">
        <w:t>,</w:t>
      </w:r>
      <w:r w:rsidR="005D6DD5">
        <w:t xml:space="preserve"> the coke is tumbled post reaction and re-screened </w:t>
      </w:r>
      <w:r w:rsidR="00840953">
        <w:t>to calculate the strength index</w:t>
      </w:r>
      <w:r w:rsidR="00784093">
        <w:t>,</w:t>
      </w:r>
      <w:r w:rsidR="00784093" w:rsidRPr="00784093">
        <w:t xml:space="preserve"> </w:t>
      </w:r>
      <w:r w:rsidR="00784093">
        <w:t>see figure 29</w:t>
      </w:r>
      <w:r w:rsidR="00F725B1">
        <w:t xml:space="preserve"> </w:t>
      </w:r>
      <w:r w:rsidR="00B166BC">
        <w:fldChar w:fldCharType="begin"/>
      </w:r>
      <w:r w:rsidR="00192334">
        <w:instrText xml:space="preserve"> ADDIN ZOTERO_ITEM CSL_CITATION {"citationID":"KwPgthwb","properties":{"formattedCitation":"(D\\uc0\\u305{}\\uc0\\u769{}ez, Alvarez and Barriocanal, 2002)","plainCitation":"(Dı́ez, Alvarez and Barriocanal, 2002)","noteIndex":0},"citationItems":[{"id":1854,"uris":["http://zotero.org/users/local/AB2owHL2/items/DUT2HFFP"],"itemData":{"id":1854,"type":"article-journal","abstract":"This paper reviews quality requirements of metallurgical coke for the blast furnace, coke structure, and relationships between structure and quality. Models of prediction of metallurgical coke quality parameters based on maceral composition and properties of coals being carbonized are summarized. Early prediction models of cold coke strength and the development of second-generation hot-strength prediction models based on parameters as coke reactivity index (CRI) and coke strength after reaction with carbon dioxide (CSR) are assessed. The review concludes with an assessment of current coke production and coal demand in the steelmaking industry, globally, followed by a preview of possible future alternative coking technologies.","collection-title":"Volume 50","container-title":"International Journal of Coal Geology","DOI":"10.1016/S0166-5162(02)00123-4","ISSN":"0166-5162","issue":"1","journalAbbreviation":"International Journal of Coal Geology","language":"en","page":"389-412","source":"ScienceDirect","title":"Coal for metallurgical coke production: predictions of coke quality and future requirements for cokemaking","title-short":"Coal for metallurgical coke production","URL":"https://www.sciencedirect.com/science/article/pii/S0166516202001234","volume":"50","author":[{"family":"Dı́ez","given":"M. A"},{"family":"Alvarez","given":"R"},{"family":"Barriocanal","given":"C"}],"accessed":{"date-parts":[["2022",7,31]]},"issued":{"date-parts":[["2002",5,1]]}}}],"schema":"https://github.com/citation-style-language/schema/raw/master/csl-citation.json"} </w:instrText>
      </w:r>
      <w:r w:rsidR="00B166BC">
        <w:fldChar w:fldCharType="separate"/>
      </w:r>
      <w:r w:rsidR="00192334" w:rsidRPr="00192334">
        <w:rPr>
          <w:rFonts w:ascii="Calibri" w:hAnsi="Calibri" w:cs="Calibri"/>
          <w:szCs w:val="24"/>
        </w:rPr>
        <w:t>(Dı́ez, Alvarez and Barriocanal, 2002)</w:t>
      </w:r>
      <w:r w:rsidR="00B166BC">
        <w:fldChar w:fldCharType="end"/>
      </w:r>
      <w:r w:rsidR="00840953">
        <w:t>.</w:t>
      </w:r>
    </w:p>
    <w:p w14:paraId="55CC4D6C" w14:textId="77777777" w:rsidR="003F31D3" w:rsidRDefault="003F31D3" w:rsidP="00204E67">
      <w:pPr>
        <w:spacing w:line="360" w:lineRule="auto"/>
        <w:jc w:val="both"/>
      </w:pPr>
      <w:r w:rsidRPr="003F31D3">
        <w:rPr>
          <w:noProof/>
        </w:rPr>
        <w:lastRenderedPageBreak/>
        <w:drawing>
          <wp:inline distT="0" distB="0" distL="0" distR="0" wp14:anchorId="52CA1CE7" wp14:editId="2EC39AB1">
            <wp:extent cx="4744112" cy="1962424"/>
            <wp:effectExtent l="0" t="0" r="0" b="0"/>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61"/>
                    <a:stretch>
                      <a:fillRect/>
                    </a:stretch>
                  </pic:blipFill>
                  <pic:spPr>
                    <a:xfrm>
                      <a:off x="0" y="0"/>
                      <a:ext cx="4744112" cy="1962424"/>
                    </a:xfrm>
                    <a:prstGeom prst="rect">
                      <a:avLst/>
                    </a:prstGeom>
                  </pic:spPr>
                </pic:pic>
              </a:graphicData>
            </a:graphic>
          </wp:inline>
        </w:drawing>
      </w:r>
    </w:p>
    <w:p w14:paraId="39DD7569" w14:textId="1D441CC7" w:rsidR="00B451A8" w:rsidRDefault="003F31D3" w:rsidP="003F31D3">
      <w:pPr>
        <w:pStyle w:val="Caption"/>
      </w:pPr>
      <w:bookmarkStart w:id="63" w:name="_Toc127110923"/>
      <w:r>
        <w:t xml:space="preserve">Figure </w:t>
      </w:r>
      <w:fldSimple w:instr=" SEQ Figure \* ARABIC ">
        <w:r w:rsidR="00A0212F">
          <w:rPr>
            <w:noProof/>
          </w:rPr>
          <w:t>29</w:t>
        </w:r>
      </w:fldSimple>
      <w:r>
        <w:t xml:space="preserve"> Diagram of the CSR/CRI test</w:t>
      </w:r>
      <w:bookmarkEnd w:id="63"/>
      <w:r w:rsidR="008B1B18">
        <w:t xml:space="preserve"> </w:t>
      </w:r>
    </w:p>
    <w:p w14:paraId="31A33B84" w14:textId="503738F9" w:rsidR="000C2F06" w:rsidRPr="00825896" w:rsidRDefault="000C2F06" w:rsidP="000C2F06">
      <w:pPr>
        <w:rPr>
          <w:rFonts w:cstheme="minorHAnsi"/>
        </w:rPr>
      </w:pPr>
      <w:r w:rsidRPr="00825896">
        <w:rPr>
          <w:rFonts w:cstheme="minorHAnsi"/>
        </w:rPr>
        <w:t xml:space="preserve">The CRI is given by the </w:t>
      </w:r>
      <w:r w:rsidR="0069618B" w:rsidRPr="00825896">
        <w:rPr>
          <w:rFonts w:cstheme="minorHAnsi"/>
        </w:rPr>
        <w:t>formula.</w:t>
      </w:r>
      <w:r w:rsidRPr="00825896">
        <w:rPr>
          <w:rFonts w:cstheme="minorHAnsi"/>
        </w:rPr>
        <w:t xml:space="preserve"> </w:t>
      </w:r>
    </w:p>
    <w:p w14:paraId="5E2EF5D1" w14:textId="77777777" w:rsidR="000C2F06" w:rsidRPr="00825896" w:rsidRDefault="000C2F06" w:rsidP="000C2F06">
      <w:pPr>
        <w:rPr>
          <w:rFonts w:eastAsiaTheme="minorEastAsia" w:cstheme="minorHAnsi"/>
        </w:rPr>
      </w:pPr>
      <m:oMathPara>
        <m:oMath>
          <m:r>
            <w:rPr>
              <w:rFonts w:ascii="Cambria Math" w:hAnsi="Cambria Math" w:cstheme="minorHAnsi"/>
            </w:rPr>
            <m:t xml:space="preserve">CRI=100× </m:t>
          </m:r>
          <m:f>
            <m:fPr>
              <m:ctrlPr>
                <w:rPr>
                  <w:rFonts w:ascii="Cambria Math" w:hAnsi="Cambria Math" w:cstheme="minorHAnsi"/>
                  <w:i/>
                </w:rPr>
              </m:ctrlPr>
            </m:fPr>
            <m:num>
              <m:r>
                <w:rPr>
                  <w:rFonts w:ascii="Cambria Math" w:hAnsi="Cambria Math" w:cstheme="minorHAnsi"/>
                </w:rPr>
                <m:t>m₀-m₁</m:t>
              </m:r>
            </m:num>
            <m:den>
              <m:r>
                <w:rPr>
                  <w:rFonts w:ascii="Cambria Math" w:hAnsi="Cambria Math" w:cstheme="minorHAnsi"/>
                </w:rPr>
                <m:t>m₀</m:t>
              </m:r>
            </m:den>
          </m:f>
        </m:oMath>
      </m:oMathPara>
    </w:p>
    <w:p w14:paraId="4A993BFA" w14:textId="7BF5E249" w:rsidR="000C2F06" w:rsidRPr="00825896" w:rsidRDefault="000C2F06" w:rsidP="00784093">
      <w:pPr>
        <w:rPr>
          <w:rFonts w:eastAsiaTheme="minorEastAsia" w:cstheme="minorHAnsi"/>
        </w:rPr>
      </w:pPr>
      <w:r w:rsidRPr="00825896">
        <w:rPr>
          <w:rFonts w:eastAsiaTheme="minorEastAsia" w:cstheme="minorHAnsi"/>
        </w:rPr>
        <w:t>Where</w:t>
      </w:r>
      <w:r w:rsidR="00825896" w:rsidRPr="00825896">
        <w:rPr>
          <w:rFonts w:eastAsiaTheme="minorEastAsia" w:cstheme="minorHAnsi"/>
        </w:rPr>
        <w:t>:</w:t>
      </w:r>
      <w:r w:rsidR="00784093">
        <w:rPr>
          <w:rFonts w:eastAsiaTheme="minorEastAsia" w:cstheme="minorHAnsi"/>
        </w:rPr>
        <w:t xml:space="preserve"> </w:t>
      </w:r>
      <w:r w:rsidRPr="00825896">
        <w:rPr>
          <w:rFonts w:eastAsiaTheme="minorEastAsia" w:cstheme="minorHAnsi"/>
        </w:rPr>
        <w:t xml:space="preserve">m₀ is the mass </w:t>
      </w:r>
      <w:r w:rsidR="006D697D">
        <w:rPr>
          <w:rFonts w:eastAsiaTheme="minorEastAsia" w:cstheme="minorHAnsi"/>
        </w:rPr>
        <w:t xml:space="preserve">(g) </w:t>
      </w:r>
      <w:r w:rsidRPr="00825896">
        <w:rPr>
          <w:rFonts w:eastAsiaTheme="minorEastAsia" w:cstheme="minorHAnsi"/>
        </w:rPr>
        <w:t>of the sample before reaction</w:t>
      </w:r>
    </w:p>
    <w:p w14:paraId="739EB29E" w14:textId="2CA18925" w:rsidR="000C2F06" w:rsidRPr="00825896" w:rsidRDefault="000C2F06" w:rsidP="00784093">
      <w:pPr>
        <w:spacing w:line="360" w:lineRule="auto"/>
        <w:ind w:firstLine="720"/>
        <w:jc w:val="both"/>
        <w:rPr>
          <w:rFonts w:eastAsiaTheme="minorEastAsia" w:cstheme="minorHAnsi"/>
        </w:rPr>
      </w:pPr>
      <w:r w:rsidRPr="00825896">
        <w:rPr>
          <w:rFonts w:eastAsiaTheme="minorEastAsia" w:cstheme="minorHAnsi"/>
        </w:rPr>
        <w:t>m₁ is the mass</w:t>
      </w:r>
      <w:r w:rsidR="006D697D">
        <w:rPr>
          <w:rFonts w:eastAsiaTheme="minorEastAsia" w:cstheme="minorHAnsi"/>
        </w:rPr>
        <w:t xml:space="preserve"> (g)</w:t>
      </w:r>
      <w:r w:rsidRPr="00825896">
        <w:rPr>
          <w:rFonts w:eastAsiaTheme="minorEastAsia" w:cstheme="minorHAnsi"/>
        </w:rPr>
        <w:t xml:space="preserve"> of the sample after </w:t>
      </w:r>
      <w:r w:rsidR="0069618B" w:rsidRPr="00825896">
        <w:rPr>
          <w:rFonts w:eastAsiaTheme="minorEastAsia" w:cstheme="minorHAnsi"/>
        </w:rPr>
        <w:t>reaction.</w:t>
      </w:r>
    </w:p>
    <w:p w14:paraId="2A375E92" w14:textId="790A4935" w:rsidR="000C2F06" w:rsidRPr="00825896" w:rsidRDefault="000C2F06" w:rsidP="00A04A92">
      <w:pPr>
        <w:spacing w:line="360" w:lineRule="auto"/>
        <w:jc w:val="both"/>
        <w:rPr>
          <w:rFonts w:eastAsiaTheme="minorEastAsia" w:cstheme="minorHAnsi"/>
        </w:rPr>
      </w:pPr>
      <w:r w:rsidRPr="00825896">
        <w:rPr>
          <w:rFonts w:eastAsiaTheme="minorEastAsia" w:cstheme="minorHAnsi"/>
        </w:rPr>
        <w:t xml:space="preserve">The CSR is given by the </w:t>
      </w:r>
      <w:r w:rsidR="0069618B" w:rsidRPr="00825896">
        <w:rPr>
          <w:rFonts w:eastAsiaTheme="minorEastAsia" w:cstheme="minorHAnsi"/>
        </w:rPr>
        <w:t>formula.</w:t>
      </w:r>
    </w:p>
    <w:p w14:paraId="2933D497" w14:textId="77777777" w:rsidR="000C2F06" w:rsidRPr="00825896" w:rsidRDefault="000C2F06" w:rsidP="00A04A92">
      <w:pPr>
        <w:spacing w:line="360" w:lineRule="auto"/>
        <w:jc w:val="both"/>
        <w:rPr>
          <w:rFonts w:eastAsiaTheme="minorEastAsia" w:cstheme="minorHAnsi"/>
        </w:rPr>
      </w:pPr>
      <m:oMathPara>
        <m:oMath>
          <m:r>
            <w:rPr>
              <w:rFonts w:ascii="Cambria Math" w:eastAsiaTheme="minorEastAsia" w:hAnsi="Cambria Math" w:cstheme="minorHAnsi"/>
            </w:rPr>
            <m:t>CSR=100×</m:t>
          </m:r>
          <m:f>
            <m:fPr>
              <m:ctrlPr>
                <w:rPr>
                  <w:rFonts w:ascii="Cambria Math" w:eastAsiaTheme="minorEastAsia" w:hAnsi="Cambria Math" w:cstheme="minorHAnsi"/>
                  <w:i/>
                </w:rPr>
              </m:ctrlPr>
            </m:fPr>
            <m:num>
              <m:r>
                <w:rPr>
                  <w:rFonts w:ascii="Cambria Math" w:eastAsiaTheme="minorEastAsia" w:hAnsi="Cambria Math" w:cstheme="minorHAnsi"/>
                </w:rPr>
                <m:t>m₂</m:t>
              </m:r>
            </m:num>
            <m:den>
              <m:r>
                <w:rPr>
                  <w:rFonts w:ascii="Cambria Math" w:eastAsiaTheme="minorEastAsia" w:hAnsi="Cambria Math" w:cstheme="minorHAnsi"/>
                </w:rPr>
                <m:t>m₁</m:t>
              </m:r>
            </m:den>
          </m:f>
        </m:oMath>
      </m:oMathPara>
    </w:p>
    <w:p w14:paraId="428CA101" w14:textId="4C0DC130" w:rsidR="00A04A92" w:rsidRPr="00825896" w:rsidRDefault="000C2F06" w:rsidP="00A04A92">
      <w:pPr>
        <w:spacing w:line="360" w:lineRule="auto"/>
        <w:jc w:val="both"/>
        <w:rPr>
          <w:rFonts w:eastAsiaTheme="minorEastAsia" w:cstheme="minorHAnsi"/>
        </w:rPr>
      </w:pPr>
      <w:r w:rsidRPr="00825896">
        <w:rPr>
          <w:rFonts w:eastAsiaTheme="minorEastAsia" w:cstheme="minorHAnsi"/>
        </w:rPr>
        <w:t>Where</w:t>
      </w:r>
      <w:r w:rsidR="00825896">
        <w:rPr>
          <w:rFonts w:eastAsiaTheme="minorEastAsia" w:cstheme="minorHAnsi"/>
        </w:rPr>
        <w:t>:</w:t>
      </w:r>
      <w:r w:rsidR="00784093">
        <w:rPr>
          <w:rFonts w:eastAsiaTheme="minorEastAsia" w:cstheme="minorHAnsi"/>
        </w:rPr>
        <w:t xml:space="preserve"> </w:t>
      </w:r>
      <w:r w:rsidR="00A04A92" w:rsidRPr="00825896">
        <w:rPr>
          <w:rFonts w:eastAsiaTheme="minorEastAsia" w:cstheme="minorHAnsi"/>
        </w:rPr>
        <w:t>m₁ is the mass</w:t>
      </w:r>
      <w:r w:rsidR="006D697D">
        <w:rPr>
          <w:rFonts w:eastAsiaTheme="minorEastAsia" w:cstheme="minorHAnsi"/>
        </w:rPr>
        <w:t xml:space="preserve"> (g) </w:t>
      </w:r>
      <w:r w:rsidR="00A04A92" w:rsidRPr="00825896">
        <w:rPr>
          <w:rFonts w:eastAsiaTheme="minorEastAsia" w:cstheme="minorHAnsi"/>
        </w:rPr>
        <w:t>of the sample after reaction</w:t>
      </w:r>
    </w:p>
    <w:p w14:paraId="446F7E9F" w14:textId="18854BBE" w:rsidR="000C2F06" w:rsidRPr="00825896" w:rsidRDefault="000C2F06" w:rsidP="00784093">
      <w:pPr>
        <w:spacing w:line="360" w:lineRule="auto"/>
        <w:ind w:firstLine="720"/>
        <w:jc w:val="both"/>
        <w:rPr>
          <w:rFonts w:eastAsiaTheme="minorEastAsia" w:cstheme="minorHAnsi"/>
        </w:rPr>
      </w:pPr>
      <w:r w:rsidRPr="00825896">
        <w:rPr>
          <w:rFonts w:eastAsiaTheme="minorEastAsia" w:cstheme="minorHAnsi"/>
        </w:rPr>
        <w:t>m₂ is the mass</w:t>
      </w:r>
      <w:r w:rsidR="006D697D">
        <w:rPr>
          <w:rFonts w:eastAsiaTheme="minorEastAsia" w:cstheme="minorHAnsi"/>
        </w:rPr>
        <w:t xml:space="preserve"> (g) </w:t>
      </w:r>
      <w:r w:rsidRPr="00825896">
        <w:rPr>
          <w:rFonts w:eastAsiaTheme="minorEastAsia" w:cstheme="minorHAnsi"/>
        </w:rPr>
        <w:t xml:space="preserve">of the fraction of the sample &gt;9,5 mm after </w:t>
      </w:r>
      <w:r w:rsidR="0069618B" w:rsidRPr="00825896">
        <w:rPr>
          <w:rFonts w:eastAsiaTheme="minorEastAsia" w:cstheme="minorHAnsi"/>
        </w:rPr>
        <w:t>tumbling.</w:t>
      </w:r>
    </w:p>
    <w:p w14:paraId="0F31A88D" w14:textId="2366CF99" w:rsidR="00824312" w:rsidRPr="000C2F06" w:rsidRDefault="00EF0510" w:rsidP="00A04A92">
      <w:pPr>
        <w:spacing w:line="360" w:lineRule="auto"/>
        <w:jc w:val="both"/>
      </w:pPr>
      <w:r>
        <w:fldChar w:fldCharType="begin"/>
      </w:r>
      <w:r w:rsidR="008F432D">
        <w:instrText xml:space="preserve"> ADDIN ZOTERO_ITEM CSL_CITATION {"citationID":"xiRV7OGk","properties":{"formattedCitation":"(British Standards Institute 2018)","plainCitation":"(British Standards Institute 2018)","dontUpdate":true,"noteIndex":0},"citationItems":[{"id":1979,"uris":["http://zotero.org/users/local/AB2owHL2/items/86HGBFVW"],"itemData":{"id":1979,"type":"document","publisher":"British Standards Institution","title":"BS ISO 18894: 2018, Coke — Determination of coke reactivity index  (CRI) and coke strength after reaction (CSR)","author":[{"family":"British Standards Institute","given":""}],"issued":{"date-parts":[["2018"]]}}}],"schema":"https://github.com/citation-style-language/schema/raw/master/csl-citation.json"} </w:instrText>
      </w:r>
      <w:r>
        <w:fldChar w:fldCharType="separate"/>
      </w:r>
      <w:r w:rsidRPr="00EF0510">
        <w:rPr>
          <w:rFonts w:ascii="Calibri" w:hAnsi="Calibri" w:cs="Calibri"/>
        </w:rPr>
        <w:t>(</w:t>
      </w:r>
      <w:r w:rsidR="00023A15" w:rsidRPr="00023A15">
        <w:rPr>
          <w:rFonts w:ascii="Calibri" w:hAnsi="Calibri" w:cs="Calibri"/>
        </w:rPr>
        <w:t>BS ISO 18894: 2018</w:t>
      </w:r>
      <w:r w:rsidRPr="00EF0510">
        <w:rPr>
          <w:rFonts w:ascii="Calibri" w:hAnsi="Calibri" w:cs="Calibri"/>
        </w:rPr>
        <w:t>)</w:t>
      </w:r>
      <w:r>
        <w:fldChar w:fldCharType="end"/>
      </w:r>
    </w:p>
    <w:p w14:paraId="4117CF7F" w14:textId="4DBB2188" w:rsidR="00BC6312" w:rsidRPr="00BC6312" w:rsidRDefault="00586176" w:rsidP="00B9022B">
      <w:pPr>
        <w:pStyle w:val="Heading2"/>
        <w:spacing w:line="360" w:lineRule="auto"/>
        <w:jc w:val="both"/>
      </w:pPr>
      <w:bookmarkStart w:id="64" w:name="_Toc128599616"/>
      <w:r>
        <w:lastRenderedPageBreak/>
        <w:t>Assessing biochar substitution in sinter making</w:t>
      </w:r>
      <w:bookmarkEnd w:id="64"/>
    </w:p>
    <w:p w14:paraId="365D7A11" w14:textId="584E2248" w:rsidR="00225BF7" w:rsidRDefault="00BC6312" w:rsidP="00B9022B">
      <w:pPr>
        <w:pStyle w:val="Heading3"/>
        <w:spacing w:line="360" w:lineRule="auto"/>
        <w:jc w:val="both"/>
      </w:pPr>
      <w:bookmarkStart w:id="65" w:name="_Toc128599617"/>
      <w:r>
        <w:t>Sinter pot</w:t>
      </w:r>
      <w:bookmarkEnd w:id="65"/>
    </w:p>
    <w:p w14:paraId="0EB98ED9" w14:textId="1CCA6AE5" w:rsidR="00ED35A8" w:rsidRDefault="005954B6" w:rsidP="00ED35A8">
      <w:r w:rsidRPr="00532F31">
        <w:rPr>
          <w:noProof/>
          <w:lang w:eastAsia="en-GB"/>
        </w:rPr>
        <w:drawing>
          <wp:anchor distT="0" distB="0" distL="114300" distR="114300" simplePos="0" relativeHeight="251658240" behindDoc="0" locked="0" layoutInCell="1" allowOverlap="1" wp14:anchorId="787868B0" wp14:editId="12927F96">
            <wp:simplePos x="0" y="0"/>
            <wp:positionH relativeFrom="margin">
              <wp:posOffset>-249224</wp:posOffset>
            </wp:positionH>
            <wp:positionV relativeFrom="paragraph">
              <wp:posOffset>255867</wp:posOffset>
            </wp:positionV>
            <wp:extent cx="3261995" cy="2750820"/>
            <wp:effectExtent l="0" t="247650" r="0" b="240030"/>
            <wp:wrapThrough wrapText="bothSides">
              <wp:wrapPolygon edited="0">
                <wp:start x="53" y="21662"/>
                <wp:lineTo x="21497" y="21662"/>
                <wp:lineTo x="21497" y="122"/>
                <wp:lineTo x="53" y="122"/>
                <wp:lineTo x="53" y="21662"/>
              </wp:wrapPolygon>
            </wp:wrapThrough>
            <wp:docPr id="36" name="Picture 36" descr="C:\Users\Tariq\AppData\Local\Temp\IMG_5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riq\AppData\Local\Temp\IMG_5800.JPG"/>
                    <pic:cNvPicPr>
                      <a:picLocks noChangeAspect="1" noChangeArrowheads="1"/>
                    </pic:cNvPicPr>
                  </pic:nvPicPr>
                  <pic:blipFill rotWithShape="1">
                    <a:blip r:embed="rId62">
                      <a:extLst>
                        <a:ext uri="{28A0092B-C50C-407E-A947-70E740481C1C}">
                          <a14:useLocalDpi xmlns:a14="http://schemas.microsoft.com/office/drawing/2010/main" val="0"/>
                        </a:ext>
                      </a:extLst>
                    </a:blip>
                    <a:srcRect l="23538" r="4449"/>
                    <a:stretch/>
                  </pic:blipFill>
                  <pic:spPr bwMode="auto">
                    <a:xfrm rot="5400000">
                      <a:off x="0" y="0"/>
                      <a:ext cx="3261995" cy="2750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492B" w:rsidRPr="0049492B">
        <w:rPr>
          <w:noProof/>
        </w:rPr>
        <w:drawing>
          <wp:inline distT="0" distB="0" distL="0" distR="0" wp14:anchorId="4A1B3C19" wp14:editId="70DF3868">
            <wp:extent cx="2852013" cy="3381375"/>
            <wp:effectExtent l="0" t="0" r="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63"/>
                    <a:stretch>
                      <a:fillRect/>
                    </a:stretch>
                  </pic:blipFill>
                  <pic:spPr>
                    <a:xfrm>
                      <a:off x="0" y="0"/>
                      <a:ext cx="2862761" cy="3394118"/>
                    </a:xfrm>
                    <a:prstGeom prst="rect">
                      <a:avLst/>
                    </a:prstGeom>
                  </pic:spPr>
                </pic:pic>
              </a:graphicData>
            </a:graphic>
          </wp:inline>
        </w:drawing>
      </w:r>
    </w:p>
    <w:p w14:paraId="1C73A551" w14:textId="3DCFD130" w:rsidR="00ED35A8" w:rsidRDefault="00ED35A8" w:rsidP="00ED35A8">
      <w:pPr>
        <w:pStyle w:val="Caption"/>
      </w:pPr>
      <w:bookmarkStart w:id="66" w:name="_Toc127110924"/>
      <w:r>
        <w:t xml:space="preserve">Figure </w:t>
      </w:r>
      <w:fldSimple w:instr=" SEQ Figure \* ARABIC ">
        <w:r w:rsidR="00A0212F">
          <w:rPr>
            <w:noProof/>
          </w:rPr>
          <w:t>30</w:t>
        </w:r>
      </w:fldSimple>
      <w:r>
        <w:t xml:space="preserve"> </w:t>
      </w:r>
      <w:r w:rsidRPr="00FA4DF5">
        <w:t>A photograph</w:t>
      </w:r>
      <w:r w:rsidR="007C00B4">
        <w:t xml:space="preserve"> (author)</w:t>
      </w:r>
      <w:r w:rsidRPr="00FA4DF5">
        <w:t xml:space="preserve"> and a schematic diagram of the sinter pot (</w:t>
      </w:r>
      <w:proofErr w:type="spellStart"/>
      <w:r w:rsidRPr="00FA4DF5">
        <w:t>Zandi</w:t>
      </w:r>
      <w:proofErr w:type="spellEnd"/>
      <w:r w:rsidRPr="00FA4DF5">
        <w:t xml:space="preserve"> et al. 2010)</w:t>
      </w:r>
      <w:bookmarkEnd w:id="66"/>
    </w:p>
    <w:p w14:paraId="67AC725B" w14:textId="56BDB85F" w:rsidR="006B24A8" w:rsidRDefault="00E154BA" w:rsidP="00ED35A8">
      <w:pPr>
        <w:spacing w:line="360" w:lineRule="auto"/>
        <w:jc w:val="both"/>
      </w:pPr>
      <w:r w:rsidRPr="00E154BA">
        <w:t xml:space="preserve">The sinter pot is a laboratory scale sintering furnace. It is capable of producing iron ore sinter in 10kg batches. The furnace is filled iron ores, coke breeze and limestone. The top is </w:t>
      </w:r>
      <w:r w:rsidR="0079369E" w:rsidRPr="00E154BA">
        <w:t>ignited,</w:t>
      </w:r>
      <w:r w:rsidRPr="00E154BA">
        <w:t xml:space="preserve"> and air is then drawn through the bottom of the furnace, drawing the flame front downwards. This allows combustion to occur throughout the mixture, finishing the agglomeration process. The sinter pot is connected to a computer system, where the process parameters can be monitored via flowmeters, </w:t>
      </w:r>
      <w:r w:rsidR="0079369E" w:rsidRPr="00E154BA">
        <w:t>thermocouples,</w:t>
      </w:r>
      <w:r w:rsidRPr="00E154BA">
        <w:t xml:space="preserve"> and pressure gauges. The </w:t>
      </w:r>
      <w:r w:rsidR="0079369E">
        <w:t xml:space="preserve">sinter </w:t>
      </w:r>
      <w:r w:rsidRPr="00E154BA">
        <w:t>pot and computer system are connected to a butterfly valve where the user can adjust the pressure drop accordingly. Overall, th</w:t>
      </w:r>
      <w:r w:rsidR="008D6D16">
        <w:t>e sinter</w:t>
      </w:r>
      <w:r w:rsidRPr="00E154BA">
        <w:t xml:space="preserve"> pot essentially mimics the process conditions of the sinter plant at a laboratory scale in order to investigate and optimize the process</w:t>
      </w:r>
      <w:r w:rsidR="003B06F1">
        <w:t xml:space="preserve"> </w:t>
      </w:r>
      <w:r w:rsidR="003B06F1">
        <w:fldChar w:fldCharType="begin"/>
      </w:r>
      <w:r w:rsidR="005F5238">
        <w:instrText xml:space="preserve"> ADDIN ZOTERO_ITEM CSL_CITATION {"citationID":"3RmIu6oj","properties":{"formattedCitation":"(Mousa, Babich and Senk, 2015)","plainCitation":"(Mousa, Babich and Senk, 2015)","noteIndex":0},"citationItems":[{"id":1914,"uris":["http://zotero.org/users/local/AB2owHL2/items/YI5DW7PH"],"itemData":{"id":1914,"type":"paper-conference","abstract":"The utilization of renewable biomass instead of fossil fuels is one of the ways to mitigate the CO2 emissions in the steel industry. The current study aims at investigation of the influence of coke breeze substitution with biomass charcoal in iron ore sintering process. The applied biomass is prepared by the pyrolysis of woody pellets in muffle furnace under inert atmosphere at the same temperature as coke breeze is produced. A laboratory sinter pot is employed for studying the sintering performance under biomass fuel utilization. The applied materials and the product sinter samples are subjected to reflected light microscopy, scanning electron microscopy, X-ray diffraction analysis and chemical analysis to characterize the microstructure, developed phases and chemical composition. The results of sinter bed temperature profile, permeability and off-gas analysis are discussed. The influence of biomass fuel rate in the range 0–100% on the sinter quality is evaluated and compared to the conventional sinter. The sinters quality is examined by reduction, strength tests and by microstructural study. Based on the obtained data, conclusions are given on the optimum usage of renewable biomass in iron ore sintering process.","event-place":"Düsseldorf Germany","event-title":"Metec &amp; 2nd Estad","publisher":"Institute of Ferrous Metallurgy","publisher-place":"Düsseldorf Germany","source":"ResearchGate","title":"Iron Ore Sintering Process with Biomass Utilization","author":[{"family":"Mousa","given":"Elsayed"},{"family":"Babich","given":"A."},{"family":"Senk","given":"Dieter"}],"issued":{"date-parts":[["2015",6,15]]}}}],"schema":"https://github.com/citation-style-language/schema/raw/master/csl-citation.json"} </w:instrText>
      </w:r>
      <w:r w:rsidR="003B06F1">
        <w:fldChar w:fldCharType="separate"/>
      </w:r>
      <w:r w:rsidR="00192334" w:rsidRPr="00192334">
        <w:rPr>
          <w:rFonts w:ascii="Calibri" w:hAnsi="Calibri" w:cs="Calibri"/>
        </w:rPr>
        <w:t>(Mousa, Babich and Senk, 2015)</w:t>
      </w:r>
      <w:r w:rsidR="003B06F1">
        <w:fldChar w:fldCharType="end"/>
      </w:r>
      <w:r w:rsidR="00CB7DBA">
        <w:t>.</w:t>
      </w:r>
      <w:r w:rsidR="007C00B4">
        <w:t xml:space="preserve"> The sinter pot is demonstrated in figure 30.</w:t>
      </w:r>
    </w:p>
    <w:p w14:paraId="6663238B" w14:textId="4D4113CE" w:rsidR="00C81CCC" w:rsidRDefault="00203343" w:rsidP="00E154BA">
      <w:pPr>
        <w:spacing w:line="360" w:lineRule="auto"/>
        <w:jc w:val="both"/>
      </w:pPr>
      <w:r>
        <w:t>The</w:t>
      </w:r>
      <w:r w:rsidR="00812FE8">
        <w:t xml:space="preserve"> Biochar will be assessed against a base sinter blend, made up of </w:t>
      </w:r>
      <w:r w:rsidR="000A0B29">
        <w:t>a blend of</w:t>
      </w:r>
      <w:r w:rsidR="004924E2">
        <w:t xml:space="preserve"> </w:t>
      </w:r>
      <w:r w:rsidR="00D81BE2">
        <w:t>iron o</w:t>
      </w:r>
      <w:r w:rsidR="00783231">
        <w:t>res</w:t>
      </w:r>
      <w:r w:rsidR="0034217D">
        <w:t xml:space="preserve"> fluxes and fuel</w:t>
      </w:r>
      <w:r w:rsidR="00783231">
        <w:t>,</w:t>
      </w:r>
      <w:r w:rsidR="00D81BE2">
        <w:t xml:space="preserve"> </w:t>
      </w:r>
      <w:r w:rsidR="004924E2">
        <w:t xml:space="preserve">similar to that used </w:t>
      </w:r>
      <w:r w:rsidR="002B08E2">
        <w:t xml:space="preserve">at the Port Talbot steelworks sinter plant. </w:t>
      </w:r>
      <w:r w:rsidR="00B12B2C">
        <w:t xml:space="preserve">A blend model excel sheet was used to calculate </w:t>
      </w:r>
      <w:r w:rsidR="003D0970">
        <w:t xml:space="preserve">a </w:t>
      </w:r>
      <w:r w:rsidR="00EA3197">
        <w:t xml:space="preserve">base </w:t>
      </w:r>
      <w:r w:rsidR="003D0970">
        <w:t>blend with the required chemistry to give</w:t>
      </w:r>
      <w:r w:rsidR="00783231">
        <w:t xml:space="preserve"> a strong sinter</w:t>
      </w:r>
      <w:r w:rsidR="00EA3197">
        <w:t xml:space="preserve"> with </w:t>
      </w:r>
      <w:r w:rsidR="000111FF">
        <w:t>high quality characteristics</w:t>
      </w:r>
      <w:r w:rsidR="00A262A4">
        <w:t xml:space="preserve">, see table </w:t>
      </w:r>
      <w:r w:rsidR="00EA1BB7">
        <w:t>2.</w:t>
      </w:r>
      <w:r w:rsidR="000111FF">
        <w:t xml:space="preserve"> The base blend can then be used to assess the impact of biochar addition </w:t>
      </w:r>
      <w:r w:rsidR="008845FB">
        <w:t>on sinter quality.</w:t>
      </w:r>
      <w:r w:rsidR="0034217D">
        <w:t xml:space="preserve"> </w:t>
      </w:r>
    </w:p>
    <w:p w14:paraId="6F8D6E0A" w14:textId="77777777" w:rsidR="00EF43B1" w:rsidRDefault="00EF43B1" w:rsidP="00E154BA">
      <w:pPr>
        <w:spacing w:line="360" w:lineRule="auto"/>
        <w:jc w:val="both"/>
      </w:pPr>
    </w:p>
    <w:p w14:paraId="25A1061E" w14:textId="77777777" w:rsidR="00EF43B1" w:rsidRDefault="00EF43B1" w:rsidP="00E154BA">
      <w:pPr>
        <w:spacing w:line="360" w:lineRule="auto"/>
        <w:jc w:val="both"/>
      </w:pPr>
    </w:p>
    <w:p w14:paraId="6534ADF3" w14:textId="070A15F0" w:rsidR="00EF43B1" w:rsidRDefault="00EF43B1" w:rsidP="00EF43B1">
      <w:pPr>
        <w:pStyle w:val="Caption"/>
      </w:pPr>
      <w:r>
        <w:lastRenderedPageBreak/>
        <w:t xml:space="preserve">Table </w:t>
      </w:r>
      <w:fldSimple w:instr=" SEQ Table \* ARABIC ">
        <w:r w:rsidR="00DA2639">
          <w:rPr>
            <w:noProof/>
          </w:rPr>
          <w:t>2</w:t>
        </w:r>
      </w:fldSimple>
      <w:r>
        <w:t xml:space="preserve"> Sinter blend components</w:t>
      </w:r>
    </w:p>
    <w:p w14:paraId="3FC7D38E" w14:textId="2D746432" w:rsidR="0094546C" w:rsidRDefault="00EF43B1" w:rsidP="00E154BA">
      <w:pPr>
        <w:spacing w:line="360" w:lineRule="auto"/>
        <w:jc w:val="both"/>
      </w:pPr>
      <w:r w:rsidRPr="00EF43B1">
        <w:rPr>
          <w:noProof/>
        </w:rPr>
        <w:drawing>
          <wp:inline distT="0" distB="0" distL="0" distR="0" wp14:anchorId="5E5FDB62" wp14:editId="31B7F0E8">
            <wp:extent cx="5731510" cy="1838325"/>
            <wp:effectExtent l="0" t="0" r="2540" b="9525"/>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64"/>
                    <a:stretch>
                      <a:fillRect/>
                    </a:stretch>
                  </pic:blipFill>
                  <pic:spPr>
                    <a:xfrm>
                      <a:off x="0" y="0"/>
                      <a:ext cx="5731510" cy="1838325"/>
                    </a:xfrm>
                    <a:prstGeom prst="rect">
                      <a:avLst/>
                    </a:prstGeom>
                  </pic:spPr>
                </pic:pic>
              </a:graphicData>
            </a:graphic>
          </wp:inline>
        </w:drawing>
      </w:r>
      <w:r w:rsidR="006446CC">
        <w:t xml:space="preserve"> </w:t>
      </w:r>
    </w:p>
    <w:p w14:paraId="09E83E4A" w14:textId="03F117B1" w:rsidR="00535340" w:rsidRDefault="004F32FF" w:rsidP="00E154BA">
      <w:pPr>
        <w:spacing w:line="360" w:lineRule="auto"/>
        <w:jc w:val="both"/>
      </w:pPr>
      <w:r>
        <w:t xml:space="preserve">The calculated fuel percentage in this blend was </w:t>
      </w:r>
      <w:r w:rsidR="00F517B0">
        <w:t>5</w:t>
      </w:r>
      <w:r w:rsidR="005C64C2">
        <w:t xml:space="preserve">% coke breeze. </w:t>
      </w:r>
      <w:r w:rsidR="00535340">
        <w:t xml:space="preserve">The coke breeze will be replaced by biochar </w:t>
      </w:r>
      <w:r w:rsidR="006F17EE">
        <w:t xml:space="preserve">in increments of 25%, 50% and 75%. The resulting sinter will be assessed </w:t>
      </w:r>
      <w:r w:rsidR="00836FB8">
        <w:t>using the quality measures</w:t>
      </w:r>
      <w:r w:rsidR="00B01890">
        <w:t xml:space="preserve"> discussed below</w:t>
      </w:r>
      <w:r w:rsidR="00836FB8">
        <w:t xml:space="preserve">. The emissions </w:t>
      </w:r>
      <w:r w:rsidR="00B4279C">
        <w:t xml:space="preserve">during these tests will also be monitored for their GHG </w:t>
      </w:r>
      <w:r w:rsidR="001E76EA">
        <w:t>concentration</w:t>
      </w:r>
      <w:r w:rsidR="00B4279C">
        <w:t>.</w:t>
      </w:r>
    </w:p>
    <w:p w14:paraId="50BC96C4" w14:textId="77777777" w:rsidR="00507AEA" w:rsidRDefault="007B4671" w:rsidP="00507AEA">
      <w:pPr>
        <w:spacing w:line="360" w:lineRule="auto"/>
        <w:jc w:val="both"/>
      </w:pPr>
      <w:r>
        <w:t xml:space="preserve">The </w:t>
      </w:r>
      <w:r w:rsidR="005F7ADF">
        <w:t xml:space="preserve">iron ore samples are collected during discharge of the vessel, </w:t>
      </w:r>
      <w:r w:rsidR="00DB2F47">
        <w:t>the ore is loaded onto a conveyor belt and transported to the stockyard. A</w:t>
      </w:r>
      <w:r w:rsidR="000C088B">
        <w:t xml:space="preserve">n iron ore stacker discharges the iron ore from the conveyor belt into large stockpiles. Every </w:t>
      </w:r>
      <w:r w:rsidR="00583931">
        <w:t>5000</w:t>
      </w:r>
      <w:r w:rsidR="00C64837">
        <w:t xml:space="preserve"> Kt the stacker, diverts the material away from the main stockpile and creates a small pile for sampling. The practice of sampling from the main stockpile has been discontinued at Port Talbot for safety reasons, large stockpiles of iron ore fines have been known to slip, rainfall can cause the fines to </w:t>
      </w:r>
      <w:r w:rsidR="00C00922">
        <w:t>liquefy,</w:t>
      </w:r>
      <w:r w:rsidR="00C64837">
        <w:t xml:space="preserve"> large amounts of the ore can slip away from the stockpile. The ISO recommended sampling method is to use an autosampler, which is not available at Port Talbot, the next best recommendation is to stop the conveyor belt and take cuts from across the belt. This practice has also been stopped as it caused operational issues when discharging iron ore</w:t>
      </w:r>
      <w:r w:rsidR="00C00922">
        <w:t xml:space="preserve">, the weight of the ore on the belt can strain the conveyor belt when it has been stopped, discharging of the vessel is slowed down which incurs a cost, and discharge chutes can become blocked. The small sample stockpiles method was developed at Port Talbot laboratories to try obtain as representative sample as possible given the constraints put in place.  50 increments are taken from around the small pile and bagged up to create 25Kg samples for every 5000Kt. These samples are mixed and spilt down into more manageable sample sizes. A composite was then created to obtain a representative sample of the vessel cargo. As it is not to ISO standard some bias may exist in this sampling method. </w:t>
      </w:r>
      <w:r w:rsidR="00AF6491">
        <w:t>The fluxes and coke breeze were sampled from conveyor belts as they discharge into the process. They are sampled using ISO standard methods.</w:t>
      </w:r>
      <w:r w:rsidR="00507AEA">
        <w:t xml:space="preserve"> </w:t>
      </w:r>
    </w:p>
    <w:p w14:paraId="487F7D96" w14:textId="2C8D3FD6" w:rsidR="00507AEA" w:rsidRDefault="00507AEA" w:rsidP="00507AEA">
      <w:pPr>
        <w:spacing w:line="360" w:lineRule="auto"/>
        <w:jc w:val="both"/>
      </w:pPr>
      <w:r w:rsidRPr="00507AEA">
        <w:t>The materials were</w:t>
      </w:r>
      <w:r>
        <w:t xml:space="preserve"> </w:t>
      </w:r>
      <w:r w:rsidR="0042106B">
        <w:t>then</w:t>
      </w:r>
      <w:r w:rsidRPr="00507AEA">
        <w:t xml:space="preserve"> dried in an oven at 105</w:t>
      </w:r>
      <w:r w:rsidRPr="00507AEA">
        <w:rPr>
          <w:vertAlign w:val="superscript"/>
        </w:rPr>
        <w:t>0</w:t>
      </w:r>
      <w:r w:rsidRPr="00507AEA">
        <w:t xml:space="preserve">C until constant mass was achieved. The ores were screened through a 5mm sieve, any oversize was discarded. This was done to mimic plant conditions, a uniform particle size ensures air flow uniformity </w:t>
      </w:r>
      <w:r w:rsidRPr="00507AEA">
        <w:fldChar w:fldCharType="begin"/>
      </w:r>
      <w:r w:rsidR="00192334">
        <w:instrText xml:space="preserve"> ADDIN ZOTERO_ITEM CSL_CITATION {"citationID":"CvzfFFX1","properties":{"formattedCitation":"(Cheng {\\i{}et al.}, 2016)","plainCitation":"(Cheng et al., 2016)","noteIndex":0},"citationItems":[{"id":1906,"uris":["http://zotero.org/users/local/AB2owHL2/items/9H8FADEK"],"itemData":{"id":1906,"type":"article-journal","abstract":"Using biomass for partial or complete replacement of coke breeze in iron ore sintering process is an attractive technique for reducing emissions of greenhouse gas and gaseous pollutants. But one drawback of this technique is that low or medium grade charcoal may lead to the failure in achieving proper sintering performance. In this paper, the behaviors of coke combustion versus charcoal combustion in sintering bed were compared. The results of thermal profile and exhaust gas composition indicated that the sinters quality was deteriorated at high charcoal proportion. Lacking heat release in melting zone and the excessively high combustion rate were the reasons to weak sinters. In order to ensure the sintering performance when using medium grade charcoal in sintering bed, the effects of three improving measures (proposing the equivalent fixed carbon substitution approach, increasing charcoal particle size and adopting coated charcoal combustion) were experimentally tested. The results showed that equivalent fixed carbon substitution approach was more effective to produce sufficient heat in melting zone at medium grade charcoal combustion. Additionally, it was also found that increasing charcoal particles size and applying coated charcoal combustion method could reduce combustion rate to achieve a proper matching condition between flame front speed and heat transfer front speed. Consequently, with the help of equivalent fixed carbon substitution approach, coarse charcoal and coated charcoal particles, the peak temperature, holding time above 1100°C, melting quantity index and combustion efficiency were increased in the charcoal sintering process.","container-title":"Applied Energy","DOI":"10.1016/j.apenergy.2015.09.095","ISSN":"0306-2619","journalAbbreviation":"Applied Energy","language":"en","page":"364-374","source":"ScienceDirect","title":"Characteristics of charcoal combustion and its effects on iron-ore sintering performance","URL":"https://www.sciencedirect.com/science/article/pii/S0306261915012210","volume":"161","author":[{"family":"Cheng","given":"Zhilong"},{"family":"Yang","given":"Jian"},{"family":"Zhou","given":"Lang"},{"family":"Liu","given":"Yan"},{"family":"Wang","given":"Qiuwang"}],"accessed":{"date-parts":[["2022",8,22]]},"issued":{"date-parts":[["2016",1,1]]}}}],"schema":"https://github.com/citation-style-language/schema/raw/master/csl-citation.json"} </w:instrText>
      </w:r>
      <w:r w:rsidRPr="00507AEA">
        <w:fldChar w:fldCharType="separate"/>
      </w:r>
      <w:r w:rsidR="00192334" w:rsidRPr="00192334">
        <w:rPr>
          <w:rFonts w:ascii="Calibri" w:hAnsi="Calibri" w:cs="Calibri"/>
          <w:szCs w:val="24"/>
        </w:rPr>
        <w:t xml:space="preserve">(Cheng </w:t>
      </w:r>
      <w:r w:rsidR="00192334" w:rsidRPr="00192334">
        <w:rPr>
          <w:rFonts w:ascii="Calibri" w:hAnsi="Calibri" w:cs="Calibri"/>
          <w:i/>
          <w:iCs/>
          <w:szCs w:val="24"/>
        </w:rPr>
        <w:t>et al.</w:t>
      </w:r>
      <w:r w:rsidR="00192334" w:rsidRPr="00192334">
        <w:rPr>
          <w:rFonts w:ascii="Calibri" w:hAnsi="Calibri" w:cs="Calibri"/>
          <w:szCs w:val="24"/>
        </w:rPr>
        <w:t>, 2016)</w:t>
      </w:r>
      <w:r w:rsidRPr="00507AEA">
        <w:fldChar w:fldCharType="end"/>
      </w:r>
      <w:r w:rsidRPr="00507AEA">
        <w:t xml:space="preserve">.  </w:t>
      </w:r>
      <w:r w:rsidR="0042106B">
        <w:t>Fuels are sieved to &lt;3mm.</w:t>
      </w:r>
    </w:p>
    <w:p w14:paraId="7533F6B7" w14:textId="7EFA822F" w:rsidR="00A373B5" w:rsidRDefault="00507AEA" w:rsidP="00507AEA">
      <w:pPr>
        <w:spacing w:line="360" w:lineRule="auto"/>
        <w:jc w:val="both"/>
      </w:pPr>
      <w:r w:rsidRPr="00507AEA">
        <w:lastRenderedPageBreak/>
        <w:t>The Materials</w:t>
      </w:r>
      <w:r>
        <w:t xml:space="preserve"> were weighed out according to the weights shown in table 2. </w:t>
      </w:r>
      <w:r w:rsidR="0042106B">
        <w:t>The blend</w:t>
      </w:r>
      <w:r>
        <w:t xml:space="preserve"> </w:t>
      </w:r>
      <w:r w:rsidR="0042106B">
        <w:t>was</w:t>
      </w:r>
      <w:r>
        <w:t xml:space="preserve"> thoroughly mixed together in a cement mixer before being charged into a granulation drum and mixed with </w:t>
      </w:r>
      <w:r w:rsidR="0042106B">
        <w:t xml:space="preserve">6.5% </w:t>
      </w:r>
      <w:r>
        <w:t>water to form micro pellets</w:t>
      </w:r>
      <w:r w:rsidR="0042106B">
        <w:t>, granulation helps create a porous and permeable mixture and the moisture helps the particles adhere to one another</w:t>
      </w:r>
      <w:r>
        <w:t>.</w:t>
      </w:r>
      <w:r w:rsidR="0042106B">
        <w:t xml:space="preserve"> Next the furnace is filled with a layer of </w:t>
      </w:r>
      <w:r w:rsidR="00F41397">
        <w:t>sinter 10</w:t>
      </w:r>
      <w:r w:rsidR="00A373B5">
        <w:t xml:space="preserve">-15mm </w:t>
      </w:r>
      <w:r w:rsidR="0042106B">
        <w:t xml:space="preserve">called the hearth layer, this layer </w:t>
      </w:r>
      <w:r w:rsidR="00A373B5">
        <w:t>ensures</w:t>
      </w:r>
      <w:r w:rsidR="0042106B">
        <w:t xml:space="preserve"> good permeability and protects the base from thermal attack. The granulated raw mix is now added to the furnace and thermocouples</w:t>
      </w:r>
      <w:r w:rsidR="00F41397">
        <w:t xml:space="preserve"> fixed into</w:t>
      </w:r>
      <w:r w:rsidR="0042106B">
        <w:t xml:space="preserve"> place. </w:t>
      </w:r>
    </w:p>
    <w:p w14:paraId="7396A7B6" w14:textId="4A20C588" w:rsidR="00507AEA" w:rsidRDefault="0042106B" w:rsidP="00A373B5">
      <w:pPr>
        <w:spacing w:line="360" w:lineRule="auto"/>
        <w:jc w:val="both"/>
      </w:pPr>
      <w:r>
        <w:t xml:space="preserve">A flowmeter is </w:t>
      </w:r>
      <w:r w:rsidR="00A373B5">
        <w:t>fixed</w:t>
      </w:r>
      <w:r>
        <w:t xml:space="preserve"> above the furnace</w:t>
      </w:r>
      <w:r w:rsidR="00A373B5">
        <w:t>,</w:t>
      </w:r>
      <w:r>
        <w:t xml:space="preserve"> air is drawn through the </w:t>
      </w:r>
      <w:r w:rsidR="00A373B5">
        <w:t>furnace</w:t>
      </w:r>
      <w:r>
        <w:t xml:space="preserve"> to measure </w:t>
      </w:r>
      <w:r w:rsidR="00A373B5">
        <w:t xml:space="preserve">the raw mixture permeability. To ignite the mixture a burner is placed above the furnace and left for 1 minute, the flow meter is returned to the top of the furnace and the furnace is left to sinter.  </w:t>
      </w:r>
    </w:p>
    <w:p w14:paraId="7F2DBF27" w14:textId="23E58976" w:rsidR="004C7CFB" w:rsidRDefault="00631885" w:rsidP="0039433E">
      <w:pPr>
        <w:pStyle w:val="Heading3"/>
        <w:spacing w:line="360" w:lineRule="auto"/>
        <w:jc w:val="both"/>
      </w:pPr>
      <w:bookmarkStart w:id="67" w:name="_Toc128599618"/>
      <w:r w:rsidRPr="00631885">
        <w:t>Determination of low-temperature reduction</w:t>
      </w:r>
      <w:r w:rsidR="00932E61">
        <w:t xml:space="preserve"> </w:t>
      </w:r>
      <w:r w:rsidRPr="00631885">
        <w:t>disintegration indices</w:t>
      </w:r>
      <w:bookmarkEnd w:id="67"/>
    </w:p>
    <w:p w14:paraId="6CCF6E58" w14:textId="718BD177" w:rsidR="003C4372" w:rsidRPr="003C4372" w:rsidRDefault="004E6827" w:rsidP="0039433E">
      <w:pPr>
        <w:spacing w:line="360" w:lineRule="auto"/>
        <w:jc w:val="both"/>
      </w:pPr>
      <w:r>
        <w:t>Inside the BF, sinter material is degraded due to mechanical wear and reduction</w:t>
      </w:r>
      <w:r w:rsidR="00590646">
        <w:t xml:space="preserve">. The reduction wear mechanism </w:t>
      </w:r>
      <w:r w:rsidR="00522C1F">
        <w:t>results from the crystal structure change</w:t>
      </w:r>
      <w:r w:rsidR="001E1E80">
        <w:t xml:space="preserve"> from hematite (Fe</w:t>
      </w:r>
      <w:r w:rsidR="001E1E80" w:rsidRPr="00FC65EC">
        <w:rPr>
          <w:vertAlign w:val="subscript"/>
        </w:rPr>
        <w:t>2</w:t>
      </w:r>
      <w:r w:rsidR="001E1E80">
        <w:t>O</w:t>
      </w:r>
      <w:r w:rsidR="001E1E80" w:rsidRPr="00FC65EC">
        <w:rPr>
          <w:vertAlign w:val="subscript"/>
        </w:rPr>
        <w:t>3</w:t>
      </w:r>
      <w:r w:rsidR="001E1E80">
        <w:t>) to magnetite (Fe</w:t>
      </w:r>
      <w:r w:rsidR="001E1E80" w:rsidRPr="00FC65EC">
        <w:rPr>
          <w:vertAlign w:val="subscript"/>
        </w:rPr>
        <w:t>3</w:t>
      </w:r>
      <w:r w:rsidR="001E1E80">
        <w:t>O</w:t>
      </w:r>
      <w:r w:rsidR="001E1E80" w:rsidRPr="00FC65EC">
        <w:rPr>
          <w:vertAlign w:val="subscript"/>
        </w:rPr>
        <w:t>4</w:t>
      </w:r>
      <w:r w:rsidR="001E1E80">
        <w:t>)</w:t>
      </w:r>
      <w:r w:rsidR="00FC65EC">
        <w:t>.</w:t>
      </w:r>
      <w:r>
        <w:t xml:space="preserve"> </w:t>
      </w:r>
      <w:r w:rsidR="00FC65EC">
        <w:t xml:space="preserve">This structural change occurs </w:t>
      </w:r>
      <w:r w:rsidR="00A13B9E">
        <w:t>in the low temperature r</w:t>
      </w:r>
      <w:r w:rsidR="006C775D">
        <w:t>egion</w:t>
      </w:r>
      <w:r w:rsidR="00A13B9E">
        <w:t xml:space="preserve"> of the furnace</w:t>
      </w:r>
      <w:r w:rsidR="006C775D">
        <w:t xml:space="preserve"> and therefore is known as </w:t>
      </w:r>
      <w:r w:rsidR="003514A6">
        <w:t xml:space="preserve">low temperature degradation. </w:t>
      </w:r>
      <w:r w:rsidR="00AE1AB2">
        <w:t>This degradation is measured by</w:t>
      </w:r>
      <w:r w:rsidR="00932E61">
        <w:t xml:space="preserve"> the reduction disintegration index (RDI)</w:t>
      </w:r>
      <w:r w:rsidR="002F43AB">
        <w:t xml:space="preserve"> </w:t>
      </w:r>
      <w:r w:rsidR="00497B74">
        <w:fldChar w:fldCharType="begin"/>
      </w:r>
      <w:r w:rsidR="00192334">
        <w:instrText xml:space="preserve"> ADDIN ZOTERO_ITEM CSL_CITATION {"citationID":"fGjpkS3C","properties":{"formattedCitation":"(Jiao {\\i{}et al.}, 2021)","plainCitation":"(Jiao et al., 2021)","noteIndex":0},"citationItems":[{"id":1992,"uris":["http://zotero.org/users/local/AB2owHL2/items/Q3BULI25"],"itemData":{"id":1992,"type":"article-journal","abstract":"Explore millions of resources from scholarly journals, books, newspapers, videos and more, on the ProQuest Platform.","container-title":"Metallurgical and Materials Transactions: Process Metallurgy and Materials Processing Science","issue":"1","language":"en","page":"138-155","title":"​ ​CFD Modeling and Analysis of Particle Size Reduction and Its Effect on Blast Furnace Ironmaking","URL":"http://www.proquest.com/docview/2483426060?pq-origsite=primo&amp;accountid=130472","volume":"52","author":[{"family":"Jiao","given":"Lulu"},{"family":"Kuang","given":"Shibo"},{"family":"Liu","given":"Lingling"},{"family":"Yu","given":"Aibing"},{"family":"Li","given":"Yuntao"},{"family":"Mao","given":"Xiaoming"},{"family":"Xu","given":"Hui"}],"accessed":{"date-parts":[["2022",10,4]]},"issued":{"date-parts":[["2021"]]}}}],"schema":"https://github.com/citation-style-language/schema/raw/master/csl-citation.json"} </w:instrText>
      </w:r>
      <w:r w:rsidR="00497B74">
        <w:fldChar w:fldCharType="separate"/>
      </w:r>
      <w:r w:rsidR="00192334" w:rsidRPr="00192334">
        <w:rPr>
          <w:rFonts w:ascii="Calibri" w:hAnsi="Calibri" w:cs="Calibri"/>
          <w:szCs w:val="24"/>
        </w:rPr>
        <w:t xml:space="preserve">(Jiao </w:t>
      </w:r>
      <w:r w:rsidR="00192334" w:rsidRPr="00192334">
        <w:rPr>
          <w:rFonts w:ascii="Calibri" w:hAnsi="Calibri" w:cs="Calibri"/>
          <w:i/>
          <w:iCs/>
          <w:szCs w:val="24"/>
        </w:rPr>
        <w:t>et al.</w:t>
      </w:r>
      <w:r w:rsidR="00192334" w:rsidRPr="00192334">
        <w:rPr>
          <w:rFonts w:ascii="Calibri" w:hAnsi="Calibri" w:cs="Calibri"/>
          <w:szCs w:val="24"/>
        </w:rPr>
        <w:t>, 2021)</w:t>
      </w:r>
      <w:r w:rsidR="00497B74">
        <w:fldChar w:fldCharType="end"/>
      </w:r>
      <w:r w:rsidR="00164B14">
        <w:t>.</w:t>
      </w:r>
      <w:r w:rsidR="007C00B4">
        <w:t xml:space="preserve"> Figure 31 illustrates the RDI equipment requirements.</w:t>
      </w:r>
    </w:p>
    <w:p w14:paraId="72BD7E10" w14:textId="67ACD831" w:rsidR="0071657D" w:rsidRDefault="00DA7928" w:rsidP="00ED35A8">
      <w:r w:rsidRPr="00DA7928">
        <w:rPr>
          <w:noProof/>
        </w:rPr>
        <w:drawing>
          <wp:inline distT="0" distB="0" distL="0" distR="0" wp14:anchorId="636E34E0" wp14:editId="188BF4FA">
            <wp:extent cx="3290609" cy="2326233"/>
            <wp:effectExtent l="0" t="0" r="0" b="0"/>
            <wp:docPr id="33" name="Picture 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 engineering drawing&#10;&#10;Description automatically generated"/>
                    <pic:cNvPicPr/>
                  </pic:nvPicPr>
                  <pic:blipFill>
                    <a:blip r:embed="rId65"/>
                    <a:stretch>
                      <a:fillRect/>
                    </a:stretch>
                  </pic:blipFill>
                  <pic:spPr>
                    <a:xfrm>
                      <a:off x="0" y="0"/>
                      <a:ext cx="3305615" cy="2336841"/>
                    </a:xfrm>
                    <a:prstGeom prst="rect">
                      <a:avLst/>
                    </a:prstGeom>
                  </pic:spPr>
                </pic:pic>
              </a:graphicData>
            </a:graphic>
          </wp:inline>
        </w:drawing>
      </w:r>
      <w:r w:rsidR="0071657D" w:rsidRPr="0071657D">
        <w:rPr>
          <w:noProof/>
        </w:rPr>
        <w:drawing>
          <wp:inline distT="0" distB="0" distL="0" distR="0" wp14:anchorId="2771FE0D" wp14:editId="30891CAD">
            <wp:extent cx="2320508" cy="2106778"/>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66"/>
                    <a:stretch>
                      <a:fillRect/>
                    </a:stretch>
                  </pic:blipFill>
                  <pic:spPr>
                    <a:xfrm>
                      <a:off x="0" y="0"/>
                      <a:ext cx="2339399" cy="2123929"/>
                    </a:xfrm>
                    <a:prstGeom prst="rect">
                      <a:avLst/>
                    </a:prstGeom>
                  </pic:spPr>
                </pic:pic>
              </a:graphicData>
            </a:graphic>
          </wp:inline>
        </w:drawing>
      </w:r>
    </w:p>
    <w:p w14:paraId="6CEEBB52" w14:textId="246C8A80" w:rsidR="00ED35A8" w:rsidRDefault="00ED35A8" w:rsidP="00ED35A8">
      <w:pPr>
        <w:pStyle w:val="Caption"/>
      </w:pPr>
      <w:bookmarkStart w:id="68" w:name="_Toc127110925"/>
      <w:r>
        <w:t xml:space="preserve">Figure </w:t>
      </w:r>
      <w:fldSimple w:instr=" SEQ Figure \* ARABIC ">
        <w:r w:rsidR="00A0212F">
          <w:rPr>
            <w:noProof/>
          </w:rPr>
          <w:t>31</w:t>
        </w:r>
      </w:fldSimple>
      <w:r>
        <w:t xml:space="preserve"> </w:t>
      </w:r>
      <w:r w:rsidRPr="002009B9">
        <w:t>RDI test equipment apparatus (British Standards Institute 2015b)</w:t>
      </w:r>
      <w:bookmarkEnd w:id="68"/>
    </w:p>
    <w:p w14:paraId="26B081A3" w14:textId="72C27273" w:rsidR="005105E4" w:rsidRDefault="005042B3" w:rsidP="00DA1A37">
      <w:pPr>
        <w:spacing w:line="360" w:lineRule="auto"/>
        <w:jc w:val="both"/>
      </w:pPr>
      <w:r>
        <w:t xml:space="preserve">The test </w:t>
      </w:r>
      <w:r w:rsidR="0006201C">
        <w:t>portion</w:t>
      </w:r>
      <w:r w:rsidR="00731071">
        <w:t xml:space="preserve"> (500</w:t>
      </w:r>
      <w:r w:rsidR="0095101B">
        <w:t xml:space="preserve">g </w:t>
      </w:r>
      <w:r w:rsidR="00BB0DD5">
        <w:t>of sinter</w:t>
      </w:r>
      <w:r w:rsidR="0095101B">
        <w:t xml:space="preserve"> 16 mm - 20 mm) </w:t>
      </w:r>
      <w:r w:rsidR="0006201C">
        <w:t>is</w:t>
      </w:r>
      <w:r w:rsidR="009F78AE">
        <w:t xml:space="preserve"> reduced by</w:t>
      </w:r>
      <w:r w:rsidR="0006201C">
        <w:t xml:space="preserve"> heated to 550</w:t>
      </w:r>
      <w:r w:rsidR="0006201C" w:rsidRPr="0006201C">
        <w:rPr>
          <w:vertAlign w:val="superscript"/>
        </w:rPr>
        <w:t>0</w:t>
      </w:r>
      <w:r w:rsidR="0006201C">
        <w:t xml:space="preserve">C </w:t>
      </w:r>
      <w:r w:rsidR="00BC5BDE">
        <w:t>and</w:t>
      </w:r>
      <w:r w:rsidR="009F78AE">
        <w:t xml:space="preserve"> a reducing gas consisting of </w:t>
      </w:r>
      <w:r w:rsidR="00961560">
        <w:t>a 70/30 % mix of N</w:t>
      </w:r>
      <w:r w:rsidR="00961560" w:rsidRPr="00961560">
        <w:rPr>
          <w:vertAlign w:val="subscript"/>
        </w:rPr>
        <w:t>2</w:t>
      </w:r>
      <w:r w:rsidR="00961560">
        <w:t xml:space="preserve"> and CO</w:t>
      </w:r>
      <w:r w:rsidR="0006201C">
        <w:t xml:space="preserve"> </w:t>
      </w:r>
      <w:r w:rsidR="00BC5BDE">
        <w:t>is passed through the sample for 30 minutes</w:t>
      </w:r>
      <w:r w:rsidR="00D55A11">
        <w:t xml:space="preserve">. The reduced sample portion is then tumbled in a </w:t>
      </w:r>
      <w:r w:rsidR="009F73F1">
        <w:t xml:space="preserve">small </w:t>
      </w:r>
      <w:r w:rsidR="00B5683D">
        <w:t>drum for 900 revolutions before being sieved through a 2.8mm sieve</w:t>
      </w:r>
      <w:r w:rsidR="00DA1A37">
        <w:t>. The RDI is calculated as the mass percentage of material less than 2.8mm.</w:t>
      </w:r>
    </w:p>
    <w:p w14:paraId="1B416D07" w14:textId="25D923E9" w:rsidR="009F73F1" w:rsidRDefault="009F73F1" w:rsidP="00DA1A37">
      <w:pPr>
        <w:spacing w:line="360" w:lineRule="auto"/>
        <w:jc w:val="both"/>
      </w:pPr>
      <m:oMathPara>
        <m:oMath>
          <m:r>
            <w:rPr>
              <w:rFonts w:ascii="Cambria Math" w:hAnsi="Cambria Math"/>
            </w:rPr>
            <m:t xml:space="preserve"> </m:t>
          </m:r>
          <m:sSub>
            <m:sSubPr>
              <m:ctrlPr>
                <w:rPr>
                  <w:rFonts w:ascii="Cambria Math" w:hAnsi="Cambria Math"/>
                  <w:i/>
                </w:rPr>
              </m:ctrlPr>
            </m:sSubPr>
            <m:e>
              <m:r>
                <w:rPr>
                  <w:rFonts w:ascii="Cambria Math" w:hAnsi="Cambria Math"/>
                </w:rPr>
                <m:t>RDI</m:t>
              </m:r>
            </m:e>
            <m:sub>
              <m:r>
                <w:rPr>
                  <w:rFonts w:ascii="Cambria Math" w:hAnsi="Cambria Math"/>
                </w:rPr>
                <m:t>-2.8mm</m:t>
              </m:r>
            </m:sub>
          </m:sSub>
          <m:r>
            <w:rPr>
              <w:rFonts w:ascii="Cambria Math" w:hAnsi="Cambria Math"/>
            </w:rPr>
            <m:t xml:space="preserve"> = 100- </m:t>
          </m:r>
          <m:f>
            <m:fPr>
              <m:ctrlPr>
                <w:rPr>
                  <w:rFonts w:ascii="Cambria Math" w:hAnsi="Cambria Math"/>
                </w:rPr>
              </m:ctrlPr>
            </m:fPr>
            <m:num>
              <m:sSub>
                <m:sSubPr>
                  <m:ctrlPr>
                    <w:rPr>
                      <w:rFonts w:ascii="Cambria Math" w:hAnsi="Cambria Math"/>
                      <w:i/>
                    </w:rPr>
                  </m:ctrlPr>
                </m:sSubPr>
                <m:e>
                  <m:r>
                    <w:rPr>
                      <w:rFonts w:ascii="Cambria Math" w:hAnsi="Cambria Math"/>
                    </w:rPr>
                    <m:t>m</m:t>
                  </m:r>
                </m:e>
                <m:sub>
                  <m:r>
                    <w:rPr>
                      <w:rFonts w:ascii="Cambria Math" w:hAnsi="Cambria Math"/>
                    </w:rPr>
                    <m:t>1</m:t>
                  </m:r>
                </m:sub>
              </m:sSub>
            </m:num>
            <m:den>
              <m:sSub>
                <m:sSubPr>
                  <m:ctrlPr>
                    <w:rPr>
                      <w:rFonts w:ascii="Cambria Math" w:hAnsi="Cambria Math" w:cs="Cambria Math"/>
                    </w:rPr>
                  </m:ctrlPr>
                </m:sSubPr>
                <m:e>
                  <m:r>
                    <w:rPr>
                      <w:rFonts w:ascii="Cambria Math" w:hAnsi="Cambria Math" w:cs="Cambria Math"/>
                    </w:rPr>
                    <m:t>m</m:t>
                  </m:r>
                </m:e>
                <m:sub>
                  <m:r>
                    <w:rPr>
                      <w:rFonts w:ascii="Cambria Math" w:hAnsi="Cambria Math" w:cs="Cambria Math"/>
                    </w:rPr>
                    <m:t>0</m:t>
                  </m:r>
                </m:sub>
              </m:sSub>
            </m:den>
          </m:f>
          <m:r>
            <w:rPr>
              <w:rFonts w:ascii="Cambria Math" w:hAnsi="Cambria Math"/>
            </w:rPr>
            <m:t xml:space="preserve">* 100 </m:t>
          </m:r>
        </m:oMath>
      </m:oMathPara>
    </w:p>
    <w:p w14:paraId="04605895" w14:textId="33977191" w:rsidR="009F73F1" w:rsidRDefault="00146439" w:rsidP="00856990">
      <w:pPr>
        <w:spacing w:line="360" w:lineRule="auto"/>
        <w:jc w:val="both"/>
      </w:pPr>
      <w:r w:rsidRPr="009F73F1">
        <w:lastRenderedPageBreak/>
        <w:t>W</w:t>
      </w:r>
      <w:r w:rsidR="009F73F1" w:rsidRPr="009F73F1">
        <w:t>here</w:t>
      </w:r>
      <w:r w:rsidR="00856990">
        <w:t xml:space="preserve">: </w:t>
      </w:r>
      <w:r w:rsidR="009F73F1" w:rsidRPr="009F73F1">
        <w:t>m</w:t>
      </w:r>
      <w:r w:rsidR="009F73F1" w:rsidRPr="002E0115">
        <w:rPr>
          <w:vertAlign w:val="subscript"/>
        </w:rPr>
        <w:t xml:space="preserve">0 </w:t>
      </w:r>
      <w:r w:rsidR="009F73F1" w:rsidRPr="009F73F1">
        <w:t>is the mass</w:t>
      </w:r>
      <w:r w:rsidR="00155B89">
        <w:t xml:space="preserve"> (g)</w:t>
      </w:r>
      <w:r w:rsidR="009F73F1" w:rsidRPr="009F73F1">
        <w:t xml:space="preserve"> of the test portion after reduction and before tumbling. </w:t>
      </w:r>
    </w:p>
    <w:p w14:paraId="0A73BDBE" w14:textId="1DE422BC" w:rsidR="009F73F1" w:rsidRDefault="009F73F1" w:rsidP="002E0115">
      <w:pPr>
        <w:spacing w:line="360" w:lineRule="auto"/>
        <w:ind w:firstLine="720"/>
        <w:jc w:val="both"/>
      </w:pPr>
      <w:r w:rsidRPr="009F73F1">
        <w:t>m</w:t>
      </w:r>
      <w:r w:rsidRPr="002E0115">
        <w:rPr>
          <w:vertAlign w:val="subscript"/>
        </w:rPr>
        <w:t xml:space="preserve">1 </w:t>
      </w:r>
      <w:r w:rsidRPr="009F73F1">
        <w:t>is the mass</w:t>
      </w:r>
      <w:r w:rsidR="00155B89">
        <w:t xml:space="preserve"> (g)</w:t>
      </w:r>
      <w:r w:rsidRPr="009F73F1">
        <w:t xml:space="preserve"> retained on the 2,8 mm sieve.</w:t>
      </w:r>
    </w:p>
    <w:p w14:paraId="693532C5" w14:textId="392FD9B9" w:rsidR="006626CC" w:rsidRDefault="006626CC" w:rsidP="006626CC">
      <w:pPr>
        <w:spacing w:line="360" w:lineRule="auto"/>
        <w:jc w:val="both"/>
      </w:pPr>
      <w:r>
        <w:fldChar w:fldCharType="begin"/>
      </w:r>
      <w:r w:rsidR="008F432D">
        <w:instrText xml:space="preserve"> ADDIN ZOTERO_ITEM CSL_CITATION {"citationID":"PUe6B5Oz","properties":{"formattedCitation":"(British Standards Institute 2015b)","plainCitation":"(British Standards Institute 2015b)","dontUpdate":true,"noteIndex":0},"citationItems":[{"id":1991,"uris":["http://zotero.org/users/local/AB2owHL2/items/Z3ADE2BG"],"itemData":{"id":1991,"type":"document","publisher":"British Standards Institution","title":"BS ISO 4696-2: 2015 Iron ores for blast furnace feedstocks — Determination of low-temperature reduction disintegration indices by static method Part 2: Reduction with CO and N2","author":[{"family":"British Standards Institute","given":""}],"issued":{"date-parts":[["2015"]]}}}],"schema":"https://github.com/citation-style-language/schema/raw/master/csl-citation.json"} </w:instrText>
      </w:r>
      <w:r>
        <w:fldChar w:fldCharType="separate"/>
      </w:r>
      <w:r w:rsidR="00763D00" w:rsidRPr="00763D00">
        <w:rPr>
          <w:rFonts w:ascii="Calibri" w:hAnsi="Calibri" w:cs="Calibri"/>
        </w:rPr>
        <w:t>(</w:t>
      </w:r>
      <w:r w:rsidR="00F310DF" w:rsidRPr="00F310DF">
        <w:rPr>
          <w:rFonts w:ascii="Calibri" w:hAnsi="Calibri" w:cs="Calibri"/>
        </w:rPr>
        <w:t>BS ISO 4696-2: 2015</w:t>
      </w:r>
      <w:r w:rsidR="00763D00" w:rsidRPr="00763D00">
        <w:rPr>
          <w:rFonts w:ascii="Calibri" w:hAnsi="Calibri" w:cs="Calibri"/>
        </w:rPr>
        <w:t>)</w:t>
      </w:r>
      <w:r>
        <w:fldChar w:fldCharType="end"/>
      </w:r>
    </w:p>
    <w:p w14:paraId="5E89AE98" w14:textId="0769231C" w:rsidR="006641FD" w:rsidRPr="005105E4" w:rsidRDefault="00D8243D" w:rsidP="006626CC">
      <w:pPr>
        <w:spacing w:line="360" w:lineRule="auto"/>
        <w:jc w:val="both"/>
      </w:pPr>
      <w:r>
        <w:t>The sinter pot produces approx. 1</w:t>
      </w:r>
      <w:r w:rsidR="0029607C">
        <w:t>0</w:t>
      </w:r>
      <w:r>
        <w:t xml:space="preserve"> Kg of sinter</w:t>
      </w:r>
      <w:r w:rsidR="005927BA">
        <w:t xml:space="preserve"> and </w:t>
      </w:r>
      <w:r w:rsidR="00C92F9A">
        <w:t>each</w:t>
      </w:r>
      <w:r w:rsidR="005927BA">
        <w:t xml:space="preserve"> </w:t>
      </w:r>
      <w:r w:rsidR="009F7A51">
        <w:t xml:space="preserve">biochar addition was carried out in duplicate. </w:t>
      </w:r>
      <w:r w:rsidR="00624011">
        <w:t xml:space="preserve">A PSD was carried out on the </w:t>
      </w:r>
      <w:r w:rsidR="000F3DD4">
        <w:t xml:space="preserve">sinter and the material between </w:t>
      </w:r>
      <w:r w:rsidR="00BB54AB">
        <w:t>16mm – 20 mm kept from one of the tests for RDI</w:t>
      </w:r>
      <w:r w:rsidR="000E4158">
        <w:t xml:space="preserve"> </w:t>
      </w:r>
      <w:r w:rsidR="005721DD">
        <w:t>testing the other was used for the tumble and abrasion testing</w:t>
      </w:r>
      <w:r w:rsidR="000E4158">
        <w:t>. The weight of this material would not be enough to meet the ISO std of 500g</w:t>
      </w:r>
      <w:r w:rsidR="00AF08D6">
        <w:t xml:space="preserve"> and so the RDI test was carried out </w:t>
      </w:r>
      <w:r w:rsidR="005721DD">
        <w:t>using whatever material was left of the required size fraction.</w:t>
      </w:r>
    </w:p>
    <w:p w14:paraId="75A59E8F" w14:textId="2C953063" w:rsidR="00225BF7" w:rsidRDefault="00E10504" w:rsidP="006626CC">
      <w:pPr>
        <w:pStyle w:val="Heading3"/>
        <w:spacing w:line="360" w:lineRule="auto"/>
        <w:jc w:val="both"/>
      </w:pPr>
      <w:bookmarkStart w:id="69" w:name="_Toc128599619"/>
      <w:r>
        <w:t>Tumble and Abrasion ind</w:t>
      </w:r>
      <w:r w:rsidR="009202E7">
        <w:t>ices</w:t>
      </w:r>
      <w:bookmarkEnd w:id="69"/>
    </w:p>
    <w:p w14:paraId="25DE0520" w14:textId="0197B286" w:rsidR="0025471C" w:rsidRDefault="000D30A1" w:rsidP="00ED35A8">
      <w:r w:rsidRPr="000D30A1">
        <w:rPr>
          <w:noProof/>
        </w:rPr>
        <w:drawing>
          <wp:inline distT="0" distB="0" distL="0" distR="0" wp14:anchorId="3D8CE796" wp14:editId="7FC48A53">
            <wp:extent cx="3643630" cy="2816352"/>
            <wp:effectExtent l="0" t="0" r="0" b="0"/>
            <wp:docPr id="41" name="Picture 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 engineering drawing&#10;&#10;Description automatically generated"/>
                    <pic:cNvPicPr/>
                  </pic:nvPicPr>
                  <pic:blipFill>
                    <a:blip r:embed="rId67"/>
                    <a:stretch>
                      <a:fillRect/>
                    </a:stretch>
                  </pic:blipFill>
                  <pic:spPr>
                    <a:xfrm>
                      <a:off x="0" y="0"/>
                      <a:ext cx="3663837" cy="2831971"/>
                    </a:xfrm>
                    <a:prstGeom prst="rect">
                      <a:avLst/>
                    </a:prstGeom>
                  </pic:spPr>
                </pic:pic>
              </a:graphicData>
            </a:graphic>
          </wp:inline>
        </w:drawing>
      </w:r>
    </w:p>
    <w:p w14:paraId="33A861BF" w14:textId="235E2240" w:rsidR="00ED35A8" w:rsidRDefault="00ED35A8" w:rsidP="00ED35A8">
      <w:pPr>
        <w:pStyle w:val="Caption"/>
      </w:pPr>
      <w:bookmarkStart w:id="70" w:name="_Toc127110926"/>
      <w:r>
        <w:t xml:space="preserve">Figure </w:t>
      </w:r>
      <w:fldSimple w:instr=" SEQ Figure \* ARABIC ">
        <w:r w:rsidR="00A0212F">
          <w:rPr>
            <w:noProof/>
          </w:rPr>
          <w:t>32</w:t>
        </w:r>
      </w:fldSimple>
      <w:r>
        <w:t xml:space="preserve"> </w:t>
      </w:r>
      <w:r w:rsidRPr="00D5201D">
        <w:t>The drum specifications for the tumble and abrasion test (British Standards Institute 2015a)</w:t>
      </w:r>
      <w:bookmarkEnd w:id="70"/>
    </w:p>
    <w:p w14:paraId="49D72385" w14:textId="70F88BA4" w:rsidR="0088005A" w:rsidRPr="0088005A" w:rsidRDefault="00712399" w:rsidP="00137758">
      <w:pPr>
        <w:spacing w:line="360" w:lineRule="auto"/>
        <w:jc w:val="both"/>
      </w:pPr>
      <w:r>
        <w:t xml:space="preserve">It is very important for the BF to reduce the quantity of fines </w:t>
      </w:r>
      <w:r w:rsidR="00323E7D">
        <w:t>within it as much as possible.</w:t>
      </w:r>
      <w:r w:rsidR="00137758">
        <w:t xml:space="preserve"> </w:t>
      </w:r>
      <w:r w:rsidR="00E21343">
        <w:t>Fines produced d</w:t>
      </w:r>
      <w:r w:rsidR="00137758">
        <w:t xml:space="preserve">uring charging </w:t>
      </w:r>
      <w:r w:rsidR="00AD1EF7">
        <w:t>of the burden</w:t>
      </w:r>
      <w:r w:rsidR="00E21343">
        <w:t xml:space="preserve"> can </w:t>
      </w:r>
      <w:r w:rsidR="00D954AC">
        <w:t>accumulate at the point of impact on the burden surface</w:t>
      </w:r>
      <w:r w:rsidR="00B7657A">
        <w:t>. A high concentration of fines will impede gas flow</w:t>
      </w:r>
      <w:r w:rsidR="00A67191">
        <w:t xml:space="preserve"> and </w:t>
      </w:r>
      <w:r w:rsidR="00CB4AB6">
        <w:t xml:space="preserve">result in operational </w:t>
      </w:r>
      <w:r w:rsidR="008757D5">
        <w:t>instability</w:t>
      </w:r>
      <w:r w:rsidR="00CB4AB6">
        <w:t>.</w:t>
      </w:r>
      <w:r w:rsidR="00B65761">
        <w:t xml:space="preserve"> Cold</w:t>
      </w:r>
      <w:r w:rsidR="008757D5">
        <w:t xml:space="preserve"> strength is characterised</w:t>
      </w:r>
      <w:r w:rsidR="00581B09">
        <w:t xml:space="preserve"> by the tumbler test</w:t>
      </w:r>
      <w:r w:rsidR="009A3018">
        <w:t xml:space="preserve"> </w:t>
      </w:r>
      <w:r w:rsidR="009A3018">
        <w:fldChar w:fldCharType="begin"/>
      </w:r>
      <w:r w:rsidR="00192334">
        <w:instrText xml:space="preserve"> ADDIN ZOTERO_ITEM CSL_CITATION {"citationID":"ibQcRg9s","properties":{"formattedCitation":"(Geerdes,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9A3018">
        <w:fldChar w:fldCharType="separate"/>
      </w:r>
      <w:r w:rsidR="00192334" w:rsidRPr="00192334">
        <w:rPr>
          <w:rFonts w:ascii="Calibri" w:hAnsi="Calibri" w:cs="Calibri"/>
        </w:rPr>
        <w:t>(Geerdes, Toxopeus and Vliet, 2009)</w:t>
      </w:r>
      <w:r w:rsidR="009A3018">
        <w:fldChar w:fldCharType="end"/>
      </w:r>
      <w:r w:rsidR="00581B09">
        <w:t>.</w:t>
      </w:r>
    </w:p>
    <w:p w14:paraId="49767C9E" w14:textId="6E0B8307" w:rsidR="00CE6EC8" w:rsidRDefault="0031663D" w:rsidP="008B2A8C">
      <w:pPr>
        <w:spacing w:line="360" w:lineRule="auto"/>
        <w:jc w:val="both"/>
      </w:pPr>
      <w:r>
        <w:t>The sinter sample is sieved</w:t>
      </w:r>
      <w:r w:rsidR="00A57057">
        <w:t xml:space="preserve"> through 25mm, 16mm and 10mm sieves</w:t>
      </w:r>
      <w:r w:rsidR="00750F35">
        <w:t>,</w:t>
      </w:r>
      <w:r>
        <w:t xml:space="preserve"> </w:t>
      </w:r>
      <w:r w:rsidR="00CE6EC8">
        <w:t>normally</w:t>
      </w:r>
      <w:r>
        <w:t xml:space="preserve"> a 15Kg sample is made up from proporti</w:t>
      </w:r>
      <w:r w:rsidR="00F329CB">
        <w:t>onate amount of material from each of the</w:t>
      </w:r>
      <w:r w:rsidR="00CE6EC8">
        <w:t>se</w:t>
      </w:r>
      <w:r w:rsidR="00F329CB">
        <w:t xml:space="preserve"> size</w:t>
      </w:r>
      <w:r w:rsidR="00A57057">
        <w:t xml:space="preserve"> fractions</w:t>
      </w:r>
      <w:r w:rsidR="00750F35">
        <w:t>.</w:t>
      </w:r>
      <w:r w:rsidR="00CE6EC8">
        <w:t xml:space="preserve"> As the sinter pot only produces a 10 Kg sample, a modified version of this test will be carried out using 5Kg of the sinter pot produced sinter, sieved to 10mm, 16mm, 25mm.</w:t>
      </w:r>
    </w:p>
    <w:p w14:paraId="3CB81051" w14:textId="73F2B236" w:rsidR="005E4053" w:rsidRDefault="00750F35" w:rsidP="008B2A8C">
      <w:pPr>
        <w:spacing w:line="360" w:lineRule="auto"/>
        <w:jc w:val="both"/>
        <w:rPr>
          <w:rFonts w:cstheme="minorHAnsi"/>
        </w:rPr>
      </w:pPr>
      <w:r>
        <w:t>The</w:t>
      </w:r>
      <w:r w:rsidR="0029607C">
        <w:t xml:space="preserve"> ISO std states that</w:t>
      </w:r>
      <w:r w:rsidR="001C0C82">
        <w:t xml:space="preserve"> the sample should</w:t>
      </w:r>
      <w:r>
        <w:t xml:space="preserve"> </w:t>
      </w:r>
      <w:r w:rsidR="001C0C82">
        <w:t>be</w:t>
      </w:r>
      <w:r>
        <w:t xml:space="preserve"> </w:t>
      </w:r>
      <w:r w:rsidR="008B2A8C">
        <w:t xml:space="preserve">tumbled in </w:t>
      </w:r>
      <w:r w:rsidR="007C00B4">
        <w:t>a</w:t>
      </w:r>
      <w:r w:rsidR="008B2A8C">
        <w:t xml:space="preserve"> drum for 200 revolutions at 25 rpm</w:t>
      </w:r>
      <w:r w:rsidR="009830B6">
        <w:t xml:space="preserve"> and then sieved again over </w:t>
      </w:r>
      <w:r w:rsidR="00D1057E">
        <w:t>6.3mm and 500</w:t>
      </w:r>
      <w:r w:rsidR="009D43EC">
        <w:rPr>
          <w:rFonts w:cstheme="minorHAnsi"/>
        </w:rPr>
        <w:t>μm</w:t>
      </w:r>
      <w:r w:rsidR="00375039">
        <w:rPr>
          <w:rFonts w:cstheme="minorHAnsi"/>
        </w:rPr>
        <w:t xml:space="preserve"> sieve</w:t>
      </w:r>
      <w:r w:rsidR="00D3117C">
        <w:rPr>
          <w:rFonts w:cstheme="minorHAnsi"/>
        </w:rPr>
        <w:t>s</w:t>
      </w:r>
      <w:r w:rsidR="00482973">
        <w:rPr>
          <w:rFonts w:cstheme="minorHAnsi"/>
        </w:rPr>
        <w:t>.</w:t>
      </w:r>
      <w:r w:rsidR="001C0C82">
        <w:rPr>
          <w:rFonts w:cstheme="minorHAnsi"/>
        </w:rPr>
        <w:t xml:space="preserve"> Due to the smaller sample size only 50</w:t>
      </w:r>
      <w:r w:rsidR="00B667A3">
        <w:rPr>
          <w:rFonts w:cstheme="minorHAnsi"/>
        </w:rPr>
        <w:t xml:space="preserve"> revolutions were carried out.</w:t>
      </w:r>
      <w:r w:rsidR="007C00B4">
        <w:rPr>
          <w:rFonts w:cstheme="minorHAnsi"/>
        </w:rPr>
        <w:t xml:space="preserve"> The drum requirements are displayed in figure 32.</w:t>
      </w:r>
      <w:r w:rsidR="00A522D0">
        <w:rPr>
          <w:rFonts w:cstheme="minorHAnsi"/>
        </w:rPr>
        <w:t xml:space="preserve"> </w:t>
      </w:r>
    </w:p>
    <w:p w14:paraId="5F6AFECA" w14:textId="29B0F44E" w:rsidR="00F60A50" w:rsidRDefault="008821D8" w:rsidP="008B2A8C">
      <w:pPr>
        <w:spacing w:line="360" w:lineRule="auto"/>
        <w:jc w:val="both"/>
        <w:rPr>
          <w:rFonts w:cstheme="minorHAnsi"/>
        </w:rPr>
      </w:pPr>
      <w:r>
        <w:rPr>
          <w:rFonts w:cstheme="minorHAnsi"/>
        </w:rPr>
        <w:lastRenderedPageBreak/>
        <w:t>The tumble index</w:t>
      </w:r>
      <w:r w:rsidR="00FA7FB2">
        <w:rPr>
          <w:rFonts w:cstheme="minorHAnsi"/>
        </w:rPr>
        <w:t xml:space="preserve"> (TI)</w:t>
      </w:r>
      <w:r>
        <w:rPr>
          <w:rFonts w:cstheme="minorHAnsi"/>
        </w:rPr>
        <w:t xml:space="preserve"> </w:t>
      </w:r>
      <w:r w:rsidR="005E4053">
        <w:rPr>
          <w:rFonts w:cstheme="minorHAnsi"/>
        </w:rPr>
        <w:t>is calculated by</w:t>
      </w:r>
      <w:r w:rsidR="00F60A50">
        <w:rPr>
          <w:rFonts w:cstheme="minorHAnsi"/>
        </w:rPr>
        <w:t>:</w:t>
      </w:r>
    </w:p>
    <w:p w14:paraId="15E0D0B2" w14:textId="4BFCC4BD" w:rsidR="00334616" w:rsidRPr="00604972" w:rsidRDefault="00334616" w:rsidP="008B2A8C">
      <w:pPr>
        <w:spacing w:line="360" w:lineRule="auto"/>
        <w:jc w:val="both"/>
        <w:rPr>
          <w:rFonts w:eastAsiaTheme="minorEastAsia" w:cstheme="minorHAnsi"/>
        </w:rPr>
      </w:pPr>
      <m:oMathPara>
        <m:oMath>
          <m:r>
            <w:rPr>
              <w:rFonts w:ascii="Cambria Math" w:hAnsi="Cambria Math" w:cstheme="minorHAnsi"/>
            </w:rPr>
            <m:t xml:space="preserve">Ti= </m:t>
          </m:r>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1</m:t>
                  </m:r>
                </m:sub>
              </m:sSub>
            </m:num>
            <m:den>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0</m:t>
                  </m:r>
                </m:sub>
              </m:sSub>
            </m:den>
          </m:f>
          <m:r>
            <w:rPr>
              <w:rFonts w:ascii="Cambria Math" w:hAnsi="Cambria Math" w:cstheme="minorHAnsi"/>
            </w:rPr>
            <m:t>*100</m:t>
          </m:r>
        </m:oMath>
      </m:oMathPara>
    </w:p>
    <w:p w14:paraId="74A08D84" w14:textId="2854DE22" w:rsidR="00604972" w:rsidRDefault="00604972" w:rsidP="008B2A8C">
      <w:pPr>
        <w:spacing w:line="360" w:lineRule="auto"/>
        <w:jc w:val="both"/>
        <w:rPr>
          <w:rFonts w:eastAsiaTheme="minorEastAsia" w:cstheme="minorHAnsi"/>
        </w:rPr>
      </w:pPr>
      <w:r>
        <w:rPr>
          <w:rFonts w:eastAsiaTheme="minorEastAsia" w:cstheme="minorHAnsi"/>
        </w:rPr>
        <w:t>The abrasion index</w:t>
      </w:r>
      <w:r w:rsidR="00FA7FB2">
        <w:rPr>
          <w:rFonts w:eastAsiaTheme="minorEastAsia" w:cstheme="minorHAnsi"/>
        </w:rPr>
        <w:t xml:space="preserve"> (AI)</w:t>
      </w:r>
      <w:r>
        <w:rPr>
          <w:rFonts w:eastAsiaTheme="minorEastAsia" w:cstheme="minorHAnsi"/>
        </w:rPr>
        <w:t xml:space="preserve"> is calculated by:</w:t>
      </w:r>
    </w:p>
    <w:p w14:paraId="2F159194" w14:textId="780D03CC" w:rsidR="00604972" w:rsidRPr="009B2321" w:rsidRDefault="00604972" w:rsidP="008B2A8C">
      <w:pPr>
        <w:spacing w:line="360" w:lineRule="auto"/>
        <w:jc w:val="both"/>
        <w:rPr>
          <w:rFonts w:eastAsiaTheme="minorEastAsia" w:cstheme="minorHAnsi"/>
        </w:rPr>
      </w:pPr>
      <m:oMathPara>
        <m:oMath>
          <m:r>
            <w:rPr>
              <w:rFonts w:ascii="Cambria Math" w:eastAsiaTheme="minorEastAsia" w:hAnsi="Cambria Math" w:cstheme="minorHAnsi"/>
              <w:sz w:val="24"/>
            </w:rPr>
            <m:t xml:space="preserve">Ai= </m:t>
          </m:r>
          <m:f>
            <m:fPr>
              <m:ctrlPr>
                <w:rPr>
                  <w:rFonts w:ascii="Cambria Math" w:eastAsiaTheme="minorEastAsia" w:hAnsi="Cambria Math" w:cstheme="minorHAnsi"/>
                  <w:i/>
                  <w:sz w:val="24"/>
                </w:rPr>
              </m:ctrlPr>
            </m:fPr>
            <m:num>
              <m:sSub>
                <m:sSubPr>
                  <m:ctrlPr>
                    <w:rPr>
                      <w:rFonts w:ascii="Cambria Math" w:eastAsiaTheme="minorEastAsia" w:hAnsi="Cambria Math" w:cstheme="minorHAnsi"/>
                      <w:i/>
                      <w:sz w:val="24"/>
                    </w:rPr>
                  </m:ctrlPr>
                </m:sSubPr>
                <m:e>
                  <m:r>
                    <w:rPr>
                      <w:rFonts w:ascii="Cambria Math" w:eastAsiaTheme="minorEastAsia" w:hAnsi="Cambria Math" w:cstheme="minorHAnsi"/>
                      <w:sz w:val="24"/>
                    </w:rPr>
                    <m:t>m</m:t>
                  </m:r>
                </m:e>
                <m:sub>
                  <m:r>
                    <w:rPr>
                      <w:rFonts w:ascii="Cambria Math" w:eastAsiaTheme="minorEastAsia" w:hAnsi="Cambria Math" w:cstheme="minorHAnsi"/>
                      <w:sz w:val="24"/>
                    </w:rPr>
                    <m:t xml:space="preserve">0-( </m:t>
                  </m:r>
                  <m:sSub>
                    <m:sSubPr>
                      <m:ctrlPr>
                        <w:rPr>
                          <w:rFonts w:ascii="Cambria Math" w:eastAsiaTheme="minorEastAsia" w:hAnsi="Cambria Math" w:cstheme="minorHAnsi"/>
                          <w:i/>
                          <w:sz w:val="24"/>
                        </w:rPr>
                      </m:ctrlPr>
                    </m:sSubPr>
                    <m:e>
                      <m:r>
                        <w:rPr>
                          <w:rFonts w:ascii="Cambria Math" w:eastAsiaTheme="minorEastAsia" w:hAnsi="Cambria Math" w:cstheme="minorHAnsi"/>
                          <w:sz w:val="24"/>
                        </w:rPr>
                        <m:t>m</m:t>
                      </m:r>
                    </m:e>
                    <m:sub>
                      <m:r>
                        <w:rPr>
                          <w:rFonts w:ascii="Cambria Math" w:eastAsiaTheme="minorEastAsia" w:hAnsi="Cambria Math" w:cstheme="minorHAnsi"/>
                          <w:sz w:val="24"/>
                        </w:rPr>
                        <m:t>1</m:t>
                      </m:r>
                    </m:sub>
                  </m:sSub>
                  <m:r>
                    <w:rPr>
                      <w:rFonts w:ascii="Cambria Math" w:eastAsiaTheme="minorEastAsia" w:hAnsi="Cambria Math" w:cstheme="minorHAnsi"/>
                      <w:sz w:val="24"/>
                    </w:rPr>
                    <m:t xml:space="preserve">* </m:t>
                  </m:r>
                  <m:sSub>
                    <m:sSubPr>
                      <m:ctrlPr>
                        <w:rPr>
                          <w:rFonts w:ascii="Cambria Math" w:eastAsiaTheme="minorEastAsia" w:hAnsi="Cambria Math" w:cstheme="minorHAnsi"/>
                          <w:i/>
                          <w:sz w:val="24"/>
                        </w:rPr>
                      </m:ctrlPr>
                    </m:sSubPr>
                    <m:e>
                      <m:r>
                        <w:rPr>
                          <w:rFonts w:ascii="Cambria Math" w:eastAsiaTheme="minorEastAsia" w:hAnsi="Cambria Math" w:cstheme="minorHAnsi"/>
                          <w:sz w:val="24"/>
                        </w:rPr>
                        <m:t>m</m:t>
                      </m:r>
                    </m:e>
                    <m:sub>
                      <m:r>
                        <w:rPr>
                          <w:rFonts w:ascii="Cambria Math" w:eastAsiaTheme="minorEastAsia" w:hAnsi="Cambria Math" w:cstheme="minorHAnsi"/>
                          <w:sz w:val="24"/>
                        </w:rPr>
                        <m:t>2</m:t>
                      </m:r>
                    </m:sub>
                  </m:sSub>
                  <m:r>
                    <w:rPr>
                      <w:rFonts w:ascii="Cambria Math" w:eastAsiaTheme="minorEastAsia" w:hAnsi="Cambria Math" w:cstheme="minorHAnsi"/>
                      <w:sz w:val="24"/>
                    </w:rPr>
                    <m:t>)</m:t>
                  </m:r>
                </m:sub>
              </m:sSub>
            </m:num>
            <m:den>
              <m:sSub>
                <m:sSubPr>
                  <m:ctrlPr>
                    <w:rPr>
                      <w:rFonts w:ascii="Cambria Math" w:eastAsiaTheme="minorEastAsia" w:hAnsi="Cambria Math" w:cstheme="minorHAnsi"/>
                      <w:i/>
                      <w:sz w:val="24"/>
                    </w:rPr>
                  </m:ctrlPr>
                </m:sSubPr>
                <m:e>
                  <m:r>
                    <w:rPr>
                      <w:rFonts w:ascii="Cambria Math" w:eastAsiaTheme="minorEastAsia" w:hAnsi="Cambria Math" w:cstheme="minorHAnsi"/>
                      <w:sz w:val="24"/>
                    </w:rPr>
                    <m:t>m</m:t>
                  </m:r>
                </m:e>
                <m:sub>
                  <m:r>
                    <w:rPr>
                      <w:rFonts w:ascii="Cambria Math" w:eastAsiaTheme="minorEastAsia" w:hAnsi="Cambria Math" w:cstheme="minorHAnsi"/>
                      <w:sz w:val="24"/>
                    </w:rPr>
                    <m:t>0</m:t>
                  </m:r>
                </m:sub>
              </m:sSub>
            </m:den>
          </m:f>
          <m:r>
            <w:rPr>
              <w:rFonts w:ascii="Cambria Math" w:eastAsiaTheme="minorEastAsia" w:hAnsi="Cambria Math" w:cstheme="minorHAnsi"/>
              <w:sz w:val="24"/>
            </w:rPr>
            <m:t>*100</m:t>
          </m:r>
        </m:oMath>
      </m:oMathPara>
    </w:p>
    <w:p w14:paraId="736703BB" w14:textId="0863424C" w:rsidR="00813B30" w:rsidRDefault="00813B30" w:rsidP="008B2A8C">
      <w:pPr>
        <w:spacing w:line="360" w:lineRule="auto"/>
        <w:jc w:val="both"/>
      </w:pPr>
      <w:r>
        <w:t>Where:</w:t>
      </w:r>
      <w:r w:rsidR="00856990">
        <w:t xml:space="preserve"> </w:t>
      </w:r>
      <w:r>
        <w:t>m</w:t>
      </w:r>
      <w:r w:rsidRPr="00813B30">
        <w:rPr>
          <w:vertAlign w:val="subscript"/>
        </w:rPr>
        <w:t>0</w:t>
      </w:r>
      <w:r>
        <w:t xml:space="preserve"> is the mass</w:t>
      </w:r>
      <w:r w:rsidR="00470EA4">
        <w:t xml:space="preserve"> (Kg) </w:t>
      </w:r>
      <w:r>
        <w:t xml:space="preserve">of the test portion placed in the tumble </w:t>
      </w:r>
      <w:r w:rsidR="00AD7204">
        <w:t>drum.</w:t>
      </w:r>
      <w:r>
        <w:t xml:space="preserve"> </w:t>
      </w:r>
    </w:p>
    <w:p w14:paraId="74604BC5" w14:textId="3E3F7184" w:rsidR="00813B30" w:rsidRDefault="00813B30" w:rsidP="00856990">
      <w:pPr>
        <w:spacing w:line="360" w:lineRule="auto"/>
        <w:ind w:firstLine="720"/>
        <w:jc w:val="both"/>
      </w:pPr>
      <w:r>
        <w:t>m</w:t>
      </w:r>
      <w:r w:rsidRPr="00813B30">
        <w:rPr>
          <w:vertAlign w:val="subscript"/>
        </w:rPr>
        <w:t>1</w:t>
      </w:r>
      <w:r>
        <w:t xml:space="preserve"> is the mass</w:t>
      </w:r>
      <w:r w:rsidR="00470EA4">
        <w:t xml:space="preserve"> (Kg)</w:t>
      </w:r>
      <w:r>
        <w:t xml:space="preserve"> of the tumbled test </w:t>
      </w:r>
      <w:r w:rsidR="00BB0DD5">
        <w:t>portion (+</w:t>
      </w:r>
      <w:r w:rsidR="00ED6E12">
        <w:t>6.3mm)</w:t>
      </w:r>
      <w:r>
        <w:t xml:space="preserve">; </w:t>
      </w:r>
    </w:p>
    <w:p w14:paraId="1E3CE196" w14:textId="490F4422" w:rsidR="009B2321" w:rsidRDefault="00813B30" w:rsidP="00856990">
      <w:pPr>
        <w:spacing w:line="360" w:lineRule="auto"/>
        <w:ind w:firstLine="720"/>
        <w:jc w:val="both"/>
      </w:pPr>
      <w:r>
        <w:t>m</w:t>
      </w:r>
      <w:r w:rsidRPr="00813B30">
        <w:rPr>
          <w:vertAlign w:val="subscript"/>
        </w:rPr>
        <w:t>2</w:t>
      </w:r>
      <w:r>
        <w:t xml:space="preserve"> is the mass</w:t>
      </w:r>
      <w:r w:rsidR="00B2416D">
        <w:t xml:space="preserve"> (Kg) </w:t>
      </w:r>
      <w:r>
        <w:t>of the tumbled test portion</w:t>
      </w:r>
      <w:r w:rsidR="00B2416D">
        <w:t xml:space="preserve"> (-6.3mm - 500</w:t>
      </w:r>
      <w:r w:rsidR="00B2416D" w:rsidRPr="00B2416D">
        <w:t xml:space="preserve"> </w:t>
      </w:r>
      <w:proofErr w:type="spellStart"/>
      <w:r w:rsidR="00B2416D">
        <w:t>μm</w:t>
      </w:r>
      <w:proofErr w:type="spellEnd"/>
      <w:r w:rsidR="00B2416D">
        <w:t>)</w:t>
      </w:r>
      <w:r>
        <w:t>.</w:t>
      </w:r>
    </w:p>
    <w:p w14:paraId="78562B3E" w14:textId="538062B9" w:rsidR="00763D00" w:rsidRPr="00604972" w:rsidRDefault="00763D00" w:rsidP="008B2A8C">
      <w:pPr>
        <w:spacing w:line="360" w:lineRule="auto"/>
        <w:jc w:val="both"/>
        <w:rPr>
          <w:rFonts w:eastAsiaTheme="minorEastAsia" w:cstheme="minorHAnsi"/>
        </w:rPr>
      </w:pPr>
      <w:r>
        <w:rPr>
          <w:rFonts w:eastAsiaTheme="minorEastAsia" w:cstheme="minorHAnsi"/>
        </w:rPr>
        <w:fldChar w:fldCharType="begin"/>
      </w:r>
      <w:r w:rsidR="008F432D">
        <w:rPr>
          <w:rFonts w:eastAsiaTheme="minorEastAsia" w:cstheme="minorHAnsi"/>
        </w:rPr>
        <w:instrText xml:space="preserve"> ADDIN ZOTERO_ITEM CSL_CITATION {"citationID":"3AsUAcff","properties":{"formattedCitation":"(British Standards Institute 2015a)","plainCitation":"(British Standards Institute 2015a)","dontUpdate":true,"noteIndex":0},"citationItems":[{"id":1994,"uris":["http://zotero.org/users/local/AB2owHL2/items/G32KHBV2"],"itemData":{"id":1994,"type":"document","publisher":"British Standards Institution","title":"BS ISO 3271: 2015 Iron ores for blast furnace and direct reduction feedstocks — Determination of the tumble and abrasion indices","author":[{"family":"British Standards Institute","given":""}],"issued":{"date-parts":[["2015"]]}}}],"schema":"https://github.com/citation-style-language/schema/raw/master/csl-citation.json"} </w:instrText>
      </w:r>
      <w:r>
        <w:rPr>
          <w:rFonts w:eastAsiaTheme="minorEastAsia" w:cstheme="minorHAnsi"/>
        </w:rPr>
        <w:fldChar w:fldCharType="separate"/>
      </w:r>
      <w:r w:rsidRPr="00763D00">
        <w:rPr>
          <w:rFonts w:ascii="Calibri" w:hAnsi="Calibri" w:cs="Calibri"/>
        </w:rPr>
        <w:t>(</w:t>
      </w:r>
      <w:r w:rsidR="0054067A" w:rsidRPr="0054067A">
        <w:rPr>
          <w:rFonts w:ascii="Calibri" w:hAnsi="Calibri" w:cs="Calibri"/>
        </w:rPr>
        <w:t>ISO 556-2020</w:t>
      </w:r>
      <w:r w:rsidRPr="00763D00">
        <w:rPr>
          <w:rFonts w:ascii="Calibri" w:hAnsi="Calibri" w:cs="Calibri"/>
        </w:rPr>
        <w:t>)</w:t>
      </w:r>
      <w:r>
        <w:rPr>
          <w:rFonts w:eastAsiaTheme="minorEastAsia" w:cstheme="minorHAnsi"/>
        </w:rPr>
        <w:fldChar w:fldCharType="end"/>
      </w:r>
    </w:p>
    <w:p w14:paraId="49CA1895" w14:textId="304EE0D7" w:rsidR="00225BF7" w:rsidRDefault="007C6BC0" w:rsidP="0004601A">
      <w:pPr>
        <w:pStyle w:val="Heading3"/>
        <w:spacing w:line="360" w:lineRule="auto"/>
        <w:jc w:val="both"/>
      </w:pPr>
      <w:bookmarkStart w:id="71" w:name="_Toc128599620"/>
      <w:r>
        <w:t>Quality Control</w:t>
      </w:r>
      <w:bookmarkEnd w:id="71"/>
    </w:p>
    <w:p w14:paraId="57B45762" w14:textId="0495F2C9" w:rsidR="0004601A" w:rsidRDefault="0004601A" w:rsidP="0004601A">
      <w:pPr>
        <w:spacing w:line="360" w:lineRule="auto"/>
        <w:jc w:val="both"/>
      </w:pPr>
      <w:r>
        <w:t xml:space="preserve">All the </w:t>
      </w:r>
      <w:r w:rsidR="00FF46CA">
        <w:t>analysis</w:t>
      </w:r>
      <w:r>
        <w:t xml:space="preserve"> in the report was</w:t>
      </w:r>
      <w:r w:rsidR="00423C8C">
        <w:t xml:space="preserve"> carried out at the Port Talbot steelworks laboratories</w:t>
      </w:r>
      <w:r w:rsidR="001F3C75">
        <w:t xml:space="preserve"> apart from the CV</w:t>
      </w:r>
      <w:r w:rsidR="00FF46CA">
        <w:t xml:space="preserve">, </w:t>
      </w:r>
      <w:r w:rsidR="00B302D0">
        <w:t>u</w:t>
      </w:r>
      <w:r w:rsidR="00FF46CA">
        <w:t>ltimate</w:t>
      </w:r>
      <w:r w:rsidR="001F3C75">
        <w:t xml:space="preserve"> and drop tube t</w:t>
      </w:r>
      <w:r w:rsidR="00FF46CA">
        <w:t>esting</w:t>
      </w:r>
      <w:r w:rsidR="006844C6">
        <w:t>,</w:t>
      </w:r>
      <w:r w:rsidR="00FF46CA">
        <w:t xml:space="preserve"> </w:t>
      </w:r>
      <w:r w:rsidR="002963E4">
        <w:t>a</w:t>
      </w:r>
      <w:r w:rsidR="00FF46CA">
        <w:t>s the</w:t>
      </w:r>
      <w:r w:rsidR="00717A5D">
        <w:t xml:space="preserve"> laboratories lacked the facilities to provide </w:t>
      </w:r>
      <w:r w:rsidR="0036151B">
        <w:t>this analysis</w:t>
      </w:r>
      <w:r w:rsidR="00717A5D">
        <w:t>.</w:t>
      </w:r>
      <w:r w:rsidR="00B302D0">
        <w:t xml:space="preserve"> </w:t>
      </w:r>
      <w:r w:rsidR="00D12776">
        <w:t>For</w:t>
      </w:r>
      <w:r w:rsidR="00B302D0">
        <w:t xml:space="preserve"> CV and ultimate analysis</w:t>
      </w:r>
      <w:r w:rsidR="00D12776">
        <w:t xml:space="preserve">, the samples were sent to </w:t>
      </w:r>
      <w:proofErr w:type="spellStart"/>
      <w:r w:rsidR="00D12776">
        <w:t>Socotec</w:t>
      </w:r>
      <w:proofErr w:type="spellEnd"/>
      <w:r w:rsidR="009B7CEB">
        <w:t xml:space="preserve"> lab</w:t>
      </w:r>
      <w:r w:rsidR="00A10E86">
        <w:t>orat</w:t>
      </w:r>
      <w:r w:rsidR="00672B11">
        <w:t>ories</w:t>
      </w:r>
      <w:r w:rsidR="00D12776">
        <w:t xml:space="preserve"> </w:t>
      </w:r>
      <w:r w:rsidR="00672B11">
        <w:t>which has</w:t>
      </w:r>
      <w:r w:rsidR="00A10E86">
        <w:t xml:space="preserve"> </w:t>
      </w:r>
      <w:r w:rsidR="00672B11">
        <w:t>United Kingdom</w:t>
      </w:r>
      <w:r w:rsidR="00A10E86">
        <w:t xml:space="preserve"> accredited services (UKAS) </w:t>
      </w:r>
      <w:r w:rsidR="00672B11">
        <w:t xml:space="preserve">accreditation </w:t>
      </w:r>
      <w:r w:rsidR="00672B11">
        <w:fldChar w:fldCharType="begin"/>
      </w:r>
      <w:r w:rsidR="00192334">
        <w:instrText xml:space="preserve"> ADDIN ZOTERO_ITEM CSL_CITATION {"citationID":"0Qqc5IQZ","properties":{"formattedCitation":"({\\i{}Solid Biofuels}, no date)","plainCitation":"(Solid Biofuels, no date)","noteIndex":0},"citationItems":[{"id":2018,"uris":["http://zotero.org/users/local/AB2owHL2/items/FTT82NDS"],"itemData":{"id":2018,"type":"webpage","abstract":"Solid Biofuels","container-title":"SOCOTEC UK","language":"en-gb","title":"Solid Biofuels","URL":"https://www.socotec.co.uk/our-services/energy-supply-generation-and-regulation/solid-biofuels","accessed":{"date-parts":[["2022",10,13]]}}}],"schema":"https://github.com/citation-style-language/schema/raw/master/csl-citation.json"} </w:instrText>
      </w:r>
      <w:r w:rsidR="00672B11">
        <w:fldChar w:fldCharType="separate"/>
      </w:r>
      <w:r w:rsidR="00192334" w:rsidRPr="00192334">
        <w:rPr>
          <w:rFonts w:ascii="Calibri" w:hAnsi="Calibri" w:cs="Calibri"/>
          <w:szCs w:val="24"/>
        </w:rPr>
        <w:t>(</w:t>
      </w:r>
      <w:r w:rsidR="00192334" w:rsidRPr="00192334">
        <w:rPr>
          <w:rFonts w:ascii="Calibri" w:hAnsi="Calibri" w:cs="Calibri"/>
          <w:i/>
          <w:iCs/>
          <w:szCs w:val="24"/>
        </w:rPr>
        <w:t>Solid Biofuels</w:t>
      </w:r>
      <w:r w:rsidR="00192334" w:rsidRPr="00192334">
        <w:rPr>
          <w:rFonts w:ascii="Calibri" w:hAnsi="Calibri" w:cs="Calibri"/>
          <w:szCs w:val="24"/>
        </w:rPr>
        <w:t>, no date)</w:t>
      </w:r>
      <w:r w:rsidR="00672B11">
        <w:fldChar w:fldCharType="end"/>
      </w:r>
      <w:r w:rsidR="00672B11">
        <w:t>.</w:t>
      </w:r>
      <w:r w:rsidR="00840164">
        <w:t xml:space="preserve"> The drop tube tests were carried out by the author at Cardiff university engineering department under the supervision of Dr J. Steer.</w:t>
      </w:r>
    </w:p>
    <w:p w14:paraId="2598B078" w14:textId="2243F2B0" w:rsidR="00E3251F" w:rsidRDefault="0036151B" w:rsidP="0004601A">
      <w:pPr>
        <w:spacing w:line="360" w:lineRule="auto"/>
        <w:jc w:val="both"/>
      </w:pPr>
      <w:r>
        <w:t>In line with the laboratory</w:t>
      </w:r>
      <w:r w:rsidR="002E5C7B">
        <w:t xml:space="preserve"> standard</w:t>
      </w:r>
      <w:r>
        <w:t xml:space="preserve"> ISO 17025, a</w:t>
      </w:r>
      <w:r w:rsidR="00E3251F">
        <w:t xml:space="preserve">ll </w:t>
      </w:r>
      <w:r w:rsidR="00870666">
        <w:t>the equipment used in these tests such as</w:t>
      </w:r>
      <w:r>
        <w:t xml:space="preserve"> drying</w:t>
      </w:r>
      <w:r w:rsidR="00870666">
        <w:t xml:space="preserve"> ovens, furnaces</w:t>
      </w:r>
      <w:r>
        <w:t xml:space="preserve">, </w:t>
      </w:r>
      <w:r w:rsidR="002D7671">
        <w:t>thermocouples</w:t>
      </w:r>
      <w:r>
        <w:t>, XRF’s and ICP’s</w:t>
      </w:r>
      <w:r w:rsidR="002D7671">
        <w:t xml:space="preserve"> are calibrated</w:t>
      </w:r>
      <w:r>
        <w:t>, serviced, and certified</w:t>
      </w:r>
      <w:r w:rsidR="002D7671">
        <w:t xml:space="preserve"> annually by independent </w:t>
      </w:r>
      <w:r>
        <w:t>and accredited companies. Quality checks are also carried out and recorded daily. Equipment such as the XRF and ICP require that certified reference materials (CRM</w:t>
      </w:r>
      <w:r w:rsidR="00C950BD">
        <w:t>’s</w:t>
      </w:r>
      <w:r>
        <w:t xml:space="preserve">) are run </w:t>
      </w:r>
      <w:r w:rsidR="002E5C7B">
        <w:t xml:space="preserve">and meet control limits before any analysis can be carried out. </w:t>
      </w:r>
      <w:r>
        <w:t xml:space="preserve"> </w:t>
      </w:r>
      <w:r w:rsidR="002E5C7B">
        <w:t xml:space="preserve">The CSR/CRI </w:t>
      </w:r>
      <w:r w:rsidR="00C950BD">
        <w:t xml:space="preserve">&amp; RDI </w:t>
      </w:r>
      <w:r w:rsidR="002E5C7B">
        <w:t xml:space="preserve">equipment has a weekly standard made up of internally validated bulk coke material. </w:t>
      </w:r>
    </w:p>
    <w:p w14:paraId="622DD199" w14:textId="1C6B254D" w:rsidR="002E5C7B" w:rsidRPr="007C6BC0" w:rsidRDefault="002E5C7B" w:rsidP="0004601A">
      <w:pPr>
        <w:spacing w:line="360" w:lineRule="auto"/>
        <w:jc w:val="both"/>
      </w:pPr>
      <w:r>
        <w:t>All analysis has been carried out in duplicate and meets the repeatability control limits set out</w:t>
      </w:r>
      <w:r w:rsidR="002D10A0">
        <w:t xml:space="preserve"> in</w:t>
      </w:r>
      <w:r>
        <w:t xml:space="preserve"> the relevant ISO standard.</w:t>
      </w:r>
    </w:p>
    <w:p w14:paraId="3B9BE64D" w14:textId="77777777" w:rsidR="00225BF7" w:rsidRDefault="00225BF7" w:rsidP="0004601A">
      <w:pPr>
        <w:pStyle w:val="Heading1"/>
        <w:spacing w:line="360" w:lineRule="auto"/>
        <w:jc w:val="both"/>
      </w:pPr>
    </w:p>
    <w:p w14:paraId="0FBC2396" w14:textId="77777777" w:rsidR="00225BF7" w:rsidRDefault="00225BF7" w:rsidP="003D59BD">
      <w:pPr>
        <w:pStyle w:val="Heading1"/>
        <w:spacing w:line="360" w:lineRule="auto"/>
        <w:jc w:val="both"/>
      </w:pPr>
    </w:p>
    <w:p w14:paraId="49DF8FC8" w14:textId="77777777" w:rsidR="00F420B7" w:rsidRDefault="00F420B7" w:rsidP="00F420B7"/>
    <w:p w14:paraId="15FC87E5" w14:textId="77777777" w:rsidR="00F420B7" w:rsidRDefault="00F420B7" w:rsidP="00F420B7"/>
    <w:p w14:paraId="5CBF64DD" w14:textId="77777777" w:rsidR="009A7DC5" w:rsidRDefault="009A7DC5" w:rsidP="009A7DC5"/>
    <w:p w14:paraId="6FD2DC91" w14:textId="77777777" w:rsidR="00F50EB5" w:rsidRDefault="00225BF7" w:rsidP="00F50EB5">
      <w:pPr>
        <w:pStyle w:val="Heading1"/>
        <w:spacing w:line="360" w:lineRule="auto"/>
        <w:jc w:val="both"/>
      </w:pPr>
      <w:bookmarkStart w:id="72" w:name="_Toc128599621"/>
      <w:r>
        <w:lastRenderedPageBreak/>
        <w:t>Results</w:t>
      </w:r>
      <w:bookmarkEnd w:id="72"/>
    </w:p>
    <w:p w14:paraId="6562B37E" w14:textId="1134A6FB" w:rsidR="004E45AD" w:rsidRDefault="004E45AD" w:rsidP="004E45AD">
      <w:pPr>
        <w:pStyle w:val="Heading2"/>
        <w:spacing w:line="360" w:lineRule="auto"/>
        <w:jc w:val="both"/>
      </w:pPr>
      <w:bookmarkStart w:id="73" w:name="_Toc128599622"/>
      <w:r>
        <w:t xml:space="preserve">Biochar substitution </w:t>
      </w:r>
      <w:r w:rsidR="004C4842">
        <w:t>for</w:t>
      </w:r>
      <w:r>
        <w:t xml:space="preserve"> pulverised coal injection</w:t>
      </w:r>
      <w:bookmarkEnd w:id="73"/>
    </w:p>
    <w:p w14:paraId="5F5F8D49" w14:textId="79F905AA" w:rsidR="004E45AD" w:rsidRDefault="004E45AD" w:rsidP="00F50EB5">
      <w:pPr>
        <w:spacing w:line="360" w:lineRule="auto"/>
        <w:jc w:val="both"/>
      </w:pPr>
      <w:r>
        <w:t xml:space="preserve">PCI is a </w:t>
      </w:r>
      <w:r w:rsidR="00DA1817">
        <w:t>well establish technique</w:t>
      </w:r>
      <w:r>
        <w:t xml:space="preserve"> used to reduce coke consumption in the BF. </w:t>
      </w:r>
      <w:r w:rsidR="007E3CFF">
        <w:t xml:space="preserve">Pulverised coal is </w:t>
      </w:r>
      <w:r w:rsidR="00DA1817">
        <w:t>pneumatically</w:t>
      </w:r>
      <w:r w:rsidR="007E3CFF">
        <w:t xml:space="preserve"> </w:t>
      </w:r>
      <w:r>
        <w:t>injected into the BF tuyeres</w:t>
      </w:r>
      <w:r w:rsidR="00913EF8">
        <w:t xml:space="preserve"> through a lance</w:t>
      </w:r>
      <w:r w:rsidR="00C630E1">
        <w:t>.</w:t>
      </w:r>
      <w:r w:rsidR="00A56990">
        <w:t xml:space="preserve"> The t</w:t>
      </w:r>
      <w:r w:rsidR="002D24DB">
        <w:t>uyeres a direct hot blast of air int</w:t>
      </w:r>
      <w:r w:rsidR="00407402">
        <w:t xml:space="preserve">o the BF forming a balloon like void called the raceway. </w:t>
      </w:r>
      <w:r w:rsidR="00DA1817">
        <w:t>PCI</w:t>
      </w:r>
      <w:r>
        <w:t xml:space="preserve"> can replace up to 50% of the </w:t>
      </w:r>
      <w:r w:rsidR="009E0AD5">
        <w:t>required coke</w:t>
      </w:r>
      <w:r w:rsidR="00DA1817">
        <w:t>, many furnace</w:t>
      </w:r>
      <w:r w:rsidR="00C630E1">
        <w:t xml:space="preserve">s </w:t>
      </w:r>
      <w:r w:rsidR="00DA1817">
        <w:t xml:space="preserve">achieve PCI rates of 200 kg/t hot metal. Variations in the process, such as temperature and pressure can cause issues such as localised hot/cold spots which can cause damage to the lining of the furnace or result in over consumption of raw materials. BF process stability is very important to ensure consistent </w:t>
      </w:r>
      <w:r w:rsidR="00805437">
        <w:t>iron production</w:t>
      </w:r>
      <w:r w:rsidR="00DA1817">
        <w:t xml:space="preserve"> </w:t>
      </w:r>
      <w:r w:rsidR="00805437">
        <w:t>and to prolong the life of the furnace</w:t>
      </w:r>
      <w:r w:rsidR="00DA1817">
        <w:t xml:space="preserve"> </w:t>
      </w:r>
      <w:r w:rsidR="00DA1817">
        <w:fldChar w:fldCharType="begin"/>
      </w:r>
      <w:r w:rsidR="00192334">
        <w:instrText xml:space="preserve"> ADDIN ZOTERO_ITEM CSL_CITATION {"citationID":"0DAMePhK","properties":{"formattedCitation":"(Steer {\\i{}et al.}, 2021)","plainCitation":"(Steer et al., 2021)","noteIndex":0},"citationItems":[{"id":2001,"uris":["http://zotero.org/users/local/AB2owHL2/items/2RAHQNGP"],"itemData":{"id":2001,"type":"article-journal","abstract":"The injection of coal through tuyeres into a blast furnace is widely adopted throughout the industry to reduce the amount of coke used and to improve the efficiency of the iron making process. Coals are selected depending on their availability, cost, and the physical and chemical properties determined by tests, such as the volatile matter content, fixed carbon, and ash content. This paper describes research comparing the laboratory measured properties of injection coals that were used over a two-month production period compared to the process variables and measurements of the blast furnace during that study period. In addition to the standard tests, a drop tube furnace (DTF) was used to compare the burnout of coals and the char properties against the production data using a range of statistical techniques. Linear regression modelling indicated that the coal type was the most important predictor of the coal rate but that the properties measured using laboratory tests of those coals were a minor feature in the model. However, comparisons of the Spearman’s correlations between different variables indicated that the reverse Boudouard reactivity of the chars, prepared in the DTF from the coals, did appear to be related to some extent to the coal and coke rates on production. It appears that the constant process adjustments made by the process control systems on the furnace make it difficult to identify strong correlations with the laboratory data and that the frequency of coal sampling and the coal blend variability are likely to contribute to this difficulty.","container-title":"Metals","DOI":"10.3390/met11091476","issue":"9","language":"English","license":"© 2021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1476\npublisher-place: Basel, Switzerland\npublisher: MDPI AG","page":"1476","source":"ProQuest","title":"A Comparison of Laboratory Coal Testing with the Blast Furnace Process and Coal Injection","URL":"http://www.proquest.com/docview/2576461027/abstract/2F8C1DC2C0F24AFEPQ/1","volume":"11","author":[{"family":"Steer","given":"Julian"},{"family":"Link to external site","given":"this","dropping-particle":"link will open in a new window"},{"family":"Greenslade","given":"Mark"},{"family":"Marsh","given":"Richard"}],"accessed":{"date-parts":[["2022",10,12]]},"issued":{"date-parts":[["2021"]]}}}],"schema":"https://github.com/citation-style-language/schema/raw/master/csl-citation.json"} </w:instrText>
      </w:r>
      <w:r w:rsidR="00DA1817">
        <w:fldChar w:fldCharType="separate"/>
      </w:r>
      <w:r w:rsidR="00192334" w:rsidRPr="00192334">
        <w:rPr>
          <w:rFonts w:ascii="Calibri" w:hAnsi="Calibri" w:cs="Calibri"/>
          <w:szCs w:val="24"/>
        </w:rPr>
        <w:t xml:space="preserve">(Steer </w:t>
      </w:r>
      <w:r w:rsidR="00192334" w:rsidRPr="00192334">
        <w:rPr>
          <w:rFonts w:ascii="Calibri" w:hAnsi="Calibri" w:cs="Calibri"/>
          <w:i/>
          <w:iCs/>
          <w:szCs w:val="24"/>
        </w:rPr>
        <w:t>et al.</w:t>
      </w:r>
      <w:r w:rsidR="00192334" w:rsidRPr="00192334">
        <w:rPr>
          <w:rFonts w:ascii="Calibri" w:hAnsi="Calibri" w:cs="Calibri"/>
          <w:szCs w:val="24"/>
        </w:rPr>
        <w:t>, 2021)</w:t>
      </w:r>
      <w:r w:rsidR="00DA1817">
        <w:fldChar w:fldCharType="end"/>
      </w:r>
      <w:r>
        <w:t xml:space="preserve">. </w:t>
      </w:r>
    </w:p>
    <w:p w14:paraId="708B162A" w14:textId="7AF74B54" w:rsidR="0090224D" w:rsidRDefault="00D206DB" w:rsidP="00F50EB5">
      <w:pPr>
        <w:spacing w:line="360" w:lineRule="auto"/>
        <w:jc w:val="both"/>
      </w:pPr>
      <w:r>
        <w:fldChar w:fldCharType="begin"/>
      </w:r>
      <w:r w:rsidR="00371188">
        <w:instrText xml:space="preserve"> ADDIN ZOTERO_ITEM CSL_CITATION {"citationID":"M6Vfk8ph","properties":{"formattedCitation":"(Liu and Shen 2021b)","plainCitation":"(Liu and Shen 2021b)","dontUpdate":true,"noteIndex":0},"citationItems":[{"id":2048,"uris":["http://zotero.org/users/local/AB2owHL2/items/JM8PE9PU"],"itemData":{"id":2048,"type":"article-journal","abstract":"Biomass is a renewable and potentially carbon-neutral energy source and can be a promising alternative to fossil fuels in the ironmaking industry. Pulverised biomass injection (PBI) is the most promising technology to use biomass-based materials in ironmaking blast furnaces (BFs). This paper reviews key aspects of recent research relating to biomass combustion in the raceway region: experimental studies, numerical studies, and the application of the research findings to optimise BF practice. In the experimental part, the pretreatment of raw biomass to produce pyrolysed biochar products for improving applicability in BFs is reviewed. The properties of raw biomass and biochar are compared with the main requirements for injection into BFs, and the process tests that have been employed at lab- and pilot-scales are reviewed. In the modelling part, a comprehensive overview of mathematical modelling of biomass combustion in BFs is presented, ranging from turbulent flow to heat transfer and mass transfer, as well as key reaction models for simulating the lower part of the BF. With respect to the application of the research, in-furnace phenomena understanding, operation optimisation, and facility design are reviewed, including the co-firing of biomass and coal. In addition, heat and mass balance modelling has been used to demonstrate the operating window of feasible operations using PBI. Life cycle assessment has been reviewed to demonstrate PBI's environmental credentials. Based on the aspects reviewed, conclusions have been drawn on the strengths, limitations, and outlook of PBI studies. This paper offers a comprehensive review of the combustion of biomass in BFs and should prove useful for process understanding, design and optimisation towards green ironmaking technology.","container-title":"Progress in Energy and Combustion Science","DOI":"10.1016/j.pecs.2021.100952","ISSN":"0360-1285","journalAbbreviation":"Progress in Energy and Combustion Science","language":"en","page":"100952","source":"ScienceDirect","title":"Modelling and optimisation of biomass injection in ironmaking blast furnaces","URL":"https://www.sciencedirect.com/science/article/pii/S0360128521000502","volume":"87","author":[{"family":"Liu","given":"Yiran"},{"family":"Shen","given":"Yansong"}],"accessed":{"date-parts":[["2022",11,12]]},"issued":{"date-parts":[["2021",11,1]]}}}],"schema":"https://github.com/citation-style-language/schema/raw/master/csl-citation.json"} </w:instrText>
      </w:r>
      <w:r>
        <w:fldChar w:fldCharType="separate"/>
      </w:r>
      <w:r w:rsidRPr="00D206DB">
        <w:rPr>
          <w:rFonts w:ascii="Calibri" w:hAnsi="Calibri" w:cs="Calibri"/>
        </w:rPr>
        <w:t>(Liu and Shen 2021)</w:t>
      </w:r>
      <w:r>
        <w:fldChar w:fldCharType="end"/>
      </w:r>
      <w:r>
        <w:t xml:space="preserve"> advise that when assessing </w:t>
      </w:r>
      <w:r w:rsidR="00FC772E">
        <w:t>biochar as a BF fuel,</w:t>
      </w:r>
      <w:r>
        <w:t xml:space="preserve"> there are several criteria you should consider, namely:</w:t>
      </w:r>
    </w:p>
    <w:p w14:paraId="2DAB1E17" w14:textId="77777777" w:rsidR="00D140D6" w:rsidRDefault="00D140D6" w:rsidP="00D140D6">
      <w:pPr>
        <w:pStyle w:val="ListParagraph"/>
        <w:numPr>
          <w:ilvl w:val="0"/>
          <w:numId w:val="13"/>
        </w:numPr>
        <w:spacing w:line="360" w:lineRule="auto"/>
        <w:jc w:val="both"/>
      </w:pPr>
      <w:r>
        <w:t>Calorific value (CV)</w:t>
      </w:r>
    </w:p>
    <w:p w14:paraId="6CC64C6A" w14:textId="392E6490" w:rsidR="00D140D6" w:rsidRDefault="00D140D6" w:rsidP="00D140D6">
      <w:pPr>
        <w:pStyle w:val="ListParagraph"/>
        <w:numPr>
          <w:ilvl w:val="0"/>
          <w:numId w:val="13"/>
        </w:numPr>
        <w:spacing w:line="360" w:lineRule="auto"/>
        <w:jc w:val="both"/>
      </w:pPr>
      <w:r>
        <w:t>Chemical composition</w:t>
      </w:r>
    </w:p>
    <w:p w14:paraId="5E9AF0DF" w14:textId="01392089" w:rsidR="00D206DB" w:rsidRDefault="00D206DB" w:rsidP="00D206DB">
      <w:pPr>
        <w:pStyle w:val="ListParagraph"/>
        <w:numPr>
          <w:ilvl w:val="0"/>
          <w:numId w:val="13"/>
        </w:numPr>
        <w:spacing w:line="360" w:lineRule="auto"/>
        <w:jc w:val="both"/>
      </w:pPr>
      <w:r>
        <w:t>Combustion characteristics</w:t>
      </w:r>
    </w:p>
    <w:p w14:paraId="4B7FD304" w14:textId="7914AA08" w:rsidR="00D206DB" w:rsidRDefault="00D206DB" w:rsidP="00D206DB">
      <w:pPr>
        <w:pStyle w:val="ListParagraph"/>
        <w:numPr>
          <w:ilvl w:val="0"/>
          <w:numId w:val="13"/>
        </w:numPr>
        <w:spacing w:line="360" w:lineRule="auto"/>
        <w:jc w:val="both"/>
      </w:pPr>
      <w:r>
        <w:t>Carbon gasification reactivity</w:t>
      </w:r>
    </w:p>
    <w:p w14:paraId="2568195A" w14:textId="77777777" w:rsidR="00D206DB" w:rsidRDefault="00D206DB" w:rsidP="00D206DB">
      <w:pPr>
        <w:pStyle w:val="ListParagraph"/>
        <w:numPr>
          <w:ilvl w:val="0"/>
          <w:numId w:val="13"/>
        </w:numPr>
        <w:spacing w:line="360" w:lineRule="auto"/>
        <w:jc w:val="both"/>
      </w:pPr>
      <w:r>
        <w:t>Grinding characteristics and fluidisation properties</w:t>
      </w:r>
    </w:p>
    <w:p w14:paraId="0F7D8D84" w14:textId="77777777" w:rsidR="00D206DB" w:rsidRDefault="00D206DB" w:rsidP="00D206DB">
      <w:pPr>
        <w:pStyle w:val="ListParagraph"/>
        <w:numPr>
          <w:ilvl w:val="0"/>
          <w:numId w:val="13"/>
        </w:numPr>
        <w:spacing w:line="360" w:lineRule="auto"/>
        <w:jc w:val="both"/>
      </w:pPr>
      <w:r>
        <w:t>Softening and melting characteristics of the ash</w:t>
      </w:r>
    </w:p>
    <w:p w14:paraId="2349459F" w14:textId="55F60D10" w:rsidR="00841397" w:rsidRDefault="00D206DB" w:rsidP="00D206DB">
      <w:pPr>
        <w:spacing w:line="360" w:lineRule="auto"/>
        <w:jc w:val="both"/>
      </w:pPr>
      <w:r>
        <w:t xml:space="preserve">Of these six characteristics the first </w:t>
      </w:r>
      <w:r w:rsidR="00944ECA">
        <w:t xml:space="preserve">three </w:t>
      </w:r>
      <w:r>
        <w:t>have been tested on two biochar samples</w:t>
      </w:r>
      <w:r w:rsidR="00EB5CE8">
        <w:t xml:space="preserve"> and a PCI coal, for</w:t>
      </w:r>
      <w:r>
        <w:t xml:space="preserve"> this report. </w:t>
      </w:r>
      <w:r w:rsidR="00F7643F">
        <w:t>T</w:t>
      </w:r>
      <w:r w:rsidR="00841397">
        <w:t>he facilities for testing the</w:t>
      </w:r>
      <w:r w:rsidR="00F7643F">
        <w:t xml:space="preserve"> others</w:t>
      </w:r>
      <w:r w:rsidR="00841397">
        <w:t xml:space="preserve"> were not available for this report.</w:t>
      </w:r>
    </w:p>
    <w:p w14:paraId="5D606B85" w14:textId="5709ABA6" w:rsidR="00A92F61" w:rsidRDefault="00A92F61" w:rsidP="00D206DB">
      <w:pPr>
        <w:spacing w:line="360" w:lineRule="auto"/>
        <w:jc w:val="both"/>
      </w:pPr>
    </w:p>
    <w:p w14:paraId="290AF372" w14:textId="5829587E" w:rsidR="00A92F61" w:rsidRDefault="00A92F61" w:rsidP="00D206DB">
      <w:pPr>
        <w:spacing w:line="360" w:lineRule="auto"/>
        <w:jc w:val="both"/>
      </w:pPr>
    </w:p>
    <w:p w14:paraId="4534C37F" w14:textId="7E20D0A6" w:rsidR="00A92F61" w:rsidRDefault="00A92F61" w:rsidP="00D206DB">
      <w:pPr>
        <w:spacing w:line="360" w:lineRule="auto"/>
        <w:jc w:val="both"/>
      </w:pPr>
    </w:p>
    <w:p w14:paraId="6D8653AA" w14:textId="77777777" w:rsidR="00D4470B" w:rsidRDefault="00D4470B" w:rsidP="00D206DB">
      <w:pPr>
        <w:spacing w:line="360" w:lineRule="auto"/>
        <w:jc w:val="both"/>
      </w:pPr>
    </w:p>
    <w:p w14:paraId="3E64C565" w14:textId="3D1DBB5C" w:rsidR="00A92F61" w:rsidRDefault="00A92F61" w:rsidP="00D206DB">
      <w:pPr>
        <w:spacing w:line="360" w:lineRule="auto"/>
        <w:jc w:val="both"/>
      </w:pPr>
    </w:p>
    <w:p w14:paraId="21EECA26" w14:textId="77777777" w:rsidR="00856990" w:rsidRDefault="00856990" w:rsidP="00D206DB">
      <w:pPr>
        <w:spacing w:line="360" w:lineRule="auto"/>
        <w:jc w:val="both"/>
      </w:pPr>
    </w:p>
    <w:p w14:paraId="38A99901" w14:textId="77777777" w:rsidR="00A92F61" w:rsidRDefault="00A92F61" w:rsidP="00D206DB">
      <w:pPr>
        <w:spacing w:line="360" w:lineRule="auto"/>
        <w:jc w:val="both"/>
      </w:pPr>
    </w:p>
    <w:p w14:paraId="7E594766" w14:textId="4EFFE589" w:rsidR="00C630E1" w:rsidRDefault="00C630E1" w:rsidP="00560D39">
      <w:pPr>
        <w:pStyle w:val="Heading3"/>
        <w:spacing w:line="360" w:lineRule="auto"/>
        <w:jc w:val="both"/>
      </w:pPr>
      <w:bookmarkStart w:id="74" w:name="_Toc128599623"/>
      <w:r w:rsidRPr="00C630E1">
        <w:lastRenderedPageBreak/>
        <w:t xml:space="preserve">Properties of charcoal </w:t>
      </w:r>
      <w:r w:rsidR="00CB63E2">
        <w:t>and</w:t>
      </w:r>
      <w:r w:rsidRPr="00C630E1">
        <w:t xml:space="preserve"> </w:t>
      </w:r>
      <w:r w:rsidR="00CB63E2">
        <w:t>PCI</w:t>
      </w:r>
      <w:r w:rsidRPr="00C630E1">
        <w:t xml:space="preserve"> coal</w:t>
      </w:r>
      <w:bookmarkEnd w:id="74"/>
    </w:p>
    <w:p w14:paraId="2439C54A" w14:textId="6BC288B8" w:rsidR="000E4E31" w:rsidRPr="000E4E31" w:rsidRDefault="000E4E31" w:rsidP="00BD229F">
      <w:pPr>
        <w:pStyle w:val="Heading4"/>
        <w:spacing w:line="360" w:lineRule="auto"/>
        <w:jc w:val="both"/>
      </w:pPr>
      <w:r>
        <w:t>Replacement ratio</w:t>
      </w:r>
    </w:p>
    <w:p w14:paraId="14140BF3" w14:textId="2C148FC8" w:rsidR="00560D39" w:rsidRPr="00C630E1" w:rsidRDefault="00F74036" w:rsidP="00BD229F">
      <w:pPr>
        <w:spacing w:line="360" w:lineRule="auto"/>
        <w:jc w:val="both"/>
      </w:pPr>
      <w:r>
        <w:t>The Ultimate analysis and proximate analysis results for the PCI coal and two biochar’s can be found below in table 3.</w:t>
      </w:r>
    </w:p>
    <w:p w14:paraId="717533A9" w14:textId="505EC14D" w:rsidR="00C630E1" w:rsidRDefault="00C630E1" w:rsidP="00BD229F">
      <w:pPr>
        <w:pStyle w:val="Caption"/>
        <w:spacing w:line="360" w:lineRule="auto"/>
        <w:jc w:val="both"/>
      </w:pPr>
      <w:r>
        <w:t xml:space="preserve">Table </w:t>
      </w:r>
      <w:fldSimple w:instr=" SEQ Table \* ARABIC ">
        <w:r w:rsidR="00DA2639">
          <w:rPr>
            <w:noProof/>
          </w:rPr>
          <w:t>3</w:t>
        </w:r>
      </w:fldSimple>
      <w:r>
        <w:t xml:space="preserve"> The properties of pulverised coal and biochar (Proximate</w:t>
      </w:r>
      <w:r w:rsidR="008118A2">
        <w:t xml:space="preserve"> </w:t>
      </w:r>
      <w:r w:rsidR="007D57C2">
        <w:t>in blue</w:t>
      </w:r>
      <w:r>
        <w:t xml:space="preserve"> and Ultimate analysis</w:t>
      </w:r>
      <w:r w:rsidR="007D57C2">
        <w:t xml:space="preserve"> in grey</w:t>
      </w:r>
      <w:r>
        <w:t>).</w:t>
      </w:r>
    </w:p>
    <w:tbl>
      <w:tblPr>
        <w:tblW w:w="3840" w:type="dxa"/>
        <w:tblInd w:w="2023" w:type="dxa"/>
        <w:tblLook w:val="04A0" w:firstRow="1" w:lastRow="0" w:firstColumn="1" w:lastColumn="0" w:noHBand="0" w:noVBand="1"/>
      </w:tblPr>
      <w:tblGrid>
        <w:gridCol w:w="960"/>
        <w:gridCol w:w="960"/>
        <w:gridCol w:w="960"/>
        <w:gridCol w:w="960"/>
      </w:tblGrid>
      <w:tr w:rsidR="00C630E1" w:rsidRPr="00C630E1" w14:paraId="1CE2E3AA" w14:textId="77777777" w:rsidTr="00F74036">
        <w:trPr>
          <w:trHeight w:val="600"/>
        </w:trPr>
        <w:tc>
          <w:tcPr>
            <w:tcW w:w="960"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5A00A0E7" w14:textId="2569438F"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Pr="00C630E1">
              <w:rPr>
                <w:rFonts w:ascii="Calibri" w:eastAsia="Times New Roman" w:hAnsi="Calibri" w:cs="Calibri"/>
                <w:color w:val="000000"/>
                <w:lang w:eastAsia="en-GB"/>
              </w:rPr>
              <w:t>db.</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6529A9F6"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T - Coal</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0A6A3FBA"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Biochar 1</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291B71A1"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Biochar 2</w:t>
            </w:r>
          </w:p>
        </w:tc>
      </w:tr>
      <w:tr w:rsidR="00C630E1" w:rsidRPr="00C630E1" w14:paraId="05DF064F" w14:textId="77777777" w:rsidTr="00F74036">
        <w:trPr>
          <w:trHeight w:val="360"/>
        </w:trPr>
        <w:tc>
          <w:tcPr>
            <w:tcW w:w="960" w:type="dxa"/>
            <w:tcBorders>
              <w:top w:val="nil"/>
              <w:left w:val="single" w:sz="4" w:space="0" w:color="auto"/>
              <w:bottom w:val="single" w:sz="4" w:space="0" w:color="auto"/>
              <w:right w:val="single" w:sz="4" w:space="0" w:color="auto"/>
            </w:tcBorders>
            <w:shd w:val="clear" w:color="000000" w:fill="EDEDED"/>
            <w:noWrap/>
            <w:vAlign w:val="center"/>
            <w:hideMark/>
          </w:tcPr>
          <w:p w14:paraId="4744B0BF"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C</w:t>
            </w:r>
          </w:p>
        </w:tc>
        <w:tc>
          <w:tcPr>
            <w:tcW w:w="960" w:type="dxa"/>
            <w:tcBorders>
              <w:top w:val="nil"/>
              <w:left w:val="nil"/>
              <w:bottom w:val="single" w:sz="4" w:space="0" w:color="auto"/>
              <w:right w:val="single" w:sz="4" w:space="0" w:color="auto"/>
            </w:tcBorders>
            <w:shd w:val="clear" w:color="000000" w:fill="EDEDED"/>
            <w:noWrap/>
            <w:vAlign w:val="center"/>
            <w:hideMark/>
          </w:tcPr>
          <w:p w14:paraId="313D6DDF"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83.2</w:t>
            </w:r>
          </w:p>
        </w:tc>
        <w:tc>
          <w:tcPr>
            <w:tcW w:w="960" w:type="dxa"/>
            <w:tcBorders>
              <w:top w:val="nil"/>
              <w:left w:val="nil"/>
              <w:bottom w:val="single" w:sz="4" w:space="0" w:color="auto"/>
              <w:right w:val="single" w:sz="4" w:space="0" w:color="auto"/>
            </w:tcBorders>
            <w:shd w:val="clear" w:color="000000" w:fill="EDEDED"/>
            <w:noWrap/>
            <w:vAlign w:val="center"/>
            <w:hideMark/>
          </w:tcPr>
          <w:p w14:paraId="1CACDFBA"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90.2</w:t>
            </w:r>
          </w:p>
        </w:tc>
        <w:tc>
          <w:tcPr>
            <w:tcW w:w="960" w:type="dxa"/>
            <w:tcBorders>
              <w:top w:val="nil"/>
              <w:left w:val="nil"/>
              <w:bottom w:val="single" w:sz="4" w:space="0" w:color="auto"/>
              <w:right w:val="single" w:sz="4" w:space="0" w:color="auto"/>
            </w:tcBorders>
            <w:shd w:val="clear" w:color="000000" w:fill="EDEDED"/>
            <w:noWrap/>
            <w:vAlign w:val="center"/>
            <w:hideMark/>
          </w:tcPr>
          <w:p w14:paraId="2F0FA2A3"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83</w:t>
            </w:r>
          </w:p>
        </w:tc>
      </w:tr>
      <w:tr w:rsidR="00C630E1" w:rsidRPr="00C630E1" w14:paraId="381C895E" w14:textId="77777777" w:rsidTr="00F74036">
        <w:trPr>
          <w:trHeight w:val="360"/>
        </w:trPr>
        <w:tc>
          <w:tcPr>
            <w:tcW w:w="960" w:type="dxa"/>
            <w:tcBorders>
              <w:top w:val="nil"/>
              <w:left w:val="single" w:sz="4" w:space="0" w:color="auto"/>
              <w:bottom w:val="single" w:sz="4" w:space="0" w:color="auto"/>
              <w:right w:val="single" w:sz="4" w:space="0" w:color="auto"/>
            </w:tcBorders>
            <w:shd w:val="clear" w:color="000000" w:fill="EDEDED"/>
            <w:noWrap/>
            <w:vAlign w:val="center"/>
            <w:hideMark/>
          </w:tcPr>
          <w:p w14:paraId="5801B5ED"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H</w:t>
            </w:r>
          </w:p>
        </w:tc>
        <w:tc>
          <w:tcPr>
            <w:tcW w:w="960" w:type="dxa"/>
            <w:tcBorders>
              <w:top w:val="nil"/>
              <w:left w:val="nil"/>
              <w:bottom w:val="single" w:sz="4" w:space="0" w:color="auto"/>
              <w:right w:val="single" w:sz="4" w:space="0" w:color="auto"/>
            </w:tcBorders>
            <w:shd w:val="clear" w:color="000000" w:fill="EDEDED"/>
            <w:noWrap/>
            <w:vAlign w:val="center"/>
            <w:hideMark/>
          </w:tcPr>
          <w:p w14:paraId="54AD2BE6"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3.2</w:t>
            </w:r>
          </w:p>
        </w:tc>
        <w:tc>
          <w:tcPr>
            <w:tcW w:w="960" w:type="dxa"/>
            <w:tcBorders>
              <w:top w:val="nil"/>
              <w:left w:val="nil"/>
              <w:bottom w:val="single" w:sz="4" w:space="0" w:color="auto"/>
              <w:right w:val="single" w:sz="4" w:space="0" w:color="auto"/>
            </w:tcBorders>
            <w:shd w:val="clear" w:color="000000" w:fill="EDEDED"/>
            <w:noWrap/>
            <w:vAlign w:val="center"/>
            <w:hideMark/>
          </w:tcPr>
          <w:p w14:paraId="1279F87D"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1.83</w:t>
            </w:r>
          </w:p>
        </w:tc>
        <w:tc>
          <w:tcPr>
            <w:tcW w:w="960" w:type="dxa"/>
            <w:tcBorders>
              <w:top w:val="nil"/>
              <w:left w:val="nil"/>
              <w:bottom w:val="single" w:sz="4" w:space="0" w:color="auto"/>
              <w:right w:val="single" w:sz="4" w:space="0" w:color="auto"/>
            </w:tcBorders>
            <w:shd w:val="clear" w:color="000000" w:fill="EDEDED"/>
            <w:noWrap/>
            <w:vAlign w:val="center"/>
            <w:hideMark/>
          </w:tcPr>
          <w:p w14:paraId="6C3E9665"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2.02</w:t>
            </w:r>
          </w:p>
        </w:tc>
      </w:tr>
      <w:tr w:rsidR="00C630E1" w:rsidRPr="00C630E1" w14:paraId="0FDDDBC2" w14:textId="77777777" w:rsidTr="00F74036">
        <w:trPr>
          <w:trHeight w:val="360"/>
        </w:trPr>
        <w:tc>
          <w:tcPr>
            <w:tcW w:w="960" w:type="dxa"/>
            <w:tcBorders>
              <w:top w:val="nil"/>
              <w:left w:val="single" w:sz="4" w:space="0" w:color="auto"/>
              <w:bottom w:val="single" w:sz="4" w:space="0" w:color="auto"/>
              <w:right w:val="single" w:sz="4" w:space="0" w:color="auto"/>
            </w:tcBorders>
            <w:shd w:val="clear" w:color="000000" w:fill="EDEDED"/>
            <w:noWrap/>
            <w:vAlign w:val="center"/>
            <w:hideMark/>
          </w:tcPr>
          <w:p w14:paraId="39CEAB8C"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N</w:t>
            </w:r>
          </w:p>
        </w:tc>
        <w:tc>
          <w:tcPr>
            <w:tcW w:w="960" w:type="dxa"/>
            <w:tcBorders>
              <w:top w:val="nil"/>
              <w:left w:val="nil"/>
              <w:bottom w:val="single" w:sz="4" w:space="0" w:color="auto"/>
              <w:right w:val="single" w:sz="4" w:space="0" w:color="auto"/>
            </w:tcBorders>
            <w:shd w:val="clear" w:color="000000" w:fill="EDEDED"/>
            <w:noWrap/>
            <w:vAlign w:val="center"/>
            <w:hideMark/>
          </w:tcPr>
          <w:p w14:paraId="4897EFE0"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1.84</w:t>
            </w:r>
          </w:p>
        </w:tc>
        <w:tc>
          <w:tcPr>
            <w:tcW w:w="960" w:type="dxa"/>
            <w:tcBorders>
              <w:top w:val="nil"/>
              <w:left w:val="nil"/>
              <w:bottom w:val="single" w:sz="4" w:space="0" w:color="auto"/>
              <w:right w:val="single" w:sz="4" w:space="0" w:color="auto"/>
            </w:tcBorders>
            <w:shd w:val="clear" w:color="000000" w:fill="EDEDED"/>
            <w:noWrap/>
            <w:vAlign w:val="center"/>
            <w:hideMark/>
          </w:tcPr>
          <w:p w14:paraId="07DA524C"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0.09</w:t>
            </w:r>
          </w:p>
        </w:tc>
        <w:tc>
          <w:tcPr>
            <w:tcW w:w="960" w:type="dxa"/>
            <w:tcBorders>
              <w:top w:val="nil"/>
              <w:left w:val="nil"/>
              <w:bottom w:val="single" w:sz="4" w:space="0" w:color="auto"/>
              <w:right w:val="single" w:sz="4" w:space="0" w:color="auto"/>
            </w:tcBorders>
            <w:shd w:val="clear" w:color="000000" w:fill="EDEDED"/>
            <w:noWrap/>
            <w:vAlign w:val="center"/>
            <w:hideMark/>
          </w:tcPr>
          <w:p w14:paraId="5D93F2FE"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0.47</w:t>
            </w:r>
          </w:p>
        </w:tc>
      </w:tr>
      <w:tr w:rsidR="00C630E1" w:rsidRPr="00C630E1" w14:paraId="56F34862" w14:textId="77777777" w:rsidTr="00F74036">
        <w:trPr>
          <w:trHeight w:val="345"/>
        </w:trPr>
        <w:tc>
          <w:tcPr>
            <w:tcW w:w="960" w:type="dxa"/>
            <w:tcBorders>
              <w:top w:val="nil"/>
              <w:left w:val="single" w:sz="4" w:space="0" w:color="auto"/>
              <w:bottom w:val="single" w:sz="4" w:space="0" w:color="auto"/>
              <w:right w:val="single" w:sz="4" w:space="0" w:color="auto"/>
            </w:tcBorders>
            <w:shd w:val="clear" w:color="000000" w:fill="EDEDED"/>
            <w:noWrap/>
            <w:vAlign w:val="center"/>
            <w:hideMark/>
          </w:tcPr>
          <w:p w14:paraId="4D446104"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S</w:t>
            </w:r>
          </w:p>
        </w:tc>
        <w:tc>
          <w:tcPr>
            <w:tcW w:w="960" w:type="dxa"/>
            <w:tcBorders>
              <w:top w:val="nil"/>
              <w:left w:val="nil"/>
              <w:bottom w:val="single" w:sz="4" w:space="0" w:color="auto"/>
              <w:right w:val="single" w:sz="4" w:space="0" w:color="auto"/>
            </w:tcBorders>
            <w:shd w:val="clear" w:color="000000" w:fill="EDEDED"/>
            <w:noWrap/>
            <w:vAlign w:val="center"/>
            <w:hideMark/>
          </w:tcPr>
          <w:p w14:paraId="534AB17D"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0.34</w:t>
            </w:r>
          </w:p>
        </w:tc>
        <w:tc>
          <w:tcPr>
            <w:tcW w:w="960" w:type="dxa"/>
            <w:tcBorders>
              <w:top w:val="nil"/>
              <w:left w:val="nil"/>
              <w:bottom w:val="single" w:sz="4" w:space="0" w:color="auto"/>
              <w:right w:val="single" w:sz="4" w:space="0" w:color="auto"/>
            </w:tcBorders>
            <w:shd w:val="clear" w:color="000000" w:fill="EDEDED"/>
            <w:noWrap/>
            <w:vAlign w:val="center"/>
            <w:hideMark/>
          </w:tcPr>
          <w:p w14:paraId="7387FCD9"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&lt;0.02</w:t>
            </w:r>
          </w:p>
        </w:tc>
        <w:tc>
          <w:tcPr>
            <w:tcW w:w="960" w:type="dxa"/>
            <w:tcBorders>
              <w:top w:val="nil"/>
              <w:left w:val="nil"/>
              <w:bottom w:val="single" w:sz="4" w:space="0" w:color="auto"/>
              <w:right w:val="single" w:sz="4" w:space="0" w:color="auto"/>
            </w:tcBorders>
            <w:shd w:val="clear" w:color="000000" w:fill="EDEDED"/>
            <w:noWrap/>
            <w:vAlign w:val="center"/>
            <w:hideMark/>
          </w:tcPr>
          <w:p w14:paraId="42FBF503"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0.005</w:t>
            </w:r>
          </w:p>
        </w:tc>
      </w:tr>
      <w:tr w:rsidR="00C630E1" w:rsidRPr="00C630E1" w14:paraId="020A8B45" w14:textId="77777777" w:rsidTr="00F74036">
        <w:trPr>
          <w:trHeight w:val="300"/>
        </w:trPr>
        <w:tc>
          <w:tcPr>
            <w:tcW w:w="960" w:type="dxa"/>
            <w:tcBorders>
              <w:top w:val="nil"/>
              <w:left w:val="single" w:sz="4" w:space="0" w:color="auto"/>
              <w:bottom w:val="single" w:sz="4" w:space="0" w:color="auto"/>
              <w:right w:val="single" w:sz="4" w:space="0" w:color="auto"/>
            </w:tcBorders>
            <w:shd w:val="clear" w:color="000000" w:fill="EDEDED"/>
            <w:noWrap/>
            <w:vAlign w:val="center"/>
            <w:hideMark/>
          </w:tcPr>
          <w:p w14:paraId="4E2CBEB4"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O</w:t>
            </w:r>
          </w:p>
        </w:tc>
        <w:tc>
          <w:tcPr>
            <w:tcW w:w="960" w:type="dxa"/>
            <w:tcBorders>
              <w:top w:val="nil"/>
              <w:left w:val="nil"/>
              <w:bottom w:val="single" w:sz="4" w:space="0" w:color="auto"/>
              <w:right w:val="single" w:sz="4" w:space="0" w:color="auto"/>
            </w:tcBorders>
            <w:shd w:val="clear" w:color="000000" w:fill="EDEDED"/>
            <w:noWrap/>
            <w:vAlign w:val="center"/>
            <w:hideMark/>
          </w:tcPr>
          <w:p w14:paraId="259CD6D5"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EDEDED"/>
            <w:noWrap/>
            <w:vAlign w:val="center"/>
            <w:hideMark/>
          </w:tcPr>
          <w:p w14:paraId="0CEA823F"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6.02</w:t>
            </w:r>
          </w:p>
        </w:tc>
        <w:tc>
          <w:tcPr>
            <w:tcW w:w="960" w:type="dxa"/>
            <w:tcBorders>
              <w:top w:val="nil"/>
              <w:left w:val="nil"/>
              <w:bottom w:val="single" w:sz="4" w:space="0" w:color="auto"/>
              <w:right w:val="single" w:sz="4" w:space="0" w:color="auto"/>
            </w:tcBorders>
            <w:shd w:val="clear" w:color="000000" w:fill="EDEDED"/>
            <w:noWrap/>
            <w:vAlign w:val="center"/>
            <w:hideMark/>
          </w:tcPr>
          <w:p w14:paraId="1B936EB3"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7.33</w:t>
            </w:r>
          </w:p>
        </w:tc>
      </w:tr>
      <w:tr w:rsidR="00C630E1" w:rsidRPr="00C630E1" w14:paraId="4A506D6F" w14:textId="77777777" w:rsidTr="008118A2">
        <w:trPr>
          <w:trHeight w:val="300"/>
        </w:trPr>
        <w:tc>
          <w:tcPr>
            <w:tcW w:w="960" w:type="dxa"/>
            <w:tcBorders>
              <w:top w:val="nil"/>
              <w:left w:val="single" w:sz="4" w:space="0" w:color="auto"/>
              <w:bottom w:val="single" w:sz="4" w:space="0" w:color="auto"/>
              <w:right w:val="single" w:sz="4" w:space="0" w:color="auto"/>
            </w:tcBorders>
            <w:shd w:val="clear" w:color="auto" w:fill="BDD6EE" w:themeFill="accent1" w:themeFillTint="66"/>
            <w:noWrap/>
            <w:vAlign w:val="center"/>
            <w:hideMark/>
          </w:tcPr>
          <w:p w14:paraId="698D790E" w14:textId="77777777" w:rsidR="00C630E1" w:rsidRPr="00C630E1" w:rsidRDefault="00C630E1" w:rsidP="00C630E1">
            <w:pPr>
              <w:spacing w:after="0" w:line="240" w:lineRule="auto"/>
              <w:jc w:val="center"/>
              <w:rPr>
                <w:rFonts w:ascii="Calibri" w:eastAsia="Times New Roman" w:hAnsi="Calibri" w:cs="Calibri"/>
                <w:color w:val="000000"/>
                <w:lang w:eastAsia="en-GB"/>
              </w:rPr>
            </w:pPr>
            <w:proofErr w:type="spellStart"/>
            <w:r w:rsidRPr="00C630E1">
              <w:rPr>
                <w:rFonts w:ascii="Calibri" w:eastAsia="Times New Roman" w:hAnsi="Calibri" w:cs="Calibri"/>
                <w:color w:val="000000"/>
                <w:lang w:eastAsia="en-GB"/>
              </w:rPr>
              <w:t>Vm</w:t>
            </w:r>
            <w:proofErr w:type="spellEnd"/>
          </w:p>
        </w:tc>
        <w:tc>
          <w:tcPr>
            <w:tcW w:w="960" w:type="dxa"/>
            <w:tcBorders>
              <w:top w:val="nil"/>
              <w:left w:val="nil"/>
              <w:bottom w:val="single" w:sz="4" w:space="0" w:color="auto"/>
              <w:right w:val="single" w:sz="4" w:space="0" w:color="auto"/>
            </w:tcBorders>
            <w:shd w:val="clear" w:color="auto" w:fill="BDD6EE" w:themeFill="accent1" w:themeFillTint="66"/>
            <w:noWrap/>
            <w:vAlign w:val="center"/>
            <w:hideMark/>
          </w:tcPr>
          <w:p w14:paraId="736A079F"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12.3</w:t>
            </w:r>
          </w:p>
        </w:tc>
        <w:tc>
          <w:tcPr>
            <w:tcW w:w="960" w:type="dxa"/>
            <w:tcBorders>
              <w:top w:val="nil"/>
              <w:left w:val="nil"/>
              <w:bottom w:val="single" w:sz="4" w:space="0" w:color="auto"/>
              <w:right w:val="single" w:sz="4" w:space="0" w:color="auto"/>
            </w:tcBorders>
            <w:shd w:val="clear" w:color="auto" w:fill="BDD6EE" w:themeFill="accent1" w:themeFillTint="66"/>
            <w:noWrap/>
            <w:vAlign w:val="center"/>
            <w:hideMark/>
          </w:tcPr>
          <w:p w14:paraId="45B34111"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6.7</w:t>
            </w:r>
          </w:p>
        </w:tc>
        <w:tc>
          <w:tcPr>
            <w:tcW w:w="960" w:type="dxa"/>
            <w:tcBorders>
              <w:top w:val="nil"/>
              <w:left w:val="nil"/>
              <w:bottom w:val="single" w:sz="4" w:space="0" w:color="auto"/>
              <w:right w:val="single" w:sz="4" w:space="0" w:color="auto"/>
            </w:tcBorders>
            <w:shd w:val="clear" w:color="auto" w:fill="BDD6EE" w:themeFill="accent1" w:themeFillTint="66"/>
            <w:noWrap/>
            <w:vAlign w:val="center"/>
            <w:hideMark/>
          </w:tcPr>
          <w:p w14:paraId="08D40F02"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15.6</w:t>
            </w:r>
          </w:p>
        </w:tc>
      </w:tr>
      <w:tr w:rsidR="00C630E1" w:rsidRPr="00C630E1" w14:paraId="7906AC59" w14:textId="77777777" w:rsidTr="008118A2">
        <w:trPr>
          <w:trHeight w:val="300"/>
        </w:trPr>
        <w:tc>
          <w:tcPr>
            <w:tcW w:w="960" w:type="dxa"/>
            <w:tcBorders>
              <w:top w:val="nil"/>
              <w:left w:val="single" w:sz="4" w:space="0" w:color="auto"/>
              <w:bottom w:val="single" w:sz="4" w:space="0" w:color="auto"/>
              <w:right w:val="single" w:sz="4" w:space="0" w:color="auto"/>
            </w:tcBorders>
            <w:shd w:val="clear" w:color="auto" w:fill="BDD6EE" w:themeFill="accent1" w:themeFillTint="66"/>
            <w:noWrap/>
            <w:vAlign w:val="center"/>
            <w:hideMark/>
          </w:tcPr>
          <w:p w14:paraId="0A830D86"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Ash</w:t>
            </w:r>
          </w:p>
        </w:tc>
        <w:tc>
          <w:tcPr>
            <w:tcW w:w="960" w:type="dxa"/>
            <w:tcBorders>
              <w:top w:val="nil"/>
              <w:left w:val="nil"/>
              <w:bottom w:val="single" w:sz="4" w:space="0" w:color="auto"/>
              <w:right w:val="single" w:sz="4" w:space="0" w:color="auto"/>
            </w:tcBorders>
            <w:shd w:val="clear" w:color="auto" w:fill="BDD6EE" w:themeFill="accent1" w:themeFillTint="66"/>
            <w:noWrap/>
            <w:vAlign w:val="center"/>
            <w:hideMark/>
          </w:tcPr>
          <w:p w14:paraId="60AA8B1F"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9.4</w:t>
            </w:r>
          </w:p>
        </w:tc>
        <w:tc>
          <w:tcPr>
            <w:tcW w:w="960" w:type="dxa"/>
            <w:tcBorders>
              <w:top w:val="nil"/>
              <w:left w:val="nil"/>
              <w:bottom w:val="single" w:sz="4" w:space="0" w:color="auto"/>
              <w:right w:val="single" w:sz="4" w:space="0" w:color="auto"/>
            </w:tcBorders>
            <w:shd w:val="clear" w:color="auto" w:fill="BDD6EE" w:themeFill="accent1" w:themeFillTint="66"/>
            <w:noWrap/>
            <w:vAlign w:val="center"/>
            <w:hideMark/>
          </w:tcPr>
          <w:p w14:paraId="09A7FC02"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1.89</w:t>
            </w:r>
          </w:p>
        </w:tc>
        <w:tc>
          <w:tcPr>
            <w:tcW w:w="960" w:type="dxa"/>
            <w:tcBorders>
              <w:top w:val="nil"/>
              <w:left w:val="nil"/>
              <w:bottom w:val="single" w:sz="4" w:space="0" w:color="auto"/>
              <w:right w:val="single" w:sz="4" w:space="0" w:color="auto"/>
            </w:tcBorders>
            <w:shd w:val="clear" w:color="auto" w:fill="BDD6EE" w:themeFill="accent1" w:themeFillTint="66"/>
            <w:noWrap/>
            <w:vAlign w:val="center"/>
            <w:hideMark/>
          </w:tcPr>
          <w:p w14:paraId="0C7B80BE" w14:textId="77777777" w:rsidR="00C630E1" w:rsidRPr="00C630E1" w:rsidRDefault="00C630E1" w:rsidP="00C630E1">
            <w:pPr>
              <w:spacing w:after="0" w:line="240" w:lineRule="auto"/>
              <w:jc w:val="center"/>
              <w:rPr>
                <w:rFonts w:ascii="Calibri" w:eastAsia="Times New Roman" w:hAnsi="Calibri" w:cs="Calibri"/>
                <w:color w:val="000000"/>
                <w:lang w:eastAsia="en-GB"/>
              </w:rPr>
            </w:pPr>
            <w:r w:rsidRPr="00C630E1">
              <w:rPr>
                <w:rFonts w:ascii="Calibri" w:eastAsia="Times New Roman" w:hAnsi="Calibri" w:cs="Calibri"/>
                <w:color w:val="000000"/>
                <w:lang w:eastAsia="en-GB"/>
              </w:rPr>
              <w:t>6</w:t>
            </w:r>
          </w:p>
        </w:tc>
      </w:tr>
    </w:tbl>
    <w:p w14:paraId="628FF19D" w14:textId="77777777" w:rsidR="00560D39" w:rsidRDefault="00560D39" w:rsidP="00560D39">
      <w:pPr>
        <w:spacing w:line="360" w:lineRule="auto"/>
        <w:jc w:val="both"/>
      </w:pPr>
    </w:p>
    <w:p w14:paraId="3A29482A" w14:textId="3271ED9A" w:rsidR="00560D39" w:rsidRDefault="00560D39" w:rsidP="00560D39">
      <w:pPr>
        <w:spacing w:line="360" w:lineRule="auto"/>
        <w:jc w:val="both"/>
      </w:pPr>
      <w:r>
        <w:t xml:space="preserve">According to </w:t>
      </w:r>
      <w:r>
        <w:fldChar w:fldCharType="begin"/>
      </w:r>
      <w:r w:rsidR="00192334">
        <w:instrText xml:space="preserve"> ADDIN ZOTERO_ITEM CSL_CITATION {"citationID":"YWB8KhWi","properties":{"formattedCitation":"(Geerdes,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fldChar w:fldCharType="separate"/>
      </w:r>
      <w:r w:rsidR="00192334" w:rsidRPr="00192334">
        <w:rPr>
          <w:rFonts w:ascii="Calibri" w:hAnsi="Calibri" w:cs="Calibri"/>
        </w:rPr>
        <w:t>(Geerdes, Toxopeus and Vliet, 2009)</w:t>
      </w:r>
      <w:r>
        <w:fldChar w:fldCharType="end"/>
      </w:r>
      <w:r>
        <w:t xml:space="preserve"> the most important property of a fuel injected into the BF is the replacement ratio (RR) of coke. </w:t>
      </w:r>
      <w:r w:rsidR="00597391">
        <w:t xml:space="preserve">The coke RR is defined as the mass, in kilograms, of coke replaced per kilogram of coal. </w:t>
      </w:r>
      <w:r>
        <w:t xml:space="preserve">The composition and moisture content of the fuel determines the amount of coke that can be replaced by the fuel. To determine the RR, the carbon percentage, hydrogen percentage, ash content, moisture content and the heat required to crack the coal chemical structure have to be </w:t>
      </w:r>
      <w:r w:rsidR="00F20AFF">
        <w:t>considered</w:t>
      </w:r>
      <w:r>
        <w:t>. The formular for the RR (for coke with 87.5% carbon) is:</w:t>
      </w:r>
    </w:p>
    <w:p w14:paraId="57931C18" w14:textId="5F9299B9" w:rsidR="0098116E" w:rsidRPr="0098116E" w:rsidRDefault="0098116E" w:rsidP="0098116E">
      <w:pPr>
        <w:spacing w:line="360" w:lineRule="auto"/>
        <w:jc w:val="both"/>
        <w:rPr>
          <w:rFonts w:ascii="Cambria Math" w:hAnsi="Cambria Math"/>
          <w:i/>
        </w:rPr>
      </w:pPr>
      <m:oMathPara>
        <m:oMath>
          <m:r>
            <w:rPr>
              <w:rFonts w:ascii="Cambria Math" w:hAnsi="Cambria Math"/>
            </w:rPr>
            <m:t>RR ≈  2xC% + 2.5xH% -2xH2Oinj - 86 + 0.9xash%</m:t>
          </m:r>
        </m:oMath>
      </m:oMathPara>
    </w:p>
    <w:p w14:paraId="6D204625" w14:textId="565FD84A" w:rsidR="00BD229F" w:rsidRDefault="00F74036" w:rsidP="00560D39">
      <w:pPr>
        <w:spacing w:line="360" w:lineRule="auto"/>
        <w:jc w:val="both"/>
        <w:rPr>
          <w:rFonts w:eastAsiaTheme="minorEastAsia"/>
        </w:rPr>
      </w:pPr>
      <w:r>
        <w:rPr>
          <w:rFonts w:eastAsiaTheme="minorEastAsia"/>
        </w:rPr>
        <w:t xml:space="preserve">The moisture figure used was 1.5% as this is the moisture that PCI coals are dried to for injection at </w:t>
      </w:r>
      <w:r w:rsidR="00F20AFF">
        <w:rPr>
          <w:rFonts w:eastAsiaTheme="minorEastAsia"/>
        </w:rPr>
        <w:t>P</w:t>
      </w:r>
      <w:r>
        <w:rPr>
          <w:rFonts w:eastAsiaTheme="minorEastAsia"/>
        </w:rPr>
        <w:t xml:space="preserve">ort </w:t>
      </w:r>
      <w:r w:rsidR="00F20AFF">
        <w:rPr>
          <w:rFonts w:eastAsiaTheme="minorEastAsia"/>
        </w:rPr>
        <w:t>T</w:t>
      </w:r>
      <w:r>
        <w:rPr>
          <w:rFonts w:eastAsiaTheme="minorEastAsia"/>
        </w:rPr>
        <w:t>albot steelwork</w:t>
      </w:r>
      <w:r w:rsidR="00094FA9">
        <w:rPr>
          <w:rFonts w:eastAsiaTheme="minorEastAsia"/>
        </w:rPr>
        <w:t>.</w:t>
      </w:r>
    </w:p>
    <w:p w14:paraId="29F6061A" w14:textId="24649A73" w:rsidR="00F20AFF" w:rsidRDefault="00F20AFF" w:rsidP="00CB63E2">
      <w:pPr>
        <w:pStyle w:val="Caption"/>
        <w:jc w:val="center"/>
      </w:pPr>
      <w:r>
        <w:t xml:space="preserve">Table </w:t>
      </w:r>
      <w:fldSimple w:instr=" SEQ Table \* ARABIC ">
        <w:r w:rsidR="00DA2639">
          <w:rPr>
            <w:noProof/>
          </w:rPr>
          <w:t>4</w:t>
        </w:r>
      </w:fldSimple>
      <w:r>
        <w:t xml:space="preserve"> The replacement ratios for T-coal and two biochar’s are compared.</w:t>
      </w:r>
    </w:p>
    <w:tbl>
      <w:tblPr>
        <w:tblW w:w="5020" w:type="dxa"/>
        <w:tblInd w:w="1997" w:type="dxa"/>
        <w:tblLook w:val="04A0" w:firstRow="1" w:lastRow="0" w:firstColumn="1" w:lastColumn="0" w:noHBand="0" w:noVBand="1"/>
      </w:tblPr>
      <w:tblGrid>
        <w:gridCol w:w="1700"/>
        <w:gridCol w:w="1160"/>
        <w:gridCol w:w="1060"/>
        <w:gridCol w:w="1100"/>
      </w:tblGrid>
      <w:tr w:rsidR="0098116E" w:rsidRPr="0098116E" w14:paraId="4B3765D6" w14:textId="77777777" w:rsidTr="0098116E">
        <w:trPr>
          <w:trHeight w:val="345"/>
        </w:trPr>
        <w:tc>
          <w:tcPr>
            <w:tcW w:w="1700"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5E56186B" w14:textId="77777777" w:rsidR="0098116E" w:rsidRPr="0098116E" w:rsidRDefault="0098116E" w:rsidP="0098116E">
            <w:pPr>
              <w:spacing w:after="0" w:line="240" w:lineRule="auto"/>
              <w:jc w:val="center"/>
              <w:rPr>
                <w:rFonts w:ascii="Calibri" w:eastAsia="Times New Roman" w:hAnsi="Calibri" w:cs="Calibri"/>
                <w:color w:val="000000"/>
                <w:lang w:eastAsia="en-GB"/>
              </w:rPr>
            </w:pPr>
            <w:r w:rsidRPr="0098116E">
              <w:rPr>
                <w:rFonts w:ascii="Calibri" w:eastAsia="Times New Roman" w:hAnsi="Calibri" w:cs="Calibri"/>
                <w:color w:val="000000"/>
                <w:lang w:eastAsia="en-GB"/>
              </w:rPr>
              <w:t>%</w:t>
            </w:r>
          </w:p>
        </w:tc>
        <w:tc>
          <w:tcPr>
            <w:tcW w:w="1160" w:type="dxa"/>
            <w:tcBorders>
              <w:top w:val="single" w:sz="4" w:space="0" w:color="auto"/>
              <w:left w:val="nil"/>
              <w:bottom w:val="single" w:sz="4" w:space="0" w:color="auto"/>
              <w:right w:val="single" w:sz="4" w:space="0" w:color="auto"/>
            </w:tcBorders>
            <w:shd w:val="clear" w:color="000000" w:fill="EDEDED"/>
            <w:noWrap/>
            <w:vAlign w:val="center"/>
            <w:hideMark/>
          </w:tcPr>
          <w:p w14:paraId="27F3A25B" w14:textId="77777777" w:rsidR="0098116E" w:rsidRPr="0098116E" w:rsidRDefault="0098116E" w:rsidP="0098116E">
            <w:pPr>
              <w:spacing w:after="0" w:line="240" w:lineRule="auto"/>
              <w:jc w:val="center"/>
              <w:rPr>
                <w:rFonts w:ascii="Calibri" w:eastAsia="Times New Roman" w:hAnsi="Calibri" w:cs="Calibri"/>
                <w:color w:val="000000"/>
                <w:lang w:eastAsia="en-GB"/>
              </w:rPr>
            </w:pPr>
            <w:r w:rsidRPr="0098116E">
              <w:rPr>
                <w:rFonts w:ascii="Calibri" w:eastAsia="Times New Roman" w:hAnsi="Calibri" w:cs="Calibri"/>
                <w:color w:val="000000"/>
                <w:lang w:eastAsia="en-GB"/>
              </w:rPr>
              <w:t>T - Coal</w:t>
            </w:r>
          </w:p>
        </w:tc>
        <w:tc>
          <w:tcPr>
            <w:tcW w:w="1060" w:type="dxa"/>
            <w:tcBorders>
              <w:top w:val="single" w:sz="4" w:space="0" w:color="auto"/>
              <w:left w:val="nil"/>
              <w:bottom w:val="single" w:sz="4" w:space="0" w:color="auto"/>
              <w:right w:val="single" w:sz="4" w:space="0" w:color="auto"/>
            </w:tcBorders>
            <w:shd w:val="clear" w:color="000000" w:fill="EDEDED"/>
            <w:noWrap/>
            <w:vAlign w:val="center"/>
            <w:hideMark/>
          </w:tcPr>
          <w:p w14:paraId="48A83C99" w14:textId="77777777" w:rsidR="0098116E" w:rsidRPr="0098116E" w:rsidRDefault="0098116E" w:rsidP="0098116E">
            <w:pPr>
              <w:spacing w:after="0" w:line="240" w:lineRule="auto"/>
              <w:jc w:val="center"/>
              <w:rPr>
                <w:rFonts w:ascii="Calibri" w:eastAsia="Times New Roman" w:hAnsi="Calibri" w:cs="Calibri"/>
                <w:color w:val="000000"/>
                <w:lang w:eastAsia="en-GB"/>
              </w:rPr>
            </w:pPr>
            <w:r w:rsidRPr="0098116E">
              <w:rPr>
                <w:rFonts w:ascii="Calibri" w:eastAsia="Times New Roman" w:hAnsi="Calibri" w:cs="Calibri"/>
                <w:color w:val="000000"/>
                <w:lang w:eastAsia="en-GB"/>
              </w:rPr>
              <w:t>Biochar 1</w:t>
            </w:r>
          </w:p>
        </w:tc>
        <w:tc>
          <w:tcPr>
            <w:tcW w:w="1100" w:type="dxa"/>
            <w:tcBorders>
              <w:top w:val="single" w:sz="4" w:space="0" w:color="auto"/>
              <w:left w:val="nil"/>
              <w:bottom w:val="single" w:sz="4" w:space="0" w:color="auto"/>
              <w:right w:val="single" w:sz="4" w:space="0" w:color="auto"/>
            </w:tcBorders>
            <w:shd w:val="clear" w:color="000000" w:fill="EDEDED"/>
            <w:noWrap/>
            <w:vAlign w:val="center"/>
            <w:hideMark/>
          </w:tcPr>
          <w:p w14:paraId="7929949E" w14:textId="77777777" w:rsidR="0098116E" w:rsidRPr="0098116E" w:rsidRDefault="0098116E" w:rsidP="0098116E">
            <w:pPr>
              <w:spacing w:after="0" w:line="240" w:lineRule="auto"/>
              <w:jc w:val="center"/>
              <w:rPr>
                <w:rFonts w:ascii="Calibri" w:eastAsia="Times New Roman" w:hAnsi="Calibri" w:cs="Calibri"/>
                <w:color w:val="000000"/>
                <w:lang w:eastAsia="en-GB"/>
              </w:rPr>
            </w:pPr>
            <w:r w:rsidRPr="0098116E">
              <w:rPr>
                <w:rFonts w:ascii="Calibri" w:eastAsia="Times New Roman" w:hAnsi="Calibri" w:cs="Calibri"/>
                <w:color w:val="000000"/>
                <w:lang w:eastAsia="en-GB"/>
              </w:rPr>
              <w:t>Biochar 2</w:t>
            </w:r>
          </w:p>
        </w:tc>
      </w:tr>
      <w:tr w:rsidR="0098116E" w:rsidRPr="0098116E" w14:paraId="2E56BEE0" w14:textId="77777777" w:rsidTr="0098116E">
        <w:trPr>
          <w:trHeight w:val="300"/>
        </w:trPr>
        <w:tc>
          <w:tcPr>
            <w:tcW w:w="1700" w:type="dxa"/>
            <w:tcBorders>
              <w:top w:val="nil"/>
              <w:left w:val="single" w:sz="4" w:space="0" w:color="auto"/>
              <w:bottom w:val="single" w:sz="4" w:space="0" w:color="auto"/>
              <w:right w:val="single" w:sz="4" w:space="0" w:color="auto"/>
            </w:tcBorders>
            <w:shd w:val="clear" w:color="000000" w:fill="EDEDED"/>
            <w:noWrap/>
            <w:vAlign w:val="center"/>
            <w:hideMark/>
          </w:tcPr>
          <w:p w14:paraId="274AA713" w14:textId="77777777" w:rsidR="0098116E" w:rsidRPr="0098116E" w:rsidRDefault="0098116E" w:rsidP="0098116E">
            <w:pPr>
              <w:spacing w:after="0" w:line="240" w:lineRule="auto"/>
              <w:jc w:val="center"/>
              <w:rPr>
                <w:rFonts w:ascii="Calibri" w:eastAsia="Times New Roman" w:hAnsi="Calibri" w:cs="Calibri"/>
                <w:color w:val="000000"/>
                <w:lang w:eastAsia="en-GB"/>
              </w:rPr>
            </w:pPr>
            <w:r w:rsidRPr="0098116E">
              <w:rPr>
                <w:rFonts w:ascii="Calibri" w:eastAsia="Times New Roman" w:hAnsi="Calibri" w:cs="Calibri"/>
                <w:color w:val="000000"/>
                <w:lang w:eastAsia="en-GB"/>
              </w:rPr>
              <w:t>RR</w:t>
            </w:r>
          </w:p>
        </w:tc>
        <w:tc>
          <w:tcPr>
            <w:tcW w:w="1160" w:type="dxa"/>
            <w:tcBorders>
              <w:top w:val="nil"/>
              <w:left w:val="nil"/>
              <w:bottom w:val="single" w:sz="4" w:space="0" w:color="auto"/>
              <w:right w:val="single" w:sz="4" w:space="0" w:color="auto"/>
            </w:tcBorders>
            <w:shd w:val="clear" w:color="000000" w:fill="EDEDED"/>
            <w:noWrap/>
            <w:vAlign w:val="bottom"/>
            <w:hideMark/>
          </w:tcPr>
          <w:p w14:paraId="75F83FB1" w14:textId="77777777" w:rsidR="0098116E" w:rsidRPr="0098116E" w:rsidRDefault="0098116E" w:rsidP="0098116E">
            <w:pPr>
              <w:spacing w:after="0" w:line="240" w:lineRule="auto"/>
              <w:jc w:val="right"/>
              <w:rPr>
                <w:rFonts w:ascii="Calibri" w:eastAsia="Times New Roman" w:hAnsi="Calibri" w:cs="Calibri"/>
                <w:color w:val="000000"/>
                <w:lang w:eastAsia="en-GB"/>
              </w:rPr>
            </w:pPr>
            <w:r w:rsidRPr="0098116E">
              <w:rPr>
                <w:rFonts w:ascii="Calibri" w:eastAsia="Times New Roman" w:hAnsi="Calibri" w:cs="Calibri"/>
                <w:color w:val="000000"/>
                <w:lang w:eastAsia="en-GB"/>
              </w:rPr>
              <w:t>93.86</w:t>
            </w:r>
          </w:p>
        </w:tc>
        <w:tc>
          <w:tcPr>
            <w:tcW w:w="1060" w:type="dxa"/>
            <w:tcBorders>
              <w:top w:val="nil"/>
              <w:left w:val="nil"/>
              <w:bottom w:val="single" w:sz="4" w:space="0" w:color="auto"/>
              <w:right w:val="single" w:sz="4" w:space="0" w:color="auto"/>
            </w:tcBorders>
            <w:shd w:val="clear" w:color="000000" w:fill="EDEDED"/>
            <w:noWrap/>
            <w:vAlign w:val="bottom"/>
            <w:hideMark/>
          </w:tcPr>
          <w:p w14:paraId="4FB0678E" w14:textId="77777777" w:rsidR="0098116E" w:rsidRPr="0098116E" w:rsidRDefault="0098116E" w:rsidP="0098116E">
            <w:pPr>
              <w:spacing w:after="0" w:line="240" w:lineRule="auto"/>
              <w:jc w:val="right"/>
              <w:rPr>
                <w:rFonts w:ascii="Calibri" w:eastAsia="Times New Roman" w:hAnsi="Calibri" w:cs="Calibri"/>
                <w:color w:val="000000"/>
                <w:lang w:eastAsia="en-GB"/>
              </w:rPr>
            </w:pPr>
            <w:r w:rsidRPr="0098116E">
              <w:rPr>
                <w:rFonts w:ascii="Calibri" w:eastAsia="Times New Roman" w:hAnsi="Calibri" w:cs="Calibri"/>
                <w:color w:val="000000"/>
                <w:lang w:eastAsia="en-GB"/>
              </w:rPr>
              <w:t>97.676</w:t>
            </w:r>
          </w:p>
        </w:tc>
        <w:tc>
          <w:tcPr>
            <w:tcW w:w="1100" w:type="dxa"/>
            <w:tcBorders>
              <w:top w:val="nil"/>
              <w:left w:val="nil"/>
              <w:bottom w:val="single" w:sz="4" w:space="0" w:color="auto"/>
              <w:right w:val="single" w:sz="4" w:space="0" w:color="auto"/>
            </w:tcBorders>
            <w:shd w:val="clear" w:color="000000" w:fill="EDEDED"/>
            <w:noWrap/>
            <w:vAlign w:val="bottom"/>
            <w:hideMark/>
          </w:tcPr>
          <w:p w14:paraId="3D818EF9" w14:textId="77777777" w:rsidR="0098116E" w:rsidRPr="0098116E" w:rsidRDefault="0098116E" w:rsidP="0098116E">
            <w:pPr>
              <w:spacing w:after="0" w:line="240" w:lineRule="auto"/>
              <w:jc w:val="right"/>
              <w:rPr>
                <w:rFonts w:ascii="Calibri" w:eastAsia="Times New Roman" w:hAnsi="Calibri" w:cs="Calibri"/>
                <w:color w:val="000000"/>
                <w:lang w:eastAsia="en-GB"/>
              </w:rPr>
            </w:pPr>
            <w:r w:rsidRPr="0098116E">
              <w:rPr>
                <w:rFonts w:ascii="Calibri" w:eastAsia="Times New Roman" w:hAnsi="Calibri" w:cs="Calibri"/>
                <w:color w:val="000000"/>
                <w:lang w:eastAsia="en-GB"/>
              </w:rPr>
              <w:t>87.45</w:t>
            </w:r>
          </w:p>
        </w:tc>
      </w:tr>
    </w:tbl>
    <w:p w14:paraId="6260A08E" w14:textId="77777777" w:rsidR="0098116E" w:rsidRPr="0098116E" w:rsidRDefault="0098116E" w:rsidP="0098116E"/>
    <w:p w14:paraId="44A08711" w14:textId="416941C9" w:rsidR="00F77E45" w:rsidRDefault="00F1161F" w:rsidP="00F1161F">
      <w:pPr>
        <w:spacing w:line="360" w:lineRule="auto"/>
        <w:jc w:val="both"/>
      </w:pPr>
      <w:r>
        <w:t xml:space="preserve">The aim is for a high RR without affecting furnace productivity and hot metal quality. </w:t>
      </w:r>
      <w:r w:rsidR="00135611">
        <w:t xml:space="preserve">The RR aim of PCI coals should be 85% </w:t>
      </w:r>
      <w:r w:rsidR="00135611">
        <w:fldChar w:fldCharType="begin"/>
      </w:r>
      <w:r w:rsidR="00192334">
        <w:instrText xml:space="preserve"> ADDIN ZOTERO_ITEM CSL_CITATION {"citationID":"AZHjHYd5","properties":{"formattedCitation":"(Geerdes,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135611">
        <w:fldChar w:fldCharType="separate"/>
      </w:r>
      <w:r w:rsidR="00192334" w:rsidRPr="00192334">
        <w:rPr>
          <w:rFonts w:ascii="Calibri" w:hAnsi="Calibri" w:cs="Calibri"/>
        </w:rPr>
        <w:t>(Geerdes, Toxopeus and Vliet, 2009)</w:t>
      </w:r>
      <w:r w:rsidR="00135611">
        <w:fldChar w:fldCharType="end"/>
      </w:r>
      <w:r w:rsidR="00135611">
        <w:t xml:space="preserve">. </w:t>
      </w:r>
      <w:r>
        <w:t>The RR is correlated with the calorific value and volatile matter of the fuel</w:t>
      </w:r>
      <w:r w:rsidR="00E36283">
        <w:t xml:space="preserve">. </w:t>
      </w:r>
      <w:r>
        <w:t>RR increases with CV value</w:t>
      </w:r>
      <w:r w:rsidR="00840A13">
        <w:t xml:space="preserve">. </w:t>
      </w:r>
      <w:r w:rsidR="00C427B2">
        <w:t>The CV values of T-coal and the biochar can be seen in table 5.</w:t>
      </w:r>
      <w:r w:rsidR="00135611">
        <w:t xml:space="preserve"> </w:t>
      </w:r>
      <w:r w:rsidR="00F77E45">
        <w:t xml:space="preserve">Typical </w:t>
      </w:r>
      <w:r w:rsidR="00EC52C0">
        <w:t>RR</w:t>
      </w:r>
      <w:r w:rsidR="008C7F1A">
        <w:t xml:space="preserve"> </w:t>
      </w:r>
      <w:r w:rsidR="00F77E45">
        <w:t xml:space="preserve">values for PCI coals range from 70% for high VM coals to 99% for </w:t>
      </w:r>
      <w:r w:rsidR="00F4787A">
        <w:t xml:space="preserve">low VM coal such as </w:t>
      </w:r>
      <w:r w:rsidR="00F77E45">
        <w:t xml:space="preserve">anthracite </w:t>
      </w:r>
      <w:r w:rsidR="00F77E45">
        <w:fldChar w:fldCharType="begin"/>
      </w:r>
      <w:r w:rsidR="00192334">
        <w:instrText xml:space="preserve"> ADDIN ZOTERO_ITEM CSL_CITATION {"citationID":"HlWjWT9d","properties":{"formattedCitation":"(Carpenter, 2010)","plainCitation":"(Carpenter, 2010)","noteIndex":0},"citationItems":[{"id":2063,"uris":["http://zotero.org/users/local/AB2owHL2/items/V2MGA2YK"],"itemData":{"id":2063,"type":"report","abstract":"The majority of waste plastics currently produced are either landfilled or incinerated. Plastics do not readily degrade and toxic elements can be leached from the landfill. Combustion of waste plastics can generate environmentally hazardous air pollutants such as dioxins/furans, as well as undesirable carbon dioxide. Consequently, cost effective ways of recycling the increasing amounts of generated waste plastics are required, preferably by turning them into marketable commodities. One way of achieving this is by injecting them with coal into blast furnaces (BFs). A factor restricting the utilisation of waste plastics is the cost of their collection and treatment. The majority of waste plastics that are injected originate from packaging and container wastes. The wastes are highly heterogeneous, consisting of different types of plastics, as well as contaminants. Chlorine content is of concern due to its corrosive effects and consequently needs to be removed from the waste plastics. Blending can optimise the relative strengths of the constituent coals, diluting unfavourable properties, and reduce raw material costs since cheaper coals can be incorporated. The quality of the coal blend and waste plastic feed should be consistent to ensure stable BF operation. How the composition and properties of the injectants (and the iron ore and coke) influence the operation, stability and productivity of a BF, the quality of the hot metal product, and the offgas composition are discussed. The combustibility of the injectants is particularly important because of the affect on furnace permeability. Utilising injectants with a high burnout and optimising operating conditions, such as blast temperature and oxygen enrichment, can improve combustion efficiency. Interactions between coal and wastes plastics can be exploited to improve their combustion efficiency. It is concluded that coal and waste plastics injection can help BF operators maximise productivity, whilst reducing costs and minimising environmental impacts.","language":"en","number":"CCC/166","page":"58","publisher":"IEA Clean Coal Centre","source":"Zotero","title":"Injection of coal and waste plastics in blast furnaces","author":[{"family":"Carpenter","given":"Anne M"}],"issued":{"date-parts":[["2010"]]}}}],"schema":"https://github.com/citation-style-language/schema/raw/master/csl-citation.json"} </w:instrText>
      </w:r>
      <w:r w:rsidR="00F77E45">
        <w:fldChar w:fldCharType="separate"/>
      </w:r>
      <w:r w:rsidR="00192334" w:rsidRPr="00192334">
        <w:rPr>
          <w:rFonts w:ascii="Calibri" w:hAnsi="Calibri" w:cs="Calibri"/>
        </w:rPr>
        <w:t>(Carpenter, 2010)</w:t>
      </w:r>
      <w:r w:rsidR="00F77E45">
        <w:fldChar w:fldCharType="end"/>
      </w:r>
      <w:r w:rsidR="00F77E45">
        <w:t>.</w:t>
      </w:r>
      <w:r w:rsidR="003120B5">
        <w:t xml:space="preserve"> </w:t>
      </w:r>
      <w:r w:rsidR="00F631BC">
        <w:t>The carbon content is also correlated with the CV value</w:t>
      </w:r>
      <w:r w:rsidR="008C7F1A">
        <w:t>, high values for both are desirable</w:t>
      </w:r>
      <w:r w:rsidR="00F631BC">
        <w:t>.</w:t>
      </w:r>
    </w:p>
    <w:p w14:paraId="01E4AACD" w14:textId="63DC981E" w:rsidR="00BB5963" w:rsidRDefault="00BB5963" w:rsidP="00CB63E2">
      <w:pPr>
        <w:pStyle w:val="Caption"/>
        <w:jc w:val="center"/>
      </w:pPr>
      <w:r>
        <w:lastRenderedPageBreak/>
        <w:t xml:space="preserve">Table </w:t>
      </w:r>
      <w:fldSimple w:instr=" SEQ Table \* ARABIC ">
        <w:r w:rsidR="00DA2639">
          <w:rPr>
            <w:noProof/>
          </w:rPr>
          <w:t>5</w:t>
        </w:r>
      </w:fldSimple>
      <w:r>
        <w:t xml:space="preserve"> The Calorific values of potential PCI fuels</w:t>
      </w:r>
    </w:p>
    <w:tbl>
      <w:tblPr>
        <w:tblW w:w="4536" w:type="dxa"/>
        <w:tblInd w:w="1980" w:type="dxa"/>
        <w:tblLook w:val="04A0" w:firstRow="1" w:lastRow="0" w:firstColumn="1" w:lastColumn="0" w:noHBand="0" w:noVBand="1"/>
      </w:tblPr>
      <w:tblGrid>
        <w:gridCol w:w="1343"/>
        <w:gridCol w:w="960"/>
        <w:gridCol w:w="1060"/>
        <w:gridCol w:w="1173"/>
      </w:tblGrid>
      <w:tr w:rsidR="00F77E45" w:rsidRPr="00F77E45" w14:paraId="1777E7B7" w14:textId="77777777" w:rsidTr="00F77E45">
        <w:trPr>
          <w:trHeight w:val="300"/>
        </w:trPr>
        <w:tc>
          <w:tcPr>
            <w:tcW w:w="1343"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57CA1960"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MJ/Kg</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7F3C5010"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T - Coal</w:t>
            </w:r>
          </w:p>
        </w:tc>
        <w:tc>
          <w:tcPr>
            <w:tcW w:w="1060" w:type="dxa"/>
            <w:tcBorders>
              <w:top w:val="single" w:sz="4" w:space="0" w:color="auto"/>
              <w:left w:val="nil"/>
              <w:bottom w:val="single" w:sz="4" w:space="0" w:color="auto"/>
              <w:right w:val="single" w:sz="4" w:space="0" w:color="auto"/>
            </w:tcBorders>
            <w:shd w:val="clear" w:color="000000" w:fill="EDEDED"/>
            <w:noWrap/>
            <w:vAlign w:val="center"/>
            <w:hideMark/>
          </w:tcPr>
          <w:p w14:paraId="47D86DFF"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Biochar 1</w:t>
            </w:r>
          </w:p>
        </w:tc>
        <w:tc>
          <w:tcPr>
            <w:tcW w:w="1173" w:type="dxa"/>
            <w:tcBorders>
              <w:top w:val="single" w:sz="4" w:space="0" w:color="auto"/>
              <w:left w:val="nil"/>
              <w:bottom w:val="single" w:sz="4" w:space="0" w:color="auto"/>
              <w:right w:val="single" w:sz="4" w:space="0" w:color="auto"/>
            </w:tcBorders>
            <w:shd w:val="clear" w:color="000000" w:fill="EDEDED"/>
            <w:noWrap/>
            <w:vAlign w:val="center"/>
            <w:hideMark/>
          </w:tcPr>
          <w:p w14:paraId="5500B6F6"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Biochar 2</w:t>
            </w:r>
          </w:p>
        </w:tc>
      </w:tr>
      <w:tr w:rsidR="00F77E45" w:rsidRPr="00F77E45" w14:paraId="518FD0F6" w14:textId="77777777" w:rsidTr="00F77E45">
        <w:trPr>
          <w:trHeight w:val="360"/>
        </w:trPr>
        <w:tc>
          <w:tcPr>
            <w:tcW w:w="1343" w:type="dxa"/>
            <w:tcBorders>
              <w:top w:val="nil"/>
              <w:left w:val="single" w:sz="4" w:space="0" w:color="auto"/>
              <w:bottom w:val="single" w:sz="4" w:space="0" w:color="auto"/>
              <w:right w:val="single" w:sz="4" w:space="0" w:color="auto"/>
            </w:tcBorders>
            <w:shd w:val="clear" w:color="000000" w:fill="EDEDED"/>
            <w:noWrap/>
            <w:vAlign w:val="center"/>
            <w:hideMark/>
          </w:tcPr>
          <w:p w14:paraId="6E0123FB"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CV (Gross)</w:t>
            </w:r>
          </w:p>
        </w:tc>
        <w:tc>
          <w:tcPr>
            <w:tcW w:w="960" w:type="dxa"/>
            <w:tcBorders>
              <w:top w:val="nil"/>
              <w:left w:val="nil"/>
              <w:bottom w:val="single" w:sz="4" w:space="0" w:color="auto"/>
              <w:right w:val="single" w:sz="4" w:space="0" w:color="auto"/>
            </w:tcBorders>
            <w:shd w:val="clear" w:color="000000" w:fill="EDEDED"/>
            <w:noWrap/>
            <w:vAlign w:val="bottom"/>
            <w:hideMark/>
          </w:tcPr>
          <w:p w14:paraId="3CCE3F7B"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31.06</w:t>
            </w:r>
          </w:p>
        </w:tc>
        <w:tc>
          <w:tcPr>
            <w:tcW w:w="1060" w:type="dxa"/>
            <w:tcBorders>
              <w:top w:val="nil"/>
              <w:left w:val="nil"/>
              <w:bottom w:val="single" w:sz="4" w:space="0" w:color="auto"/>
              <w:right w:val="single" w:sz="4" w:space="0" w:color="auto"/>
            </w:tcBorders>
            <w:shd w:val="clear" w:color="000000" w:fill="EDEDED"/>
            <w:noWrap/>
            <w:vAlign w:val="bottom"/>
            <w:hideMark/>
          </w:tcPr>
          <w:p w14:paraId="4F662FB8"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33.26</w:t>
            </w:r>
          </w:p>
        </w:tc>
        <w:tc>
          <w:tcPr>
            <w:tcW w:w="1173" w:type="dxa"/>
            <w:tcBorders>
              <w:top w:val="nil"/>
              <w:left w:val="nil"/>
              <w:bottom w:val="single" w:sz="4" w:space="0" w:color="auto"/>
              <w:right w:val="single" w:sz="4" w:space="0" w:color="auto"/>
            </w:tcBorders>
            <w:shd w:val="clear" w:color="000000" w:fill="EDEDED"/>
            <w:noWrap/>
            <w:vAlign w:val="bottom"/>
            <w:hideMark/>
          </w:tcPr>
          <w:p w14:paraId="1E417E1D"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28.07</w:t>
            </w:r>
          </w:p>
        </w:tc>
      </w:tr>
      <w:tr w:rsidR="00F77E45" w:rsidRPr="00F77E45" w14:paraId="092DED18" w14:textId="77777777" w:rsidTr="00F77E45">
        <w:trPr>
          <w:trHeight w:val="300"/>
        </w:trPr>
        <w:tc>
          <w:tcPr>
            <w:tcW w:w="1343" w:type="dxa"/>
            <w:tcBorders>
              <w:top w:val="nil"/>
              <w:left w:val="single" w:sz="4" w:space="0" w:color="auto"/>
              <w:bottom w:val="single" w:sz="4" w:space="0" w:color="auto"/>
              <w:right w:val="single" w:sz="4" w:space="0" w:color="auto"/>
            </w:tcBorders>
            <w:shd w:val="clear" w:color="000000" w:fill="EDEDED"/>
            <w:noWrap/>
            <w:vAlign w:val="center"/>
            <w:hideMark/>
          </w:tcPr>
          <w:p w14:paraId="15505093" w14:textId="42972BEA"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 xml:space="preserve">CV </w:t>
            </w:r>
            <w:r>
              <w:rPr>
                <w:rFonts w:ascii="Calibri" w:eastAsia="Times New Roman" w:hAnsi="Calibri" w:cs="Calibri"/>
                <w:color w:val="000000"/>
                <w:lang w:eastAsia="en-GB"/>
              </w:rPr>
              <w:t>(</w:t>
            </w:r>
            <w:r w:rsidRPr="00F77E45">
              <w:rPr>
                <w:rFonts w:ascii="Calibri" w:eastAsia="Times New Roman" w:hAnsi="Calibri" w:cs="Calibri"/>
                <w:color w:val="000000"/>
                <w:lang w:eastAsia="en-GB"/>
              </w:rPr>
              <w:t>Net)</w:t>
            </w:r>
          </w:p>
        </w:tc>
        <w:tc>
          <w:tcPr>
            <w:tcW w:w="960" w:type="dxa"/>
            <w:tcBorders>
              <w:top w:val="nil"/>
              <w:left w:val="nil"/>
              <w:bottom w:val="single" w:sz="4" w:space="0" w:color="auto"/>
              <w:right w:val="single" w:sz="4" w:space="0" w:color="auto"/>
            </w:tcBorders>
            <w:shd w:val="clear" w:color="000000" w:fill="EDEDED"/>
            <w:noWrap/>
            <w:vAlign w:val="bottom"/>
            <w:hideMark/>
          </w:tcPr>
          <w:p w14:paraId="452FDDC3"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30.89</w:t>
            </w:r>
          </w:p>
        </w:tc>
        <w:tc>
          <w:tcPr>
            <w:tcW w:w="1060" w:type="dxa"/>
            <w:tcBorders>
              <w:top w:val="nil"/>
              <w:left w:val="nil"/>
              <w:bottom w:val="single" w:sz="4" w:space="0" w:color="auto"/>
              <w:right w:val="single" w:sz="4" w:space="0" w:color="auto"/>
            </w:tcBorders>
            <w:shd w:val="clear" w:color="000000" w:fill="EDEDED"/>
            <w:noWrap/>
            <w:vAlign w:val="bottom"/>
            <w:hideMark/>
          </w:tcPr>
          <w:p w14:paraId="585B4AD2"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32.80</w:t>
            </w:r>
          </w:p>
        </w:tc>
        <w:tc>
          <w:tcPr>
            <w:tcW w:w="1173" w:type="dxa"/>
            <w:tcBorders>
              <w:top w:val="nil"/>
              <w:left w:val="nil"/>
              <w:bottom w:val="single" w:sz="4" w:space="0" w:color="auto"/>
              <w:right w:val="single" w:sz="4" w:space="0" w:color="auto"/>
            </w:tcBorders>
            <w:shd w:val="clear" w:color="000000" w:fill="EDEDED"/>
            <w:noWrap/>
            <w:vAlign w:val="bottom"/>
            <w:hideMark/>
          </w:tcPr>
          <w:p w14:paraId="415230FB" w14:textId="77777777" w:rsidR="00F77E45" w:rsidRPr="00F77E45" w:rsidRDefault="00F77E45" w:rsidP="00E42F17">
            <w:pPr>
              <w:spacing w:after="0" w:line="240" w:lineRule="auto"/>
              <w:jc w:val="center"/>
              <w:rPr>
                <w:rFonts w:ascii="Calibri" w:eastAsia="Times New Roman" w:hAnsi="Calibri" w:cs="Calibri"/>
                <w:color w:val="000000"/>
                <w:lang w:eastAsia="en-GB"/>
              </w:rPr>
            </w:pPr>
            <w:r w:rsidRPr="00F77E45">
              <w:rPr>
                <w:rFonts w:ascii="Calibri" w:eastAsia="Times New Roman" w:hAnsi="Calibri" w:cs="Calibri"/>
                <w:color w:val="000000"/>
                <w:lang w:eastAsia="en-GB"/>
              </w:rPr>
              <w:t>27.54</w:t>
            </w:r>
          </w:p>
        </w:tc>
      </w:tr>
    </w:tbl>
    <w:p w14:paraId="030D68EC" w14:textId="77777777" w:rsidR="00BB5963" w:rsidRDefault="00BB5963" w:rsidP="00E42F17">
      <w:pPr>
        <w:spacing w:line="360" w:lineRule="auto"/>
        <w:jc w:val="center"/>
      </w:pPr>
    </w:p>
    <w:p w14:paraId="1E9E2652" w14:textId="59F70681" w:rsidR="00F77E45" w:rsidRDefault="00540B64" w:rsidP="00F1161F">
      <w:pPr>
        <w:spacing w:line="360" w:lineRule="auto"/>
        <w:jc w:val="both"/>
      </w:pPr>
      <w:r>
        <w:t xml:space="preserve">T-coal is </w:t>
      </w:r>
      <w:r w:rsidR="00912797">
        <w:t xml:space="preserve">used in PCI at Port Talbot </w:t>
      </w:r>
      <w:r w:rsidR="00530917">
        <w:t>BFs</w:t>
      </w:r>
      <w:r w:rsidR="00F6204B">
        <w:t xml:space="preserve"> on its own and in a blend, its RR </w:t>
      </w:r>
      <w:r w:rsidR="00530917">
        <w:t>i</w:t>
      </w:r>
      <w:r w:rsidR="00D9074D">
        <w:t xml:space="preserve">s </w:t>
      </w:r>
      <w:r w:rsidR="0098116E">
        <w:t xml:space="preserve">93.86 </w:t>
      </w:r>
      <w:r w:rsidR="00E719A3">
        <w:t xml:space="preserve">T-coal has a </w:t>
      </w:r>
      <w:r w:rsidR="00DF5FF2">
        <w:t>reasonably high carbon content and CV</w:t>
      </w:r>
      <w:r w:rsidR="00AE6583">
        <w:t xml:space="preserve">. </w:t>
      </w:r>
    </w:p>
    <w:p w14:paraId="74C15A14" w14:textId="49AD436B" w:rsidR="0098116E" w:rsidRDefault="0098116E" w:rsidP="00F1161F">
      <w:pPr>
        <w:spacing w:line="360" w:lineRule="auto"/>
        <w:jc w:val="both"/>
      </w:pPr>
      <w:r>
        <w:t xml:space="preserve">Biochar 2 has lower carbon, </w:t>
      </w:r>
      <w:r w:rsidR="0069618B">
        <w:t>hydrogen,</w:t>
      </w:r>
      <w:r>
        <w:t xml:space="preserve"> and ash that the T-coal and so the RR is lower, however it is still above the aim. </w:t>
      </w:r>
    </w:p>
    <w:p w14:paraId="771F6C7C" w14:textId="1ECAE789" w:rsidR="00F1161F" w:rsidRDefault="00C63A42" w:rsidP="00F1161F">
      <w:pPr>
        <w:spacing w:line="360" w:lineRule="auto"/>
        <w:jc w:val="both"/>
      </w:pPr>
      <w:r>
        <w:t>Biochar 1 h</w:t>
      </w:r>
      <w:r w:rsidR="00DC1469">
        <w:t xml:space="preserve">as a high RR, carbon content and CV. </w:t>
      </w:r>
      <w:r w:rsidR="00C95884">
        <w:t xml:space="preserve">It </w:t>
      </w:r>
      <w:r w:rsidR="00E40AB7">
        <w:t>could replace more coke and i</w:t>
      </w:r>
      <w:r w:rsidR="00BA4C53">
        <w:t>t would provide more energy into the furnace</w:t>
      </w:r>
      <w:r w:rsidR="00B24AA5">
        <w:t xml:space="preserve"> if used</w:t>
      </w:r>
      <w:r w:rsidR="00E40AB7">
        <w:t>.</w:t>
      </w:r>
      <w:r w:rsidR="00602B9E">
        <w:t xml:space="preserve"> </w:t>
      </w:r>
      <w:r w:rsidR="005813CA">
        <w:t>Biochar</w:t>
      </w:r>
      <w:r w:rsidR="00602B9E">
        <w:t xml:space="preserve"> with </w:t>
      </w:r>
      <w:r w:rsidR="0098116E">
        <w:t>similar</w:t>
      </w:r>
      <w:r w:rsidR="00602B9E">
        <w:t xml:space="preserve"> properties </w:t>
      </w:r>
      <w:r w:rsidR="007E4C8B">
        <w:t>could outperform PCI coals using these measures.</w:t>
      </w:r>
    </w:p>
    <w:p w14:paraId="276E7999" w14:textId="70801A39" w:rsidR="001A26E1" w:rsidRDefault="000E4E31" w:rsidP="00BD229F">
      <w:pPr>
        <w:pStyle w:val="Heading4"/>
        <w:spacing w:line="360" w:lineRule="auto"/>
        <w:jc w:val="both"/>
      </w:pPr>
      <w:r>
        <w:t>Volatile Matter</w:t>
      </w:r>
    </w:p>
    <w:p w14:paraId="72ACC3BC" w14:textId="7899358D" w:rsidR="000E4E31" w:rsidRDefault="00A95B5A" w:rsidP="00BD229F">
      <w:pPr>
        <w:spacing w:line="360" w:lineRule="auto"/>
        <w:jc w:val="both"/>
      </w:pPr>
      <w:r>
        <w:t>During coal pyrolysis combustible gases are released, such</w:t>
      </w:r>
      <w:r w:rsidR="001950A4">
        <w:t xml:space="preserve"> as H</w:t>
      </w:r>
      <w:r w:rsidR="001950A4" w:rsidRPr="001950A4">
        <w:rPr>
          <w:vertAlign w:val="subscript"/>
        </w:rPr>
        <w:t>2</w:t>
      </w:r>
      <w:r w:rsidR="001950A4">
        <w:t>, CH</w:t>
      </w:r>
      <w:r w:rsidR="001950A4" w:rsidRPr="001950A4">
        <w:rPr>
          <w:vertAlign w:val="subscript"/>
        </w:rPr>
        <w:t>4</w:t>
      </w:r>
      <w:r w:rsidR="001950A4">
        <w:t xml:space="preserve"> and CO</w:t>
      </w:r>
      <w:r w:rsidR="00F13469">
        <w:t>, incombustible gas</w:t>
      </w:r>
      <w:r w:rsidR="00DD19BC">
        <w:t>es (</w:t>
      </w:r>
      <w:r w:rsidR="0077135F">
        <w:t>steam and CO</w:t>
      </w:r>
      <w:r w:rsidR="0077135F" w:rsidRPr="0077135F">
        <w:rPr>
          <w:vertAlign w:val="subscript"/>
        </w:rPr>
        <w:t>2</w:t>
      </w:r>
      <w:r w:rsidR="0077135F">
        <w:t>)</w:t>
      </w:r>
      <w:r w:rsidR="00DD19BC">
        <w:t xml:space="preserve"> and tar</w:t>
      </w:r>
      <w:r w:rsidR="00404F8C">
        <w:t xml:space="preserve">. </w:t>
      </w:r>
      <w:r w:rsidR="005E623A">
        <w:t xml:space="preserve">The high volume of gas </w:t>
      </w:r>
      <w:r w:rsidR="0046052A">
        <w:t>generated when coal is injected into the raceway</w:t>
      </w:r>
      <w:r w:rsidR="008B550F">
        <w:t>, this can increase the depth of the raceway and increase blast momentum</w:t>
      </w:r>
      <w:r w:rsidR="00C80683">
        <w:t>.</w:t>
      </w:r>
      <w:r w:rsidR="002C02EC">
        <w:t xml:space="preserve"> The volatile content of the coal </w:t>
      </w:r>
      <w:r w:rsidR="00586DBA">
        <w:t>can affect the formation of char and coke fines in the raceway</w:t>
      </w:r>
      <w:r w:rsidR="00E95820">
        <w:t xml:space="preserve">. </w:t>
      </w:r>
      <w:r w:rsidR="00F92934">
        <w:t>Low volatile coal</w:t>
      </w:r>
      <w:r w:rsidR="00840A13">
        <w:t>s</w:t>
      </w:r>
      <w:r w:rsidR="00BD59D9">
        <w:t xml:space="preserve"> </w:t>
      </w:r>
      <w:r w:rsidR="009F4D71">
        <w:t>have higher RR values and therefore lower coke rates</w:t>
      </w:r>
      <w:r w:rsidR="00290ECF">
        <w:t xml:space="preserve"> and</w:t>
      </w:r>
      <w:r w:rsidR="009F4D71">
        <w:t xml:space="preserve"> </w:t>
      </w:r>
      <w:r w:rsidR="00290ECF">
        <w:t>t</w:t>
      </w:r>
      <w:r w:rsidR="009F4D71">
        <w:t xml:space="preserve">hey have less of a cooling </w:t>
      </w:r>
      <w:r w:rsidR="00246D38">
        <w:t xml:space="preserve">effect </w:t>
      </w:r>
      <w:r w:rsidR="00290ECF">
        <w:t xml:space="preserve">on the furnace. </w:t>
      </w:r>
      <w:r w:rsidR="00D77788">
        <w:t xml:space="preserve">They produce less </w:t>
      </w:r>
      <w:r w:rsidR="00FD15E8">
        <w:t>off gas</w:t>
      </w:r>
      <w:r w:rsidR="00D77788">
        <w:t xml:space="preserve"> with a lower CV</w:t>
      </w:r>
      <w:r w:rsidR="00EA12AD">
        <w:t>, less H</w:t>
      </w:r>
      <w:r w:rsidR="00EA12AD" w:rsidRPr="00EA12AD">
        <w:rPr>
          <w:vertAlign w:val="subscript"/>
        </w:rPr>
        <w:t>2</w:t>
      </w:r>
      <w:r w:rsidR="00290ECF" w:rsidRPr="00EA12AD">
        <w:rPr>
          <w:vertAlign w:val="subscript"/>
        </w:rPr>
        <w:t xml:space="preserve"> </w:t>
      </w:r>
      <w:r w:rsidR="00EA12AD">
        <w:t>(for Iron</w:t>
      </w:r>
      <w:r w:rsidR="0020646B">
        <w:t xml:space="preserve"> ore reduction)</w:t>
      </w:r>
      <w:r w:rsidR="00380BA1">
        <w:t>. They have a higher</w:t>
      </w:r>
      <w:r w:rsidR="00CC2196">
        <w:t xml:space="preserve"> RAFT and lower combustion efficiency than high vol</w:t>
      </w:r>
      <w:r w:rsidR="008602DE">
        <w:t>atile coals.</w:t>
      </w:r>
      <w:r w:rsidR="00A04DD9">
        <w:t xml:space="preserve"> </w:t>
      </w:r>
      <w:r w:rsidR="00415C6C">
        <w:t>High volatile coals produce more reactive chars</w:t>
      </w:r>
      <w:r w:rsidR="00B25883">
        <w:t xml:space="preserve">, they also have a higher combustion </w:t>
      </w:r>
      <w:r w:rsidR="00EA5FA1">
        <w:t>performance and a lower ignition temperature</w:t>
      </w:r>
      <w:r w:rsidR="00733397">
        <w:t xml:space="preserve">. They also contribute </w:t>
      </w:r>
      <w:r w:rsidR="00B01BBF">
        <w:t xml:space="preserve">more </w:t>
      </w:r>
      <w:r w:rsidR="00A35C62">
        <w:t>hydrogen</w:t>
      </w:r>
      <w:r w:rsidR="00B01BBF">
        <w:t>.</w:t>
      </w:r>
      <w:r w:rsidR="00094FA9">
        <w:t xml:space="preserve"> The higher gas volume can lead to back pressure issues at the tuyere.</w:t>
      </w:r>
      <w:r w:rsidR="00DF3969">
        <w:t xml:space="preserve"> BF operators </w:t>
      </w:r>
      <w:r w:rsidR="007229A1">
        <w:t xml:space="preserve">often use mid volatile coals as a solution or a blend of low and high coals </w:t>
      </w:r>
      <w:r w:rsidR="008D33E5">
        <w:fldChar w:fldCharType="begin"/>
      </w:r>
      <w:r w:rsidR="00192334">
        <w:instrText xml:space="preserve"> ADDIN ZOTERO_ITEM CSL_CITATION {"citationID":"k3WuMFKG","properties":{"formattedCitation":"(Carpenter, 2010)","plainCitation":"(Carpenter, 2010)","noteIndex":0},"citationItems":[{"id":2063,"uris":["http://zotero.org/users/local/AB2owHL2/items/V2MGA2YK"],"itemData":{"id":2063,"type":"report","abstract":"The majority of waste plastics currently produced are either landfilled or incinerated. Plastics do not readily degrade and toxic elements can be leached from the landfill. Combustion of waste plastics can generate environmentally hazardous air pollutants such as dioxins/furans, as well as undesirable carbon dioxide. Consequently, cost effective ways of recycling the increasing amounts of generated waste plastics are required, preferably by turning them into marketable commodities. One way of achieving this is by injecting them with coal into blast furnaces (BFs). A factor restricting the utilisation of waste plastics is the cost of their collection and treatment. The majority of waste plastics that are injected originate from packaging and container wastes. The wastes are highly heterogeneous, consisting of different types of plastics, as well as contaminants. Chlorine content is of concern due to its corrosive effects and consequently needs to be removed from the waste plastics. Blending can optimise the relative strengths of the constituent coals, diluting unfavourable properties, and reduce raw material costs since cheaper coals can be incorporated. The quality of the coal blend and waste plastic feed should be consistent to ensure stable BF operation. How the composition and properties of the injectants (and the iron ore and coke) influence the operation, stability and productivity of a BF, the quality of the hot metal product, and the offgas composition are discussed. The combustibility of the injectants is particularly important because of the affect on furnace permeability. Utilising injectants with a high burnout and optimising operating conditions, such as blast temperature and oxygen enrichment, can improve combustion efficiency. Interactions between coal and wastes plastics can be exploited to improve their combustion efficiency. It is concluded that coal and waste plastics injection can help BF operators maximise productivity, whilst reducing costs and minimising environmental impacts.","language":"en","number":"CCC/166","page":"58","publisher":"IEA Clean Coal Centre","source":"Zotero","title":"Injection of coal and waste plastics in blast furnaces","author":[{"family":"Carpenter","given":"Anne M"}],"issued":{"date-parts":[["2010"]]}}}],"schema":"https://github.com/citation-style-language/schema/raw/master/csl-citation.json"} </w:instrText>
      </w:r>
      <w:r w:rsidR="008D33E5">
        <w:fldChar w:fldCharType="separate"/>
      </w:r>
      <w:r w:rsidR="00192334" w:rsidRPr="00192334">
        <w:rPr>
          <w:rFonts w:ascii="Calibri" w:hAnsi="Calibri" w:cs="Calibri"/>
        </w:rPr>
        <w:t>(Carpenter, 2010)</w:t>
      </w:r>
      <w:r w:rsidR="008D33E5">
        <w:fldChar w:fldCharType="end"/>
      </w:r>
      <w:r w:rsidR="00094FA9">
        <w:t>.</w:t>
      </w:r>
    </w:p>
    <w:p w14:paraId="2F2A0BFB" w14:textId="2C54C031" w:rsidR="00094FA9" w:rsidRDefault="00094FA9" w:rsidP="00BD229F">
      <w:pPr>
        <w:spacing w:line="360" w:lineRule="auto"/>
        <w:jc w:val="both"/>
      </w:pPr>
      <w:r>
        <w:t>Low volatile coals - &lt;14%, medium volatile coals – 14% – 31%, high volatile coals &gt;31%.</w:t>
      </w:r>
    </w:p>
    <w:p w14:paraId="3DF11B98" w14:textId="7499E914" w:rsidR="008D33E5" w:rsidRPr="008D33E5" w:rsidRDefault="00094FA9" w:rsidP="008D33E5">
      <w:pPr>
        <w:spacing w:line="360" w:lineRule="auto"/>
        <w:jc w:val="both"/>
      </w:pPr>
      <w:r>
        <w:t>T-coal and biochar 2 would be considered low volatile while biochar 1 is has a very low volatile, comparable with anthracite.</w:t>
      </w:r>
    </w:p>
    <w:p w14:paraId="22498A66" w14:textId="7AF17CA4" w:rsidR="008B50A3" w:rsidRDefault="00684B53" w:rsidP="00684B53">
      <w:pPr>
        <w:pStyle w:val="Heading3"/>
        <w:spacing w:line="360" w:lineRule="auto"/>
        <w:jc w:val="both"/>
      </w:pPr>
      <w:bookmarkStart w:id="75" w:name="_Toc128599624"/>
      <w:r>
        <w:t>Chemical Composition</w:t>
      </w:r>
      <w:bookmarkEnd w:id="75"/>
    </w:p>
    <w:p w14:paraId="5C0C588B" w14:textId="77777777" w:rsidR="006802DE" w:rsidRDefault="006802DE" w:rsidP="006802DE">
      <w:pPr>
        <w:pStyle w:val="Heading4"/>
        <w:spacing w:line="360" w:lineRule="auto"/>
        <w:jc w:val="both"/>
      </w:pPr>
      <w:r>
        <w:t>Ash content</w:t>
      </w:r>
    </w:p>
    <w:p w14:paraId="1D4786D5" w14:textId="27418845" w:rsidR="006802DE" w:rsidRPr="006802DE" w:rsidRDefault="00E44A94" w:rsidP="006802DE">
      <w:pPr>
        <w:spacing w:line="360" w:lineRule="auto"/>
        <w:jc w:val="both"/>
      </w:pPr>
      <w:r>
        <w:t>The coal components</w:t>
      </w:r>
      <w:r w:rsidR="006802DE">
        <w:t xml:space="preserve"> can influence BF operation and the quality of the </w:t>
      </w:r>
      <w:r>
        <w:t>iron</w:t>
      </w:r>
      <w:r w:rsidR="006802DE">
        <w:t xml:space="preserve">. An ash content of &lt; 10% is preferred. Low ash results in lower slag volumes and therefore less flux requirements. High levels of ash can block the PCI lances. There needs to be a limit of undesirable constituents as they can negatively influence BF performance </w:t>
      </w:r>
      <w:r w:rsidR="006802DE">
        <w:fldChar w:fldCharType="begin"/>
      </w:r>
      <w:r w:rsidR="00192334">
        <w:instrText xml:space="preserve"> ADDIN ZOTERO_ITEM CSL_CITATION {"citationID":"BBQYJJX7","properties":{"formattedCitation":"(Carpenter, 2010)","plainCitation":"(Carpenter, 2010)","noteIndex":0},"citationItems":[{"id":2063,"uris":["http://zotero.org/users/local/AB2owHL2/items/V2MGA2YK"],"itemData":{"id":2063,"type":"report","abstract":"The majority of waste plastics currently produced are either landfilled or incinerated. Plastics do not readily degrade and toxic elements can be leached from the landfill. Combustion of waste plastics can generate environmentally hazardous air pollutants such as dioxins/furans, as well as undesirable carbon dioxide. Consequently, cost effective ways of recycling the increasing amounts of generated waste plastics are required, preferably by turning them into marketable commodities. One way of achieving this is by injecting them with coal into blast furnaces (BFs). A factor restricting the utilisation of waste plastics is the cost of their collection and treatment. The majority of waste plastics that are injected originate from packaging and container wastes. The wastes are highly heterogeneous, consisting of different types of plastics, as well as contaminants. Chlorine content is of concern due to its corrosive effects and consequently needs to be removed from the waste plastics. Blending can optimise the relative strengths of the constituent coals, diluting unfavourable properties, and reduce raw material costs since cheaper coals can be incorporated. The quality of the coal blend and waste plastic feed should be consistent to ensure stable BF operation. How the composition and properties of the injectants (and the iron ore and coke) influence the operation, stability and productivity of a BF, the quality of the hot metal product, and the offgas composition are discussed. The combustibility of the injectants is particularly important because of the affect on furnace permeability. Utilising injectants with a high burnout and optimising operating conditions, such as blast temperature and oxygen enrichment, can improve combustion efficiency. Interactions between coal and wastes plastics can be exploited to improve their combustion efficiency. It is concluded that coal and waste plastics injection can help BF operators maximise productivity, whilst reducing costs and minimising environmental impacts.","language":"en","number":"CCC/166","page":"58","publisher":"IEA Clean Coal Centre","source":"Zotero","title":"Injection of coal and waste plastics in blast furnaces","author":[{"family":"Carpenter","given":"Anne M"}],"issued":{"date-parts":[["2010"]]}}}],"schema":"https://github.com/citation-style-language/schema/raw/master/csl-citation.json"} </w:instrText>
      </w:r>
      <w:r w:rsidR="006802DE">
        <w:fldChar w:fldCharType="separate"/>
      </w:r>
      <w:r w:rsidR="00192334" w:rsidRPr="00192334">
        <w:rPr>
          <w:rFonts w:ascii="Calibri" w:hAnsi="Calibri" w:cs="Calibri"/>
        </w:rPr>
        <w:t>(Carpenter, 2010)</w:t>
      </w:r>
      <w:r w:rsidR="006802DE">
        <w:fldChar w:fldCharType="end"/>
      </w:r>
      <w:r w:rsidR="006802DE">
        <w:t xml:space="preserve">.  </w:t>
      </w:r>
    </w:p>
    <w:p w14:paraId="358771B7" w14:textId="3463BE0E" w:rsidR="003A7A43" w:rsidRDefault="004F1C9B" w:rsidP="000B147B">
      <w:pPr>
        <w:spacing w:line="360" w:lineRule="auto"/>
        <w:jc w:val="both"/>
      </w:pPr>
      <w:r>
        <w:lastRenderedPageBreak/>
        <w:t xml:space="preserve">The most </w:t>
      </w:r>
      <w:r w:rsidR="000B147B">
        <w:t>significant</w:t>
      </w:r>
      <w:r>
        <w:t xml:space="preserve"> elements affecting BF process</w:t>
      </w:r>
      <w:r w:rsidR="00944ECA">
        <w:t xml:space="preserve"> defined by </w:t>
      </w:r>
      <w:r w:rsidR="00944ECA">
        <w:fldChar w:fldCharType="begin"/>
      </w:r>
      <w:r w:rsidR="00192334">
        <w:instrText xml:space="preserve"> ADDIN ZOTERO_ITEM CSL_CITATION {"citationID":"POqleOMa","properties":{"formattedCitation":"(Suopaj\\uc0\\u228{}rvi {\\i{}et al.}, 2018)","plainCitation":"(Suopajärvi et al., 2018)","noteIndex":0},"citationItems":[{"id":428,"uris":["http://zotero.org/users/local/AB2owHL2/items/4TLBFGFE"],"itemData":{"id":428,"type":"article-journal","abstract":"This paper provides a fundamental and critical review of biomass application as a reducing agent and fuel in integrated steelmaking. The basis for the review is derived from the current process and product quality requirements that also biomass-derived fuels should fulfill. The availability and characteristics of different sources of biomass are discussed and suitable pretreatment technologies for their upgrading are evaluated. The existing literature concerning biomass application in bio-coke making, blast furnace injection, iron ore sintering and production of carbon composite agglomerates is reviewed and research gaps filled by providing insights and recommendations to the unresolved challenges. Several possibilities to integrate the production of biomass-based reducing agents with existing industrial infrastructures to lower the cost and increase the total efficiency are given. A comparison of technical challenges and CO2 emission reduction potential between biomass-based steelmaking and other emerging technologies to produce low-CO2 steel is made.","container-title":"Applied Energy","DOI":"10.1016/j.apenergy.2018.01.060","ISSN":"0306-2619","journalAbbreviation":"Applied Energy","language":"en","page":"384-407","source":"ScienceDirect","title":"Use of biomass in integrated steelmaking – Status quo, future needs and comparison to other low-CO2 steel production technologies","URL":"https://www.sciencedirect.com/science/article/pii/S0306261918300709","volume":"213","author":[{"family":"Suopajärvi","given":"Hannu"},{"family":"Umeki","given":"Kentaro"},{"family":"Mousa","given":"Elsayed"},{"family":"Hedayati","given":"Ali"},{"family":"Romar","given":"Henrik"},{"family":"Kemppainen","given":"Antti"},{"family":"Wang","given":"Chuan"},{"family":"Phounglamcheik","given":"Aekjuthon"},{"family":"Tuomikoski","given":"Sari"},{"family":"Norberg","given":"Nicklas"},{"family":"Andefors","given":"Alf"},{"family":"Öhman","given":"Marcus"},{"family":"Lassi","given":"Ulla"},{"family":"Fabritius","given":"Timo"}],"accessed":{"date-parts":[["2021",2,8]]},"issued":{"date-parts":[["2018",3,1]]}}}],"schema":"https://github.com/citation-style-language/schema/raw/master/csl-citation.json"} </w:instrText>
      </w:r>
      <w:r w:rsidR="00944ECA">
        <w:fldChar w:fldCharType="separate"/>
      </w:r>
      <w:r w:rsidR="00192334" w:rsidRPr="00192334">
        <w:rPr>
          <w:rFonts w:ascii="Calibri" w:hAnsi="Calibri" w:cs="Calibri"/>
          <w:szCs w:val="24"/>
        </w:rPr>
        <w:t xml:space="preserve">(Suopajärvi </w:t>
      </w:r>
      <w:r w:rsidR="00192334" w:rsidRPr="00192334">
        <w:rPr>
          <w:rFonts w:ascii="Calibri" w:hAnsi="Calibri" w:cs="Calibri"/>
          <w:i/>
          <w:iCs/>
          <w:szCs w:val="24"/>
        </w:rPr>
        <w:t>et al.</w:t>
      </w:r>
      <w:r w:rsidR="00192334" w:rsidRPr="00192334">
        <w:rPr>
          <w:rFonts w:ascii="Calibri" w:hAnsi="Calibri" w:cs="Calibri"/>
          <w:szCs w:val="24"/>
        </w:rPr>
        <w:t>, 2018)</w:t>
      </w:r>
      <w:r w:rsidR="00944ECA">
        <w:fldChar w:fldCharType="end"/>
      </w:r>
      <w:r>
        <w:t xml:space="preserve"> are</w:t>
      </w:r>
      <w:r w:rsidR="003A7A43">
        <w:t>:</w:t>
      </w:r>
    </w:p>
    <w:p w14:paraId="2D557AC8" w14:textId="1F8102A0" w:rsidR="003A7A43" w:rsidRDefault="004F1C9B" w:rsidP="000B147B">
      <w:pPr>
        <w:spacing w:line="360" w:lineRule="auto"/>
        <w:jc w:val="both"/>
      </w:pPr>
      <w:r>
        <w:t>Zinc (Zn)</w:t>
      </w:r>
      <w:r w:rsidR="000B147B">
        <w:t xml:space="preserve"> – Attacks the BF lining and </w:t>
      </w:r>
      <w:r w:rsidR="003A7A43">
        <w:t>negatively impacts coke CSR/CRI</w:t>
      </w:r>
      <w:r w:rsidR="00944ECA">
        <w:t>.</w:t>
      </w:r>
    </w:p>
    <w:p w14:paraId="59DD3D24" w14:textId="334E6654" w:rsidR="003A7A43" w:rsidRDefault="003A7A43" w:rsidP="000B147B">
      <w:pPr>
        <w:spacing w:line="360" w:lineRule="auto"/>
        <w:jc w:val="both"/>
      </w:pPr>
      <w:r>
        <w:t>P</w:t>
      </w:r>
      <w:r w:rsidR="004F1C9B">
        <w:t>otassium (K)</w:t>
      </w:r>
      <w:r>
        <w:t xml:space="preserve"> &amp; </w:t>
      </w:r>
      <w:r w:rsidR="000B147B">
        <w:t>sodium (Na)</w:t>
      </w:r>
      <w:r>
        <w:t xml:space="preserve"> – Alkalis metals reduce coke and iron ore pellet strength and can promote scaffold formation</w:t>
      </w:r>
      <w:r w:rsidR="00944ECA">
        <w:t>.</w:t>
      </w:r>
    </w:p>
    <w:p w14:paraId="577470D6" w14:textId="4E978C3A" w:rsidR="003A7A43" w:rsidRDefault="003A7A43" w:rsidP="000B147B">
      <w:pPr>
        <w:spacing w:line="360" w:lineRule="auto"/>
        <w:jc w:val="both"/>
      </w:pPr>
      <w:r>
        <w:t>P</w:t>
      </w:r>
      <w:r w:rsidR="000B147B">
        <w:t>hosphorus (P)</w:t>
      </w:r>
      <w:r>
        <w:t xml:space="preserve"> – Phos content in iron hot metal should be kept to a minimum as it undesirable in steelmaking</w:t>
      </w:r>
      <w:r w:rsidR="00944ECA">
        <w:t>.</w:t>
      </w:r>
    </w:p>
    <w:p w14:paraId="5216B8DF" w14:textId="23C9B439" w:rsidR="003822D2" w:rsidRDefault="000B147B" w:rsidP="00C630E1">
      <w:pPr>
        <w:spacing w:line="360" w:lineRule="auto"/>
        <w:jc w:val="both"/>
      </w:pPr>
      <w:r>
        <w:t>Sulphur (S)</w:t>
      </w:r>
      <w:r w:rsidR="003A7A43">
        <w:t xml:space="preserve"> – Sulphur is detrimental to steel properties</w:t>
      </w:r>
      <w:r w:rsidR="00944ECA">
        <w:t>.</w:t>
      </w:r>
      <w:r w:rsidR="00E64C9D">
        <w:t xml:space="preserve"> Removal from the hot metal is an expensive process.</w:t>
      </w:r>
      <w:r w:rsidR="001C28F8">
        <w:tab/>
        <w:t xml:space="preserve">     </w:t>
      </w:r>
      <w:r w:rsidR="00944ECA">
        <w:t xml:space="preserve"> </w:t>
      </w:r>
      <w:r w:rsidR="001C28F8">
        <w:t xml:space="preserve">     </w:t>
      </w:r>
    </w:p>
    <w:p w14:paraId="12DA7A88" w14:textId="30076656" w:rsidR="003822D2" w:rsidRDefault="003822D2" w:rsidP="003822D2">
      <w:pPr>
        <w:pStyle w:val="Caption"/>
        <w:keepNext/>
        <w:jc w:val="center"/>
      </w:pPr>
      <w:r>
        <w:t xml:space="preserve">Table </w:t>
      </w:r>
      <w:fldSimple w:instr=" SEQ Table \* ARABIC ">
        <w:r w:rsidR="00DA2639">
          <w:rPr>
            <w:noProof/>
          </w:rPr>
          <w:t>6</w:t>
        </w:r>
      </w:fldSimple>
      <w:r>
        <w:t xml:space="preserve"> </w:t>
      </w:r>
      <w:r w:rsidR="00CF3318">
        <w:t>T</w:t>
      </w:r>
      <w:r w:rsidR="002D4E26">
        <w:t>he c</w:t>
      </w:r>
      <w:r w:rsidR="001C3E00">
        <w:t>hemical</w:t>
      </w:r>
      <w:r>
        <w:t xml:space="preserve"> compositions of T-coal and biochar ash</w:t>
      </w:r>
    </w:p>
    <w:p w14:paraId="65415441" w14:textId="3C7C81C1" w:rsidR="00944ECA" w:rsidRDefault="001C28F8" w:rsidP="00E42F17">
      <w:pPr>
        <w:spacing w:line="360" w:lineRule="auto"/>
        <w:jc w:val="center"/>
      </w:pPr>
      <w:r w:rsidRPr="001C28F8">
        <w:rPr>
          <w:noProof/>
        </w:rPr>
        <w:drawing>
          <wp:inline distT="0" distB="0" distL="0" distR="0" wp14:anchorId="71BF09A5" wp14:editId="30C11853">
            <wp:extent cx="2486025" cy="2536466"/>
            <wp:effectExtent l="0" t="0" r="0" b="0"/>
            <wp:docPr id="51" name="Picture 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pic:cNvPicPr/>
                  </pic:nvPicPr>
                  <pic:blipFill>
                    <a:blip r:embed="rId68"/>
                    <a:stretch>
                      <a:fillRect/>
                    </a:stretch>
                  </pic:blipFill>
                  <pic:spPr>
                    <a:xfrm>
                      <a:off x="0" y="0"/>
                      <a:ext cx="2486643" cy="2537096"/>
                    </a:xfrm>
                    <a:prstGeom prst="rect">
                      <a:avLst/>
                    </a:prstGeom>
                  </pic:spPr>
                </pic:pic>
              </a:graphicData>
            </a:graphic>
          </wp:inline>
        </w:drawing>
      </w:r>
    </w:p>
    <w:p w14:paraId="47E5F67F" w14:textId="7FF23671" w:rsidR="00971613" w:rsidRDefault="008B01FF" w:rsidP="00971613">
      <w:pPr>
        <w:spacing w:line="360" w:lineRule="auto"/>
      </w:pPr>
      <w:r>
        <w:t>At 1.89% b</w:t>
      </w:r>
      <w:r w:rsidR="0098116E">
        <w:t xml:space="preserve">iochar 1 has a low ash content which would be beneficial for PCI use. </w:t>
      </w:r>
      <w:r w:rsidR="00CC0979">
        <w:t xml:space="preserve">Biochar 2 has </w:t>
      </w:r>
      <w:r w:rsidR="002402EA">
        <w:t>an ash content well within 10% and i</w:t>
      </w:r>
      <w:r w:rsidR="005A03CC">
        <w:t>s lower than the T-</w:t>
      </w:r>
      <w:r w:rsidR="00215E35">
        <w:t>coal, both</w:t>
      </w:r>
      <w:r w:rsidR="00C54615">
        <w:t xml:space="preserve"> the biochar’s </w:t>
      </w:r>
      <w:r w:rsidR="005C3DAC">
        <w:t xml:space="preserve">are significantly lower in sulphur content (table 3) </w:t>
      </w:r>
      <w:r w:rsidR="00BE2BD1">
        <w:t>when compared with the T-coal</w:t>
      </w:r>
      <w:r w:rsidR="00215E35">
        <w:t xml:space="preserve">. </w:t>
      </w:r>
    </w:p>
    <w:p w14:paraId="4869BB93" w14:textId="57057D1D" w:rsidR="00215E35" w:rsidRDefault="00215E35" w:rsidP="00971613">
      <w:pPr>
        <w:spacing w:line="360" w:lineRule="auto"/>
      </w:pPr>
      <w:r>
        <w:t>The T-coal has a high SiO</w:t>
      </w:r>
      <w:r w:rsidRPr="00215E35">
        <w:rPr>
          <w:vertAlign w:val="subscript"/>
        </w:rPr>
        <w:t>2</w:t>
      </w:r>
      <w:r>
        <w:t xml:space="preserve"> and Al</w:t>
      </w:r>
      <w:r w:rsidRPr="00215E35">
        <w:rPr>
          <w:vertAlign w:val="subscript"/>
        </w:rPr>
        <w:t>2</w:t>
      </w:r>
      <w:r>
        <w:t>O</w:t>
      </w:r>
      <w:r w:rsidRPr="00215E35">
        <w:rPr>
          <w:vertAlign w:val="subscript"/>
        </w:rPr>
        <w:t>3</w:t>
      </w:r>
      <w:r>
        <w:t xml:space="preserve"> content, this would indicate an acidic character of the coal ash. </w:t>
      </w:r>
      <w:r w:rsidR="007C1FA6">
        <w:t xml:space="preserve">The biochar 1 &amp; 2 both have a high </w:t>
      </w:r>
      <w:proofErr w:type="spellStart"/>
      <w:r w:rsidR="007C1FA6">
        <w:t>CaO</w:t>
      </w:r>
      <w:proofErr w:type="spellEnd"/>
      <w:r w:rsidR="007C1FA6">
        <w:t xml:space="preserve"> level which would indicate a basic </w:t>
      </w:r>
      <w:r w:rsidR="00E810C9">
        <w:t>ash character. Using biochar would mean less lime would be needed to adjust the basicity in the BF</w:t>
      </w:r>
      <w:r w:rsidR="007E7A3D">
        <w:t xml:space="preserve"> which in turn would reduce the slag generation rate</w:t>
      </w:r>
      <w:r w:rsidR="009548C8">
        <w:t xml:space="preserve"> </w:t>
      </w:r>
      <w:r w:rsidR="00E7142A">
        <w:fldChar w:fldCharType="begin"/>
      </w:r>
      <w:r w:rsidR="00192334">
        <w:instrText xml:space="preserve"> ADDIN ZOTERO_ITEM CSL_CITATION {"citationID":"hukpgFRY","properties":{"formattedCitation":"(Wang, Pelle, {\\i{}et al.}, 2015)","plainCitation":"(Wang, Pelle, et al., 2015)","noteIndex":0},"citationItems":[{"id":2064,"uris":["http://zotero.org/users/local/AB2owHL2/items/QQ9CHPIN"],"itemData":{"id":2064,"type":"article-journal","abstract":"We have investigated and modeled the injection of biomass into blast furnaces (BF), in place of pulverized coal (PC) from fossil sources. This is the …","container-title":"Energy Conversion and Management","DOI":"10.1016/j.enconman.2015.04.013","ISSN":"0196-8904","language":"en","note":"publisher: Pergamon","page":"217-226","source":"www-sciencedirect-com.ezproxy.uwtsd.ac.uk","title":"Biomass as blast furnace injectant – Considering availability, pretreatment and deployment in the Swedish steel industry","URL":"http://www.sciencedirect.com/science/article/pii/S0196890415003556","volume":"102","author":[{"family":"Wang","given":"Chuan"},{"family":"Pelle","given":"Mellin"},{"family":"Jonas","given":"Lövgrenc"},{"family":"Leif","given":"Nilsson"},{"family":"Weihong","given":"Yang"},{"family":"Hassan","given":"Salman"},{"family":"Anders","given":"Hultgren"},{"family":"Mikeal","given":"Larrson"}],"accessed":{"date-parts":[["2022",12,5]]},"issued":{"date-parts":[["2015",9,15]]}}}],"schema":"https://github.com/citation-style-language/schema/raw/master/csl-citation.json"} </w:instrText>
      </w:r>
      <w:r w:rsidR="00E7142A">
        <w:fldChar w:fldCharType="separate"/>
      </w:r>
      <w:r w:rsidR="00192334" w:rsidRPr="00192334">
        <w:rPr>
          <w:rFonts w:ascii="Calibri" w:hAnsi="Calibri" w:cs="Calibri"/>
          <w:szCs w:val="24"/>
        </w:rPr>
        <w:t xml:space="preserve">(Wang, Pelle, </w:t>
      </w:r>
      <w:r w:rsidR="00192334" w:rsidRPr="00192334">
        <w:rPr>
          <w:rFonts w:ascii="Calibri" w:hAnsi="Calibri" w:cs="Calibri"/>
          <w:i/>
          <w:iCs/>
          <w:szCs w:val="24"/>
        </w:rPr>
        <w:t>et al.</w:t>
      </w:r>
      <w:r w:rsidR="00192334" w:rsidRPr="00192334">
        <w:rPr>
          <w:rFonts w:ascii="Calibri" w:hAnsi="Calibri" w:cs="Calibri"/>
          <w:szCs w:val="24"/>
        </w:rPr>
        <w:t>, 2015)</w:t>
      </w:r>
      <w:r w:rsidR="00E7142A">
        <w:fldChar w:fldCharType="end"/>
      </w:r>
      <w:r w:rsidR="007E7A3D">
        <w:t>.</w:t>
      </w:r>
    </w:p>
    <w:p w14:paraId="1310A848" w14:textId="765F6D40" w:rsidR="00BD313C" w:rsidRDefault="00406618" w:rsidP="00971613">
      <w:pPr>
        <w:spacing w:line="360" w:lineRule="auto"/>
      </w:pPr>
      <w:r>
        <w:t xml:space="preserve">Table 7 shows the chemical composition by weight. </w:t>
      </w:r>
      <w:r w:rsidR="00BD313C">
        <w:t xml:space="preserve">The </w:t>
      </w:r>
      <w:r w:rsidR="004258FC">
        <w:t>s</w:t>
      </w:r>
      <w:r w:rsidR="00BD313C">
        <w:t xml:space="preserve">odium and phosphorus levels </w:t>
      </w:r>
      <w:r w:rsidR="001651D8">
        <w:t>are</w:t>
      </w:r>
      <w:r w:rsidR="00BD313C">
        <w:t xml:space="preserve"> low</w:t>
      </w:r>
      <w:r w:rsidR="001651D8">
        <w:t>er</w:t>
      </w:r>
      <w:r w:rsidR="00BD313C">
        <w:t xml:space="preserve"> in the biochar. There is higher potassium content in the biochar</w:t>
      </w:r>
      <w:r w:rsidR="001651D8">
        <w:t xml:space="preserve"> 2</w:t>
      </w:r>
      <w:r w:rsidR="00BD313C">
        <w:t xml:space="preserve"> ash</w:t>
      </w:r>
      <w:r w:rsidR="004258FC">
        <w:t xml:space="preserve"> </w:t>
      </w:r>
      <w:r w:rsidR="00BD313C">
        <w:t>but no</w:t>
      </w:r>
      <w:r w:rsidR="00E204B4">
        <w:t>t</w:t>
      </w:r>
      <w:r w:rsidR="00BD313C">
        <w:t xml:space="preserve"> overly so and this </w:t>
      </w:r>
      <w:r w:rsidR="003822D2">
        <w:t xml:space="preserve">amount </w:t>
      </w:r>
      <w:r w:rsidR="00BD313C">
        <w:t>would not be a concern</w:t>
      </w:r>
      <w:r w:rsidR="00804D4D">
        <w:t>.</w:t>
      </w:r>
      <w:r w:rsidR="00D06E9D">
        <w:t xml:space="preserve"> The</w:t>
      </w:r>
      <w:r w:rsidR="00607B48">
        <w:t xml:space="preserve">re is also less sulphur in the biochar than in the coal. </w:t>
      </w:r>
    </w:p>
    <w:p w14:paraId="723D15BD" w14:textId="660889F4" w:rsidR="00DA4573" w:rsidRDefault="00DA4573" w:rsidP="00971613">
      <w:pPr>
        <w:spacing w:line="360" w:lineRule="auto"/>
      </w:pPr>
      <w:r>
        <w:t xml:space="preserve">The chemical analysis of the biochar </w:t>
      </w:r>
      <w:r w:rsidR="00014962">
        <w:t>demonstrates that</w:t>
      </w:r>
      <w:r w:rsidR="00A13D13">
        <w:t xml:space="preserve"> there would be no significant increase in harmful elements</w:t>
      </w:r>
      <w:r w:rsidR="008643FB">
        <w:t xml:space="preserve"> introduced into the BF as a result of using</w:t>
      </w:r>
      <w:r w:rsidR="001651D8">
        <w:t xml:space="preserve"> these two</w:t>
      </w:r>
      <w:r w:rsidR="008643FB">
        <w:t xml:space="preserve"> </w:t>
      </w:r>
      <w:r w:rsidR="001651D8">
        <w:t>biochar</w:t>
      </w:r>
      <w:r w:rsidR="008643FB">
        <w:t xml:space="preserve"> as a fuel in</w:t>
      </w:r>
      <w:r w:rsidR="00F862B6">
        <w:t>j</w:t>
      </w:r>
      <w:r w:rsidR="008643FB">
        <w:t>ectant.</w:t>
      </w:r>
    </w:p>
    <w:p w14:paraId="146A0B55" w14:textId="5C6F1611" w:rsidR="00ED7B33" w:rsidRDefault="00AB4FD8" w:rsidP="00AB4FD8">
      <w:pPr>
        <w:pStyle w:val="Caption"/>
        <w:jc w:val="center"/>
      </w:pPr>
      <w:r>
        <w:lastRenderedPageBreak/>
        <w:t xml:space="preserve">Table </w:t>
      </w:r>
      <w:fldSimple w:instr=" SEQ Table \* ARABIC ">
        <w:r w:rsidR="00DA2639">
          <w:rPr>
            <w:noProof/>
          </w:rPr>
          <w:t>7</w:t>
        </w:r>
      </w:fldSimple>
      <w:r w:rsidR="008E72B8">
        <w:t xml:space="preserve"> -</w:t>
      </w:r>
      <w:r>
        <w:t xml:space="preserve"> T-coal and biochar chemical composition by weight %</w:t>
      </w:r>
    </w:p>
    <w:tbl>
      <w:tblPr>
        <w:tblW w:w="3840" w:type="dxa"/>
        <w:tblInd w:w="2169" w:type="dxa"/>
        <w:tblLook w:val="04A0" w:firstRow="1" w:lastRow="0" w:firstColumn="1" w:lastColumn="0" w:noHBand="0" w:noVBand="1"/>
      </w:tblPr>
      <w:tblGrid>
        <w:gridCol w:w="960"/>
        <w:gridCol w:w="960"/>
        <w:gridCol w:w="960"/>
        <w:gridCol w:w="960"/>
      </w:tblGrid>
      <w:tr w:rsidR="003822D2" w:rsidRPr="003822D2" w14:paraId="01D0232E" w14:textId="77777777" w:rsidTr="003822D2">
        <w:trPr>
          <w:trHeight w:val="600"/>
        </w:trPr>
        <w:tc>
          <w:tcPr>
            <w:tcW w:w="960" w:type="dxa"/>
            <w:tcBorders>
              <w:top w:val="single" w:sz="8" w:space="0" w:color="auto"/>
              <w:left w:val="single" w:sz="8" w:space="0" w:color="auto"/>
              <w:bottom w:val="single" w:sz="4" w:space="0" w:color="auto"/>
              <w:right w:val="single" w:sz="4" w:space="0" w:color="auto"/>
            </w:tcBorders>
            <w:shd w:val="clear" w:color="000000" w:fill="EDEDED"/>
            <w:vAlign w:val="center"/>
            <w:hideMark/>
          </w:tcPr>
          <w:p w14:paraId="4716A7B5" w14:textId="120CA580" w:rsidR="003822D2" w:rsidRPr="003822D2" w:rsidRDefault="003822D2" w:rsidP="003822D2">
            <w:pPr>
              <w:spacing w:after="0" w:line="240" w:lineRule="auto"/>
              <w:jc w:val="center"/>
              <w:rPr>
                <w:rFonts w:ascii="Calibri" w:eastAsia="Times New Roman" w:hAnsi="Calibri" w:cs="Calibri"/>
                <w:color w:val="000000"/>
                <w:lang w:eastAsia="en-GB"/>
              </w:rPr>
            </w:pPr>
            <w:r w:rsidRPr="003822D2">
              <w:rPr>
                <w:rFonts w:ascii="Calibri" w:eastAsia="Times New Roman" w:hAnsi="Calibri" w:cs="Calibri"/>
                <w:color w:val="000000"/>
                <w:lang w:eastAsia="en-GB"/>
              </w:rPr>
              <w:t>Chem (</w:t>
            </w:r>
            <w:r w:rsidR="00CF3318">
              <w:rPr>
                <w:rFonts w:ascii="Calibri" w:eastAsia="Times New Roman" w:hAnsi="Calibri" w:cs="Calibri"/>
                <w:color w:val="000000"/>
                <w:lang w:eastAsia="en-GB"/>
              </w:rPr>
              <w:t>wt.</w:t>
            </w:r>
            <w:r w:rsidR="008E72B8">
              <w:rPr>
                <w:rFonts w:ascii="Calibri" w:eastAsia="Times New Roman" w:hAnsi="Calibri" w:cs="Calibri"/>
                <w:color w:val="000000"/>
                <w:lang w:eastAsia="en-GB"/>
              </w:rPr>
              <w:t xml:space="preserve"> </w:t>
            </w:r>
            <w:r w:rsidRPr="003822D2">
              <w:rPr>
                <w:rFonts w:ascii="Calibri" w:eastAsia="Times New Roman" w:hAnsi="Calibri" w:cs="Calibri"/>
                <w:color w:val="000000"/>
                <w:lang w:eastAsia="en-GB"/>
              </w:rPr>
              <w:t>%)</w:t>
            </w:r>
          </w:p>
        </w:tc>
        <w:tc>
          <w:tcPr>
            <w:tcW w:w="960" w:type="dxa"/>
            <w:tcBorders>
              <w:top w:val="single" w:sz="8" w:space="0" w:color="auto"/>
              <w:left w:val="nil"/>
              <w:bottom w:val="nil"/>
              <w:right w:val="single" w:sz="4" w:space="0" w:color="auto"/>
            </w:tcBorders>
            <w:shd w:val="clear" w:color="000000" w:fill="EDEDED"/>
            <w:noWrap/>
            <w:vAlign w:val="center"/>
            <w:hideMark/>
          </w:tcPr>
          <w:p w14:paraId="4B2CA4D1" w14:textId="77777777" w:rsidR="003822D2" w:rsidRPr="003822D2" w:rsidRDefault="003822D2" w:rsidP="003822D2">
            <w:pPr>
              <w:spacing w:after="0" w:line="240" w:lineRule="auto"/>
              <w:jc w:val="center"/>
              <w:rPr>
                <w:rFonts w:ascii="Calibri" w:eastAsia="Times New Roman" w:hAnsi="Calibri" w:cs="Calibri"/>
                <w:color w:val="000000"/>
                <w:lang w:eastAsia="en-GB"/>
              </w:rPr>
            </w:pPr>
            <w:r w:rsidRPr="003822D2">
              <w:rPr>
                <w:rFonts w:ascii="Calibri" w:eastAsia="Times New Roman" w:hAnsi="Calibri" w:cs="Calibri"/>
                <w:color w:val="000000"/>
                <w:lang w:eastAsia="en-GB"/>
              </w:rPr>
              <w:t>T - Coal</w:t>
            </w:r>
          </w:p>
        </w:tc>
        <w:tc>
          <w:tcPr>
            <w:tcW w:w="960" w:type="dxa"/>
            <w:tcBorders>
              <w:top w:val="single" w:sz="8" w:space="0" w:color="auto"/>
              <w:left w:val="nil"/>
              <w:bottom w:val="nil"/>
              <w:right w:val="single" w:sz="4" w:space="0" w:color="auto"/>
            </w:tcBorders>
            <w:shd w:val="clear" w:color="000000" w:fill="EDEDED"/>
            <w:noWrap/>
            <w:vAlign w:val="center"/>
            <w:hideMark/>
          </w:tcPr>
          <w:p w14:paraId="0ABBCC82" w14:textId="77777777" w:rsidR="003822D2" w:rsidRPr="003822D2" w:rsidRDefault="003822D2" w:rsidP="003822D2">
            <w:pPr>
              <w:spacing w:after="0" w:line="240" w:lineRule="auto"/>
              <w:jc w:val="center"/>
              <w:rPr>
                <w:rFonts w:ascii="Calibri" w:eastAsia="Times New Roman" w:hAnsi="Calibri" w:cs="Calibri"/>
                <w:color w:val="000000"/>
                <w:lang w:eastAsia="en-GB"/>
              </w:rPr>
            </w:pPr>
            <w:r w:rsidRPr="003822D2">
              <w:rPr>
                <w:rFonts w:ascii="Calibri" w:eastAsia="Times New Roman" w:hAnsi="Calibri" w:cs="Calibri"/>
                <w:color w:val="000000"/>
                <w:lang w:eastAsia="en-GB"/>
              </w:rPr>
              <w:t>Biochar 1</w:t>
            </w:r>
          </w:p>
        </w:tc>
        <w:tc>
          <w:tcPr>
            <w:tcW w:w="960" w:type="dxa"/>
            <w:tcBorders>
              <w:top w:val="single" w:sz="8" w:space="0" w:color="auto"/>
              <w:left w:val="nil"/>
              <w:bottom w:val="nil"/>
              <w:right w:val="single" w:sz="8" w:space="0" w:color="auto"/>
            </w:tcBorders>
            <w:shd w:val="clear" w:color="000000" w:fill="EDEDED"/>
            <w:noWrap/>
            <w:vAlign w:val="center"/>
            <w:hideMark/>
          </w:tcPr>
          <w:p w14:paraId="61A13DE3" w14:textId="77777777" w:rsidR="003822D2" w:rsidRPr="003822D2" w:rsidRDefault="003822D2" w:rsidP="003822D2">
            <w:pPr>
              <w:spacing w:after="0" w:line="240" w:lineRule="auto"/>
              <w:jc w:val="center"/>
              <w:rPr>
                <w:rFonts w:ascii="Calibri" w:eastAsia="Times New Roman" w:hAnsi="Calibri" w:cs="Calibri"/>
                <w:color w:val="000000"/>
                <w:lang w:eastAsia="en-GB"/>
              </w:rPr>
            </w:pPr>
            <w:r w:rsidRPr="003822D2">
              <w:rPr>
                <w:rFonts w:ascii="Calibri" w:eastAsia="Times New Roman" w:hAnsi="Calibri" w:cs="Calibri"/>
                <w:color w:val="000000"/>
                <w:lang w:eastAsia="en-GB"/>
              </w:rPr>
              <w:t>Biochar 2</w:t>
            </w:r>
          </w:p>
        </w:tc>
      </w:tr>
      <w:tr w:rsidR="003822D2" w:rsidRPr="003822D2" w14:paraId="085E35D9" w14:textId="77777777" w:rsidTr="003822D2">
        <w:trPr>
          <w:trHeight w:val="300"/>
        </w:trPr>
        <w:tc>
          <w:tcPr>
            <w:tcW w:w="960" w:type="dxa"/>
            <w:tcBorders>
              <w:top w:val="single" w:sz="4" w:space="0" w:color="3F3F3F"/>
              <w:left w:val="single" w:sz="4" w:space="0" w:color="3F3F3F"/>
              <w:bottom w:val="single" w:sz="4" w:space="0" w:color="3F3F3F"/>
              <w:right w:val="single" w:sz="4" w:space="0" w:color="3F3F3F"/>
            </w:tcBorders>
            <w:shd w:val="clear" w:color="000000" w:fill="F2F2F2"/>
            <w:noWrap/>
            <w:vAlign w:val="center"/>
            <w:hideMark/>
          </w:tcPr>
          <w:p w14:paraId="28E25CE6"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Na2O</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14:paraId="0F12BE73"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0.08</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14:paraId="5D20F28E"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0.02</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14:paraId="540614F1"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0.03</w:t>
            </w:r>
          </w:p>
        </w:tc>
      </w:tr>
      <w:tr w:rsidR="003822D2" w:rsidRPr="003822D2" w14:paraId="249F0982"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21448693"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MgO</w:t>
            </w:r>
          </w:p>
        </w:tc>
        <w:tc>
          <w:tcPr>
            <w:tcW w:w="960" w:type="dxa"/>
            <w:tcBorders>
              <w:top w:val="nil"/>
              <w:left w:val="nil"/>
              <w:bottom w:val="single" w:sz="4" w:space="0" w:color="3F3F3F"/>
              <w:right w:val="single" w:sz="4" w:space="0" w:color="3F3F3F"/>
            </w:tcBorders>
            <w:shd w:val="clear" w:color="000000" w:fill="F2F2F2"/>
            <w:noWrap/>
            <w:vAlign w:val="bottom"/>
            <w:hideMark/>
          </w:tcPr>
          <w:p w14:paraId="5CEB667B"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0.17</w:t>
            </w:r>
          </w:p>
        </w:tc>
        <w:tc>
          <w:tcPr>
            <w:tcW w:w="960" w:type="dxa"/>
            <w:tcBorders>
              <w:top w:val="nil"/>
              <w:left w:val="nil"/>
              <w:bottom w:val="single" w:sz="4" w:space="0" w:color="3F3F3F"/>
              <w:right w:val="single" w:sz="4" w:space="0" w:color="3F3F3F"/>
            </w:tcBorders>
            <w:shd w:val="clear" w:color="000000" w:fill="F2F2F2"/>
            <w:noWrap/>
            <w:vAlign w:val="bottom"/>
            <w:hideMark/>
          </w:tcPr>
          <w:p w14:paraId="4DC7558C"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0.34</w:t>
            </w:r>
          </w:p>
        </w:tc>
        <w:tc>
          <w:tcPr>
            <w:tcW w:w="960" w:type="dxa"/>
            <w:tcBorders>
              <w:top w:val="nil"/>
              <w:left w:val="nil"/>
              <w:bottom w:val="single" w:sz="4" w:space="0" w:color="3F3F3F"/>
              <w:right w:val="single" w:sz="4" w:space="0" w:color="3F3F3F"/>
            </w:tcBorders>
            <w:shd w:val="clear" w:color="000000" w:fill="F2F2F2"/>
            <w:noWrap/>
            <w:vAlign w:val="bottom"/>
            <w:hideMark/>
          </w:tcPr>
          <w:p w14:paraId="7329C608"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0.12</w:t>
            </w:r>
          </w:p>
        </w:tc>
      </w:tr>
      <w:tr w:rsidR="003822D2" w:rsidRPr="003822D2" w14:paraId="2831D866"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043C8996"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A2O3</w:t>
            </w:r>
          </w:p>
        </w:tc>
        <w:tc>
          <w:tcPr>
            <w:tcW w:w="960" w:type="dxa"/>
            <w:tcBorders>
              <w:top w:val="nil"/>
              <w:left w:val="nil"/>
              <w:bottom w:val="single" w:sz="4" w:space="0" w:color="3F3F3F"/>
              <w:right w:val="single" w:sz="4" w:space="0" w:color="3F3F3F"/>
            </w:tcBorders>
            <w:shd w:val="clear" w:color="000000" w:fill="F2F2F2"/>
            <w:noWrap/>
            <w:vAlign w:val="bottom"/>
            <w:hideMark/>
          </w:tcPr>
          <w:p w14:paraId="2176EC4D"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2.52</w:t>
            </w:r>
          </w:p>
        </w:tc>
        <w:tc>
          <w:tcPr>
            <w:tcW w:w="960" w:type="dxa"/>
            <w:tcBorders>
              <w:top w:val="nil"/>
              <w:left w:val="nil"/>
              <w:bottom w:val="single" w:sz="4" w:space="0" w:color="3F3F3F"/>
              <w:right w:val="single" w:sz="4" w:space="0" w:color="3F3F3F"/>
            </w:tcBorders>
            <w:shd w:val="clear" w:color="000000" w:fill="F2F2F2"/>
            <w:noWrap/>
            <w:vAlign w:val="bottom"/>
            <w:hideMark/>
          </w:tcPr>
          <w:p w14:paraId="6A541146"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0.05</w:t>
            </w:r>
          </w:p>
        </w:tc>
        <w:tc>
          <w:tcPr>
            <w:tcW w:w="960" w:type="dxa"/>
            <w:tcBorders>
              <w:top w:val="nil"/>
              <w:left w:val="nil"/>
              <w:bottom w:val="single" w:sz="4" w:space="0" w:color="3F3F3F"/>
              <w:right w:val="single" w:sz="4" w:space="0" w:color="3F3F3F"/>
            </w:tcBorders>
            <w:shd w:val="clear" w:color="000000" w:fill="F2F2F2"/>
            <w:noWrap/>
            <w:vAlign w:val="bottom"/>
            <w:hideMark/>
          </w:tcPr>
          <w:p w14:paraId="36279953"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0.34</w:t>
            </w:r>
          </w:p>
        </w:tc>
      </w:tr>
      <w:tr w:rsidR="003822D2" w:rsidRPr="003822D2" w14:paraId="5EC6EE62"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1B479354"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SiO2</w:t>
            </w:r>
          </w:p>
        </w:tc>
        <w:tc>
          <w:tcPr>
            <w:tcW w:w="960" w:type="dxa"/>
            <w:tcBorders>
              <w:top w:val="nil"/>
              <w:left w:val="nil"/>
              <w:bottom w:val="single" w:sz="4" w:space="0" w:color="3F3F3F"/>
              <w:right w:val="single" w:sz="4" w:space="0" w:color="3F3F3F"/>
            </w:tcBorders>
            <w:shd w:val="clear" w:color="000000" w:fill="F2F2F2"/>
            <w:noWrap/>
            <w:vAlign w:val="bottom"/>
            <w:hideMark/>
          </w:tcPr>
          <w:p w14:paraId="23EBC1ED"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4.45</w:t>
            </w:r>
          </w:p>
        </w:tc>
        <w:tc>
          <w:tcPr>
            <w:tcW w:w="960" w:type="dxa"/>
            <w:tcBorders>
              <w:top w:val="nil"/>
              <w:left w:val="nil"/>
              <w:bottom w:val="single" w:sz="4" w:space="0" w:color="3F3F3F"/>
              <w:right w:val="single" w:sz="4" w:space="0" w:color="3F3F3F"/>
            </w:tcBorders>
            <w:shd w:val="clear" w:color="000000" w:fill="F2F2F2"/>
            <w:noWrap/>
            <w:vAlign w:val="bottom"/>
            <w:hideMark/>
          </w:tcPr>
          <w:p w14:paraId="267B74B8"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0.15</w:t>
            </w:r>
          </w:p>
        </w:tc>
        <w:tc>
          <w:tcPr>
            <w:tcW w:w="960" w:type="dxa"/>
            <w:tcBorders>
              <w:top w:val="nil"/>
              <w:left w:val="nil"/>
              <w:bottom w:val="single" w:sz="4" w:space="0" w:color="3F3F3F"/>
              <w:right w:val="single" w:sz="4" w:space="0" w:color="3F3F3F"/>
            </w:tcBorders>
            <w:shd w:val="clear" w:color="000000" w:fill="F2F2F2"/>
            <w:noWrap/>
            <w:vAlign w:val="bottom"/>
            <w:hideMark/>
          </w:tcPr>
          <w:p w14:paraId="69398597"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1.18</w:t>
            </w:r>
          </w:p>
        </w:tc>
      </w:tr>
      <w:tr w:rsidR="003822D2" w:rsidRPr="003822D2" w14:paraId="2EEC427A"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10B42176"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P2O5</w:t>
            </w:r>
          </w:p>
        </w:tc>
        <w:tc>
          <w:tcPr>
            <w:tcW w:w="960" w:type="dxa"/>
            <w:tcBorders>
              <w:top w:val="nil"/>
              <w:left w:val="nil"/>
              <w:bottom w:val="single" w:sz="4" w:space="0" w:color="3F3F3F"/>
              <w:right w:val="single" w:sz="4" w:space="0" w:color="3F3F3F"/>
            </w:tcBorders>
            <w:shd w:val="clear" w:color="000000" w:fill="F2F2F2"/>
            <w:noWrap/>
            <w:vAlign w:val="bottom"/>
            <w:hideMark/>
          </w:tcPr>
          <w:p w14:paraId="69746902"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0.12</w:t>
            </w:r>
          </w:p>
        </w:tc>
        <w:tc>
          <w:tcPr>
            <w:tcW w:w="960" w:type="dxa"/>
            <w:tcBorders>
              <w:top w:val="nil"/>
              <w:left w:val="nil"/>
              <w:bottom w:val="single" w:sz="4" w:space="0" w:color="3F3F3F"/>
              <w:right w:val="single" w:sz="4" w:space="0" w:color="3F3F3F"/>
            </w:tcBorders>
            <w:shd w:val="clear" w:color="000000" w:fill="F2F2F2"/>
            <w:noWrap/>
            <w:vAlign w:val="bottom"/>
            <w:hideMark/>
          </w:tcPr>
          <w:p w14:paraId="31ED53F5" w14:textId="4096B96C"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0.00</w:t>
            </w:r>
            <w:r w:rsidR="00DF4A81">
              <w:rPr>
                <w:rFonts w:ascii="Calibri" w:eastAsia="Times New Roman" w:hAnsi="Calibri" w:cs="Calibri"/>
                <w:b/>
                <w:bCs/>
                <w:color w:val="3F3F3F"/>
                <w:lang w:eastAsia="en-GB"/>
              </w:rPr>
              <w:t>1</w:t>
            </w:r>
          </w:p>
        </w:tc>
        <w:tc>
          <w:tcPr>
            <w:tcW w:w="960" w:type="dxa"/>
            <w:tcBorders>
              <w:top w:val="nil"/>
              <w:left w:val="nil"/>
              <w:bottom w:val="single" w:sz="4" w:space="0" w:color="3F3F3F"/>
              <w:right w:val="single" w:sz="4" w:space="0" w:color="3F3F3F"/>
            </w:tcBorders>
            <w:shd w:val="clear" w:color="000000" w:fill="F2F2F2"/>
            <w:noWrap/>
            <w:vAlign w:val="bottom"/>
            <w:hideMark/>
          </w:tcPr>
          <w:p w14:paraId="78BABCDC"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0.02</w:t>
            </w:r>
          </w:p>
        </w:tc>
      </w:tr>
      <w:tr w:rsidR="003822D2" w:rsidRPr="003822D2" w14:paraId="0BB59E0F"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38BF1438"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K2O</w:t>
            </w:r>
          </w:p>
        </w:tc>
        <w:tc>
          <w:tcPr>
            <w:tcW w:w="960" w:type="dxa"/>
            <w:tcBorders>
              <w:top w:val="nil"/>
              <w:left w:val="nil"/>
              <w:bottom w:val="single" w:sz="4" w:space="0" w:color="3F3F3F"/>
              <w:right w:val="single" w:sz="4" w:space="0" w:color="3F3F3F"/>
            </w:tcBorders>
            <w:shd w:val="clear" w:color="000000" w:fill="F2F2F2"/>
            <w:noWrap/>
            <w:vAlign w:val="bottom"/>
            <w:hideMark/>
          </w:tcPr>
          <w:p w14:paraId="15777047"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0.14</w:t>
            </w:r>
          </w:p>
        </w:tc>
        <w:tc>
          <w:tcPr>
            <w:tcW w:w="960" w:type="dxa"/>
            <w:tcBorders>
              <w:top w:val="nil"/>
              <w:left w:val="nil"/>
              <w:bottom w:val="single" w:sz="4" w:space="0" w:color="3F3F3F"/>
              <w:right w:val="single" w:sz="4" w:space="0" w:color="3F3F3F"/>
            </w:tcBorders>
            <w:shd w:val="clear" w:color="000000" w:fill="F2F2F2"/>
            <w:noWrap/>
            <w:vAlign w:val="bottom"/>
            <w:hideMark/>
          </w:tcPr>
          <w:p w14:paraId="221B15A8"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0.08</w:t>
            </w:r>
          </w:p>
        </w:tc>
        <w:tc>
          <w:tcPr>
            <w:tcW w:w="960" w:type="dxa"/>
            <w:tcBorders>
              <w:top w:val="nil"/>
              <w:left w:val="nil"/>
              <w:bottom w:val="single" w:sz="4" w:space="0" w:color="3F3F3F"/>
              <w:right w:val="single" w:sz="4" w:space="0" w:color="3F3F3F"/>
            </w:tcBorders>
            <w:shd w:val="clear" w:color="000000" w:fill="F2F2F2"/>
            <w:noWrap/>
            <w:vAlign w:val="bottom"/>
            <w:hideMark/>
          </w:tcPr>
          <w:p w14:paraId="041A9AE9"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0.26</w:t>
            </w:r>
          </w:p>
        </w:tc>
      </w:tr>
      <w:tr w:rsidR="003822D2" w:rsidRPr="003822D2" w14:paraId="78A7C24C"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517D6EE1"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proofErr w:type="spellStart"/>
            <w:r w:rsidRPr="003822D2">
              <w:rPr>
                <w:rFonts w:ascii="Calibri" w:eastAsia="Times New Roman" w:hAnsi="Calibri" w:cs="Calibri"/>
                <w:b/>
                <w:bCs/>
                <w:color w:val="3F3F3F"/>
                <w:lang w:eastAsia="en-GB"/>
              </w:rPr>
              <w:t>CaO</w:t>
            </w:r>
            <w:proofErr w:type="spellEnd"/>
          </w:p>
        </w:tc>
        <w:tc>
          <w:tcPr>
            <w:tcW w:w="960" w:type="dxa"/>
            <w:tcBorders>
              <w:top w:val="nil"/>
              <w:left w:val="nil"/>
              <w:bottom w:val="single" w:sz="4" w:space="0" w:color="3F3F3F"/>
              <w:right w:val="single" w:sz="4" w:space="0" w:color="3F3F3F"/>
            </w:tcBorders>
            <w:shd w:val="clear" w:color="000000" w:fill="F2F2F2"/>
            <w:noWrap/>
            <w:vAlign w:val="bottom"/>
            <w:hideMark/>
          </w:tcPr>
          <w:p w14:paraId="541387E0"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0.54</w:t>
            </w:r>
          </w:p>
        </w:tc>
        <w:tc>
          <w:tcPr>
            <w:tcW w:w="960" w:type="dxa"/>
            <w:tcBorders>
              <w:top w:val="nil"/>
              <w:left w:val="nil"/>
              <w:bottom w:val="single" w:sz="4" w:space="0" w:color="3F3F3F"/>
              <w:right w:val="single" w:sz="4" w:space="0" w:color="3F3F3F"/>
            </w:tcBorders>
            <w:shd w:val="clear" w:color="000000" w:fill="F2F2F2"/>
            <w:noWrap/>
            <w:vAlign w:val="bottom"/>
            <w:hideMark/>
          </w:tcPr>
          <w:p w14:paraId="0C5089EC"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1.02</w:t>
            </w:r>
          </w:p>
        </w:tc>
        <w:tc>
          <w:tcPr>
            <w:tcW w:w="960" w:type="dxa"/>
            <w:tcBorders>
              <w:top w:val="nil"/>
              <w:left w:val="nil"/>
              <w:bottom w:val="single" w:sz="4" w:space="0" w:color="3F3F3F"/>
              <w:right w:val="single" w:sz="4" w:space="0" w:color="3F3F3F"/>
            </w:tcBorders>
            <w:shd w:val="clear" w:color="000000" w:fill="F2F2F2"/>
            <w:noWrap/>
            <w:vAlign w:val="bottom"/>
            <w:hideMark/>
          </w:tcPr>
          <w:p w14:paraId="08C7EBA5" w14:textId="1168FD11"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2.</w:t>
            </w:r>
            <w:r w:rsidR="00E57364">
              <w:rPr>
                <w:rFonts w:ascii="Calibri" w:eastAsia="Times New Roman" w:hAnsi="Calibri" w:cs="Calibri"/>
                <w:b/>
                <w:bCs/>
                <w:color w:val="3F3F3F"/>
                <w:lang w:eastAsia="en-GB"/>
              </w:rPr>
              <w:t>37</w:t>
            </w:r>
          </w:p>
        </w:tc>
      </w:tr>
      <w:tr w:rsidR="003822D2" w:rsidRPr="003822D2" w14:paraId="3BEBCFE6"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56D5E800"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TiO2</w:t>
            </w:r>
          </w:p>
        </w:tc>
        <w:tc>
          <w:tcPr>
            <w:tcW w:w="960" w:type="dxa"/>
            <w:tcBorders>
              <w:top w:val="nil"/>
              <w:left w:val="nil"/>
              <w:bottom w:val="single" w:sz="4" w:space="0" w:color="3F3F3F"/>
              <w:right w:val="single" w:sz="4" w:space="0" w:color="3F3F3F"/>
            </w:tcBorders>
            <w:shd w:val="clear" w:color="000000" w:fill="F2F2F2"/>
            <w:noWrap/>
            <w:vAlign w:val="bottom"/>
            <w:hideMark/>
          </w:tcPr>
          <w:p w14:paraId="673234B8"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0.09</w:t>
            </w:r>
          </w:p>
        </w:tc>
        <w:tc>
          <w:tcPr>
            <w:tcW w:w="960" w:type="dxa"/>
            <w:tcBorders>
              <w:top w:val="nil"/>
              <w:left w:val="nil"/>
              <w:bottom w:val="single" w:sz="4" w:space="0" w:color="3F3F3F"/>
              <w:right w:val="single" w:sz="4" w:space="0" w:color="3F3F3F"/>
            </w:tcBorders>
            <w:shd w:val="clear" w:color="000000" w:fill="F2F2F2"/>
            <w:noWrap/>
            <w:vAlign w:val="bottom"/>
            <w:hideMark/>
          </w:tcPr>
          <w:p w14:paraId="0C1D6631"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0.00</w:t>
            </w:r>
          </w:p>
        </w:tc>
        <w:tc>
          <w:tcPr>
            <w:tcW w:w="960" w:type="dxa"/>
            <w:tcBorders>
              <w:top w:val="nil"/>
              <w:left w:val="nil"/>
              <w:bottom w:val="single" w:sz="4" w:space="0" w:color="3F3F3F"/>
              <w:right w:val="single" w:sz="4" w:space="0" w:color="3F3F3F"/>
            </w:tcBorders>
            <w:shd w:val="clear" w:color="000000" w:fill="F2F2F2"/>
            <w:noWrap/>
            <w:vAlign w:val="bottom"/>
            <w:hideMark/>
          </w:tcPr>
          <w:p w14:paraId="5EE61621"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0.02</w:t>
            </w:r>
          </w:p>
        </w:tc>
      </w:tr>
      <w:tr w:rsidR="003822D2" w:rsidRPr="003822D2" w14:paraId="6950A9B1"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60937136"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Fe2O3</w:t>
            </w:r>
          </w:p>
        </w:tc>
        <w:tc>
          <w:tcPr>
            <w:tcW w:w="960" w:type="dxa"/>
            <w:tcBorders>
              <w:top w:val="nil"/>
              <w:left w:val="nil"/>
              <w:bottom w:val="single" w:sz="4" w:space="0" w:color="3F3F3F"/>
              <w:right w:val="single" w:sz="4" w:space="0" w:color="3F3F3F"/>
            </w:tcBorders>
            <w:shd w:val="clear" w:color="000000" w:fill="F2F2F2"/>
            <w:noWrap/>
            <w:vAlign w:val="bottom"/>
            <w:hideMark/>
          </w:tcPr>
          <w:p w14:paraId="136B0979"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0.74</w:t>
            </w:r>
          </w:p>
        </w:tc>
        <w:tc>
          <w:tcPr>
            <w:tcW w:w="960" w:type="dxa"/>
            <w:tcBorders>
              <w:top w:val="nil"/>
              <w:left w:val="nil"/>
              <w:bottom w:val="single" w:sz="4" w:space="0" w:color="3F3F3F"/>
              <w:right w:val="single" w:sz="4" w:space="0" w:color="3F3F3F"/>
            </w:tcBorders>
            <w:shd w:val="clear" w:color="000000" w:fill="F2F2F2"/>
            <w:noWrap/>
            <w:vAlign w:val="bottom"/>
            <w:hideMark/>
          </w:tcPr>
          <w:p w14:paraId="0C572D2B" w14:textId="4E37B772"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w:t>
            </w:r>
            <w:r w:rsidR="00E57364">
              <w:rPr>
                <w:rFonts w:ascii="Calibri" w:eastAsia="Times New Roman" w:hAnsi="Calibri" w:cs="Calibri"/>
                <w:b/>
                <w:bCs/>
                <w:color w:val="3F3F3F"/>
                <w:lang w:eastAsia="en-GB"/>
              </w:rPr>
              <w:t>20</w:t>
            </w:r>
          </w:p>
        </w:tc>
        <w:tc>
          <w:tcPr>
            <w:tcW w:w="960" w:type="dxa"/>
            <w:tcBorders>
              <w:top w:val="nil"/>
              <w:left w:val="nil"/>
              <w:bottom w:val="single" w:sz="4" w:space="0" w:color="3F3F3F"/>
              <w:right w:val="single" w:sz="4" w:space="0" w:color="3F3F3F"/>
            </w:tcBorders>
            <w:shd w:val="clear" w:color="000000" w:fill="F2F2F2"/>
            <w:noWrap/>
            <w:vAlign w:val="bottom"/>
            <w:hideMark/>
          </w:tcPr>
          <w:p w14:paraId="076C85AB"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1.55</w:t>
            </w:r>
          </w:p>
        </w:tc>
      </w:tr>
      <w:tr w:rsidR="003822D2" w:rsidRPr="003822D2" w14:paraId="0A0C784A" w14:textId="77777777" w:rsidTr="003822D2">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center"/>
            <w:hideMark/>
          </w:tcPr>
          <w:p w14:paraId="568ACA75" w14:textId="77777777" w:rsidR="003822D2" w:rsidRPr="003822D2" w:rsidRDefault="003822D2" w:rsidP="003822D2">
            <w:pPr>
              <w:spacing w:after="0" w:line="240" w:lineRule="auto"/>
              <w:jc w:val="center"/>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Zn</w:t>
            </w:r>
          </w:p>
        </w:tc>
        <w:tc>
          <w:tcPr>
            <w:tcW w:w="960" w:type="dxa"/>
            <w:tcBorders>
              <w:top w:val="nil"/>
              <w:left w:val="nil"/>
              <w:bottom w:val="single" w:sz="4" w:space="0" w:color="3F3F3F"/>
              <w:right w:val="single" w:sz="4" w:space="0" w:color="3F3F3F"/>
            </w:tcBorders>
            <w:shd w:val="clear" w:color="000000" w:fill="F2F2F2"/>
            <w:noWrap/>
            <w:vAlign w:val="bottom"/>
            <w:hideMark/>
          </w:tcPr>
          <w:p w14:paraId="2585DE92"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0.0010</w:t>
            </w:r>
          </w:p>
        </w:tc>
        <w:tc>
          <w:tcPr>
            <w:tcW w:w="960" w:type="dxa"/>
            <w:tcBorders>
              <w:top w:val="nil"/>
              <w:left w:val="nil"/>
              <w:bottom w:val="single" w:sz="4" w:space="0" w:color="3F3F3F"/>
              <w:right w:val="single" w:sz="4" w:space="0" w:color="3F3F3F"/>
            </w:tcBorders>
            <w:shd w:val="clear" w:color="000000" w:fill="F2F2F2"/>
            <w:noWrap/>
            <w:vAlign w:val="bottom"/>
            <w:hideMark/>
          </w:tcPr>
          <w:p w14:paraId="1BB84861"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0.0001</w:t>
            </w:r>
          </w:p>
        </w:tc>
        <w:tc>
          <w:tcPr>
            <w:tcW w:w="960" w:type="dxa"/>
            <w:tcBorders>
              <w:top w:val="nil"/>
              <w:left w:val="nil"/>
              <w:bottom w:val="single" w:sz="4" w:space="0" w:color="3F3F3F"/>
              <w:right w:val="single" w:sz="4" w:space="0" w:color="3F3F3F"/>
            </w:tcBorders>
            <w:shd w:val="clear" w:color="000000" w:fill="F2F2F2"/>
            <w:noWrap/>
            <w:vAlign w:val="bottom"/>
            <w:hideMark/>
          </w:tcPr>
          <w:p w14:paraId="07BD73B4" w14:textId="77777777" w:rsidR="003822D2" w:rsidRPr="003822D2" w:rsidRDefault="003822D2" w:rsidP="003822D2">
            <w:pPr>
              <w:spacing w:after="0" w:line="240" w:lineRule="auto"/>
              <w:jc w:val="right"/>
              <w:rPr>
                <w:rFonts w:ascii="Calibri" w:eastAsia="Times New Roman" w:hAnsi="Calibri" w:cs="Calibri"/>
                <w:b/>
                <w:bCs/>
                <w:color w:val="3F3F3F"/>
                <w:lang w:eastAsia="en-GB"/>
              </w:rPr>
            </w:pPr>
            <w:r w:rsidRPr="003822D2">
              <w:rPr>
                <w:rFonts w:ascii="Calibri" w:eastAsia="Times New Roman" w:hAnsi="Calibri" w:cs="Calibri"/>
                <w:b/>
                <w:bCs/>
                <w:color w:val="3F3F3F"/>
                <w:lang w:eastAsia="en-GB"/>
              </w:rPr>
              <w:t>0.0015</w:t>
            </w:r>
          </w:p>
        </w:tc>
      </w:tr>
    </w:tbl>
    <w:p w14:paraId="71F1F798" w14:textId="77777777" w:rsidR="003822D2" w:rsidRDefault="003822D2" w:rsidP="00971613">
      <w:pPr>
        <w:spacing w:line="360" w:lineRule="auto"/>
      </w:pPr>
    </w:p>
    <w:p w14:paraId="4BC9D6F8" w14:textId="77777777" w:rsidR="00310616" w:rsidRDefault="00310616" w:rsidP="00310616">
      <w:pPr>
        <w:pStyle w:val="Heading3"/>
        <w:spacing w:line="360" w:lineRule="auto"/>
        <w:jc w:val="both"/>
      </w:pPr>
      <w:bookmarkStart w:id="76" w:name="_Toc128599625"/>
      <w:r>
        <w:t>Combustibility</w:t>
      </w:r>
      <w:bookmarkEnd w:id="76"/>
    </w:p>
    <w:p w14:paraId="73CDEF00" w14:textId="5063D958" w:rsidR="00A92F61" w:rsidRDefault="002D7E18" w:rsidP="00A92F61">
      <w:pPr>
        <w:spacing w:line="360" w:lineRule="auto"/>
        <w:jc w:val="both"/>
      </w:pPr>
      <w:r>
        <w:t xml:space="preserve">To ensure efficient BF operation it is crucial </w:t>
      </w:r>
      <w:r w:rsidR="00D462C8">
        <w:t xml:space="preserve">that all the PCI is </w:t>
      </w:r>
      <w:proofErr w:type="spellStart"/>
      <w:r w:rsidR="00D462C8">
        <w:t>gasified</w:t>
      </w:r>
      <w:proofErr w:type="spellEnd"/>
      <w:r w:rsidR="00D462C8">
        <w:t xml:space="preserve"> as soon as possible</w:t>
      </w:r>
      <w:r w:rsidR="00A92F61">
        <w:t>.</w:t>
      </w:r>
      <w:r w:rsidR="00C2500D">
        <w:t xml:space="preserve"> The residence time of the coal particles in the raceway</w:t>
      </w:r>
      <w:r w:rsidR="00817C88">
        <w:t xml:space="preserve"> is only approx.</w:t>
      </w:r>
      <w:r w:rsidR="00A92F61">
        <w:t xml:space="preserve"> 20 – 30 </w:t>
      </w:r>
      <w:proofErr w:type="spellStart"/>
      <w:r w:rsidR="00A92F61">
        <w:t>ms</w:t>
      </w:r>
      <w:proofErr w:type="spellEnd"/>
      <w:r w:rsidR="00A92F61">
        <w:t>, this short residence time can mean that the pulverised coal is not completely combusted in the raceway and a considerable amount of char (unburnt coal) can escape from the raceway region into the active coke zone</w:t>
      </w:r>
      <w:r w:rsidR="007C00B4">
        <w:t xml:space="preserve"> as shown in figure 33</w:t>
      </w:r>
      <w:r w:rsidR="00A92F61">
        <w:t xml:space="preserve">. This fine char can block coke bed </w:t>
      </w:r>
      <w:proofErr w:type="spellStart"/>
      <w:r w:rsidR="00A92F61">
        <w:t>voidage</w:t>
      </w:r>
      <w:proofErr w:type="spellEnd"/>
      <w:r w:rsidR="00A92F61">
        <w:t xml:space="preserve"> and consequently result in reduced gas flow, a drop in BF pressure, reduced permeability, and decreased furnace productivity </w:t>
      </w:r>
      <w:r w:rsidR="00A92F61">
        <w:fldChar w:fldCharType="begin"/>
      </w:r>
      <w:r w:rsidR="00192334">
        <w:instrText xml:space="preserve"> ADDIN ZOTERO_ITEM CSL_CITATION {"citationID":"rwE60r73","properties":{"formattedCitation":"(Ahmed, 2018)","plainCitation":"(Ahmed, 2018)","noteIndex":0},"citationItems":[{"id":1670,"uris":["http://zotero.org/users/local/AB2owHL2/items/EAIZ2HHB"],"itemData":{"id":1670,"type":"article-journal","abstract":"The iron and steel industry is still dependent on fossil coking coal. About 70% of the total steel production relies directly on fossil coal and coke inputs. Therefore, steel production contributes by ~7% of the global CO2 emission. The reduction of CO2 emission has been given highest priority by the iron- and steel-making sector due to the commitment of governments to mitigate CO2 emission according to Kyoto protocol. Utilization of auxiliary carbonaceous materials in the blast furnace and other iron-making technologies is one of the most efﬁcient options to reduce the coke consumption and, consequently, the CO2 emission. The present review gives an insight of the trends in the applications of auxiliary carbon-bearing material in iron-making processes. Partial substitution of top charged coke by nut coke, lump charcoal, or carbon composite agglomerates were found to not only decrease the dependency on virgin fossil carbon, but also improve the blast furnace performance and increase the productivity. Partial or complete substitution of pulverized coal by waste plastics or renewable carbon-bearing materials like waste plastics or biomass help in mitigating the CO2 emission due to its high H2 content compared to fossil carbon. Injecting such reactive materials results in improved combustion and reduced coke consumption. Moreover, utilization of integrated steel plant ﬁnes and gases becomes necessary to achieve proﬁtability to steel mill operation from both economic and environmental aspects. Recycling of such results in recovering the valuable components and thereby decrease the energy consumption and the need of landﬁlls at the steel plants as well as reduce the consumption of virgin materials and reduce CO2 emission. On the other hand, developed technologies for iron-making rather than blast furnace opens a window and provide a good opportunity to utilize auxiliary carbon-bearing materials that are difﬁcult to utilize in conventional blast furnace iron-making.","container-title":"Minerals","DOI":"10.3390/min8120561","ISSN":"2075-163X","issue":"12","journalAbbreviation":"Minerals","language":"en","page":"561","source":"DOI.org (Crossref)","title":"New Trends in the Application of Carbon-Bearing Materials in Blast Furnace Iron-Making","URL":"http://www.mdpi.com/2075-163X/8/12/561","volume":"8","author":[{"family":"Ahmed","given":"Hesham"}],"accessed":{"date-parts":[["2022",6,27]]},"issued":{"date-parts":[["2018",12,1]]}}}],"schema":"https://github.com/citation-style-language/schema/raw/master/csl-citation.json"} </w:instrText>
      </w:r>
      <w:r w:rsidR="00A92F61">
        <w:fldChar w:fldCharType="separate"/>
      </w:r>
      <w:r w:rsidR="00192334" w:rsidRPr="00192334">
        <w:rPr>
          <w:rFonts w:ascii="Calibri" w:hAnsi="Calibri" w:cs="Calibri"/>
        </w:rPr>
        <w:t>(Ahmed, 2018)</w:t>
      </w:r>
      <w:r w:rsidR="00A92F61">
        <w:fldChar w:fldCharType="end"/>
      </w:r>
      <w:r w:rsidR="00A92F61">
        <w:t xml:space="preserve">. </w:t>
      </w:r>
    </w:p>
    <w:p w14:paraId="3E56D0CE" w14:textId="77777777" w:rsidR="00A92F61" w:rsidRDefault="00A92F61" w:rsidP="00A92F61">
      <w:pPr>
        <w:spacing w:line="360" w:lineRule="auto"/>
        <w:jc w:val="both"/>
        <w:rPr>
          <w:noProof/>
        </w:rPr>
      </w:pPr>
      <w:r w:rsidRPr="0090224D">
        <w:rPr>
          <w:noProof/>
        </w:rPr>
        <w:t xml:space="preserve"> </w:t>
      </w:r>
      <w:r w:rsidRPr="0090224D">
        <w:rPr>
          <w:noProof/>
        </w:rPr>
        <w:drawing>
          <wp:inline distT="0" distB="0" distL="0" distR="0" wp14:anchorId="30EF6813" wp14:editId="6B785F04">
            <wp:extent cx="4389120" cy="2312198"/>
            <wp:effectExtent l="0" t="0" r="0" b="0"/>
            <wp:docPr id="50" name="Picture 5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Diagram&#10;&#10;Description automatically generated"/>
                    <pic:cNvPicPr/>
                  </pic:nvPicPr>
                  <pic:blipFill>
                    <a:blip r:embed="rId69"/>
                    <a:stretch>
                      <a:fillRect/>
                    </a:stretch>
                  </pic:blipFill>
                  <pic:spPr>
                    <a:xfrm>
                      <a:off x="0" y="0"/>
                      <a:ext cx="4391218" cy="2313303"/>
                    </a:xfrm>
                    <a:prstGeom prst="rect">
                      <a:avLst/>
                    </a:prstGeom>
                  </pic:spPr>
                </pic:pic>
              </a:graphicData>
            </a:graphic>
          </wp:inline>
        </w:drawing>
      </w:r>
    </w:p>
    <w:p w14:paraId="6B95FB13" w14:textId="090A59F4" w:rsidR="00A92F61" w:rsidRPr="00A92F61" w:rsidRDefault="00A92F61" w:rsidP="00A92F61">
      <w:pPr>
        <w:pStyle w:val="Caption"/>
        <w:rPr>
          <w:noProof/>
        </w:rPr>
      </w:pPr>
      <w:bookmarkStart w:id="77" w:name="_Toc127110927"/>
      <w:r>
        <w:t xml:space="preserve">Figure </w:t>
      </w:r>
      <w:fldSimple w:instr=" SEQ Figure \* ARABIC ">
        <w:r w:rsidR="00A0212F">
          <w:rPr>
            <w:noProof/>
          </w:rPr>
          <w:t>33</w:t>
        </w:r>
      </w:fldSimple>
      <w:r>
        <w:t xml:space="preserve"> The lower zone of the BF </w:t>
      </w:r>
      <w:r>
        <w:fldChar w:fldCharType="begin"/>
      </w:r>
      <w:r w:rsidR="00192334">
        <w:instrText xml:space="preserve"> ADDIN ZOTERO_ITEM CSL_CITATION {"citationID":"BKPy5Hcw","properties":{"formattedCitation":"(Ahmed, 2018)","plainCitation":"(Ahmed, 2018)","noteIndex":0},"citationItems":[{"id":1670,"uris":["http://zotero.org/users/local/AB2owHL2/items/EAIZ2HHB"],"itemData":{"id":1670,"type":"article-journal","abstract":"The iron and steel industry is still dependent on fossil coking coal. About 70% of the total steel production relies directly on fossil coal and coke inputs. Therefore, steel production contributes by ~7% of the global CO2 emission. The reduction of CO2 emission has been given highest priority by the iron- and steel-making sector due to the commitment of governments to mitigate CO2 emission according to Kyoto protocol. Utilization of auxiliary carbonaceous materials in the blast furnace and other iron-making technologies is one of the most efﬁcient options to reduce the coke consumption and, consequently, the CO2 emission. The present review gives an insight of the trends in the applications of auxiliary carbon-bearing material in iron-making processes. Partial substitution of top charged coke by nut coke, lump charcoal, or carbon composite agglomerates were found to not only decrease the dependency on virgin fossil carbon, but also improve the blast furnace performance and increase the productivity. Partial or complete substitution of pulverized coal by waste plastics or renewable carbon-bearing materials like waste plastics or biomass help in mitigating the CO2 emission due to its high H2 content compared to fossil carbon. Injecting such reactive materials results in improved combustion and reduced coke consumption. Moreover, utilization of integrated steel plant ﬁnes and gases becomes necessary to achieve proﬁtability to steel mill operation from both economic and environmental aspects. Recycling of such results in recovering the valuable components and thereby decrease the energy consumption and the need of landﬁlls at the steel plants as well as reduce the consumption of virgin materials and reduce CO2 emission. On the other hand, developed technologies for iron-making rather than blast furnace opens a window and provide a good opportunity to utilize auxiliary carbon-bearing materials that are difﬁcult to utilize in conventional blast furnace iron-making.","container-title":"Minerals","DOI":"10.3390/min8120561","ISSN":"2075-163X","issue":"12","journalAbbreviation":"Minerals","language":"en","page":"561","source":"DOI.org (Crossref)","title":"New Trends in the Application of Carbon-Bearing Materials in Blast Furnace Iron-Making","URL":"http://www.mdpi.com/2075-163X/8/12/561","volume":"8","author":[{"family":"Ahmed","given":"Hesham"}],"accessed":{"date-parts":[["2022",6,27]]},"issued":{"date-parts":[["2018",12,1]]}}}],"schema":"https://github.com/citation-style-language/schema/raw/master/csl-citation.json"} </w:instrText>
      </w:r>
      <w:r>
        <w:fldChar w:fldCharType="separate"/>
      </w:r>
      <w:r w:rsidR="00192334" w:rsidRPr="00192334">
        <w:rPr>
          <w:rFonts w:ascii="Calibri" w:hAnsi="Calibri" w:cs="Calibri"/>
        </w:rPr>
        <w:t>(Ahmed, 2018)</w:t>
      </w:r>
      <w:r>
        <w:fldChar w:fldCharType="end"/>
      </w:r>
      <w:r>
        <w:t>.</w:t>
      </w:r>
      <w:bookmarkEnd w:id="77"/>
    </w:p>
    <w:p w14:paraId="25C0ACE2" w14:textId="77BC94E0" w:rsidR="00F11347" w:rsidRDefault="00F11347" w:rsidP="00F11347">
      <w:pPr>
        <w:spacing w:line="360" w:lineRule="auto"/>
        <w:jc w:val="both"/>
      </w:pPr>
      <w:r>
        <w:t xml:space="preserve">The </w:t>
      </w:r>
      <w:r w:rsidR="008B50A3">
        <w:t>DTF can be used to characterise burnout behaviour of fuel injected into the BF as the environment in the DTF closely resembles the BF raceway</w:t>
      </w:r>
      <w:r w:rsidR="00FD15E8">
        <w:t xml:space="preserve"> </w:t>
      </w:r>
      <w:r w:rsidR="00FD15E8">
        <w:fldChar w:fldCharType="begin"/>
      </w:r>
      <w:r w:rsidR="00192334">
        <w:instrText xml:space="preserve"> ADDIN ZOTERO_ITEM CSL_CITATION {"citationID":"NtguTtTJ","properties":{"formattedCitation":"(Steer {\\i{}et al.}, 2015)","plainCitation":"(Steer et al., 2015)","noteIndex":0},"citationItems":[{"id":2003,"uris":["http://zotero.org/users/local/AB2owHL2/items/Q6C8HKE8"],"itemData":{"id":2003,"type":"article-journal","abstract":"Coal injection plays an important role to the economic success of ironmaking by substituting a portion of the coke input and improving the blast furnace productivity. Manufacturers are looking at opportunities to increase their coal selection options by using higher proportions of technically challenging lower volatile matter content coals; this paper investigates the kinetics, devolatilisation and burnout of these in granulated coal blends using thermogravimetric analysis (TGA) and a drop tube furnace (DTF). The char residue from the semi-anthracitic low volatile coal selected for this blending investigation had a much reduced reactivity at higher conversions which affected the blends in different ways. Burnout of the blends with the low volatile bituminous coals was improved by fragmentation of the granulated particles, but at longer residence times the lower reactivity of the more structurally ordered carbon in the semi anthracitic coal dominated. In contrast, the higher volatile coals showed improvements at low residence times corresponding to rapid volatile loss, but also showed non-additive blend improvement at longer residence times which may be explained by the more obvious presence of included minerals and the higher K/Al ratios associated with illite mineral phases known to improve burnout.","collection-title":"The 10th European Conference on Coal Research and its Applications","container-title":"Fuel","DOI":"10.1016/j.fuel.2014.12.060","ISSN":"0016-2361","journalAbbreviation":"Fuel","language":"en","page":"40-49","source":"ScienceDirect","title":"Opportunities to improve the utilisation of granulated coals for blast furnace injection","URL":"https://www.sciencedirect.com/science/article/pii/S0016236114012691","volume":"151","author":[{"family":"Steer","given":"Julian M."},{"family":"Marsh","given":"Richard"},{"family":"Greenslade","given":"Mark"},{"family":"Robinson","given":"Andrew"}],"accessed":{"date-parts":[["2022",10,12]]},"issued":{"date-parts":[["2015",7,1]]}}}],"schema":"https://github.com/citation-style-language/schema/raw/master/csl-citation.json"} </w:instrText>
      </w:r>
      <w:r w:rsidR="00FD15E8">
        <w:fldChar w:fldCharType="separate"/>
      </w:r>
      <w:r w:rsidR="00192334" w:rsidRPr="00192334">
        <w:rPr>
          <w:rFonts w:ascii="Calibri" w:hAnsi="Calibri" w:cs="Calibri"/>
          <w:szCs w:val="24"/>
        </w:rPr>
        <w:t xml:space="preserve">(Steer </w:t>
      </w:r>
      <w:r w:rsidR="00192334" w:rsidRPr="00192334">
        <w:rPr>
          <w:rFonts w:ascii="Calibri" w:hAnsi="Calibri" w:cs="Calibri"/>
          <w:i/>
          <w:iCs/>
          <w:szCs w:val="24"/>
        </w:rPr>
        <w:t>et al.</w:t>
      </w:r>
      <w:r w:rsidR="00192334" w:rsidRPr="00192334">
        <w:rPr>
          <w:rFonts w:ascii="Calibri" w:hAnsi="Calibri" w:cs="Calibri"/>
          <w:szCs w:val="24"/>
        </w:rPr>
        <w:t>, 2015)</w:t>
      </w:r>
      <w:r w:rsidR="00FD15E8">
        <w:fldChar w:fldCharType="end"/>
      </w:r>
      <w:r w:rsidR="008B50A3">
        <w:t>. The burnout or combustion efficiency for the biochar samples and T-coal are:</w:t>
      </w:r>
    </w:p>
    <w:p w14:paraId="47D81F09" w14:textId="23CBA747" w:rsidR="00FD15E8" w:rsidRDefault="00FD15E8" w:rsidP="00FD15E8">
      <w:pPr>
        <w:pStyle w:val="Caption"/>
        <w:keepNext/>
        <w:spacing w:line="360" w:lineRule="auto"/>
        <w:jc w:val="center"/>
      </w:pPr>
      <w:r>
        <w:lastRenderedPageBreak/>
        <w:t xml:space="preserve">Table </w:t>
      </w:r>
      <w:fldSimple w:instr=" SEQ Table \* ARABIC ">
        <w:r w:rsidR="00DA2639">
          <w:rPr>
            <w:noProof/>
          </w:rPr>
          <w:t>8</w:t>
        </w:r>
      </w:fldSimple>
      <w:r>
        <w:t xml:space="preserve"> The burnout efficiency of T-coal and the biochar</w:t>
      </w:r>
    </w:p>
    <w:tbl>
      <w:tblPr>
        <w:tblW w:w="4930" w:type="dxa"/>
        <w:tblInd w:w="2092" w:type="dxa"/>
        <w:tblLook w:val="04A0" w:firstRow="1" w:lastRow="0" w:firstColumn="1" w:lastColumn="0" w:noHBand="0" w:noVBand="1"/>
      </w:tblPr>
      <w:tblGrid>
        <w:gridCol w:w="1739"/>
        <w:gridCol w:w="982"/>
        <w:gridCol w:w="1084"/>
        <w:gridCol w:w="1125"/>
      </w:tblGrid>
      <w:tr w:rsidR="00944ECA" w:rsidRPr="00944ECA" w14:paraId="20A82C84" w14:textId="77777777" w:rsidTr="00FD15E8">
        <w:trPr>
          <w:trHeight w:val="600"/>
        </w:trPr>
        <w:tc>
          <w:tcPr>
            <w:tcW w:w="1739" w:type="dxa"/>
            <w:tcBorders>
              <w:top w:val="single" w:sz="8" w:space="0" w:color="auto"/>
              <w:left w:val="single" w:sz="8" w:space="0" w:color="auto"/>
              <w:bottom w:val="single" w:sz="4" w:space="0" w:color="auto"/>
              <w:right w:val="single" w:sz="4" w:space="0" w:color="auto"/>
            </w:tcBorders>
            <w:shd w:val="clear" w:color="000000" w:fill="EDEDED"/>
            <w:noWrap/>
            <w:vAlign w:val="center"/>
            <w:hideMark/>
          </w:tcPr>
          <w:p w14:paraId="086E9E17"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Burnout (%)</w:t>
            </w:r>
          </w:p>
        </w:tc>
        <w:tc>
          <w:tcPr>
            <w:tcW w:w="982" w:type="dxa"/>
            <w:tcBorders>
              <w:top w:val="single" w:sz="8" w:space="0" w:color="auto"/>
              <w:left w:val="nil"/>
              <w:bottom w:val="single" w:sz="4" w:space="0" w:color="auto"/>
              <w:right w:val="single" w:sz="4" w:space="0" w:color="auto"/>
            </w:tcBorders>
            <w:shd w:val="clear" w:color="000000" w:fill="EDEDED"/>
            <w:noWrap/>
            <w:vAlign w:val="center"/>
            <w:hideMark/>
          </w:tcPr>
          <w:p w14:paraId="16B38517"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T - Coal</w:t>
            </w:r>
          </w:p>
        </w:tc>
        <w:tc>
          <w:tcPr>
            <w:tcW w:w="1084" w:type="dxa"/>
            <w:tcBorders>
              <w:top w:val="single" w:sz="8" w:space="0" w:color="auto"/>
              <w:left w:val="nil"/>
              <w:bottom w:val="single" w:sz="4" w:space="0" w:color="auto"/>
              <w:right w:val="single" w:sz="4" w:space="0" w:color="auto"/>
            </w:tcBorders>
            <w:shd w:val="clear" w:color="000000" w:fill="EDEDED"/>
            <w:noWrap/>
            <w:vAlign w:val="center"/>
            <w:hideMark/>
          </w:tcPr>
          <w:p w14:paraId="000587B2"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Biochar 1</w:t>
            </w:r>
          </w:p>
        </w:tc>
        <w:tc>
          <w:tcPr>
            <w:tcW w:w="1125" w:type="dxa"/>
            <w:tcBorders>
              <w:top w:val="single" w:sz="8" w:space="0" w:color="auto"/>
              <w:left w:val="nil"/>
              <w:bottom w:val="single" w:sz="4" w:space="0" w:color="auto"/>
              <w:right w:val="single" w:sz="8" w:space="0" w:color="auto"/>
            </w:tcBorders>
            <w:shd w:val="clear" w:color="000000" w:fill="EDEDED"/>
            <w:noWrap/>
            <w:vAlign w:val="center"/>
            <w:hideMark/>
          </w:tcPr>
          <w:p w14:paraId="6F335DF3"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Biochar 2</w:t>
            </w:r>
          </w:p>
        </w:tc>
      </w:tr>
      <w:tr w:rsidR="00944ECA" w:rsidRPr="00944ECA" w14:paraId="37BEF1FE" w14:textId="77777777" w:rsidTr="00FD15E8">
        <w:trPr>
          <w:trHeight w:val="360"/>
        </w:trPr>
        <w:tc>
          <w:tcPr>
            <w:tcW w:w="1739" w:type="dxa"/>
            <w:tcBorders>
              <w:top w:val="nil"/>
              <w:left w:val="single" w:sz="8" w:space="0" w:color="auto"/>
              <w:bottom w:val="single" w:sz="4" w:space="0" w:color="auto"/>
              <w:right w:val="single" w:sz="4" w:space="0" w:color="auto"/>
            </w:tcBorders>
            <w:shd w:val="clear" w:color="000000" w:fill="EDEDED"/>
            <w:noWrap/>
            <w:vAlign w:val="center"/>
            <w:hideMark/>
          </w:tcPr>
          <w:p w14:paraId="6EC08151"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35ms</w:t>
            </w:r>
          </w:p>
        </w:tc>
        <w:tc>
          <w:tcPr>
            <w:tcW w:w="982" w:type="dxa"/>
            <w:tcBorders>
              <w:top w:val="nil"/>
              <w:left w:val="nil"/>
              <w:bottom w:val="single" w:sz="4" w:space="0" w:color="auto"/>
              <w:right w:val="single" w:sz="4" w:space="0" w:color="auto"/>
            </w:tcBorders>
            <w:shd w:val="clear" w:color="000000" w:fill="EDEDED"/>
            <w:noWrap/>
            <w:vAlign w:val="center"/>
            <w:hideMark/>
          </w:tcPr>
          <w:p w14:paraId="6A2DF78F"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13.3</w:t>
            </w:r>
          </w:p>
        </w:tc>
        <w:tc>
          <w:tcPr>
            <w:tcW w:w="1084" w:type="dxa"/>
            <w:tcBorders>
              <w:top w:val="nil"/>
              <w:left w:val="nil"/>
              <w:bottom w:val="single" w:sz="4" w:space="0" w:color="auto"/>
              <w:right w:val="single" w:sz="4" w:space="0" w:color="auto"/>
            </w:tcBorders>
            <w:shd w:val="clear" w:color="000000" w:fill="EDEDED"/>
            <w:noWrap/>
            <w:vAlign w:val="center"/>
            <w:hideMark/>
          </w:tcPr>
          <w:p w14:paraId="007F21F6"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46.09</w:t>
            </w:r>
          </w:p>
        </w:tc>
        <w:tc>
          <w:tcPr>
            <w:tcW w:w="1125" w:type="dxa"/>
            <w:tcBorders>
              <w:top w:val="nil"/>
              <w:left w:val="nil"/>
              <w:bottom w:val="single" w:sz="4" w:space="0" w:color="auto"/>
              <w:right w:val="single" w:sz="8" w:space="0" w:color="auto"/>
            </w:tcBorders>
            <w:shd w:val="clear" w:color="000000" w:fill="EDEDED"/>
            <w:noWrap/>
            <w:vAlign w:val="center"/>
            <w:hideMark/>
          </w:tcPr>
          <w:p w14:paraId="28469B42"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71.97</w:t>
            </w:r>
          </w:p>
        </w:tc>
      </w:tr>
      <w:tr w:rsidR="00944ECA" w:rsidRPr="00944ECA" w14:paraId="067BB908" w14:textId="77777777" w:rsidTr="00FD15E8">
        <w:trPr>
          <w:trHeight w:val="360"/>
        </w:trPr>
        <w:tc>
          <w:tcPr>
            <w:tcW w:w="1739" w:type="dxa"/>
            <w:tcBorders>
              <w:top w:val="nil"/>
              <w:left w:val="single" w:sz="8" w:space="0" w:color="auto"/>
              <w:bottom w:val="single" w:sz="4" w:space="0" w:color="auto"/>
              <w:right w:val="single" w:sz="4" w:space="0" w:color="auto"/>
            </w:tcBorders>
            <w:shd w:val="clear" w:color="000000" w:fill="EDEDED"/>
            <w:noWrap/>
            <w:vAlign w:val="center"/>
            <w:hideMark/>
          </w:tcPr>
          <w:p w14:paraId="33567966"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700ms</w:t>
            </w:r>
          </w:p>
        </w:tc>
        <w:tc>
          <w:tcPr>
            <w:tcW w:w="982" w:type="dxa"/>
            <w:tcBorders>
              <w:top w:val="nil"/>
              <w:left w:val="nil"/>
              <w:bottom w:val="single" w:sz="4" w:space="0" w:color="auto"/>
              <w:right w:val="single" w:sz="4" w:space="0" w:color="auto"/>
            </w:tcBorders>
            <w:shd w:val="clear" w:color="000000" w:fill="EDEDED"/>
            <w:noWrap/>
            <w:vAlign w:val="center"/>
            <w:hideMark/>
          </w:tcPr>
          <w:p w14:paraId="177C113A"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58.7</w:t>
            </w:r>
          </w:p>
        </w:tc>
        <w:tc>
          <w:tcPr>
            <w:tcW w:w="1084" w:type="dxa"/>
            <w:tcBorders>
              <w:top w:val="nil"/>
              <w:left w:val="nil"/>
              <w:bottom w:val="single" w:sz="4" w:space="0" w:color="auto"/>
              <w:right w:val="single" w:sz="4" w:space="0" w:color="auto"/>
            </w:tcBorders>
            <w:shd w:val="clear" w:color="000000" w:fill="EDEDED"/>
            <w:noWrap/>
            <w:vAlign w:val="center"/>
            <w:hideMark/>
          </w:tcPr>
          <w:p w14:paraId="0DADA960"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86.01</w:t>
            </w:r>
          </w:p>
        </w:tc>
        <w:tc>
          <w:tcPr>
            <w:tcW w:w="1125" w:type="dxa"/>
            <w:tcBorders>
              <w:top w:val="nil"/>
              <w:left w:val="nil"/>
              <w:bottom w:val="single" w:sz="4" w:space="0" w:color="auto"/>
              <w:right w:val="single" w:sz="8" w:space="0" w:color="auto"/>
            </w:tcBorders>
            <w:shd w:val="clear" w:color="000000" w:fill="EDEDED"/>
            <w:noWrap/>
            <w:vAlign w:val="center"/>
            <w:hideMark/>
          </w:tcPr>
          <w:p w14:paraId="5A479068" w14:textId="77777777" w:rsidR="00944ECA" w:rsidRPr="00944ECA" w:rsidRDefault="00944ECA" w:rsidP="00E42F17">
            <w:pPr>
              <w:spacing w:after="0" w:line="240" w:lineRule="auto"/>
              <w:jc w:val="center"/>
              <w:rPr>
                <w:rFonts w:ascii="Calibri" w:eastAsia="Times New Roman" w:hAnsi="Calibri" w:cs="Calibri"/>
                <w:color w:val="000000"/>
                <w:lang w:eastAsia="en-GB"/>
              </w:rPr>
            </w:pPr>
            <w:r w:rsidRPr="00944ECA">
              <w:rPr>
                <w:rFonts w:ascii="Calibri" w:eastAsia="Times New Roman" w:hAnsi="Calibri" w:cs="Calibri"/>
                <w:color w:val="000000"/>
                <w:lang w:eastAsia="en-GB"/>
              </w:rPr>
              <w:t>91.47</w:t>
            </w:r>
          </w:p>
        </w:tc>
      </w:tr>
    </w:tbl>
    <w:p w14:paraId="7BA9E2AC" w14:textId="1191AC43" w:rsidR="00684B53" w:rsidRDefault="00684B53" w:rsidP="00684B53">
      <w:pPr>
        <w:spacing w:line="360" w:lineRule="auto"/>
        <w:jc w:val="both"/>
      </w:pPr>
    </w:p>
    <w:p w14:paraId="1C8A3C37" w14:textId="1090CFFD" w:rsidR="00FD15E8" w:rsidRDefault="00FD15E8" w:rsidP="00FD15E8">
      <w:pPr>
        <w:spacing w:line="360" w:lineRule="auto"/>
        <w:jc w:val="center"/>
      </w:pPr>
      <w:r>
        <w:rPr>
          <w:noProof/>
        </w:rPr>
        <w:drawing>
          <wp:inline distT="0" distB="0" distL="0" distR="0" wp14:anchorId="363DA523" wp14:editId="35D74272">
            <wp:extent cx="5343277" cy="2560320"/>
            <wp:effectExtent l="0" t="0" r="10160" b="11430"/>
            <wp:docPr id="16" name="Chart 16">
              <a:extLst xmlns:a="http://schemas.openxmlformats.org/drawingml/2006/main">
                <a:ext uri="{FF2B5EF4-FFF2-40B4-BE49-F238E27FC236}">
                  <a16:creationId xmlns:a16="http://schemas.microsoft.com/office/drawing/2014/main" id="{8B6C61C6-3D17-B6C2-8C02-71A729E16B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3192F4FD" w14:textId="5FB32168" w:rsidR="00215E95" w:rsidRDefault="00CD5621" w:rsidP="00CD5621">
      <w:pPr>
        <w:pStyle w:val="Caption"/>
        <w:jc w:val="center"/>
      </w:pPr>
      <w:bookmarkStart w:id="78" w:name="_Toc127110928"/>
      <w:r>
        <w:t xml:space="preserve">Figure </w:t>
      </w:r>
      <w:fldSimple w:instr=" SEQ Figure \* ARABIC ">
        <w:r w:rsidR="00A0212F">
          <w:rPr>
            <w:noProof/>
          </w:rPr>
          <w:t>34</w:t>
        </w:r>
      </w:fldSimple>
      <w:r>
        <w:t xml:space="preserve"> </w:t>
      </w:r>
      <w:r w:rsidR="00CC628B">
        <w:t>Graph showing the burnout efficiency of T-coal and biochar</w:t>
      </w:r>
      <w:bookmarkEnd w:id="78"/>
    </w:p>
    <w:p w14:paraId="6E56A991" w14:textId="3EC48FDD" w:rsidR="0045366E" w:rsidRDefault="00451378" w:rsidP="000D2BC6">
      <w:pPr>
        <w:spacing w:line="360" w:lineRule="auto"/>
        <w:jc w:val="both"/>
      </w:pPr>
      <w:r>
        <w:t>I</w:t>
      </w:r>
      <w:r w:rsidR="00BC01AF">
        <w:t>t can be seen from table 8 and figure 3</w:t>
      </w:r>
      <w:r w:rsidR="007C00B4">
        <w:t>4</w:t>
      </w:r>
      <w:r w:rsidR="00BC01AF">
        <w:t xml:space="preserve"> that the burnout efficiency of the </w:t>
      </w:r>
      <w:r w:rsidR="0052487A">
        <w:t>biochar is higher than that of the T-coal</w:t>
      </w:r>
      <w:r w:rsidR="00DE07B3">
        <w:t xml:space="preserve">. This would mean less char </w:t>
      </w:r>
      <w:r w:rsidR="001719B3">
        <w:t xml:space="preserve">would escape the raceway into </w:t>
      </w:r>
      <w:r w:rsidR="00047751">
        <w:t>the active coke zone</w:t>
      </w:r>
      <w:r w:rsidR="00FA3F28">
        <w:t xml:space="preserve"> and benefit BF productivity. </w:t>
      </w:r>
      <w:r w:rsidR="00FA3F28">
        <w:fldChar w:fldCharType="begin"/>
      </w:r>
      <w:r w:rsidR="00192334">
        <w:instrText xml:space="preserve"> ADDIN ZOTERO_ITEM CSL_CITATION {"citationID":"t7hOCZRk","properties":{"formattedCitation":"(Babich, Senk and Fernandez, 2010; Ng {\\i{}et al.}, 2011)","plainCitation":"(Babich, Senk and Fernandez, 2010; Ng et al., 2011)","noteIndex":0},"citationItems":[{"id":1828,"uris":["http://zotero.org/users/local/AB2owHL2/items/ERJ5VU9V"],"itemData":{"id":1828,"type":"article-journal","abstract":"Nowadays the use of charcoal in metallurgy is intimately linked to small blast furnaces in Brazil. Due to the challenge for CO2 mitigation, interest for charcoal use as a renewable energy source is rising. In the scope of European efforts to mitigate carbon dioxide emissions in the steel industry in the post-Kyoto period, the use of charcoal in cokemaking and ironmaking has been investigated. This paper presents results of an experimental study on charcoal behaviour under the blast furnace simulating conditions performed at the Department of Ferrous Metallurgy, RWTH Aachen University and at the National Centre for Metallurgical Investigations, Madrid. Conditions in the raceway and in the furnace shaft were simulated using thermo-analytical, laboratory and pilot facilities. Charcoal samples were produced in two furnaces for pyrolysis from different wood types at various carbonisation conditions. Furthermore technological and ecological assessment of blast furnace process when injecting different types of charcoal was performed using a mathematical model. All the experiments and calculations were also performed with reference mineral coals for injection. Conversion efficiency of all the tested charcoals is better or comparable with coals. Change in coke rate, furnace productivity and further operation parameters when replacing pulverised coal with charcoal depends on charcoal ash content and composition.","container-title":"ISIJ International","DOI":"10.2355/isijinternational.50.81","issue":"1","page":"81-88","source":"J-Stage","title":"Charcoal Behaviour by Its Injection into the Modern Blast Furnace","volume":"50","author":[{"family":"Babich","given":"Alexander"},{"family":"Senk","given":"Dieter"},{"family":"Fernandez","given":"Miguel"}],"issued":{"date-parts":[["2010"]]}},"label":"page"},{"id":1831,"uris":["http://zotero.org/users/local/AB2owHL2/items/HNWUJS22"],"itemData":{"id":1831,"type":"article-journal","abstract":"Incorporation of biomass-derived materials in coal blends for cokemaking is one of the strategies that could reduce the levels of greenhouse gas emissions produced by the steelmaking process. Bio-coke refers to the resultant coke prepared with the addition of charcoal to a coal blend. In this work, characteristics of bio-coke gasification by reacting with CO2 were examined using Thermal Gravimetric Analysis. Bio-coke samples with different levels of charcoal addition to a coal blend were prepared in the CanmetENERGY pilot-scale coke oven. These samples were heated in CO2 for identification of the minimum gasification temperature. Sample gasification rates at 1000°C were also measured. It was observed that mineral content plays an important role in the gasification characteristics of the bio-cokes. Those with low mineral content behave very similarly to the reference coke. Higher mineral content bio-coke reacts with CO2 at a lower temperature. It was found that the gasification characteristics of the bio-cokes are well described by the alkalinity index.","collection-title":"Selected Papers from the International Conference Coal Science and Technology 2009","container-title":"Fuel Processing Technology","DOI":"10.1016/j.fuproc.2010.08.005","ISSN":"0378-3820","issue":"4","journalAbbreviation":"Fuel Processing Technology","language":"en","page":"801-804","source":"ScienceDirect","title":"Reactivity of bio-coke with CO2","URL":"https://www.sciencedirect.com/science/article/pii/S0378382010002596","volume":"92","author":[{"family":"Ng","given":"K. W."},{"family":"MacPhee","given":"J. A."},{"family":"Giroux","given":"L."},{"family":"Todoschuk","given":"Ted"}],"accessed":{"date-parts":[["2022",7,25]]},"issued":{"date-parts":[["2011",4,1]]}},"label":"page"}],"schema":"https://github.com/citation-style-language/schema/raw/master/csl-citation.json"} </w:instrText>
      </w:r>
      <w:r w:rsidR="00FA3F28">
        <w:fldChar w:fldCharType="separate"/>
      </w:r>
      <w:r w:rsidR="00192334" w:rsidRPr="00192334">
        <w:rPr>
          <w:rFonts w:ascii="Calibri" w:hAnsi="Calibri" w:cs="Calibri"/>
          <w:szCs w:val="24"/>
        </w:rPr>
        <w:t xml:space="preserve">(Babich, Senk and Fernandez, 2010; Ng </w:t>
      </w:r>
      <w:r w:rsidR="00192334" w:rsidRPr="00192334">
        <w:rPr>
          <w:rFonts w:ascii="Calibri" w:hAnsi="Calibri" w:cs="Calibri"/>
          <w:i/>
          <w:iCs/>
          <w:szCs w:val="24"/>
        </w:rPr>
        <w:t>et al.</w:t>
      </w:r>
      <w:r w:rsidR="00192334" w:rsidRPr="00192334">
        <w:rPr>
          <w:rFonts w:ascii="Calibri" w:hAnsi="Calibri" w:cs="Calibri"/>
          <w:szCs w:val="24"/>
        </w:rPr>
        <w:t>, 2011)</w:t>
      </w:r>
      <w:r w:rsidR="00FA3F28">
        <w:fldChar w:fldCharType="end"/>
      </w:r>
      <w:r w:rsidR="00FA3F28">
        <w:t xml:space="preserve"> propose that this may be due to the higher specific surface areas of charcoals compared with PCI coals. </w:t>
      </w:r>
    </w:p>
    <w:p w14:paraId="0DB3FF83" w14:textId="77777777" w:rsidR="0045366E" w:rsidRDefault="0045366E" w:rsidP="0045366E">
      <w:pPr>
        <w:spacing w:line="360" w:lineRule="auto"/>
        <w:jc w:val="both"/>
      </w:pPr>
      <w:r>
        <w:t>However, it is inevitable that when using PCI, that some char will escape from the raceway into the coke active zone, because of the short residence time and high injection rates.</w:t>
      </w:r>
    </w:p>
    <w:p w14:paraId="7475DB58" w14:textId="7E145D92" w:rsidR="000D2BC6" w:rsidRDefault="00E80083" w:rsidP="000D2BC6">
      <w:pPr>
        <w:spacing w:line="360" w:lineRule="auto"/>
        <w:jc w:val="both"/>
      </w:pPr>
      <w:r>
        <w:t xml:space="preserve">The </w:t>
      </w:r>
      <w:r w:rsidR="00D73F25">
        <w:t>char reactions in the raceway are</w:t>
      </w:r>
      <w:r w:rsidR="0081571D">
        <w:t xml:space="preserve"> A)</w:t>
      </w:r>
      <w:r w:rsidR="00D73F25">
        <w:t xml:space="preserve"> </w:t>
      </w:r>
      <w:proofErr w:type="spellStart"/>
      <w:r w:rsidR="00D73F25">
        <w:t>devolatisation</w:t>
      </w:r>
      <w:proofErr w:type="spellEnd"/>
      <w:r w:rsidR="00D73F25">
        <w:t xml:space="preserve"> and</w:t>
      </w:r>
      <w:r w:rsidR="0081571D">
        <w:t xml:space="preserve"> B)</w:t>
      </w:r>
      <w:r w:rsidR="00D73F25">
        <w:t xml:space="preserve"> char combustion</w:t>
      </w:r>
      <w:r w:rsidR="0029636D">
        <w:t xml:space="preserve"> which can be written as:</w:t>
      </w:r>
    </w:p>
    <w:p w14:paraId="5A4B69A1" w14:textId="0FA1426F" w:rsidR="003D340E" w:rsidRPr="007C00B4" w:rsidRDefault="006E55BC" w:rsidP="007C00B4">
      <w:pPr>
        <w:pStyle w:val="NormalWeb"/>
        <w:numPr>
          <w:ilvl w:val="0"/>
          <w:numId w:val="14"/>
        </w:numPr>
        <w:spacing w:before="0" w:beforeAutospacing="0" w:after="0" w:afterAutospacing="0" w:line="360" w:lineRule="auto"/>
        <w:jc w:val="both"/>
        <w:rPr>
          <w:rStyle w:val="label"/>
          <w:rFonts w:asciiTheme="minorHAnsi" w:eastAsiaTheme="minorEastAsia" w:hAnsiTheme="minorHAnsi" w:cstheme="minorHAnsi"/>
          <w:sz w:val="22"/>
          <w:szCs w:val="22"/>
        </w:rPr>
      </w:pPr>
      <w:proofErr w:type="spellStart"/>
      <w:r w:rsidRPr="007C00B4">
        <w:rPr>
          <w:rStyle w:val="mjxassistivemathml"/>
          <w:rFonts w:asciiTheme="minorHAnsi" w:eastAsiaTheme="minorEastAsia" w:hAnsiTheme="minorHAnsi" w:cstheme="minorHAnsi"/>
          <w:sz w:val="22"/>
          <w:szCs w:val="22"/>
          <w:bdr w:val="none" w:sz="0" w:space="0" w:color="auto" w:frame="1"/>
        </w:rPr>
        <w:t>Biochar→</w:t>
      </w:r>
      <w:r w:rsidRPr="007C00B4">
        <w:rPr>
          <w:rStyle w:val="mjxassistivemathml"/>
          <w:rFonts w:asciiTheme="minorHAnsi" w:eastAsiaTheme="minorEastAsia" w:hAnsiTheme="minorHAnsi" w:cstheme="minorHAnsi"/>
          <w:sz w:val="22"/>
          <w:szCs w:val="22"/>
          <w:bdr w:val="none" w:sz="0" w:space="0" w:color="auto" w:frame="1"/>
          <w:vertAlign w:val="superscript"/>
        </w:rPr>
        <w:t>Rr</w:t>
      </w:r>
      <w:r w:rsidRPr="007C00B4">
        <w:rPr>
          <w:rStyle w:val="mjxassistivemathml"/>
          <w:rFonts w:asciiTheme="minorHAnsi" w:eastAsiaTheme="minorEastAsia" w:hAnsiTheme="minorHAnsi" w:cstheme="minorHAnsi"/>
          <w:sz w:val="22"/>
          <w:szCs w:val="22"/>
          <w:bdr w:val="none" w:sz="0" w:space="0" w:color="auto" w:frame="1"/>
        </w:rPr>
        <w:t>VM+Char</w:t>
      </w:r>
      <w:proofErr w:type="spellEnd"/>
      <w:r w:rsidR="006E7039" w:rsidRPr="007C00B4">
        <w:rPr>
          <w:rStyle w:val="mjxassistivemathml"/>
          <w:rFonts w:asciiTheme="minorHAnsi" w:eastAsiaTheme="minorEastAsia" w:hAnsiTheme="minorHAnsi" w:cstheme="minorHAnsi"/>
          <w:sz w:val="22"/>
          <w:szCs w:val="22"/>
          <w:bdr w:val="none" w:sz="0" w:space="0" w:color="auto" w:frame="1"/>
        </w:rPr>
        <w:t xml:space="preserve"> </w:t>
      </w:r>
    </w:p>
    <w:p w14:paraId="40F99921" w14:textId="7B8B6D21" w:rsidR="003D340E" w:rsidRPr="007C00B4" w:rsidRDefault="006E55BC" w:rsidP="007C00B4">
      <w:pPr>
        <w:pStyle w:val="NormalWeb"/>
        <w:numPr>
          <w:ilvl w:val="0"/>
          <w:numId w:val="14"/>
        </w:numPr>
        <w:spacing w:before="0" w:beforeAutospacing="0" w:after="0" w:afterAutospacing="0" w:line="360" w:lineRule="auto"/>
        <w:jc w:val="both"/>
        <w:rPr>
          <w:rStyle w:val="mjxassistivemathml"/>
          <w:rFonts w:asciiTheme="minorHAnsi" w:eastAsiaTheme="minorEastAsia" w:hAnsiTheme="minorHAnsi" w:cstheme="minorHAnsi"/>
          <w:sz w:val="22"/>
          <w:szCs w:val="22"/>
        </w:rPr>
      </w:pPr>
      <w:r w:rsidRPr="007C00B4">
        <w:rPr>
          <w:rStyle w:val="mjxassistivemathml"/>
          <w:rFonts w:asciiTheme="minorHAnsi" w:eastAsiaTheme="minorEastAsia" w:hAnsiTheme="minorHAnsi" w:cstheme="minorHAnsi"/>
          <w:sz w:val="22"/>
          <w:szCs w:val="22"/>
          <w:bdr w:val="none" w:sz="0" w:space="0" w:color="auto" w:frame="1"/>
        </w:rPr>
        <w:t>Char+O2→</w:t>
      </w:r>
      <w:r w:rsidRPr="007C00B4">
        <w:rPr>
          <w:rStyle w:val="mjxassistivemathml"/>
          <w:rFonts w:asciiTheme="minorHAnsi" w:eastAsiaTheme="minorEastAsia" w:hAnsiTheme="minorHAnsi" w:cstheme="minorHAnsi"/>
          <w:sz w:val="22"/>
          <w:szCs w:val="22"/>
          <w:bdr w:val="none" w:sz="0" w:space="0" w:color="auto" w:frame="1"/>
          <w:vertAlign w:val="superscript"/>
        </w:rPr>
        <w:t>Rr</w:t>
      </w:r>
      <w:r w:rsidRPr="007C00B4">
        <w:rPr>
          <w:rStyle w:val="mjxassistivemathml"/>
          <w:rFonts w:asciiTheme="minorHAnsi" w:eastAsiaTheme="minorEastAsia" w:hAnsiTheme="minorHAnsi" w:cstheme="minorHAnsi"/>
          <w:sz w:val="22"/>
          <w:szCs w:val="22"/>
          <w:bdr w:val="none" w:sz="0" w:space="0" w:color="auto" w:frame="1"/>
        </w:rPr>
        <w:t>CO+CO2</w:t>
      </w:r>
    </w:p>
    <w:p w14:paraId="0B897A0B" w14:textId="5EB763DA" w:rsidR="008B3923" w:rsidRPr="007C00B4" w:rsidRDefault="008B3923" w:rsidP="007C00B4">
      <w:pPr>
        <w:pStyle w:val="NormalWeb"/>
        <w:numPr>
          <w:ilvl w:val="0"/>
          <w:numId w:val="14"/>
        </w:numPr>
        <w:spacing w:before="0" w:beforeAutospacing="0" w:after="0" w:afterAutospacing="0" w:line="360" w:lineRule="auto"/>
        <w:jc w:val="both"/>
        <w:rPr>
          <w:rStyle w:val="mjxassistivemathml"/>
          <w:rFonts w:asciiTheme="minorHAnsi" w:hAnsiTheme="minorHAnsi" w:cstheme="minorHAnsi"/>
        </w:rPr>
      </w:pPr>
      <w:r w:rsidRPr="007C00B4">
        <w:rPr>
          <w:rStyle w:val="mjxassistivemathml"/>
          <w:rFonts w:asciiTheme="minorHAnsi" w:hAnsiTheme="minorHAnsi" w:cstheme="minorHAnsi"/>
          <w:sz w:val="22"/>
          <w:szCs w:val="22"/>
          <w:bdr w:val="none" w:sz="0" w:space="0" w:color="auto" w:frame="1"/>
        </w:rPr>
        <w:t>Char+CO2→2CO</w:t>
      </w:r>
    </w:p>
    <w:p w14:paraId="5CB61123" w14:textId="636A0C31" w:rsidR="00EF4103" w:rsidRPr="007C00B4" w:rsidRDefault="0045366E" w:rsidP="007C00B4">
      <w:pPr>
        <w:pStyle w:val="NormalWeb"/>
        <w:spacing w:before="0" w:beforeAutospacing="0" w:after="0" w:afterAutospacing="0" w:line="360" w:lineRule="auto"/>
        <w:jc w:val="both"/>
        <w:rPr>
          <w:rFonts w:asciiTheme="minorHAnsi" w:eastAsiaTheme="minorEastAsia" w:hAnsiTheme="minorHAnsi" w:cstheme="minorBidi"/>
          <w:sz w:val="22"/>
          <w:szCs w:val="22"/>
        </w:rPr>
      </w:pPr>
      <w:r w:rsidRPr="007C00B4">
        <w:rPr>
          <w:rFonts w:asciiTheme="minorHAnsi" w:eastAsiaTheme="minorEastAsia" w:hAnsiTheme="minorHAnsi" w:cstheme="minorBidi"/>
          <w:sz w:val="22"/>
          <w:szCs w:val="22"/>
        </w:rPr>
        <w:t>The char in the active zone is reactive, more so for biochar</w:t>
      </w:r>
      <w:r w:rsidR="00C67FDB">
        <w:rPr>
          <w:rFonts w:asciiTheme="minorHAnsi" w:eastAsiaTheme="minorEastAsia" w:hAnsiTheme="minorHAnsi" w:cstheme="minorBidi"/>
          <w:sz w:val="22"/>
          <w:szCs w:val="22"/>
        </w:rPr>
        <w:t>,</w:t>
      </w:r>
      <w:r w:rsidRPr="007C00B4">
        <w:rPr>
          <w:rFonts w:asciiTheme="minorHAnsi" w:eastAsiaTheme="minorEastAsia" w:hAnsiTheme="minorHAnsi" w:cstheme="minorBidi"/>
          <w:sz w:val="22"/>
          <w:szCs w:val="22"/>
        </w:rPr>
        <w:t xml:space="preserve"> see the</w:t>
      </w:r>
      <w:r w:rsidR="00CC2D98" w:rsidRPr="007C00B4">
        <w:rPr>
          <w:rFonts w:asciiTheme="minorHAnsi" w:eastAsiaTheme="minorEastAsia" w:hAnsiTheme="minorHAnsi" w:cstheme="minorBidi"/>
          <w:sz w:val="22"/>
          <w:szCs w:val="22"/>
        </w:rPr>
        <w:t xml:space="preserve"> reverse</w:t>
      </w:r>
      <w:r w:rsidRPr="007C00B4">
        <w:rPr>
          <w:rFonts w:asciiTheme="minorHAnsi" w:eastAsiaTheme="minorEastAsia" w:hAnsiTheme="minorHAnsi" w:cstheme="minorBidi"/>
          <w:sz w:val="22"/>
          <w:szCs w:val="22"/>
        </w:rPr>
        <w:t xml:space="preserve"> </w:t>
      </w:r>
      <w:proofErr w:type="spellStart"/>
      <w:r w:rsidRPr="007C00B4">
        <w:rPr>
          <w:rFonts w:asciiTheme="minorHAnsi" w:eastAsiaTheme="minorEastAsia" w:hAnsiTheme="minorHAnsi" w:cstheme="minorBidi"/>
          <w:sz w:val="22"/>
          <w:szCs w:val="22"/>
        </w:rPr>
        <w:t>Boudouard</w:t>
      </w:r>
      <w:proofErr w:type="spellEnd"/>
      <w:r w:rsidRPr="007C00B4">
        <w:rPr>
          <w:rFonts w:asciiTheme="minorHAnsi" w:eastAsiaTheme="minorEastAsia" w:hAnsiTheme="minorHAnsi" w:cstheme="minorBidi"/>
          <w:sz w:val="22"/>
          <w:szCs w:val="22"/>
        </w:rPr>
        <w:t xml:space="preserve"> reaction (solution loss reaction) C) shown above</w:t>
      </w:r>
      <w:r w:rsidR="005A3510" w:rsidRPr="007C00B4">
        <w:rPr>
          <w:rFonts w:asciiTheme="minorHAnsi" w:eastAsiaTheme="minorEastAsia" w:hAnsiTheme="minorHAnsi" w:cstheme="minorBidi"/>
          <w:sz w:val="22"/>
          <w:szCs w:val="22"/>
        </w:rPr>
        <w:t xml:space="preserve">. </w:t>
      </w:r>
      <w:r w:rsidRPr="007C00B4">
        <w:rPr>
          <w:rFonts w:asciiTheme="minorHAnsi" w:eastAsiaTheme="minorEastAsia" w:hAnsiTheme="minorHAnsi" w:cstheme="minorBidi"/>
          <w:sz w:val="22"/>
          <w:szCs w:val="22"/>
        </w:rPr>
        <w:t>The BF contains a large amount of C0</w:t>
      </w:r>
      <w:r w:rsidRPr="007C00B4">
        <w:rPr>
          <w:rFonts w:asciiTheme="minorHAnsi" w:eastAsiaTheme="minorEastAsia" w:hAnsiTheme="minorHAnsi" w:cstheme="minorBidi"/>
          <w:sz w:val="22"/>
          <w:szCs w:val="22"/>
          <w:vertAlign w:val="subscript"/>
        </w:rPr>
        <w:t>2</w:t>
      </w:r>
      <w:r w:rsidRPr="007C00B4">
        <w:rPr>
          <w:rFonts w:asciiTheme="minorHAnsi" w:eastAsiaTheme="minorEastAsia" w:hAnsiTheme="minorHAnsi" w:cstheme="minorBidi"/>
          <w:sz w:val="22"/>
          <w:szCs w:val="22"/>
        </w:rPr>
        <w:t>, which reacts with the coke in the furnace, reducing its strength, which can weaken the coke scaffold function. Under high PCI injection rates, any unburnt carbon powder (char) with high reactivity will react with the CO</w:t>
      </w:r>
      <w:r w:rsidRPr="007C00B4">
        <w:rPr>
          <w:rFonts w:asciiTheme="minorHAnsi" w:eastAsiaTheme="minorEastAsia" w:hAnsiTheme="minorHAnsi" w:cstheme="minorBidi"/>
          <w:sz w:val="22"/>
          <w:szCs w:val="22"/>
          <w:vertAlign w:val="subscript"/>
        </w:rPr>
        <w:t xml:space="preserve">2 </w:t>
      </w:r>
      <w:r w:rsidRPr="007C00B4">
        <w:rPr>
          <w:rFonts w:asciiTheme="minorHAnsi" w:eastAsiaTheme="minorEastAsia" w:hAnsiTheme="minorHAnsi" w:cstheme="minorBidi"/>
          <w:sz w:val="22"/>
          <w:szCs w:val="22"/>
        </w:rPr>
        <w:t xml:space="preserve">in </w:t>
      </w:r>
      <w:r w:rsidRPr="007C00B4">
        <w:rPr>
          <w:rFonts w:asciiTheme="minorHAnsi" w:eastAsiaTheme="minorEastAsia" w:hAnsiTheme="minorHAnsi" w:cstheme="minorBidi"/>
          <w:sz w:val="22"/>
          <w:szCs w:val="22"/>
        </w:rPr>
        <w:lastRenderedPageBreak/>
        <w:t>preference with coke, th</w:t>
      </w:r>
      <w:r w:rsidR="007C00B4">
        <w:rPr>
          <w:rFonts w:asciiTheme="minorHAnsi" w:eastAsiaTheme="minorEastAsia" w:hAnsiTheme="minorHAnsi" w:cstheme="minorBidi"/>
          <w:sz w:val="22"/>
          <w:szCs w:val="22"/>
        </w:rPr>
        <w:t>is</w:t>
      </w:r>
      <w:r w:rsidRPr="007C00B4">
        <w:rPr>
          <w:rFonts w:asciiTheme="minorHAnsi" w:eastAsiaTheme="minorEastAsia" w:hAnsiTheme="minorHAnsi" w:cstheme="minorBidi"/>
          <w:sz w:val="22"/>
          <w:szCs w:val="22"/>
        </w:rPr>
        <w:t xml:space="preserve"> sacrificial reaction can protect the coke leaving it strong</w:t>
      </w:r>
      <w:r w:rsidR="007C00B4">
        <w:rPr>
          <w:rFonts w:asciiTheme="minorHAnsi" w:eastAsiaTheme="minorEastAsia" w:hAnsiTheme="minorHAnsi" w:cstheme="minorBidi"/>
          <w:sz w:val="22"/>
          <w:szCs w:val="22"/>
        </w:rPr>
        <w:t>,</w:t>
      </w:r>
      <w:r w:rsidRPr="007C00B4">
        <w:rPr>
          <w:rFonts w:asciiTheme="minorHAnsi" w:eastAsiaTheme="minorEastAsia" w:hAnsiTheme="minorHAnsi" w:cstheme="minorBidi"/>
          <w:sz w:val="22"/>
          <w:szCs w:val="22"/>
        </w:rPr>
        <w:t xml:space="preserve"> which is </w:t>
      </w:r>
      <w:r w:rsidR="00C67FDB">
        <w:rPr>
          <w:rFonts w:asciiTheme="minorHAnsi" w:eastAsiaTheme="minorEastAsia" w:hAnsiTheme="minorHAnsi" w:cstheme="minorBidi"/>
          <w:sz w:val="22"/>
          <w:szCs w:val="22"/>
        </w:rPr>
        <w:t>beneficial</w:t>
      </w:r>
      <w:r w:rsidRPr="007C00B4">
        <w:rPr>
          <w:rFonts w:asciiTheme="minorHAnsi" w:eastAsiaTheme="minorEastAsia" w:hAnsiTheme="minorHAnsi" w:cstheme="minorBidi"/>
          <w:sz w:val="22"/>
          <w:szCs w:val="22"/>
        </w:rPr>
        <w:t xml:space="preserve"> </w:t>
      </w:r>
      <w:r w:rsidR="00C67FDB">
        <w:rPr>
          <w:rFonts w:asciiTheme="minorHAnsi" w:eastAsiaTheme="minorEastAsia" w:hAnsiTheme="minorHAnsi" w:cstheme="minorBidi"/>
          <w:sz w:val="22"/>
          <w:szCs w:val="22"/>
        </w:rPr>
        <w:t>for</w:t>
      </w:r>
      <w:r w:rsidRPr="007C00B4">
        <w:rPr>
          <w:rFonts w:asciiTheme="minorHAnsi" w:eastAsiaTheme="minorEastAsia" w:hAnsiTheme="minorHAnsi" w:cstheme="minorBidi"/>
          <w:sz w:val="22"/>
          <w:szCs w:val="22"/>
        </w:rPr>
        <w:t xml:space="preserve"> the operation of the furnace</w:t>
      </w:r>
      <w:r w:rsidR="00CC2D98" w:rsidRPr="007C00B4">
        <w:rPr>
          <w:rFonts w:asciiTheme="minorHAnsi" w:eastAsiaTheme="minorEastAsia" w:hAnsiTheme="minorHAnsi" w:cstheme="minorBidi"/>
          <w:sz w:val="22"/>
          <w:szCs w:val="22"/>
        </w:rPr>
        <w:t xml:space="preserve"> </w:t>
      </w:r>
      <w:r w:rsidR="00CC2D98" w:rsidRPr="007C00B4">
        <w:rPr>
          <w:rFonts w:asciiTheme="minorHAnsi" w:eastAsiaTheme="minorEastAsia" w:hAnsiTheme="minorHAnsi" w:cstheme="minorBidi"/>
          <w:sz w:val="22"/>
          <w:szCs w:val="22"/>
        </w:rPr>
        <w:fldChar w:fldCharType="begin"/>
      </w:r>
      <w:r w:rsidR="00192334">
        <w:rPr>
          <w:rFonts w:asciiTheme="minorHAnsi" w:eastAsiaTheme="minorEastAsia" w:hAnsiTheme="minorHAnsi" w:cstheme="minorBidi"/>
          <w:sz w:val="22"/>
          <w:szCs w:val="22"/>
        </w:rPr>
        <w:instrText xml:space="preserve"> ADDIN ZOTERO_ITEM CSL_CITATION {"citationID":"EL9MiABG","properties":{"formattedCitation":"(Ning {\\i{}et al.}, 2022)","plainCitation":"(Ning et al., 2022)","noteIndex":0},"citationItems":[{"id":1667,"uris":["http://zotero.org/users/local/AB2owHL2/items/5FHLH8XY"],"itemData":{"id":1667,"type":"article-journal","abstract":"As a carbon–neutral fuel, biomass plays a prominent role in replacing fossil fuels. The objective of this research is to uncover the influence of pyrolysis temperature on the metallurgical properties of biochar, as well as to provide a theoretical reference for the preparation of biochar suitable for blast furnace injection. The metallurgical properties of biochar have been systematically studied through the comparative analysis of the physical and chemical properties of biochar. The results show that pyrolysis technology can effectively improve the fuel performance of biomass. As the pyrolysis temperature increases, the fuel performance of biochar increases, the carbonization degree gradually increases, and the combustion performance and reactivity gradually weaken, approaching carbonaceous materials. The Coats-Redfern kinetic equation is used for the kinetic fitting of the combustion process of biochar, and has achieved good results. This clarifies the speed control link in the combustion process of biochar.","container-title":"Fuel","DOI":"10.1016/j.fuel.2021.122648","ISSN":"0016-2361","journalAbbreviation":"Fuel","language":"en","page":"122648","source":"ScienceDirect","title":"Effect of pyrolysis temperature on blast furnace injection performance of biochar","URL":"https://www.sciencedirect.com/science/article/pii/S0016236121025151","volume":"313","author":[{"family":"Ning","given":"Xiaojun"},{"family":"Liang","given":"Wang"},{"family":"Wang","given":"Guangwei"},{"family":"Xu","given":"Runsheng"},{"family":"Wang","given":"Peng"},{"family":"Zhang","given":"Jianliang"},{"family":"Guo","given":"Xingmin"},{"family":"Jiang","given":"Chunhe"},{"family":"Li","given":"Jinhua"},{"family":"Wang","given":"Chuan"}],"accessed":{"date-parts":[["2022",6,27]]},"issued":{"date-parts":[["2022",4,1]]}}}],"schema":"https://github.com/citation-style-language/schema/raw/master/csl-citation.json"} </w:instrText>
      </w:r>
      <w:r w:rsidR="00CC2D98" w:rsidRPr="007C00B4">
        <w:rPr>
          <w:rFonts w:asciiTheme="minorHAnsi" w:eastAsiaTheme="minorEastAsia" w:hAnsiTheme="minorHAnsi" w:cstheme="minorBidi"/>
          <w:sz w:val="22"/>
          <w:szCs w:val="22"/>
        </w:rPr>
        <w:fldChar w:fldCharType="separate"/>
      </w:r>
      <w:r w:rsidR="00192334" w:rsidRPr="00192334">
        <w:rPr>
          <w:rFonts w:ascii="Calibri" w:hAnsi="Calibri" w:cs="Calibri"/>
          <w:sz w:val="22"/>
        </w:rPr>
        <w:t xml:space="preserve">(Ning </w:t>
      </w:r>
      <w:r w:rsidR="00192334" w:rsidRPr="00192334">
        <w:rPr>
          <w:rFonts w:ascii="Calibri" w:hAnsi="Calibri" w:cs="Calibri"/>
          <w:i/>
          <w:iCs/>
          <w:sz w:val="22"/>
        </w:rPr>
        <w:t>et al.</w:t>
      </w:r>
      <w:r w:rsidR="00192334" w:rsidRPr="00192334">
        <w:rPr>
          <w:rFonts w:ascii="Calibri" w:hAnsi="Calibri" w:cs="Calibri"/>
          <w:sz w:val="22"/>
        </w:rPr>
        <w:t>, 2022)</w:t>
      </w:r>
      <w:r w:rsidR="00CC2D98" w:rsidRPr="007C00B4">
        <w:rPr>
          <w:rFonts w:asciiTheme="minorHAnsi" w:eastAsiaTheme="minorEastAsia" w:hAnsiTheme="minorHAnsi" w:cstheme="minorBidi"/>
          <w:sz w:val="22"/>
          <w:szCs w:val="22"/>
        </w:rPr>
        <w:fldChar w:fldCharType="end"/>
      </w:r>
      <w:r w:rsidRPr="007C00B4">
        <w:rPr>
          <w:rFonts w:asciiTheme="minorHAnsi" w:eastAsiaTheme="minorEastAsia" w:hAnsiTheme="minorHAnsi" w:cstheme="minorBidi"/>
          <w:sz w:val="22"/>
          <w:szCs w:val="22"/>
        </w:rPr>
        <w:t xml:space="preserve">. </w:t>
      </w:r>
      <w:r w:rsidR="00CC2D98" w:rsidRPr="007C00B4">
        <w:rPr>
          <w:rFonts w:asciiTheme="minorHAnsi" w:eastAsiaTheme="minorEastAsia" w:hAnsiTheme="minorHAnsi" w:cstheme="minorBidi"/>
          <w:sz w:val="22"/>
          <w:szCs w:val="22"/>
        </w:rPr>
        <w:t xml:space="preserve">However </w:t>
      </w:r>
      <w:r w:rsidR="00CC2D98" w:rsidRPr="007C00B4">
        <w:rPr>
          <w:rFonts w:asciiTheme="minorHAnsi" w:eastAsiaTheme="minorEastAsia" w:hAnsiTheme="minorHAnsi" w:cstheme="minorBidi"/>
          <w:sz w:val="22"/>
          <w:szCs w:val="22"/>
        </w:rPr>
        <w:fldChar w:fldCharType="begin"/>
      </w:r>
      <w:r w:rsidR="00192334">
        <w:rPr>
          <w:rFonts w:asciiTheme="minorHAnsi" w:eastAsiaTheme="minorEastAsia" w:hAnsiTheme="minorHAnsi" w:cstheme="minorBidi"/>
          <w:sz w:val="22"/>
          <w:szCs w:val="22"/>
        </w:rPr>
        <w:instrText xml:space="preserve"> ADDIN ZOTERO_ITEM CSL_CITATION {"citationID":"RJJvNvxb","properties":{"formattedCitation":"(Steer {\\i{}et al.}, 2021)","plainCitation":"(Steer et al., 2021)","noteIndex":0},"citationItems":[{"id":2001,"uris":["http://zotero.org/users/local/AB2owHL2/items/2RAHQNGP"],"itemData":{"id":2001,"type":"article-journal","abstract":"The injection of coal through tuyeres into a blast furnace is widely adopted throughout the industry to reduce the amount of coke used and to improve the efficiency of the iron making process. Coals are selected depending on their availability, cost, and the physical and chemical properties determined by tests, such as the volatile matter content, fixed carbon, and ash content. This paper describes research comparing the laboratory measured properties of injection coals that were used over a two-month production period compared to the process variables and measurements of the blast furnace during that study period. In addition to the standard tests, a drop tube furnace (DTF) was used to compare the burnout of coals and the char properties against the production data using a range of statistical techniques. Linear regression modelling indicated that the coal type was the most important predictor of the coal rate but that the properties measured using laboratory tests of those coals were a minor feature in the model. However, comparisons of the Spearman’s correlations between different variables indicated that the reverse Boudouard reactivity of the chars, prepared in the DTF from the coals, did appear to be related to some extent to the coal and coke rates on production. It appears that the constant process adjustments made by the process control systems on the furnace make it difficult to identify strong correlations with the laboratory data and that the frequency of coal sampling and the coal blend variability are likely to contribute to this difficulty.","container-title":"Metals","DOI":"10.3390/met11091476","issue":"9","language":"English","license":"© 2021 by the authors. Licensee MDPI, Basel, Switzerland. This article is an open access article distributed under the terms and conditions of the Creative Commons Attribution (CC BY) license (https://creativecommons.org/licenses/by/4.0/). Notwithstanding the ProQuest Terms and Conditions, you may use this content in accordance with the terms of the License.","note":"number-of-pages: 1476\npublisher-place: Basel, Switzerland\npublisher: MDPI AG","page":"1476","source":"ProQuest","title":"A Comparison of Laboratory Coal Testing with the Blast Furnace Process and Coal Injection","URL":"http://www.proquest.com/docview/2576461027/abstract/2F8C1DC2C0F24AFEPQ/1","volume":"11","author":[{"family":"Steer","given":"Julian"},{"family":"Link to external site","given":"this","dropping-particle":"link will open in a new window"},{"family":"Greenslade","given":"Mark"},{"family":"Marsh","given":"Richard"}],"accessed":{"date-parts":[["2022",10,12]]},"issued":{"date-parts":[["2021"]]}}}],"schema":"https://github.com/citation-style-language/schema/raw/master/csl-citation.json"} </w:instrText>
      </w:r>
      <w:r w:rsidR="00CC2D98" w:rsidRPr="007C00B4">
        <w:rPr>
          <w:rFonts w:asciiTheme="minorHAnsi" w:eastAsiaTheme="minorEastAsia" w:hAnsiTheme="minorHAnsi" w:cstheme="minorBidi"/>
          <w:sz w:val="22"/>
          <w:szCs w:val="22"/>
        </w:rPr>
        <w:fldChar w:fldCharType="separate"/>
      </w:r>
      <w:r w:rsidR="00192334" w:rsidRPr="00192334">
        <w:rPr>
          <w:rFonts w:ascii="Calibri" w:hAnsi="Calibri" w:cs="Calibri"/>
          <w:sz w:val="22"/>
        </w:rPr>
        <w:t xml:space="preserve">(Steer </w:t>
      </w:r>
      <w:r w:rsidR="00192334" w:rsidRPr="00192334">
        <w:rPr>
          <w:rFonts w:ascii="Calibri" w:hAnsi="Calibri" w:cs="Calibri"/>
          <w:i/>
          <w:iCs/>
          <w:sz w:val="22"/>
        </w:rPr>
        <w:t>et al.</w:t>
      </w:r>
      <w:r w:rsidR="00192334" w:rsidRPr="00192334">
        <w:rPr>
          <w:rFonts w:ascii="Calibri" w:hAnsi="Calibri" w:cs="Calibri"/>
          <w:sz w:val="22"/>
        </w:rPr>
        <w:t>, 2021)</w:t>
      </w:r>
      <w:r w:rsidR="00CC2D98" w:rsidRPr="007C00B4">
        <w:rPr>
          <w:rFonts w:asciiTheme="minorHAnsi" w:eastAsiaTheme="minorEastAsia" w:hAnsiTheme="minorHAnsi" w:cstheme="minorBidi"/>
          <w:sz w:val="22"/>
          <w:szCs w:val="22"/>
        </w:rPr>
        <w:fldChar w:fldCharType="end"/>
      </w:r>
      <w:r w:rsidR="00CC2D98" w:rsidRPr="007C00B4">
        <w:rPr>
          <w:rFonts w:asciiTheme="minorHAnsi" w:eastAsiaTheme="minorEastAsia" w:hAnsiTheme="minorHAnsi" w:cstheme="minorBidi"/>
          <w:sz w:val="22"/>
          <w:szCs w:val="22"/>
        </w:rPr>
        <w:t xml:space="preserve"> states that the reverse </w:t>
      </w:r>
      <w:proofErr w:type="spellStart"/>
      <w:r w:rsidR="00CC2D98" w:rsidRPr="007C00B4">
        <w:rPr>
          <w:rFonts w:asciiTheme="minorHAnsi" w:eastAsiaTheme="minorEastAsia" w:hAnsiTheme="minorHAnsi" w:cstheme="minorBidi"/>
          <w:sz w:val="22"/>
          <w:szCs w:val="22"/>
        </w:rPr>
        <w:t>Boudouard</w:t>
      </w:r>
      <w:proofErr w:type="spellEnd"/>
      <w:r w:rsidR="00CC2D98" w:rsidRPr="007C00B4">
        <w:rPr>
          <w:rFonts w:asciiTheme="minorHAnsi" w:eastAsiaTheme="minorEastAsia" w:hAnsiTheme="minorHAnsi" w:cstheme="minorBidi"/>
          <w:sz w:val="22"/>
          <w:szCs w:val="22"/>
        </w:rPr>
        <w:t xml:space="preserve"> reaction is endothermic, </w:t>
      </w:r>
      <w:r w:rsidR="00CE508A">
        <w:rPr>
          <w:rFonts w:asciiTheme="minorHAnsi" w:eastAsiaTheme="minorEastAsia" w:hAnsiTheme="minorHAnsi" w:cstheme="minorBidi"/>
          <w:sz w:val="22"/>
          <w:szCs w:val="22"/>
        </w:rPr>
        <w:t xml:space="preserve">meaning that </w:t>
      </w:r>
      <w:r w:rsidR="006D6840">
        <w:rPr>
          <w:rFonts w:asciiTheme="minorHAnsi" w:eastAsiaTheme="minorEastAsia" w:hAnsiTheme="minorHAnsi" w:cstheme="minorBidi"/>
          <w:sz w:val="22"/>
          <w:szCs w:val="22"/>
        </w:rPr>
        <w:t xml:space="preserve">the reaction between coke and reactive chars could have a cooling effect </w:t>
      </w:r>
      <w:r w:rsidR="00C03387">
        <w:rPr>
          <w:rFonts w:asciiTheme="minorHAnsi" w:eastAsiaTheme="minorEastAsia" w:hAnsiTheme="minorHAnsi" w:cstheme="minorBidi"/>
          <w:sz w:val="22"/>
          <w:szCs w:val="22"/>
        </w:rPr>
        <w:t>on the BF, reducing its thermal reserve temperature</w:t>
      </w:r>
      <w:r w:rsidR="00CB27A2">
        <w:rPr>
          <w:rFonts w:asciiTheme="minorHAnsi" w:eastAsiaTheme="minorEastAsia" w:hAnsiTheme="minorHAnsi" w:cstheme="minorBidi"/>
          <w:sz w:val="22"/>
          <w:szCs w:val="22"/>
        </w:rPr>
        <w:t>. Localised char retention could result in BF instability.</w:t>
      </w:r>
      <w:r w:rsidR="00CE508A">
        <w:rPr>
          <w:rFonts w:asciiTheme="minorHAnsi" w:eastAsiaTheme="minorEastAsia" w:hAnsiTheme="minorHAnsi" w:cstheme="minorBidi"/>
          <w:sz w:val="22"/>
          <w:szCs w:val="22"/>
        </w:rPr>
        <w:t xml:space="preserve"> </w:t>
      </w:r>
    </w:p>
    <w:p w14:paraId="12004ADC" w14:textId="258F6C97" w:rsidR="00967E0A" w:rsidRDefault="00967E0A" w:rsidP="00967E0A">
      <w:pPr>
        <w:pStyle w:val="Caption"/>
        <w:keepNext/>
        <w:jc w:val="center"/>
      </w:pPr>
      <w:r>
        <w:t xml:space="preserve">Table </w:t>
      </w:r>
      <w:fldSimple w:instr=" SEQ Table \* ARABIC ">
        <w:r w:rsidR="00DA2639">
          <w:rPr>
            <w:noProof/>
          </w:rPr>
          <w:t>9</w:t>
        </w:r>
      </w:fldSimple>
      <w:r>
        <w:t xml:space="preserve"> T-coal and biochar reactivity</w:t>
      </w:r>
    </w:p>
    <w:tbl>
      <w:tblPr>
        <w:tblW w:w="4253" w:type="dxa"/>
        <w:jc w:val="center"/>
        <w:tblLook w:val="04A0" w:firstRow="1" w:lastRow="0" w:firstColumn="1" w:lastColumn="0" w:noHBand="0" w:noVBand="1"/>
      </w:tblPr>
      <w:tblGrid>
        <w:gridCol w:w="1442"/>
        <w:gridCol w:w="960"/>
        <w:gridCol w:w="960"/>
        <w:gridCol w:w="960"/>
      </w:tblGrid>
      <w:tr w:rsidR="00967E0A" w:rsidRPr="00FA3F28" w14:paraId="19E4A154" w14:textId="77777777" w:rsidTr="00871ABA">
        <w:trPr>
          <w:trHeight w:val="600"/>
          <w:jc w:val="center"/>
        </w:trPr>
        <w:tc>
          <w:tcPr>
            <w:tcW w:w="1373" w:type="dxa"/>
            <w:tcBorders>
              <w:top w:val="single" w:sz="4" w:space="0" w:color="3F3F3F"/>
              <w:left w:val="single" w:sz="4" w:space="0" w:color="3F3F3F"/>
              <w:bottom w:val="single" w:sz="4" w:space="0" w:color="3F3F3F"/>
              <w:right w:val="single" w:sz="4" w:space="0" w:color="3F3F3F"/>
            </w:tcBorders>
            <w:shd w:val="clear" w:color="000000" w:fill="F2F2F2"/>
            <w:noWrap/>
            <w:vAlign w:val="center"/>
            <w:hideMark/>
          </w:tcPr>
          <w:p w14:paraId="3044A05B"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Reactivity</w:t>
            </w:r>
          </w:p>
        </w:tc>
        <w:tc>
          <w:tcPr>
            <w:tcW w:w="960" w:type="dxa"/>
            <w:tcBorders>
              <w:top w:val="single" w:sz="4" w:space="0" w:color="3F3F3F"/>
              <w:left w:val="nil"/>
              <w:bottom w:val="single" w:sz="4" w:space="0" w:color="3F3F3F"/>
              <w:right w:val="single" w:sz="4" w:space="0" w:color="3F3F3F"/>
            </w:tcBorders>
            <w:shd w:val="clear" w:color="000000" w:fill="F2F2F2"/>
            <w:noWrap/>
            <w:vAlign w:val="center"/>
            <w:hideMark/>
          </w:tcPr>
          <w:p w14:paraId="53C89302"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T - Coal</w:t>
            </w:r>
          </w:p>
        </w:tc>
        <w:tc>
          <w:tcPr>
            <w:tcW w:w="960" w:type="dxa"/>
            <w:tcBorders>
              <w:top w:val="single" w:sz="4" w:space="0" w:color="3F3F3F"/>
              <w:left w:val="nil"/>
              <w:bottom w:val="single" w:sz="4" w:space="0" w:color="3F3F3F"/>
              <w:right w:val="single" w:sz="4" w:space="0" w:color="3F3F3F"/>
            </w:tcBorders>
            <w:shd w:val="clear" w:color="000000" w:fill="F2F2F2"/>
            <w:noWrap/>
            <w:vAlign w:val="center"/>
            <w:hideMark/>
          </w:tcPr>
          <w:p w14:paraId="50BC864C"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Biochar 1</w:t>
            </w:r>
          </w:p>
        </w:tc>
        <w:tc>
          <w:tcPr>
            <w:tcW w:w="960" w:type="dxa"/>
            <w:tcBorders>
              <w:top w:val="single" w:sz="4" w:space="0" w:color="3F3F3F"/>
              <w:left w:val="nil"/>
              <w:bottom w:val="single" w:sz="4" w:space="0" w:color="3F3F3F"/>
              <w:right w:val="single" w:sz="4" w:space="0" w:color="3F3F3F"/>
            </w:tcBorders>
            <w:shd w:val="clear" w:color="000000" w:fill="F2F2F2"/>
            <w:noWrap/>
            <w:vAlign w:val="center"/>
            <w:hideMark/>
          </w:tcPr>
          <w:p w14:paraId="6B78F1E4"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Biochar 2</w:t>
            </w:r>
          </w:p>
        </w:tc>
      </w:tr>
      <w:tr w:rsidR="00967E0A" w:rsidRPr="00FA3F28" w14:paraId="1636B76A" w14:textId="77777777" w:rsidTr="00871ABA">
        <w:trPr>
          <w:trHeight w:val="300"/>
          <w:jc w:val="center"/>
        </w:trPr>
        <w:tc>
          <w:tcPr>
            <w:tcW w:w="1373" w:type="dxa"/>
            <w:tcBorders>
              <w:top w:val="nil"/>
              <w:left w:val="single" w:sz="4" w:space="0" w:color="3F3F3F"/>
              <w:bottom w:val="single" w:sz="4" w:space="0" w:color="3F3F3F"/>
              <w:right w:val="single" w:sz="4" w:space="0" w:color="3F3F3F"/>
            </w:tcBorders>
            <w:shd w:val="clear" w:color="000000" w:fill="F2F2F2"/>
            <w:noWrap/>
            <w:vAlign w:val="center"/>
            <w:hideMark/>
          </w:tcPr>
          <w:p w14:paraId="730DE3C3" w14:textId="30A4525F" w:rsidR="00967E0A" w:rsidRPr="00FA3F28" w:rsidRDefault="00967E0A" w:rsidP="002D69F3">
            <w:pPr>
              <w:spacing w:after="0" w:line="240" w:lineRule="auto"/>
              <w:jc w:val="center"/>
              <w:rPr>
                <w:rFonts w:ascii="Calibri" w:eastAsia="Times New Roman" w:hAnsi="Calibri" w:cs="Calibri"/>
                <w:b/>
                <w:bCs/>
                <w:color w:val="3F3F3F"/>
                <w:lang w:eastAsia="en-GB"/>
              </w:rPr>
            </w:pPr>
            <w:proofErr w:type="spellStart"/>
            <w:r w:rsidRPr="00FA3F28">
              <w:rPr>
                <w:rFonts w:ascii="Calibri" w:eastAsia="Times New Roman" w:hAnsi="Calibri" w:cs="Calibri"/>
                <w:b/>
                <w:bCs/>
                <w:color w:val="3F3F3F"/>
                <w:lang w:eastAsia="en-GB"/>
              </w:rPr>
              <w:t>Ti</w:t>
            </w:r>
            <w:proofErr w:type="spellEnd"/>
            <w:r>
              <w:rPr>
                <w:rFonts w:ascii="Calibri" w:eastAsia="Times New Roman" w:hAnsi="Calibri" w:cs="Calibri"/>
                <w:b/>
                <w:bCs/>
                <w:color w:val="3F3F3F"/>
                <w:lang w:eastAsia="en-GB"/>
              </w:rPr>
              <w:t xml:space="preserve"> </w:t>
            </w:r>
            <w:r w:rsidRPr="00967E0A">
              <w:rPr>
                <w:rFonts w:ascii="Calibri" w:eastAsia="Times New Roman" w:hAnsi="Calibri" w:cs="Calibri"/>
                <w:b/>
                <w:bCs/>
                <w:color w:val="3F3F3F"/>
                <w:vertAlign w:val="superscript"/>
                <w:lang w:eastAsia="en-GB"/>
              </w:rPr>
              <w:t>0</w:t>
            </w:r>
            <w:r>
              <w:rPr>
                <w:rFonts w:ascii="Calibri" w:eastAsia="Times New Roman" w:hAnsi="Calibri" w:cs="Calibri"/>
                <w:b/>
                <w:bCs/>
                <w:color w:val="3F3F3F"/>
                <w:lang w:eastAsia="en-GB"/>
              </w:rPr>
              <w:t>C</w:t>
            </w:r>
          </w:p>
        </w:tc>
        <w:tc>
          <w:tcPr>
            <w:tcW w:w="960" w:type="dxa"/>
            <w:tcBorders>
              <w:top w:val="nil"/>
              <w:left w:val="nil"/>
              <w:bottom w:val="single" w:sz="4" w:space="0" w:color="3F3F3F"/>
              <w:right w:val="single" w:sz="4" w:space="0" w:color="3F3F3F"/>
            </w:tcBorders>
            <w:shd w:val="clear" w:color="000000" w:fill="F2F2F2"/>
            <w:noWrap/>
            <w:vAlign w:val="center"/>
            <w:hideMark/>
          </w:tcPr>
          <w:p w14:paraId="76E79E48"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492</w:t>
            </w:r>
          </w:p>
        </w:tc>
        <w:tc>
          <w:tcPr>
            <w:tcW w:w="960" w:type="dxa"/>
            <w:tcBorders>
              <w:top w:val="nil"/>
              <w:left w:val="nil"/>
              <w:bottom w:val="single" w:sz="4" w:space="0" w:color="3F3F3F"/>
              <w:right w:val="single" w:sz="4" w:space="0" w:color="3F3F3F"/>
            </w:tcBorders>
            <w:shd w:val="clear" w:color="000000" w:fill="F2F2F2"/>
            <w:noWrap/>
            <w:vAlign w:val="center"/>
            <w:hideMark/>
          </w:tcPr>
          <w:p w14:paraId="2EB02678"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368</w:t>
            </w:r>
          </w:p>
        </w:tc>
        <w:tc>
          <w:tcPr>
            <w:tcW w:w="960" w:type="dxa"/>
            <w:tcBorders>
              <w:top w:val="nil"/>
              <w:left w:val="nil"/>
              <w:bottom w:val="single" w:sz="4" w:space="0" w:color="3F3F3F"/>
              <w:right w:val="single" w:sz="4" w:space="0" w:color="3F3F3F"/>
            </w:tcBorders>
            <w:shd w:val="clear" w:color="000000" w:fill="F2F2F2"/>
            <w:noWrap/>
            <w:vAlign w:val="center"/>
            <w:hideMark/>
          </w:tcPr>
          <w:p w14:paraId="36C09C3E"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380</w:t>
            </w:r>
          </w:p>
        </w:tc>
      </w:tr>
      <w:tr w:rsidR="00967E0A" w:rsidRPr="00FA3F28" w14:paraId="3E501F42" w14:textId="77777777" w:rsidTr="00871ABA">
        <w:trPr>
          <w:trHeight w:val="300"/>
          <w:jc w:val="center"/>
        </w:trPr>
        <w:tc>
          <w:tcPr>
            <w:tcW w:w="1373" w:type="dxa"/>
            <w:tcBorders>
              <w:top w:val="nil"/>
              <w:left w:val="single" w:sz="4" w:space="0" w:color="3F3F3F"/>
              <w:bottom w:val="single" w:sz="4" w:space="0" w:color="3F3F3F"/>
              <w:right w:val="single" w:sz="4" w:space="0" w:color="3F3F3F"/>
            </w:tcBorders>
            <w:shd w:val="clear" w:color="000000" w:fill="F2F2F2"/>
            <w:noWrap/>
            <w:vAlign w:val="center"/>
            <w:hideMark/>
          </w:tcPr>
          <w:p w14:paraId="4C271C86" w14:textId="322D33D2"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Tm</w:t>
            </w:r>
            <w:r>
              <w:rPr>
                <w:rFonts w:ascii="Calibri" w:eastAsia="Times New Roman" w:hAnsi="Calibri" w:cs="Calibri"/>
                <w:b/>
                <w:bCs/>
                <w:color w:val="3F3F3F"/>
                <w:lang w:eastAsia="en-GB"/>
              </w:rPr>
              <w:t xml:space="preserve"> 0</w:t>
            </w:r>
            <w:r w:rsidRPr="00991953">
              <w:rPr>
                <w:rFonts w:ascii="Calibri" w:eastAsia="Times New Roman" w:hAnsi="Calibri" w:cs="Calibri"/>
                <w:b/>
                <w:bCs/>
                <w:color w:val="3F3F3F"/>
                <w:vertAlign w:val="superscript"/>
                <w:lang w:eastAsia="en-GB"/>
              </w:rPr>
              <w:t>C</w:t>
            </w:r>
            <w:r>
              <w:rPr>
                <w:rFonts w:ascii="Calibri" w:eastAsia="Times New Roman" w:hAnsi="Calibri" w:cs="Calibri"/>
                <w:b/>
                <w:bCs/>
                <w:color w:val="3F3F3F"/>
                <w:lang w:eastAsia="en-GB"/>
              </w:rPr>
              <w:t>(Er/</w:t>
            </w:r>
            <w:proofErr w:type="spellStart"/>
            <w:r>
              <w:rPr>
                <w:rFonts w:ascii="Calibri" w:eastAsia="Times New Roman" w:hAnsi="Calibri" w:cs="Calibri"/>
                <w:b/>
                <w:bCs/>
                <w:color w:val="3F3F3F"/>
                <w:lang w:eastAsia="en-GB"/>
              </w:rPr>
              <w:t>Kj</w:t>
            </w:r>
            <w:proofErr w:type="spellEnd"/>
            <w:r>
              <w:rPr>
                <w:rFonts w:ascii="Calibri" w:eastAsia="Times New Roman" w:hAnsi="Calibri" w:cs="Calibri"/>
                <w:b/>
                <w:bCs/>
                <w:color w:val="3F3F3F"/>
                <w:lang w:eastAsia="en-GB"/>
              </w:rPr>
              <w:t>/mol</w:t>
            </w:r>
            <w:r w:rsidR="00E11938">
              <w:rPr>
                <w:rFonts w:ascii="Calibri" w:eastAsia="Times New Roman" w:hAnsi="Calibri" w:cs="Calibri"/>
                <w:b/>
                <w:bCs/>
                <w:color w:val="3F3F3F"/>
                <w:lang w:eastAsia="en-GB"/>
              </w:rPr>
              <w:t>)</w:t>
            </w:r>
          </w:p>
        </w:tc>
        <w:tc>
          <w:tcPr>
            <w:tcW w:w="960" w:type="dxa"/>
            <w:tcBorders>
              <w:top w:val="nil"/>
              <w:left w:val="nil"/>
              <w:bottom w:val="single" w:sz="4" w:space="0" w:color="3F3F3F"/>
              <w:right w:val="single" w:sz="4" w:space="0" w:color="3F3F3F"/>
            </w:tcBorders>
            <w:shd w:val="clear" w:color="000000" w:fill="F2F2F2"/>
            <w:noWrap/>
            <w:vAlign w:val="center"/>
            <w:hideMark/>
          </w:tcPr>
          <w:p w14:paraId="137E114E"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636</w:t>
            </w:r>
          </w:p>
        </w:tc>
        <w:tc>
          <w:tcPr>
            <w:tcW w:w="960" w:type="dxa"/>
            <w:tcBorders>
              <w:top w:val="nil"/>
              <w:left w:val="nil"/>
              <w:bottom w:val="single" w:sz="4" w:space="0" w:color="3F3F3F"/>
              <w:right w:val="single" w:sz="4" w:space="0" w:color="3F3F3F"/>
            </w:tcBorders>
            <w:shd w:val="clear" w:color="000000" w:fill="F2F2F2"/>
            <w:noWrap/>
            <w:vAlign w:val="center"/>
            <w:hideMark/>
          </w:tcPr>
          <w:p w14:paraId="666AA1E5"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515</w:t>
            </w:r>
          </w:p>
        </w:tc>
        <w:tc>
          <w:tcPr>
            <w:tcW w:w="960" w:type="dxa"/>
            <w:tcBorders>
              <w:top w:val="nil"/>
              <w:left w:val="nil"/>
              <w:bottom w:val="single" w:sz="4" w:space="0" w:color="3F3F3F"/>
              <w:right w:val="single" w:sz="4" w:space="0" w:color="3F3F3F"/>
            </w:tcBorders>
            <w:shd w:val="clear" w:color="000000" w:fill="F2F2F2"/>
            <w:noWrap/>
            <w:vAlign w:val="center"/>
            <w:hideMark/>
          </w:tcPr>
          <w:p w14:paraId="23D1AFC0"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512</w:t>
            </w:r>
          </w:p>
        </w:tc>
      </w:tr>
      <w:tr w:rsidR="00967E0A" w:rsidRPr="00FA3F28" w14:paraId="355440F0" w14:textId="77777777" w:rsidTr="00871ABA">
        <w:trPr>
          <w:trHeight w:val="300"/>
          <w:jc w:val="center"/>
        </w:trPr>
        <w:tc>
          <w:tcPr>
            <w:tcW w:w="1373" w:type="dxa"/>
            <w:tcBorders>
              <w:top w:val="nil"/>
              <w:left w:val="single" w:sz="4" w:space="0" w:color="3F3F3F"/>
              <w:bottom w:val="single" w:sz="4" w:space="0" w:color="3F3F3F"/>
              <w:right w:val="single" w:sz="4" w:space="0" w:color="3F3F3F"/>
            </w:tcBorders>
            <w:shd w:val="clear" w:color="000000" w:fill="F2F2F2"/>
            <w:noWrap/>
            <w:vAlign w:val="center"/>
            <w:hideMark/>
          </w:tcPr>
          <w:p w14:paraId="22CBFDE5" w14:textId="46E4AAA8"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Tb</w:t>
            </w:r>
            <w:r w:rsidR="00991953">
              <w:rPr>
                <w:rFonts w:ascii="Calibri" w:eastAsia="Times New Roman" w:hAnsi="Calibri" w:cs="Calibri"/>
                <w:b/>
                <w:bCs/>
                <w:color w:val="3F3F3F"/>
                <w:lang w:eastAsia="en-GB"/>
              </w:rPr>
              <w:t xml:space="preserve"> </w:t>
            </w:r>
            <w:r w:rsidR="00991953" w:rsidRPr="00967E0A">
              <w:rPr>
                <w:rFonts w:ascii="Calibri" w:eastAsia="Times New Roman" w:hAnsi="Calibri" w:cs="Calibri"/>
                <w:b/>
                <w:bCs/>
                <w:color w:val="3F3F3F"/>
                <w:vertAlign w:val="superscript"/>
                <w:lang w:eastAsia="en-GB"/>
              </w:rPr>
              <w:t>0</w:t>
            </w:r>
            <w:r w:rsidR="00991953">
              <w:rPr>
                <w:rFonts w:ascii="Calibri" w:eastAsia="Times New Roman" w:hAnsi="Calibri" w:cs="Calibri"/>
                <w:b/>
                <w:bCs/>
                <w:color w:val="3F3F3F"/>
                <w:lang w:eastAsia="en-GB"/>
              </w:rPr>
              <w:t>C</w:t>
            </w:r>
          </w:p>
        </w:tc>
        <w:tc>
          <w:tcPr>
            <w:tcW w:w="960" w:type="dxa"/>
            <w:tcBorders>
              <w:top w:val="nil"/>
              <w:left w:val="nil"/>
              <w:bottom w:val="single" w:sz="4" w:space="0" w:color="3F3F3F"/>
              <w:right w:val="single" w:sz="4" w:space="0" w:color="3F3F3F"/>
            </w:tcBorders>
            <w:shd w:val="clear" w:color="000000" w:fill="F2F2F2"/>
            <w:noWrap/>
            <w:vAlign w:val="center"/>
            <w:hideMark/>
          </w:tcPr>
          <w:p w14:paraId="06D808A5" w14:textId="392EC074" w:rsidR="00967E0A" w:rsidRPr="00FA3F28" w:rsidRDefault="00E11938" w:rsidP="002D69F3">
            <w:pPr>
              <w:spacing w:after="0" w:line="240" w:lineRule="auto"/>
              <w:jc w:val="center"/>
              <w:rPr>
                <w:rFonts w:ascii="Calibri" w:eastAsia="Times New Roman" w:hAnsi="Calibri" w:cs="Calibri"/>
                <w:b/>
                <w:bCs/>
                <w:color w:val="3F3F3F"/>
                <w:lang w:eastAsia="en-GB"/>
              </w:rPr>
            </w:pPr>
            <w:r>
              <w:rPr>
                <w:rFonts w:ascii="Calibri" w:eastAsia="Times New Roman" w:hAnsi="Calibri" w:cs="Calibri"/>
                <w:b/>
                <w:bCs/>
                <w:color w:val="3F3F3F"/>
                <w:lang w:eastAsia="en-GB"/>
              </w:rPr>
              <w:t>816</w:t>
            </w:r>
          </w:p>
        </w:tc>
        <w:tc>
          <w:tcPr>
            <w:tcW w:w="960" w:type="dxa"/>
            <w:tcBorders>
              <w:top w:val="nil"/>
              <w:left w:val="nil"/>
              <w:bottom w:val="single" w:sz="4" w:space="0" w:color="3F3F3F"/>
              <w:right w:val="single" w:sz="4" w:space="0" w:color="3F3F3F"/>
            </w:tcBorders>
            <w:shd w:val="clear" w:color="000000" w:fill="F2F2F2"/>
            <w:noWrap/>
            <w:vAlign w:val="center"/>
            <w:hideMark/>
          </w:tcPr>
          <w:p w14:paraId="28D05C3D"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537</w:t>
            </w:r>
          </w:p>
        </w:tc>
        <w:tc>
          <w:tcPr>
            <w:tcW w:w="960" w:type="dxa"/>
            <w:tcBorders>
              <w:top w:val="nil"/>
              <w:left w:val="nil"/>
              <w:bottom w:val="single" w:sz="4" w:space="0" w:color="3F3F3F"/>
              <w:right w:val="single" w:sz="4" w:space="0" w:color="3F3F3F"/>
            </w:tcBorders>
            <w:shd w:val="clear" w:color="000000" w:fill="F2F2F2"/>
            <w:noWrap/>
            <w:vAlign w:val="center"/>
            <w:hideMark/>
          </w:tcPr>
          <w:p w14:paraId="5C6F4FC6" w14:textId="77777777" w:rsidR="00967E0A" w:rsidRPr="00FA3F28" w:rsidRDefault="00967E0A" w:rsidP="002D69F3">
            <w:pPr>
              <w:spacing w:after="0" w:line="240" w:lineRule="auto"/>
              <w:jc w:val="center"/>
              <w:rPr>
                <w:rFonts w:ascii="Calibri" w:eastAsia="Times New Roman" w:hAnsi="Calibri" w:cs="Calibri"/>
                <w:b/>
                <w:bCs/>
                <w:color w:val="3F3F3F"/>
                <w:lang w:eastAsia="en-GB"/>
              </w:rPr>
            </w:pPr>
            <w:r w:rsidRPr="00FA3F28">
              <w:rPr>
                <w:rFonts w:ascii="Calibri" w:eastAsia="Times New Roman" w:hAnsi="Calibri" w:cs="Calibri"/>
                <w:b/>
                <w:bCs/>
                <w:color w:val="3F3F3F"/>
                <w:lang w:eastAsia="en-GB"/>
              </w:rPr>
              <w:t>581</w:t>
            </w:r>
          </w:p>
        </w:tc>
      </w:tr>
    </w:tbl>
    <w:p w14:paraId="588B1E94" w14:textId="77777777" w:rsidR="00635983" w:rsidRDefault="00635983" w:rsidP="00871ABA">
      <w:pPr>
        <w:pStyle w:val="NormalWeb"/>
        <w:spacing w:before="0" w:beforeAutospacing="0" w:after="0" w:afterAutospacing="0" w:line="360" w:lineRule="auto"/>
        <w:jc w:val="both"/>
        <w:rPr>
          <w:rFonts w:asciiTheme="minorHAnsi" w:eastAsiaTheme="minorEastAsia" w:hAnsiTheme="minorHAnsi" w:cstheme="minorBidi"/>
          <w:sz w:val="22"/>
          <w:szCs w:val="22"/>
        </w:rPr>
      </w:pPr>
    </w:p>
    <w:p w14:paraId="5C94E01A" w14:textId="09212B69" w:rsidR="00871ABA" w:rsidRDefault="00967E0A" w:rsidP="00871ABA">
      <w:pPr>
        <w:pStyle w:val="NormalWeb"/>
        <w:spacing w:before="0" w:beforeAutospacing="0" w:after="0" w:afterAutospacing="0" w:line="360" w:lineRule="auto"/>
        <w:jc w:val="both"/>
        <w:rPr>
          <w:rFonts w:asciiTheme="minorHAnsi" w:eastAsiaTheme="minorEastAsia" w:hAnsiTheme="minorHAnsi" w:cstheme="minorBidi"/>
          <w:sz w:val="22"/>
          <w:szCs w:val="22"/>
        </w:rPr>
      </w:pPr>
      <w:proofErr w:type="spellStart"/>
      <w:r w:rsidRPr="007C00B4">
        <w:rPr>
          <w:rFonts w:asciiTheme="minorHAnsi" w:eastAsiaTheme="minorEastAsia" w:hAnsiTheme="minorHAnsi" w:cstheme="minorBidi"/>
          <w:sz w:val="22"/>
          <w:szCs w:val="22"/>
        </w:rPr>
        <w:t>Ti</w:t>
      </w:r>
      <w:proofErr w:type="spellEnd"/>
      <w:r w:rsidRPr="007C00B4">
        <w:rPr>
          <w:rFonts w:asciiTheme="minorHAnsi" w:eastAsiaTheme="minorEastAsia" w:hAnsiTheme="minorHAnsi" w:cstheme="minorBidi"/>
          <w:sz w:val="22"/>
          <w:szCs w:val="22"/>
        </w:rPr>
        <w:t xml:space="preserve"> – Ignition temperature, Tm – temperature of the maximum weight loss rate, Tb – burnout temperature</w:t>
      </w:r>
      <w:r w:rsidR="00871ABA">
        <w:rPr>
          <w:rFonts w:asciiTheme="minorHAnsi" w:eastAsiaTheme="minorEastAsia" w:hAnsiTheme="minorHAnsi" w:cstheme="minorBidi"/>
          <w:sz w:val="22"/>
          <w:szCs w:val="22"/>
        </w:rPr>
        <w:t xml:space="preserve"> </w:t>
      </w:r>
    </w:p>
    <w:p w14:paraId="4E1A79A9" w14:textId="1CF67F4E" w:rsidR="00160B99" w:rsidRDefault="00427DDC" w:rsidP="0045366E">
      <w:pPr>
        <w:pStyle w:val="NormalWeb"/>
        <w:spacing w:before="0" w:beforeAutospacing="0" w:after="0" w:afterAutospacing="0" w:line="360" w:lineRule="auto"/>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Table 9 contains the TGA analysis, blast furnace heating rates are in the order of 10</w:t>
      </w:r>
      <w:r w:rsidRPr="00427DDC">
        <w:rPr>
          <w:rFonts w:asciiTheme="minorHAnsi" w:eastAsiaTheme="minorEastAsia" w:hAnsiTheme="minorHAnsi" w:cstheme="minorBidi"/>
          <w:sz w:val="22"/>
          <w:szCs w:val="22"/>
          <w:vertAlign w:val="superscript"/>
        </w:rPr>
        <w:t>4</w:t>
      </w:r>
      <w:r>
        <w:rPr>
          <w:rFonts w:asciiTheme="minorHAnsi" w:eastAsiaTheme="minorEastAsia" w:hAnsiTheme="minorHAnsi" w:cstheme="minorBidi"/>
          <w:sz w:val="22"/>
          <w:szCs w:val="22"/>
        </w:rPr>
        <w:t xml:space="preserve"> – 10</w:t>
      </w:r>
      <w:r w:rsidRPr="00427DDC">
        <w:rPr>
          <w:rFonts w:asciiTheme="minorHAnsi" w:eastAsiaTheme="minorEastAsia" w:hAnsiTheme="minorHAnsi" w:cstheme="minorBidi"/>
          <w:sz w:val="22"/>
          <w:szCs w:val="22"/>
          <w:vertAlign w:val="superscript"/>
        </w:rPr>
        <w:t>5</w:t>
      </w:r>
      <w:r>
        <w:rPr>
          <w:rFonts w:asciiTheme="minorHAnsi" w:eastAsiaTheme="minorEastAsia" w:hAnsiTheme="minorHAnsi" w:cstheme="minorBidi"/>
          <w:sz w:val="22"/>
          <w:szCs w:val="22"/>
        </w:rPr>
        <w:t xml:space="preserve"> </w:t>
      </w:r>
      <w:r w:rsidRPr="00427DDC">
        <w:rPr>
          <w:rFonts w:asciiTheme="minorHAnsi" w:eastAsiaTheme="minorEastAsia" w:hAnsiTheme="minorHAnsi" w:cstheme="minorBidi"/>
          <w:sz w:val="22"/>
          <w:szCs w:val="22"/>
          <w:vertAlign w:val="superscript"/>
        </w:rPr>
        <w:t>0</w:t>
      </w:r>
      <w:r>
        <w:rPr>
          <w:rFonts w:asciiTheme="minorHAnsi" w:eastAsiaTheme="minorEastAsia" w:hAnsiTheme="minorHAnsi" w:cstheme="minorBidi"/>
          <w:sz w:val="22"/>
          <w:szCs w:val="22"/>
        </w:rPr>
        <w:t xml:space="preserve">C/s, the heating rates of a TGA (10 </w:t>
      </w:r>
      <w:r w:rsidRPr="00427DDC">
        <w:rPr>
          <w:rFonts w:asciiTheme="minorHAnsi" w:eastAsiaTheme="minorEastAsia" w:hAnsiTheme="minorHAnsi" w:cstheme="minorBidi"/>
          <w:sz w:val="22"/>
          <w:szCs w:val="22"/>
          <w:vertAlign w:val="superscript"/>
        </w:rPr>
        <w:t>0</w:t>
      </w:r>
      <w:r>
        <w:rPr>
          <w:rFonts w:asciiTheme="minorHAnsi" w:eastAsiaTheme="minorEastAsia" w:hAnsiTheme="minorHAnsi" w:cstheme="minorBidi"/>
          <w:sz w:val="22"/>
          <w:szCs w:val="22"/>
        </w:rPr>
        <w:t xml:space="preserve">C/min) are considerably lower, with small sample masses ~20mg. However the technique is fast and reliable </w:t>
      </w:r>
      <w:r>
        <w:rPr>
          <w:rFonts w:asciiTheme="minorHAnsi" w:eastAsiaTheme="minorEastAsia" w:hAnsiTheme="minorHAnsi" w:cstheme="minorBidi"/>
          <w:sz w:val="22"/>
          <w:szCs w:val="22"/>
        </w:rPr>
        <w:fldChar w:fldCharType="begin"/>
      </w:r>
      <w:r w:rsidR="00192334">
        <w:rPr>
          <w:rFonts w:asciiTheme="minorHAnsi" w:eastAsiaTheme="minorEastAsia" w:hAnsiTheme="minorHAnsi" w:cstheme="minorBidi"/>
          <w:sz w:val="22"/>
          <w:szCs w:val="22"/>
        </w:rPr>
        <w:instrText xml:space="preserve"> ADDIN ZOTERO_ITEM CSL_CITATION {"citationID":"FxoB4czn","properties":{"formattedCitation":"(Steer {\\i{}et al.}, 2015)","plainCitation":"(Steer et al., 2015)","noteIndex":0},"citationItems":[{"id":2003,"uris":["http://zotero.org/users/local/AB2owHL2/items/Q6C8HKE8"],"itemData":{"id":2003,"type":"article-journal","abstract":"Coal injection plays an important role to the economic success of ironmaking by substituting a portion of the coke input and improving the blast furnace productivity. Manufacturers are looking at opportunities to increase their coal selection options by using higher proportions of technically challenging lower volatile matter content coals; this paper investigates the kinetics, devolatilisation and burnout of these in granulated coal blends using thermogravimetric analysis (TGA) and a drop tube furnace (DTF). The char residue from the semi-anthracitic low volatile coal selected for this blending investigation had a much reduced reactivity at higher conversions which affected the blends in different ways. Burnout of the blends with the low volatile bituminous coals was improved by fragmentation of the granulated particles, but at longer residence times the lower reactivity of the more structurally ordered carbon in the semi anthracitic coal dominated. In contrast, the higher volatile coals showed improvements at low residence times corresponding to rapid volatile loss, but also showed non-additive blend improvement at longer residence times which may be explained by the more obvious presence of included minerals and the higher K/Al ratios associated with illite mineral phases known to improve burnout.","collection-title":"The 10th European Conference on Coal Research and its Applications","container-title":"Fuel","DOI":"10.1016/j.fuel.2014.12.060","ISSN":"0016-2361","journalAbbreviation":"Fuel","language":"en","page":"40-49","source":"ScienceDirect","title":"Opportunities to improve the utilisation of granulated coals for blast furnace injection","URL":"https://www.sciencedirect.com/science/article/pii/S0016236114012691","volume":"151","author":[{"family":"Steer","given":"Julian M."},{"family":"Marsh","given":"Richard"},{"family":"Greenslade","given":"Mark"},{"family":"Robinson","given":"Andrew"}],"accessed":{"date-parts":[["2022",10,12]]},"issued":{"date-parts":[["2015",7,1]]}}}],"schema":"https://github.com/citation-style-language/schema/raw/master/csl-citation.json"} </w:instrText>
      </w:r>
      <w:r>
        <w:rPr>
          <w:rFonts w:asciiTheme="minorHAnsi" w:eastAsiaTheme="minorEastAsia" w:hAnsiTheme="minorHAnsi" w:cstheme="minorBidi"/>
          <w:sz w:val="22"/>
          <w:szCs w:val="22"/>
        </w:rPr>
        <w:fldChar w:fldCharType="separate"/>
      </w:r>
      <w:r w:rsidR="00192334" w:rsidRPr="00192334">
        <w:rPr>
          <w:rFonts w:ascii="Calibri" w:hAnsi="Calibri" w:cs="Calibri"/>
          <w:sz w:val="22"/>
        </w:rPr>
        <w:t xml:space="preserve">(Steer </w:t>
      </w:r>
      <w:r w:rsidR="00192334" w:rsidRPr="00192334">
        <w:rPr>
          <w:rFonts w:ascii="Calibri" w:hAnsi="Calibri" w:cs="Calibri"/>
          <w:i/>
          <w:iCs/>
          <w:sz w:val="22"/>
        </w:rPr>
        <w:t>et al.</w:t>
      </w:r>
      <w:r w:rsidR="00192334" w:rsidRPr="00192334">
        <w:rPr>
          <w:rFonts w:ascii="Calibri" w:hAnsi="Calibri" w:cs="Calibri"/>
          <w:sz w:val="22"/>
        </w:rPr>
        <w:t>, 2015)</w:t>
      </w:r>
      <w:r>
        <w:rPr>
          <w:rFonts w:asciiTheme="minorHAnsi" w:eastAsiaTheme="minorEastAsia" w:hAnsiTheme="minorHAnsi" w:cstheme="minorBidi"/>
          <w:sz w:val="22"/>
          <w:szCs w:val="22"/>
        </w:rPr>
        <w:fldChar w:fldCharType="end"/>
      </w:r>
      <w:r>
        <w:rPr>
          <w:rFonts w:asciiTheme="minorHAnsi" w:eastAsiaTheme="minorEastAsia" w:hAnsiTheme="minorHAnsi" w:cstheme="minorBidi"/>
          <w:sz w:val="22"/>
          <w:szCs w:val="22"/>
        </w:rPr>
        <w:t xml:space="preserve">. </w:t>
      </w:r>
    </w:p>
    <w:p w14:paraId="38065054" w14:textId="755A1DC6" w:rsidR="00871ABA" w:rsidRPr="007C00B4" w:rsidRDefault="00871ABA" w:rsidP="0045366E">
      <w:pPr>
        <w:pStyle w:val="NormalWeb"/>
        <w:spacing w:before="0" w:beforeAutospacing="0" w:after="0" w:afterAutospacing="0" w:line="360" w:lineRule="auto"/>
        <w:jc w:val="both"/>
        <w:rPr>
          <w:rFonts w:asciiTheme="minorHAnsi" w:eastAsiaTheme="minorEastAsia" w:hAnsiTheme="minorHAnsi" w:cstheme="minorBidi"/>
          <w:sz w:val="22"/>
          <w:szCs w:val="22"/>
        </w:rPr>
      </w:pPr>
      <w:r>
        <w:rPr>
          <w:rFonts w:asciiTheme="minorHAnsi" w:eastAsiaTheme="minorEastAsia" w:hAnsiTheme="minorHAnsi" w:cstheme="minorBidi"/>
          <w:sz w:val="22"/>
          <w:szCs w:val="22"/>
        </w:rPr>
        <w:t>The</w:t>
      </w:r>
      <w:r w:rsidR="004A5636">
        <w:rPr>
          <w:rFonts w:asciiTheme="minorHAnsi" w:eastAsiaTheme="minorEastAsia" w:hAnsiTheme="minorHAnsi" w:cstheme="minorBidi"/>
          <w:sz w:val="22"/>
          <w:szCs w:val="22"/>
        </w:rPr>
        <w:t>se</w:t>
      </w:r>
      <w:r>
        <w:rPr>
          <w:rFonts w:asciiTheme="minorHAnsi" w:eastAsiaTheme="minorEastAsia" w:hAnsiTheme="minorHAnsi" w:cstheme="minorBidi"/>
          <w:sz w:val="22"/>
          <w:szCs w:val="22"/>
        </w:rPr>
        <w:t xml:space="preserve"> results show that the </w:t>
      </w:r>
      <w:r w:rsidR="00F862B6">
        <w:rPr>
          <w:rFonts w:asciiTheme="minorHAnsi" w:eastAsiaTheme="minorEastAsia" w:hAnsiTheme="minorHAnsi" w:cstheme="minorBidi"/>
          <w:sz w:val="22"/>
          <w:szCs w:val="22"/>
        </w:rPr>
        <w:t>biochar’s</w:t>
      </w:r>
      <w:r>
        <w:rPr>
          <w:rFonts w:asciiTheme="minorHAnsi" w:eastAsiaTheme="minorEastAsia" w:hAnsiTheme="minorHAnsi" w:cstheme="minorBidi"/>
          <w:sz w:val="22"/>
          <w:szCs w:val="22"/>
        </w:rPr>
        <w:t xml:space="preserve"> ignite at lower temperatures, reach maximum </w:t>
      </w:r>
      <w:r w:rsidR="00E11938">
        <w:rPr>
          <w:rFonts w:asciiTheme="minorHAnsi" w:eastAsiaTheme="minorEastAsia" w:hAnsiTheme="minorHAnsi" w:cstheme="minorBidi"/>
          <w:sz w:val="22"/>
          <w:szCs w:val="22"/>
        </w:rPr>
        <w:t xml:space="preserve">rate of combustion at </w:t>
      </w:r>
      <w:r>
        <w:rPr>
          <w:rFonts w:asciiTheme="minorHAnsi" w:eastAsiaTheme="minorEastAsia" w:hAnsiTheme="minorHAnsi" w:cstheme="minorBidi"/>
          <w:sz w:val="22"/>
          <w:szCs w:val="22"/>
        </w:rPr>
        <w:t>lower temperatures and burnout at lower temperatures</w:t>
      </w:r>
      <w:r w:rsidR="00E11938">
        <w:rPr>
          <w:rFonts w:asciiTheme="minorHAnsi" w:eastAsiaTheme="minorEastAsia" w:hAnsiTheme="minorHAnsi" w:cstheme="minorBidi"/>
          <w:sz w:val="22"/>
          <w:szCs w:val="22"/>
        </w:rPr>
        <w:t xml:space="preserve"> when compared with the T-coal</w:t>
      </w:r>
      <w:r w:rsidR="00AF219B">
        <w:rPr>
          <w:rFonts w:asciiTheme="minorHAnsi" w:eastAsiaTheme="minorEastAsia" w:hAnsiTheme="minorHAnsi" w:cstheme="minorBidi"/>
          <w:sz w:val="22"/>
          <w:szCs w:val="22"/>
        </w:rPr>
        <w:t xml:space="preserve">. </w:t>
      </w:r>
    </w:p>
    <w:p w14:paraId="56AB1E5B" w14:textId="75F21974" w:rsidR="00047A58" w:rsidRDefault="00E11938" w:rsidP="000D2BC6">
      <w:pPr>
        <w:spacing w:line="360" w:lineRule="auto"/>
        <w:jc w:val="both"/>
      </w:pPr>
      <w:r>
        <w:t xml:space="preserve">When </w:t>
      </w:r>
      <w:r w:rsidR="00B347E0">
        <w:t>considering chemistry</w:t>
      </w:r>
      <w:r w:rsidR="004671BB">
        <w:t xml:space="preserve">, </w:t>
      </w:r>
      <w:r>
        <w:t xml:space="preserve">combustibility and burnout </w:t>
      </w:r>
      <w:r w:rsidR="00A35543">
        <w:t>then the</w:t>
      </w:r>
      <w:r>
        <w:t xml:space="preserve"> biochar samples have the potential to </w:t>
      </w:r>
      <w:r w:rsidR="00E37FE6">
        <w:t>at least partially replace coal in PCI</w:t>
      </w:r>
      <w:r w:rsidR="00B457F2">
        <w:t>, plant trials would be required to see how much</w:t>
      </w:r>
      <w:r w:rsidR="00960035">
        <w:t xml:space="preserve"> of it could be </w:t>
      </w:r>
      <w:r w:rsidR="0057200E">
        <w:t>substituted in</w:t>
      </w:r>
      <w:r w:rsidR="00960035">
        <w:t>.</w:t>
      </w:r>
      <w:r w:rsidR="00811575">
        <w:t xml:space="preserve"> A trial at </w:t>
      </w:r>
      <w:r w:rsidR="004671BB">
        <w:t>10% to begin with</w:t>
      </w:r>
      <w:r w:rsidR="000701D5">
        <w:t xml:space="preserve"> is </w:t>
      </w:r>
      <w:r w:rsidR="000C2B27">
        <w:t>recommended</w:t>
      </w:r>
      <w:r w:rsidR="00E86F1D">
        <w:t>,</w:t>
      </w:r>
      <w:r w:rsidR="004671BB">
        <w:t xml:space="preserve"> while gradually increasing increments until an optimum level of</w:t>
      </w:r>
      <w:r w:rsidR="00E86F1D">
        <w:t xml:space="preserve"> biochar</w:t>
      </w:r>
      <w:r w:rsidR="004671BB">
        <w:t xml:space="preserve"> addition is settled upon.</w:t>
      </w:r>
    </w:p>
    <w:p w14:paraId="7BFD8B48" w14:textId="2E99E0AE" w:rsidR="00E11938" w:rsidRDefault="00E418AF" w:rsidP="00E418AF">
      <w:pPr>
        <w:pStyle w:val="Heading2"/>
        <w:spacing w:line="360" w:lineRule="auto"/>
        <w:jc w:val="both"/>
      </w:pPr>
      <w:bookmarkStart w:id="79" w:name="_Toc128599626"/>
      <w:r>
        <w:t xml:space="preserve">Biochar substitution into coke </w:t>
      </w:r>
      <w:r w:rsidR="00B347E0">
        <w:t>making.</w:t>
      </w:r>
      <w:bookmarkEnd w:id="79"/>
    </w:p>
    <w:p w14:paraId="0EDBB25C" w14:textId="3DC44BF3" w:rsidR="0094408F" w:rsidRDefault="00891389" w:rsidP="000547EC">
      <w:pPr>
        <w:spacing w:line="360" w:lineRule="auto"/>
        <w:jc w:val="both"/>
      </w:pPr>
      <w:r>
        <w:t xml:space="preserve">Metallurgical coke plays are role in the BF that no other known material can </w:t>
      </w:r>
      <w:r w:rsidR="00F1663A">
        <w:t>re</w:t>
      </w:r>
      <w:r w:rsidR="00DF0555">
        <w:t>plicate</w:t>
      </w:r>
      <w:r w:rsidR="00772254">
        <w:t xml:space="preserve">, that being a permeable support of the BF burden. </w:t>
      </w:r>
      <w:r w:rsidR="00DC74E1">
        <w:t xml:space="preserve">The </w:t>
      </w:r>
      <w:r w:rsidR="0032705F">
        <w:t xml:space="preserve">BF environment is </w:t>
      </w:r>
      <w:r w:rsidR="006B5F4A">
        <w:t>harsh,</w:t>
      </w:r>
      <w:r w:rsidR="0032705F">
        <w:t xml:space="preserve"> and the coke is subjected to </w:t>
      </w:r>
      <w:r w:rsidR="00B755D0">
        <w:t xml:space="preserve">long periods under mechanical, </w:t>
      </w:r>
      <w:r w:rsidR="00A75E17">
        <w:t>thermal,</w:t>
      </w:r>
      <w:r w:rsidR="00B755D0">
        <w:t xml:space="preserve"> and chemical stress</w:t>
      </w:r>
      <w:r w:rsidR="006B5F4A">
        <w:t xml:space="preserve">. </w:t>
      </w:r>
      <w:r w:rsidR="001A346C">
        <w:t xml:space="preserve">The performance of the coke </w:t>
      </w:r>
      <w:r w:rsidR="00667BF0">
        <w:t xml:space="preserve">inside the furnace </w:t>
      </w:r>
      <w:r w:rsidR="00274FE3">
        <w:t xml:space="preserve">is correlated with the BF </w:t>
      </w:r>
      <w:r w:rsidR="00A14AD7">
        <w:t>operational stability. As such the quality of the coke is critical</w:t>
      </w:r>
      <w:r w:rsidR="009A40E1">
        <w:t>. Metallurgical coke should have high mechanical strength, high CSR, and low CRI. Impurities such as VM, ash, sulphur and phosphorus and alkali metal content need to be kept as low as possible.</w:t>
      </w:r>
      <w:r w:rsidR="005335CA">
        <w:t xml:space="preserve"> </w:t>
      </w:r>
      <w:r w:rsidR="00926E28">
        <w:fldChar w:fldCharType="begin"/>
      </w:r>
      <w:r w:rsidR="00192334">
        <w:instrText xml:space="preserve"> ADDIN ZOTERO_ITEM CSL_CITATION {"citationID":"nhUBQEof","properties":{"formattedCitation":"(D\\uc0\\u305{}\\uc0\\u769{}ez, Alvarez and Barriocanal, 2002)","plainCitation":"(Dı́ez, Alvarez and Barriocanal, 2002)","noteIndex":0},"citationItems":[{"id":1854,"uris":["http://zotero.org/users/local/AB2owHL2/items/DUT2HFFP"],"itemData":{"id":1854,"type":"article-journal","abstract":"This paper reviews quality requirements of metallurgical coke for the blast furnace, coke structure, and relationships between structure and quality. Models of prediction of metallurgical coke quality parameters based on maceral composition and properties of coals being carbonized are summarized. Early prediction models of cold coke strength and the development of second-generation hot-strength prediction models based on parameters as coke reactivity index (CRI) and coke strength after reaction with carbon dioxide (CSR) are assessed. The review concludes with an assessment of current coke production and coal demand in the steelmaking industry, globally, followed by a preview of possible future alternative coking technologies.","collection-title":"Volume 50","container-title":"International Journal of Coal Geology","DOI":"10.1016/S0166-5162(02)00123-4","ISSN":"0166-5162","issue":"1","journalAbbreviation":"International Journal of Coal Geology","language":"en","page":"389-412","source":"ScienceDirect","title":"Coal for metallurgical coke production: predictions of coke quality and future requirements for cokemaking","title-short":"Coal for metallurgical coke production","URL":"https://www.sciencedirect.com/science/article/pii/S0166516202001234","volume":"50","author":[{"family":"Dı́ez","given":"M. A"},{"family":"Alvarez","given":"R"},{"family":"Barriocanal","given":"C"}],"accessed":{"date-parts":[["2022",7,31]]},"issued":{"date-parts":[["2002",5,1]]}}}],"schema":"https://github.com/citation-style-language/schema/raw/master/csl-citation.json"} </w:instrText>
      </w:r>
      <w:r w:rsidR="00926E28">
        <w:fldChar w:fldCharType="separate"/>
      </w:r>
      <w:r w:rsidR="00192334" w:rsidRPr="00192334">
        <w:rPr>
          <w:rFonts w:ascii="Calibri" w:hAnsi="Calibri" w:cs="Calibri"/>
          <w:szCs w:val="24"/>
        </w:rPr>
        <w:t>(Dı́ez, Alvarez and Barriocanal, 2002)</w:t>
      </w:r>
      <w:r w:rsidR="00926E28">
        <w:fldChar w:fldCharType="end"/>
      </w:r>
      <w:r w:rsidR="005335CA">
        <w:t>.</w:t>
      </w:r>
      <w:r w:rsidR="00926E28">
        <w:t xml:space="preserve"> </w:t>
      </w:r>
    </w:p>
    <w:p w14:paraId="72158C82" w14:textId="77777777" w:rsidR="00047A58" w:rsidRDefault="00047A58" w:rsidP="000547EC">
      <w:pPr>
        <w:spacing w:line="360" w:lineRule="auto"/>
        <w:jc w:val="both"/>
      </w:pPr>
    </w:p>
    <w:p w14:paraId="1822082F" w14:textId="5007485D" w:rsidR="00AA3FCA" w:rsidRDefault="00AA3FCA" w:rsidP="0029241E">
      <w:pPr>
        <w:pStyle w:val="Heading3"/>
      </w:pPr>
      <w:bookmarkStart w:id="80" w:name="_Toc128599627"/>
      <w:r>
        <w:lastRenderedPageBreak/>
        <w:t xml:space="preserve">Chemical properties </w:t>
      </w:r>
      <w:r w:rsidR="00257DAF">
        <w:t>of coking coal and biochar</w:t>
      </w:r>
      <w:bookmarkEnd w:id="80"/>
    </w:p>
    <w:p w14:paraId="3D881816" w14:textId="77777777" w:rsidR="00CA5C83" w:rsidRPr="00CA5C83" w:rsidRDefault="00CA5C83" w:rsidP="00CA5C83"/>
    <w:p w14:paraId="2404F0EF" w14:textId="5F29645B" w:rsidR="00AA3FCA" w:rsidRPr="00AA3FCA" w:rsidRDefault="00AA3FCA" w:rsidP="00AA3FCA">
      <w:pPr>
        <w:pStyle w:val="Caption"/>
        <w:jc w:val="center"/>
      </w:pPr>
      <w:r>
        <w:t xml:space="preserve">Table </w:t>
      </w:r>
      <w:fldSimple w:instr=" SEQ Table \* ARABIC ">
        <w:r w:rsidR="00DA2639">
          <w:rPr>
            <w:noProof/>
          </w:rPr>
          <w:t>10</w:t>
        </w:r>
      </w:fldSimple>
      <w:r>
        <w:t xml:space="preserve"> Chemical properties of coking coal and biochar</w:t>
      </w:r>
    </w:p>
    <w:tbl>
      <w:tblPr>
        <w:tblW w:w="4160" w:type="dxa"/>
        <w:jc w:val="center"/>
        <w:tblLook w:val="04A0" w:firstRow="1" w:lastRow="0" w:firstColumn="1" w:lastColumn="0" w:noHBand="0" w:noVBand="1"/>
      </w:tblPr>
      <w:tblGrid>
        <w:gridCol w:w="1280"/>
        <w:gridCol w:w="1034"/>
        <w:gridCol w:w="960"/>
        <w:gridCol w:w="960"/>
      </w:tblGrid>
      <w:tr w:rsidR="00655DD1" w:rsidRPr="00655DD1" w14:paraId="52C7F1DA" w14:textId="77777777" w:rsidTr="00655DD1">
        <w:trPr>
          <w:trHeight w:val="915"/>
          <w:jc w:val="center"/>
        </w:trPr>
        <w:tc>
          <w:tcPr>
            <w:tcW w:w="1280"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4FEBBF9D"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 dry basis</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2222D0C4"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Riverside</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2CAFA3CE"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Biochar 1</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692BDCF1"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Biochar 2</w:t>
            </w:r>
          </w:p>
        </w:tc>
      </w:tr>
      <w:tr w:rsidR="00655DD1" w:rsidRPr="00655DD1" w14:paraId="52775986" w14:textId="77777777" w:rsidTr="00655DD1">
        <w:trPr>
          <w:trHeight w:val="315"/>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5B960C0A"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C</w:t>
            </w:r>
          </w:p>
        </w:tc>
        <w:tc>
          <w:tcPr>
            <w:tcW w:w="960" w:type="dxa"/>
            <w:tcBorders>
              <w:top w:val="nil"/>
              <w:left w:val="nil"/>
              <w:bottom w:val="single" w:sz="4" w:space="0" w:color="auto"/>
              <w:right w:val="single" w:sz="4" w:space="0" w:color="auto"/>
            </w:tcBorders>
            <w:shd w:val="clear" w:color="000000" w:fill="EDEDED"/>
            <w:noWrap/>
            <w:vAlign w:val="center"/>
            <w:hideMark/>
          </w:tcPr>
          <w:p w14:paraId="2658BF4A"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80.5</w:t>
            </w:r>
          </w:p>
        </w:tc>
        <w:tc>
          <w:tcPr>
            <w:tcW w:w="960" w:type="dxa"/>
            <w:tcBorders>
              <w:top w:val="nil"/>
              <w:left w:val="nil"/>
              <w:bottom w:val="single" w:sz="4" w:space="0" w:color="auto"/>
              <w:right w:val="single" w:sz="4" w:space="0" w:color="auto"/>
            </w:tcBorders>
            <w:shd w:val="clear" w:color="000000" w:fill="EDEDED"/>
            <w:noWrap/>
            <w:vAlign w:val="center"/>
            <w:hideMark/>
          </w:tcPr>
          <w:p w14:paraId="35AF43B0"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90.2</w:t>
            </w:r>
          </w:p>
        </w:tc>
        <w:tc>
          <w:tcPr>
            <w:tcW w:w="960" w:type="dxa"/>
            <w:tcBorders>
              <w:top w:val="nil"/>
              <w:left w:val="nil"/>
              <w:bottom w:val="single" w:sz="4" w:space="0" w:color="auto"/>
              <w:right w:val="single" w:sz="4" w:space="0" w:color="auto"/>
            </w:tcBorders>
            <w:shd w:val="clear" w:color="000000" w:fill="EDEDED"/>
            <w:noWrap/>
            <w:vAlign w:val="center"/>
            <w:hideMark/>
          </w:tcPr>
          <w:p w14:paraId="1FC48D8F"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83</w:t>
            </w:r>
          </w:p>
        </w:tc>
      </w:tr>
      <w:tr w:rsidR="00655DD1" w:rsidRPr="00655DD1" w14:paraId="1A8D950A" w14:textId="77777777" w:rsidTr="00655DD1">
        <w:trPr>
          <w:trHeight w:val="315"/>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47B25AD2"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H</w:t>
            </w:r>
          </w:p>
        </w:tc>
        <w:tc>
          <w:tcPr>
            <w:tcW w:w="960" w:type="dxa"/>
            <w:tcBorders>
              <w:top w:val="nil"/>
              <w:left w:val="nil"/>
              <w:bottom w:val="single" w:sz="4" w:space="0" w:color="auto"/>
              <w:right w:val="single" w:sz="4" w:space="0" w:color="auto"/>
            </w:tcBorders>
            <w:shd w:val="clear" w:color="000000" w:fill="EDEDED"/>
            <w:noWrap/>
            <w:vAlign w:val="center"/>
            <w:hideMark/>
          </w:tcPr>
          <w:p w14:paraId="20530EC5"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4.48</w:t>
            </w:r>
          </w:p>
        </w:tc>
        <w:tc>
          <w:tcPr>
            <w:tcW w:w="960" w:type="dxa"/>
            <w:tcBorders>
              <w:top w:val="nil"/>
              <w:left w:val="nil"/>
              <w:bottom w:val="single" w:sz="4" w:space="0" w:color="auto"/>
              <w:right w:val="single" w:sz="4" w:space="0" w:color="auto"/>
            </w:tcBorders>
            <w:shd w:val="clear" w:color="000000" w:fill="EDEDED"/>
            <w:noWrap/>
            <w:vAlign w:val="center"/>
            <w:hideMark/>
          </w:tcPr>
          <w:p w14:paraId="2D6A654C"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1.83</w:t>
            </w:r>
          </w:p>
        </w:tc>
        <w:tc>
          <w:tcPr>
            <w:tcW w:w="960" w:type="dxa"/>
            <w:tcBorders>
              <w:top w:val="nil"/>
              <w:left w:val="nil"/>
              <w:bottom w:val="single" w:sz="4" w:space="0" w:color="auto"/>
              <w:right w:val="single" w:sz="4" w:space="0" w:color="auto"/>
            </w:tcBorders>
            <w:shd w:val="clear" w:color="000000" w:fill="EDEDED"/>
            <w:noWrap/>
            <w:vAlign w:val="center"/>
            <w:hideMark/>
          </w:tcPr>
          <w:p w14:paraId="65BCE442"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2.02</w:t>
            </w:r>
          </w:p>
        </w:tc>
      </w:tr>
      <w:tr w:rsidR="00655DD1" w:rsidRPr="00655DD1" w14:paraId="3FBCAC9F" w14:textId="77777777" w:rsidTr="00655DD1">
        <w:trPr>
          <w:trHeight w:val="315"/>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449B6B09"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N</w:t>
            </w:r>
          </w:p>
        </w:tc>
        <w:tc>
          <w:tcPr>
            <w:tcW w:w="960" w:type="dxa"/>
            <w:tcBorders>
              <w:top w:val="nil"/>
              <w:left w:val="nil"/>
              <w:bottom w:val="single" w:sz="4" w:space="0" w:color="auto"/>
              <w:right w:val="single" w:sz="4" w:space="0" w:color="auto"/>
            </w:tcBorders>
            <w:shd w:val="clear" w:color="000000" w:fill="EDEDED"/>
            <w:noWrap/>
            <w:vAlign w:val="center"/>
            <w:hideMark/>
          </w:tcPr>
          <w:p w14:paraId="19662046"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1.75</w:t>
            </w:r>
          </w:p>
        </w:tc>
        <w:tc>
          <w:tcPr>
            <w:tcW w:w="960" w:type="dxa"/>
            <w:tcBorders>
              <w:top w:val="nil"/>
              <w:left w:val="nil"/>
              <w:bottom w:val="single" w:sz="4" w:space="0" w:color="auto"/>
              <w:right w:val="single" w:sz="4" w:space="0" w:color="auto"/>
            </w:tcBorders>
            <w:shd w:val="clear" w:color="000000" w:fill="EDEDED"/>
            <w:noWrap/>
            <w:vAlign w:val="center"/>
            <w:hideMark/>
          </w:tcPr>
          <w:p w14:paraId="7DF0D566"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0.09</w:t>
            </w:r>
          </w:p>
        </w:tc>
        <w:tc>
          <w:tcPr>
            <w:tcW w:w="960" w:type="dxa"/>
            <w:tcBorders>
              <w:top w:val="nil"/>
              <w:left w:val="nil"/>
              <w:bottom w:val="single" w:sz="4" w:space="0" w:color="auto"/>
              <w:right w:val="single" w:sz="4" w:space="0" w:color="auto"/>
            </w:tcBorders>
            <w:shd w:val="clear" w:color="000000" w:fill="EDEDED"/>
            <w:noWrap/>
            <w:vAlign w:val="center"/>
            <w:hideMark/>
          </w:tcPr>
          <w:p w14:paraId="1B379E32"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0.47</w:t>
            </w:r>
          </w:p>
        </w:tc>
      </w:tr>
      <w:tr w:rsidR="00655DD1" w:rsidRPr="00655DD1" w14:paraId="43A1F5A3" w14:textId="77777777" w:rsidTr="00655DD1">
        <w:trPr>
          <w:trHeight w:val="300"/>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44371C0A"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S</w:t>
            </w:r>
          </w:p>
        </w:tc>
        <w:tc>
          <w:tcPr>
            <w:tcW w:w="960" w:type="dxa"/>
            <w:tcBorders>
              <w:top w:val="nil"/>
              <w:left w:val="nil"/>
              <w:bottom w:val="single" w:sz="4" w:space="0" w:color="auto"/>
              <w:right w:val="single" w:sz="4" w:space="0" w:color="auto"/>
            </w:tcBorders>
            <w:shd w:val="clear" w:color="000000" w:fill="EDEDED"/>
            <w:noWrap/>
            <w:vAlign w:val="center"/>
            <w:hideMark/>
          </w:tcPr>
          <w:p w14:paraId="113B8207"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0.54</w:t>
            </w:r>
          </w:p>
        </w:tc>
        <w:tc>
          <w:tcPr>
            <w:tcW w:w="960" w:type="dxa"/>
            <w:tcBorders>
              <w:top w:val="nil"/>
              <w:left w:val="nil"/>
              <w:bottom w:val="single" w:sz="4" w:space="0" w:color="auto"/>
              <w:right w:val="single" w:sz="4" w:space="0" w:color="auto"/>
            </w:tcBorders>
            <w:shd w:val="clear" w:color="000000" w:fill="EDEDED"/>
            <w:noWrap/>
            <w:vAlign w:val="center"/>
            <w:hideMark/>
          </w:tcPr>
          <w:p w14:paraId="32F80A94"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&lt;0.02</w:t>
            </w:r>
          </w:p>
        </w:tc>
        <w:tc>
          <w:tcPr>
            <w:tcW w:w="960" w:type="dxa"/>
            <w:tcBorders>
              <w:top w:val="nil"/>
              <w:left w:val="nil"/>
              <w:bottom w:val="single" w:sz="4" w:space="0" w:color="auto"/>
              <w:right w:val="single" w:sz="4" w:space="0" w:color="auto"/>
            </w:tcBorders>
            <w:shd w:val="clear" w:color="000000" w:fill="EDEDED"/>
            <w:noWrap/>
            <w:vAlign w:val="center"/>
            <w:hideMark/>
          </w:tcPr>
          <w:p w14:paraId="70BAA6E8"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0.005</w:t>
            </w:r>
          </w:p>
        </w:tc>
      </w:tr>
      <w:tr w:rsidR="00655DD1" w:rsidRPr="00655DD1" w14:paraId="37BC116E" w14:textId="77777777" w:rsidTr="00655DD1">
        <w:trPr>
          <w:trHeight w:val="330"/>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375942A9"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O</w:t>
            </w:r>
          </w:p>
        </w:tc>
        <w:tc>
          <w:tcPr>
            <w:tcW w:w="960" w:type="dxa"/>
            <w:tcBorders>
              <w:top w:val="nil"/>
              <w:left w:val="nil"/>
              <w:bottom w:val="single" w:sz="4" w:space="0" w:color="auto"/>
              <w:right w:val="single" w:sz="4" w:space="0" w:color="auto"/>
            </w:tcBorders>
            <w:shd w:val="clear" w:color="000000" w:fill="EDEDED"/>
            <w:noWrap/>
            <w:vAlign w:val="center"/>
            <w:hideMark/>
          </w:tcPr>
          <w:p w14:paraId="765F1C11"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2.73</w:t>
            </w:r>
          </w:p>
        </w:tc>
        <w:tc>
          <w:tcPr>
            <w:tcW w:w="960" w:type="dxa"/>
            <w:tcBorders>
              <w:top w:val="nil"/>
              <w:left w:val="nil"/>
              <w:bottom w:val="single" w:sz="4" w:space="0" w:color="auto"/>
              <w:right w:val="single" w:sz="4" w:space="0" w:color="auto"/>
            </w:tcBorders>
            <w:shd w:val="clear" w:color="000000" w:fill="EDEDED"/>
            <w:noWrap/>
            <w:vAlign w:val="center"/>
            <w:hideMark/>
          </w:tcPr>
          <w:p w14:paraId="39C4ADBD"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6.02</w:t>
            </w:r>
          </w:p>
        </w:tc>
        <w:tc>
          <w:tcPr>
            <w:tcW w:w="960" w:type="dxa"/>
            <w:tcBorders>
              <w:top w:val="nil"/>
              <w:left w:val="nil"/>
              <w:bottom w:val="single" w:sz="4" w:space="0" w:color="auto"/>
              <w:right w:val="single" w:sz="4" w:space="0" w:color="auto"/>
            </w:tcBorders>
            <w:shd w:val="clear" w:color="000000" w:fill="EDEDED"/>
            <w:noWrap/>
            <w:vAlign w:val="center"/>
            <w:hideMark/>
          </w:tcPr>
          <w:p w14:paraId="494A0559"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7.33</w:t>
            </w:r>
          </w:p>
        </w:tc>
      </w:tr>
      <w:tr w:rsidR="00655DD1" w:rsidRPr="00655DD1" w14:paraId="5DDC116F" w14:textId="77777777" w:rsidTr="00655DD1">
        <w:trPr>
          <w:trHeight w:val="300"/>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44F58A98" w14:textId="77777777" w:rsidR="00655DD1" w:rsidRPr="00655DD1" w:rsidRDefault="00655DD1" w:rsidP="00655DD1">
            <w:pPr>
              <w:spacing w:after="0" w:line="240" w:lineRule="auto"/>
              <w:jc w:val="center"/>
              <w:rPr>
                <w:rFonts w:ascii="Calibri" w:eastAsia="Times New Roman" w:hAnsi="Calibri" w:cs="Calibri"/>
                <w:lang w:eastAsia="en-GB"/>
              </w:rPr>
            </w:pPr>
            <w:proofErr w:type="spellStart"/>
            <w:r w:rsidRPr="00655DD1">
              <w:rPr>
                <w:rFonts w:ascii="Calibri" w:eastAsia="Times New Roman" w:hAnsi="Calibri" w:cs="Calibri"/>
                <w:lang w:eastAsia="en-GB"/>
              </w:rPr>
              <w:t>Vm</w:t>
            </w:r>
            <w:proofErr w:type="spellEnd"/>
          </w:p>
        </w:tc>
        <w:tc>
          <w:tcPr>
            <w:tcW w:w="960" w:type="dxa"/>
            <w:tcBorders>
              <w:top w:val="nil"/>
              <w:left w:val="nil"/>
              <w:bottom w:val="single" w:sz="4" w:space="0" w:color="auto"/>
              <w:right w:val="single" w:sz="4" w:space="0" w:color="auto"/>
            </w:tcBorders>
            <w:shd w:val="clear" w:color="000000" w:fill="EDEDED"/>
            <w:noWrap/>
            <w:vAlign w:val="center"/>
            <w:hideMark/>
          </w:tcPr>
          <w:p w14:paraId="1AD2B6B2"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21.6</w:t>
            </w:r>
          </w:p>
        </w:tc>
        <w:tc>
          <w:tcPr>
            <w:tcW w:w="960" w:type="dxa"/>
            <w:tcBorders>
              <w:top w:val="nil"/>
              <w:left w:val="nil"/>
              <w:bottom w:val="single" w:sz="4" w:space="0" w:color="auto"/>
              <w:right w:val="single" w:sz="4" w:space="0" w:color="auto"/>
            </w:tcBorders>
            <w:shd w:val="clear" w:color="000000" w:fill="EDEDED"/>
            <w:noWrap/>
            <w:vAlign w:val="center"/>
            <w:hideMark/>
          </w:tcPr>
          <w:p w14:paraId="20B79D76"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6.7</w:t>
            </w:r>
          </w:p>
        </w:tc>
        <w:tc>
          <w:tcPr>
            <w:tcW w:w="960" w:type="dxa"/>
            <w:tcBorders>
              <w:top w:val="nil"/>
              <w:left w:val="nil"/>
              <w:bottom w:val="single" w:sz="4" w:space="0" w:color="auto"/>
              <w:right w:val="single" w:sz="4" w:space="0" w:color="auto"/>
            </w:tcBorders>
            <w:shd w:val="clear" w:color="000000" w:fill="EDEDED"/>
            <w:noWrap/>
            <w:vAlign w:val="center"/>
            <w:hideMark/>
          </w:tcPr>
          <w:p w14:paraId="3F2086B1"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15.6</w:t>
            </w:r>
          </w:p>
        </w:tc>
      </w:tr>
      <w:tr w:rsidR="00655DD1" w:rsidRPr="00655DD1" w14:paraId="0E82FC4B" w14:textId="77777777" w:rsidTr="00655DD1">
        <w:trPr>
          <w:trHeight w:val="300"/>
          <w:jc w:val="center"/>
        </w:trPr>
        <w:tc>
          <w:tcPr>
            <w:tcW w:w="1280" w:type="dxa"/>
            <w:tcBorders>
              <w:top w:val="nil"/>
              <w:left w:val="single" w:sz="4" w:space="0" w:color="auto"/>
              <w:bottom w:val="single" w:sz="4" w:space="0" w:color="auto"/>
              <w:right w:val="single" w:sz="4" w:space="0" w:color="auto"/>
            </w:tcBorders>
            <w:shd w:val="clear" w:color="000000" w:fill="EDEDED"/>
            <w:noWrap/>
            <w:vAlign w:val="center"/>
            <w:hideMark/>
          </w:tcPr>
          <w:p w14:paraId="5E95C70F"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Ash</w:t>
            </w:r>
          </w:p>
        </w:tc>
        <w:tc>
          <w:tcPr>
            <w:tcW w:w="960" w:type="dxa"/>
            <w:tcBorders>
              <w:top w:val="nil"/>
              <w:left w:val="nil"/>
              <w:bottom w:val="single" w:sz="4" w:space="0" w:color="auto"/>
              <w:right w:val="single" w:sz="4" w:space="0" w:color="auto"/>
            </w:tcBorders>
            <w:shd w:val="clear" w:color="000000" w:fill="EDEDED"/>
            <w:noWrap/>
            <w:vAlign w:val="center"/>
            <w:hideMark/>
          </w:tcPr>
          <w:p w14:paraId="33026E54"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10</w:t>
            </w:r>
          </w:p>
        </w:tc>
        <w:tc>
          <w:tcPr>
            <w:tcW w:w="960" w:type="dxa"/>
            <w:tcBorders>
              <w:top w:val="nil"/>
              <w:left w:val="nil"/>
              <w:bottom w:val="single" w:sz="4" w:space="0" w:color="auto"/>
              <w:right w:val="single" w:sz="4" w:space="0" w:color="auto"/>
            </w:tcBorders>
            <w:shd w:val="clear" w:color="000000" w:fill="EDEDED"/>
            <w:noWrap/>
            <w:vAlign w:val="center"/>
            <w:hideMark/>
          </w:tcPr>
          <w:p w14:paraId="7F4F6B39"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1.89</w:t>
            </w:r>
          </w:p>
        </w:tc>
        <w:tc>
          <w:tcPr>
            <w:tcW w:w="960" w:type="dxa"/>
            <w:tcBorders>
              <w:top w:val="nil"/>
              <w:left w:val="nil"/>
              <w:bottom w:val="single" w:sz="4" w:space="0" w:color="auto"/>
              <w:right w:val="single" w:sz="4" w:space="0" w:color="auto"/>
            </w:tcBorders>
            <w:shd w:val="clear" w:color="000000" w:fill="EDEDED"/>
            <w:noWrap/>
            <w:vAlign w:val="center"/>
            <w:hideMark/>
          </w:tcPr>
          <w:p w14:paraId="24D15A54" w14:textId="77777777" w:rsidR="00655DD1" w:rsidRPr="00655DD1" w:rsidRDefault="00655DD1" w:rsidP="00655DD1">
            <w:pPr>
              <w:spacing w:after="0" w:line="240" w:lineRule="auto"/>
              <w:jc w:val="center"/>
              <w:rPr>
                <w:rFonts w:ascii="Calibri" w:eastAsia="Times New Roman" w:hAnsi="Calibri" w:cs="Calibri"/>
                <w:lang w:eastAsia="en-GB"/>
              </w:rPr>
            </w:pPr>
            <w:r w:rsidRPr="00655DD1">
              <w:rPr>
                <w:rFonts w:ascii="Calibri" w:eastAsia="Times New Roman" w:hAnsi="Calibri" w:cs="Calibri"/>
                <w:lang w:eastAsia="en-GB"/>
              </w:rPr>
              <w:t>6</w:t>
            </w:r>
          </w:p>
        </w:tc>
      </w:tr>
    </w:tbl>
    <w:p w14:paraId="0018F308" w14:textId="77777777" w:rsidR="00655DD1" w:rsidRDefault="00655DD1" w:rsidP="00EE7573">
      <w:pPr>
        <w:spacing w:line="360" w:lineRule="auto"/>
        <w:jc w:val="both"/>
      </w:pPr>
    </w:p>
    <w:p w14:paraId="3070BD03" w14:textId="0908F525" w:rsidR="00CA5C83" w:rsidRDefault="00502A9B" w:rsidP="00EE7573">
      <w:pPr>
        <w:spacing w:line="360" w:lineRule="auto"/>
        <w:jc w:val="both"/>
      </w:pPr>
      <w:r>
        <w:t xml:space="preserve">The </w:t>
      </w:r>
      <w:r w:rsidR="00156992">
        <w:t>general c</w:t>
      </w:r>
      <w:r w:rsidR="00AA3FCA">
        <w:t xml:space="preserve">oking coal parameters </w:t>
      </w:r>
      <w:r w:rsidR="00806E7D">
        <w:t>for BF addition aim for</w:t>
      </w:r>
      <w:r w:rsidR="00AA3FCA">
        <w:t xml:space="preserve"> </w:t>
      </w:r>
      <w:r w:rsidR="003C6585">
        <w:t xml:space="preserve">ash levels </w:t>
      </w:r>
      <w:r w:rsidR="00156992">
        <w:t xml:space="preserve">less than </w:t>
      </w:r>
      <w:r w:rsidR="003C6585">
        <w:t xml:space="preserve">10 </w:t>
      </w:r>
      <w:proofErr w:type="spellStart"/>
      <w:r w:rsidR="003C6585">
        <w:t>wt</w:t>
      </w:r>
      <w:proofErr w:type="spellEnd"/>
      <w:r w:rsidR="003C6585">
        <w:t xml:space="preserve">% </w:t>
      </w:r>
      <w:proofErr w:type="spellStart"/>
      <w:r w:rsidR="003C6585">
        <w:t>db</w:t>
      </w:r>
      <w:proofErr w:type="spellEnd"/>
      <w:r w:rsidR="00156992">
        <w:t xml:space="preserve"> with </w:t>
      </w:r>
      <w:r w:rsidR="003C6585">
        <w:t>Sulphur</w:t>
      </w:r>
      <w:r w:rsidR="00156992">
        <w:t xml:space="preserve"> </w:t>
      </w:r>
      <w:r w:rsidR="00806E7D">
        <w:t>concentration</w:t>
      </w:r>
      <w:r w:rsidR="003C6585">
        <w:t xml:space="preserve"> </w:t>
      </w:r>
      <w:r w:rsidR="00156992">
        <w:t xml:space="preserve">less than </w:t>
      </w:r>
      <w:r w:rsidR="003C6585">
        <w:t xml:space="preserve">0.7 </w:t>
      </w:r>
      <w:proofErr w:type="spellStart"/>
      <w:r w:rsidR="003C6585">
        <w:t>wt</w:t>
      </w:r>
      <w:proofErr w:type="spellEnd"/>
      <w:r w:rsidR="003C6585">
        <w:t>% db</w:t>
      </w:r>
      <w:r w:rsidR="00156992">
        <w:t>.</w:t>
      </w:r>
      <w:r w:rsidR="00655DD1">
        <w:t xml:space="preserve"> </w:t>
      </w:r>
      <w:r w:rsidR="00156992">
        <w:t>Both t</w:t>
      </w:r>
      <w:r w:rsidR="005D651D">
        <w:t>he biochar has significantly lower sulphur levels and meet the specification for ash level</w:t>
      </w:r>
      <w:r w:rsidR="00156992">
        <w:t xml:space="preserve"> see table 10</w:t>
      </w:r>
      <w:r w:rsidR="005D651D">
        <w:t xml:space="preserve">.  </w:t>
      </w:r>
      <w:r w:rsidR="00865BFD">
        <w:t xml:space="preserve">Both </w:t>
      </w:r>
      <w:r w:rsidR="00156992">
        <w:t>Biochar’s</w:t>
      </w:r>
      <w:r w:rsidR="00865BFD">
        <w:t xml:space="preserve"> have high carbon levels which are similar to that of coal</w:t>
      </w:r>
      <w:r w:rsidR="00047A58">
        <w:t>.</w:t>
      </w:r>
    </w:p>
    <w:p w14:paraId="64C34355" w14:textId="74670C50" w:rsidR="00655DD1" w:rsidRDefault="00655DD1" w:rsidP="00655DD1">
      <w:pPr>
        <w:pStyle w:val="Caption"/>
        <w:jc w:val="center"/>
      </w:pPr>
      <w:r>
        <w:t xml:space="preserve">Table </w:t>
      </w:r>
      <w:fldSimple w:instr=" SEQ Table \* ARABIC ">
        <w:r w:rsidR="00DA2639">
          <w:rPr>
            <w:noProof/>
          </w:rPr>
          <w:t>11</w:t>
        </w:r>
      </w:fldSimple>
      <w:r>
        <w:t xml:space="preserve"> The ash composition of Riverside and </w:t>
      </w:r>
      <w:r w:rsidR="00E57364">
        <w:t>biochar</w:t>
      </w:r>
    </w:p>
    <w:tbl>
      <w:tblPr>
        <w:tblW w:w="3840" w:type="dxa"/>
        <w:jc w:val="center"/>
        <w:tblLook w:val="04A0" w:firstRow="1" w:lastRow="0" w:firstColumn="1" w:lastColumn="0" w:noHBand="0" w:noVBand="1"/>
      </w:tblPr>
      <w:tblGrid>
        <w:gridCol w:w="960"/>
        <w:gridCol w:w="1034"/>
        <w:gridCol w:w="960"/>
        <w:gridCol w:w="960"/>
      </w:tblGrid>
      <w:tr w:rsidR="00655DD1" w:rsidRPr="00655DD1" w14:paraId="41E9A029" w14:textId="77777777" w:rsidTr="00655DD1">
        <w:trPr>
          <w:trHeight w:val="915"/>
          <w:jc w:val="center"/>
        </w:trPr>
        <w:tc>
          <w:tcPr>
            <w:tcW w:w="960" w:type="dxa"/>
            <w:tcBorders>
              <w:top w:val="single" w:sz="8" w:space="0" w:color="auto"/>
              <w:left w:val="single" w:sz="8" w:space="0" w:color="auto"/>
              <w:bottom w:val="single" w:sz="4" w:space="0" w:color="auto"/>
              <w:right w:val="single" w:sz="4" w:space="0" w:color="auto"/>
            </w:tcBorders>
            <w:shd w:val="clear" w:color="000000" w:fill="EDEDED"/>
            <w:vAlign w:val="center"/>
            <w:hideMark/>
          </w:tcPr>
          <w:p w14:paraId="3C6C2B74"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Chem as (% in ash)</w:t>
            </w:r>
          </w:p>
        </w:tc>
        <w:tc>
          <w:tcPr>
            <w:tcW w:w="960" w:type="dxa"/>
            <w:tcBorders>
              <w:top w:val="single" w:sz="8" w:space="0" w:color="auto"/>
              <w:left w:val="nil"/>
              <w:bottom w:val="nil"/>
              <w:right w:val="single" w:sz="4" w:space="0" w:color="auto"/>
            </w:tcBorders>
            <w:shd w:val="clear" w:color="000000" w:fill="EDEDED"/>
            <w:noWrap/>
            <w:vAlign w:val="center"/>
            <w:hideMark/>
          </w:tcPr>
          <w:p w14:paraId="1CCBD729"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Riverside</w:t>
            </w:r>
          </w:p>
        </w:tc>
        <w:tc>
          <w:tcPr>
            <w:tcW w:w="960" w:type="dxa"/>
            <w:tcBorders>
              <w:top w:val="single" w:sz="8" w:space="0" w:color="auto"/>
              <w:left w:val="nil"/>
              <w:bottom w:val="nil"/>
              <w:right w:val="single" w:sz="4" w:space="0" w:color="auto"/>
            </w:tcBorders>
            <w:shd w:val="clear" w:color="000000" w:fill="EDEDED"/>
            <w:noWrap/>
            <w:vAlign w:val="center"/>
            <w:hideMark/>
          </w:tcPr>
          <w:p w14:paraId="530A0773"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Biochar 1</w:t>
            </w:r>
          </w:p>
        </w:tc>
        <w:tc>
          <w:tcPr>
            <w:tcW w:w="960" w:type="dxa"/>
            <w:tcBorders>
              <w:top w:val="single" w:sz="8" w:space="0" w:color="auto"/>
              <w:left w:val="nil"/>
              <w:bottom w:val="nil"/>
              <w:right w:val="single" w:sz="8" w:space="0" w:color="auto"/>
            </w:tcBorders>
            <w:shd w:val="clear" w:color="000000" w:fill="EDEDED"/>
            <w:noWrap/>
            <w:vAlign w:val="center"/>
            <w:hideMark/>
          </w:tcPr>
          <w:p w14:paraId="42CCB286"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Biochar 2</w:t>
            </w:r>
          </w:p>
        </w:tc>
      </w:tr>
      <w:tr w:rsidR="00655DD1" w:rsidRPr="00655DD1" w14:paraId="36C47C97" w14:textId="77777777" w:rsidTr="00655DD1">
        <w:trPr>
          <w:trHeight w:val="315"/>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3AB22ACC"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Na</w:t>
            </w:r>
            <w:r w:rsidRPr="00A56AD8">
              <w:rPr>
                <w:rFonts w:ascii="Calibri" w:eastAsia="Times New Roman" w:hAnsi="Calibri" w:cs="Calibri"/>
                <w:color w:val="000000"/>
                <w:vertAlign w:val="subscript"/>
                <w:lang w:eastAsia="en-GB"/>
              </w:rPr>
              <w:t>2</w:t>
            </w:r>
            <w:r w:rsidRPr="00655DD1">
              <w:rPr>
                <w:rFonts w:ascii="Calibri" w:eastAsia="Times New Roman" w:hAnsi="Calibri" w:cs="Calibri"/>
                <w:color w:val="000000"/>
                <w:lang w:eastAsia="en-GB"/>
              </w:rPr>
              <w:t>O</w:t>
            </w:r>
          </w:p>
        </w:tc>
        <w:tc>
          <w:tcPr>
            <w:tcW w:w="960" w:type="dxa"/>
            <w:tcBorders>
              <w:top w:val="single" w:sz="4" w:space="0" w:color="auto"/>
              <w:left w:val="single" w:sz="8" w:space="0" w:color="auto"/>
              <w:bottom w:val="single" w:sz="4" w:space="0" w:color="auto"/>
              <w:right w:val="single" w:sz="4" w:space="0" w:color="auto"/>
            </w:tcBorders>
            <w:shd w:val="clear" w:color="000000" w:fill="EDEDED"/>
            <w:noWrap/>
            <w:vAlign w:val="center"/>
            <w:hideMark/>
          </w:tcPr>
          <w:p w14:paraId="6020AF25"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0.4</w:t>
            </w:r>
          </w:p>
        </w:tc>
        <w:tc>
          <w:tcPr>
            <w:tcW w:w="960" w:type="dxa"/>
            <w:tcBorders>
              <w:top w:val="single" w:sz="4" w:space="0" w:color="auto"/>
              <w:left w:val="nil"/>
              <w:bottom w:val="single" w:sz="4" w:space="0" w:color="auto"/>
              <w:right w:val="single" w:sz="4" w:space="0" w:color="auto"/>
            </w:tcBorders>
            <w:shd w:val="clear" w:color="000000" w:fill="EDEDED"/>
            <w:noWrap/>
            <w:vAlign w:val="center"/>
            <w:hideMark/>
          </w:tcPr>
          <w:p w14:paraId="60EC12E1"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0.9</w:t>
            </w:r>
          </w:p>
        </w:tc>
        <w:tc>
          <w:tcPr>
            <w:tcW w:w="960" w:type="dxa"/>
            <w:tcBorders>
              <w:top w:val="single" w:sz="4" w:space="0" w:color="auto"/>
              <w:left w:val="nil"/>
              <w:bottom w:val="single" w:sz="4" w:space="0" w:color="auto"/>
              <w:right w:val="single" w:sz="8" w:space="0" w:color="auto"/>
            </w:tcBorders>
            <w:shd w:val="clear" w:color="000000" w:fill="EDEDED"/>
            <w:noWrap/>
            <w:vAlign w:val="center"/>
            <w:hideMark/>
          </w:tcPr>
          <w:p w14:paraId="5B9D25EB"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0.48</w:t>
            </w:r>
          </w:p>
        </w:tc>
      </w:tr>
      <w:tr w:rsidR="00655DD1" w:rsidRPr="00655DD1" w14:paraId="61A68F03" w14:textId="77777777" w:rsidTr="00655DD1">
        <w:trPr>
          <w:trHeight w:val="315"/>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2AEC8CFD"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MgO</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4FE9A179"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0.47</w:t>
            </w:r>
          </w:p>
        </w:tc>
        <w:tc>
          <w:tcPr>
            <w:tcW w:w="960" w:type="dxa"/>
            <w:tcBorders>
              <w:top w:val="nil"/>
              <w:left w:val="nil"/>
              <w:bottom w:val="single" w:sz="4" w:space="0" w:color="auto"/>
              <w:right w:val="single" w:sz="4" w:space="0" w:color="auto"/>
            </w:tcBorders>
            <w:shd w:val="clear" w:color="000000" w:fill="EDEDED"/>
            <w:noWrap/>
            <w:vAlign w:val="center"/>
            <w:hideMark/>
          </w:tcPr>
          <w:p w14:paraId="50E47772"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17.84</w:t>
            </w:r>
          </w:p>
        </w:tc>
        <w:tc>
          <w:tcPr>
            <w:tcW w:w="960" w:type="dxa"/>
            <w:tcBorders>
              <w:top w:val="nil"/>
              <w:left w:val="nil"/>
              <w:bottom w:val="single" w:sz="4" w:space="0" w:color="auto"/>
              <w:right w:val="single" w:sz="8" w:space="0" w:color="auto"/>
            </w:tcBorders>
            <w:shd w:val="clear" w:color="000000" w:fill="EDEDED"/>
            <w:noWrap/>
            <w:vAlign w:val="center"/>
            <w:hideMark/>
          </w:tcPr>
          <w:p w14:paraId="67C73E1B"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2.02</w:t>
            </w:r>
          </w:p>
        </w:tc>
      </w:tr>
      <w:tr w:rsidR="00655DD1" w:rsidRPr="00655DD1" w14:paraId="48DAE186" w14:textId="77777777" w:rsidTr="00655DD1">
        <w:trPr>
          <w:trHeight w:val="315"/>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4DC953EF"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A</w:t>
            </w:r>
            <w:r w:rsidRPr="00A56AD8">
              <w:rPr>
                <w:rFonts w:ascii="Calibri" w:eastAsia="Times New Roman" w:hAnsi="Calibri" w:cs="Calibri"/>
                <w:color w:val="000000"/>
                <w:vertAlign w:val="subscript"/>
                <w:lang w:eastAsia="en-GB"/>
              </w:rPr>
              <w:t>2</w:t>
            </w:r>
            <w:r w:rsidRPr="00655DD1">
              <w:rPr>
                <w:rFonts w:ascii="Calibri" w:eastAsia="Times New Roman" w:hAnsi="Calibri" w:cs="Calibri"/>
                <w:color w:val="000000"/>
                <w:lang w:eastAsia="en-GB"/>
              </w:rPr>
              <w:t>O</w:t>
            </w:r>
            <w:r w:rsidRPr="00A56AD8">
              <w:rPr>
                <w:rFonts w:ascii="Calibri" w:eastAsia="Times New Roman" w:hAnsi="Calibri" w:cs="Calibri"/>
                <w:color w:val="000000"/>
                <w:vertAlign w:val="subscript"/>
                <w:lang w:eastAsia="en-GB"/>
              </w:rPr>
              <w:t>3</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3FA5DC9A"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28.5</w:t>
            </w:r>
          </w:p>
        </w:tc>
        <w:tc>
          <w:tcPr>
            <w:tcW w:w="960" w:type="dxa"/>
            <w:tcBorders>
              <w:top w:val="nil"/>
              <w:left w:val="nil"/>
              <w:bottom w:val="single" w:sz="4" w:space="0" w:color="auto"/>
              <w:right w:val="single" w:sz="4" w:space="0" w:color="auto"/>
            </w:tcBorders>
            <w:shd w:val="clear" w:color="000000" w:fill="EDEDED"/>
            <w:noWrap/>
            <w:vAlign w:val="center"/>
            <w:hideMark/>
          </w:tcPr>
          <w:p w14:paraId="590CE58C"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2.76</w:t>
            </w:r>
          </w:p>
        </w:tc>
        <w:tc>
          <w:tcPr>
            <w:tcW w:w="960" w:type="dxa"/>
            <w:tcBorders>
              <w:top w:val="nil"/>
              <w:left w:val="nil"/>
              <w:bottom w:val="single" w:sz="4" w:space="0" w:color="auto"/>
              <w:right w:val="single" w:sz="8" w:space="0" w:color="auto"/>
            </w:tcBorders>
            <w:shd w:val="clear" w:color="000000" w:fill="EDEDED"/>
            <w:noWrap/>
            <w:vAlign w:val="center"/>
            <w:hideMark/>
          </w:tcPr>
          <w:p w14:paraId="5ECF1163"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5.7</w:t>
            </w:r>
          </w:p>
        </w:tc>
      </w:tr>
      <w:tr w:rsidR="00655DD1" w:rsidRPr="00655DD1" w14:paraId="3D501ED2" w14:textId="77777777" w:rsidTr="00655DD1">
        <w:trPr>
          <w:trHeight w:val="30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100AB45D"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SiO</w:t>
            </w:r>
            <w:r w:rsidRPr="00A56AD8">
              <w:rPr>
                <w:rFonts w:ascii="Calibri" w:eastAsia="Times New Roman" w:hAnsi="Calibri" w:cs="Calibri"/>
                <w:color w:val="000000"/>
                <w:vertAlign w:val="subscript"/>
                <w:lang w:eastAsia="en-GB"/>
              </w:rPr>
              <w:t>2</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05B60FBB"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62.6</w:t>
            </w:r>
          </w:p>
        </w:tc>
        <w:tc>
          <w:tcPr>
            <w:tcW w:w="960" w:type="dxa"/>
            <w:tcBorders>
              <w:top w:val="nil"/>
              <w:left w:val="nil"/>
              <w:bottom w:val="single" w:sz="4" w:space="0" w:color="auto"/>
              <w:right w:val="single" w:sz="4" w:space="0" w:color="auto"/>
            </w:tcBorders>
            <w:shd w:val="clear" w:color="000000" w:fill="EDEDED"/>
            <w:noWrap/>
            <w:vAlign w:val="center"/>
            <w:hideMark/>
          </w:tcPr>
          <w:p w14:paraId="34863866"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8.1</w:t>
            </w:r>
          </w:p>
        </w:tc>
        <w:tc>
          <w:tcPr>
            <w:tcW w:w="960" w:type="dxa"/>
            <w:tcBorders>
              <w:top w:val="nil"/>
              <w:left w:val="nil"/>
              <w:bottom w:val="single" w:sz="4" w:space="0" w:color="auto"/>
              <w:right w:val="single" w:sz="8" w:space="0" w:color="auto"/>
            </w:tcBorders>
            <w:shd w:val="clear" w:color="000000" w:fill="EDEDED"/>
            <w:noWrap/>
            <w:vAlign w:val="center"/>
            <w:hideMark/>
          </w:tcPr>
          <w:p w14:paraId="1C2E7520"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19.6</w:t>
            </w:r>
          </w:p>
        </w:tc>
      </w:tr>
      <w:tr w:rsidR="00655DD1" w:rsidRPr="00655DD1" w14:paraId="7FF24CB6" w14:textId="77777777" w:rsidTr="00655DD1">
        <w:trPr>
          <w:trHeight w:val="33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45BB4218"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P</w:t>
            </w:r>
            <w:r w:rsidRPr="00A56AD8">
              <w:rPr>
                <w:rFonts w:ascii="Calibri" w:eastAsia="Times New Roman" w:hAnsi="Calibri" w:cs="Calibri"/>
                <w:color w:val="000000"/>
                <w:vertAlign w:val="subscript"/>
                <w:lang w:eastAsia="en-GB"/>
              </w:rPr>
              <w:t>2</w:t>
            </w:r>
            <w:r w:rsidRPr="00655DD1">
              <w:rPr>
                <w:rFonts w:ascii="Calibri" w:eastAsia="Times New Roman" w:hAnsi="Calibri" w:cs="Calibri"/>
                <w:color w:val="000000"/>
                <w:lang w:eastAsia="en-GB"/>
              </w:rPr>
              <w:t>O</w:t>
            </w:r>
            <w:r w:rsidRPr="00A56AD8">
              <w:rPr>
                <w:rFonts w:ascii="Calibri" w:eastAsia="Times New Roman" w:hAnsi="Calibri" w:cs="Calibri"/>
                <w:color w:val="000000"/>
                <w:vertAlign w:val="subscript"/>
                <w:lang w:eastAsia="en-GB"/>
              </w:rPr>
              <w:t>5</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3BE36A76"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0.2</w:t>
            </w:r>
          </w:p>
        </w:tc>
        <w:tc>
          <w:tcPr>
            <w:tcW w:w="960" w:type="dxa"/>
            <w:tcBorders>
              <w:top w:val="nil"/>
              <w:left w:val="nil"/>
              <w:bottom w:val="single" w:sz="4" w:space="0" w:color="auto"/>
              <w:right w:val="single" w:sz="4" w:space="0" w:color="auto"/>
            </w:tcBorders>
            <w:shd w:val="clear" w:color="000000" w:fill="EDEDED"/>
            <w:noWrap/>
            <w:vAlign w:val="center"/>
            <w:hideMark/>
          </w:tcPr>
          <w:p w14:paraId="1E77FF3F"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0.028</w:t>
            </w:r>
          </w:p>
        </w:tc>
        <w:tc>
          <w:tcPr>
            <w:tcW w:w="960" w:type="dxa"/>
            <w:tcBorders>
              <w:top w:val="nil"/>
              <w:left w:val="nil"/>
              <w:bottom w:val="single" w:sz="4" w:space="0" w:color="auto"/>
              <w:right w:val="single" w:sz="8" w:space="0" w:color="auto"/>
            </w:tcBorders>
            <w:shd w:val="clear" w:color="000000" w:fill="EDEDED"/>
            <w:noWrap/>
            <w:vAlign w:val="center"/>
            <w:hideMark/>
          </w:tcPr>
          <w:p w14:paraId="7C87C736"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0.4</w:t>
            </w:r>
          </w:p>
        </w:tc>
      </w:tr>
      <w:tr w:rsidR="00655DD1" w:rsidRPr="00655DD1" w14:paraId="638A9FF6" w14:textId="77777777" w:rsidTr="00655DD1">
        <w:trPr>
          <w:trHeight w:val="30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0D75EA1E"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K</w:t>
            </w:r>
            <w:r w:rsidRPr="00A56AD8">
              <w:rPr>
                <w:rFonts w:ascii="Calibri" w:eastAsia="Times New Roman" w:hAnsi="Calibri" w:cs="Calibri"/>
                <w:color w:val="000000"/>
                <w:vertAlign w:val="subscript"/>
                <w:lang w:eastAsia="en-GB"/>
              </w:rPr>
              <w:t>2</w:t>
            </w:r>
            <w:r w:rsidRPr="00655DD1">
              <w:rPr>
                <w:rFonts w:ascii="Calibri" w:eastAsia="Times New Roman" w:hAnsi="Calibri" w:cs="Calibri"/>
                <w:color w:val="000000"/>
                <w:lang w:eastAsia="en-GB"/>
              </w:rPr>
              <w:t>O</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7FA32815"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0.96</w:t>
            </w:r>
          </w:p>
        </w:tc>
        <w:tc>
          <w:tcPr>
            <w:tcW w:w="960" w:type="dxa"/>
            <w:tcBorders>
              <w:top w:val="nil"/>
              <w:left w:val="nil"/>
              <w:bottom w:val="single" w:sz="4" w:space="0" w:color="auto"/>
              <w:right w:val="single" w:sz="4" w:space="0" w:color="auto"/>
            </w:tcBorders>
            <w:shd w:val="clear" w:color="000000" w:fill="EDEDED"/>
            <w:noWrap/>
            <w:vAlign w:val="center"/>
            <w:hideMark/>
          </w:tcPr>
          <w:p w14:paraId="3145ADC2"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4.3</w:t>
            </w:r>
          </w:p>
        </w:tc>
        <w:tc>
          <w:tcPr>
            <w:tcW w:w="960" w:type="dxa"/>
            <w:tcBorders>
              <w:top w:val="nil"/>
              <w:left w:val="nil"/>
              <w:bottom w:val="single" w:sz="4" w:space="0" w:color="auto"/>
              <w:right w:val="single" w:sz="8" w:space="0" w:color="auto"/>
            </w:tcBorders>
            <w:shd w:val="clear" w:color="000000" w:fill="EDEDED"/>
            <w:noWrap/>
            <w:vAlign w:val="center"/>
            <w:hideMark/>
          </w:tcPr>
          <w:p w14:paraId="5927B654"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4.3</w:t>
            </w:r>
          </w:p>
        </w:tc>
      </w:tr>
      <w:tr w:rsidR="00655DD1" w:rsidRPr="00655DD1" w14:paraId="17E60CA7" w14:textId="77777777" w:rsidTr="00655DD1">
        <w:trPr>
          <w:trHeight w:val="30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58278C56" w14:textId="77777777" w:rsidR="00655DD1" w:rsidRPr="00655DD1" w:rsidRDefault="00655DD1" w:rsidP="00655DD1">
            <w:pPr>
              <w:spacing w:after="0" w:line="240" w:lineRule="auto"/>
              <w:jc w:val="center"/>
              <w:rPr>
                <w:rFonts w:ascii="Calibri" w:eastAsia="Times New Roman" w:hAnsi="Calibri" w:cs="Calibri"/>
                <w:color w:val="000000"/>
                <w:lang w:eastAsia="en-GB"/>
              </w:rPr>
            </w:pPr>
            <w:proofErr w:type="spellStart"/>
            <w:r w:rsidRPr="00655DD1">
              <w:rPr>
                <w:rFonts w:ascii="Calibri" w:eastAsia="Times New Roman" w:hAnsi="Calibri" w:cs="Calibri"/>
                <w:color w:val="000000"/>
                <w:lang w:eastAsia="en-GB"/>
              </w:rPr>
              <w:t>CaO</w:t>
            </w:r>
            <w:proofErr w:type="spellEnd"/>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003FB5A2"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0.41</w:t>
            </w:r>
          </w:p>
        </w:tc>
        <w:tc>
          <w:tcPr>
            <w:tcW w:w="960" w:type="dxa"/>
            <w:tcBorders>
              <w:top w:val="nil"/>
              <w:left w:val="nil"/>
              <w:bottom w:val="single" w:sz="4" w:space="0" w:color="auto"/>
              <w:right w:val="single" w:sz="4" w:space="0" w:color="auto"/>
            </w:tcBorders>
            <w:shd w:val="clear" w:color="000000" w:fill="EDEDED"/>
            <w:noWrap/>
            <w:vAlign w:val="center"/>
            <w:hideMark/>
          </w:tcPr>
          <w:p w14:paraId="2727BB08"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54.18</w:t>
            </w:r>
          </w:p>
        </w:tc>
        <w:tc>
          <w:tcPr>
            <w:tcW w:w="960" w:type="dxa"/>
            <w:tcBorders>
              <w:top w:val="nil"/>
              <w:left w:val="nil"/>
              <w:bottom w:val="single" w:sz="4" w:space="0" w:color="auto"/>
              <w:right w:val="single" w:sz="8" w:space="0" w:color="auto"/>
            </w:tcBorders>
            <w:shd w:val="clear" w:color="000000" w:fill="EDEDED"/>
            <w:noWrap/>
            <w:vAlign w:val="center"/>
            <w:hideMark/>
          </w:tcPr>
          <w:p w14:paraId="3A3ED7B5" w14:textId="4D256635"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3</w:t>
            </w:r>
            <w:r w:rsidR="00E57364">
              <w:rPr>
                <w:rFonts w:ascii="Calibri" w:eastAsia="Times New Roman" w:hAnsi="Calibri" w:cs="Calibri"/>
                <w:color w:val="000000"/>
                <w:lang w:eastAsia="en-GB"/>
              </w:rPr>
              <w:t>9</w:t>
            </w:r>
            <w:r w:rsidRPr="00655DD1">
              <w:rPr>
                <w:rFonts w:ascii="Calibri" w:eastAsia="Times New Roman" w:hAnsi="Calibri" w:cs="Calibri"/>
                <w:color w:val="000000"/>
                <w:lang w:eastAsia="en-GB"/>
              </w:rPr>
              <w:t>.58</w:t>
            </w:r>
          </w:p>
        </w:tc>
      </w:tr>
      <w:tr w:rsidR="00655DD1" w:rsidRPr="00655DD1" w14:paraId="7FBB5B87" w14:textId="77777777" w:rsidTr="00655DD1">
        <w:trPr>
          <w:trHeight w:val="30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6F802A99"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TiO</w:t>
            </w:r>
            <w:r w:rsidRPr="00A56AD8">
              <w:rPr>
                <w:rFonts w:ascii="Calibri" w:eastAsia="Times New Roman" w:hAnsi="Calibri" w:cs="Calibri"/>
                <w:color w:val="000000"/>
                <w:vertAlign w:val="subscript"/>
                <w:lang w:eastAsia="en-GB"/>
              </w:rPr>
              <w:t>2</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22EF17CF"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1.63</w:t>
            </w:r>
          </w:p>
        </w:tc>
        <w:tc>
          <w:tcPr>
            <w:tcW w:w="960" w:type="dxa"/>
            <w:tcBorders>
              <w:top w:val="nil"/>
              <w:left w:val="nil"/>
              <w:bottom w:val="single" w:sz="4" w:space="0" w:color="auto"/>
              <w:right w:val="single" w:sz="4" w:space="0" w:color="auto"/>
            </w:tcBorders>
            <w:shd w:val="clear" w:color="000000" w:fill="EDEDED"/>
            <w:noWrap/>
            <w:vAlign w:val="center"/>
            <w:hideMark/>
          </w:tcPr>
          <w:p w14:paraId="49712D26"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0.22</w:t>
            </w:r>
          </w:p>
        </w:tc>
        <w:tc>
          <w:tcPr>
            <w:tcW w:w="960" w:type="dxa"/>
            <w:tcBorders>
              <w:top w:val="nil"/>
              <w:left w:val="nil"/>
              <w:bottom w:val="single" w:sz="4" w:space="0" w:color="auto"/>
              <w:right w:val="single" w:sz="8" w:space="0" w:color="auto"/>
            </w:tcBorders>
            <w:shd w:val="clear" w:color="000000" w:fill="EDEDED"/>
            <w:noWrap/>
            <w:vAlign w:val="center"/>
            <w:hideMark/>
          </w:tcPr>
          <w:p w14:paraId="15DDF98D"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0.34</w:t>
            </w:r>
          </w:p>
        </w:tc>
      </w:tr>
      <w:tr w:rsidR="00655DD1" w:rsidRPr="00655DD1" w14:paraId="019AD775" w14:textId="77777777" w:rsidTr="00655DD1">
        <w:trPr>
          <w:trHeight w:val="30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51B34AEB"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Fe</w:t>
            </w:r>
            <w:r w:rsidRPr="00A56AD8">
              <w:rPr>
                <w:rFonts w:ascii="Calibri" w:eastAsia="Times New Roman" w:hAnsi="Calibri" w:cs="Calibri"/>
                <w:color w:val="000000"/>
                <w:vertAlign w:val="subscript"/>
                <w:lang w:eastAsia="en-GB"/>
              </w:rPr>
              <w:t>2</w:t>
            </w:r>
            <w:r w:rsidRPr="00655DD1">
              <w:rPr>
                <w:rFonts w:ascii="Calibri" w:eastAsia="Times New Roman" w:hAnsi="Calibri" w:cs="Calibri"/>
                <w:color w:val="000000"/>
                <w:lang w:eastAsia="en-GB"/>
              </w:rPr>
              <w:t>O</w:t>
            </w:r>
            <w:r w:rsidRPr="00A56AD8">
              <w:rPr>
                <w:rFonts w:ascii="Calibri" w:eastAsia="Times New Roman" w:hAnsi="Calibri" w:cs="Calibri"/>
                <w:color w:val="000000"/>
                <w:vertAlign w:val="subscript"/>
                <w:lang w:eastAsia="en-GB"/>
              </w:rPr>
              <w:t>3</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664E0365"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3.88</w:t>
            </w:r>
          </w:p>
        </w:tc>
        <w:tc>
          <w:tcPr>
            <w:tcW w:w="960" w:type="dxa"/>
            <w:tcBorders>
              <w:top w:val="nil"/>
              <w:left w:val="nil"/>
              <w:bottom w:val="single" w:sz="4" w:space="0" w:color="auto"/>
              <w:right w:val="single" w:sz="4" w:space="0" w:color="auto"/>
            </w:tcBorders>
            <w:shd w:val="clear" w:color="000000" w:fill="EDEDED"/>
            <w:noWrap/>
            <w:vAlign w:val="center"/>
            <w:hideMark/>
          </w:tcPr>
          <w:p w14:paraId="59E5145A" w14:textId="00DDC468" w:rsidR="00655DD1" w:rsidRPr="00655DD1" w:rsidRDefault="00E57364" w:rsidP="00655DD1">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w:t>
            </w:r>
            <w:r w:rsidR="00655DD1" w:rsidRPr="00655DD1">
              <w:rPr>
                <w:rFonts w:ascii="Calibri" w:eastAsia="Times New Roman" w:hAnsi="Calibri" w:cs="Calibri"/>
                <w:color w:val="000000"/>
                <w:lang w:eastAsia="en-GB"/>
              </w:rPr>
              <w:t>.76</w:t>
            </w:r>
          </w:p>
        </w:tc>
        <w:tc>
          <w:tcPr>
            <w:tcW w:w="960" w:type="dxa"/>
            <w:tcBorders>
              <w:top w:val="nil"/>
              <w:left w:val="nil"/>
              <w:bottom w:val="single" w:sz="4" w:space="0" w:color="auto"/>
              <w:right w:val="single" w:sz="8" w:space="0" w:color="auto"/>
            </w:tcBorders>
            <w:shd w:val="clear" w:color="000000" w:fill="EDEDED"/>
            <w:noWrap/>
            <w:vAlign w:val="center"/>
            <w:hideMark/>
          </w:tcPr>
          <w:p w14:paraId="444AB8A8"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25.87</w:t>
            </w:r>
          </w:p>
        </w:tc>
      </w:tr>
      <w:tr w:rsidR="00655DD1" w:rsidRPr="00655DD1" w14:paraId="4FAAFBBD" w14:textId="77777777" w:rsidTr="00655DD1">
        <w:trPr>
          <w:trHeight w:val="300"/>
          <w:jc w:val="center"/>
        </w:trPr>
        <w:tc>
          <w:tcPr>
            <w:tcW w:w="960" w:type="dxa"/>
            <w:tcBorders>
              <w:top w:val="nil"/>
              <w:left w:val="single" w:sz="8" w:space="0" w:color="auto"/>
              <w:bottom w:val="single" w:sz="4" w:space="0" w:color="auto"/>
              <w:right w:val="nil"/>
            </w:tcBorders>
            <w:shd w:val="clear" w:color="000000" w:fill="EDEDED"/>
            <w:noWrap/>
            <w:vAlign w:val="center"/>
            <w:hideMark/>
          </w:tcPr>
          <w:p w14:paraId="2C484F7D"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Zn</w:t>
            </w:r>
          </w:p>
        </w:tc>
        <w:tc>
          <w:tcPr>
            <w:tcW w:w="960" w:type="dxa"/>
            <w:tcBorders>
              <w:top w:val="nil"/>
              <w:left w:val="single" w:sz="8" w:space="0" w:color="auto"/>
              <w:bottom w:val="single" w:sz="4" w:space="0" w:color="auto"/>
              <w:right w:val="single" w:sz="4" w:space="0" w:color="auto"/>
            </w:tcBorders>
            <w:shd w:val="clear" w:color="000000" w:fill="EDEDED"/>
            <w:noWrap/>
            <w:vAlign w:val="center"/>
            <w:hideMark/>
          </w:tcPr>
          <w:p w14:paraId="6D1E39C9"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0.016</w:t>
            </w:r>
          </w:p>
        </w:tc>
        <w:tc>
          <w:tcPr>
            <w:tcW w:w="960" w:type="dxa"/>
            <w:tcBorders>
              <w:top w:val="nil"/>
              <w:left w:val="nil"/>
              <w:bottom w:val="single" w:sz="4" w:space="0" w:color="auto"/>
              <w:right w:val="single" w:sz="4" w:space="0" w:color="auto"/>
            </w:tcBorders>
            <w:shd w:val="clear" w:color="000000" w:fill="EDEDED"/>
            <w:noWrap/>
            <w:vAlign w:val="center"/>
            <w:hideMark/>
          </w:tcPr>
          <w:p w14:paraId="3B9BD562"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0.006</w:t>
            </w:r>
          </w:p>
        </w:tc>
        <w:tc>
          <w:tcPr>
            <w:tcW w:w="960" w:type="dxa"/>
            <w:tcBorders>
              <w:top w:val="nil"/>
              <w:left w:val="nil"/>
              <w:bottom w:val="single" w:sz="4" w:space="0" w:color="auto"/>
              <w:right w:val="single" w:sz="8" w:space="0" w:color="auto"/>
            </w:tcBorders>
            <w:shd w:val="clear" w:color="000000" w:fill="EDEDED"/>
            <w:noWrap/>
            <w:vAlign w:val="center"/>
            <w:hideMark/>
          </w:tcPr>
          <w:p w14:paraId="6455EE7C" w14:textId="77777777" w:rsidR="00655DD1" w:rsidRPr="00655DD1" w:rsidRDefault="00655DD1" w:rsidP="00655DD1">
            <w:pPr>
              <w:spacing w:after="0" w:line="240" w:lineRule="auto"/>
              <w:jc w:val="center"/>
              <w:rPr>
                <w:rFonts w:ascii="Calibri" w:eastAsia="Times New Roman" w:hAnsi="Calibri" w:cs="Calibri"/>
                <w:color w:val="000000"/>
                <w:lang w:eastAsia="en-GB"/>
              </w:rPr>
            </w:pPr>
            <w:r w:rsidRPr="00655DD1">
              <w:rPr>
                <w:rFonts w:ascii="Calibri" w:eastAsia="Times New Roman" w:hAnsi="Calibri" w:cs="Calibri"/>
                <w:color w:val="000000"/>
                <w:lang w:eastAsia="en-GB"/>
              </w:rPr>
              <w:t>0.025</w:t>
            </w:r>
          </w:p>
        </w:tc>
      </w:tr>
    </w:tbl>
    <w:p w14:paraId="40597E9F" w14:textId="77777777" w:rsidR="00655DD1" w:rsidRDefault="00655DD1" w:rsidP="00806E7D">
      <w:pPr>
        <w:spacing w:line="360" w:lineRule="auto"/>
        <w:jc w:val="both"/>
      </w:pPr>
    </w:p>
    <w:p w14:paraId="030DFE2D" w14:textId="77C5774E" w:rsidR="00D8745D" w:rsidRDefault="00655DD1" w:rsidP="00806E7D">
      <w:pPr>
        <w:spacing w:line="360" w:lineRule="auto"/>
        <w:jc w:val="both"/>
      </w:pPr>
      <w:r>
        <w:t>The composition of the ash in the coke blend is of major importance, the coking coals have high levels</w:t>
      </w:r>
      <w:r w:rsidR="00806E7D">
        <w:t xml:space="preserve"> </w:t>
      </w:r>
      <w:r>
        <w:t xml:space="preserve">of Silica and Alumina, which is typical. The </w:t>
      </w:r>
      <w:r w:rsidR="00156992">
        <w:t>Biochar’s</w:t>
      </w:r>
      <w:r>
        <w:t xml:space="preserve"> have high levels of calcium oxide, and elevated levels of potassium</w:t>
      </w:r>
      <w:r w:rsidR="00865BFD">
        <w:t xml:space="preserve"> </w:t>
      </w:r>
      <w:r>
        <w:t xml:space="preserve">oxide, these oxides </w:t>
      </w:r>
      <w:r w:rsidR="000D6D63">
        <w:t xml:space="preserve">would </w:t>
      </w:r>
      <w:r>
        <w:t>be of</w:t>
      </w:r>
      <w:r w:rsidR="000D6D63">
        <w:t xml:space="preserve"> a</w:t>
      </w:r>
      <w:r>
        <w:t xml:space="preserve"> concern if carried over </w:t>
      </w:r>
      <w:r w:rsidR="00156992">
        <w:t>in</w:t>
      </w:r>
      <w:r>
        <w:t xml:space="preserve">to the coke, as increased levels of these oxides in the BF would be problematic </w:t>
      </w:r>
      <w:r>
        <w:fldChar w:fldCharType="begin"/>
      </w:r>
      <w:r w:rsidR="00192334">
        <w:instrText xml:space="preserve"> ADDIN ZOTERO_ITEM CSL_CITATION {"citationID":"HIsegZRl","properties":{"formattedCitation":"(MacPhee {\\i{}et al.}, 2009)","plainCitation":"(MacPhee et al., 2009)","noteIndex":0},"citationItems":[{"id":425,"uris":["http://zotero.org/users/local/AB2owHL2/items/NQR2TCUN"],"itemData":{"id":425,"type":"article-journal","abstract":"Processes involving biomass oxidation are considered to be CO2 neutral since the replenishing of the biomass by normal growth will remove CO2 from the atmosphere. Thus the use of charcoal in the production of metallurgical coke, to be used as a reducing agent in the formation of iron, would be a strategy for the reduction of CO2 in the overall ironmaking process. This paper describes experimental attempts to produce industrial grade coke from coking coal blends to which are added amounts of charcoal up to 10%. Coking experiments were carried out partly in a 30 lb coke oven and partly in a sole heated oven. The influence of blend composition, heating rates and charcoal particle size was investigated. Cokes made using fine charcoal addition (−60 mesh) were considerably weaker than cokes made from the base blend. This is interpreted to be the effect of the ash constituents in the charcoal which, among other things, contains much higher calcium than the coals used. However, carefully sized fractions of coarse charcoal (−3/8 +1/4 in) produced much higher quality coke, possibly the result of a different dispersion of the charcoal mineral components.","container-title":"Fuel Processing Technology","DOI":"10.1016/j.fuproc.2008.07.007","ISSN":"0378-3820","issue":"1","journalAbbreviation":"Fuel Processing Technology","language":"en","page":"16-20","source":"ScienceDirect","title":"Possible CO2 mitigation via addition of charcoal to coking coal blends","URL":"https://www.sciencedirect.com/science/article/pii/S0378382008001926","volume":"90","author":[{"family":"MacPhee","given":"J. A."},{"family":"Gransden","given":"J. F."},{"family":"Giroux","given":"L."},{"family":"Price","given":"J. T."}],"accessed":{"date-parts":[["2021",2,8]]},"issued":{"date-parts":[["2009",1,1]]}}}],"schema":"https://github.com/citation-style-language/schema/raw/master/csl-citation.json"} </w:instrText>
      </w:r>
      <w:r>
        <w:fldChar w:fldCharType="separate"/>
      </w:r>
      <w:r w:rsidR="00192334" w:rsidRPr="00192334">
        <w:rPr>
          <w:rFonts w:ascii="Calibri" w:hAnsi="Calibri" w:cs="Calibri"/>
          <w:szCs w:val="24"/>
        </w:rPr>
        <w:t xml:space="preserve">(MacPhee </w:t>
      </w:r>
      <w:r w:rsidR="00192334" w:rsidRPr="00192334">
        <w:rPr>
          <w:rFonts w:ascii="Calibri" w:hAnsi="Calibri" w:cs="Calibri"/>
          <w:i/>
          <w:iCs/>
          <w:szCs w:val="24"/>
        </w:rPr>
        <w:t>et al.</w:t>
      </w:r>
      <w:r w:rsidR="00192334" w:rsidRPr="00192334">
        <w:rPr>
          <w:rFonts w:ascii="Calibri" w:hAnsi="Calibri" w:cs="Calibri"/>
          <w:szCs w:val="24"/>
        </w:rPr>
        <w:t>, 2009)</w:t>
      </w:r>
      <w:r>
        <w:fldChar w:fldCharType="end"/>
      </w:r>
      <w:r>
        <w:t xml:space="preserve">. </w:t>
      </w:r>
      <w:r w:rsidR="00865BFD">
        <w:t xml:space="preserve"> The zinc oxide levels are low in the biochar, so would be of little concern.</w:t>
      </w:r>
      <w:r w:rsidR="00E57364">
        <w:t xml:space="preserve"> </w:t>
      </w:r>
    </w:p>
    <w:p w14:paraId="608ED7E5" w14:textId="1E5938FB" w:rsidR="00FA6183" w:rsidRDefault="00FA6183" w:rsidP="00806E7D">
      <w:pPr>
        <w:spacing w:line="360" w:lineRule="auto"/>
        <w:jc w:val="both"/>
      </w:pPr>
      <w:r>
        <w:lastRenderedPageBreak/>
        <w:fldChar w:fldCharType="begin"/>
      </w:r>
      <w:r w:rsidR="00192334">
        <w:instrText xml:space="preserve"> ADDIN ZOTERO_ITEM CSL_CITATION {"citationID":"POmo0S27","properties":{"formattedCitation":"(Montiano, D\\uc0\\u237{}az-Faes and Barriocanal, 2014)","plainCitation":"(Montiano, Díaz-Faes and Barriocanal, 2014)","noteIndex":0},"citationItems":[{"id":1677,"uris":["http://zotero.org/users/local/AB2owHL2/items/FFIS7JYQ"],"itemData":{"id":1677,"type":"article-journal","abstract":"In this work partial briquetting is employed as a means of biomass densification to allow for biomass inclusion in coking coal blends. The effect of increasing the bulk density was evaluated by comparison with direct addition. Two briquettes of different composition were studied. The influence of the briquettes on the Gieseler plasticity of the coals was determined. It was found that the effect of the binder was not enough to compensate for the decrease in plasticity produced by the inert components of the briquettes. Carbonizations were carried out in a movable wall oven of 17kg capacity and the quality of the cokes produced was tested by evaluating their mechanical strength, coke reactivity to CO2 and post-reaction strength. In addition, the porosity and ash chemistry of the cokes was determined and an attempt was made to establish a relation between these results and the quality of the cokes. Coke quality results suggest that 10–15wt.% of briquettes containing biomass can be included in coking blends.","container-title":"Fuel","DOI":"10.1016/j.fuel.2014.08.012","ISSN":"0016-2361","journalAbbreviation":"Fuel","language":"en","page":"313-320","source":"ScienceDirect","title":"Partial briquetting vs direct addition of biomass in coking blends","URL":"https://www.sciencedirect.com/science/article/pii/S0016236114007819","volume":"137","author":[{"family":"Montiano","given":"M. G."},{"family":"Díaz-Faes","given":"E."},{"family":"Barriocanal","given":"C."}],"accessed":{"date-parts":[["2022",6,27]]},"issued":{"date-parts":[["2014",12,1]]}}}],"schema":"https://github.com/citation-style-language/schema/raw/master/csl-citation.json"} </w:instrText>
      </w:r>
      <w:r>
        <w:fldChar w:fldCharType="separate"/>
      </w:r>
      <w:r w:rsidR="00192334" w:rsidRPr="00192334">
        <w:rPr>
          <w:rFonts w:ascii="Calibri" w:hAnsi="Calibri" w:cs="Calibri"/>
          <w:szCs w:val="24"/>
        </w:rPr>
        <w:t>(Montiano, Díaz-Faes and Barriocanal, 2014)</w:t>
      </w:r>
      <w:r>
        <w:fldChar w:fldCharType="end"/>
      </w:r>
      <w:r>
        <w:t xml:space="preserve"> describes the alkalinity index (AI) as a ratio that can be used to predict CSR. It was found that the AI is linearly correlated with CSR with a correlation coefficient of r = 0.893. </w:t>
      </w:r>
    </w:p>
    <w:p w14:paraId="62FD6234" w14:textId="77777777" w:rsidR="00FA6183" w:rsidRPr="009F29ED" w:rsidRDefault="00FA6183" w:rsidP="00806E7D">
      <w:pPr>
        <w:spacing w:after="240" w:line="360" w:lineRule="auto"/>
        <w:jc w:val="both"/>
        <w:rPr>
          <w:rFonts w:eastAsiaTheme="minorEastAsia"/>
        </w:rPr>
      </w:pPr>
      <m:oMathPara>
        <m:oMath>
          <m:r>
            <w:rPr>
              <w:rFonts w:ascii="Cambria Math" w:hAnsi="Cambria Math"/>
            </w:rPr>
            <m:t>AI=Ash. (</m:t>
          </m:r>
          <m:f>
            <m:fPr>
              <m:ctrlPr>
                <w:rPr>
                  <w:rFonts w:ascii="Cambria Math" w:hAnsi="Cambria Math"/>
                  <w:i/>
                </w:rPr>
              </m:ctrlPr>
            </m:fPr>
            <m:num>
              <m:sSub>
                <m:sSubPr>
                  <m:ctrlPr>
                    <w:rPr>
                      <w:rFonts w:ascii="Cambria Math" w:hAnsi="Cambria Math"/>
                      <w:i/>
                    </w:rPr>
                  </m:ctrlPr>
                </m:sSubPr>
                <m:e>
                  <m:r>
                    <w:rPr>
                      <w:rFonts w:ascii="Cambria Math" w:hAnsi="Cambria Math"/>
                    </w:rPr>
                    <m:t>Fe</m:t>
                  </m:r>
                </m:e>
                <m:sub>
                  <m:r>
                    <w:rPr>
                      <w:rFonts w:ascii="Cambria Math" w:hAnsi="Cambria Math"/>
                    </w:rPr>
                    <m:t>2</m:t>
                  </m:r>
                </m:sub>
              </m:sSub>
              <m:sSup>
                <m:sSupPr>
                  <m:ctrlPr>
                    <w:rPr>
                      <w:rFonts w:ascii="Cambria Math" w:hAnsi="Cambria Math"/>
                      <w:i/>
                    </w:rPr>
                  </m:ctrlPr>
                </m:sSupPr>
                <m:e>
                  <m:r>
                    <w:rPr>
                      <w:rFonts w:ascii="Cambria Math" w:hAnsi="Cambria Math"/>
                    </w:rPr>
                    <m:t>O</m:t>
                  </m:r>
                </m:e>
                <m:sup>
                  <m:r>
                    <w:rPr>
                      <w:rFonts w:ascii="Cambria Math" w:hAnsi="Cambria Math"/>
                    </w:rPr>
                    <m:t>3</m:t>
                  </m:r>
                </m:sup>
              </m:sSup>
              <m:r>
                <w:rPr>
                  <w:rFonts w:ascii="Cambria Math" w:hAnsi="Cambria Math"/>
                </w:rPr>
                <m:t>+CaO+</m:t>
              </m:r>
              <m:sSub>
                <m:sSubPr>
                  <m:ctrlPr>
                    <w:rPr>
                      <w:rFonts w:ascii="Cambria Math" w:hAnsi="Cambria Math"/>
                      <w:i/>
                    </w:rPr>
                  </m:ctrlPr>
                </m:sSubPr>
                <m:e>
                  <m:r>
                    <w:rPr>
                      <w:rFonts w:ascii="Cambria Math" w:hAnsi="Cambria Math"/>
                    </w:rPr>
                    <m:t>Na</m:t>
                  </m:r>
                </m:e>
                <m:sub>
                  <m:r>
                    <w:rPr>
                      <w:rFonts w:ascii="Cambria Math" w:hAnsi="Cambria Math"/>
                    </w:rPr>
                    <m:t>2</m:t>
                  </m:r>
                </m:sub>
              </m:sSub>
              <m:r>
                <w:rPr>
                  <w:rFonts w:ascii="Cambria Math" w:hAnsi="Cambria Math"/>
                </w:rPr>
                <m:t>O+</m:t>
              </m:r>
              <m:sSub>
                <m:sSubPr>
                  <m:ctrlPr>
                    <w:rPr>
                      <w:rFonts w:ascii="Cambria Math" w:hAnsi="Cambria Math"/>
                      <w:i/>
                    </w:rPr>
                  </m:ctrlPr>
                </m:sSubPr>
                <m:e>
                  <m:r>
                    <w:rPr>
                      <w:rFonts w:ascii="Cambria Math" w:hAnsi="Cambria Math"/>
                    </w:rPr>
                    <m:t>K</m:t>
                  </m:r>
                </m:e>
                <m:sub>
                  <m:r>
                    <w:rPr>
                      <w:rFonts w:ascii="Cambria Math" w:hAnsi="Cambria Math"/>
                    </w:rPr>
                    <m:t>2</m:t>
                  </m:r>
                </m:sub>
              </m:sSub>
              <m:r>
                <w:rPr>
                  <w:rFonts w:ascii="Cambria Math" w:hAnsi="Cambria Math"/>
                </w:rPr>
                <m:t>O+MgO</m:t>
              </m:r>
            </m:num>
            <m:den>
              <m:sSub>
                <m:sSubPr>
                  <m:ctrlPr>
                    <w:rPr>
                      <w:rFonts w:ascii="Cambria Math" w:hAnsi="Cambria Math"/>
                      <w:i/>
                    </w:rPr>
                  </m:ctrlPr>
                </m:sSubPr>
                <m:e>
                  <m:r>
                    <w:rPr>
                      <w:rFonts w:ascii="Cambria Math" w:hAnsi="Cambria Math"/>
                    </w:rPr>
                    <m:t>Al</m:t>
                  </m:r>
                </m:e>
                <m:sub>
                  <m:r>
                    <w:rPr>
                      <w:rFonts w:ascii="Cambria Math" w:hAnsi="Cambria Math"/>
                    </w:rPr>
                    <m:t>2</m:t>
                  </m:r>
                </m:sub>
              </m:sSub>
              <m:r>
                <w:rPr>
                  <w:rFonts w:ascii="Cambria Math" w:hAnsi="Cambria Math"/>
                </w:rPr>
                <m:t>O+Si</m:t>
              </m:r>
              <m:sSub>
                <m:sSubPr>
                  <m:ctrlPr>
                    <w:rPr>
                      <w:rFonts w:ascii="Cambria Math" w:hAnsi="Cambria Math"/>
                      <w:i/>
                    </w:rPr>
                  </m:ctrlPr>
                </m:sSubPr>
                <m:e>
                  <m:r>
                    <w:rPr>
                      <w:rFonts w:ascii="Cambria Math" w:hAnsi="Cambria Math"/>
                    </w:rPr>
                    <m:t>O</m:t>
                  </m:r>
                </m:e>
                <m:sub>
                  <m:r>
                    <w:rPr>
                      <w:rFonts w:ascii="Cambria Math" w:hAnsi="Cambria Math"/>
                    </w:rPr>
                    <m:t>2</m:t>
                  </m:r>
                </m:sub>
              </m:sSub>
            </m:den>
          </m:f>
          <m:r>
            <w:rPr>
              <w:rFonts w:ascii="Cambria Math" w:hAnsi="Cambria Math"/>
            </w:rPr>
            <m:t>)</m:t>
          </m:r>
        </m:oMath>
      </m:oMathPara>
    </w:p>
    <w:p w14:paraId="29243936" w14:textId="0185BE9B" w:rsidR="00156992" w:rsidRDefault="00D8745D" w:rsidP="00EE7573">
      <w:pPr>
        <w:spacing w:line="360" w:lineRule="auto"/>
        <w:jc w:val="both"/>
      </w:pPr>
      <w:r>
        <w:t>The AI of coal blends with biochar addition increase in line with the biochar concentration. The CSR would be expected to decrease proportionally.</w:t>
      </w:r>
    </w:p>
    <w:p w14:paraId="4F30C043" w14:textId="0A51F116" w:rsidR="00DB3A60" w:rsidRDefault="00257DAF" w:rsidP="0029241E">
      <w:pPr>
        <w:pStyle w:val="Heading3"/>
      </w:pPr>
      <w:bookmarkStart w:id="81" w:name="_Toc128599628"/>
      <w:r>
        <w:t xml:space="preserve">Coke </w:t>
      </w:r>
      <w:r w:rsidR="00865BFD">
        <w:t>Mechanical strength</w:t>
      </w:r>
      <w:bookmarkEnd w:id="81"/>
    </w:p>
    <w:p w14:paraId="049A8B0C" w14:textId="77777777" w:rsidR="00156992" w:rsidRPr="00156992" w:rsidRDefault="00156992" w:rsidP="00156992"/>
    <w:p w14:paraId="31B7F66D" w14:textId="1747D983" w:rsidR="00865BFD" w:rsidRDefault="008D290C" w:rsidP="008D290C">
      <w:pPr>
        <w:spacing w:line="360" w:lineRule="auto"/>
        <w:jc w:val="center"/>
      </w:pPr>
      <w:r>
        <w:rPr>
          <w:noProof/>
        </w:rPr>
        <w:drawing>
          <wp:inline distT="0" distB="0" distL="0" distR="0" wp14:anchorId="3A702C04" wp14:editId="0AF19874">
            <wp:extent cx="5184140" cy="2582266"/>
            <wp:effectExtent l="0" t="0" r="16510" b="8890"/>
            <wp:docPr id="52" name="Chart 52">
              <a:extLst xmlns:a="http://schemas.openxmlformats.org/drawingml/2006/main">
                <a:ext uri="{FF2B5EF4-FFF2-40B4-BE49-F238E27FC236}">
                  <a16:creationId xmlns:a16="http://schemas.microsoft.com/office/drawing/2014/main" id="{00000000-0008-0000-02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5CF2D7D1" w14:textId="5F4A1A7F" w:rsidR="00865BFD" w:rsidRDefault="008D290C" w:rsidP="008D290C">
      <w:pPr>
        <w:jc w:val="center"/>
      </w:pPr>
      <w:r>
        <w:rPr>
          <w:noProof/>
        </w:rPr>
        <w:drawing>
          <wp:inline distT="0" distB="0" distL="0" distR="0" wp14:anchorId="38E75EC4" wp14:editId="2E016FAE">
            <wp:extent cx="5160010" cy="2948026"/>
            <wp:effectExtent l="0" t="0" r="2540" b="5080"/>
            <wp:docPr id="53" name="Chart 53">
              <a:extLst xmlns:a="http://schemas.openxmlformats.org/drawingml/2006/main">
                <a:ext uri="{FF2B5EF4-FFF2-40B4-BE49-F238E27FC236}">
                  <a16:creationId xmlns:a16="http://schemas.microsoft.com/office/drawing/2014/main" id="{00000000-0008-0000-02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266A4CA8" w14:textId="2E552FDE" w:rsidR="00865BFD" w:rsidRDefault="00257DAF" w:rsidP="008D290C">
      <w:pPr>
        <w:pStyle w:val="Caption"/>
        <w:jc w:val="center"/>
      </w:pPr>
      <w:bookmarkStart w:id="82" w:name="_Toc127110929"/>
      <w:r>
        <w:t xml:space="preserve">Figure </w:t>
      </w:r>
      <w:fldSimple w:instr=" SEQ Figure \* ARABIC ">
        <w:r w:rsidR="00A0212F">
          <w:rPr>
            <w:noProof/>
          </w:rPr>
          <w:t>35</w:t>
        </w:r>
      </w:fldSimple>
      <w:r>
        <w:t xml:space="preserve"> Results from the coke cold strength tests</w:t>
      </w:r>
      <w:bookmarkEnd w:id="82"/>
    </w:p>
    <w:p w14:paraId="2D7F92E3" w14:textId="470C31A6" w:rsidR="001579E7" w:rsidRPr="00D77D04" w:rsidRDefault="000675D8" w:rsidP="004225C8">
      <w:pPr>
        <w:spacing w:line="360" w:lineRule="auto"/>
        <w:jc w:val="both"/>
      </w:pPr>
      <w:r>
        <w:lastRenderedPageBreak/>
        <w:t xml:space="preserve">The </w:t>
      </w:r>
      <w:r w:rsidR="007063BE">
        <w:t>M</w:t>
      </w:r>
      <w:r w:rsidR="00E057D2" w:rsidRPr="007063BE">
        <w:rPr>
          <w:vertAlign w:val="subscript"/>
        </w:rPr>
        <w:t>40</w:t>
      </w:r>
      <w:r w:rsidR="00E057D2">
        <w:rPr>
          <w:vertAlign w:val="subscript"/>
        </w:rPr>
        <w:t xml:space="preserve"> </w:t>
      </w:r>
      <w:r w:rsidR="00833731">
        <w:t xml:space="preserve"> is a measure of the cokes resistance to size degradation</w:t>
      </w:r>
      <w:r w:rsidR="00E057D2">
        <w:t xml:space="preserve">, the </w:t>
      </w:r>
      <w:r w:rsidR="004225C8">
        <w:t xml:space="preserve">100% coking coal Riverside </w:t>
      </w:r>
      <w:r w:rsidR="00457F6F">
        <w:t>had a M</w:t>
      </w:r>
      <w:r w:rsidR="00457F6F" w:rsidRPr="007063BE">
        <w:rPr>
          <w:vertAlign w:val="subscript"/>
        </w:rPr>
        <w:t>40</w:t>
      </w:r>
      <w:r w:rsidR="00457F6F">
        <w:rPr>
          <w:vertAlign w:val="subscript"/>
        </w:rPr>
        <w:t xml:space="preserve"> </w:t>
      </w:r>
      <w:r w:rsidR="00457F6F">
        <w:t>result of 77.75</w:t>
      </w:r>
      <w:r w:rsidR="00885A6D">
        <w:t>%</w:t>
      </w:r>
      <w:r w:rsidR="00457F6F">
        <w:t xml:space="preserve"> which is typical of a high-quality coking coal. After 3% addition of biochar 1 the result drops slightly to 76.2</w:t>
      </w:r>
      <w:r w:rsidR="00885A6D">
        <w:t>%</w:t>
      </w:r>
      <w:r w:rsidR="00457F6F">
        <w:t xml:space="preserve"> and at 5% it rises marginally to 76.76%.  There is only a </w:t>
      </w:r>
      <w:r w:rsidR="0026096C">
        <w:t>small</w:t>
      </w:r>
      <w:r w:rsidR="00457F6F">
        <w:t xml:space="preserve"> drop off in the </w:t>
      </w:r>
      <w:r w:rsidR="008F5E39">
        <w:t>M</w:t>
      </w:r>
      <w:r w:rsidR="008F5E39" w:rsidRPr="007063BE">
        <w:rPr>
          <w:vertAlign w:val="subscript"/>
        </w:rPr>
        <w:t>40</w:t>
      </w:r>
      <w:r w:rsidR="008F5E39">
        <w:rPr>
          <w:vertAlign w:val="subscript"/>
        </w:rPr>
        <w:t xml:space="preserve"> </w:t>
      </w:r>
      <w:r w:rsidR="00457F6F">
        <w:t xml:space="preserve">up to 5% Biochar 1 addition. At 7.5% biochar 1 addition there is a significant drop off with a 72.6% result. </w:t>
      </w:r>
      <w:r w:rsidR="001579E7">
        <w:t>At 3% Biochar 2 addition the M</w:t>
      </w:r>
      <w:r w:rsidR="001579E7" w:rsidRPr="007063BE">
        <w:rPr>
          <w:vertAlign w:val="subscript"/>
        </w:rPr>
        <w:t>40</w:t>
      </w:r>
      <w:r w:rsidR="001579E7">
        <w:rPr>
          <w:vertAlign w:val="subscript"/>
        </w:rPr>
        <w:t xml:space="preserve"> </w:t>
      </w:r>
      <w:r w:rsidR="001579E7">
        <w:t xml:space="preserve">raises a little to 78.18% but at 5% biochar 2 addition the </w:t>
      </w:r>
      <w:r w:rsidR="009F04E4">
        <w:t>M</w:t>
      </w:r>
      <w:r w:rsidR="009F04E4" w:rsidRPr="007063BE">
        <w:rPr>
          <w:vertAlign w:val="subscript"/>
        </w:rPr>
        <w:t>40</w:t>
      </w:r>
      <w:r w:rsidR="001579E7">
        <w:t xml:space="preserve"> drops to 73.1% and at 7.5% biochar 2 addition the </w:t>
      </w:r>
      <w:r w:rsidR="009F04E4">
        <w:t>M</w:t>
      </w:r>
      <w:r w:rsidR="009F04E4" w:rsidRPr="007063BE">
        <w:rPr>
          <w:vertAlign w:val="subscript"/>
        </w:rPr>
        <w:t>40</w:t>
      </w:r>
      <w:r w:rsidR="001579E7">
        <w:t xml:space="preserve"> falls </w:t>
      </w:r>
      <w:r w:rsidR="0065541E">
        <w:t xml:space="preserve">significantly </w:t>
      </w:r>
      <w:r w:rsidR="001579E7">
        <w:t>to 61.8%.</w:t>
      </w:r>
      <w:r w:rsidR="00D77D04">
        <w:t xml:space="preserve"> </w:t>
      </w:r>
    </w:p>
    <w:p w14:paraId="15FFC73B" w14:textId="24A7B9B4" w:rsidR="00865BFD" w:rsidRDefault="00457F6F" w:rsidP="004225C8">
      <w:pPr>
        <w:spacing w:line="360" w:lineRule="auto"/>
        <w:jc w:val="both"/>
      </w:pPr>
      <w:r>
        <w:t>The M</w:t>
      </w:r>
      <w:r w:rsidRPr="00457F6F">
        <w:rPr>
          <w:vertAlign w:val="subscript"/>
        </w:rPr>
        <w:t>10</w:t>
      </w:r>
      <w:r>
        <w:t xml:space="preserve"> is a measure of the coke fines created during transportation and handling of the coke on its way to the BF. </w:t>
      </w:r>
      <w:r w:rsidR="001579E7">
        <w:t xml:space="preserve">Abrasion resistant coke is desired. The 100% Riverside coke had an </w:t>
      </w:r>
      <w:r w:rsidR="008F5E39">
        <w:t>M</w:t>
      </w:r>
      <w:r w:rsidR="008F5E39" w:rsidRPr="00457F6F">
        <w:rPr>
          <w:vertAlign w:val="subscript"/>
        </w:rPr>
        <w:t>10</w:t>
      </w:r>
      <w:r w:rsidR="001579E7">
        <w:t>of 7</w:t>
      </w:r>
      <w:r w:rsidR="00B64291">
        <w:t>%</w:t>
      </w:r>
      <w:r w:rsidR="001579E7">
        <w:t>.</w:t>
      </w:r>
      <w:r w:rsidR="00E35D72">
        <w:t xml:space="preserve"> The 3% and 5% addition of biochar 1 has little effect on the </w:t>
      </w:r>
      <w:r w:rsidR="008F5E39">
        <w:t>M</w:t>
      </w:r>
      <w:r w:rsidR="008F5E39" w:rsidRPr="00457F6F">
        <w:rPr>
          <w:vertAlign w:val="subscript"/>
        </w:rPr>
        <w:t>10</w:t>
      </w:r>
      <w:r w:rsidR="008F5E39">
        <w:rPr>
          <w:vertAlign w:val="subscript"/>
        </w:rPr>
        <w:t xml:space="preserve"> </w:t>
      </w:r>
      <w:r w:rsidR="00E35D72">
        <w:t>until the 7</w:t>
      </w:r>
      <w:r w:rsidR="00BE7515">
        <w:t>.5</w:t>
      </w:r>
      <w:r w:rsidR="00E35D72">
        <w:t xml:space="preserve">% biochar 1 addition when the </w:t>
      </w:r>
      <w:r w:rsidR="008F5E39">
        <w:t>M</w:t>
      </w:r>
      <w:r w:rsidR="008F5E39" w:rsidRPr="00457F6F">
        <w:rPr>
          <w:vertAlign w:val="subscript"/>
        </w:rPr>
        <w:t>10</w:t>
      </w:r>
      <w:r w:rsidR="00E35D72">
        <w:t xml:space="preserve"> rises to 8.34. The AI for Biochar 2 at 3% increases a little to 7.28% but then climbs to 8.64</w:t>
      </w:r>
      <w:r w:rsidR="00B64291">
        <w:t>%</w:t>
      </w:r>
      <w:r w:rsidR="00E35D72">
        <w:t xml:space="preserve"> at 5% before sharply </w:t>
      </w:r>
      <w:r w:rsidR="00D77D04">
        <w:t>escalating to 19.99</w:t>
      </w:r>
      <w:r w:rsidR="00B64291">
        <w:t>%</w:t>
      </w:r>
      <w:r w:rsidR="00D77D04">
        <w:t xml:space="preserve"> at 7</w:t>
      </w:r>
      <w:r w:rsidR="00BE7515">
        <w:t>.5</w:t>
      </w:r>
      <w:r w:rsidR="00D77D04">
        <w:t>% biochar 2 substitution.</w:t>
      </w:r>
    </w:p>
    <w:p w14:paraId="37A8C806" w14:textId="1EDE2B3F" w:rsidR="00D77D04" w:rsidRDefault="00D77D04" w:rsidP="004225C8">
      <w:pPr>
        <w:spacing w:line="360" w:lineRule="auto"/>
        <w:jc w:val="both"/>
      </w:pPr>
      <w:r>
        <w:t>It can be seen from the cold strength tests that there is a correlation between the M</w:t>
      </w:r>
      <w:r w:rsidRPr="00D77D04">
        <w:rPr>
          <w:vertAlign w:val="subscript"/>
        </w:rPr>
        <w:t xml:space="preserve">40 </w:t>
      </w:r>
      <w:r>
        <w:t>and M</w:t>
      </w:r>
      <w:r w:rsidRPr="00D77D04">
        <w:rPr>
          <w:vertAlign w:val="subscript"/>
        </w:rPr>
        <w:t>10</w:t>
      </w:r>
      <w:r>
        <w:t xml:space="preserve"> results, it seems they are inversely proportional as the M</w:t>
      </w:r>
      <w:r w:rsidRPr="00D77D04">
        <w:rPr>
          <w:vertAlign w:val="subscript"/>
        </w:rPr>
        <w:t>40</w:t>
      </w:r>
      <w:r>
        <w:t xml:space="preserve"> decreases then the M</w:t>
      </w:r>
      <w:r w:rsidRPr="00D77D04">
        <w:rPr>
          <w:vertAlign w:val="subscript"/>
        </w:rPr>
        <w:t>10</w:t>
      </w:r>
      <w:r>
        <w:t xml:space="preserve"> increases. This is intuitive as you would expect there to be more coke fines as the coke </w:t>
      </w:r>
      <w:r w:rsidR="00F13AF1">
        <w:t>gets weaker</w:t>
      </w:r>
      <w:r>
        <w:t xml:space="preserve">. </w:t>
      </w:r>
    </w:p>
    <w:p w14:paraId="0E7C4772" w14:textId="41EAFF26" w:rsidR="00D77D04" w:rsidRDefault="00D77D04" w:rsidP="004225C8">
      <w:pPr>
        <w:spacing w:line="360" w:lineRule="auto"/>
        <w:jc w:val="both"/>
      </w:pPr>
      <w:r>
        <w:t xml:space="preserve">Both </w:t>
      </w:r>
      <w:r w:rsidR="00A529BB">
        <w:t>biochar’s</w:t>
      </w:r>
      <w:r>
        <w:t xml:space="preserve"> </w:t>
      </w:r>
      <w:r w:rsidR="00156992">
        <w:t>performed</w:t>
      </w:r>
      <w:r w:rsidR="00A529BB">
        <w:t xml:space="preserve"> well at 3% substitution for cold strength quality, and biochar 1 only saw a slight</w:t>
      </w:r>
      <w:r w:rsidR="001C1291">
        <w:t xml:space="preserve"> </w:t>
      </w:r>
      <w:r w:rsidR="0039786C">
        <w:t>M</w:t>
      </w:r>
      <w:r w:rsidR="0039786C" w:rsidRPr="0039786C">
        <w:rPr>
          <w:vertAlign w:val="subscript"/>
        </w:rPr>
        <w:t>40</w:t>
      </w:r>
      <w:r w:rsidR="00A529BB">
        <w:t xml:space="preserve"> drop at 5% substitution. Biochar 2 saw a 5% drop in cold strength quality at 5% substitution and a considerable drop off at 7</w:t>
      </w:r>
      <w:r w:rsidR="00BE7515">
        <w:t>.5</w:t>
      </w:r>
      <w:r w:rsidR="00A529BB">
        <w:t xml:space="preserve">% substitution. </w:t>
      </w:r>
    </w:p>
    <w:p w14:paraId="298EF8F1" w14:textId="5516DD2C" w:rsidR="00BC0104" w:rsidRDefault="008865ED" w:rsidP="004225C8">
      <w:pPr>
        <w:spacing w:line="360" w:lineRule="auto"/>
        <w:jc w:val="both"/>
      </w:pPr>
      <w:r>
        <w:t xml:space="preserve">It would be predicted that the </w:t>
      </w:r>
      <w:r w:rsidR="009B53C7">
        <w:t>cold strength test</w:t>
      </w:r>
      <w:r w:rsidR="004044CD">
        <w:t xml:space="preserve"> results would be </w:t>
      </w:r>
      <w:r w:rsidR="00BB0DD5">
        <w:t>linear</w:t>
      </w:r>
      <w:r w:rsidR="004044CD">
        <w:t xml:space="preserve">, the 5% biochar 1 </w:t>
      </w:r>
      <w:r w:rsidR="00017125">
        <w:t>result and the 3% biochar 2 M</w:t>
      </w:r>
      <w:r w:rsidR="00017125" w:rsidRPr="00017125">
        <w:rPr>
          <w:vertAlign w:val="subscript"/>
        </w:rPr>
        <w:t>40</w:t>
      </w:r>
      <w:r w:rsidR="00017125">
        <w:t xml:space="preserve"> results did not conform to these </w:t>
      </w:r>
      <w:r w:rsidR="00D101AB">
        <w:t xml:space="preserve">estimations. </w:t>
      </w:r>
      <w:r w:rsidR="00BA62AD">
        <w:t>This is likely due to variation</w:t>
      </w:r>
      <w:r w:rsidR="00B12305">
        <w:t xml:space="preserve"> such as</w:t>
      </w:r>
      <w:r w:rsidR="00BA62AD">
        <w:t xml:space="preserve"> preparation </w:t>
      </w:r>
      <w:r w:rsidR="00B12305">
        <w:t>of the coal blend and testing of the coke. There could have been operat</w:t>
      </w:r>
      <w:r w:rsidR="008F60E9">
        <w:t>or error</w:t>
      </w:r>
      <w:r w:rsidR="005D5CEE">
        <w:t>. The</w:t>
      </w:r>
      <w:r w:rsidR="00372A1D">
        <w:t xml:space="preserve"> repeatability of the test is 3%</w:t>
      </w:r>
      <w:r w:rsidR="00885A6D">
        <w:t>.</w:t>
      </w:r>
      <w:r w:rsidR="008D09D2">
        <w:t xml:space="preserve"> </w:t>
      </w:r>
    </w:p>
    <w:p w14:paraId="60BC6847" w14:textId="554B00E5" w:rsidR="00490296" w:rsidRDefault="009C3CBF" w:rsidP="004225C8">
      <w:pPr>
        <w:spacing w:line="360" w:lineRule="auto"/>
        <w:jc w:val="both"/>
      </w:pPr>
      <w:r>
        <w:t>When considering cold strength</w:t>
      </w:r>
      <w:r w:rsidR="00E05DE7">
        <w:t>,</w:t>
      </w:r>
      <w:r>
        <w:t xml:space="preserve"> </w:t>
      </w:r>
      <w:r w:rsidR="00E05DE7">
        <w:t>b</w:t>
      </w:r>
      <w:r>
        <w:t xml:space="preserve">oth </w:t>
      </w:r>
      <w:r w:rsidR="00EF114F">
        <w:t>biochar’s</w:t>
      </w:r>
      <w:r>
        <w:t xml:space="preserve"> could be used at 3% </w:t>
      </w:r>
      <w:r w:rsidR="00EF114F">
        <w:t xml:space="preserve">substitution into the coal blend with </w:t>
      </w:r>
      <w:r w:rsidR="00B74DFD">
        <w:t>minimal effect on co</w:t>
      </w:r>
      <w:r w:rsidR="00324BB6">
        <w:t>ld coke strength</w:t>
      </w:r>
      <w:r w:rsidR="00B74DFD">
        <w:t xml:space="preserve"> quality</w:t>
      </w:r>
      <w:r w:rsidR="00AD31FD">
        <w:t>, biochar 1 could be used up to 5</w:t>
      </w:r>
      <w:r w:rsidR="00E05DE7">
        <w:t>% with</w:t>
      </w:r>
      <w:r w:rsidR="00AD31FD">
        <w:t xml:space="preserve"> little impact on cold strength quality. </w:t>
      </w:r>
    </w:p>
    <w:p w14:paraId="20E9C2DD" w14:textId="42E54ED5" w:rsidR="00156992" w:rsidRDefault="00156992" w:rsidP="004225C8">
      <w:pPr>
        <w:spacing w:line="360" w:lineRule="auto"/>
        <w:jc w:val="both"/>
      </w:pPr>
    </w:p>
    <w:p w14:paraId="720E2435" w14:textId="20007BCF" w:rsidR="00156992" w:rsidRDefault="00156992" w:rsidP="004225C8">
      <w:pPr>
        <w:spacing w:line="360" w:lineRule="auto"/>
        <w:jc w:val="both"/>
      </w:pPr>
    </w:p>
    <w:p w14:paraId="4D9A7157" w14:textId="38FAF8D6" w:rsidR="00156992" w:rsidRDefault="00156992" w:rsidP="004225C8">
      <w:pPr>
        <w:spacing w:line="360" w:lineRule="auto"/>
        <w:jc w:val="both"/>
      </w:pPr>
    </w:p>
    <w:p w14:paraId="0F29089B" w14:textId="343BD423" w:rsidR="00156992" w:rsidRDefault="00156992" w:rsidP="004225C8">
      <w:pPr>
        <w:spacing w:line="360" w:lineRule="auto"/>
        <w:jc w:val="both"/>
      </w:pPr>
    </w:p>
    <w:p w14:paraId="475C2270" w14:textId="77777777" w:rsidR="001A5F5A" w:rsidRDefault="001A5F5A" w:rsidP="004225C8">
      <w:pPr>
        <w:spacing w:line="360" w:lineRule="auto"/>
        <w:jc w:val="both"/>
      </w:pPr>
    </w:p>
    <w:p w14:paraId="190708F7" w14:textId="77777777" w:rsidR="001A5F5A" w:rsidRPr="00457F6F" w:rsidRDefault="001A5F5A" w:rsidP="004225C8">
      <w:pPr>
        <w:spacing w:line="360" w:lineRule="auto"/>
        <w:jc w:val="both"/>
      </w:pPr>
    </w:p>
    <w:p w14:paraId="3A864E5E" w14:textId="63A445A8" w:rsidR="00865BFD" w:rsidRDefault="00DB3A60" w:rsidP="0029241E">
      <w:pPr>
        <w:pStyle w:val="Heading3"/>
      </w:pPr>
      <w:bookmarkStart w:id="83" w:name="_Toc128599629"/>
      <w:r>
        <w:lastRenderedPageBreak/>
        <w:t>Hot mechanical strength and reactivity</w:t>
      </w:r>
      <w:bookmarkEnd w:id="83"/>
    </w:p>
    <w:p w14:paraId="30113A90" w14:textId="77777777" w:rsidR="00156992" w:rsidRPr="00156992" w:rsidRDefault="00156992" w:rsidP="00156992"/>
    <w:p w14:paraId="7B110EC6" w14:textId="65FF2398" w:rsidR="00865BFD" w:rsidRDefault="00E53FBB" w:rsidP="00E53FBB">
      <w:pPr>
        <w:spacing w:line="360" w:lineRule="auto"/>
        <w:jc w:val="center"/>
      </w:pPr>
      <w:r>
        <w:rPr>
          <w:noProof/>
        </w:rPr>
        <w:drawing>
          <wp:inline distT="0" distB="0" distL="0" distR="0" wp14:anchorId="08056001" wp14:editId="372CCAC0">
            <wp:extent cx="5025225" cy="2743200"/>
            <wp:effectExtent l="0" t="0" r="4445" b="0"/>
            <wp:docPr id="57" name="Chart 57">
              <a:extLst xmlns:a="http://schemas.openxmlformats.org/drawingml/2006/main">
                <a:ext uri="{FF2B5EF4-FFF2-40B4-BE49-F238E27FC236}">
                  <a16:creationId xmlns:a16="http://schemas.microsoft.com/office/drawing/2014/main" id="{00000000-0008-0000-02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0E20D92F" w14:textId="33643604" w:rsidR="00865BFD" w:rsidRDefault="00243C77" w:rsidP="00324BB6">
      <w:pPr>
        <w:spacing w:line="360" w:lineRule="auto"/>
        <w:jc w:val="center"/>
      </w:pPr>
      <w:r>
        <w:rPr>
          <w:noProof/>
        </w:rPr>
        <w:drawing>
          <wp:inline distT="0" distB="0" distL="0" distR="0" wp14:anchorId="129E9E9F" wp14:editId="405004C0">
            <wp:extent cx="5017273" cy="2743200"/>
            <wp:effectExtent l="0" t="0" r="12065" b="0"/>
            <wp:docPr id="59" name="Chart 59">
              <a:extLst xmlns:a="http://schemas.openxmlformats.org/drawingml/2006/main">
                <a:ext uri="{FF2B5EF4-FFF2-40B4-BE49-F238E27FC236}">
                  <a16:creationId xmlns:a16="http://schemas.microsoft.com/office/drawing/2014/main" id="{00000000-0008-0000-02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229D8A60" w14:textId="587452EE" w:rsidR="00C65F23" w:rsidRDefault="00D315C9" w:rsidP="0098124F">
      <w:pPr>
        <w:pStyle w:val="Caption"/>
        <w:jc w:val="center"/>
      </w:pPr>
      <w:bookmarkStart w:id="84" w:name="_Toc127110930"/>
      <w:r>
        <w:t xml:space="preserve">Figure </w:t>
      </w:r>
      <w:fldSimple w:instr=" SEQ Figure \* ARABIC ">
        <w:r w:rsidR="00A0212F">
          <w:rPr>
            <w:noProof/>
          </w:rPr>
          <w:t>36</w:t>
        </w:r>
      </w:fldSimple>
      <w:r w:rsidR="00742263">
        <w:t xml:space="preserve"> Coke strength and reactivity </w:t>
      </w:r>
      <w:r w:rsidR="0098124F">
        <w:t>results</w:t>
      </w:r>
      <w:bookmarkEnd w:id="84"/>
    </w:p>
    <w:p w14:paraId="02BEBE1D" w14:textId="170F5F30" w:rsidR="00F10FAF" w:rsidRDefault="004503FE" w:rsidP="00F10FAF">
      <w:pPr>
        <w:spacing w:line="360" w:lineRule="auto"/>
        <w:jc w:val="both"/>
      </w:pPr>
      <w:r>
        <w:t>The</w:t>
      </w:r>
      <w:r w:rsidR="008F5E39">
        <w:t xml:space="preserve"> </w:t>
      </w:r>
      <w:r>
        <w:t>CSR is considered the most important coke quality measurement</w:t>
      </w:r>
      <w:r w:rsidR="00826643">
        <w:t xml:space="preserve"> when </w:t>
      </w:r>
      <w:r w:rsidR="00123224">
        <w:t>maintaining BF operational stability. The CSR and CRI are inversely proportional.</w:t>
      </w:r>
      <w:r w:rsidR="00B57D81">
        <w:t xml:space="preserve"> </w:t>
      </w:r>
    </w:p>
    <w:p w14:paraId="512E6FA7" w14:textId="4642E1A8" w:rsidR="004E543F" w:rsidRDefault="003406A8" w:rsidP="00962A1B">
      <w:pPr>
        <w:spacing w:line="360" w:lineRule="auto"/>
        <w:jc w:val="both"/>
      </w:pPr>
      <w:r>
        <w:t>The CSR result for the 100% Riverside coal is 62.2</w:t>
      </w:r>
      <w:r w:rsidR="00962A1B">
        <w:t>%</w:t>
      </w:r>
      <w:r w:rsidR="00252C45">
        <w:t xml:space="preserve"> and the CRI was 29.1</w:t>
      </w:r>
      <w:r w:rsidR="00962A1B">
        <w:t>%</w:t>
      </w:r>
      <w:r w:rsidR="00252C45">
        <w:t>. When Biochar 1 is added at 3% and 5%</w:t>
      </w:r>
      <w:r w:rsidR="005453EA">
        <w:t xml:space="preserve">, the CSR result drops slightly each time to </w:t>
      </w:r>
      <w:r w:rsidR="006D1690">
        <w:t>60.5% and</w:t>
      </w:r>
      <w:r w:rsidR="008B4B2B">
        <w:t xml:space="preserve"> then</w:t>
      </w:r>
      <w:r w:rsidR="006D1690">
        <w:t xml:space="preserve"> 59.1%. At 7</w:t>
      </w:r>
      <w:r w:rsidR="00BE7515">
        <w:t>.5</w:t>
      </w:r>
      <w:r w:rsidR="008B4B2B">
        <w:t>%</w:t>
      </w:r>
      <w:r w:rsidR="006D1690">
        <w:t xml:space="preserve"> the</w:t>
      </w:r>
      <w:r w:rsidR="00243C77">
        <w:t xml:space="preserve"> CSR </w:t>
      </w:r>
      <w:r w:rsidR="00D9745A">
        <w:t xml:space="preserve">falls sharply to 41.2%. </w:t>
      </w:r>
      <w:r w:rsidR="00D82D9A">
        <w:t>The CSR remains consistent at 3% biochar 2 substitution</w:t>
      </w:r>
      <w:r w:rsidR="00CC2DAC">
        <w:t xml:space="preserve"> but then decreases significantly to 39.1</w:t>
      </w:r>
      <w:r w:rsidR="00962A1B">
        <w:t>%</w:t>
      </w:r>
      <w:r w:rsidR="00CC2DAC">
        <w:t xml:space="preserve"> and 41.2</w:t>
      </w:r>
      <w:r w:rsidR="00962A1B">
        <w:t>%</w:t>
      </w:r>
      <w:r w:rsidR="00CC2DAC">
        <w:t xml:space="preserve"> at 5% and 7.5% respectively. </w:t>
      </w:r>
    </w:p>
    <w:p w14:paraId="0D4D810B" w14:textId="0ED7CCDD" w:rsidR="00865BFD" w:rsidRDefault="00120E49" w:rsidP="006E3B91">
      <w:pPr>
        <w:spacing w:line="360" w:lineRule="auto"/>
        <w:jc w:val="both"/>
      </w:pPr>
      <w:r>
        <w:t xml:space="preserve">The coke gets more reactive as more biochar is </w:t>
      </w:r>
      <w:r w:rsidR="002E48B3">
        <w:t>added, at 100% the CRI is 29.1%</w:t>
      </w:r>
      <w:r w:rsidR="00C61C14">
        <w:t xml:space="preserve">. At 3% biochar 1 addition it </w:t>
      </w:r>
      <w:r w:rsidR="005E72CE">
        <w:t>is 30.2% and up to 32.5% at 5%</w:t>
      </w:r>
      <w:r w:rsidR="00901DF1">
        <w:t xml:space="preserve"> addition. </w:t>
      </w:r>
      <w:r w:rsidR="00185395">
        <w:t xml:space="preserve">At 7% addition it </w:t>
      </w:r>
      <w:r w:rsidR="007D34CB">
        <w:t>increases</w:t>
      </w:r>
      <w:r w:rsidR="00185395">
        <w:t xml:space="preserve"> to 39.9%.</w:t>
      </w:r>
      <w:r w:rsidR="006E4416">
        <w:t xml:space="preserve"> Biochar 2 </w:t>
      </w:r>
      <w:r w:rsidR="006E4416">
        <w:lastRenderedPageBreak/>
        <w:t>has a CRI of 29.9</w:t>
      </w:r>
      <w:r w:rsidR="00962A1B">
        <w:t>%</w:t>
      </w:r>
      <w:r w:rsidR="006E4416">
        <w:t xml:space="preserve"> at 3% addition </w:t>
      </w:r>
      <w:r w:rsidR="00A5308E">
        <w:t xml:space="preserve">not far off the 100% Riverside result but then climbs at 5% addition to </w:t>
      </w:r>
      <w:r w:rsidR="00DC5AF5">
        <w:t>39.8% before sharply rising to a high</w:t>
      </w:r>
      <w:r w:rsidR="00335B25">
        <w:t xml:space="preserve"> result of</w:t>
      </w:r>
      <w:r w:rsidR="00DC5AF5">
        <w:t xml:space="preserve"> 19.99% at 7.5% addition.</w:t>
      </w:r>
    </w:p>
    <w:p w14:paraId="0790BFD7" w14:textId="762FDDEC" w:rsidR="00EC71A2" w:rsidRDefault="00EC71A2" w:rsidP="006E3B91">
      <w:pPr>
        <w:spacing w:line="360" w:lineRule="auto"/>
        <w:jc w:val="both"/>
      </w:pPr>
      <w:r>
        <w:t>The prediction for the</w:t>
      </w:r>
      <w:r w:rsidR="00AC0ABD">
        <w:t xml:space="preserve"> CSR </w:t>
      </w:r>
      <w:r>
        <w:t xml:space="preserve">tests would be a </w:t>
      </w:r>
      <w:r w:rsidR="002E4442">
        <w:t>fairy linear line decreasing</w:t>
      </w:r>
      <w:r w:rsidR="00AC0ABD">
        <w:t xml:space="preserve"> as the biochar </w:t>
      </w:r>
      <w:r w:rsidR="008D62A5">
        <w:t xml:space="preserve">addition increases. </w:t>
      </w:r>
      <w:r w:rsidR="00C57D84">
        <w:t xml:space="preserve">The biochar 1 </w:t>
      </w:r>
      <w:r w:rsidR="006B2159">
        <w:t xml:space="preserve">conforms to this prediction but in the biochar 2 tests, the </w:t>
      </w:r>
      <w:r w:rsidR="00805DF7">
        <w:t xml:space="preserve">3% CSR result is </w:t>
      </w:r>
      <w:r w:rsidR="0043233B">
        <w:t>marginally</w:t>
      </w:r>
      <w:r w:rsidR="00805DF7">
        <w:t xml:space="preserve"> higher than the </w:t>
      </w:r>
      <w:r w:rsidR="0043233B">
        <w:t>100% Riverside test</w:t>
      </w:r>
      <w:r w:rsidR="00EE4CB9">
        <w:t xml:space="preserve"> when you would expect a drop. </w:t>
      </w:r>
      <w:r w:rsidR="00FF3C68">
        <w:t>Similarly,</w:t>
      </w:r>
      <w:r w:rsidR="00EE4CB9">
        <w:t xml:space="preserve"> the 7.5% result is higher than the 5% result. </w:t>
      </w:r>
      <w:r w:rsidR="00966DDB">
        <w:t xml:space="preserve">There are many variables present during the preparation of the PO blend and the coke testing and these results </w:t>
      </w:r>
      <w:r w:rsidR="00CA2124">
        <w:t xml:space="preserve">are </w:t>
      </w:r>
      <w:r w:rsidR="007A261A">
        <w:t>p</w:t>
      </w:r>
      <w:r w:rsidR="005E320C">
        <w:t>ossibly</w:t>
      </w:r>
      <w:r w:rsidR="007A261A">
        <w:t xml:space="preserve"> a consequence </w:t>
      </w:r>
      <w:r w:rsidR="00472328">
        <w:t xml:space="preserve">of a variable </w:t>
      </w:r>
      <w:r w:rsidR="0067733C">
        <w:t xml:space="preserve">such as operator error. </w:t>
      </w:r>
      <w:r w:rsidR="005E320C">
        <w:t>Although t</w:t>
      </w:r>
      <w:r w:rsidR="0067733C">
        <w:t>he repeatability of the test is between 2.5 – 3.5 depending on the CSR result.</w:t>
      </w:r>
      <w:r w:rsidR="005E320C">
        <w:t xml:space="preserve"> </w:t>
      </w:r>
      <w:r w:rsidR="00877444">
        <w:t>The standard deviation of the test is high due to the number of variables in</w:t>
      </w:r>
      <w:r w:rsidR="00A95A8C">
        <w:t>herent in the testing</w:t>
      </w:r>
      <w:r w:rsidR="000234DE">
        <w:t xml:space="preserve">. Demonstrating that the CSR/CRI measure is not </w:t>
      </w:r>
      <w:r w:rsidR="00BA573E">
        <w:t>precise.</w:t>
      </w:r>
      <w:r w:rsidR="000234DE">
        <w:t xml:space="preserve">  </w:t>
      </w:r>
    </w:p>
    <w:p w14:paraId="7650A8B9" w14:textId="43C379AC" w:rsidR="009F1FEB" w:rsidRDefault="00D04CD0" w:rsidP="006E3B91">
      <w:pPr>
        <w:spacing w:line="360" w:lineRule="auto"/>
        <w:jc w:val="both"/>
      </w:pPr>
      <w:r>
        <w:t>Both biochar’s could be used at 3%</w:t>
      </w:r>
      <w:r w:rsidR="00584C34">
        <w:t xml:space="preserve"> substitution when </w:t>
      </w:r>
      <w:r w:rsidR="005E5D30">
        <w:t>considering</w:t>
      </w:r>
      <w:r w:rsidR="00D85DA7">
        <w:t xml:space="preserve"> the quality measure </w:t>
      </w:r>
      <w:r w:rsidR="00584C34">
        <w:t>CSR</w:t>
      </w:r>
      <w:r w:rsidR="00D85DA7">
        <w:t xml:space="preserve"> and </w:t>
      </w:r>
      <w:r w:rsidR="00584C34">
        <w:t>CRI</w:t>
      </w:r>
      <w:r w:rsidR="00D85DA7">
        <w:t xml:space="preserve">. </w:t>
      </w:r>
      <w:r w:rsidR="00BC71BD">
        <w:t xml:space="preserve">Biochar 1 could be used at 5% </w:t>
      </w:r>
      <w:r w:rsidR="002A1DBC">
        <w:t xml:space="preserve">despite there being a 3% drop in </w:t>
      </w:r>
      <w:r w:rsidR="00320D9A">
        <w:t>the CSR</w:t>
      </w:r>
      <w:r w:rsidR="004C4033">
        <w:t xml:space="preserve"> but this </w:t>
      </w:r>
      <w:r w:rsidR="009967D7">
        <w:t xml:space="preserve">small drop could be managed by </w:t>
      </w:r>
      <w:r w:rsidR="00B473DD">
        <w:t xml:space="preserve">adjusting the coal blend with </w:t>
      </w:r>
      <w:r w:rsidR="00541003">
        <w:t xml:space="preserve">high quality </w:t>
      </w:r>
      <w:r w:rsidR="00B473DD">
        <w:t>coal to compensate</w:t>
      </w:r>
      <w:r w:rsidR="00541003">
        <w:t>.</w:t>
      </w:r>
    </w:p>
    <w:p w14:paraId="4CAC1F5A" w14:textId="1F3D7255" w:rsidR="00A66A1D" w:rsidRDefault="000D2E82" w:rsidP="000D2E82">
      <w:pPr>
        <w:pStyle w:val="Heading3"/>
      </w:pPr>
      <w:bookmarkStart w:id="85" w:name="_Toc128599630"/>
      <w:r>
        <w:t>Coke</w:t>
      </w:r>
      <w:r w:rsidR="009E184E">
        <w:t xml:space="preserve"> chemistry</w:t>
      </w:r>
      <w:r>
        <w:t xml:space="preserve"> Analysis</w:t>
      </w:r>
      <w:bookmarkEnd w:id="85"/>
    </w:p>
    <w:p w14:paraId="4255DBC3" w14:textId="273EE870" w:rsidR="00A66A1D" w:rsidRDefault="009E184E" w:rsidP="009E184E">
      <w:pPr>
        <w:pStyle w:val="Caption"/>
        <w:jc w:val="center"/>
      </w:pPr>
      <w:r>
        <w:t xml:space="preserve">Table </w:t>
      </w:r>
      <w:fldSimple w:instr=" SEQ Table \* ARABIC ">
        <w:r w:rsidR="00DA2639">
          <w:rPr>
            <w:noProof/>
          </w:rPr>
          <w:t>12</w:t>
        </w:r>
      </w:fldSimple>
      <w:r>
        <w:t xml:space="preserve"> Riverside and Biochar coke analysis</w:t>
      </w:r>
    </w:p>
    <w:tbl>
      <w:tblPr>
        <w:tblW w:w="7680" w:type="dxa"/>
        <w:tblLook w:val="04A0" w:firstRow="1" w:lastRow="0" w:firstColumn="1" w:lastColumn="0" w:noHBand="0" w:noVBand="1"/>
      </w:tblPr>
      <w:tblGrid>
        <w:gridCol w:w="960"/>
        <w:gridCol w:w="1058"/>
        <w:gridCol w:w="960"/>
        <w:gridCol w:w="960"/>
        <w:gridCol w:w="960"/>
        <w:gridCol w:w="960"/>
        <w:gridCol w:w="960"/>
        <w:gridCol w:w="960"/>
      </w:tblGrid>
      <w:tr w:rsidR="008F43C0" w:rsidRPr="008F43C0" w14:paraId="3B28620F" w14:textId="77777777" w:rsidTr="008F43C0">
        <w:trPr>
          <w:trHeight w:val="600"/>
        </w:trPr>
        <w:tc>
          <w:tcPr>
            <w:tcW w:w="960" w:type="dxa"/>
            <w:tcBorders>
              <w:top w:val="single" w:sz="4" w:space="0" w:color="3F3F3F"/>
              <w:left w:val="single" w:sz="4" w:space="0" w:color="3F3F3F"/>
              <w:bottom w:val="single" w:sz="4" w:space="0" w:color="3F3F3F"/>
              <w:right w:val="single" w:sz="4" w:space="0" w:color="3F3F3F"/>
            </w:tcBorders>
            <w:shd w:val="clear" w:color="000000" w:fill="F2F2F2"/>
            <w:vAlign w:val="center"/>
            <w:hideMark/>
          </w:tcPr>
          <w:p w14:paraId="0B0364A7"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proofErr w:type="spellStart"/>
            <w:r w:rsidRPr="008F43C0">
              <w:rPr>
                <w:rFonts w:ascii="Calibri" w:eastAsia="Times New Roman" w:hAnsi="Calibri" w:cs="Calibri"/>
                <w:b/>
                <w:bCs/>
                <w:color w:val="3F3F3F"/>
                <w:lang w:eastAsia="en-GB"/>
              </w:rPr>
              <w:t>db</w:t>
            </w:r>
            <w:proofErr w:type="spellEnd"/>
            <w:r w:rsidRPr="008F43C0">
              <w:rPr>
                <w:rFonts w:ascii="Calibri" w:eastAsia="Times New Roman" w:hAnsi="Calibri" w:cs="Calibri"/>
                <w:b/>
                <w:bCs/>
                <w:color w:val="3F3F3F"/>
                <w:lang w:eastAsia="en-GB"/>
              </w:rPr>
              <w:t xml:space="preserve"> %</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1C39165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Riverside 100%</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5519C504"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Biochar 1 3%</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58A80F01"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Biochar 2 3%</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4254906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Biochar 1 5%</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4135712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Biochar 2 5%</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3A41B61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Biochar 1 7.5%</w:t>
            </w:r>
          </w:p>
        </w:tc>
        <w:tc>
          <w:tcPr>
            <w:tcW w:w="960" w:type="dxa"/>
            <w:tcBorders>
              <w:top w:val="single" w:sz="4" w:space="0" w:color="3F3F3F"/>
              <w:left w:val="nil"/>
              <w:bottom w:val="single" w:sz="4" w:space="0" w:color="3F3F3F"/>
              <w:right w:val="single" w:sz="4" w:space="0" w:color="3F3F3F"/>
            </w:tcBorders>
            <w:shd w:val="clear" w:color="000000" w:fill="F2F2F2"/>
            <w:vAlign w:val="center"/>
            <w:hideMark/>
          </w:tcPr>
          <w:p w14:paraId="05F24AB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Biochar 2 7.5%</w:t>
            </w:r>
          </w:p>
        </w:tc>
      </w:tr>
      <w:tr w:rsidR="008F43C0" w:rsidRPr="008F43C0" w14:paraId="1A5A42C8"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1746B9A9"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VM</w:t>
            </w:r>
          </w:p>
        </w:tc>
        <w:tc>
          <w:tcPr>
            <w:tcW w:w="960" w:type="dxa"/>
            <w:tcBorders>
              <w:top w:val="nil"/>
              <w:left w:val="nil"/>
              <w:bottom w:val="single" w:sz="4" w:space="0" w:color="3F3F3F"/>
              <w:right w:val="single" w:sz="4" w:space="0" w:color="3F3F3F"/>
            </w:tcBorders>
            <w:shd w:val="clear" w:color="000000" w:fill="F2F2F2"/>
            <w:noWrap/>
            <w:vAlign w:val="bottom"/>
            <w:hideMark/>
          </w:tcPr>
          <w:p w14:paraId="0F4D4491"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1.73</w:t>
            </w:r>
          </w:p>
        </w:tc>
        <w:tc>
          <w:tcPr>
            <w:tcW w:w="960" w:type="dxa"/>
            <w:tcBorders>
              <w:top w:val="nil"/>
              <w:left w:val="nil"/>
              <w:bottom w:val="single" w:sz="4" w:space="0" w:color="3F3F3F"/>
              <w:right w:val="single" w:sz="4" w:space="0" w:color="3F3F3F"/>
            </w:tcBorders>
            <w:shd w:val="clear" w:color="000000" w:fill="F2F2F2"/>
            <w:noWrap/>
            <w:vAlign w:val="center"/>
            <w:hideMark/>
          </w:tcPr>
          <w:p w14:paraId="224C1CAF"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1.64</w:t>
            </w:r>
          </w:p>
        </w:tc>
        <w:tc>
          <w:tcPr>
            <w:tcW w:w="960" w:type="dxa"/>
            <w:tcBorders>
              <w:top w:val="nil"/>
              <w:left w:val="nil"/>
              <w:bottom w:val="single" w:sz="4" w:space="0" w:color="3F3F3F"/>
              <w:right w:val="single" w:sz="4" w:space="0" w:color="3F3F3F"/>
            </w:tcBorders>
            <w:shd w:val="clear" w:color="000000" w:fill="F2F2F2"/>
            <w:noWrap/>
            <w:vAlign w:val="center"/>
            <w:hideMark/>
          </w:tcPr>
          <w:p w14:paraId="5CF52D47"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1.12</w:t>
            </w:r>
          </w:p>
        </w:tc>
        <w:tc>
          <w:tcPr>
            <w:tcW w:w="960" w:type="dxa"/>
            <w:tcBorders>
              <w:top w:val="nil"/>
              <w:left w:val="nil"/>
              <w:bottom w:val="single" w:sz="4" w:space="0" w:color="3F3F3F"/>
              <w:right w:val="single" w:sz="4" w:space="0" w:color="3F3F3F"/>
            </w:tcBorders>
            <w:shd w:val="clear" w:color="000000" w:fill="F2F2F2"/>
            <w:noWrap/>
            <w:vAlign w:val="center"/>
            <w:hideMark/>
          </w:tcPr>
          <w:p w14:paraId="44D6F67A"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1.42</w:t>
            </w:r>
          </w:p>
        </w:tc>
        <w:tc>
          <w:tcPr>
            <w:tcW w:w="960" w:type="dxa"/>
            <w:tcBorders>
              <w:top w:val="nil"/>
              <w:left w:val="nil"/>
              <w:bottom w:val="single" w:sz="4" w:space="0" w:color="3F3F3F"/>
              <w:right w:val="single" w:sz="4" w:space="0" w:color="3F3F3F"/>
            </w:tcBorders>
            <w:shd w:val="clear" w:color="000000" w:fill="F2F2F2"/>
            <w:noWrap/>
            <w:vAlign w:val="center"/>
            <w:hideMark/>
          </w:tcPr>
          <w:p w14:paraId="05BA7F9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1.26</w:t>
            </w:r>
          </w:p>
        </w:tc>
        <w:tc>
          <w:tcPr>
            <w:tcW w:w="960" w:type="dxa"/>
            <w:tcBorders>
              <w:top w:val="nil"/>
              <w:left w:val="nil"/>
              <w:bottom w:val="single" w:sz="4" w:space="0" w:color="3F3F3F"/>
              <w:right w:val="single" w:sz="4" w:space="0" w:color="3F3F3F"/>
            </w:tcBorders>
            <w:shd w:val="clear" w:color="000000" w:fill="F2F2F2"/>
            <w:noWrap/>
            <w:vAlign w:val="center"/>
            <w:hideMark/>
          </w:tcPr>
          <w:p w14:paraId="5EBC779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1.07</w:t>
            </w:r>
          </w:p>
        </w:tc>
        <w:tc>
          <w:tcPr>
            <w:tcW w:w="960" w:type="dxa"/>
            <w:tcBorders>
              <w:top w:val="nil"/>
              <w:left w:val="nil"/>
              <w:bottom w:val="single" w:sz="4" w:space="0" w:color="3F3F3F"/>
              <w:right w:val="single" w:sz="4" w:space="0" w:color="3F3F3F"/>
            </w:tcBorders>
            <w:shd w:val="clear" w:color="000000" w:fill="F2F2F2"/>
            <w:noWrap/>
            <w:vAlign w:val="center"/>
            <w:hideMark/>
          </w:tcPr>
          <w:p w14:paraId="7F4522F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1.44</w:t>
            </w:r>
          </w:p>
        </w:tc>
      </w:tr>
      <w:tr w:rsidR="008F43C0" w:rsidRPr="008F43C0" w14:paraId="2A6AB1CD"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13C0B439"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Ash</w:t>
            </w:r>
          </w:p>
        </w:tc>
        <w:tc>
          <w:tcPr>
            <w:tcW w:w="960" w:type="dxa"/>
            <w:tcBorders>
              <w:top w:val="nil"/>
              <w:left w:val="nil"/>
              <w:bottom w:val="single" w:sz="4" w:space="0" w:color="3F3F3F"/>
              <w:right w:val="single" w:sz="4" w:space="0" w:color="3F3F3F"/>
            </w:tcBorders>
            <w:shd w:val="clear" w:color="000000" w:fill="F2F2F2"/>
            <w:noWrap/>
            <w:vAlign w:val="bottom"/>
            <w:hideMark/>
          </w:tcPr>
          <w:p w14:paraId="62CE9FB5"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13.4</w:t>
            </w:r>
          </w:p>
        </w:tc>
        <w:tc>
          <w:tcPr>
            <w:tcW w:w="960" w:type="dxa"/>
            <w:tcBorders>
              <w:top w:val="nil"/>
              <w:left w:val="nil"/>
              <w:bottom w:val="single" w:sz="4" w:space="0" w:color="3F3F3F"/>
              <w:right w:val="single" w:sz="4" w:space="0" w:color="3F3F3F"/>
            </w:tcBorders>
            <w:shd w:val="clear" w:color="000000" w:fill="F2F2F2"/>
            <w:noWrap/>
            <w:vAlign w:val="center"/>
            <w:hideMark/>
          </w:tcPr>
          <w:p w14:paraId="2BD1DB04"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w:t>
            </w:r>
          </w:p>
        </w:tc>
        <w:tc>
          <w:tcPr>
            <w:tcW w:w="960" w:type="dxa"/>
            <w:tcBorders>
              <w:top w:val="nil"/>
              <w:left w:val="nil"/>
              <w:bottom w:val="single" w:sz="4" w:space="0" w:color="3F3F3F"/>
              <w:right w:val="single" w:sz="4" w:space="0" w:color="3F3F3F"/>
            </w:tcBorders>
            <w:shd w:val="clear" w:color="000000" w:fill="F2F2F2"/>
            <w:noWrap/>
            <w:vAlign w:val="center"/>
            <w:hideMark/>
          </w:tcPr>
          <w:p w14:paraId="2CCBF06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13.4</w:t>
            </w:r>
          </w:p>
        </w:tc>
        <w:tc>
          <w:tcPr>
            <w:tcW w:w="960" w:type="dxa"/>
            <w:tcBorders>
              <w:top w:val="nil"/>
              <w:left w:val="nil"/>
              <w:bottom w:val="single" w:sz="4" w:space="0" w:color="3F3F3F"/>
              <w:right w:val="single" w:sz="4" w:space="0" w:color="3F3F3F"/>
            </w:tcBorders>
            <w:shd w:val="clear" w:color="000000" w:fill="F2F2F2"/>
            <w:noWrap/>
            <w:vAlign w:val="center"/>
            <w:hideMark/>
          </w:tcPr>
          <w:p w14:paraId="26D1C7D4"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13.6</w:t>
            </w:r>
          </w:p>
        </w:tc>
        <w:tc>
          <w:tcPr>
            <w:tcW w:w="960" w:type="dxa"/>
            <w:tcBorders>
              <w:top w:val="nil"/>
              <w:left w:val="nil"/>
              <w:bottom w:val="single" w:sz="4" w:space="0" w:color="3F3F3F"/>
              <w:right w:val="single" w:sz="4" w:space="0" w:color="3F3F3F"/>
            </w:tcBorders>
            <w:shd w:val="clear" w:color="000000" w:fill="F2F2F2"/>
            <w:noWrap/>
            <w:vAlign w:val="center"/>
            <w:hideMark/>
          </w:tcPr>
          <w:p w14:paraId="58EBDCE4"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14.6</w:t>
            </w:r>
          </w:p>
        </w:tc>
        <w:tc>
          <w:tcPr>
            <w:tcW w:w="960" w:type="dxa"/>
            <w:tcBorders>
              <w:top w:val="nil"/>
              <w:left w:val="nil"/>
              <w:bottom w:val="single" w:sz="4" w:space="0" w:color="3F3F3F"/>
              <w:right w:val="single" w:sz="4" w:space="0" w:color="3F3F3F"/>
            </w:tcBorders>
            <w:shd w:val="clear" w:color="000000" w:fill="F2F2F2"/>
            <w:noWrap/>
            <w:vAlign w:val="center"/>
            <w:hideMark/>
          </w:tcPr>
          <w:p w14:paraId="6B85FE9A"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13.3</w:t>
            </w:r>
          </w:p>
        </w:tc>
        <w:tc>
          <w:tcPr>
            <w:tcW w:w="960" w:type="dxa"/>
            <w:tcBorders>
              <w:top w:val="nil"/>
              <w:left w:val="nil"/>
              <w:bottom w:val="single" w:sz="4" w:space="0" w:color="3F3F3F"/>
              <w:right w:val="single" w:sz="4" w:space="0" w:color="3F3F3F"/>
            </w:tcBorders>
            <w:shd w:val="clear" w:color="000000" w:fill="F2F2F2"/>
            <w:noWrap/>
            <w:vAlign w:val="center"/>
            <w:hideMark/>
          </w:tcPr>
          <w:p w14:paraId="0E8549BE"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w:t>
            </w:r>
          </w:p>
        </w:tc>
      </w:tr>
      <w:tr w:rsidR="008F43C0" w:rsidRPr="008F43C0" w14:paraId="0D8A3215"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5A33CCA7"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SiO</w:t>
            </w:r>
            <w:r w:rsidRPr="00D8745D">
              <w:rPr>
                <w:rFonts w:ascii="Calibri" w:eastAsia="Times New Roman" w:hAnsi="Calibri" w:cs="Calibri"/>
                <w:b/>
                <w:bCs/>
                <w:color w:val="3F3F3F"/>
                <w:vertAlign w:val="subscript"/>
                <w:lang w:eastAsia="en-GB"/>
              </w:rPr>
              <w:t>2</w:t>
            </w:r>
          </w:p>
        </w:tc>
        <w:tc>
          <w:tcPr>
            <w:tcW w:w="960" w:type="dxa"/>
            <w:tcBorders>
              <w:top w:val="nil"/>
              <w:left w:val="nil"/>
              <w:bottom w:val="single" w:sz="4" w:space="0" w:color="3F3F3F"/>
              <w:right w:val="single" w:sz="4" w:space="0" w:color="3F3F3F"/>
            </w:tcBorders>
            <w:shd w:val="clear" w:color="000000" w:fill="F2F2F2"/>
            <w:noWrap/>
            <w:vAlign w:val="bottom"/>
            <w:hideMark/>
          </w:tcPr>
          <w:p w14:paraId="103F11F1"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55.73</w:t>
            </w:r>
          </w:p>
        </w:tc>
        <w:tc>
          <w:tcPr>
            <w:tcW w:w="960" w:type="dxa"/>
            <w:tcBorders>
              <w:top w:val="nil"/>
              <w:left w:val="nil"/>
              <w:bottom w:val="single" w:sz="4" w:space="0" w:color="3F3F3F"/>
              <w:right w:val="single" w:sz="4" w:space="0" w:color="3F3F3F"/>
            </w:tcBorders>
            <w:shd w:val="clear" w:color="000000" w:fill="F2F2F2"/>
            <w:noWrap/>
            <w:vAlign w:val="center"/>
            <w:hideMark/>
          </w:tcPr>
          <w:p w14:paraId="5E9FF3E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56.65</w:t>
            </w:r>
          </w:p>
        </w:tc>
        <w:tc>
          <w:tcPr>
            <w:tcW w:w="960" w:type="dxa"/>
            <w:tcBorders>
              <w:top w:val="nil"/>
              <w:left w:val="nil"/>
              <w:bottom w:val="single" w:sz="4" w:space="0" w:color="3F3F3F"/>
              <w:right w:val="single" w:sz="4" w:space="0" w:color="3F3F3F"/>
            </w:tcBorders>
            <w:shd w:val="clear" w:color="000000" w:fill="F2F2F2"/>
            <w:noWrap/>
            <w:vAlign w:val="center"/>
            <w:hideMark/>
          </w:tcPr>
          <w:p w14:paraId="395D15A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55.22</w:t>
            </w:r>
          </w:p>
        </w:tc>
        <w:tc>
          <w:tcPr>
            <w:tcW w:w="960" w:type="dxa"/>
            <w:tcBorders>
              <w:top w:val="nil"/>
              <w:left w:val="nil"/>
              <w:bottom w:val="single" w:sz="4" w:space="0" w:color="3F3F3F"/>
              <w:right w:val="single" w:sz="4" w:space="0" w:color="3F3F3F"/>
            </w:tcBorders>
            <w:shd w:val="clear" w:color="000000" w:fill="F2F2F2"/>
            <w:noWrap/>
            <w:vAlign w:val="center"/>
            <w:hideMark/>
          </w:tcPr>
          <w:p w14:paraId="43155421"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54.38</w:t>
            </w:r>
          </w:p>
        </w:tc>
        <w:tc>
          <w:tcPr>
            <w:tcW w:w="960" w:type="dxa"/>
            <w:tcBorders>
              <w:top w:val="nil"/>
              <w:left w:val="nil"/>
              <w:bottom w:val="single" w:sz="4" w:space="0" w:color="3F3F3F"/>
              <w:right w:val="single" w:sz="4" w:space="0" w:color="3F3F3F"/>
            </w:tcBorders>
            <w:shd w:val="clear" w:color="000000" w:fill="F2F2F2"/>
            <w:noWrap/>
            <w:vAlign w:val="center"/>
            <w:hideMark/>
          </w:tcPr>
          <w:p w14:paraId="24495E5E"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54.09</w:t>
            </w:r>
          </w:p>
        </w:tc>
        <w:tc>
          <w:tcPr>
            <w:tcW w:w="960" w:type="dxa"/>
            <w:tcBorders>
              <w:top w:val="nil"/>
              <w:left w:val="nil"/>
              <w:bottom w:val="single" w:sz="4" w:space="0" w:color="3F3F3F"/>
              <w:right w:val="single" w:sz="4" w:space="0" w:color="3F3F3F"/>
            </w:tcBorders>
            <w:shd w:val="clear" w:color="000000" w:fill="F2F2F2"/>
            <w:noWrap/>
            <w:vAlign w:val="center"/>
            <w:hideMark/>
          </w:tcPr>
          <w:p w14:paraId="2DB5F09A"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53.51</w:t>
            </w:r>
          </w:p>
        </w:tc>
        <w:tc>
          <w:tcPr>
            <w:tcW w:w="960" w:type="dxa"/>
            <w:tcBorders>
              <w:top w:val="nil"/>
              <w:left w:val="nil"/>
              <w:bottom w:val="single" w:sz="4" w:space="0" w:color="3F3F3F"/>
              <w:right w:val="single" w:sz="4" w:space="0" w:color="3F3F3F"/>
            </w:tcBorders>
            <w:shd w:val="clear" w:color="000000" w:fill="F2F2F2"/>
            <w:noWrap/>
            <w:vAlign w:val="center"/>
            <w:hideMark/>
          </w:tcPr>
          <w:p w14:paraId="37DBFD1E"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50.23</w:t>
            </w:r>
          </w:p>
        </w:tc>
      </w:tr>
      <w:tr w:rsidR="008F43C0" w:rsidRPr="008F43C0" w14:paraId="3AE4391F"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09AFFC5D"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Al</w:t>
            </w:r>
            <w:r w:rsidRPr="00D8745D">
              <w:rPr>
                <w:rFonts w:ascii="Calibri" w:eastAsia="Times New Roman" w:hAnsi="Calibri" w:cs="Calibri"/>
                <w:b/>
                <w:bCs/>
                <w:color w:val="3F3F3F"/>
                <w:vertAlign w:val="subscript"/>
                <w:lang w:eastAsia="en-GB"/>
              </w:rPr>
              <w:t>2</w:t>
            </w:r>
            <w:r w:rsidRPr="008F43C0">
              <w:rPr>
                <w:rFonts w:ascii="Calibri" w:eastAsia="Times New Roman" w:hAnsi="Calibri" w:cs="Calibri"/>
                <w:b/>
                <w:bCs/>
                <w:color w:val="3F3F3F"/>
                <w:lang w:eastAsia="en-GB"/>
              </w:rPr>
              <w:t>O</w:t>
            </w:r>
            <w:r w:rsidRPr="00D8745D">
              <w:rPr>
                <w:rFonts w:ascii="Calibri" w:eastAsia="Times New Roman" w:hAnsi="Calibri" w:cs="Calibri"/>
                <w:b/>
                <w:bCs/>
                <w:color w:val="3F3F3F"/>
                <w:vertAlign w:val="subscript"/>
                <w:lang w:eastAsia="en-GB"/>
              </w:rPr>
              <w:t>3</w:t>
            </w:r>
          </w:p>
        </w:tc>
        <w:tc>
          <w:tcPr>
            <w:tcW w:w="960" w:type="dxa"/>
            <w:tcBorders>
              <w:top w:val="nil"/>
              <w:left w:val="nil"/>
              <w:bottom w:val="single" w:sz="4" w:space="0" w:color="3F3F3F"/>
              <w:right w:val="single" w:sz="4" w:space="0" w:color="3F3F3F"/>
            </w:tcBorders>
            <w:shd w:val="clear" w:color="000000" w:fill="F2F2F2"/>
            <w:noWrap/>
            <w:vAlign w:val="bottom"/>
            <w:hideMark/>
          </w:tcPr>
          <w:p w14:paraId="3F71401F"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28.14</w:t>
            </w:r>
          </w:p>
        </w:tc>
        <w:tc>
          <w:tcPr>
            <w:tcW w:w="960" w:type="dxa"/>
            <w:tcBorders>
              <w:top w:val="nil"/>
              <w:left w:val="nil"/>
              <w:bottom w:val="single" w:sz="4" w:space="0" w:color="3F3F3F"/>
              <w:right w:val="single" w:sz="4" w:space="0" w:color="3F3F3F"/>
            </w:tcBorders>
            <w:shd w:val="clear" w:color="000000" w:fill="F2F2F2"/>
            <w:noWrap/>
            <w:vAlign w:val="center"/>
            <w:hideMark/>
          </w:tcPr>
          <w:p w14:paraId="76B5B1E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23.22</w:t>
            </w:r>
          </w:p>
        </w:tc>
        <w:tc>
          <w:tcPr>
            <w:tcW w:w="960" w:type="dxa"/>
            <w:tcBorders>
              <w:top w:val="nil"/>
              <w:left w:val="nil"/>
              <w:bottom w:val="single" w:sz="4" w:space="0" w:color="3F3F3F"/>
              <w:right w:val="single" w:sz="4" w:space="0" w:color="3F3F3F"/>
            </w:tcBorders>
            <w:shd w:val="clear" w:color="000000" w:fill="F2F2F2"/>
            <w:noWrap/>
            <w:vAlign w:val="center"/>
            <w:hideMark/>
          </w:tcPr>
          <w:p w14:paraId="337730E1"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27.35</w:t>
            </w:r>
          </w:p>
        </w:tc>
        <w:tc>
          <w:tcPr>
            <w:tcW w:w="960" w:type="dxa"/>
            <w:tcBorders>
              <w:top w:val="nil"/>
              <w:left w:val="nil"/>
              <w:bottom w:val="single" w:sz="4" w:space="0" w:color="3F3F3F"/>
              <w:right w:val="single" w:sz="4" w:space="0" w:color="3F3F3F"/>
            </w:tcBorders>
            <w:shd w:val="clear" w:color="000000" w:fill="F2F2F2"/>
            <w:noWrap/>
            <w:vAlign w:val="center"/>
            <w:hideMark/>
          </w:tcPr>
          <w:p w14:paraId="7E9AFDA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22.37</w:t>
            </w:r>
          </w:p>
        </w:tc>
        <w:tc>
          <w:tcPr>
            <w:tcW w:w="960" w:type="dxa"/>
            <w:tcBorders>
              <w:top w:val="nil"/>
              <w:left w:val="nil"/>
              <w:bottom w:val="single" w:sz="4" w:space="0" w:color="3F3F3F"/>
              <w:right w:val="single" w:sz="4" w:space="0" w:color="3F3F3F"/>
            </w:tcBorders>
            <w:shd w:val="clear" w:color="000000" w:fill="F2F2F2"/>
            <w:noWrap/>
            <w:vAlign w:val="center"/>
            <w:hideMark/>
          </w:tcPr>
          <w:p w14:paraId="1B02E32A"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25.46</w:t>
            </w:r>
          </w:p>
        </w:tc>
        <w:tc>
          <w:tcPr>
            <w:tcW w:w="960" w:type="dxa"/>
            <w:tcBorders>
              <w:top w:val="nil"/>
              <w:left w:val="nil"/>
              <w:bottom w:val="single" w:sz="4" w:space="0" w:color="3F3F3F"/>
              <w:right w:val="single" w:sz="4" w:space="0" w:color="3F3F3F"/>
            </w:tcBorders>
            <w:shd w:val="clear" w:color="000000" w:fill="F2F2F2"/>
            <w:noWrap/>
            <w:vAlign w:val="center"/>
            <w:hideMark/>
          </w:tcPr>
          <w:p w14:paraId="58D18BE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21.38</w:t>
            </w:r>
          </w:p>
        </w:tc>
        <w:tc>
          <w:tcPr>
            <w:tcW w:w="960" w:type="dxa"/>
            <w:tcBorders>
              <w:top w:val="nil"/>
              <w:left w:val="nil"/>
              <w:bottom w:val="single" w:sz="4" w:space="0" w:color="3F3F3F"/>
              <w:right w:val="single" w:sz="4" w:space="0" w:color="3F3F3F"/>
            </w:tcBorders>
            <w:shd w:val="clear" w:color="000000" w:fill="F2F2F2"/>
            <w:noWrap/>
            <w:vAlign w:val="center"/>
            <w:hideMark/>
          </w:tcPr>
          <w:p w14:paraId="79F158AF"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21.22</w:t>
            </w:r>
          </w:p>
        </w:tc>
      </w:tr>
      <w:tr w:rsidR="008F43C0" w:rsidRPr="008F43C0" w14:paraId="0766F73C"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6070245D"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TiO2</w:t>
            </w:r>
          </w:p>
        </w:tc>
        <w:tc>
          <w:tcPr>
            <w:tcW w:w="960" w:type="dxa"/>
            <w:tcBorders>
              <w:top w:val="nil"/>
              <w:left w:val="nil"/>
              <w:bottom w:val="single" w:sz="4" w:space="0" w:color="3F3F3F"/>
              <w:right w:val="single" w:sz="4" w:space="0" w:color="3F3F3F"/>
            </w:tcBorders>
            <w:shd w:val="clear" w:color="000000" w:fill="F2F2F2"/>
            <w:noWrap/>
            <w:vAlign w:val="bottom"/>
            <w:hideMark/>
          </w:tcPr>
          <w:p w14:paraId="492FF646"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1.42</w:t>
            </w:r>
          </w:p>
        </w:tc>
        <w:tc>
          <w:tcPr>
            <w:tcW w:w="960" w:type="dxa"/>
            <w:tcBorders>
              <w:top w:val="nil"/>
              <w:left w:val="nil"/>
              <w:bottom w:val="single" w:sz="4" w:space="0" w:color="3F3F3F"/>
              <w:right w:val="single" w:sz="4" w:space="0" w:color="3F3F3F"/>
            </w:tcBorders>
            <w:shd w:val="clear" w:color="000000" w:fill="F2F2F2"/>
            <w:noWrap/>
            <w:vAlign w:val="center"/>
            <w:hideMark/>
          </w:tcPr>
          <w:p w14:paraId="5007CA3F"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1.47</w:t>
            </w:r>
          </w:p>
        </w:tc>
        <w:tc>
          <w:tcPr>
            <w:tcW w:w="960" w:type="dxa"/>
            <w:tcBorders>
              <w:top w:val="nil"/>
              <w:left w:val="nil"/>
              <w:bottom w:val="single" w:sz="4" w:space="0" w:color="3F3F3F"/>
              <w:right w:val="single" w:sz="4" w:space="0" w:color="3F3F3F"/>
            </w:tcBorders>
            <w:shd w:val="clear" w:color="000000" w:fill="F2F2F2"/>
            <w:noWrap/>
            <w:vAlign w:val="center"/>
            <w:hideMark/>
          </w:tcPr>
          <w:p w14:paraId="55E6C587"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1.37</w:t>
            </w:r>
          </w:p>
        </w:tc>
        <w:tc>
          <w:tcPr>
            <w:tcW w:w="960" w:type="dxa"/>
            <w:tcBorders>
              <w:top w:val="nil"/>
              <w:left w:val="nil"/>
              <w:bottom w:val="single" w:sz="4" w:space="0" w:color="3F3F3F"/>
              <w:right w:val="single" w:sz="4" w:space="0" w:color="3F3F3F"/>
            </w:tcBorders>
            <w:shd w:val="clear" w:color="000000" w:fill="F2F2F2"/>
            <w:noWrap/>
            <w:vAlign w:val="center"/>
            <w:hideMark/>
          </w:tcPr>
          <w:p w14:paraId="1134A27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1.42</w:t>
            </w:r>
          </w:p>
        </w:tc>
        <w:tc>
          <w:tcPr>
            <w:tcW w:w="960" w:type="dxa"/>
            <w:tcBorders>
              <w:top w:val="nil"/>
              <w:left w:val="nil"/>
              <w:bottom w:val="single" w:sz="4" w:space="0" w:color="3F3F3F"/>
              <w:right w:val="single" w:sz="4" w:space="0" w:color="3F3F3F"/>
            </w:tcBorders>
            <w:shd w:val="clear" w:color="000000" w:fill="F2F2F2"/>
            <w:noWrap/>
            <w:vAlign w:val="center"/>
            <w:hideMark/>
          </w:tcPr>
          <w:p w14:paraId="2B4866B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1.41</w:t>
            </w:r>
          </w:p>
        </w:tc>
        <w:tc>
          <w:tcPr>
            <w:tcW w:w="960" w:type="dxa"/>
            <w:tcBorders>
              <w:top w:val="nil"/>
              <w:left w:val="nil"/>
              <w:bottom w:val="single" w:sz="4" w:space="0" w:color="3F3F3F"/>
              <w:right w:val="single" w:sz="4" w:space="0" w:color="3F3F3F"/>
            </w:tcBorders>
            <w:shd w:val="clear" w:color="000000" w:fill="F2F2F2"/>
            <w:noWrap/>
            <w:vAlign w:val="center"/>
            <w:hideMark/>
          </w:tcPr>
          <w:p w14:paraId="13999E5A"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1.37</w:t>
            </w:r>
          </w:p>
        </w:tc>
        <w:tc>
          <w:tcPr>
            <w:tcW w:w="960" w:type="dxa"/>
            <w:tcBorders>
              <w:top w:val="nil"/>
              <w:left w:val="nil"/>
              <w:bottom w:val="single" w:sz="4" w:space="0" w:color="3F3F3F"/>
              <w:right w:val="single" w:sz="4" w:space="0" w:color="3F3F3F"/>
            </w:tcBorders>
            <w:shd w:val="clear" w:color="000000" w:fill="F2F2F2"/>
            <w:noWrap/>
            <w:vAlign w:val="center"/>
            <w:hideMark/>
          </w:tcPr>
          <w:p w14:paraId="075C9FB1"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1.43</w:t>
            </w:r>
          </w:p>
        </w:tc>
      </w:tr>
      <w:tr w:rsidR="008F43C0" w:rsidRPr="008F43C0" w14:paraId="54C1CEAA"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1427798A" w14:textId="77777777" w:rsidR="008F43C0" w:rsidRPr="008F43C0" w:rsidRDefault="008F43C0" w:rsidP="008F43C0">
            <w:pPr>
              <w:spacing w:after="0" w:line="240" w:lineRule="auto"/>
              <w:rPr>
                <w:rFonts w:ascii="Calibri" w:eastAsia="Times New Roman" w:hAnsi="Calibri" w:cs="Calibri"/>
                <w:b/>
                <w:bCs/>
                <w:color w:val="3F3F3F"/>
                <w:lang w:eastAsia="en-GB"/>
              </w:rPr>
            </w:pPr>
            <w:proofErr w:type="spellStart"/>
            <w:r w:rsidRPr="008F43C0">
              <w:rPr>
                <w:rFonts w:ascii="Calibri" w:eastAsia="Times New Roman" w:hAnsi="Calibri" w:cs="Calibri"/>
                <w:b/>
                <w:bCs/>
                <w:color w:val="3F3F3F"/>
                <w:lang w:eastAsia="en-GB"/>
              </w:rPr>
              <w:t>CaO</w:t>
            </w:r>
            <w:proofErr w:type="spellEnd"/>
          </w:p>
        </w:tc>
        <w:tc>
          <w:tcPr>
            <w:tcW w:w="960" w:type="dxa"/>
            <w:tcBorders>
              <w:top w:val="nil"/>
              <w:left w:val="nil"/>
              <w:bottom w:val="single" w:sz="4" w:space="0" w:color="3F3F3F"/>
              <w:right w:val="single" w:sz="4" w:space="0" w:color="3F3F3F"/>
            </w:tcBorders>
            <w:shd w:val="clear" w:color="000000" w:fill="F2F2F2"/>
            <w:noWrap/>
            <w:vAlign w:val="bottom"/>
            <w:hideMark/>
          </w:tcPr>
          <w:p w14:paraId="496E5436"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0.99</w:t>
            </w:r>
          </w:p>
        </w:tc>
        <w:tc>
          <w:tcPr>
            <w:tcW w:w="960" w:type="dxa"/>
            <w:tcBorders>
              <w:top w:val="nil"/>
              <w:left w:val="nil"/>
              <w:bottom w:val="single" w:sz="4" w:space="0" w:color="3F3F3F"/>
              <w:right w:val="single" w:sz="4" w:space="0" w:color="3F3F3F"/>
            </w:tcBorders>
            <w:shd w:val="clear" w:color="000000" w:fill="F2F2F2"/>
            <w:noWrap/>
            <w:vAlign w:val="center"/>
            <w:hideMark/>
          </w:tcPr>
          <w:p w14:paraId="28A1747C"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1.45</w:t>
            </w:r>
          </w:p>
        </w:tc>
        <w:tc>
          <w:tcPr>
            <w:tcW w:w="960" w:type="dxa"/>
            <w:tcBorders>
              <w:top w:val="nil"/>
              <w:left w:val="nil"/>
              <w:bottom w:val="single" w:sz="4" w:space="0" w:color="3F3F3F"/>
              <w:right w:val="single" w:sz="4" w:space="0" w:color="3F3F3F"/>
            </w:tcBorders>
            <w:shd w:val="clear" w:color="000000" w:fill="F2F2F2"/>
            <w:noWrap/>
            <w:vAlign w:val="center"/>
            <w:hideMark/>
          </w:tcPr>
          <w:p w14:paraId="54FE7CDB"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1.75</w:t>
            </w:r>
          </w:p>
        </w:tc>
        <w:tc>
          <w:tcPr>
            <w:tcW w:w="960" w:type="dxa"/>
            <w:tcBorders>
              <w:top w:val="nil"/>
              <w:left w:val="nil"/>
              <w:bottom w:val="single" w:sz="4" w:space="0" w:color="3F3F3F"/>
              <w:right w:val="single" w:sz="4" w:space="0" w:color="3F3F3F"/>
            </w:tcBorders>
            <w:shd w:val="clear" w:color="000000" w:fill="F2F2F2"/>
            <w:noWrap/>
            <w:vAlign w:val="center"/>
            <w:hideMark/>
          </w:tcPr>
          <w:p w14:paraId="4208C62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1.82</w:t>
            </w:r>
          </w:p>
        </w:tc>
        <w:tc>
          <w:tcPr>
            <w:tcW w:w="960" w:type="dxa"/>
            <w:tcBorders>
              <w:top w:val="nil"/>
              <w:left w:val="nil"/>
              <w:bottom w:val="single" w:sz="4" w:space="0" w:color="3F3F3F"/>
              <w:right w:val="single" w:sz="4" w:space="0" w:color="3F3F3F"/>
            </w:tcBorders>
            <w:shd w:val="clear" w:color="000000" w:fill="F2F2F2"/>
            <w:noWrap/>
            <w:vAlign w:val="center"/>
            <w:hideMark/>
          </w:tcPr>
          <w:p w14:paraId="65A6DC3F"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2.74</w:t>
            </w:r>
          </w:p>
        </w:tc>
        <w:tc>
          <w:tcPr>
            <w:tcW w:w="960" w:type="dxa"/>
            <w:tcBorders>
              <w:top w:val="nil"/>
              <w:left w:val="nil"/>
              <w:bottom w:val="single" w:sz="4" w:space="0" w:color="3F3F3F"/>
              <w:right w:val="single" w:sz="4" w:space="0" w:color="3F3F3F"/>
            </w:tcBorders>
            <w:shd w:val="clear" w:color="000000" w:fill="F2F2F2"/>
            <w:noWrap/>
            <w:vAlign w:val="center"/>
            <w:hideMark/>
          </w:tcPr>
          <w:p w14:paraId="4D5C566B"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2.26</w:t>
            </w:r>
          </w:p>
        </w:tc>
        <w:tc>
          <w:tcPr>
            <w:tcW w:w="960" w:type="dxa"/>
            <w:tcBorders>
              <w:top w:val="nil"/>
              <w:left w:val="nil"/>
              <w:bottom w:val="single" w:sz="4" w:space="0" w:color="3F3F3F"/>
              <w:right w:val="single" w:sz="4" w:space="0" w:color="3F3F3F"/>
            </w:tcBorders>
            <w:shd w:val="clear" w:color="000000" w:fill="F2F2F2"/>
            <w:noWrap/>
            <w:vAlign w:val="center"/>
            <w:hideMark/>
          </w:tcPr>
          <w:p w14:paraId="6A6C388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3.11</w:t>
            </w:r>
          </w:p>
        </w:tc>
      </w:tr>
      <w:tr w:rsidR="008F43C0" w:rsidRPr="008F43C0" w14:paraId="26484A59"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2A222301"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MgO</w:t>
            </w:r>
          </w:p>
        </w:tc>
        <w:tc>
          <w:tcPr>
            <w:tcW w:w="960" w:type="dxa"/>
            <w:tcBorders>
              <w:top w:val="nil"/>
              <w:left w:val="nil"/>
              <w:bottom w:val="single" w:sz="4" w:space="0" w:color="3F3F3F"/>
              <w:right w:val="single" w:sz="4" w:space="0" w:color="3F3F3F"/>
            </w:tcBorders>
            <w:shd w:val="clear" w:color="000000" w:fill="F2F2F2"/>
            <w:noWrap/>
            <w:vAlign w:val="bottom"/>
            <w:hideMark/>
          </w:tcPr>
          <w:p w14:paraId="7AA5AFA2"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0.36</w:t>
            </w:r>
          </w:p>
        </w:tc>
        <w:tc>
          <w:tcPr>
            <w:tcW w:w="960" w:type="dxa"/>
            <w:tcBorders>
              <w:top w:val="nil"/>
              <w:left w:val="nil"/>
              <w:bottom w:val="single" w:sz="4" w:space="0" w:color="3F3F3F"/>
              <w:right w:val="single" w:sz="4" w:space="0" w:color="3F3F3F"/>
            </w:tcBorders>
            <w:shd w:val="clear" w:color="000000" w:fill="F2F2F2"/>
            <w:noWrap/>
            <w:vAlign w:val="center"/>
            <w:hideMark/>
          </w:tcPr>
          <w:p w14:paraId="414FC4A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0.41</w:t>
            </w:r>
          </w:p>
        </w:tc>
        <w:tc>
          <w:tcPr>
            <w:tcW w:w="960" w:type="dxa"/>
            <w:tcBorders>
              <w:top w:val="nil"/>
              <w:left w:val="nil"/>
              <w:bottom w:val="single" w:sz="4" w:space="0" w:color="3F3F3F"/>
              <w:right w:val="single" w:sz="4" w:space="0" w:color="3F3F3F"/>
            </w:tcBorders>
            <w:shd w:val="clear" w:color="000000" w:fill="F2F2F2"/>
            <w:noWrap/>
            <w:vAlign w:val="center"/>
            <w:hideMark/>
          </w:tcPr>
          <w:p w14:paraId="2C3701D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0.35</w:t>
            </w:r>
          </w:p>
        </w:tc>
        <w:tc>
          <w:tcPr>
            <w:tcW w:w="960" w:type="dxa"/>
            <w:tcBorders>
              <w:top w:val="nil"/>
              <w:left w:val="nil"/>
              <w:bottom w:val="single" w:sz="4" w:space="0" w:color="3F3F3F"/>
              <w:right w:val="single" w:sz="4" w:space="0" w:color="3F3F3F"/>
            </w:tcBorders>
            <w:shd w:val="clear" w:color="000000" w:fill="F2F2F2"/>
            <w:noWrap/>
            <w:vAlign w:val="center"/>
            <w:hideMark/>
          </w:tcPr>
          <w:p w14:paraId="554DAB0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0.61</w:t>
            </w:r>
          </w:p>
        </w:tc>
        <w:tc>
          <w:tcPr>
            <w:tcW w:w="960" w:type="dxa"/>
            <w:tcBorders>
              <w:top w:val="nil"/>
              <w:left w:val="nil"/>
              <w:bottom w:val="single" w:sz="4" w:space="0" w:color="3F3F3F"/>
              <w:right w:val="single" w:sz="4" w:space="0" w:color="3F3F3F"/>
            </w:tcBorders>
            <w:shd w:val="clear" w:color="000000" w:fill="F2F2F2"/>
            <w:noWrap/>
            <w:vAlign w:val="center"/>
            <w:hideMark/>
          </w:tcPr>
          <w:p w14:paraId="1FA63DC6"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0.38</w:t>
            </w:r>
          </w:p>
        </w:tc>
        <w:tc>
          <w:tcPr>
            <w:tcW w:w="960" w:type="dxa"/>
            <w:tcBorders>
              <w:top w:val="nil"/>
              <w:left w:val="nil"/>
              <w:bottom w:val="single" w:sz="4" w:space="0" w:color="3F3F3F"/>
              <w:right w:val="single" w:sz="4" w:space="0" w:color="3F3F3F"/>
            </w:tcBorders>
            <w:shd w:val="clear" w:color="000000" w:fill="F2F2F2"/>
            <w:noWrap/>
            <w:vAlign w:val="center"/>
            <w:hideMark/>
          </w:tcPr>
          <w:p w14:paraId="479CAACC"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0.42</w:t>
            </w:r>
          </w:p>
        </w:tc>
        <w:tc>
          <w:tcPr>
            <w:tcW w:w="960" w:type="dxa"/>
            <w:tcBorders>
              <w:top w:val="nil"/>
              <w:left w:val="nil"/>
              <w:bottom w:val="single" w:sz="4" w:space="0" w:color="3F3F3F"/>
              <w:right w:val="single" w:sz="4" w:space="0" w:color="3F3F3F"/>
            </w:tcBorders>
            <w:shd w:val="clear" w:color="000000" w:fill="F2F2F2"/>
            <w:noWrap/>
            <w:vAlign w:val="center"/>
            <w:hideMark/>
          </w:tcPr>
          <w:p w14:paraId="60513417"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0.58</w:t>
            </w:r>
          </w:p>
        </w:tc>
      </w:tr>
      <w:tr w:rsidR="008F43C0" w:rsidRPr="008F43C0" w14:paraId="2EF3FBCE"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3E58F2B4" w14:textId="3E1D6335"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Fe</w:t>
            </w:r>
            <w:r w:rsidRPr="00D8745D">
              <w:rPr>
                <w:rFonts w:ascii="Calibri" w:eastAsia="Times New Roman" w:hAnsi="Calibri" w:cs="Calibri"/>
                <w:b/>
                <w:bCs/>
                <w:color w:val="3F3F3F"/>
                <w:vertAlign w:val="subscript"/>
                <w:lang w:eastAsia="en-GB"/>
              </w:rPr>
              <w:t>2</w:t>
            </w:r>
            <w:r w:rsidR="00A56AD8" w:rsidRPr="00A56AD8">
              <w:rPr>
                <w:rFonts w:ascii="Calibri" w:eastAsia="Times New Roman" w:hAnsi="Calibri" w:cs="Calibri"/>
                <w:b/>
                <w:bCs/>
                <w:color w:val="3F3F3F"/>
                <w:lang w:eastAsia="en-GB"/>
              </w:rPr>
              <w:t>O</w:t>
            </w:r>
            <w:r w:rsidRPr="00D8745D">
              <w:rPr>
                <w:rFonts w:ascii="Calibri" w:eastAsia="Times New Roman" w:hAnsi="Calibri" w:cs="Calibri"/>
                <w:b/>
                <w:bCs/>
                <w:color w:val="3F3F3F"/>
                <w:vertAlign w:val="subscript"/>
                <w:lang w:eastAsia="en-GB"/>
              </w:rPr>
              <w:t>3</w:t>
            </w:r>
          </w:p>
        </w:tc>
        <w:tc>
          <w:tcPr>
            <w:tcW w:w="960" w:type="dxa"/>
            <w:tcBorders>
              <w:top w:val="nil"/>
              <w:left w:val="nil"/>
              <w:bottom w:val="single" w:sz="4" w:space="0" w:color="3F3F3F"/>
              <w:right w:val="single" w:sz="4" w:space="0" w:color="3F3F3F"/>
            </w:tcBorders>
            <w:shd w:val="clear" w:color="000000" w:fill="F2F2F2"/>
            <w:noWrap/>
            <w:vAlign w:val="bottom"/>
            <w:hideMark/>
          </w:tcPr>
          <w:p w14:paraId="7563A9F8"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4.55</w:t>
            </w:r>
          </w:p>
        </w:tc>
        <w:tc>
          <w:tcPr>
            <w:tcW w:w="960" w:type="dxa"/>
            <w:tcBorders>
              <w:top w:val="nil"/>
              <w:left w:val="nil"/>
              <w:bottom w:val="single" w:sz="4" w:space="0" w:color="3F3F3F"/>
              <w:right w:val="single" w:sz="4" w:space="0" w:color="3F3F3F"/>
            </w:tcBorders>
            <w:shd w:val="clear" w:color="000000" w:fill="F2F2F2"/>
            <w:noWrap/>
            <w:vAlign w:val="center"/>
            <w:hideMark/>
          </w:tcPr>
          <w:p w14:paraId="0B7C935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5.34</w:t>
            </w:r>
          </w:p>
        </w:tc>
        <w:tc>
          <w:tcPr>
            <w:tcW w:w="960" w:type="dxa"/>
            <w:tcBorders>
              <w:top w:val="nil"/>
              <w:left w:val="nil"/>
              <w:bottom w:val="single" w:sz="4" w:space="0" w:color="3F3F3F"/>
              <w:right w:val="single" w:sz="4" w:space="0" w:color="3F3F3F"/>
            </w:tcBorders>
            <w:shd w:val="clear" w:color="000000" w:fill="F2F2F2"/>
            <w:noWrap/>
            <w:vAlign w:val="center"/>
            <w:hideMark/>
          </w:tcPr>
          <w:p w14:paraId="452D615F"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4.73</w:t>
            </w:r>
          </w:p>
        </w:tc>
        <w:tc>
          <w:tcPr>
            <w:tcW w:w="960" w:type="dxa"/>
            <w:tcBorders>
              <w:top w:val="nil"/>
              <w:left w:val="nil"/>
              <w:bottom w:val="single" w:sz="4" w:space="0" w:color="3F3F3F"/>
              <w:right w:val="single" w:sz="4" w:space="0" w:color="3F3F3F"/>
            </w:tcBorders>
            <w:shd w:val="clear" w:color="000000" w:fill="F2F2F2"/>
            <w:noWrap/>
            <w:vAlign w:val="center"/>
            <w:hideMark/>
          </w:tcPr>
          <w:p w14:paraId="78FD618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6.01</w:t>
            </w:r>
          </w:p>
        </w:tc>
        <w:tc>
          <w:tcPr>
            <w:tcW w:w="960" w:type="dxa"/>
            <w:tcBorders>
              <w:top w:val="nil"/>
              <w:left w:val="nil"/>
              <w:bottom w:val="single" w:sz="4" w:space="0" w:color="3F3F3F"/>
              <w:right w:val="single" w:sz="4" w:space="0" w:color="3F3F3F"/>
            </w:tcBorders>
            <w:shd w:val="clear" w:color="000000" w:fill="F2F2F2"/>
            <w:noWrap/>
            <w:vAlign w:val="center"/>
            <w:hideMark/>
          </w:tcPr>
          <w:p w14:paraId="2B92BCE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10.05</w:t>
            </w:r>
          </w:p>
        </w:tc>
        <w:tc>
          <w:tcPr>
            <w:tcW w:w="960" w:type="dxa"/>
            <w:tcBorders>
              <w:top w:val="nil"/>
              <w:left w:val="nil"/>
              <w:bottom w:val="single" w:sz="4" w:space="0" w:color="3F3F3F"/>
              <w:right w:val="single" w:sz="4" w:space="0" w:color="3F3F3F"/>
            </w:tcBorders>
            <w:shd w:val="clear" w:color="000000" w:fill="F2F2F2"/>
            <w:noWrap/>
            <w:vAlign w:val="center"/>
            <w:hideMark/>
          </w:tcPr>
          <w:p w14:paraId="37669DF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9.56</w:t>
            </w:r>
          </w:p>
        </w:tc>
        <w:tc>
          <w:tcPr>
            <w:tcW w:w="960" w:type="dxa"/>
            <w:tcBorders>
              <w:top w:val="nil"/>
              <w:left w:val="nil"/>
              <w:bottom w:val="single" w:sz="4" w:space="0" w:color="3F3F3F"/>
              <w:right w:val="single" w:sz="4" w:space="0" w:color="3F3F3F"/>
            </w:tcBorders>
            <w:shd w:val="clear" w:color="000000" w:fill="F2F2F2"/>
            <w:noWrap/>
            <w:vAlign w:val="center"/>
            <w:hideMark/>
          </w:tcPr>
          <w:p w14:paraId="76C6428C"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10.58</w:t>
            </w:r>
          </w:p>
        </w:tc>
      </w:tr>
      <w:tr w:rsidR="008F43C0" w:rsidRPr="008F43C0" w14:paraId="0C11463A"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610FECEB" w14:textId="17A24876"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P</w:t>
            </w:r>
            <w:r w:rsidR="00D8745D" w:rsidRPr="00A56AD8">
              <w:rPr>
                <w:rFonts w:ascii="Calibri" w:eastAsia="Times New Roman" w:hAnsi="Calibri" w:cs="Calibri"/>
                <w:b/>
                <w:bCs/>
                <w:color w:val="3F3F3F"/>
                <w:vertAlign w:val="subscript"/>
                <w:lang w:eastAsia="en-GB"/>
              </w:rPr>
              <w:t>2</w:t>
            </w:r>
            <w:r w:rsidR="00D8745D">
              <w:rPr>
                <w:rFonts w:ascii="Calibri" w:eastAsia="Times New Roman" w:hAnsi="Calibri" w:cs="Calibri"/>
                <w:b/>
                <w:bCs/>
                <w:color w:val="3F3F3F"/>
                <w:lang w:eastAsia="en-GB"/>
              </w:rPr>
              <w:t>O</w:t>
            </w:r>
            <w:r w:rsidR="00D8745D" w:rsidRPr="00A56AD8">
              <w:rPr>
                <w:rFonts w:ascii="Calibri" w:eastAsia="Times New Roman" w:hAnsi="Calibri" w:cs="Calibri"/>
                <w:b/>
                <w:bCs/>
                <w:color w:val="3F3F3F"/>
                <w:vertAlign w:val="subscript"/>
                <w:lang w:eastAsia="en-GB"/>
              </w:rPr>
              <w:t>5</w:t>
            </w:r>
          </w:p>
        </w:tc>
        <w:tc>
          <w:tcPr>
            <w:tcW w:w="960" w:type="dxa"/>
            <w:tcBorders>
              <w:top w:val="nil"/>
              <w:left w:val="nil"/>
              <w:bottom w:val="single" w:sz="4" w:space="0" w:color="3F3F3F"/>
              <w:right w:val="single" w:sz="4" w:space="0" w:color="3F3F3F"/>
            </w:tcBorders>
            <w:shd w:val="clear" w:color="000000" w:fill="F2F2F2"/>
            <w:noWrap/>
            <w:vAlign w:val="bottom"/>
            <w:hideMark/>
          </w:tcPr>
          <w:p w14:paraId="3B00E078"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0.018</w:t>
            </w:r>
          </w:p>
        </w:tc>
        <w:tc>
          <w:tcPr>
            <w:tcW w:w="960" w:type="dxa"/>
            <w:tcBorders>
              <w:top w:val="nil"/>
              <w:left w:val="nil"/>
              <w:bottom w:val="single" w:sz="4" w:space="0" w:color="3F3F3F"/>
              <w:right w:val="single" w:sz="4" w:space="0" w:color="3F3F3F"/>
            </w:tcBorders>
            <w:shd w:val="clear" w:color="000000" w:fill="F2F2F2"/>
            <w:noWrap/>
            <w:vAlign w:val="center"/>
            <w:hideMark/>
          </w:tcPr>
          <w:p w14:paraId="2BB0210E"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0.021</w:t>
            </w:r>
          </w:p>
        </w:tc>
        <w:tc>
          <w:tcPr>
            <w:tcW w:w="960" w:type="dxa"/>
            <w:tcBorders>
              <w:top w:val="nil"/>
              <w:left w:val="nil"/>
              <w:bottom w:val="single" w:sz="4" w:space="0" w:color="3F3F3F"/>
              <w:right w:val="single" w:sz="4" w:space="0" w:color="3F3F3F"/>
            </w:tcBorders>
            <w:shd w:val="clear" w:color="000000" w:fill="F2F2F2"/>
            <w:noWrap/>
            <w:vAlign w:val="center"/>
            <w:hideMark/>
          </w:tcPr>
          <w:p w14:paraId="1EF0D82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0.019</w:t>
            </w:r>
          </w:p>
        </w:tc>
        <w:tc>
          <w:tcPr>
            <w:tcW w:w="960" w:type="dxa"/>
            <w:tcBorders>
              <w:top w:val="nil"/>
              <w:left w:val="nil"/>
              <w:bottom w:val="single" w:sz="4" w:space="0" w:color="3F3F3F"/>
              <w:right w:val="single" w:sz="4" w:space="0" w:color="3F3F3F"/>
            </w:tcBorders>
            <w:shd w:val="clear" w:color="000000" w:fill="F2F2F2"/>
            <w:noWrap/>
            <w:vAlign w:val="center"/>
            <w:hideMark/>
          </w:tcPr>
          <w:p w14:paraId="18A1F1C5"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0.021</w:t>
            </w:r>
          </w:p>
        </w:tc>
        <w:tc>
          <w:tcPr>
            <w:tcW w:w="960" w:type="dxa"/>
            <w:tcBorders>
              <w:top w:val="nil"/>
              <w:left w:val="nil"/>
              <w:bottom w:val="single" w:sz="4" w:space="0" w:color="3F3F3F"/>
              <w:right w:val="single" w:sz="4" w:space="0" w:color="3F3F3F"/>
            </w:tcBorders>
            <w:shd w:val="clear" w:color="000000" w:fill="F2F2F2"/>
            <w:noWrap/>
            <w:vAlign w:val="center"/>
            <w:hideMark/>
          </w:tcPr>
          <w:p w14:paraId="17C4C79E"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0.021</w:t>
            </w:r>
          </w:p>
        </w:tc>
        <w:tc>
          <w:tcPr>
            <w:tcW w:w="960" w:type="dxa"/>
            <w:tcBorders>
              <w:top w:val="nil"/>
              <w:left w:val="nil"/>
              <w:bottom w:val="single" w:sz="4" w:space="0" w:color="3F3F3F"/>
              <w:right w:val="single" w:sz="4" w:space="0" w:color="3F3F3F"/>
            </w:tcBorders>
            <w:shd w:val="clear" w:color="000000" w:fill="F2F2F2"/>
            <w:noWrap/>
            <w:vAlign w:val="center"/>
            <w:hideMark/>
          </w:tcPr>
          <w:p w14:paraId="732AC2F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0.021</w:t>
            </w:r>
          </w:p>
        </w:tc>
        <w:tc>
          <w:tcPr>
            <w:tcW w:w="960" w:type="dxa"/>
            <w:tcBorders>
              <w:top w:val="nil"/>
              <w:left w:val="nil"/>
              <w:bottom w:val="single" w:sz="4" w:space="0" w:color="3F3F3F"/>
              <w:right w:val="single" w:sz="4" w:space="0" w:color="3F3F3F"/>
            </w:tcBorders>
            <w:shd w:val="clear" w:color="000000" w:fill="F2F2F2"/>
            <w:noWrap/>
            <w:vAlign w:val="center"/>
            <w:hideMark/>
          </w:tcPr>
          <w:p w14:paraId="4A85DA37"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0.03</w:t>
            </w:r>
          </w:p>
        </w:tc>
      </w:tr>
      <w:tr w:rsidR="008F43C0" w:rsidRPr="008F43C0" w14:paraId="68B3B965"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0DBFD52C"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Na</w:t>
            </w:r>
            <w:r w:rsidRPr="00A56AD8">
              <w:rPr>
                <w:rFonts w:ascii="Calibri" w:eastAsia="Times New Roman" w:hAnsi="Calibri" w:cs="Calibri"/>
                <w:b/>
                <w:bCs/>
                <w:color w:val="3F3F3F"/>
                <w:vertAlign w:val="subscript"/>
                <w:lang w:eastAsia="en-GB"/>
              </w:rPr>
              <w:t>2</w:t>
            </w:r>
            <w:r w:rsidRPr="008F43C0">
              <w:rPr>
                <w:rFonts w:ascii="Calibri" w:eastAsia="Times New Roman" w:hAnsi="Calibri" w:cs="Calibri"/>
                <w:b/>
                <w:bCs/>
                <w:color w:val="3F3F3F"/>
                <w:lang w:eastAsia="en-GB"/>
              </w:rPr>
              <w:t>O</w:t>
            </w:r>
          </w:p>
        </w:tc>
        <w:tc>
          <w:tcPr>
            <w:tcW w:w="960" w:type="dxa"/>
            <w:tcBorders>
              <w:top w:val="nil"/>
              <w:left w:val="nil"/>
              <w:bottom w:val="single" w:sz="4" w:space="0" w:color="3F3F3F"/>
              <w:right w:val="single" w:sz="4" w:space="0" w:color="3F3F3F"/>
            </w:tcBorders>
            <w:shd w:val="clear" w:color="000000" w:fill="F2F2F2"/>
            <w:noWrap/>
            <w:vAlign w:val="bottom"/>
            <w:hideMark/>
          </w:tcPr>
          <w:p w14:paraId="1361B202"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0.453</w:t>
            </w:r>
          </w:p>
        </w:tc>
        <w:tc>
          <w:tcPr>
            <w:tcW w:w="960" w:type="dxa"/>
            <w:tcBorders>
              <w:top w:val="nil"/>
              <w:left w:val="nil"/>
              <w:bottom w:val="single" w:sz="4" w:space="0" w:color="3F3F3F"/>
              <w:right w:val="single" w:sz="4" w:space="0" w:color="3F3F3F"/>
            </w:tcBorders>
            <w:shd w:val="clear" w:color="000000" w:fill="F2F2F2"/>
            <w:noWrap/>
            <w:vAlign w:val="center"/>
            <w:hideMark/>
          </w:tcPr>
          <w:p w14:paraId="25F6B2F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0.477</w:t>
            </w:r>
          </w:p>
        </w:tc>
        <w:tc>
          <w:tcPr>
            <w:tcW w:w="960" w:type="dxa"/>
            <w:tcBorders>
              <w:top w:val="nil"/>
              <w:left w:val="nil"/>
              <w:bottom w:val="single" w:sz="4" w:space="0" w:color="3F3F3F"/>
              <w:right w:val="single" w:sz="4" w:space="0" w:color="3F3F3F"/>
            </w:tcBorders>
            <w:shd w:val="clear" w:color="000000" w:fill="F2F2F2"/>
            <w:noWrap/>
            <w:vAlign w:val="center"/>
            <w:hideMark/>
          </w:tcPr>
          <w:p w14:paraId="043CAF6F"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0.453</w:t>
            </w:r>
          </w:p>
        </w:tc>
        <w:tc>
          <w:tcPr>
            <w:tcW w:w="960" w:type="dxa"/>
            <w:tcBorders>
              <w:top w:val="nil"/>
              <w:left w:val="nil"/>
              <w:bottom w:val="single" w:sz="4" w:space="0" w:color="3F3F3F"/>
              <w:right w:val="single" w:sz="4" w:space="0" w:color="3F3F3F"/>
            </w:tcBorders>
            <w:shd w:val="clear" w:color="000000" w:fill="F2F2F2"/>
            <w:noWrap/>
            <w:vAlign w:val="center"/>
            <w:hideMark/>
          </w:tcPr>
          <w:p w14:paraId="2722F8E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0.446</w:t>
            </w:r>
          </w:p>
        </w:tc>
        <w:tc>
          <w:tcPr>
            <w:tcW w:w="960" w:type="dxa"/>
            <w:tcBorders>
              <w:top w:val="nil"/>
              <w:left w:val="nil"/>
              <w:bottom w:val="single" w:sz="4" w:space="0" w:color="3F3F3F"/>
              <w:right w:val="single" w:sz="4" w:space="0" w:color="3F3F3F"/>
            </w:tcBorders>
            <w:shd w:val="clear" w:color="000000" w:fill="F2F2F2"/>
            <w:noWrap/>
            <w:vAlign w:val="center"/>
            <w:hideMark/>
          </w:tcPr>
          <w:p w14:paraId="03B3D658"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0.383</w:t>
            </w:r>
          </w:p>
        </w:tc>
        <w:tc>
          <w:tcPr>
            <w:tcW w:w="960" w:type="dxa"/>
            <w:tcBorders>
              <w:top w:val="nil"/>
              <w:left w:val="nil"/>
              <w:bottom w:val="single" w:sz="4" w:space="0" w:color="3F3F3F"/>
              <w:right w:val="single" w:sz="4" w:space="0" w:color="3F3F3F"/>
            </w:tcBorders>
            <w:shd w:val="clear" w:color="000000" w:fill="F2F2F2"/>
            <w:noWrap/>
            <w:vAlign w:val="center"/>
            <w:hideMark/>
          </w:tcPr>
          <w:p w14:paraId="25329D5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0.427</w:t>
            </w:r>
          </w:p>
        </w:tc>
        <w:tc>
          <w:tcPr>
            <w:tcW w:w="960" w:type="dxa"/>
            <w:tcBorders>
              <w:top w:val="nil"/>
              <w:left w:val="nil"/>
              <w:bottom w:val="single" w:sz="4" w:space="0" w:color="3F3F3F"/>
              <w:right w:val="single" w:sz="4" w:space="0" w:color="3F3F3F"/>
            </w:tcBorders>
            <w:shd w:val="clear" w:color="000000" w:fill="F2F2F2"/>
            <w:noWrap/>
            <w:vAlign w:val="center"/>
            <w:hideMark/>
          </w:tcPr>
          <w:p w14:paraId="21CA4B3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0.409</w:t>
            </w:r>
          </w:p>
        </w:tc>
      </w:tr>
      <w:tr w:rsidR="008F43C0" w:rsidRPr="008F43C0" w14:paraId="315A4661"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51DC37AC" w14:textId="77777777"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K</w:t>
            </w:r>
            <w:r w:rsidRPr="00A56AD8">
              <w:rPr>
                <w:rFonts w:ascii="Calibri" w:eastAsia="Times New Roman" w:hAnsi="Calibri" w:cs="Calibri"/>
                <w:b/>
                <w:bCs/>
                <w:color w:val="3F3F3F"/>
                <w:vertAlign w:val="subscript"/>
                <w:lang w:eastAsia="en-GB"/>
              </w:rPr>
              <w:t>2</w:t>
            </w:r>
            <w:r w:rsidRPr="008F43C0">
              <w:rPr>
                <w:rFonts w:ascii="Calibri" w:eastAsia="Times New Roman" w:hAnsi="Calibri" w:cs="Calibri"/>
                <w:b/>
                <w:bCs/>
                <w:color w:val="3F3F3F"/>
                <w:lang w:eastAsia="en-GB"/>
              </w:rPr>
              <w:t>O</w:t>
            </w:r>
          </w:p>
        </w:tc>
        <w:tc>
          <w:tcPr>
            <w:tcW w:w="960" w:type="dxa"/>
            <w:tcBorders>
              <w:top w:val="nil"/>
              <w:left w:val="nil"/>
              <w:bottom w:val="single" w:sz="4" w:space="0" w:color="3F3F3F"/>
              <w:right w:val="single" w:sz="4" w:space="0" w:color="3F3F3F"/>
            </w:tcBorders>
            <w:shd w:val="clear" w:color="000000" w:fill="F2F2F2"/>
            <w:noWrap/>
            <w:vAlign w:val="bottom"/>
            <w:hideMark/>
          </w:tcPr>
          <w:p w14:paraId="0850B57A"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0.726</w:t>
            </w:r>
          </w:p>
        </w:tc>
        <w:tc>
          <w:tcPr>
            <w:tcW w:w="960" w:type="dxa"/>
            <w:tcBorders>
              <w:top w:val="nil"/>
              <w:left w:val="nil"/>
              <w:bottom w:val="single" w:sz="4" w:space="0" w:color="3F3F3F"/>
              <w:right w:val="single" w:sz="4" w:space="0" w:color="3F3F3F"/>
            </w:tcBorders>
            <w:shd w:val="clear" w:color="000000" w:fill="F2F2F2"/>
            <w:noWrap/>
            <w:vAlign w:val="center"/>
            <w:hideMark/>
          </w:tcPr>
          <w:p w14:paraId="1B4EC3B1"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0.793</w:t>
            </w:r>
          </w:p>
        </w:tc>
        <w:tc>
          <w:tcPr>
            <w:tcW w:w="960" w:type="dxa"/>
            <w:tcBorders>
              <w:top w:val="nil"/>
              <w:left w:val="nil"/>
              <w:bottom w:val="single" w:sz="4" w:space="0" w:color="3F3F3F"/>
              <w:right w:val="single" w:sz="4" w:space="0" w:color="3F3F3F"/>
            </w:tcBorders>
            <w:shd w:val="clear" w:color="000000" w:fill="F2F2F2"/>
            <w:noWrap/>
            <w:vAlign w:val="center"/>
            <w:hideMark/>
          </w:tcPr>
          <w:p w14:paraId="37B623E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0.853</w:t>
            </w:r>
          </w:p>
        </w:tc>
        <w:tc>
          <w:tcPr>
            <w:tcW w:w="960" w:type="dxa"/>
            <w:tcBorders>
              <w:top w:val="nil"/>
              <w:left w:val="nil"/>
              <w:bottom w:val="single" w:sz="4" w:space="0" w:color="3F3F3F"/>
              <w:right w:val="single" w:sz="4" w:space="0" w:color="3F3F3F"/>
            </w:tcBorders>
            <w:shd w:val="clear" w:color="000000" w:fill="F2F2F2"/>
            <w:noWrap/>
            <w:vAlign w:val="center"/>
            <w:hideMark/>
          </w:tcPr>
          <w:p w14:paraId="618B72FC"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0.848</w:t>
            </w:r>
          </w:p>
        </w:tc>
        <w:tc>
          <w:tcPr>
            <w:tcW w:w="960" w:type="dxa"/>
            <w:tcBorders>
              <w:top w:val="nil"/>
              <w:left w:val="nil"/>
              <w:bottom w:val="single" w:sz="4" w:space="0" w:color="3F3F3F"/>
              <w:right w:val="single" w:sz="4" w:space="0" w:color="3F3F3F"/>
            </w:tcBorders>
            <w:shd w:val="clear" w:color="000000" w:fill="F2F2F2"/>
            <w:noWrap/>
            <w:vAlign w:val="center"/>
            <w:hideMark/>
          </w:tcPr>
          <w:p w14:paraId="3DC71E3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0.856</w:t>
            </w:r>
          </w:p>
        </w:tc>
        <w:tc>
          <w:tcPr>
            <w:tcW w:w="960" w:type="dxa"/>
            <w:tcBorders>
              <w:top w:val="nil"/>
              <w:left w:val="nil"/>
              <w:bottom w:val="single" w:sz="4" w:space="0" w:color="3F3F3F"/>
              <w:right w:val="single" w:sz="4" w:space="0" w:color="3F3F3F"/>
            </w:tcBorders>
            <w:shd w:val="clear" w:color="000000" w:fill="F2F2F2"/>
            <w:noWrap/>
            <w:vAlign w:val="center"/>
            <w:hideMark/>
          </w:tcPr>
          <w:p w14:paraId="1ADFEB3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0.892</w:t>
            </w:r>
          </w:p>
        </w:tc>
        <w:tc>
          <w:tcPr>
            <w:tcW w:w="960" w:type="dxa"/>
            <w:tcBorders>
              <w:top w:val="nil"/>
              <w:left w:val="nil"/>
              <w:bottom w:val="single" w:sz="4" w:space="0" w:color="3F3F3F"/>
              <w:right w:val="single" w:sz="4" w:space="0" w:color="3F3F3F"/>
            </w:tcBorders>
            <w:shd w:val="clear" w:color="000000" w:fill="F2F2F2"/>
            <w:noWrap/>
            <w:vAlign w:val="center"/>
            <w:hideMark/>
          </w:tcPr>
          <w:p w14:paraId="1B4E994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1.175</w:t>
            </w:r>
          </w:p>
        </w:tc>
      </w:tr>
      <w:tr w:rsidR="008F43C0" w:rsidRPr="008F43C0" w14:paraId="57AE05F7"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6F4AC310" w14:textId="07871780"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Zn</w:t>
            </w:r>
          </w:p>
        </w:tc>
        <w:tc>
          <w:tcPr>
            <w:tcW w:w="960" w:type="dxa"/>
            <w:tcBorders>
              <w:top w:val="nil"/>
              <w:left w:val="nil"/>
              <w:bottom w:val="single" w:sz="4" w:space="0" w:color="3F3F3F"/>
              <w:right w:val="single" w:sz="4" w:space="0" w:color="3F3F3F"/>
            </w:tcBorders>
            <w:shd w:val="clear" w:color="000000" w:fill="F2F2F2"/>
            <w:noWrap/>
            <w:vAlign w:val="bottom"/>
            <w:hideMark/>
          </w:tcPr>
          <w:p w14:paraId="222A3620"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0.014</w:t>
            </w:r>
          </w:p>
        </w:tc>
        <w:tc>
          <w:tcPr>
            <w:tcW w:w="960" w:type="dxa"/>
            <w:tcBorders>
              <w:top w:val="nil"/>
              <w:left w:val="nil"/>
              <w:bottom w:val="single" w:sz="4" w:space="0" w:color="3F3F3F"/>
              <w:right w:val="single" w:sz="4" w:space="0" w:color="3F3F3F"/>
            </w:tcBorders>
            <w:shd w:val="clear" w:color="000000" w:fill="F2F2F2"/>
            <w:noWrap/>
            <w:vAlign w:val="center"/>
            <w:hideMark/>
          </w:tcPr>
          <w:p w14:paraId="486B2019"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0.012</w:t>
            </w:r>
          </w:p>
        </w:tc>
        <w:tc>
          <w:tcPr>
            <w:tcW w:w="960" w:type="dxa"/>
            <w:tcBorders>
              <w:top w:val="nil"/>
              <w:left w:val="nil"/>
              <w:bottom w:val="single" w:sz="4" w:space="0" w:color="3F3F3F"/>
              <w:right w:val="single" w:sz="4" w:space="0" w:color="3F3F3F"/>
            </w:tcBorders>
            <w:shd w:val="clear" w:color="000000" w:fill="F2F2F2"/>
            <w:noWrap/>
            <w:vAlign w:val="center"/>
            <w:hideMark/>
          </w:tcPr>
          <w:p w14:paraId="50BB3AF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0.011</w:t>
            </w:r>
          </w:p>
        </w:tc>
        <w:tc>
          <w:tcPr>
            <w:tcW w:w="960" w:type="dxa"/>
            <w:tcBorders>
              <w:top w:val="nil"/>
              <w:left w:val="nil"/>
              <w:bottom w:val="single" w:sz="4" w:space="0" w:color="3F3F3F"/>
              <w:right w:val="single" w:sz="4" w:space="0" w:color="3F3F3F"/>
            </w:tcBorders>
            <w:shd w:val="clear" w:color="000000" w:fill="F2F2F2"/>
            <w:noWrap/>
            <w:vAlign w:val="center"/>
            <w:hideMark/>
          </w:tcPr>
          <w:p w14:paraId="39D123EA"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0.014</w:t>
            </w:r>
          </w:p>
        </w:tc>
        <w:tc>
          <w:tcPr>
            <w:tcW w:w="960" w:type="dxa"/>
            <w:tcBorders>
              <w:top w:val="nil"/>
              <w:left w:val="nil"/>
              <w:bottom w:val="single" w:sz="4" w:space="0" w:color="3F3F3F"/>
              <w:right w:val="single" w:sz="4" w:space="0" w:color="3F3F3F"/>
            </w:tcBorders>
            <w:shd w:val="clear" w:color="000000" w:fill="F2F2F2"/>
            <w:noWrap/>
            <w:vAlign w:val="center"/>
            <w:hideMark/>
          </w:tcPr>
          <w:p w14:paraId="275BA538"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0.012</w:t>
            </w:r>
          </w:p>
        </w:tc>
        <w:tc>
          <w:tcPr>
            <w:tcW w:w="960" w:type="dxa"/>
            <w:tcBorders>
              <w:top w:val="nil"/>
              <w:left w:val="nil"/>
              <w:bottom w:val="single" w:sz="4" w:space="0" w:color="3F3F3F"/>
              <w:right w:val="single" w:sz="4" w:space="0" w:color="3F3F3F"/>
            </w:tcBorders>
            <w:shd w:val="clear" w:color="000000" w:fill="F2F2F2"/>
            <w:noWrap/>
            <w:vAlign w:val="center"/>
            <w:hideMark/>
          </w:tcPr>
          <w:p w14:paraId="01DE2DB0"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0.013</w:t>
            </w:r>
          </w:p>
        </w:tc>
        <w:tc>
          <w:tcPr>
            <w:tcW w:w="960" w:type="dxa"/>
            <w:tcBorders>
              <w:top w:val="nil"/>
              <w:left w:val="nil"/>
              <w:bottom w:val="single" w:sz="4" w:space="0" w:color="3F3F3F"/>
              <w:right w:val="single" w:sz="4" w:space="0" w:color="3F3F3F"/>
            </w:tcBorders>
            <w:shd w:val="clear" w:color="000000" w:fill="F2F2F2"/>
            <w:noWrap/>
            <w:vAlign w:val="center"/>
            <w:hideMark/>
          </w:tcPr>
          <w:p w14:paraId="438B7255"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0.019</w:t>
            </w:r>
          </w:p>
        </w:tc>
      </w:tr>
      <w:tr w:rsidR="008F43C0" w:rsidRPr="008F43C0" w14:paraId="2651AEA4" w14:textId="77777777" w:rsidTr="008F43C0">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14:paraId="4A27B277" w14:textId="6901DCF8" w:rsidR="008F43C0" w:rsidRPr="008F43C0" w:rsidRDefault="008F43C0" w:rsidP="008F43C0">
            <w:pPr>
              <w:spacing w:after="0" w:line="240" w:lineRule="auto"/>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CU</w:t>
            </w:r>
          </w:p>
        </w:tc>
        <w:tc>
          <w:tcPr>
            <w:tcW w:w="960" w:type="dxa"/>
            <w:tcBorders>
              <w:top w:val="nil"/>
              <w:left w:val="nil"/>
              <w:bottom w:val="single" w:sz="4" w:space="0" w:color="3F3F3F"/>
              <w:right w:val="single" w:sz="4" w:space="0" w:color="3F3F3F"/>
            </w:tcBorders>
            <w:shd w:val="clear" w:color="000000" w:fill="F2F2F2"/>
            <w:noWrap/>
            <w:vAlign w:val="bottom"/>
            <w:hideMark/>
          </w:tcPr>
          <w:p w14:paraId="6FF661FC" w14:textId="77777777" w:rsidR="008F43C0" w:rsidRPr="008F43C0" w:rsidRDefault="008F43C0" w:rsidP="008F43C0">
            <w:pPr>
              <w:spacing w:after="0" w:line="240" w:lineRule="auto"/>
              <w:jc w:val="right"/>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0.015</w:t>
            </w:r>
          </w:p>
        </w:tc>
        <w:tc>
          <w:tcPr>
            <w:tcW w:w="960" w:type="dxa"/>
            <w:tcBorders>
              <w:top w:val="nil"/>
              <w:left w:val="nil"/>
              <w:bottom w:val="single" w:sz="4" w:space="0" w:color="3F3F3F"/>
              <w:right w:val="single" w:sz="4" w:space="0" w:color="3F3F3F"/>
            </w:tcBorders>
            <w:shd w:val="clear" w:color="000000" w:fill="F2F2F2"/>
            <w:noWrap/>
            <w:vAlign w:val="center"/>
            <w:hideMark/>
          </w:tcPr>
          <w:p w14:paraId="5A19E9D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0.016</w:t>
            </w:r>
          </w:p>
        </w:tc>
        <w:tc>
          <w:tcPr>
            <w:tcW w:w="960" w:type="dxa"/>
            <w:tcBorders>
              <w:top w:val="nil"/>
              <w:left w:val="nil"/>
              <w:bottom w:val="single" w:sz="4" w:space="0" w:color="3F3F3F"/>
              <w:right w:val="single" w:sz="4" w:space="0" w:color="3F3F3F"/>
            </w:tcBorders>
            <w:shd w:val="clear" w:color="000000" w:fill="F2F2F2"/>
            <w:noWrap/>
            <w:vAlign w:val="center"/>
            <w:hideMark/>
          </w:tcPr>
          <w:p w14:paraId="2F2BFF12"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0.014</w:t>
            </w:r>
          </w:p>
        </w:tc>
        <w:tc>
          <w:tcPr>
            <w:tcW w:w="960" w:type="dxa"/>
            <w:tcBorders>
              <w:top w:val="nil"/>
              <w:left w:val="nil"/>
              <w:bottom w:val="single" w:sz="4" w:space="0" w:color="3F3F3F"/>
              <w:right w:val="single" w:sz="4" w:space="0" w:color="3F3F3F"/>
            </w:tcBorders>
            <w:shd w:val="clear" w:color="000000" w:fill="F2F2F2"/>
            <w:noWrap/>
            <w:vAlign w:val="center"/>
            <w:hideMark/>
          </w:tcPr>
          <w:p w14:paraId="45E530F4"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0.015</w:t>
            </w:r>
          </w:p>
        </w:tc>
        <w:tc>
          <w:tcPr>
            <w:tcW w:w="960" w:type="dxa"/>
            <w:tcBorders>
              <w:top w:val="nil"/>
              <w:left w:val="nil"/>
              <w:bottom w:val="single" w:sz="4" w:space="0" w:color="3F3F3F"/>
              <w:right w:val="single" w:sz="4" w:space="0" w:color="3F3F3F"/>
            </w:tcBorders>
            <w:shd w:val="clear" w:color="000000" w:fill="F2F2F2"/>
            <w:noWrap/>
            <w:vAlign w:val="center"/>
            <w:hideMark/>
          </w:tcPr>
          <w:p w14:paraId="0493CB33"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0.015</w:t>
            </w:r>
          </w:p>
        </w:tc>
        <w:tc>
          <w:tcPr>
            <w:tcW w:w="960" w:type="dxa"/>
            <w:tcBorders>
              <w:top w:val="nil"/>
              <w:left w:val="nil"/>
              <w:bottom w:val="single" w:sz="4" w:space="0" w:color="3F3F3F"/>
              <w:right w:val="single" w:sz="4" w:space="0" w:color="3F3F3F"/>
            </w:tcBorders>
            <w:shd w:val="clear" w:color="000000" w:fill="F2F2F2"/>
            <w:noWrap/>
            <w:vAlign w:val="center"/>
            <w:hideMark/>
          </w:tcPr>
          <w:p w14:paraId="34E70CBD"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0.015</w:t>
            </w:r>
          </w:p>
        </w:tc>
        <w:tc>
          <w:tcPr>
            <w:tcW w:w="960" w:type="dxa"/>
            <w:tcBorders>
              <w:top w:val="nil"/>
              <w:left w:val="nil"/>
              <w:bottom w:val="single" w:sz="4" w:space="0" w:color="3F3F3F"/>
              <w:right w:val="single" w:sz="4" w:space="0" w:color="3F3F3F"/>
            </w:tcBorders>
            <w:shd w:val="clear" w:color="000000" w:fill="F2F2F2"/>
            <w:noWrap/>
            <w:vAlign w:val="center"/>
            <w:hideMark/>
          </w:tcPr>
          <w:p w14:paraId="1EE084C1" w14:textId="77777777" w:rsidR="008F43C0" w:rsidRPr="008F43C0" w:rsidRDefault="008F43C0" w:rsidP="008F43C0">
            <w:pPr>
              <w:spacing w:after="0" w:line="240" w:lineRule="auto"/>
              <w:jc w:val="center"/>
              <w:rPr>
                <w:rFonts w:ascii="Calibri" w:eastAsia="Times New Roman" w:hAnsi="Calibri" w:cs="Calibri"/>
                <w:b/>
                <w:bCs/>
                <w:color w:val="3F3F3F"/>
                <w:lang w:eastAsia="en-GB"/>
              </w:rPr>
            </w:pPr>
            <w:r w:rsidRPr="008F43C0">
              <w:rPr>
                <w:rFonts w:ascii="Calibri" w:eastAsia="Times New Roman" w:hAnsi="Calibri" w:cs="Calibri"/>
                <w:b/>
                <w:bCs/>
                <w:color w:val="3F3F3F"/>
                <w:lang w:eastAsia="en-GB"/>
              </w:rPr>
              <w:t>0.017</w:t>
            </w:r>
          </w:p>
        </w:tc>
      </w:tr>
    </w:tbl>
    <w:p w14:paraId="137A2008" w14:textId="77777777" w:rsidR="00C463AC" w:rsidRDefault="00C463AC" w:rsidP="00C463AC">
      <w:pPr>
        <w:spacing w:line="360" w:lineRule="auto"/>
        <w:jc w:val="both"/>
      </w:pPr>
    </w:p>
    <w:p w14:paraId="2939156D" w14:textId="7F781AE5" w:rsidR="00806E7D" w:rsidRPr="00806E7D" w:rsidRDefault="00FD5C1D" w:rsidP="00FA6183">
      <w:pPr>
        <w:spacing w:line="360" w:lineRule="auto"/>
        <w:jc w:val="both"/>
        <w:rPr>
          <w:rFonts w:eastAsiaTheme="minorEastAsia"/>
        </w:rPr>
      </w:pPr>
      <w:r>
        <w:t>There</w:t>
      </w:r>
      <w:r w:rsidR="00865E68">
        <w:t xml:space="preserve"> is a</w:t>
      </w:r>
      <w:r w:rsidR="004A1DCF">
        <w:t>n</w:t>
      </w:r>
      <w:r w:rsidR="00865E68">
        <w:t xml:space="preserve"> increase in </w:t>
      </w:r>
      <w:r w:rsidR="005408BF">
        <w:t>the alkali metal</w:t>
      </w:r>
      <w:r w:rsidR="004A1DCF">
        <w:t xml:space="preserve"> oxide</w:t>
      </w:r>
      <w:r w:rsidR="00806E7D">
        <w:t>,</w:t>
      </w:r>
      <w:r w:rsidR="004A1DCF">
        <w:t xml:space="preserve"> </w:t>
      </w:r>
      <w:r w:rsidR="005B2726">
        <w:t>potassium</w:t>
      </w:r>
      <w:r w:rsidR="003D5C98">
        <w:t>,</w:t>
      </w:r>
      <w:r w:rsidR="005B2726">
        <w:t xml:space="preserve"> an increase in the alkaline metal</w:t>
      </w:r>
      <w:r w:rsidR="00FA6183">
        <w:t>s</w:t>
      </w:r>
      <w:r>
        <w:t>,</w:t>
      </w:r>
      <w:r w:rsidR="005B2726">
        <w:t xml:space="preserve"> calcium</w:t>
      </w:r>
      <w:r w:rsidR="003D5C98">
        <w:t xml:space="preserve"> and</w:t>
      </w:r>
      <w:r w:rsidR="00FA6183">
        <w:t xml:space="preserve"> magnesium and</w:t>
      </w:r>
      <w:r w:rsidR="003D5C98">
        <w:t xml:space="preserve"> </w:t>
      </w:r>
      <w:r w:rsidR="004F51AA">
        <w:t>high</w:t>
      </w:r>
      <w:r w:rsidR="00FA6183">
        <w:t>er</w:t>
      </w:r>
      <w:r w:rsidR="004F51AA">
        <w:t xml:space="preserve"> levels of iron</w:t>
      </w:r>
      <w:r w:rsidR="00F2669C">
        <w:t xml:space="preserve"> with increasing amount of biochar.</w:t>
      </w:r>
      <w:r w:rsidR="004F51AA">
        <w:t xml:space="preserve"> All these metals </w:t>
      </w:r>
      <w:r w:rsidR="00043DA2">
        <w:t>contribute to a higher reactivity in the coke.</w:t>
      </w:r>
      <w:r w:rsidR="00FA6183">
        <w:t xml:space="preserve"> </w:t>
      </w:r>
      <w:r w:rsidR="00806E7D">
        <w:t>The increase in reactive metal concentration can explain the behaviour of the coke in the CSR/CRI tests, as demonstrated in the previous section.</w:t>
      </w:r>
    </w:p>
    <w:p w14:paraId="0F4E228A" w14:textId="28B0F248" w:rsidR="009F29ED" w:rsidRDefault="00FA6183" w:rsidP="00C463AC">
      <w:pPr>
        <w:spacing w:line="360" w:lineRule="auto"/>
        <w:jc w:val="both"/>
      </w:pPr>
      <w:r>
        <w:lastRenderedPageBreak/>
        <w:t xml:space="preserve">The amount of </w:t>
      </w:r>
      <w:r w:rsidR="00806E7D">
        <w:t>acidic</w:t>
      </w:r>
      <w:r>
        <w:t xml:space="preserve"> metal oxides also decreases, there are lower amounts of SiO</w:t>
      </w:r>
      <w:r w:rsidRPr="00FA6183">
        <w:rPr>
          <w:vertAlign w:val="subscript"/>
        </w:rPr>
        <w:t>2</w:t>
      </w:r>
      <w:r>
        <w:t xml:space="preserve"> and Al</w:t>
      </w:r>
      <w:r w:rsidRPr="00FA6183">
        <w:rPr>
          <w:vertAlign w:val="subscript"/>
        </w:rPr>
        <w:t>2</w:t>
      </w:r>
      <w:r>
        <w:t>O</w:t>
      </w:r>
      <w:r w:rsidRPr="00FA6183">
        <w:rPr>
          <w:vertAlign w:val="subscript"/>
        </w:rPr>
        <w:t>3</w:t>
      </w:r>
      <w:r w:rsidR="009F29ED">
        <w:t xml:space="preserve"> </w:t>
      </w:r>
      <w:r>
        <w:t xml:space="preserve">in the coke as the percentage of biochar increases. </w:t>
      </w:r>
      <w:r w:rsidR="00806E7D">
        <w:t xml:space="preserve"> </w:t>
      </w:r>
      <w:r w:rsidR="00D8745D">
        <w:t>A</w:t>
      </w:r>
      <w:r w:rsidR="00806E7D">
        <w:t>dded to the BF</w:t>
      </w:r>
      <w:r w:rsidR="00D8745D">
        <w:t>, coke containing biochar will reduce the acidity of the burden, thereby reducing the need for lime addition as mentioned earlier.</w:t>
      </w:r>
      <w:r w:rsidR="00806E7D">
        <w:t xml:space="preserve"> </w:t>
      </w:r>
    </w:p>
    <w:p w14:paraId="74B3C5E7" w14:textId="26AEB0E0" w:rsidR="00A66A1D" w:rsidRDefault="00A56AD8" w:rsidP="00902834">
      <w:pPr>
        <w:pStyle w:val="Heading3"/>
        <w:spacing w:line="360" w:lineRule="auto"/>
        <w:jc w:val="both"/>
        <w:rPr>
          <w:rStyle w:val="Heading3Char"/>
        </w:rPr>
      </w:pPr>
      <w:bookmarkStart w:id="86" w:name="_Toc128599631"/>
      <w:r>
        <w:t>P</w:t>
      </w:r>
      <w:r w:rsidRPr="00A56AD8">
        <w:rPr>
          <w:rStyle w:val="Heading3Char"/>
        </w:rPr>
        <w:t xml:space="preserve">hotographs of the Biocoke produced in the Pilot </w:t>
      </w:r>
      <w:r w:rsidR="00902834" w:rsidRPr="00A56AD8">
        <w:rPr>
          <w:rStyle w:val="Heading3Char"/>
        </w:rPr>
        <w:t>oven.</w:t>
      </w:r>
      <w:bookmarkEnd w:id="86"/>
    </w:p>
    <w:p w14:paraId="58570F55" w14:textId="07B962E6" w:rsidR="00A56AD8" w:rsidRDefault="00CB63E2" w:rsidP="00902834">
      <w:pPr>
        <w:spacing w:line="360" w:lineRule="auto"/>
        <w:jc w:val="both"/>
      </w:pPr>
      <w:r>
        <w:t>The following photographs were taken of coke produced in the pilot oven</w:t>
      </w:r>
      <w:r w:rsidR="006843E4">
        <w:t>,</w:t>
      </w:r>
      <w:r w:rsidR="00B6026C">
        <w:t xml:space="preserve"> </w:t>
      </w:r>
      <w:r w:rsidR="00BB0DD5">
        <w:t>crushed,</w:t>
      </w:r>
      <w:r>
        <w:t xml:space="preserve"> and sieved to 19 mm – 22.4mm for the CSR/CRI test.</w:t>
      </w:r>
    </w:p>
    <w:p w14:paraId="075EBF5D" w14:textId="4F9C611F" w:rsidR="00A56AD8" w:rsidRDefault="004822C3" w:rsidP="00306ABA">
      <w:pPr>
        <w:jc w:val="center"/>
      </w:pPr>
      <w:r w:rsidRPr="004822C3">
        <w:rPr>
          <w:noProof/>
        </w:rPr>
        <w:drawing>
          <wp:inline distT="0" distB="0" distL="0" distR="0" wp14:anchorId="3D46AF23" wp14:editId="3241C303">
            <wp:extent cx="3997804" cy="3395207"/>
            <wp:effectExtent l="0" t="0" r="317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059761" cy="3447825"/>
                    </a:xfrm>
                    <a:prstGeom prst="rect">
                      <a:avLst/>
                    </a:prstGeom>
                  </pic:spPr>
                </pic:pic>
              </a:graphicData>
            </a:graphic>
          </wp:inline>
        </w:drawing>
      </w:r>
    </w:p>
    <w:p w14:paraId="0ECDC5C5" w14:textId="3368D63D" w:rsidR="009F1FEB" w:rsidRPr="00A56AD8" w:rsidRDefault="009F1FEB" w:rsidP="009F1FEB">
      <w:pPr>
        <w:pStyle w:val="Caption"/>
        <w:jc w:val="center"/>
      </w:pPr>
      <w:bookmarkStart w:id="87" w:name="_Toc127110931"/>
      <w:r>
        <w:t xml:space="preserve">Figure </w:t>
      </w:r>
      <w:fldSimple w:instr=" SEQ Figure \* ARABIC ">
        <w:r w:rsidR="00A0212F">
          <w:rPr>
            <w:noProof/>
          </w:rPr>
          <w:t>37</w:t>
        </w:r>
      </w:fldSimple>
      <w:r>
        <w:t xml:space="preserve"> Reference coke - 100% Riverside coal</w:t>
      </w:r>
      <w:bookmarkEnd w:id="87"/>
    </w:p>
    <w:p w14:paraId="7B8425D4" w14:textId="5C7C5B4F" w:rsidR="00CB63E2" w:rsidRDefault="008A509F" w:rsidP="008A509F">
      <w:pPr>
        <w:spacing w:line="360" w:lineRule="auto"/>
        <w:jc w:val="both"/>
      </w:pPr>
      <w:r>
        <w:t xml:space="preserve">Metallurgical coke has a very complex structure with a variety of pore and wall sizes. The coke walls have diverse microscopic properties. </w:t>
      </w:r>
      <w:r w:rsidR="00026FE9">
        <w:t>Microscopically, c</w:t>
      </w:r>
      <w:r>
        <w:t>oke consists of</w:t>
      </w:r>
      <w:r w:rsidR="001F342F">
        <w:t xml:space="preserve"> amorphous</w:t>
      </w:r>
      <w:r>
        <w:t xml:space="preserve"> anisotropic (different strength properties in different directions) areas</w:t>
      </w:r>
      <w:r w:rsidR="001F342F">
        <w:t xml:space="preserve"> and crystalline isotropic (uniform in all directions) areas</w:t>
      </w:r>
      <w:r>
        <w:t>. Coke that contains high concentration</w:t>
      </w:r>
      <w:r w:rsidR="00E9558E">
        <w:t>s</w:t>
      </w:r>
      <w:r>
        <w:t xml:space="preserve"> of </w:t>
      </w:r>
      <w:r w:rsidR="00E9558E">
        <w:t>anisotropic areas demonstrate high CSR and low CRI</w:t>
      </w:r>
      <w:r w:rsidR="001F342F">
        <w:t xml:space="preserve"> values</w:t>
      </w:r>
      <w:r w:rsidR="00E9558E">
        <w:t>, while coke with high</w:t>
      </w:r>
      <w:r w:rsidR="001F342F">
        <w:t xml:space="preserve"> concentrations of</w:t>
      </w:r>
      <w:r w:rsidR="00E9558E">
        <w:t xml:space="preserve"> isotropic areas are mechanically weaker and generally more reactive with CO</w:t>
      </w:r>
      <w:r w:rsidR="00E9558E" w:rsidRPr="00E9558E">
        <w:rPr>
          <w:vertAlign w:val="subscript"/>
        </w:rPr>
        <w:t>2</w:t>
      </w:r>
      <w:r w:rsidR="00E9558E">
        <w:t xml:space="preserve"> which increase</w:t>
      </w:r>
      <w:r w:rsidR="001F342F">
        <w:t>s</w:t>
      </w:r>
      <w:r w:rsidR="00E9558E">
        <w:t xml:space="preserve"> the CRI value. Although isotropic areas are also more resistant to alkali attack</w:t>
      </w:r>
      <w:r w:rsidR="004822C3">
        <w:t>. The concentration of each type is dependent on the rank and types of coal used</w:t>
      </w:r>
      <w:r w:rsidR="00E9558E">
        <w:t xml:space="preserve"> </w:t>
      </w:r>
      <w:r w:rsidR="00E9558E">
        <w:fldChar w:fldCharType="begin"/>
      </w:r>
      <w:r w:rsidR="00192334">
        <w:instrText xml:space="preserve"> ADDIN ZOTERO_ITEM CSL_CITATION {"citationID":"hBwTR71K","properties":{"formattedCitation":"(Sarna, 2013)","plainCitation":"(Sarna, 2013)","noteIndex":0},"citationItems":[{"id":2069,"uris":["http://zotero.org/users/local/AB2owHL2/items/W7QKIJF7"],"itemData":{"id":2069,"type":"post-weblog","language":"en-US","title":"​​ ​ Metallurgical Coke – IspatGuru","URL":"https://www.ispatguru.com/metallurgical-coke/","author":[{"family":"Sarna","given":"Satyandra Kumar"}],"accessed":{"date-parts":[["2022",12,30]]},"issued":{"date-parts":[["2013"]]}}}],"schema":"https://github.com/citation-style-language/schema/raw/master/csl-citation.json"} </w:instrText>
      </w:r>
      <w:r w:rsidR="00E9558E">
        <w:fldChar w:fldCharType="separate"/>
      </w:r>
      <w:r w:rsidR="00192334" w:rsidRPr="00192334">
        <w:rPr>
          <w:rFonts w:ascii="Calibri" w:hAnsi="Calibri" w:cs="Calibri"/>
        </w:rPr>
        <w:t>(Sarna, 2013)</w:t>
      </w:r>
      <w:r w:rsidR="00E9558E">
        <w:fldChar w:fldCharType="end"/>
      </w:r>
      <w:r w:rsidR="00E9558E">
        <w:t>.</w:t>
      </w:r>
      <w:r w:rsidR="004822C3">
        <w:t xml:space="preserve"> </w:t>
      </w:r>
    </w:p>
    <w:p w14:paraId="681B12EF" w14:textId="449A48A3" w:rsidR="00E9558E" w:rsidRPr="00CB63E2" w:rsidRDefault="00E9558E" w:rsidP="008A509F">
      <w:pPr>
        <w:spacing w:line="360" w:lineRule="auto"/>
        <w:jc w:val="both"/>
      </w:pPr>
      <w:r>
        <w:t xml:space="preserve">The photo in figure 38 </w:t>
      </w:r>
      <w:r w:rsidR="004822C3">
        <w:t>of the reference coke made with 100% Riverside coal</w:t>
      </w:r>
      <w:r w:rsidR="0024127E">
        <w:t xml:space="preserve">. </w:t>
      </w:r>
      <w:r w:rsidR="001F342F">
        <w:t>This coke has a mostly amorphous anisotropic structure with some isotropic area dispersed throughout (circled in green). These isotropic inclusions are caused by inert materials in the coal.</w:t>
      </w:r>
    </w:p>
    <w:p w14:paraId="198438D6" w14:textId="131747D1" w:rsidR="00865BFD" w:rsidRDefault="002137D6" w:rsidP="00865BFD">
      <w:r>
        <w:rPr>
          <w:noProof/>
        </w:rPr>
        <w:lastRenderedPageBreak/>
        <mc:AlternateContent>
          <mc:Choice Requires="wps">
            <w:drawing>
              <wp:anchor distT="0" distB="0" distL="114300" distR="114300" simplePos="0" relativeHeight="251661312" behindDoc="0" locked="0" layoutInCell="1" allowOverlap="1" wp14:anchorId="2A08B723" wp14:editId="571D528C">
                <wp:simplePos x="0" y="0"/>
                <wp:positionH relativeFrom="column">
                  <wp:posOffset>2941431</wp:posOffset>
                </wp:positionH>
                <wp:positionV relativeFrom="paragraph">
                  <wp:posOffset>2302344</wp:posOffset>
                </wp:positionV>
                <wp:extent cx="278130" cy="262393"/>
                <wp:effectExtent l="0" t="0" r="26670" b="23495"/>
                <wp:wrapNone/>
                <wp:docPr id="131" name="Text Box 131"/>
                <wp:cNvGraphicFramePr/>
                <a:graphic xmlns:a="http://schemas.openxmlformats.org/drawingml/2006/main">
                  <a:graphicData uri="http://schemas.microsoft.com/office/word/2010/wordprocessingShape">
                    <wps:wsp>
                      <wps:cNvSpPr txBox="1"/>
                      <wps:spPr>
                        <a:xfrm>
                          <a:off x="0" y="0"/>
                          <a:ext cx="278130" cy="262393"/>
                        </a:xfrm>
                        <a:prstGeom prst="rect">
                          <a:avLst/>
                        </a:prstGeom>
                        <a:solidFill>
                          <a:schemeClr val="lt1"/>
                        </a:solidFill>
                        <a:ln w="6350">
                          <a:solidFill>
                            <a:prstClr val="black"/>
                          </a:solidFill>
                        </a:ln>
                      </wps:spPr>
                      <wps:txbx>
                        <w:txbxContent>
                          <w:p w14:paraId="18DD7A23" w14:textId="013BD997" w:rsidR="0052678A" w:rsidRDefault="0052678A" w:rsidP="0052678A">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8B723" id="Text Box 131" o:spid="_x0000_s1027" type="#_x0000_t202" style="position:absolute;margin-left:231.6pt;margin-top:181.3pt;width:21.9pt;height:2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ovBOQIAAIIEAAAOAAAAZHJzL2Uyb0RvYy54bWysVE1v2zAMvQ/YfxB0X5w4adoacYosRYYB&#10;RVsgLXpWZCk2JouapMTOfv0o2flot9Owi0yJ1BP5+OjZXVsrshfWVaBzOhoMKRGaQ1HpbU5fX1Zf&#10;bihxnumCKdAipwfh6N3886dZYzKRQgmqEJYgiHZZY3Jaem+yJHG8FDVzAzBCo1OCrZnHrd0mhWUN&#10;otcqSYfDadKALYwFLpzD0/vOSecRX0rB/ZOUTniicoq5+bjauG7CmsxnLNtaZsqK92mwf8iiZpXG&#10;R09Q98wzsrPVH1B1xS04kH7AoU5AyoqLWANWMxp+qGZdMiNiLUiOMyea3P+D5Y/7tXm2xLdfocUG&#10;BkIa4zKHh6GeVto6fDFTgn6k8HCiTbSecDxMr29GY/RwdKXTdHw7DijJ+bKxzn8TUJNg5NRiVyJZ&#10;bP/gfBd6DAlvOVBVsaqUipugBLFUluwZ9lD5mCKCv4tSmjQ5nY6vhhH4nS9An+5vFOM/+vQuohBP&#10;acz5XHqwfLtpSVVc0LKB4oBsWeiE5AxfVQj/wJx/ZhaVgzTgNPgnXKQCzAl6i5IS7K+/nYd4bCh6&#10;KWlQiTl1P3fMCkrUd42tvh1NJkG6cTO5uk5xYy89m0uP3tVLQKJGOHeGRzPEe3U0pYX6DYdmEV5F&#10;F9Mc386pP5pL380HDh0Xi0UMQrEa5h/02vAAHRoTaH1p35g1fVs96uERjppl2YfudrHhpobFzoOs&#10;YusDzx2rPf0o9CiefijDJF3uY9T51zH/DQAA//8DAFBLAwQUAAYACAAAACEAX2oJfd4AAAALAQAA&#10;DwAAAGRycy9kb3ducmV2LnhtbEyPwU7DMBBE70j8g7VI3KhNAiENcSpAhQsnCuLsxls7IrYj203D&#10;37Oc4Liap9k37WZxI5sxpiF4CdcrAQx9H/TgjYSP9+erGljKyms1Bo8SvjHBpjs/a1Wjw8m/4bzL&#10;hlGJT42SYHOeGs5Tb9GptAoTesoOITqV6YyG66hOVO5GXghRcacGTx+smvDJYv+1OzoJ20ezNn2t&#10;ot3Wehjm5fPwal6kvLxYHu6BZVzyHwy/+qQOHTntw9HrxEYJN1VZECqhrIoKGBG34o7W7SkS5Rp4&#10;1/L/G7ofAAAA//8DAFBLAQItABQABgAIAAAAIQC2gziS/gAAAOEBAAATAAAAAAAAAAAAAAAAAAAA&#10;AABbQ29udGVudF9UeXBlc10ueG1sUEsBAi0AFAAGAAgAAAAhADj9If/WAAAAlAEAAAsAAAAAAAAA&#10;AAAAAAAALwEAAF9yZWxzLy5yZWxzUEsBAi0AFAAGAAgAAAAhAK5ai8E5AgAAggQAAA4AAAAAAAAA&#10;AAAAAAAALgIAAGRycy9lMm9Eb2MueG1sUEsBAi0AFAAGAAgAAAAhAF9qCX3eAAAACwEAAA8AAAAA&#10;AAAAAAAAAAAAkwQAAGRycy9kb3ducmV2LnhtbFBLBQYAAAAABAAEAPMAAACeBQAAAAA=&#10;" fillcolor="white [3201]" strokeweight=".5pt">
                <v:textbox>
                  <w:txbxContent>
                    <w:p w14:paraId="18DD7A23" w14:textId="013BD997" w:rsidR="0052678A" w:rsidRDefault="0052678A" w:rsidP="0052678A">
                      <w:r>
                        <w:t>B</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B177DCB" wp14:editId="1465F714">
                <wp:simplePos x="0" y="0"/>
                <wp:positionH relativeFrom="column">
                  <wp:posOffset>39563</wp:posOffset>
                </wp:positionH>
                <wp:positionV relativeFrom="paragraph">
                  <wp:posOffset>2294366</wp:posOffset>
                </wp:positionV>
                <wp:extent cx="278130" cy="286247"/>
                <wp:effectExtent l="0" t="0" r="26670" b="19050"/>
                <wp:wrapNone/>
                <wp:docPr id="129" name="Text Box 129"/>
                <wp:cNvGraphicFramePr/>
                <a:graphic xmlns:a="http://schemas.openxmlformats.org/drawingml/2006/main">
                  <a:graphicData uri="http://schemas.microsoft.com/office/word/2010/wordprocessingShape">
                    <wps:wsp>
                      <wps:cNvSpPr txBox="1"/>
                      <wps:spPr>
                        <a:xfrm>
                          <a:off x="0" y="0"/>
                          <a:ext cx="278130" cy="286247"/>
                        </a:xfrm>
                        <a:prstGeom prst="rect">
                          <a:avLst/>
                        </a:prstGeom>
                        <a:solidFill>
                          <a:schemeClr val="lt1"/>
                        </a:solidFill>
                        <a:ln w="6350">
                          <a:solidFill>
                            <a:prstClr val="black"/>
                          </a:solidFill>
                        </a:ln>
                      </wps:spPr>
                      <wps:txbx>
                        <w:txbxContent>
                          <w:p w14:paraId="17029B27" w14:textId="70F4593B" w:rsidR="0052678A" w:rsidRDefault="0052678A">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77DCB" id="Text Box 129" o:spid="_x0000_s1028" type="#_x0000_t202" style="position:absolute;margin-left:3.1pt;margin-top:180.65pt;width:21.9pt;height:2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WQdOwIAAIIEAAAOAAAAZHJzL2Uyb0RvYy54bWysVE1v2zAMvQ/YfxB0X5y4aZoZcYosRYYB&#10;QVsgHXpWZCk2JouapMTOfv0o2flot9Owi0yJ1BP5+OjZfVsrchDWVaBzOhoMKRGaQ1HpXU6/v6w+&#10;TSlxnumCKdAip0fh6P3844dZYzKRQgmqEJYgiHZZY3Jaem+yJHG8FDVzAzBCo1OCrZnHrd0lhWUN&#10;otcqSYfDSdKALYwFLpzD04fOSecRX0rB/ZOUTniicoq5+bjauG7DmsxnLNtZZsqK92mwf8iiZpXG&#10;R89QD8wzsrfVH1B1xS04kH7AoU5AyoqLWANWMxq+q2ZTMiNiLUiOM2ea3P+D5Y+HjXm2xLdfoMUG&#10;BkIa4zKHh6GeVto6fDFTgn6k8HimTbSecDxM76ajG/RwdKXTSTq+CyjJ5bKxzn8VUJNg5NRiVyJZ&#10;7LB2vgs9hYS3HKiqWFVKxU1QglgqSw4Me6h8TBHB30QpTZqcTm5uhxH4jS9An+9vFeM/+vSuohBP&#10;acz5UnqwfLttSVVgVSdatlAckS0LnZCc4asK4dfM+WdmUTlIA06Df8JFKsCcoLcoKcH++tt5iMeG&#10;opeSBpWYU/dzz6ygRH3T2OrPo/E4SDduxrd3KW7stWd77dH7eglI1AjnzvBohnivTqa0UL/i0CzC&#10;q+himuPbOfUnc+m7+cCh42KxiEEoVsP8Wm8MD9ChMYHWl/aVWdO31aMeHuGkWZa9624XG25qWOw9&#10;yCq2PvDcsdrTj0KP4umHMkzS9T5GXX4d898AAAD//wMAUEsDBBQABgAIAAAAIQCBEQbQ3AAAAAgB&#10;AAAPAAAAZHJzL2Rvd25yZXYueG1sTI/NTsMwEITvSLyDtUjcqN0fohCyqQAVLpwoiLMbu7ZFvI5s&#10;Nw1vjznBcTSjmW/a7ewHNumYXCCE5UIA09QH5cggfLw/39TAUpak5BBII3zrBNvu8qKVjQpnetPT&#10;PhtWSig1EsHmPDacp95qL9MijJqKdwzRy1xkNFxFeS7lfuArISrupaOyYOWon6zuv/Ynj7B7NHem&#10;r2W0u1o5N82fx1fzgnh9NT/cA8t6zn9h+MUv6NAVpkM4kUpsQKhWJYiwrpZrYMW/FeXaAWEjqg3w&#10;ruX/D3Q/AAAA//8DAFBLAQItABQABgAIAAAAIQC2gziS/gAAAOEBAAATAAAAAAAAAAAAAAAAAAAA&#10;AABbQ29udGVudF9UeXBlc10ueG1sUEsBAi0AFAAGAAgAAAAhADj9If/WAAAAlAEAAAsAAAAAAAAA&#10;AAAAAAAALwEAAF9yZWxzLy5yZWxzUEsBAi0AFAAGAAgAAAAhANWdZB07AgAAggQAAA4AAAAAAAAA&#10;AAAAAAAALgIAAGRycy9lMm9Eb2MueG1sUEsBAi0AFAAGAAgAAAAhAIERBtDcAAAACAEAAA8AAAAA&#10;AAAAAAAAAAAAlQQAAGRycy9kb3ducmV2LnhtbFBLBQYAAAAABAAEAPMAAACeBQAAAAA=&#10;" fillcolor="white [3201]" strokeweight=".5pt">
                <v:textbox>
                  <w:txbxContent>
                    <w:p w14:paraId="17029B27" w14:textId="70F4593B" w:rsidR="0052678A" w:rsidRDefault="0052678A">
                      <w:r>
                        <w:t>A</w:t>
                      </w:r>
                    </w:p>
                  </w:txbxContent>
                </v:textbox>
              </v:shape>
            </w:pict>
          </mc:Fallback>
        </mc:AlternateContent>
      </w:r>
      <w:r w:rsidR="00513D2A" w:rsidRPr="00513D2A">
        <w:rPr>
          <w:noProof/>
        </w:rPr>
        <w:drawing>
          <wp:inline distT="0" distB="0" distL="0" distR="0" wp14:anchorId="47191B07" wp14:editId="43A98F15">
            <wp:extent cx="2830664" cy="2662990"/>
            <wp:effectExtent l="0" t="0" r="8255" b="4445"/>
            <wp:docPr id="40" name="Picture 40" descr="A picture containing rock,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rock, nature&#10;&#10;Description automatically generated"/>
                    <pic:cNvPicPr/>
                  </pic:nvPicPr>
                  <pic:blipFill>
                    <a:blip r:embed="rId76"/>
                    <a:stretch>
                      <a:fillRect/>
                    </a:stretch>
                  </pic:blipFill>
                  <pic:spPr>
                    <a:xfrm>
                      <a:off x="0" y="0"/>
                      <a:ext cx="2844408" cy="2675920"/>
                    </a:xfrm>
                    <a:prstGeom prst="rect">
                      <a:avLst/>
                    </a:prstGeom>
                  </pic:spPr>
                </pic:pic>
              </a:graphicData>
            </a:graphic>
          </wp:inline>
        </w:drawing>
      </w:r>
      <w:r w:rsidR="00A564C9">
        <w:t xml:space="preserve">  </w:t>
      </w:r>
      <w:r w:rsidR="00A564C9" w:rsidRPr="00165DEF">
        <w:rPr>
          <w:noProof/>
        </w:rPr>
        <w:drawing>
          <wp:inline distT="0" distB="0" distL="0" distR="0" wp14:anchorId="0813CF6E" wp14:editId="3A106CCA">
            <wp:extent cx="2695492" cy="2659299"/>
            <wp:effectExtent l="0" t="0" r="0" b="8255"/>
            <wp:docPr id="55" name="Picture 55" descr="A picture containing ground, rock,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ground, rock, stone&#10;&#10;Description automatically generated"/>
                    <pic:cNvPicPr/>
                  </pic:nvPicPr>
                  <pic:blipFill>
                    <a:blip r:embed="rId77"/>
                    <a:stretch>
                      <a:fillRect/>
                    </a:stretch>
                  </pic:blipFill>
                  <pic:spPr>
                    <a:xfrm>
                      <a:off x="0" y="0"/>
                      <a:ext cx="2722298" cy="2685746"/>
                    </a:xfrm>
                    <a:prstGeom prst="rect">
                      <a:avLst/>
                    </a:prstGeom>
                  </pic:spPr>
                </pic:pic>
              </a:graphicData>
            </a:graphic>
          </wp:inline>
        </w:drawing>
      </w:r>
    </w:p>
    <w:p w14:paraId="03F56AAB" w14:textId="1CCCFFC2" w:rsidR="000A10E5" w:rsidRDefault="0052678A" w:rsidP="00865BFD">
      <w:r>
        <w:rPr>
          <w:noProof/>
        </w:rPr>
        <mc:AlternateContent>
          <mc:Choice Requires="wps">
            <w:drawing>
              <wp:anchor distT="0" distB="0" distL="114300" distR="114300" simplePos="0" relativeHeight="251663360" behindDoc="0" locked="0" layoutInCell="1" allowOverlap="1" wp14:anchorId="05F115D1" wp14:editId="27B354B2">
                <wp:simplePos x="0" y="0"/>
                <wp:positionH relativeFrom="column">
                  <wp:posOffset>47211</wp:posOffset>
                </wp:positionH>
                <wp:positionV relativeFrom="paragraph">
                  <wp:posOffset>2446407</wp:posOffset>
                </wp:positionV>
                <wp:extent cx="278130" cy="262393"/>
                <wp:effectExtent l="0" t="0" r="26670" b="23495"/>
                <wp:wrapNone/>
                <wp:docPr id="132" name="Text Box 132"/>
                <wp:cNvGraphicFramePr/>
                <a:graphic xmlns:a="http://schemas.openxmlformats.org/drawingml/2006/main">
                  <a:graphicData uri="http://schemas.microsoft.com/office/word/2010/wordprocessingShape">
                    <wps:wsp>
                      <wps:cNvSpPr txBox="1"/>
                      <wps:spPr>
                        <a:xfrm>
                          <a:off x="0" y="0"/>
                          <a:ext cx="278130" cy="262393"/>
                        </a:xfrm>
                        <a:prstGeom prst="rect">
                          <a:avLst/>
                        </a:prstGeom>
                        <a:solidFill>
                          <a:schemeClr val="lt1"/>
                        </a:solidFill>
                        <a:ln w="6350">
                          <a:solidFill>
                            <a:prstClr val="black"/>
                          </a:solidFill>
                        </a:ln>
                      </wps:spPr>
                      <wps:txbx>
                        <w:txbxContent>
                          <w:p w14:paraId="1441D1C7" w14:textId="2D2B0726" w:rsidR="0052678A" w:rsidRDefault="0052678A" w:rsidP="0052678A">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115D1" id="Text Box 132" o:spid="_x0000_s1029" type="#_x0000_t202" style="position:absolute;margin-left:3.7pt;margin-top:192.65pt;width:21.9pt;height:2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GWwOQIAAIIEAAAOAAAAZHJzL2Uyb0RvYy54bWysVEtvGjEQvlfqf7B8LwsLIcmKJaJEVJWi&#10;JBKJcjZeG6x6Pa5t2KW/vmOzPJL2VPXinZc/z3wzs5O7ttZkJ5xXYEo66PUpEYZDpcy6pK8viy83&#10;lPjATMU0GFHSvfD0bvr506SxhchhA7oSjiCI8UVjS7oJwRZZ5vlG1Mz3wAqDTgmuZgFVt84qxxpE&#10;r3WW9/vjrAFXWQdceI/W+4OTThO+lIKHJym9CESXFHML6XTpXMUzm05YsXbMbhTv0mD/kEXNlMFH&#10;T1D3LDCydeoPqFpxBx5k6HGoM5BScZFqwGoG/Q/VLDfMilQLkuPtiSb//2D5425pnx0J7VdosYGR&#10;kMb6wqMx1tNKV8cvZkrQjxTuT7SJNhCOxvz6ZjBED0dXPs6Ht8OIkp0vW+fDNwE1iUJJHXYlkcV2&#10;Dz4cQo8h8S0PWlULpXVS4iSIuXZkx7CHOqQUEfxdlDakKel4eNVPwO98Efp0f6UZ/9GldxGFeNpg&#10;zufSoxTaVUtUVdJUULSsoNojWw4Og+QtXyiEf2A+PDOHk4M04DaEJzykBswJOomSDbhff7PHeGwo&#10;eilpcBJL6n9umROU6O8GW307GI3i6CZldHWdo+IuPatLj9nWc0CiBrh3licxxgd9FKWD+g2XZhZf&#10;RRczHN8uaTiK83DYD1w6LmazFITDall4MEvLI3RsTKT1pX1jznZtDTgPj3CcWVZ86O4hNt40MNsG&#10;kCq1/sxqRz8OehqebinjJl3qKer865j+BgAA//8DAFBLAwQUAAYACAAAACEATf+nYtwAAAAIAQAA&#10;DwAAAGRycy9kb3ducmV2LnhtbEyPMU/DMBSEdyT+g/WQ2KjTtA0hxKkAFRYmCmJ+jV9ti9iObDcN&#10;/x4zwXi609137Xa2A5soROOdgOWiAEau99I4JeDj/fmmBhYTOomDdyTgmyJsu8uLFhvpz+6Npn1S&#10;LJe42KAAndLYcB57TRbjwo/ksnf0wWLKMiguA55zuR14WRQVt2hcXtA40pOm/mt/sgJ2j+pO9TUG&#10;vaulMdP8eXxVL0JcX80P98ASzekvDL/4GR26zHTwJycjGwTcrnNQwKrerIBlf7MsgR0ErMuqAt61&#10;/P+B7gcAAP//AwBQSwECLQAUAAYACAAAACEAtoM4kv4AAADhAQAAEwAAAAAAAAAAAAAAAAAAAAAA&#10;W0NvbnRlbnRfVHlwZXNdLnhtbFBLAQItABQABgAIAAAAIQA4/SH/1gAAAJQBAAALAAAAAAAAAAAA&#10;AAAAAC8BAABfcmVscy8ucmVsc1BLAQItABQABgAIAAAAIQAROGWwOQIAAIIEAAAOAAAAAAAAAAAA&#10;AAAAAC4CAABkcnMvZTJvRG9jLnhtbFBLAQItABQABgAIAAAAIQBN/6di3AAAAAgBAAAPAAAAAAAA&#10;AAAAAAAAAJMEAABkcnMvZG93bnJldi54bWxQSwUGAAAAAAQABADzAAAAnAUAAAAA&#10;" fillcolor="white [3201]" strokeweight=".5pt">
                <v:textbox>
                  <w:txbxContent>
                    <w:p w14:paraId="1441D1C7" w14:textId="2D2B0726" w:rsidR="0052678A" w:rsidRDefault="0052678A" w:rsidP="0052678A">
                      <w:r>
                        <w:t>C</w:t>
                      </w:r>
                    </w:p>
                  </w:txbxContent>
                </v:textbox>
              </v:shape>
            </w:pict>
          </mc:Fallback>
        </mc:AlternateContent>
      </w:r>
      <w:r w:rsidR="000A10E5" w:rsidRPr="001B11ED">
        <w:rPr>
          <w:noProof/>
        </w:rPr>
        <w:drawing>
          <wp:inline distT="0" distB="0" distL="0" distR="0" wp14:anchorId="58F08C28" wp14:editId="1CFEFCCA">
            <wp:extent cx="2830195" cy="2767054"/>
            <wp:effectExtent l="0" t="0" r="825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2851643" cy="2788024"/>
                    </a:xfrm>
                    <a:prstGeom prst="rect">
                      <a:avLst/>
                    </a:prstGeom>
                  </pic:spPr>
                </pic:pic>
              </a:graphicData>
            </a:graphic>
          </wp:inline>
        </w:drawing>
      </w:r>
    </w:p>
    <w:p w14:paraId="08B2AEA2" w14:textId="08936FF0" w:rsidR="009F1FEB" w:rsidRDefault="009F1FEB" w:rsidP="009F1FEB">
      <w:pPr>
        <w:pStyle w:val="Caption"/>
      </w:pPr>
      <w:bookmarkStart w:id="88" w:name="_Toc127110932"/>
      <w:r>
        <w:t xml:space="preserve">Figure </w:t>
      </w:r>
      <w:fldSimple w:instr=" SEQ Figure \* ARABIC ">
        <w:r w:rsidR="00A0212F">
          <w:rPr>
            <w:noProof/>
          </w:rPr>
          <w:t>38</w:t>
        </w:r>
      </w:fldSimple>
      <w:r>
        <w:t xml:space="preserve"> </w:t>
      </w:r>
      <w:r w:rsidRPr="00B0152A">
        <w:t>Pictures of the Biocoke. A – 3% biochar 1 substitution, B – 5% biochar 1 substitution, C – 7.5% biochar 1 substitution.</w:t>
      </w:r>
      <w:bookmarkEnd w:id="88"/>
    </w:p>
    <w:p w14:paraId="1D2C4BDE" w14:textId="49AB10E3" w:rsidR="007C185C" w:rsidRPr="00476AD2" w:rsidRDefault="001F342F" w:rsidP="007C185C">
      <w:pPr>
        <w:spacing w:line="360" w:lineRule="auto"/>
        <w:jc w:val="both"/>
      </w:pPr>
      <w:r>
        <w:t>The</w:t>
      </w:r>
      <w:r w:rsidR="007C238C">
        <w:t xml:space="preserve"> picture</w:t>
      </w:r>
      <w:r w:rsidR="003B67E4">
        <w:t>s</w:t>
      </w:r>
      <w:r w:rsidR="007C238C">
        <w:t xml:space="preserve"> above in figure 39 </w:t>
      </w:r>
      <w:r w:rsidR="003B67E4">
        <w:t>are</w:t>
      </w:r>
      <w:r w:rsidR="007C238C">
        <w:t xml:space="preserve"> of the </w:t>
      </w:r>
      <w:r w:rsidR="001B51E3">
        <w:t>bio</w:t>
      </w:r>
      <w:r w:rsidR="008C1A93">
        <w:t xml:space="preserve">coke produced with biochar 1. The biochar can be seen as black inclusions </w:t>
      </w:r>
      <w:r w:rsidR="00BA58BD">
        <w:t xml:space="preserve">(circled in green) </w:t>
      </w:r>
      <w:r w:rsidR="008C1A93">
        <w:t xml:space="preserve">dispersed throughout the samples. </w:t>
      </w:r>
      <w:r w:rsidR="00F8468C">
        <w:t xml:space="preserve">At 3% there are not many biochar </w:t>
      </w:r>
      <w:r w:rsidR="00476AD2">
        <w:t>inclusions,</w:t>
      </w:r>
      <w:r w:rsidR="00BA58BD">
        <w:t xml:space="preserve"> the size of inclusions in this sample are small</w:t>
      </w:r>
      <w:r w:rsidR="00F8468C">
        <w:t xml:space="preserve"> and the majority of the coke seems unchanged.</w:t>
      </w:r>
      <w:r w:rsidR="0015504F">
        <w:t xml:space="preserve"> </w:t>
      </w:r>
      <w:r w:rsidR="007C185C">
        <w:t xml:space="preserve">At 5% substitution the number of inclusions has increased for biochar 1, shown above </w:t>
      </w:r>
      <w:r w:rsidR="004D32D2">
        <w:t xml:space="preserve">as (B) </w:t>
      </w:r>
      <w:r w:rsidR="007C185C">
        <w:t xml:space="preserve">in figure </w:t>
      </w:r>
      <w:r w:rsidR="003B67E4">
        <w:t>39</w:t>
      </w:r>
      <w:r w:rsidR="007C185C">
        <w:t>.</w:t>
      </w:r>
      <w:r w:rsidR="00BC30AC">
        <w:t xml:space="preserve"> </w:t>
      </w:r>
      <w:r w:rsidR="000F5E4A">
        <w:t>A</w:t>
      </w:r>
      <w:r w:rsidR="00BC30AC">
        <w:t xml:space="preserve"> few bigger inclusions</w:t>
      </w:r>
      <w:r w:rsidR="000F5E4A">
        <w:t xml:space="preserve"> can be seen.</w:t>
      </w:r>
      <w:r w:rsidR="00BC30AC">
        <w:t xml:space="preserve"> </w:t>
      </w:r>
      <w:r w:rsidR="007837EA">
        <w:t xml:space="preserve">The </w:t>
      </w:r>
      <w:r w:rsidR="006F7E05">
        <w:t>number of inclusions has increased notably</w:t>
      </w:r>
      <w:r w:rsidR="004D32D2">
        <w:t xml:space="preserve"> in the coke made with 7.5% biochar (C) the</w:t>
      </w:r>
      <w:r w:rsidR="001C1763">
        <w:t>re are also more large inclusions in this sample.</w:t>
      </w:r>
    </w:p>
    <w:p w14:paraId="7B0C2D21" w14:textId="77777777" w:rsidR="007C185C" w:rsidRDefault="007C185C" w:rsidP="008C1A93">
      <w:pPr>
        <w:spacing w:line="360" w:lineRule="auto"/>
        <w:jc w:val="both"/>
      </w:pPr>
    </w:p>
    <w:p w14:paraId="74033D13" w14:textId="043AFB32" w:rsidR="001651D8" w:rsidRDefault="001651D8" w:rsidP="00865BFD"/>
    <w:p w14:paraId="43A8C514" w14:textId="3BA4E2BC" w:rsidR="001651D8" w:rsidRDefault="002137D6" w:rsidP="00865BFD">
      <w:r>
        <w:rPr>
          <w:noProof/>
        </w:rPr>
        <w:lastRenderedPageBreak/>
        <mc:AlternateContent>
          <mc:Choice Requires="wps">
            <w:drawing>
              <wp:anchor distT="0" distB="0" distL="114300" distR="114300" simplePos="0" relativeHeight="251667456" behindDoc="0" locked="0" layoutInCell="1" allowOverlap="1" wp14:anchorId="6A5CDE0A" wp14:editId="7F777EDB">
                <wp:simplePos x="0" y="0"/>
                <wp:positionH relativeFrom="column">
                  <wp:posOffset>2885798</wp:posOffset>
                </wp:positionH>
                <wp:positionV relativeFrom="paragraph">
                  <wp:posOffset>2321698</wp:posOffset>
                </wp:positionV>
                <wp:extent cx="278130" cy="286247"/>
                <wp:effectExtent l="0" t="0" r="26670" b="19050"/>
                <wp:wrapNone/>
                <wp:docPr id="134" name="Text Box 134"/>
                <wp:cNvGraphicFramePr/>
                <a:graphic xmlns:a="http://schemas.openxmlformats.org/drawingml/2006/main">
                  <a:graphicData uri="http://schemas.microsoft.com/office/word/2010/wordprocessingShape">
                    <wps:wsp>
                      <wps:cNvSpPr txBox="1"/>
                      <wps:spPr>
                        <a:xfrm>
                          <a:off x="0" y="0"/>
                          <a:ext cx="278130" cy="286247"/>
                        </a:xfrm>
                        <a:prstGeom prst="rect">
                          <a:avLst/>
                        </a:prstGeom>
                        <a:solidFill>
                          <a:sysClr val="window" lastClr="FFFFFF"/>
                        </a:solidFill>
                        <a:ln w="6350">
                          <a:solidFill>
                            <a:prstClr val="black"/>
                          </a:solidFill>
                        </a:ln>
                      </wps:spPr>
                      <wps:txbx>
                        <w:txbxContent>
                          <w:p w14:paraId="5D66CB50" w14:textId="515BC949" w:rsidR="002137D6" w:rsidRDefault="002137D6" w:rsidP="002137D6">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CDE0A" id="Text Box 134" o:spid="_x0000_s1030" type="#_x0000_t202" style="position:absolute;margin-left:227.25pt;margin-top:182.8pt;width:21.9pt;height:2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fSzQwIAAJMEAAAOAAAAZHJzL2Uyb0RvYy54bWysVN9v2jAQfp+0/8Hy+wikFGhEqBgV0yTU&#10;VqJTn43jgDXH59mGhP31OzvhR9s9TePB3PnO3919d5fpfVMpchDWSdA5HfT6lAjNoZB6m9MfL8sv&#10;E0qcZ7pgCrTI6VE4ej/7/Glam0yksANVCEsQRLusNjndeW+yJHF8JyrmemCERmMJtmIeVbtNCstq&#10;RK9Ukvb7o6QGWxgLXDiHtw+tkc4iflkK7p/K0glPVE4xNx9PG89NOJPZlGVby8xO8i4N9g9ZVExq&#10;DHqGemCekb2VH6AqyS04KH2PQ5VAWUouYg1YzaD/rpr1jhkRa0FynDnT5P4fLH88rM2zJb75Cg02&#10;MBBSG5c5vAz1NKWtwj9mStCOFB7PtInGE46X6XgyuEELR1M6GaXDcUBJLo+Ndf6bgIoEIacWuxLJ&#10;YoeV863rySXEcqBksZRKReXoFsqSA8MGYt8LqClRzHm8zOky/rpob54pTeqcjm5u+zHSG1uIdcbc&#10;KMZ/fkTA7JXGIi5cBMk3m4bIIqfDE08bKI5In4V2spzhS4nwK8zwmVkcJeQF18M/4VEqwJygkyjZ&#10;gf39t/vgjx1GKyU1jmZO3a89swIL/66x93eD4TDMclSGt+MUFXtt2Vxb9L5aAJI3wEU0PIrB36uT&#10;WFqoXnGL5iEqmpjmGDun/iQufLswuIVczOfRCafXML/Sa8MDdOhUoPWleWXWdH32OCCPcBpilr1r&#10;d+sbXmqY7z2UMs5C4LlltaMfJz9OU7elYbWu9eh1+ZbM/gAAAP//AwBQSwMEFAAGAAgAAAAhAOPf&#10;e2/gAAAACwEAAA8AAABkcnMvZG93bnJldi54bWxMj8FOwzAMhu9Ie4fISLuxdFtbutJ0Qkg7IkTh&#10;ALcsMW2gcaom68qennCCmy1/+v391X62PZtw9MaRgPUqAYaknDbUCnh9OdwUwHyQpGXvCAV8o4d9&#10;vbiqZKndmZ5xakLLYgj5UgroQhhKzr3q0Eq/cgNSvH240coQ17HlepTnGG57vkmSnFtpKH7o5IAP&#10;Haqv5mQFaHpzpN7N48VQo8zu8lR8qkmI5fV8fwcs4Bz+YPjVj+pQR6ejO5H2rBeQZmkWUQHbPMuB&#10;RSLdFVtgxzisk1vgdcX/d6h/AAAA//8DAFBLAQItABQABgAIAAAAIQC2gziS/gAAAOEBAAATAAAA&#10;AAAAAAAAAAAAAAAAAABbQ29udGVudF9UeXBlc10ueG1sUEsBAi0AFAAGAAgAAAAhADj9If/WAAAA&#10;lAEAAAsAAAAAAAAAAAAAAAAALwEAAF9yZWxzLy5yZWxzUEsBAi0AFAAGAAgAAAAhAGtR9LNDAgAA&#10;kwQAAA4AAAAAAAAAAAAAAAAALgIAAGRycy9lMm9Eb2MueG1sUEsBAi0AFAAGAAgAAAAhAOPfe2/g&#10;AAAACwEAAA8AAAAAAAAAAAAAAAAAnQQAAGRycy9kb3ducmV2LnhtbFBLBQYAAAAABAAEAPMAAACq&#10;BQAAAAA=&#10;" fillcolor="window" strokeweight=".5pt">
                <v:textbox>
                  <w:txbxContent>
                    <w:p w14:paraId="5D66CB50" w14:textId="515BC949" w:rsidR="002137D6" w:rsidRDefault="002137D6" w:rsidP="002137D6">
                      <w:r>
                        <w:t>B</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513746B" wp14:editId="174E8571">
                <wp:simplePos x="0" y="0"/>
                <wp:positionH relativeFrom="column">
                  <wp:posOffset>31363</wp:posOffset>
                </wp:positionH>
                <wp:positionV relativeFrom="paragraph">
                  <wp:posOffset>2345248</wp:posOffset>
                </wp:positionV>
                <wp:extent cx="278130" cy="286247"/>
                <wp:effectExtent l="0" t="0" r="26670" b="19050"/>
                <wp:wrapNone/>
                <wp:docPr id="133" name="Text Box 133"/>
                <wp:cNvGraphicFramePr/>
                <a:graphic xmlns:a="http://schemas.openxmlformats.org/drawingml/2006/main">
                  <a:graphicData uri="http://schemas.microsoft.com/office/word/2010/wordprocessingShape">
                    <wps:wsp>
                      <wps:cNvSpPr txBox="1"/>
                      <wps:spPr>
                        <a:xfrm>
                          <a:off x="0" y="0"/>
                          <a:ext cx="278130" cy="286247"/>
                        </a:xfrm>
                        <a:prstGeom prst="rect">
                          <a:avLst/>
                        </a:prstGeom>
                        <a:solidFill>
                          <a:sysClr val="window" lastClr="FFFFFF"/>
                        </a:solidFill>
                        <a:ln w="6350">
                          <a:solidFill>
                            <a:prstClr val="black"/>
                          </a:solidFill>
                        </a:ln>
                      </wps:spPr>
                      <wps:txbx>
                        <w:txbxContent>
                          <w:p w14:paraId="528B5ECC" w14:textId="77777777" w:rsidR="002137D6" w:rsidRDefault="002137D6" w:rsidP="002137D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3746B" id="Text Box 133" o:spid="_x0000_s1031" type="#_x0000_t202" style="position:absolute;margin-left:2.45pt;margin-top:184.65pt;width:21.9pt;height:2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7tmQwIAAJMEAAAOAAAAZHJzL2Uyb0RvYy54bWysVN9v2jAQfp+0/8Hy+wikQGlEqBgV0yTU&#10;VqJTn43jgDXH59mGhP31OzvhR9s9TePB3PnO3919d5fpfVMpchDWSdA5HfT6lAjNoZB6m9MfL8sv&#10;E0qcZ7pgCrTI6VE4ej/7/Glam0yksANVCEsQRLusNjndeW+yJHF8JyrmemCERmMJtmIeVbtNCstq&#10;RK9Ukvb746QGWxgLXDiHtw+tkc4iflkK7p/K0glPVE4xNx9PG89NOJPZlGVby8xO8i4N9g9ZVExq&#10;DHqGemCekb2VH6AqyS04KH2PQ5VAWUouYg1YzaD/rpr1jhkRa0FynDnT5P4fLH88rM2zJb75Cg02&#10;MBBSG5c5vAz1NKWtwj9mStCOFB7PtInGE46X6e1kcIMWjqZ0Mk6HtwEluTw21vlvAioShJxa7Eok&#10;ix1WzreuJ5cQy4GSxVIqFZWjWyhLDgwbiH0voKZEMefxMqfL+OuivXmmNKlzOr4Z9WOkN7YQ64y5&#10;UYz//IiA2SuNRVy4CJJvNg2RRU5HJ542UByRPgvtZDnDlxLhV5jhM7M4SsgLrod/wqNUgDlBJ1Gy&#10;A/v7b/fBHzuMVkpqHM2cul97ZgUW/l1j7+8Gw2GY5agMR7cpKvbasrm26H21ACRvgItoeBSDv1cn&#10;sbRQveIWzUNUNDHNMXZO/Ulc+HZhcAu5mM+jE06vYX6l14YH6NCpQOtL88qs6frscUAe4TTELHvX&#10;7tY3vNQw33soZZyFwHPLakc/Tn6cpm5Lw2pd69Hr8i2Z/QEAAP//AwBQSwMEFAAGAAgAAAAhAD6K&#10;osrdAAAACAEAAA8AAABkcnMvZG93bnJldi54bWxMj8FOwzAQRO9I/IO1SNyoUxqVJMSpEBJHhAgc&#10;4ObaS2KI11HspqFfz3KC02g1o5m39W7xg5hxii6QgvUqA4FkgnXUKXh9ebgqQMSkyeohECr4xgi7&#10;5vys1pUNR3rGuU2d4BKKlVbQpzRWUkbTo9dxFUYk9j7C5HXic+qknfSRy/0gr7NsK712xAu9HvG+&#10;R/PVHrwCS2+BzLt7PDlqjStPT8WnmZW6vFjubkEkXNJfGH7xGR0aZtqHA9koBgV5yUEFm225AcF+&#10;XtyA2LOu8xxkU8v/DzQ/AAAA//8DAFBLAQItABQABgAIAAAAIQC2gziS/gAAAOEBAAATAAAAAAAA&#10;AAAAAAAAAAAAAABbQ29udGVudF9UeXBlc10ueG1sUEsBAi0AFAAGAAgAAAAhADj9If/WAAAAlAEA&#10;AAsAAAAAAAAAAAAAAAAALwEAAF9yZWxzLy5yZWxzUEsBAi0AFAAGAAgAAAAhABTju2ZDAgAAkwQA&#10;AA4AAAAAAAAAAAAAAAAALgIAAGRycy9lMm9Eb2MueG1sUEsBAi0AFAAGAAgAAAAhAD6KosrdAAAA&#10;CAEAAA8AAAAAAAAAAAAAAAAAnQQAAGRycy9kb3ducmV2LnhtbFBLBQYAAAAABAAEAPMAAACnBQAA&#10;AAA=&#10;" fillcolor="window" strokeweight=".5pt">
                <v:textbox>
                  <w:txbxContent>
                    <w:p w14:paraId="528B5ECC" w14:textId="77777777" w:rsidR="002137D6" w:rsidRDefault="002137D6" w:rsidP="002137D6">
                      <w:r>
                        <w:t>A</w:t>
                      </w:r>
                    </w:p>
                  </w:txbxContent>
                </v:textbox>
              </v:shape>
            </w:pict>
          </mc:Fallback>
        </mc:AlternateContent>
      </w:r>
      <w:r w:rsidR="001B51E3" w:rsidRPr="001B11ED">
        <w:rPr>
          <w:noProof/>
        </w:rPr>
        <w:drawing>
          <wp:inline distT="0" distB="0" distL="0" distR="0" wp14:anchorId="52278DA9" wp14:editId="7A8C6DA2">
            <wp:extent cx="2786162" cy="2679397"/>
            <wp:effectExtent l="0" t="0" r="0" b="6985"/>
            <wp:docPr id="58" name="Picture 58" descr="A close up of some roc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close up of some rocks&#10;&#10;Description automatically generated with low confidence"/>
                    <pic:cNvPicPr/>
                  </pic:nvPicPr>
                  <pic:blipFill>
                    <a:blip r:embed="rId79"/>
                    <a:stretch>
                      <a:fillRect/>
                    </a:stretch>
                  </pic:blipFill>
                  <pic:spPr>
                    <a:xfrm>
                      <a:off x="0" y="0"/>
                      <a:ext cx="2809206" cy="2701558"/>
                    </a:xfrm>
                    <a:prstGeom prst="rect">
                      <a:avLst/>
                    </a:prstGeom>
                  </pic:spPr>
                </pic:pic>
              </a:graphicData>
            </a:graphic>
          </wp:inline>
        </w:drawing>
      </w:r>
      <w:r w:rsidR="001B51E3">
        <w:t xml:space="preserve">  </w:t>
      </w:r>
      <w:r w:rsidR="00591FF8" w:rsidRPr="00591FF8">
        <w:rPr>
          <w:noProof/>
        </w:rPr>
        <w:drawing>
          <wp:inline distT="0" distB="0" distL="0" distR="0" wp14:anchorId="49CAA2FE" wp14:editId="563102C1">
            <wp:extent cx="2727297" cy="2678362"/>
            <wp:effectExtent l="0" t="0" r="0" b="8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753735" cy="2704326"/>
                    </a:xfrm>
                    <a:prstGeom prst="rect">
                      <a:avLst/>
                    </a:prstGeom>
                  </pic:spPr>
                </pic:pic>
              </a:graphicData>
            </a:graphic>
          </wp:inline>
        </w:drawing>
      </w:r>
      <w:r w:rsidR="001B51E3">
        <w:t xml:space="preserve">  </w:t>
      </w:r>
    </w:p>
    <w:p w14:paraId="03CEB0AE" w14:textId="3F9B13D9" w:rsidR="001B51E3" w:rsidRDefault="002137D6" w:rsidP="00865BFD">
      <w:r>
        <w:rPr>
          <w:noProof/>
        </w:rPr>
        <mc:AlternateContent>
          <mc:Choice Requires="wps">
            <w:drawing>
              <wp:anchor distT="0" distB="0" distL="114300" distR="114300" simplePos="0" relativeHeight="251669504" behindDoc="0" locked="0" layoutInCell="1" allowOverlap="1" wp14:anchorId="7D6B2A32" wp14:editId="145D27E2">
                <wp:simplePos x="0" y="0"/>
                <wp:positionH relativeFrom="column">
                  <wp:posOffset>48785</wp:posOffset>
                </wp:positionH>
                <wp:positionV relativeFrom="paragraph">
                  <wp:posOffset>2313443</wp:posOffset>
                </wp:positionV>
                <wp:extent cx="278130" cy="286247"/>
                <wp:effectExtent l="0" t="0" r="26670" b="19050"/>
                <wp:wrapNone/>
                <wp:docPr id="135" name="Text Box 135"/>
                <wp:cNvGraphicFramePr/>
                <a:graphic xmlns:a="http://schemas.openxmlformats.org/drawingml/2006/main">
                  <a:graphicData uri="http://schemas.microsoft.com/office/word/2010/wordprocessingShape">
                    <wps:wsp>
                      <wps:cNvSpPr txBox="1"/>
                      <wps:spPr>
                        <a:xfrm>
                          <a:off x="0" y="0"/>
                          <a:ext cx="278130" cy="286247"/>
                        </a:xfrm>
                        <a:prstGeom prst="rect">
                          <a:avLst/>
                        </a:prstGeom>
                        <a:solidFill>
                          <a:sysClr val="window" lastClr="FFFFFF"/>
                        </a:solidFill>
                        <a:ln w="6350">
                          <a:solidFill>
                            <a:prstClr val="black"/>
                          </a:solidFill>
                        </a:ln>
                      </wps:spPr>
                      <wps:txbx>
                        <w:txbxContent>
                          <w:p w14:paraId="5863B570" w14:textId="16BDA7C2" w:rsidR="002137D6" w:rsidRDefault="002137D6" w:rsidP="002137D6">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B2A32" id="Text Box 135" o:spid="_x0000_s1032" type="#_x0000_t202" style="position:absolute;margin-left:3.85pt;margin-top:182.15pt;width:21.9pt;height:2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xrCQgIAAJMEAAAOAAAAZHJzL2Uyb0RvYy54bWysVN9v2jAQfp+0/8Hy+wikFGhEqBgV0yTU&#10;VqJTn41jQzTH59mGhP31OzvhR9s9TePB3PnO3919d5fpfVMpchDWlaBzOuj1KRGaQ1HqbU5/vCy/&#10;TChxnumCKdAip0fh6P3s86dpbTKRwg5UISxBEO2y2uR0573JksTxnaiY64ERGo0SbMU8qnabFJbV&#10;iF6pJO33R0kNtjAWuHAObx9aI51FfCkF909SOuGJyinm5uNp47kJZzKbsmxrmdmVvEuD/UMWFSs1&#10;Bj1DPTDPyN6WH6CqkltwIH2PQ5WAlCUXsQasZtB/V816x4yItSA5zpxpcv8Plj8e1ubZEt98hQYb&#10;GAipjcscXoZ6Gmmr8I+ZErQjhcczbaLxhONlOp4MbtDC0ZRORulwHFCSy2Njnf8moCJByKnFrkSy&#10;2GHlfOt6cgmxHKiyWJZKReXoFsqSA8MGYt8LqClRzHm8zOky/rpob54pTeqcjm5u+zHSG1uIdcbc&#10;KMZ/fkTA7JXGIi5cBMk3m4aUBQKfeNpAcUT6LLST5Qxflgi/wgyfmcVRQl5wPfwTHlIB5gSdRMkO&#10;7O+/3Qd/7DBaKalxNHPqfu2ZFVj4d429vxsMh2GWozK8Haeo2GvL5tqi99UCkLwBLqLhUQz+Xp1E&#10;aaF6xS2ah6hoYppj7Jz6k7jw7cLgFnIxn0cnnF7D/EqvDQ/QoVOB1pfmlVnT9dnjgDzCaYhZ9q7d&#10;rW94qWG+9yDLOAuB55bVjn6c/DhN3ZaG1brWo9flWzL7AwAA//8DAFBLAwQUAAYACAAAACEAX+bW&#10;wN0AAAAIAQAADwAAAGRycy9kb3ducmV2LnhtbEyPzU7DMBCE70i8g7VI3KhTmv6FbCqExBEhAge4&#10;ufaSGOJ1FLtp6NNjTuU4mtHMN+Vucp0YaQjWM8J8loEg1t5YbhDeXh9vNiBCVGxU55kQfijArrq8&#10;KFVh/JFfaKxjI1IJh0IhtDH2hZRBt+RUmPmeOHmffnAqJjk00gzqmMpdJ2+zbCWdspwWWtXTQ0v6&#10;uz44BMPvnvWHfTpZrrXdnp43X3pEvL6a7u9ARJriOQx/+AkdqsS09wc2QXQI63UKIixW+QJE8pfz&#10;JYg9Qp5tc5BVKf8fqH4BAAD//wMAUEsBAi0AFAAGAAgAAAAhALaDOJL+AAAA4QEAABMAAAAAAAAA&#10;AAAAAAAAAAAAAFtDb250ZW50X1R5cGVzXS54bWxQSwECLQAUAAYACAAAACEAOP0h/9YAAACUAQAA&#10;CwAAAAAAAAAAAAAAAAAvAQAAX3JlbHMvLnJlbHNQSwECLQAUAAYACAAAACEA1DMawkICAACTBAAA&#10;DgAAAAAAAAAAAAAAAAAuAgAAZHJzL2Uyb0RvYy54bWxQSwECLQAUAAYACAAAACEAX+bWwN0AAAAI&#10;AQAADwAAAAAAAAAAAAAAAACcBAAAZHJzL2Rvd25yZXYueG1sUEsFBgAAAAAEAAQA8wAAAKYFAAAA&#10;AA==&#10;" fillcolor="window" strokeweight=".5pt">
                <v:textbox>
                  <w:txbxContent>
                    <w:p w14:paraId="5863B570" w14:textId="16BDA7C2" w:rsidR="002137D6" w:rsidRDefault="002137D6" w:rsidP="002137D6">
                      <w:r>
                        <w:t>C</w:t>
                      </w:r>
                    </w:p>
                  </w:txbxContent>
                </v:textbox>
              </v:shape>
            </w:pict>
          </mc:Fallback>
        </mc:AlternateContent>
      </w:r>
      <w:r w:rsidR="001B51E3" w:rsidRPr="004C4842">
        <w:rPr>
          <w:noProof/>
        </w:rPr>
        <w:drawing>
          <wp:inline distT="0" distB="0" distL="0" distR="0" wp14:anchorId="12A3DEC8" wp14:editId="35773B37">
            <wp:extent cx="2766695" cy="2655736"/>
            <wp:effectExtent l="0" t="0" r="0" b="0"/>
            <wp:docPr id="61" name="Picture 61" descr="A picture containing rock, outdoor, plan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rock, outdoor, plant, stone&#10;&#10;Description automatically generated"/>
                    <pic:cNvPicPr/>
                  </pic:nvPicPr>
                  <pic:blipFill>
                    <a:blip r:embed="rId81"/>
                    <a:stretch>
                      <a:fillRect/>
                    </a:stretch>
                  </pic:blipFill>
                  <pic:spPr>
                    <a:xfrm>
                      <a:off x="0" y="0"/>
                      <a:ext cx="2792317" cy="2680331"/>
                    </a:xfrm>
                    <a:prstGeom prst="rect">
                      <a:avLst/>
                    </a:prstGeom>
                  </pic:spPr>
                </pic:pic>
              </a:graphicData>
            </a:graphic>
          </wp:inline>
        </w:drawing>
      </w:r>
    </w:p>
    <w:p w14:paraId="7DE280A4" w14:textId="4456417D" w:rsidR="001651D8" w:rsidRDefault="009F1FEB" w:rsidP="009F1FEB">
      <w:pPr>
        <w:pStyle w:val="Caption"/>
      </w:pPr>
      <w:bookmarkStart w:id="89" w:name="_Toc127110933"/>
      <w:r>
        <w:t xml:space="preserve">Figure </w:t>
      </w:r>
      <w:fldSimple w:instr=" SEQ Figure \* ARABIC ">
        <w:r w:rsidR="00A0212F">
          <w:rPr>
            <w:noProof/>
          </w:rPr>
          <w:t>39</w:t>
        </w:r>
      </w:fldSimple>
      <w:r>
        <w:t xml:space="preserve"> </w:t>
      </w:r>
      <w:r w:rsidRPr="0028780E">
        <w:t>Pictures of the Biocoke. A – 3% biochar 2 substitution, B – 5% biochar 2 substitution, C – 7.5% biochar 2 substitution.</w:t>
      </w:r>
      <w:bookmarkEnd w:id="89"/>
    </w:p>
    <w:p w14:paraId="2FE54538" w14:textId="51739E28" w:rsidR="00591FF8" w:rsidRDefault="00F8468C" w:rsidP="00B6026C">
      <w:pPr>
        <w:spacing w:line="360" w:lineRule="auto"/>
        <w:jc w:val="both"/>
      </w:pPr>
      <w:r>
        <w:t xml:space="preserve">The biochar 2 at 3% substitution </w:t>
      </w:r>
      <w:r w:rsidR="00476AD2">
        <w:t xml:space="preserve">is shown above in figure 40, the biochar inclusions </w:t>
      </w:r>
      <w:r w:rsidR="00123698">
        <w:t>are</w:t>
      </w:r>
      <w:r w:rsidR="00476AD2">
        <w:t xml:space="preserve"> moderately dispersed throughout the coke structure,</w:t>
      </w:r>
      <w:r w:rsidR="00BA58BD">
        <w:t xml:space="preserve"> the size of the inclusions in this sample are larger than the biochar 1 sample.</w:t>
      </w:r>
      <w:r w:rsidR="00476AD2">
        <w:t xml:space="preserve"> </w:t>
      </w:r>
      <w:r w:rsidR="00BA58BD">
        <w:t>T</w:t>
      </w:r>
      <w:r w:rsidR="00476AD2">
        <w:t>he remaining coke seems to be unchanged.</w:t>
      </w:r>
    </w:p>
    <w:p w14:paraId="147A4E60" w14:textId="22F25DDE" w:rsidR="00553246" w:rsidRDefault="00553246" w:rsidP="00553246">
      <w:pPr>
        <w:spacing w:line="360" w:lineRule="auto"/>
        <w:jc w:val="both"/>
      </w:pPr>
      <w:r>
        <w:t>The main factors affecting CSR are outlined in figure 40, all these variables are kept constant for the test carried out in this report other than the coal composition and therefore any variation from the original analysis can be attributed to the addition of the biochar.</w:t>
      </w:r>
    </w:p>
    <w:p w14:paraId="331D745F" w14:textId="77777777" w:rsidR="00553246" w:rsidRDefault="00553246" w:rsidP="00553246">
      <w:pPr>
        <w:spacing w:line="360" w:lineRule="auto"/>
        <w:jc w:val="both"/>
      </w:pPr>
      <w:r w:rsidRPr="004E543F">
        <w:rPr>
          <w:noProof/>
        </w:rPr>
        <w:lastRenderedPageBreak/>
        <w:drawing>
          <wp:inline distT="0" distB="0" distL="0" distR="0" wp14:anchorId="618153D6" wp14:editId="397A2F0E">
            <wp:extent cx="3467584" cy="2086266"/>
            <wp:effectExtent l="0" t="0" r="0" b="9525"/>
            <wp:docPr id="49" name="Picture 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Diagram&#10;&#10;Description automatically generated"/>
                    <pic:cNvPicPr/>
                  </pic:nvPicPr>
                  <pic:blipFill>
                    <a:blip r:embed="rId82"/>
                    <a:stretch>
                      <a:fillRect/>
                    </a:stretch>
                  </pic:blipFill>
                  <pic:spPr>
                    <a:xfrm>
                      <a:off x="0" y="0"/>
                      <a:ext cx="3467584" cy="2086266"/>
                    </a:xfrm>
                    <a:prstGeom prst="rect">
                      <a:avLst/>
                    </a:prstGeom>
                  </pic:spPr>
                </pic:pic>
              </a:graphicData>
            </a:graphic>
          </wp:inline>
        </w:drawing>
      </w:r>
    </w:p>
    <w:p w14:paraId="624537CB" w14:textId="6840133C" w:rsidR="00553246" w:rsidRPr="00591FF8" w:rsidRDefault="00553246" w:rsidP="00553246">
      <w:pPr>
        <w:pStyle w:val="Caption"/>
      </w:pPr>
      <w:bookmarkStart w:id="90" w:name="_Toc127110934"/>
      <w:r>
        <w:t xml:space="preserve">Figure </w:t>
      </w:r>
      <w:fldSimple w:instr=" SEQ Figure \* ARABIC ">
        <w:r w:rsidR="00A0212F">
          <w:rPr>
            <w:noProof/>
          </w:rPr>
          <w:t>40</w:t>
        </w:r>
      </w:fldSimple>
      <w:r>
        <w:t xml:space="preserve"> </w:t>
      </w:r>
      <w:r w:rsidRPr="001C18D1">
        <w:t>Factors affecting coke strength after reaction (</w:t>
      </w:r>
      <w:proofErr w:type="spellStart"/>
      <w:r w:rsidRPr="001C18D1">
        <w:t>Dı́ez</w:t>
      </w:r>
      <w:proofErr w:type="spellEnd"/>
      <w:r w:rsidRPr="001C18D1">
        <w:t xml:space="preserve"> et al. 2002)</w:t>
      </w:r>
      <w:bookmarkEnd w:id="90"/>
    </w:p>
    <w:p w14:paraId="548F724E" w14:textId="03F18393" w:rsidR="00113187" w:rsidRDefault="00113187" w:rsidP="00113187">
      <w:pPr>
        <w:spacing w:line="360" w:lineRule="auto"/>
        <w:jc w:val="both"/>
      </w:pPr>
      <w:r>
        <w:fldChar w:fldCharType="begin"/>
      </w:r>
      <w:r w:rsidR="00192334">
        <w:instrText xml:space="preserve"> ADDIN ZOTERO_ITEM CSL_CITATION {"citationID":"5J6s1MXe","properties":{"formattedCitation":"(Guerrero, Diez and Borrego, 2015)","plainCitation":"(Guerrero, Diez and Borrego, 2015)","noteIndex":0},"citationItems":[{"id":1861,"uris":["http://zotero.org/users/local/AB2owHL2/items/33TDDFTH"],"itemData":{"id":1861,"type":"article-journal","abstract":"The aim of this work is to investigate the influence of the addition of organic inerts such as charcoal with a well-controlled particle size on the development of fluidity in three coking coals of different rank, maceral composition, and rheological properties. Three size fractions of charcoal, &lt;20, 20–80, and 80–212μm, that can be considered as artificially prepared inertinites were used. The different charcoal fractions were added in amounts of 2, 5, 10, and 15wt.% to selected high-quality coking coals with a Gieseler maximum fluidity (Fmax) of 373 (LF), 541 (MF), and 1891 (HF) ddpm. Increasing the amount of charcoal in the blend led to a progressive inverse exponential reduction in fluidity. This reduction was accompanied by a shortening of the fluid interval due to an increase in the softening temperature. In the case of the finest charcoal fraction, the inhibition of fluidity was even more pronounced. The HF coal with a relatively high fluidity was very sensitive to minimum amounts of charcoal addition, losing nearly half of its fluidity when 5wt.% charcoal was added. A similar reduction in Fmax was also observed for LF, while MF with only a slightly higher fluidity displayed a different trend. From the results it can be seen that the inherent characteristics of a coal are critical factors that affect the extent of the reduction in fluidity caused by the incorporation of charcoal. The differences can be partially attributed to the amount of inertinite present in the parent coal and to the macerals within the inertinite, especially fusinite, semifusinite, and inertodetrinite. In relation to petrographic changes in the matrix of the semicokes, there is a general trend for isotropic material to increase and the size of the anisotropic textures to decrease with the addition of charcoal. Inclusions within the semicoke matrix also change according to the amount and the size of the charcoal added to coal.","container-title":"International Journal of Coal Geology","DOI":"10.1016/j.coal.2015.06.013","ISSN":"0166-5162","journalAbbreviation":"International Journal of Coal Geology","language":"en","page":"105-114","source":"ScienceDirect","title":"Influence of charcoal fines on the thermoplastic properties of coking coals and the optical properties of the semicoke","URL":"https://www.sciencedirect.com/science/article/pii/S0166516215300185","volume":"147-148","author":[{"family":"Guerrero","given":"Adrià"},{"family":"Diez","given":"María A."},{"family":"Borrego","given":"Angeles G."}],"accessed":{"date-parts":[["2022",8,1]]},"issued":{"date-parts":[["2015",8,1]]}}}],"schema":"https://github.com/citation-style-language/schema/raw/master/csl-citation.json"} </w:instrText>
      </w:r>
      <w:r>
        <w:fldChar w:fldCharType="separate"/>
      </w:r>
      <w:r w:rsidR="00192334" w:rsidRPr="00192334">
        <w:rPr>
          <w:rFonts w:ascii="Calibri" w:hAnsi="Calibri" w:cs="Calibri"/>
        </w:rPr>
        <w:t>(Guerrero, Diez and Borrego, 2015)</w:t>
      </w:r>
      <w:r>
        <w:fldChar w:fldCharType="end"/>
      </w:r>
      <w:r>
        <w:t xml:space="preserve"> studied the influence of charcoal fines on the coking of coal and found that the presence of charcoal increased the softening temperature of the coal during its plastic phase and reduced its fluidity. Increased quantity of inert material in the coal forms inclusions within the coke, from which fissures can propagate, reducing mechanical strength. Coal dilation is also affected which may lead to voids in the coke acting as weak points.</w:t>
      </w:r>
      <w:r w:rsidR="00A34C6F">
        <w:t xml:space="preserve"> </w:t>
      </w:r>
    </w:p>
    <w:p w14:paraId="183DE6F1" w14:textId="2FE6D636" w:rsidR="001B11ED" w:rsidRDefault="0013737A" w:rsidP="00553246">
      <w:pPr>
        <w:spacing w:line="360" w:lineRule="auto"/>
        <w:jc w:val="both"/>
      </w:pPr>
      <w:r>
        <w:fldChar w:fldCharType="begin"/>
      </w:r>
      <w:r w:rsidR="00192334">
        <w:instrText xml:space="preserve"> ADDIN ZOTERO_ITEM CSL_CITATION {"citationID":"yiIT7dtC","properties":{"formattedCitation":"(Diez, Alvarez and Fern\\uc0\\u225{}ndez, 2012)","plainCitation":"(Diez, Alvarez and Fernández, 2012)","noteIndex":0},"citationItems":[{"id":1859,"uris":["http://zotero.org/users/local/AB2owHL2/items/E97NHM52"],"itemData":{"id":1859,"type":"article-journal","abstract":"The modifications in the development of fluidity of a single coking coal caused by Eucalyptus wood, its carbonization products (charcoal and tars) and biomass model compounds (xylan, cellulose and lignin) were assessed by Gieseler plastometry. Eucalyptus sawdust and its carbonization products obtained at 415°C (tars and charcoal) inhibited the fluidity development of coking coals to different degrees. At a low addition rate, the following reducing effect on coal fluidity by biomass products and components was observed: xylan&lt;water-soluble tar&lt;charcoal&lt;lignin&lt;water-insoluble tar&lt;cellulose&lt;sawdust. As the amount of each biomass-derived carbonization product was increased in the blend, the overall effect resembled that of the biomass precursor (xylan, cellulose and lignin). In order to explain the different abilities of biomass-based additives to reduce the fluidity of coal, FTIR spectroscopy and GC–MS were used to identify the major components of the tars, while thermogravimetry was applied to follow the pyrolysis behavior of the biomass products and model compounds.","container-title":"Fuel","DOI":"10.1016/j.fuel.2011.12.065","ISSN":"0016-2361","journalAbbreviation":"Fuel","language":"en","page":"306-313","source":"ScienceDirect","title":"Biomass derived products as modifiers of the rheological properties of coking coals","URL":"https://www.sciencedirect.com/science/article/pii/S0016236111008465","volume":"96","author":[{"family":"Diez","given":"M. A."},{"family":"Alvarez","given":"R."},{"family":"Fernández","given":"M."}],"accessed":{"date-parts":[["2022",8,1]]},"issued":{"date-parts":[["2012",6,1]]}}}],"schema":"https://github.com/citation-style-language/schema/raw/master/csl-citation.json"} </w:instrText>
      </w:r>
      <w:r>
        <w:fldChar w:fldCharType="separate"/>
      </w:r>
      <w:r w:rsidR="00192334" w:rsidRPr="00192334">
        <w:rPr>
          <w:rFonts w:ascii="Calibri" w:hAnsi="Calibri" w:cs="Calibri"/>
          <w:szCs w:val="24"/>
        </w:rPr>
        <w:t>(Diez, Alvarez and Fernández, 2012)</w:t>
      </w:r>
      <w:r>
        <w:fldChar w:fldCharType="end"/>
      </w:r>
      <w:r>
        <w:t xml:space="preserve"> </w:t>
      </w:r>
      <w:r w:rsidR="00263273">
        <w:t xml:space="preserve">describe charcoal as a porous material with </w:t>
      </w:r>
      <w:r w:rsidR="0078077E">
        <w:t xml:space="preserve">a much higher surface area than coal, during </w:t>
      </w:r>
      <w:r w:rsidR="004C778E">
        <w:t>coke making the biochar absorbs the decomposition products from coal</w:t>
      </w:r>
      <w:r w:rsidR="002F5754">
        <w:t>, increasing the softening temperature and inhibiting fluidity development</w:t>
      </w:r>
      <w:r w:rsidR="00205DCD">
        <w:t>. Resulting in a lower quality coke.</w:t>
      </w:r>
      <w:r w:rsidR="004C778E">
        <w:t xml:space="preserve"> </w:t>
      </w:r>
    </w:p>
    <w:p w14:paraId="70A716ED" w14:textId="77483297" w:rsidR="00484DE3" w:rsidRDefault="00484DE3" w:rsidP="00553246">
      <w:pPr>
        <w:spacing w:line="360" w:lineRule="auto"/>
        <w:jc w:val="both"/>
      </w:pPr>
      <w:r>
        <w:t xml:space="preserve">The results of the coke quality tests show </w:t>
      </w:r>
      <w:r w:rsidR="005648CF">
        <w:t xml:space="preserve">that </w:t>
      </w:r>
      <w:r w:rsidR="00332687">
        <w:t xml:space="preserve">it </w:t>
      </w:r>
      <w:r w:rsidR="00406142">
        <w:t>would be possible to replace at least 3% of coal</w:t>
      </w:r>
      <w:r w:rsidR="00AE4F14">
        <w:t xml:space="preserve"> with biochar for coke</w:t>
      </w:r>
      <w:r w:rsidR="00DC2A76">
        <w:t xml:space="preserve"> </w:t>
      </w:r>
      <w:r w:rsidR="00AE4F14">
        <w:t>making.</w:t>
      </w:r>
      <w:r w:rsidR="00B555F9">
        <w:t xml:space="preserve"> </w:t>
      </w:r>
      <w:r w:rsidR="001D45FD">
        <w:t>Biochar 1 could be used at 5% with minimal im</w:t>
      </w:r>
      <w:r w:rsidR="007973F5">
        <w:t>p</w:t>
      </w:r>
      <w:r w:rsidR="001D45FD">
        <w:t>act</w:t>
      </w:r>
      <w:r w:rsidR="007973F5">
        <w:t xml:space="preserve"> upon coke quality. </w:t>
      </w:r>
      <w:r w:rsidR="00406142">
        <w:t xml:space="preserve"> </w:t>
      </w:r>
      <w:r w:rsidR="00A65C7C">
        <w:t xml:space="preserve">At 7.5% </w:t>
      </w:r>
      <w:r w:rsidR="00C732BD">
        <w:t xml:space="preserve">biochar substitution the quality of the coke </w:t>
      </w:r>
      <w:r w:rsidR="00DC2A76">
        <w:t xml:space="preserve">decreases significantly. </w:t>
      </w:r>
    </w:p>
    <w:p w14:paraId="19F08E86" w14:textId="37CBE662" w:rsidR="00A71F8F" w:rsidRDefault="00A71F8F" w:rsidP="00553246">
      <w:pPr>
        <w:spacing w:line="360" w:lineRule="auto"/>
        <w:jc w:val="both"/>
      </w:pPr>
      <w:r>
        <w:t xml:space="preserve">The addition of biochar </w:t>
      </w:r>
      <w:r w:rsidR="007A26E3">
        <w:t>to coking coal increases</w:t>
      </w:r>
      <w:r w:rsidR="00D310BC">
        <w:t xml:space="preserve"> its reactivity and decreases its hot and cold mechanical strength</w:t>
      </w:r>
      <w:r w:rsidR="001F1E77">
        <w:t xml:space="preserve">. When kept to </w:t>
      </w:r>
      <w:r w:rsidR="004210DA">
        <w:t xml:space="preserve">5% </w:t>
      </w:r>
      <w:r w:rsidR="004C44A4">
        <w:t xml:space="preserve">addition </w:t>
      </w:r>
      <w:r w:rsidR="004210DA">
        <w:t>and below</w:t>
      </w:r>
      <w:r w:rsidR="00E66A18">
        <w:t xml:space="preserve"> </w:t>
      </w:r>
      <w:r w:rsidR="00282C22">
        <w:t xml:space="preserve">these </w:t>
      </w:r>
      <w:r w:rsidR="004C44A4">
        <w:t>effects are</w:t>
      </w:r>
      <w:r w:rsidR="00527AF7">
        <w:t xml:space="preserve"> low enough to be</w:t>
      </w:r>
      <w:r w:rsidR="004C44A4">
        <w:t xml:space="preserve"> </w:t>
      </w:r>
      <w:r w:rsidR="00527AF7">
        <w:t>tolerable</w:t>
      </w:r>
      <w:r w:rsidR="00390F02">
        <w:t xml:space="preserve"> and a</w:t>
      </w:r>
      <w:r w:rsidR="00C0194C">
        <w:t xml:space="preserve">s </w:t>
      </w:r>
      <w:r w:rsidR="00B667A3">
        <w:t xml:space="preserve">previously </w:t>
      </w:r>
      <w:r w:rsidR="00C0194C">
        <w:t xml:space="preserve">mentioned a more reactive coke </w:t>
      </w:r>
      <w:r w:rsidR="00E2668C">
        <w:t>may increase the efficiency of the BF.</w:t>
      </w:r>
      <w:r w:rsidR="00527AF7">
        <w:t xml:space="preserve">  </w:t>
      </w:r>
      <w:r w:rsidR="004C44A4">
        <w:t xml:space="preserve"> </w:t>
      </w:r>
    </w:p>
    <w:p w14:paraId="28C06CF4" w14:textId="3E20D0E2" w:rsidR="000B6A88" w:rsidRDefault="006A5117" w:rsidP="00553246">
      <w:pPr>
        <w:spacing w:line="360" w:lineRule="auto"/>
        <w:jc w:val="both"/>
      </w:pPr>
      <w:r>
        <w:t xml:space="preserve">Further work could be carried out to </w:t>
      </w:r>
      <w:r w:rsidR="00B31753">
        <w:t xml:space="preserve">research the effects of biochar PSD, </w:t>
      </w:r>
      <w:r w:rsidR="0069618B">
        <w:t>feedstock,</w:t>
      </w:r>
      <w:r w:rsidR="00B31753">
        <w:t xml:space="preserve"> and pyrolysis conditions on </w:t>
      </w:r>
      <w:r w:rsidR="001B2E2D">
        <w:t>coke quality.</w:t>
      </w:r>
    </w:p>
    <w:p w14:paraId="13DAB751" w14:textId="77777777" w:rsidR="001B11ED" w:rsidRPr="001B11ED" w:rsidRDefault="001B11ED" w:rsidP="001B11ED"/>
    <w:p w14:paraId="30F6A074" w14:textId="5066E536" w:rsidR="001B11ED" w:rsidRDefault="001B11ED" w:rsidP="00865BFD"/>
    <w:p w14:paraId="7ECCF4B8" w14:textId="17D534E0" w:rsidR="004C4842" w:rsidRDefault="004C4842" w:rsidP="004C4842"/>
    <w:p w14:paraId="6CD1C189" w14:textId="77777777" w:rsidR="00390F02" w:rsidRDefault="00390F02" w:rsidP="004C4842"/>
    <w:p w14:paraId="6AA6F30F" w14:textId="77777777" w:rsidR="00390F02" w:rsidRDefault="00390F02" w:rsidP="004C4842"/>
    <w:p w14:paraId="695A3CEE" w14:textId="14222C62" w:rsidR="004C4842" w:rsidRDefault="00CB63E2" w:rsidP="001D53D6">
      <w:pPr>
        <w:pStyle w:val="Heading2"/>
        <w:spacing w:line="360" w:lineRule="auto"/>
        <w:jc w:val="both"/>
      </w:pPr>
      <w:bookmarkStart w:id="91" w:name="_Toc128599632"/>
      <w:r>
        <w:lastRenderedPageBreak/>
        <w:t xml:space="preserve">Biochar substitution in Sinter </w:t>
      </w:r>
      <w:r w:rsidR="00D44525">
        <w:t>making.</w:t>
      </w:r>
      <w:bookmarkEnd w:id="91"/>
    </w:p>
    <w:p w14:paraId="4B7520F0" w14:textId="48ED5BDF" w:rsidR="001A2744" w:rsidRDefault="00C55877" w:rsidP="00BD5DF0">
      <w:pPr>
        <w:spacing w:line="360" w:lineRule="auto"/>
        <w:jc w:val="both"/>
      </w:pPr>
      <w:r>
        <w:t xml:space="preserve">Sinter is the most commonly used BF </w:t>
      </w:r>
      <w:r w:rsidR="004D3340">
        <w:t xml:space="preserve">burden material. </w:t>
      </w:r>
      <w:r w:rsidR="00AA1C02">
        <w:t xml:space="preserve">The sinter plant agglomerates iron ore, iron rich revert materials and </w:t>
      </w:r>
      <w:r w:rsidR="00BD5DF0">
        <w:t xml:space="preserve">fluxes into a suitable feedstock for the BF. The process is </w:t>
      </w:r>
      <w:r w:rsidR="003B5EAE">
        <w:t xml:space="preserve">a complex, </w:t>
      </w:r>
      <w:r w:rsidR="00BD5DF0">
        <w:t>energy intensive</w:t>
      </w:r>
      <w:r w:rsidR="000F7CDF">
        <w:t xml:space="preserve"> one</w:t>
      </w:r>
      <w:r w:rsidR="00BD5DF0">
        <w:t xml:space="preserve"> </w:t>
      </w:r>
      <w:r w:rsidR="009176C3">
        <w:t>and a considerable amount of CO2 is produced</w:t>
      </w:r>
      <w:r w:rsidR="00D51664">
        <w:t xml:space="preserve">, up to 12 % of the steel plant. </w:t>
      </w:r>
      <w:r w:rsidR="00F07D03">
        <w:t>Coke breez</w:t>
      </w:r>
      <w:r w:rsidR="00F47F3F">
        <w:t>e is the most conventional fuel used to provide the heat for the process,</w:t>
      </w:r>
      <w:r w:rsidR="00CB2055">
        <w:t xml:space="preserve"> the coke breeze is </w:t>
      </w:r>
      <w:r w:rsidR="00C24C29">
        <w:t>screened from the coke that is to be used in the BF, however</w:t>
      </w:r>
      <w:r w:rsidR="009745A5">
        <w:t xml:space="preserve"> in</w:t>
      </w:r>
      <w:r w:rsidR="00C24C29">
        <w:t xml:space="preserve"> many steel plants </w:t>
      </w:r>
      <w:r w:rsidR="00905352">
        <w:t>the total amount required for sintering falls short</w:t>
      </w:r>
      <w:r w:rsidR="009745A5">
        <w:t xml:space="preserve"> and </w:t>
      </w:r>
      <w:r w:rsidR="00ED557D">
        <w:t>needs</w:t>
      </w:r>
      <w:r w:rsidR="00653698">
        <w:t xml:space="preserve"> to be outsourced or alternative fuels used</w:t>
      </w:r>
      <w:r w:rsidR="00224B09">
        <w:t xml:space="preserve"> total </w:t>
      </w:r>
      <w:r w:rsidR="00224B09">
        <w:fldChar w:fldCharType="begin"/>
      </w:r>
      <w:r w:rsidR="00192334">
        <w:instrText xml:space="preserve"> ADDIN ZOTERO_ITEM CSL_CITATION {"citationID":"Udn8mwtI","properties":{"formattedCitation":"(Zandi, Martinez-Pacheco and Fray, 2010)","plainCitation":"(Zandi, Martinez-Pacheco and Fray, 2010)","noteIndex":0},"citationItems":[{"id":1763,"uris":["http://zotero.org/users/local/AB2owHL2/items/5MKKPABR"],"itemData":{"id":1763,"type":"article-journal","abstract":"Within an integrated steelworks, iron ore sinter making is an energy intensive process. In recent years, biomass is becoming an attractive alternative source of energy to traditional fossil fuels such as coal. In this study, commercially available biomass materials suited to sinter making have been identified as an alternative source of fuel to coke breeze. Olive residues, sunflower husk pellets, almond shells, hazelnut shells and Bagasse pellets have been characterised and prepared for sintering. A laboratory sinter pot has been employed for studying sintering behaviour of biomass material. On average, the calorific values of selected biomass materials, on a dry basis, are about 65% of dry coke breeze. It was found that less of this energy would be available in sinter making due to the evaporation of some of the volatile matter ahead of the flame front. At a replacement rate of 25%, the crushed sunflower husk pellets showed the closest thermal profile to that of coke breeze alone in the size range of −0.8 to +0.6mm. A specification of less than 1mm has been recommended for the studied biomass materials when co-firing biomass with coke breeze for iron ore sintering.","container-title":"Minerals Engineering","DOI":"10.1016/j.mineng.2010.07.010","ISSN":"0892-6875","issue":"14","journalAbbreviation":"Minerals Engineering","language":"en","page":"1139-1145","source":"ScienceDirect","title":"Biomass for iron ore sintering","URL":"https://www.sciencedirect.com/science/article/pii/S0892687510001792","volume":"23","author":[{"family":"Zandi","given":"Mohammad"},{"family":"Martinez-Pacheco","given":"Maria"},{"family":"Fray","given":"Trevor A. T."}],"accessed":{"date-parts":[["2022",7,12]]},"issued":{"date-parts":[["2010",11,1]]}}}],"schema":"https://github.com/citation-style-language/schema/raw/master/csl-citation.json"} </w:instrText>
      </w:r>
      <w:r w:rsidR="00224B09">
        <w:fldChar w:fldCharType="separate"/>
      </w:r>
      <w:r w:rsidR="00192334" w:rsidRPr="00192334">
        <w:rPr>
          <w:rFonts w:ascii="Calibri" w:hAnsi="Calibri" w:cs="Calibri"/>
        </w:rPr>
        <w:t>(Zandi, Martinez-Pacheco and Fray, 2010)</w:t>
      </w:r>
      <w:r w:rsidR="00224B09">
        <w:fldChar w:fldCharType="end"/>
      </w:r>
      <w:r w:rsidR="00653698">
        <w:t>.</w:t>
      </w:r>
    </w:p>
    <w:p w14:paraId="19B4F26D" w14:textId="1CA0C359" w:rsidR="005E3EBB" w:rsidRDefault="005E3EBB" w:rsidP="00EC433A">
      <w:pPr>
        <w:pStyle w:val="Heading3"/>
        <w:spacing w:line="360" w:lineRule="auto"/>
        <w:jc w:val="both"/>
      </w:pPr>
      <w:bookmarkStart w:id="92" w:name="_Toc128599633"/>
      <w:r>
        <w:t>Coke breeze and biochar chemical analysis</w:t>
      </w:r>
      <w:bookmarkEnd w:id="92"/>
    </w:p>
    <w:p w14:paraId="0F65CA3C" w14:textId="57E9EEE9" w:rsidR="00EC433A" w:rsidRPr="00EC433A" w:rsidRDefault="00EC433A" w:rsidP="00EC433A">
      <w:pPr>
        <w:spacing w:line="360" w:lineRule="auto"/>
        <w:jc w:val="both"/>
      </w:pPr>
      <w:r>
        <w:t>The comparison of coke breeze and biochar chemistry is shown below in table 13.</w:t>
      </w:r>
    </w:p>
    <w:p w14:paraId="7506EC28" w14:textId="784F93BA" w:rsidR="00BA5CDC" w:rsidRPr="00BA5CDC" w:rsidRDefault="00BA5CDC" w:rsidP="00BA5CDC">
      <w:pPr>
        <w:pStyle w:val="Caption"/>
        <w:jc w:val="center"/>
      </w:pPr>
      <w:r>
        <w:t xml:space="preserve">Table </w:t>
      </w:r>
      <w:fldSimple w:instr=" SEQ Table \* ARABIC ">
        <w:r w:rsidR="00DA2639">
          <w:rPr>
            <w:noProof/>
          </w:rPr>
          <w:t>13</w:t>
        </w:r>
      </w:fldSimple>
      <w:r>
        <w:t xml:space="preserve"> Coke breeze and biochar analysis </w:t>
      </w:r>
      <w:r w:rsidR="00970B51">
        <w:t>compared.</w:t>
      </w:r>
    </w:p>
    <w:tbl>
      <w:tblPr>
        <w:tblW w:w="5380" w:type="dxa"/>
        <w:jc w:val="center"/>
        <w:tblLook w:val="04A0" w:firstRow="1" w:lastRow="0" w:firstColumn="1" w:lastColumn="0" w:noHBand="0" w:noVBand="1"/>
      </w:tblPr>
      <w:tblGrid>
        <w:gridCol w:w="1380"/>
        <w:gridCol w:w="1240"/>
        <w:gridCol w:w="1380"/>
        <w:gridCol w:w="1380"/>
      </w:tblGrid>
      <w:tr w:rsidR="00157FC5" w:rsidRPr="00157FC5" w14:paraId="1A6C3C6E" w14:textId="77777777" w:rsidTr="00157FC5">
        <w:trPr>
          <w:trHeight w:val="615"/>
          <w:jc w:val="center"/>
        </w:trPr>
        <w:tc>
          <w:tcPr>
            <w:tcW w:w="1380" w:type="dxa"/>
            <w:tcBorders>
              <w:top w:val="single" w:sz="4" w:space="0" w:color="3F3F3F"/>
              <w:left w:val="single" w:sz="4" w:space="0" w:color="3F3F3F"/>
              <w:bottom w:val="single" w:sz="4" w:space="0" w:color="3F3F3F"/>
              <w:right w:val="single" w:sz="4" w:space="0" w:color="3F3F3F"/>
            </w:tcBorders>
            <w:shd w:val="clear" w:color="000000" w:fill="F2F2F2"/>
            <w:vAlign w:val="center"/>
            <w:hideMark/>
          </w:tcPr>
          <w:p w14:paraId="47201C93"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 xml:space="preserve">Parameter </w:t>
            </w:r>
            <w:proofErr w:type="spellStart"/>
            <w:r w:rsidRPr="00157FC5">
              <w:rPr>
                <w:rFonts w:ascii="Calibri" w:eastAsia="Times New Roman" w:hAnsi="Calibri" w:cs="Calibri"/>
                <w:b/>
                <w:bCs/>
                <w:color w:val="3F3F3F"/>
                <w:lang w:eastAsia="en-GB"/>
              </w:rPr>
              <w:t>db</w:t>
            </w:r>
            <w:proofErr w:type="spellEnd"/>
            <w:r w:rsidRPr="00157FC5">
              <w:rPr>
                <w:rFonts w:ascii="Calibri" w:eastAsia="Times New Roman" w:hAnsi="Calibri" w:cs="Calibri"/>
                <w:b/>
                <w:bCs/>
                <w:color w:val="3F3F3F"/>
                <w:lang w:eastAsia="en-GB"/>
              </w:rPr>
              <w:t>%</w:t>
            </w:r>
          </w:p>
        </w:tc>
        <w:tc>
          <w:tcPr>
            <w:tcW w:w="1240" w:type="dxa"/>
            <w:tcBorders>
              <w:top w:val="single" w:sz="4" w:space="0" w:color="3F3F3F"/>
              <w:left w:val="nil"/>
              <w:bottom w:val="single" w:sz="4" w:space="0" w:color="3F3F3F"/>
              <w:right w:val="single" w:sz="4" w:space="0" w:color="3F3F3F"/>
            </w:tcBorders>
            <w:shd w:val="clear" w:color="000000" w:fill="F2F2F2"/>
            <w:vAlign w:val="center"/>
            <w:hideMark/>
          </w:tcPr>
          <w:p w14:paraId="35F5188E"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 xml:space="preserve">Coke Breeze </w:t>
            </w:r>
          </w:p>
        </w:tc>
        <w:tc>
          <w:tcPr>
            <w:tcW w:w="1380" w:type="dxa"/>
            <w:tcBorders>
              <w:top w:val="single" w:sz="4" w:space="0" w:color="3F3F3F"/>
              <w:left w:val="nil"/>
              <w:bottom w:val="single" w:sz="4" w:space="0" w:color="3F3F3F"/>
              <w:right w:val="single" w:sz="4" w:space="0" w:color="3F3F3F"/>
            </w:tcBorders>
            <w:shd w:val="clear" w:color="000000" w:fill="F2F2F2"/>
            <w:vAlign w:val="center"/>
            <w:hideMark/>
          </w:tcPr>
          <w:p w14:paraId="16BBE1AB"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Biochar 1</w:t>
            </w:r>
          </w:p>
        </w:tc>
        <w:tc>
          <w:tcPr>
            <w:tcW w:w="1380" w:type="dxa"/>
            <w:tcBorders>
              <w:top w:val="single" w:sz="4" w:space="0" w:color="3F3F3F"/>
              <w:left w:val="nil"/>
              <w:bottom w:val="single" w:sz="4" w:space="0" w:color="3F3F3F"/>
              <w:right w:val="single" w:sz="4" w:space="0" w:color="3F3F3F"/>
            </w:tcBorders>
            <w:shd w:val="clear" w:color="000000" w:fill="F2F2F2"/>
            <w:vAlign w:val="center"/>
            <w:hideMark/>
          </w:tcPr>
          <w:p w14:paraId="40CD2E0B"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Biochar 2</w:t>
            </w:r>
          </w:p>
        </w:tc>
      </w:tr>
      <w:tr w:rsidR="00157FC5" w:rsidRPr="00157FC5" w14:paraId="1BADF3F7"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45571909"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Fixed Carbon</w:t>
            </w:r>
          </w:p>
        </w:tc>
        <w:tc>
          <w:tcPr>
            <w:tcW w:w="1240" w:type="dxa"/>
            <w:tcBorders>
              <w:top w:val="nil"/>
              <w:left w:val="nil"/>
              <w:bottom w:val="single" w:sz="4" w:space="0" w:color="3F3F3F"/>
              <w:right w:val="single" w:sz="4" w:space="0" w:color="3F3F3F"/>
            </w:tcBorders>
            <w:shd w:val="clear" w:color="000000" w:fill="F2F2F2"/>
            <w:vAlign w:val="center"/>
            <w:hideMark/>
          </w:tcPr>
          <w:p w14:paraId="3968364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86.1</w:t>
            </w:r>
          </w:p>
        </w:tc>
        <w:tc>
          <w:tcPr>
            <w:tcW w:w="1380" w:type="dxa"/>
            <w:tcBorders>
              <w:top w:val="nil"/>
              <w:left w:val="nil"/>
              <w:bottom w:val="single" w:sz="4" w:space="0" w:color="3F3F3F"/>
              <w:right w:val="single" w:sz="4" w:space="0" w:color="3F3F3F"/>
            </w:tcBorders>
            <w:shd w:val="clear" w:color="000000" w:fill="F2F2F2"/>
            <w:vAlign w:val="center"/>
            <w:hideMark/>
          </w:tcPr>
          <w:p w14:paraId="6DF70A9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90.2</w:t>
            </w:r>
          </w:p>
        </w:tc>
        <w:tc>
          <w:tcPr>
            <w:tcW w:w="1380" w:type="dxa"/>
            <w:tcBorders>
              <w:top w:val="nil"/>
              <w:left w:val="nil"/>
              <w:bottom w:val="single" w:sz="4" w:space="0" w:color="3F3F3F"/>
              <w:right w:val="single" w:sz="4" w:space="0" w:color="3F3F3F"/>
            </w:tcBorders>
            <w:shd w:val="clear" w:color="000000" w:fill="F2F2F2"/>
            <w:vAlign w:val="center"/>
            <w:hideMark/>
          </w:tcPr>
          <w:p w14:paraId="395F64E2"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83</w:t>
            </w:r>
          </w:p>
        </w:tc>
      </w:tr>
      <w:tr w:rsidR="00157FC5" w:rsidRPr="00157FC5" w14:paraId="0B82C6F3"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7B75179B"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VM</w:t>
            </w:r>
          </w:p>
        </w:tc>
        <w:tc>
          <w:tcPr>
            <w:tcW w:w="1240" w:type="dxa"/>
            <w:tcBorders>
              <w:top w:val="nil"/>
              <w:left w:val="nil"/>
              <w:bottom w:val="single" w:sz="4" w:space="0" w:color="3F3F3F"/>
              <w:right w:val="single" w:sz="4" w:space="0" w:color="3F3F3F"/>
            </w:tcBorders>
            <w:shd w:val="clear" w:color="000000" w:fill="F2F2F2"/>
            <w:vAlign w:val="center"/>
            <w:hideMark/>
          </w:tcPr>
          <w:p w14:paraId="56177D15"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1.9</w:t>
            </w:r>
          </w:p>
        </w:tc>
        <w:tc>
          <w:tcPr>
            <w:tcW w:w="1380" w:type="dxa"/>
            <w:tcBorders>
              <w:top w:val="nil"/>
              <w:left w:val="nil"/>
              <w:bottom w:val="single" w:sz="4" w:space="0" w:color="3F3F3F"/>
              <w:right w:val="single" w:sz="4" w:space="0" w:color="3F3F3F"/>
            </w:tcBorders>
            <w:shd w:val="clear" w:color="000000" w:fill="F2F2F2"/>
            <w:vAlign w:val="center"/>
            <w:hideMark/>
          </w:tcPr>
          <w:p w14:paraId="5E267E7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6.7</w:t>
            </w:r>
          </w:p>
        </w:tc>
        <w:tc>
          <w:tcPr>
            <w:tcW w:w="1380" w:type="dxa"/>
            <w:tcBorders>
              <w:top w:val="nil"/>
              <w:left w:val="nil"/>
              <w:bottom w:val="single" w:sz="4" w:space="0" w:color="3F3F3F"/>
              <w:right w:val="single" w:sz="4" w:space="0" w:color="3F3F3F"/>
            </w:tcBorders>
            <w:shd w:val="clear" w:color="000000" w:fill="F2F2F2"/>
            <w:vAlign w:val="center"/>
            <w:hideMark/>
          </w:tcPr>
          <w:p w14:paraId="05CFAF3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15.6</w:t>
            </w:r>
          </w:p>
        </w:tc>
      </w:tr>
      <w:tr w:rsidR="00157FC5" w:rsidRPr="00157FC5" w14:paraId="15545EA5"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3317218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Ash</w:t>
            </w:r>
          </w:p>
        </w:tc>
        <w:tc>
          <w:tcPr>
            <w:tcW w:w="1240" w:type="dxa"/>
            <w:tcBorders>
              <w:top w:val="nil"/>
              <w:left w:val="nil"/>
              <w:bottom w:val="single" w:sz="4" w:space="0" w:color="3F3F3F"/>
              <w:right w:val="single" w:sz="4" w:space="0" w:color="3F3F3F"/>
            </w:tcBorders>
            <w:shd w:val="clear" w:color="000000" w:fill="F2F2F2"/>
            <w:vAlign w:val="center"/>
            <w:hideMark/>
          </w:tcPr>
          <w:p w14:paraId="196F372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12.3</w:t>
            </w:r>
          </w:p>
        </w:tc>
        <w:tc>
          <w:tcPr>
            <w:tcW w:w="1380" w:type="dxa"/>
            <w:tcBorders>
              <w:top w:val="nil"/>
              <w:left w:val="nil"/>
              <w:bottom w:val="single" w:sz="4" w:space="0" w:color="3F3F3F"/>
              <w:right w:val="single" w:sz="4" w:space="0" w:color="3F3F3F"/>
            </w:tcBorders>
            <w:shd w:val="clear" w:color="000000" w:fill="F2F2F2"/>
            <w:vAlign w:val="center"/>
            <w:hideMark/>
          </w:tcPr>
          <w:p w14:paraId="5AA3A29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1.89</w:t>
            </w:r>
          </w:p>
        </w:tc>
        <w:tc>
          <w:tcPr>
            <w:tcW w:w="1380" w:type="dxa"/>
            <w:tcBorders>
              <w:top w:val="nil"/>
              <w:left w:val="nil"/>
              <w:bottom w:val="single" w:sz="4" w:space="0" w:color="3F3F3F"/>
              <w:right w:val="single" w:sz="4" w:space="0" w:color="3F3F3F"/>
            </w:tcBorders>
            <w:shd w:val="clear" w:color="000000" w:fill="F2F2F2"/>
            <w:vAlign w:val="center"/>
            <w:hideMark/>
          </w:tcPr>
          <w:p w14:paraId="52A16960"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6</w:t>
            </w:r>
          </w:p>
        </w:tc>
      </w:tr>
      <w:tr w:rsidR="00157FC5" w:rsidRPr="00157FC5" w14:paraId="5D3E1842"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60BFA074"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Sulphur</w:t>
            </w:r>
          </w:p>
        </w:tc>
        <w:tc>
          <w:tcPr>
            <w:tcW w:w="1240" w:type="dxa"/>
            <w:tcBorders>
              <w:top w:val="nil"/>
              <w:left w:val="nil"/>
              <w:bottom w:val="single" w:sz="4" w:space="0" w:color="3F3F3F"/>
              <w:right w:val="single" w:sz="4" w:space="0" w:color="3F3F3F"/>
            </w:tcBorders>
            <w:shd w:val="clear" w:color="000000" w:fill="F2F2F2"/>
            <w:vAlign w:val="center"/>
            <w:hideMark/>
          </w:tcPr>
          <w:p w14:paraId="327B6B0B"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0.6</w:t>
            </w:r>
          </w:p>
        </w:tc>
        <w:tc>
          <w:tcPr>
            <w:tcW w:w="1380" w:type="dxa"/>
            <w:tcBorders>
              <w:top w:val="nil"/>
              <w:left w:val="nil"/>
              <w:bottom w:val="single" w:sz="4" w:space="0" w:color="3F3F3F"/>
              <w:right w:val="single" w:sz="4" w:space="0" w:color="3F3F3F"/>
            </w:tcBorders>
            <w:shd w:val="clear" w:color="000000" w:fill="F2F2F2"/>
            <w:vAlign w:val="center"/>
            <w:hideMark/>
          </w:tcPr>
          <w:p w14:paraId="43C643DC"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&lt;0.02</w:t>
            </w:r>
          </w:p>
        </w:tc>
        <w:tc>
          <w:tcPr>
            <w:tcW w:w="1380" w:type="dxa"/>
            <w:tcBorders>
              <w:top w:val="nil"/>
              <w:left w:val="nil"/>
              <w:bottom w:val="single" w:sz="4" w:space="0" w:color="3F3F3F"/>
              <w:right w:val="single" w:sz="4" w:space="0" w:color="3F3F3F"/>
            </w:tcBorders>
            <w:shd w:val="clear" w:color="000000" w:fill="F2F2F2"/>
            <w:vAlign w:val="center"/>
            <w:hideMark/>
          </w:tcPr>
          <w:p w14:paraId="282637F9"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0.005</w:t>
            </w:r>
          </w:p>
        </w:tc>
      </w:tr>
      <w:tr w:rsidR="00157FC5" w:rsidRPr="00157FC5" w14:paraId="436ED2A5"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32357CC9"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Fe2O3</w:t>
            </w:r>
          </w:p>
        </w:tc>
        <w:tc>
          <w:tcPr>
            <w:tcW w:w="1240" w:type="dxa"/>
            <w:tcBorders>
              <w:top w:val="nil"/>
              <w:left w:val="nil"/>
              <w:bottom w:val="single" w:sz="4" w:space="0" w:color="3F3F3F"/>
              <w:right w:val="single" w:sz="4" w:space="0" w:color="3F3F3F"/>
            </w:tcBorders>
            <w:shd w:val="clear" w:color="000000" w:fill="F2F2F2"/>
            <w:vAlign w:val="center"/>
            <w:hideMark/>
          </w:tcPr>
          <w:p w14:paraId="4900F892"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9.61</w:t>
            </w:r>
          </w:p>
        </w:tc>
        <w:tc>
          <w:tcPr>
            <w:tcW w:w="1380" w:type="dxa"/>
            <w:tcBorders>
              <w:top w:val="nil"/>
              <w:left w:val="nil"/>
              <w:bottom w:val="single" w:sz="4" w:space="0" w:color="3F3F3F"/>
              <w:right w:val="single" w:sz="4" w:space="0" w:color="3F3F3F"/>
            </w:tcBorders>
            <w:shd w:val="clear" w:color="000000" w:fill="F2F2F2"/>
            <w:vAlign w:val="center"/>
            <w:hideMark/>
          </w:tcPr>
          <w:p w14:paraId="454CD2CE"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10.76</w:t>
            </w:r>
          </w:p>
        </w:tc>
        <w:tc>
          <w:tcPr>
            <w:tcW w:w="1380" w:type="dxa"/>
            <w:tcBorders>
              <w:top w:val="nil"/>
              <w:left w:val="nil"/>
              <w:bottom w:val="single" w:sz="4" w:space="0" w:color="3F3F3F"/>
              <w:right w:val="single" w:sz="4" w:space="0" w:color="3F3F3F"/>
            </w:tcBorders>
            <w:shd w:val="clear" w:color="000000" w:fill="F2F2F2"/>
            <w:vAlign w:val="center"/>
            <w:hideMark/>
          </w:tcPr>
          <w:p w14:paraId="2F3FF38A"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25.87</w:t>
            </w:r>
          </w:p>
        </w:tc>
      </w:tr>
      <w:tr w:rsidR="00157FC5" w:rsidRPr="00157FC5" w14:paraId="6CC41BCF"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0D93D1CC"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SiO2</w:t>
            </w:r>
          </w:p>
        </w:tc>
        <w:tc>
          <w:tcPr>
            <w:tcW w:w="1240" w:type="dxa"/>
            <w:tcBorders>
              <w:top w:val="nil"/>
              <w:left w:val="nil"/>
              <w:bottom w:val="single" w:sz="4" w:space="0" w:color="3F3F3F"/>
              <w:right w:val="single" w:sz="4" w:space="0" w:color="3F3F3F"/>
            </w:tcBorders>
            <w:shd w:val="clear" w:color="000000" w:fill="F2F2F2"/>
            <w:vAlign w:val="center"/>
            <w:hideMark/>
          </w:tcPr>
          <w:p w14:paraId="7AE42804"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48.64</w:t>
            </w:r>
          </w:p>
        </w:tc>
        <w:tc>
          <w:tcPr>
            <w:tcW w:w="1380" w:type="dxa"/>
            <w:tcBorders>
              <w:top w:val="nil"/>
              <w:left w:val="nil"/>
              <w:bottom w:val="single" w:sz="4" w:space="0" w:color="3F3F3F"/>
              <w:right w:val="single" w:sz="4" w:space="0" w:color="3F3F3F"/>
            </w:tcBorders>
            <w:shd w:val="clear" w:color="000000" w:fill="F2F2F2"/>
            <w:vAlign w:val="center"/>
            <w:hideMark/>
          </w:tcPr>
          <w:p w14:paraId="1DE0286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8.1</w:t>
            </w:r>
          </w:p>
        </w:tc>
        <w:tc>
          <w:tcPr>
            <w:tcW w:w="1380" w:type="dxa"/>
            <w:tcBorders>
              <w:top w:val="nil"/>
              <w:left w:val="nil"/>
              <w:bottom w:val="single" w:sz="4" w:space="0" w:color="3F3F3F"/>
              <w:right w:val="single" w:sz="4" w:space="0" w:color="3F3F3F"/>
            </w:tcBorders>
            <w:shd w:val="clear" w:color="000000" w:fill="F2F2F2"/>
            <w:vAlign w:val="center"/>
            <w:hideMark/>
          </w:tcPr>
          <w:p w14:paraId="3B7AB024"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19.6</w:t>
            </w:r>
          </w:p>
        </w:tc>
      </w:tr>
      <w:tr w:rsidR="00157FC5" w:rsidRPr="00157FC5" w14:paraId="1599A3A0" w14:textId="77777777" w:rsidTr="00157FC5">
        <w:trPr>
          <w:trHeight w:val="330"/>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3A6BC006"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Al2O2</w:t>
            </w:r>
          </w:p>
        </w:tc>
        <w:tc>
          <w:tcPr>
            <w:tcW w:w="1240" w:type="dxa"/>
            <w:tcBorders>
              <w:top w:val="nil"/>
              <w:left w:val="nil"/>
              <w:bottom w:val="single" w:sz="4" w:space="0" w:color="3F3F3F"/>
              <w:right w:val="single" w:sz="4" w:space="0" w:color="3F3F3F"/>
            </w:tcBorders>
            <w:shd w:val="clear" w:color="000000" w:fill="F2F2F2"/>
            <w:vAlign w:val="center"/>
            <w:hideMark/>
          </w:tcPr>
          <w:p w14:paraId="52B2685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26.13</w:t>
            </w:r>
          </w:p>
        </w:tc>
        <w:tc>
          <w:tcPr>
            <w:tcW w:w="1380" w:type="dxa"/>
            <w:tcBorders>
              <w:top w:val="nil"/>
              <w:left w:val="nil"/>
              <w:bottom w:val="single" w:sz="4" w:space="0" w:color="3F3F3F"/>
              <w:right w:val="single" w:sz="4" w:space="0" w:color="3F3F3F"/>
            </w:tcBorders>
            <w:shd w:val="clear" w:color="000000" w:fill="F2F2F2"/>
            <w:vAlign w:val="center"/>
            <w:hideMark/>
          </w:tcPr>
          <w:p w14:paraId="2159BA5B"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2.76</w:t>
            </w:r>
          </w:p>
        </w:tc>
        <w:tc>
          <w:tcPr>
            <w:tcW w:w="1380" w:type="dxa"/>
            <w:tcBorders>
              <w:top w:val="nil"/>
              <w:left w:val="nil"/>
              <w:bottom w:val="single" w:sz="4" w:space="0" w:color="3F3F3F"/>
              <w:right w:val="single" w:sz="4" w:space="0" w:color="3F3F3F"/>
            </w:tcBorders>
            <w:shd w:val="clear" w:color="000000" w:fill="F2F2F2"/>
            <w:vAlign w:val="center"/>
            <w:hideMark/>
          </w:tcPr>
          <w:p w14:paraId="0A4F0C5B"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5.7</w:t>
            </w:r>
          </w:p>
        </w:tc>
      </w:tr>
      <w:tr w:rsidR="00157FC5" w:rsidRPr="00157FC5" w14:paraId="1665B754"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4226FD2D"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proofErr w:type="spellStart"/>
            <w:r w:rsidRPr="00157FC5">
              <w:rPr>
                <w:rFonts w:ascii="Calibri" w:eastAsia="Times New Roman" w:hAnsi="Calibri" w:cs="Calibri"/>
                <w:b/>
                <w:bCs/>
                <w:color w:val="3F3F3F"/>
                <w:lang w:eastAsia="en-GB"/>
              </w:rPr>
              <w:t>CaO</w:t>
            </w:r>
            <w:proofErr w:type="spellEnd"/>
          </w:p>
        </w:tc>
        <w:tc>
          <w:tcPr>
            <w:tcW w:w="1240" w:type="dxa"/>
            <w:tcBorders>
              <w:top w:val="nil"/>
              <w:left w:val="nil"/>
              <w:bottom w:val="single" w:sz="4" w:space="0" w:color="3F3F3F"/>
              <w:right w:val="single" w:sz="4" w:space="0" w:color="3F3F3F"/>
            </w:tcBorders>
            <w:shd w:val="clear" w:color="000000" w:fill="F2F2F2"/>
            <w:vAlign w:val="center"/>
            <w:hideMark/>
          </w:tcPr>
          <w:p w14:paraId="6CCB8F32"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3.51</w:t>
            </w:r>
          </w:p>
        </w:tc>
        <w:tc>
          <w:tcPr>
            <w:tcW w:w="1380" w:type="dxa"/>
            <w:tcBorders>
              <w:top w:val="nil"/>
              <w:left w:val="nil"/>
              <w:bottom w:val="single" w:sz="4" w:space="0" w:color="3F3F3F"/>
              <w:right w:val="single" w:sz="4" w:space="0" w:color="3F3F3F"/>
            </w:tcBorders>
            <w:shd w:val="clear" w:color="000000" w:fill="F2F2F2"/>
            <w:vAlign w:val="center"/>
            <w:hideMark/>
          </w:tcPr>
          <w:p w14:paraId="584167ED"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54.18</w:t>
            </w:r>
          </w:p>
        </w:tc>
        <w:tc>
          <w:tcPr>
            <w:tcW w:w="1380" w:type="dxa"/>
            <w:tcBorders>
              <w:top w:val="nil"/>
              <w:left w:val="nil"/>
              <w:bottom w:val="single" w:sz="4" w:space="0" w:color="3F3F3F"/>
              <w:right w:val="single" w:sz="4" w:space="0" w:color="3F3F3F"/>
            </w:tcBorders>
            <w:shd w:val="clear" w:color="000000" w:fill="F2F2F2"/>
            <w:vAlign w:val="center"/>
            <w:hideMark/>
          </w:tcPr>
          <w:p w14:paraId="603CC530"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39.58</w:t>
            </w:r>
          </w:p>
        </w:tc>
      </w:tr>
      <w:tr w:rsidR="00157FC5" w:rsidRPr="00157FC5" w14:paraId="0FAAFFE9"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5736D2C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MgO</w:t>
            </w:r>
          </w:p>
        </w:tc>
        <w:tc>
          <w:tcPr>
            <w:tcW w:w="1240" w:type="dxa"/>
            <w:tcBorders>
              <w:top w:val="nil"/>
              <w:left w:val="nil"/>
              <w:bottom w:val="single" w:sz="4" w:space="0" w:color="3F3F3F"/>
              <w:right w:val="single" w:sz="4" w:space="0" w:color="3F3F3F"/>
            </w:tcBorders>
            <w:shd w:val="clear" w:color="000000" w:fill="F2F2F2"/>
            <w:vAlign w:val="center"/>
            <w:hideMark/>
          </w:tcPr>
          <w:p w14:paraId="6D40FE26"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0.79</w:t>
            </w:r>
          </w:p>
        </w:tc>
        <w:tc>
          <w:tcPr>
            <w:tcW w:w="1380" w:type="dxa"/>
            <w:tcBorders>
              <w:top w:val="nil"/>
              <w:left w:val="nil"/>
              <w:bottom w:val="single" w:sz="4" w:space="0" w:color="3F3F3F"/>
              <w:right w:val="single" w:sz="4" w:space="0" w:color="3F3F3F"/>
            </w:tcBorders>
            <w:shd w:val="clear" w:color="000000" w:fill="F2F2F2"/>
            <w:vAlign w:val="center"/>
            <w:hideMark/>
          </w:tcPr>
          <w:p w14:paraId="7162DA2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17.84</w:t>
            </w:r>
          </w:p>
        </w:tc>
        <w:tc>
          <w:tcPr>
            <w:tcW w:w="1380" w:type="dxa"/>
            <w:tcBorders>
              <w:top w:val="nil"/>
              <w:left w:val="nil"/>
              <w:bottom w:val="single" w:sz="4" w:space="0" w:color="3F3F3F"/>
              <w:right w:val="single" w:sz="4" w:space="0" w:color="3F3F3F"/>
            </w:tcBorders>
            <w:shd w:val="clear" w:color="000000" w:fill="F2F2F2"/>
            <w:vAlign w:val="center"/>
            <w:hideMark/>
          </w:tcPr>
          <w:p w14:paraId="785929F1"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2.02</w:t>
            </w:r>
          </w:p>
        </w:tc>
      </w:tr>
      <w:tr w:rsidR="00157FC5" w:rsidRPr="00157FC5" w14:paraId="1C54269C"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2E283CC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TiO2</w:t>
            </w:r>
          </w:p>
        </w:tc>
        <w:tc>
          <w:tcPr>
            <w:tcW w:w="1240" w:type="dxa"/>
            <w:tcBorders>
              <w:top w:val="nil"/>
              <w:left w:val="nil"/>
              <w:bottom w:val="single" w:sz="4" w:space="0" w:color="3F3F3F"/>
              <w:right w:val="single" w:sz="4" w:space="0" w:color="3F3F3F"/>
            </w:tcBorders>
            <w:shd w:val="clear" w:color="000000" w:fill="F2F2F2"/>
            <w:vAlign w:val="center"/>
            <w:hideMark/>
          </w:tcPr>
          <w:p w14:paraId="58B05B6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1.34</w:t>
            </w:r>
          </w:p>
        </w:tc>
        <w:tc>
          <w:tcPr>
            <w:tcW w:w="1380" w:type="dxa"/>
            <w:tcBorders>
              <w:top w:val="nil"/>
              <w:left w:val="nil"/>
              <w:bottom w:val="single" w:sz="4" w:space="0" w:color="3F3F3F"/>
              <w:right w:val="single" w:sz="4" w:space="0" w:color="3F3F3F"/>
            </w:tcBorders>
            <w:shd w:val="clear" w:color="000000" w:fill="F2F2F2"/>
            <w:vAlign w:val="center"/>
            <w:hideMark/>
          </w:tcPr>
          <w:p w14:paraId="00B0938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0.22</w:t>
            </w:r>
          </w:p>
        </w:tc>
        <w:tc>
          <w:tcPr>
            <w:tcW w:w="1380" w:type="dxa"/>
            <w:tcBorders>
              <w:top w:val="nil"/>
              <w:left w:val="nil"/>
              <w:bottom w:val="single" w:sz="4" w:space="0" w:color="3F3F3F"/>
              <w:right w:val="single" w:sz="4" w:space="0" w:color="3F3F3F"/>
            </w:tcBorders>
            <w:shd w:val="clear" w:color="000000" w:fill="F2F2F2"/>
            <w:vAlign w:val="center"/>
            <w:hideMark/>
          </w:tcPr>
          <w:p w14:paraId="11198D73"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0.34</w:t>
            </w:r>
          </w:p>
        </w:tc>
      </w:tr>
      <w:tr w:rsidR="00157FC5" w:rsidRPr="00157FC5" w14:paraId="39CD8D53"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6359E5A1"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Na2O3</w:t>
            </w:r>
          </w:p>
        </w:tc>
        <w:tc>
          <w:tcPr>
            <w:tcW w:w="1240" w:type="dxa"/>
            <w:tcBorders>
              <w:top w:val="nil"/>
              <w:left w:val="nil"/>
              <w:bottom w:val="single" w:sz="4" w:space="0" w:color="3F3F3F"/>
              <w:right w:val="single" w:sz="4" w:space="0" w:color="3F3F3F"/>
            </w:tcBorders>
            <w:shd w:val="clear" w:color="000000" w:fill="F2F2F2"/>
            <w:noWrap/>
            <w:vAlign w:val="bottom"/>
            <w:hideMark/>
          </w:tcPr>
          <w:p w14:paraId="0ACB4777"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0.35</w:t>
            </w:r>
          </w:p>
        </w:tc>
        <w:tc>
          <w:tcPr>
            <w:tcW w:w="1380"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338166AA" w14:textId="77777777" w:rsidR="00157FC5" w:rsidRPr="00157FC5" w:rsidRDefault="00157FC5" w:rsidP="00157FC5">
            <w:pPr>
              <w:spacing w:after="0" w:line="240" w:lineRule="auto"/>
              <w:jc w:val="center"/>
              <w:rPr>
                <w:rFonts w:ascii="Calibri" w:eastAsia="Times New Roman" w:hAnsi="Calibri" w:cs="Calibri"/>
                <w:b/>
                <w:bCs/>
                <w:color w:val="000000"/>
                <w:lang w:eastAsia="en-GB"/>
              </w:rPr>
            </w:pPr>
            <w:r w:rsidRPr="00157FC5">
              <w:rPr>
                <w:rFonts w:ascii="Calibri" w:eastAsia="Times New Roman" w:hAnsi="Calibri" w:cs="Calibri"/>
                <w:b/>
                <w:bCs/>
                <w:color w:val="000000"/>
                <w:lang w:eastAsia="en-GB"/>
              </w:rPr>
              <w:t>0.9</w:t>
            </w:r>
          </w:p>
        </w:tc>
        <w:tc>
          <w:tcPr>
            <w:tcW w:w="1380" w:type="dxa"/>
            <w:tcBorders>
              <w:top w:val="single" w:sz="4" w:space="0" w:color="auto"/>
              <w:left w:val="nil"/>
              <w:bottom w:val="single" w:sz="4" w:space="0" w:color="auto"/>
              <w:right w:val="single" w:sz="8" w:space="0" w:color="auto"/>
            </w:tcBorders>
            <w:shd w:val="clear" w:color="000000" w:fill="EDEDED"/>
            <w:noWrap/>
            <w:vAlign w:val="center"/>
            <w:hideMark/>
          </w:tcPr>
          <w:p w14:paraId="064C57B6" w14:textId="77777777" w:rsidR="00157FC5" w:rsidRPr="00157FC5" w:rsidRDefault="00157FC5" w:rsidP="00157FC5">
            <w:pPr>
              <w:spacing w:after="0" w:line="240" w:lineRule="auto"/>
              <w:jc w:val="center"/>
              <w:rPr>
                <w:rFonts w:ascii="Calibri" w:eastAsia="Times New Roman" w:hAnsi="Calibri" w:cs="Calibri"/>
                <w:b/>
                <w:bCs/>
                <w:color w:val="000000"/>
                <w:lang w:eastAsia="en-GB"/>
              </w:rPr>
            </w:pPr>
            <w:r w:rsidRPr="00157FC5">
              <w:rPr>
                <w:rFonts w:ascii="Calibri" w:eastAsia="Times New Roman" w:hAnsi="Calibri" w:cs="Calibri"/>
                <w:b/>
                <w:bCs/>
                <w:color w:val="000000"/>
                <w:lang w:eastAsia="en-GB"/>
              </w:rPr>
              <w:t>0.48</w:t>
            </w:r>
          </w:p>
        </w:tc>
      </w:tr>
      <w:tr w:rsidR="00157FC5" w:rsidRPr="00157FC5" w14:paraId="025ECBF4"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1DB38970"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K2O</w:t>
            </w:r>
          </w:p>
        </w:tc>
        <w:tc>
          <w:tcPr>
            <w:tcW w:w="1240" w:type="dxa"/>
            <w:tcBorders>
              <w:top w:val="nil"/>
              <w:left w:val="nil"/>
              <w:bottom w:val="single" w:sz="4" w:space="0" w:color="3F3F3F"/>
              <w:right w:val="single" w:sz="4" w:space="0" w:color="3F3F3F"/>
            </w:tcBorders>
            <w:shd w:val="clear" w:color="000000" w:fill="F2F2F2"/>
            <w:noWrap/>
            <w:vAlign w:val="bottom"/>
            <w:hideMark/>
          </w:tcPr>
          <w:p w14:paraId="0BAC50D4"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1.02</w:t>
            </w:r>
          </w:p>
        </w:tc>
        <w:tc>
          <w:tcPr>
            <w:tcW w:w="1380" w:type="dxa"/>
            <w:tcBorders>
              <w:top w:val="nil"/>
              <w:left w:val="single" w:sz="4" w:space="0" w:color="auto"/>
              <w:bottom w:val="single" w:sz="4" w:space="0" w:color="auto"/>
              <w:right w:val="single" w:sz="4" w:space="0" w:color="auto"/>
            </w:tcBorders>
            <w:shd w:val="clear" w:color="000000" w:fill="EDEDED"/>
            <w:noWrap/>
            <w:vAlign w:val="center"/>
            <w:hideMark/>
          </w:tcPr>
          <w:p w14:paraId="6CA57EE6" w14:textId="77777777" w:rsidR="00157FC5" w:rsidRPr="00157FC5" w:rsidRDefault="00157FC5" w:rsidP="00157FC5">
            <w:pPr>
              <w:spacing w:after="0" w:line="240" w:lineRule="auto"/>
              <w:jc w:val="center"/>
              <w:rPr>
                <w:rFonts w:ascii="Calibri" w:eastAsia="Times New Roman" w:hAnsi="Calibri" w:cs="Calibri"/>
                <w:b/>
                <w:bCs/>
                <w:color w:val="000000"/>
                <w:lang w:eastAsia="en-GB"/>
              </w:rPr>
            </w:pPr>
            <w:r w:rsidRPr="00157FC5">
              <w:rPr>
                <w:rFonts w:ascii="Calibri" w:eastAsia="Times New Roman" w:hAnsi="Calibri" w:cs="Calibri"/>
                <w:b/>
                <w:bCs/>
                <w:color w:val="000000"/>
                <w:lang w:eastAsia="en-GB"/>
              </w:rPr>
              <w:t>4.3</w:t>
            </w:r>
          </w:p>
        </w:tc>
        <w:tc>
          <w:tcPr>
            <w:tcW w:w="1380" w:type="dxa"/>
            <w:tcBorders>
              <w:top w:val="nil"/>
              <w:left w:val="nil"/>
              <w:bottom w:val="single" w:sz="4" w:space="0" w:color="auto"/>
              <w:right w:val="single" w:sz="8" w:space="0" w:color="auto"/>
            </w:tcBorders>
            <w:shd w:val="clear" w:color="000000" w:fill="EDEDED"/>
            <w:noWrap/>
            <w:vAlign w:val="center"/>
            <w:hideMark/>
          </w:tcPr>
          <w:p w14:paraId="24022C00" w14:textId="77777777" w:rsidR="00157FC5" w:rsidRPr="00157FC5" w:rsidRDefault="00157FC5" w:rsidP="00157FC5">
            <w:pPr>
              <w:spacing w:after="0" w:line="240" w:lineRule="auto"/>
              <w:jc w:val="center"/>
              <w:rPr>
                <w:rFonts w:ascii="Calibri" w:eastAsia="Times New Roman" w:hAnsi="Calibri" w:cs="Calibri"/>
                <w:b/>
                <w:bCs/>
                <w:color w:val="000000"/>
                <w:lang w:eastAsia="en-GB"/>
              </w:rPr>
            </w:pPr>
            <w:r w:rsidRPr="00157FC5">
              <w:rPr>
                <w:rFonts w:ascii="Calibri" w:eastAsia="Times New Roman" w:hAnsi="Calibri" w:cs="Calibri"/>
                <w:b/>
                <w:bCs/>
                <w:color w:val="000000"/>
                <w:lang w:eastAsia="en-GB"/>
              </w:rPr>
              <w:t>4.3</w:t>
            </w:r>
          </w:p>
        </w:tc>
      </w:tr>
      <w:tr w:rsidR="00157FC5" w:rsidRPr="00157FC5" w14:paraId="7F41DC93" w14:textId="77777777" w:rsidTr="00157FC5">
        <w:trPr>
          <w:trHeight w:val="315"/>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09C2FBDA"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P</w:t>
            </w:r>
          </w:p>
        </w:tc>
        <w:tc>
          <w:tcPr>
            <w:tcW w:w="1240" w:type="dxa"/>
            <w:tcBorders>
              <w:top w:val="nil"/>
              <w:left w:val="nil"/>
              <w:bottom w:val="single" w:sz="4" w:space="0" w:color="3F3F3F"/>
              <w:right w:val="single" w:sz="4" w:space="0" w:color="3F3F3F"/>
            </w:tcBorders>
            <w:shd w:val="clear" w:color="000000" w:fill="F2F2F2"/>
            <w:vAlign w:val="center"/>
            <w:hideMark/>
          </w:tcPr>
          <w:p w14:paraId="1844941F"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0.042</w:t>
            </w:r>
          </w:p>
        </w:tc>
        <w:tc>
          <w:tcPr>
            <w:tcW w:w="1380" w:type="dxa"/>
            <w:tcBorders>
              <w:top w:val="single" w:sz="4" w:space="0" w:color="3F3F3F"/>
              <w:left w:val="nil"/>
              <w:bottom w:val="single" w:sz="4" w:space="0" w:color="3F3F3F"/>
              <w:right w:val="single" w:sz="4" w:space="0" w:color="3F3F3F"/>
            </w:tcBorders>
            <w:shd w:val="clear" w:color="000000" w:fill="F2F2F2"/>
            <w:vAlign w:val="center"/>
            <w:hideMark/>
          </w:tcPr>
          <w:p w14:paraId="19F31D08"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0.028</w:t>
            </w:r>
          </w:p>
        </w:tc>
        <w:tc>
          <w:tcPr>
            <w:tcW w:w="1380" w:type="dxa"/>
            <w:tcBorders>
              <w:top w:val="single" w:sz="4" w:space="0" w:color="3F3F3F"/>
              <w:left w:val="nil"/>
              <w:bottom w:val="single" w:sz="4" w:space="0" w:color="3F3F3F"/>
              <w:right w:val="single" w:sz="4" w:space="0" w:color="3F3F3F"/>
            </w:tcBorders>
            <w:shd w:val="clear" w:color="000000" w:fill="F2F2F2"/>
            <w:vAlign w:val="center"/>
            <w:hideMark/>
          </w:tcPr>
          <w:p w14:paraId="1EAD73D8"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0.4</w:t>
            </w:r>
          </w:p>
        </w:tc>
      </w:tr>
      <w:tr w:rsidR="00157FC5" w:rsidRPr="00157FC5" w14:paraId="6B71AA4F" w14:textId="77777777" w:rsidTr="00157FC5">
        <w:trPr>
          <w:trHeight w:val="300"/>
          <w:jc w:val="center"/>
        </w:trPr>
        <w:tc>
          <w:tcPr>
            <w:tcW w:w="1380" w:type="dxa"/>
            <w:tcBorders>
              <w:top w:val="nil"/>
              <w:left w:val="single" w:sz="4" w:space="0" w:color="3F3F3F"/>
              <w:bottom w:val="single" w:sz="4" w:space="0" w:color="3F3F3F"/>
              <w:right w:val="single" w:sz="4" w:space="0" w:color="3F3F3F"/>
            </w:tcBorders>
            <w:shd w:val="clear" w:color="000000" w:fill="F2F2F2"/>
            <w:vAlign w:val="center"/>
            <w:hideMark/>
          </w:tcPr>
          <w:p w14:paraId="1CB7F751"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S</w:t>
            </w:r>
          </w:p>
        </w:tc>
        <w:tc>
          <w:tcPr>
            <w:tcW w:w="1240" w:type="dxa"/>
            <w:tcBorders>
              <w:top w:val="nil"/>
              <w:left w:val="nil"/>
              <w:bottom w:val="single" w:sz="4" w:space="0" w:color="3F3F3F"/>
              <w:right w:val="single" w:sz="4" w:space="0" w:color="3F3F3F"/>
            </w:tcBorders>
            <w:shd w:val="clear" w:color="000000" w:fill="F2F2F2"/>
            <w:vAlign w:val="center"/>
            <w:hideMark/>
          </w:tcPr>
          <w:p w14:paraId="58979CB1" w14:textId="77777777" w:rsidR="00157FC5" w:rsidRPr="00157FC5" w:rsidRDefault="00157FC5" w:rsidP="00157FC5">
            <w:pPr>
              <w:spacing w:after="0" w:line="240" w:lineRule="auto"/>
              <w:jc w:val="center"/>
              <w:rPr>
                <w:rFonts w:ascii="Calibri" w:eastAsia="Times New Roman" w:hAnsi="Calibri" w:cs="Calibri"/>
                <w:b/>
                <w:bCs/>
                <w:color w:val="3F3F3F"/>
                <w:lang w:eastAsia="en-GB"/>
              </w:rPr>
            </w:pPr>
            <w:r w:rsidRPr="00157FC5">
              <w:rPr>
                <w:rFonts w:ascii="Calibri" w:eastAsia="Times New Roman" w:hAnsi="Calibri" w:cs="Calibri"/>
                <w:b/>
                <w:bCs/>
                <w:color w:val="3F3F3F"/>
                <w:lang w:eastAsia="en-GB"/>
              </w:rPr>
              <w:t>0.64</w:t>
            </w:r>
          </w:p>
        </w:tc>
        <w:tc>
          <w:tcPr>
            <w:tcW w:w="1380"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4B6309F7" w14:textId="77777777" w:rsidR="00157FC5" w:rsidRPr="00157FC5" w:rsidRDefault="00157FC5" w:rsidP="00157FC5">
            <w:pPr>
              <w:spacing w:after="0" w:line="240" w:lineRule="auto"/>
              <w:jc w:val="center"/>
              <w:rPr>
                <w:rFonts w:ascii="Calibri" w:eastAsia="Times New Roman" w:hAnsi="Calibri" w:cs="Calibri"/>
                <w:b/>
                <w:bCs/>
                <w:color w:val="000000"/>
                <w:lang w:eastAsia="en-GB"/>
              </w:rPr>
            </w:pPr>
            <w:r w:rsidRPr="00157FC5">
              <w:rPr>
                <w:rFonts w:ascii="Calibri" w:eastAsia="Times New Roman" w:hAnsi="Calibri" w:cs="Calibri"/>
                <w:b/>
                <w:bCs/>
                <w:color w:val="000000"/>
                <w:lang w:eastAsia="en-GB"/>
              </w:rPr>
              <w:t>&lt;0.02</w:t>
            </w:r>
          </w:p>
        </w:tc>
        <w:tc>
          <w:tcPr>
            <w:tcW w:w="1380" w:type="dxa"/>
            <w:tcBorders>
              <w:top w:val="single" w:sz="4" w:space="0" w:color="auto"/>
              <w:left w:val="nil"/>
              <w:bottom w:val="single" w:sz="4" w:space="0" w:color="auto"/>
              <w:right w:val="single" w:sz="4" w:space="0" w:color="auto"/>
            </w:tcBorders>
            <w:shd w:val="clear" w:color="000000" w:fill="EDEDED"/>
            <w:noWrap/>
            <w:vAlign w:val="center"/>
            <w:hideMark/>
          </w:tcPr>
          <w:p w14:paraId="31823680" w14:textId="77777777" w:rsidR="00157FC5" w:rsidRPr="00157FC5" w:rsidRDefault="00157FC5" w:rsidP="00157FC5">
            <w:pPr>
              <w:spacing w:after="0" w:line="240" w:lineRule="auto"/>
              <w:jc w:val="center"/>
              <w:rPr>
                <w:rFonts w:ascii="Calibri" w:eastAsia="Times New Roman" w:hAnsi="Calibri" w:cs="Calibri"/>
                <w:b/>
                <w:bCs/>
                <w:color w:val="000000"/>
                <w:lang w:eastAsia="en-GB"/>
              </w:rPr>
            </w:pPr>
            <w:r w:rsidRPr="00157FC5">
              <w:rPr>
                <w:rFonts w:ascii="Calibri" w:eastAsia="Times New Roman" w:hAnsi="Calibri" w:cs="Calibri"/>
                <w:b/>
                <w:bCs/>
                <w:color w:val="000000"/>
                <w:lang w:eastAsia="en-GB"/>
              </w:rPr>
              <w:t>0.005</w:t>
            </w:r>
          </w:p>
        </w:tc>
      </w:tr>
    </w:tbl>
    <w:p w14:paraId="26309CEB" w14:textId="77777777" w:rsidR="00390F02" w:rsidRDefault="00390F02" w:rsidP="00BA5CDC">
      <w:pPr>
        <w:spacing w:line="360" w:lineRule="auto"/>
        <w:jc w:val="center"/>
      </w:pPr>
    </w:p>
    <w:p w14:paraId="2C61BE53" w14:textId="7FB65380" w:rsidR="00BD25B9" w:rsidRDefault="00816982" w:rsidP="001D53D6">
      <w:pPr>
        <w:spacing w:line="360" w:lineRule="auto"/>
        <w:jc w:val="both"/>
      </w:pPr>
      <w:r>
        <w:t>The biochar has a higher VM when compared to coke breeze</w:t>
      </w:r>
      <w:r w:rsidR="00E24920">
        <w:t>. Sinter plants control particulate matter</w:t>
      </w:r>
      <w:r w:rsidR="009657ED">
        <w:t xml:space="preserve"> in exhaust gases by using electrostatic precipitators</w:t>
      </w:r>
      <w:r w:rsidR="00CF0811">
        <w:t>. The use of filter bags to clean</w:t>
      </w:r>
      <w:r w:rsidR="003444F2">
        <w:t xml:space="preserve"> the off gas is an e</w:t>
      </w:r>
      <w:r w:rsidR="003D4DA4">
        <w:t xml:space="preserve">ssential method to achieve low dust </w:t>
      </w:r>
      <w:r w:rsidR="00F51AFD">
        <w:t>emissions</w:t>
      </w:r>
      <w:r w:rsidR="008C643E">
        <w:t xml:space="preserve">, </w:t>
      </w:r>
      <w:r w:rsidR="00A17357">
        <w:t>high VM in the fuel can lead to operational safety issues</w:t>
      </w:r>
      <w:r w:rsidR="007E2DA3">
        <w:t>,</w:t>
      </w:r>
      <w:r w:rsidR="00A3004A">
        <w:t xml:space="preserve"> </w:t>
      </w:r>
      <w:r w:rsidR="00A31101">
        <w:t>therefore care should be taken when using materials that increase the VM% of the sinter</w:t>
      </w:r>
      <w:r w:rsidR="0049524D">
        <w:t xml:space="preserve"> </w:t>
      </w:r>
      <w:r w:rsidR="0049524D">
        <w:fldChar w:fldCharType="begin"/>
      </w:r>
      <w:r w:rsidR="00192334">
        <w:instrText xml:space="preserve"> ADDIN ZOTERO_ITEM CSL_CITATION {"citationID":"Wkupra5a","properties":{"formattedCitation":"(Abreu {\\i{}et al.}, 2015)","plainCitation":"(Abreu et al., 2015)","noteIndex":0},"citationItems":[{"id":1903,"uris":["http://zotero.org/users/local/AB2owHL2/items/RDREJET5"],"itemData":{"id":1903,"type":"article-journal","abstract":"A study was carried out into the use of charcoal as a supplementary fuel in the iron-ore sintering process. The primary fuel was coke breeze and anthracite with 0, 10, 25, 50 and 100% replacement of the energy input with charcoal to produce sinter. This was achieved by considering the carbon content of each fuel and its corresponding participation on fuel blending, in order to have the same carbon input in each test run. An extensive analysis of the environmental impact was carried out regarding the atmospheric pollutants characterization (dust, sulphur dioxide, nitrogen oxides, carbon monoxide, carbon dioxide, methane, total hydrocarbons, and dioxins and furans). Experimental results indicate that fuel blending where 50% of the heat input was provided by charcoal may be comparable with those using 100% coke, under normal sintering conditions, and may result in a 50% reduction on greenhouse gas emission. It was also observed that while dust, methane and hydrocarbons emissions increased, the total dioxins and furans, expressed as polychlorinated dibenzodioxins/furans, decreased approximately 50% when compared with operation with 100% coke.","container-title":"Journal of Cleaner Production","DOI":"10.1016/j.jclepro.2015.04.015","ISSN":"0959-6526","journalAbbreviation":"Journal of Cleaner Production","language":"en","page":"387-394","source":"ScienceDirect","title":"Operational and environmental assessment on the use of charcoal in iron ore sinter production","URL":"https://www.sciencedirect.com/science/article/pii/S0959652615003583","volume":"101","author":[{"family":"Abreu","given":"Guilherme Correa"},{"family":"Carvalho","given":"João Andrade","dropping-particle":"de"},{"family":"Silva","given":"Bernardo Enne Correa","dropping-particle":"da"},{"family":"Pedrini","given":"Rinaldo Henrique"}],"accessed":{"date-parts":[["2022",8,22]]},"issued":{"date-parts":[["2015",8,15]]}}}],"schema":"https://github.com/citation-style-language/schema/raw/master/csl-citation.json"} </w:instrText>
      </w:r>
      <w:r w:rsidR="0049524D">
        <w:fldChar w:fldCharType="separate"/>
      </w:r>
      <w:r w:rsidR="00192334" w:rsidRPr="00192334">
        <w:rPr>
          <w:rFonts w:ascii="Calibri" w:hAnsi="Calibri" w:cs="Calibri"/>
          <w:szCs w:val="24"/>
        </w:rPr>
        <w:t xml:space="preserve">(Abreu </w:t>
      </w:r>
      <w:r w:rsidR="00192334" w:rsidRPr="00192334">
        <w:rPr>
          <w:rFonts w:ascii="Calibri" w:hAnsi="Calibri" w:cs="Calibri"/>
          <w:i/>
          <w:iCs/>
          <w:szCs w:val="24"/>
        </w:rPr>
        <w:t>et al.</w:t>
      </w:r>
      <w:r w:rsidR="00192334" w:rsidRPr="00192334">
        <w:rPr>
          <w:rFonts w:ascii="Calibri" w:hAnsi="Calibri" w:cs="Calibri"/>
          <w:szCs w:val="24"/>
        </w:rPr>
        <w:t>, 2015)</w:t>
      </w:r>
      <w:r w:rsidR="0049524D">
        <w:fldChar w:fldCharType="end"/>
      </w:r>
      <w:r w:rsidR="00A31101">
        <w:t>.</w:t>
      </w:r>
    </w:p>
    <w:p w14:paraId="53D5B9BD" w14:textId="054CB62D" w:rsidR="00814C8C" w:rsidRDefault="00D159E1" w:rsidP="001D53D6">
      <w:pPr>
        <w:spacing w:line="360" w:lineRule="auto"/>
        <w:jc w:val="both"/>
      </w:pPr>
      <w:r>
        <w:t>Th</w:t>
      </w:r>
      <w:r w:rsidR="00DF4D9D">
        <w:t>e biochar’s also have significantly higher ash,</w:t>
      </w:r>
      <w:r w:rsidR="00122AFF">
        <w:t xml:space="preserve"> which is has a more basic nature due to increased levels of </w:t>
      </w:r>
      <w:proofErr w:type="spellStart"/>
      <w:r w:rsidR="00122AFF">
        <w:t>CaO</w:t>
      </w:r>
      <w:proofErr w:type="spellEnd"/>
      <w:r w:rsidR="00122AFF">
        <w:t xml:space="preserve"> and MgO and </w:t>
      </w:r>
      <w:r w:rsidR="00B21620">
        <w:t>decreased</w:t>
      </w:r>
      <w:r w:rsidR="00122AFF">
        <w:t xml:space="preserve"> levels </w:t>
      </w:r>
      <w:r w:rsidR="00C12C86">
        <w:t>of SiO</w:t>
      </w:r>
      <w:r w:rsidR="00C12C86" w:rsidRPr="00C12C86">
        <w:rPr>
          <w:vertAlign w:val="subscript"/>
        </w:rPr>
        <w:t>2</w:t>
      </w:r>
      <w:r w:rsidR="00C12C86">
        <w:t xml:space="preserve"> and Al</w:t>
      </w:r>
      <w:r w:rsidR="00C12C86" w:rsidRPr="00C12C86">
        <w:rPr>
          <w:vertAlign w:val="subscript"/>
        </w:rPr>
        <w:t>2</w:t>
      </w:r>
      <w:r w:rsidR="00C12C86">
        <w:t>O</w:t>
      </w:r>
      <w:r w:rsidR="00C12C86" w:rsidRPr="00C12C86">
        <w:rPr>
          <w:vertAlign w:val="subscript"/>
        </w:rPr>
        <w:t>2</w:t>
      </w:r>
      <w:r w:rsidR="00C12C86">
        <w:t>.</w:t>
      </w:r>
      <w:r w:rsidR="00B21620">
        <w:t xml:space="preserve"> </w:t>
      </w:r>
    </w:p>
    <w:p w14:paraId="6AF59DD5" w14:textId="35EEF0AD" w:rsidR="00814C8C" w:rsidRDefault="00814C8C" w:rsidP="005E3EBB">
      <w:pPr>
        <w:spacing w:line="360" w:lineRule="auto"/>
        <w:jc w:val="both"/>
      </w:pPr>
      <w:r>
        <w:lastRenderedPageBreak/>
        <w:t xml:space="preserve">The coke breeze and biochar 2 have similar </w:t>
      </w:r>
      <w:r w:rsidR="00026B32">
        <w:t>fixed carbon and CV results (table 14), while biochar 1 has a higher fixed carbon and CV value.</w:t>
      </w:r>
      <w:r w:rsidR="000A6AE5">
        <w:t xml:space="preserve"> Meaning biochar 1 will provide more energy into the sinter reaction.</w:t>
      </w:r>
    </w:p>
    <w:p w14:paraId="1E063D57" w14:textId="5B6FE6CB" w:rsidR="00814C8C" w:rsidRDefault="00814C8C" w:rsidP="00814C8C">
      <w:pPr>
        <w:pStyle w:val="Caption"/>
        <w:jc w:val="center"/>
      </w:pPr>
      <w:r>
        <w:t xml:space="preserve">Table </w:t>
      </w:r>
      <w:fldSimple w:instr=" SEQ Table \* ARABIC ">
        <w:r w:rsidR="00DA2639">
          <w:rPr>
            <w:noProof/>
          </w:rPr>
          <w:t>14</w:t>
        </w:r>
      </w:fldSimple>
      <w:r>
        <w:t xml:space="preserve"> Coke breeze and biochar calorific values</w:t>
      </w:r>
    </w:p>
    <w:tbl>
      <w:tblPr>
        <w:tblW w:w="6768" w:type="dxa"/>
        <w:jc w:val="center"/>
        <w:tblLook w:val="04A0" w:firstRow="1" w:lastRow="0" w:firstColumn="1" w:lastColumn="0" w:noHBand="0" w:noVBand="1"/>
      </w:tblPr>
      <w:tblGrid>
        <w:gridCol w:w="1692"/>
        <w:gridCol w:w="1692"/>
        <w:gridCol w:w="1692"/>
        <w:gridCol w:w="1692"/>
      </w:tblGrid>
      <w:tr w:rsidR="00814C8C" w:rsidRPr="00814C8C" w14:paraId="5E9D5788" w14:textId="77777777" w:rsidTr="00F6197D">
        <w:trPr>
          <w:trHeight w:val="257"/>
          <w:jc w:val="center"/>
        </w:trPr>
        <w:tc>
          <w:tcPr>
            <w:tcW w:w="1692" w:type="dxa"/>
            <w:tcBorders>
              <w:top w:val="single" w:sz="4" w:space="0" w:color="auto"/>
              <w:left w:val="single" w:sz="4" w:space="0" w:color="auto"/>
              <w:bottom w:val="single" w:sz="4" w:space="0" w:color="auto"/>
              <w:right w:val="single" w:sz="4" w:space="0" w:color="auto"/>
            </w:tcBorders>
            <w:shd w:val="clear" w:color="000000" w:fill="EDEDED"/>
            <w:noWrap/>
            <w:vAlign w:val="center"/>
            <w:hideMark/>
          </w:tcPr>
          <w:p w14:paraId="0881B80A" w14:textId="77777777" w:rsidR="00814C8C" w:rsidRPr="00814C8C" w:rsidRDefault="00814C8C" w:rsidP="00814C8C">
            <w:pPr>
              <w:spacing w:after="0" w:line="240" w:lineRule="auto"/>
              <w:jc w:val="center"/>
              <w:rPr>
                <w:rFonts w:ascii="Calibri" w:eastAsia="Times New Roman" w:hAnsi="Calibri" w:cs="Calibri"/>
                <w:color w:val="000000"/>
                <w:lang w:eastAsia="en-GB"/>
              </w:rPr>
            </w:pPr>
            <w:r w:rsidRPr="00814C8C">
              <w:rPr>
                <w:rFonts w:ascii="Calibri" w:eastAsia="Times New Roman" w:hAnsi="Calibri" w:cs="Calibri"/>
                <w:color w:val="000000"/>
                <w:lang w:eastAsia="en-GB"/>
              </w:rPr>
              <w:t>MJ/Kg</w:t>
            </w:r>
          </w:p>
        </w:tc>
        <w:tc>
          <w:tcPr>
            <w:tcW w:w="1692" w:type="dxa"/>
            <w:tcBorders>
              <w:top w:val="single" w:sz="4" w:space="0" w:color="auto"/>
              <w:left w:val="nil"/>
              <w:bottom w:val="single" w:sz="4" w:space="0" w:color="auto"/>
              <w:right w:val="single" w:sz="4" w:space="0" w:color="auto"/>
            </w:tcBorders>
            <w:shd w:val="clear" w:color="000000" w:fill="EDEDED"/>
            <w:noWrap/>
            <w:vAlign w:val="center"/>
            <w:hideMark/>
          </w:tcPr>
          <w:p w14:paraId="737E1E83" w14:textId="77777777" w:rsidR="00814C8C" w:rsidRPr="00814C8C" w:rsidRDefault="00814C8C" w:rsidP="00814C8C">
            <w:pPr>
              <w:spacing w:after="0" w:line="240" w:lineRule="auto"/>
              <w:jc w:val="center"/>
              <w:rPr>
                <w:rFonts w:ascii="Calibri" w:eastAsia="Times New Roman" w:hAnsi="Calibri" w:cs="Calibri"/>
                <w:color w:val="000000"/>
                <w:lang w:eastAsia="en-GB"/>
              </w:rPr>
            </w:pPr>
            <w:r w:rsidRPr="00814C8C">
              <w:rPr>
                <w:rFonts w:ascii="Calibri" w:eastAsia="Times New Roman" w:hAnsi="Calibri" w:cs="Calibri"/>
                <w:color w:val="000000"/>
                <w:lang w:eastAsia="en-GB"/>
              </w:rPr>
              <w:t>Coke breeze</w:t>
            </w:r>
          </w:p>
        </w:tc>
        <w:tc>
          <w:tcPr>
            <w:tcW w:w="1692" w:type="dxa"/>
            <w:tcBorders>
              <w:top w:val="single" w:sz="4" w:space="0" w:color="auto"/>
              <w:left w:val="nil"/>
              <w:bottom w:val="single" w:sz="4" w:space="0" w:color="auto"/>
              <w:right w:val="single" w:sz="4" w:space="0" w:color="auto"/>
            </w:tcBorders>
            <w:shd w:val="clear" w:color="000000" w:fill="EDEDED"/>
            <w:noWrap/>
            <w:vAlign w:val="center"/>
            <w:hideMark/>
          </w:tcPr>
          <w:p w14:paraId="48658159" w14:textId="77777777" w:rsidR="00814C8C" w:rsidRPr="00814C8C" w:rsidRDefault="00814C8C" w:rsidP="00814C8C">
            <w:pPr>
              <w:spacing w:after="0" w:line="240" w:lineRule="auto"/>
              <w:jc w:val="center"/>
              <w:rPr>
                <w:rFonts w:ascii="Calibri" w:eastAsia="Times New Roman" w:hAnsi="Calibri" w:cs="Calibri"/>
                <w:color w:val="000000"/>
                <w:lang w:eastAsia="en-GB"/>
              </w:rPr>
            </w:pPr>
            <w:r w:rsidRPr="00814C8C">
              <w:rPr>
                <w:rFonts w:ascii="Calibri" w:eastAsia="Times New Roman" w:hAnsi="Calibri" w:cs="Calibri"/>
                <w:color w:val="000000"/>
                <w:lang w:eastAsia="en-GB"/>
              </w:rPr>
              <w:t>Biochar 1</w:t>
            </w:r>
          </w:p>
        </w:tc>
        <w:tc>
          <w:tcPr>
            <w:tcW w:w="1692" w:type="dxa"/>
            <w:tcBorders>
              <w:top w:val="single" w:sz="4" w:space="0" w:color="auto"/>
              <w:left w:val="nil"/>
              <w:bottom w:val="single" w:sz="4" w:space="0" w:color="auto"/>
              <w:right w:val="single" w:sz="4" w:space="0" w:color="auto"/>
            </w:tcBorders>
            <w:shd w:val="clear" w:color="000000" w:fill="EDEDED"/>
            <w:noWrap/>
            <w:vAlign w:val="center"/>
            <w:hideMark/>
          </w:tcPr>
          <w:p w14:paraId="7920139D" w14:textId="77777777" w:rsidR="00814C8C" w:rsidRPr="00814C8C" w:rsidRDefault="00814C8C" w:rsidP="00814C8C">
            <w:pPr>
              <w:spacing w:after="0" w:line="240" w:lineRule="auto"/>
              <w:jc w:val="center"/>
              <w:rPr>
                <w:rFonts w:ascii="Calibri" w:eastAsia="Times New Roman" w:hAnsi="Calibri" w:cs="Calibri"/>
                <w:color w:val="000000"/>
                <w:lang w:eastAsia="en-GB"/>
              </w:rPr>
            </w:pPr>
            <w:r w:rsidRPr="00814C8C">
              <w:rPr>
                <w:rFonts w:ascii="Calibri" w:eastAsia="Times New Roman" w:hAnsi="Calibri" w:cs="Calibri"/>
                <w:color w:val="000000"/>
                <w:lang w:eastAsia="en-GB"/>
              </w:rPr>
              <w:t>Biochar 2</w:t>
            </w:r>
          </w:p>
        </w:tc>
      </w:tr>
      <w:tr w:rsidR="00814C8C" w:rsidRPr="00814C8C" w14:paraId="4B7C9ED3" w14:textId="77777777" w:rsidTr="00F6197D">
        <w:trPr>
          <w:trHeight w:val="257"/>
          <w:jc w:val="center"/>
        </w:trPr>
        <w:tc>
          <w:tcPr>
            <w:tcW w:w="1692" w:type="dxa"/>
            <w:tcBorders>
              <w:top w:val="nil"/>
              <w:left w:val="single" w:sz="4" w:space="0" w:color="auto"/>
              <w:bottom w:val="single" w:sz="4" w:space="0" w:color="auto"/>
              <w:right w:val="single" w:sz="4" w:space="0" w:color="auto"/>
            </w:tcBorders>
            <w:shd w:val="clear" w:color="000000" w:fill="EDEDED"/>
            <w:noWrap/>
            <w:vAlign w:val="center"/>
            <w:hideMark/>
          </w:tcPr>
          <w:p w14:paraId="5533F304" w14:textId="77777777" w:rsidR="00814C8C" w:rsidRPr="00814C8C" w:rsidRDefault="00814C8C" w:rsidP="00814C8C">
            <w:pPr>
              <w:spacing w:after="0" w:line="240" w:lineRule="auto"/>
              <w:jc w:val="center"/>
              <w:rPr>
                <w:rFonts w:ascii="Calibri" w:eastAsia="Times New Roman" w:hAnsi="Calibri" w:cs="Calibri"/>
                <w:color w:val="000000"/>
                <w:lang w:eastAsia="en-GB"/>
              </w:rPr>
            </w:pPr>
            <w:r w:rsidRPr="00814C8C">
              <w:rPr>
                <w:rFonts w:ascii="Calibri" w:eastAsia="Times New Roman" w:hAnsi="Calibri" w:cs="Calibri"/>
                <w:color w:val="000000"/>
                <w:lang w:eastAsia="en-GB"/>
              </w:rPr>
              <w:t>CV (Gross)</w:t>
            </w:r>
          </w:p>
        </w:tc>
        <w:tc>
          <w:tcPr>
            <w:tcW w:w="1692" w:type="dxa"/>
            <w:tcBorders>
              <w:top w:val="nil"/>
              <w:left w:val="nil"/>
              <w:bottom w:val="single" w:sz="4" w:space="0" w:color="auto"/>
              <w:right w:val="single" w:sz="4" w:space="0" w:color="auto"/>
            </w:tcBorders>
            <w:shd w:val="clear" w:color="000000" w:fill="EDEDED"/>
            <w:noWrap/>
            <w:vAlign w:val="bottom"/>
            <w:hideMark/>
          </w:tcPr>
          <w:p w14:paraId="44FECEE6" w14:textId="77777777" w:rsidR="00814C8C" w:rsidRPr="00814C8C" w:rsidRDefault="00814C8C" w:rsidP="00814C8C">
            <w:pPr>
              <w:spacing w:after="0" w:line="240" w:lineRule="auto"/>
              <w:jc w:val="right"/>
              <w:rPr>
                <w:rFonts w:ascii="Calibri" w:eastAsia="Times New Roman" w:hAnsi="Calibri" w:cs="Calibri"/>
                <w:color w:val="000000"/>
                <w:lang w:eastAsia="en-GB"/>
              </w:rPr>
            </w:pPr>
            <w:r w:rsidRPr="00814C8C">
              <w:rPr>
                <w:rFonts w:ascii="Calibri" w:eastAsia="Times New Roman" w:hAnsi="Calibri" w:cs="Calibri"/>
                <w:color w:val="000000"/>
                <w:lang w:eastAsia="en-GB"/>
              </w:rPr>
              <w:t>28.15</w:t>
            </w:r>
          </w:p>
        </w:tc>
        <w:tc>
          <w:tcPr>
            <w:tcW w:w="1692" w:type="dxa"/>
            <w:tcBorders>
              <w:top w:val="nil"/>
              <w:left w:val="nil"/>
              <w:bottom w:val="single" w:sz="4" w:space="0" w:color="auto"/>
              <w:right w:val="single" w:sz="4" w:space="0" w:color="auto"/>
            </w:tcBorders>
            <w:shd w:val="clear" w:color="000000" w:fill="EDEDED"/>
            <w:noWrap/>
            <w:vAlign w:val="bottom"/>
            <w:hideMark/>
          </w:tcPr>
          <w:p w14:paraId="7E541D5A" w14:textId="77777777" w:rsidR="00814C8C" w:rsidRPr="00814C8C" w:rsidRDefault="00814C8C" w:rsidP="00814C8C">
            <w:pPr>
              <w:spacing w:after="0" w:line="240" w:lineRule="auto"/>
              <w:jc w:val="right"/>
              <w:rPr>
                <w:rFonts w:ascii="Calibri" w:eastAsia="Times New Roman" w:hAnsi="Calibri" w:cs="Calibri"/>
                <w:color w:val="000000"/>
                <w:lang w:eastAsia="en-GB"/>
              </w:rPr>
            </w:pPr>
            <w:r w:rsidRPr="00814C8C">
              <w:rPr>
                <w:rFonts w:ascii="Calibri" w:eastAsia="Times New Roman" w:hAnsi="Calibri" w:cs="Calibri"/>
                <w:color w:val="000000"/>
                <w:lang w:eastAsia="en-GB"/>
              </w:rPr>
              <w:t>33.26</w:t>
            </w:r>
          </w:p>
        </w:tc>
        <w:tc>
          <w:tcPr>
            <w:tcW w:w="1692" w:type="dxa"/>
            <w:tcBorders>
              <w:top w:val="nil"/>
              <w:left w:val="nil"/>
              <w:bottom w:val="single" w:sz="4" w:space="0" w:color="auto"/>
              <w:right w:val="single" w:sz="4" w:space="0" w:color="auto"/>
            </w:tcBorders>
            <w:shd w:val="clear" w:color="000000" w:fill="EDEDED"/>
            <w:noWrap/>
            <w:vAlign w:val="bottom"/>
            <w:hideMark/>
          </w:tcPr>
          <w:p w14:paraId="7BF6F0B1" w14:textId="77777777" w:rsidR="00814C8C" w:rsidRPr="00814C8C" w:rsidRDefault="00814C8C" w:rsidP="00814C8C">
            <w:pPr>
              <w:spacing w:after="0" w:line="240" w:lineRule="auto"/>
              <w:jc w:val="right"/>
              <w:rPr>
                <w:rFonts w:ascii="Calibri" w:eastAsia="Times New Roman" w:hAnsi="Calibri" w:cs="Calibri"/>
                <w:color w:val="000000"/>
                <w:lang w:eastAsia="en-GB"/>
              </w:rPr>
            </w:pPr>
            <w:r w:rsidRPr="00814C8C">
              <w:rPr>
                <w:rFonts w:ascii="Calibri" w:eastAsia="Times New Roman" w:hAnsi="Calibri" w:cs="Calibri"/>
                <w:color w:val="000000"/>
                <w:lang w:eastAsia="en-GB"/>
              </w:rPr>
              <w:t>28.07</w:t>
            </w:r>
          </w:p>
        </w:tc>
      </w:tr>
      <w:tr w:rsidR="00814C8C" w:rsidRPr="00814C8C" w14:paraId="4AEBE75D" w14:textId="77777777" w:rsidTr="00F6197D">
        <w:trPr>
          <w:trHeight w:val="257"/>
          <w:jc w:val="center"/>
        </w:trPr>
        <w:tc>
          <w:tcPr>
            <w:tcW w:w="1692" w:type="dxa"/>
            <w:tcBorders>
              <w:top w:val="nil"/>
              <w:left w:val="single" w:sz="4" w:space="0" w:color="auto"/>
              <w:bottom w:val="single" w:sz="4" w:space="0" w:color="auto"/>
              <w:right w:val="single" w:sz="4" w:space="0" w:color="auto"/>
            </w:tcBorders>
            <w:shd w:val="clear" w:color="000000" w:fill="EDEDED"/>
            <w:noWrap/>
            <w:vAlign w:val="center"/>
            <w:hideMark/>
          </w:tcPr>
          <w:p w14:paraId="06E5ED7B" w14:textId="31C3014F" w:rsidR="00814C8C" w:rsidRPr="00814C8C" w:rsidRDefault="00814C8C" w:rsidP="00814C8C">
            <w:pPr>
              <w:spacing w:after="0" w:line="240" w:lineRule="auto"/>
              <w:jc w:val="center"/>
              <w:rPr>
                <w:rFonts w:ascii="Calibri" w:eastAsia="Times New Roman" w:hAnsi="Calibri" w:cs="Calibri"/>
                <w:color w:val="000000"/>
                <w:lang w:eastAsia="en-GB"/>
              </w:rPr>
            </w:pPr>
            <w:r w:rsidRPr="00814C8C">
              <w:rPr>
                <w:rFonts w:ascii="Calibri" w:eastAsia="Times New Roman" w:hAnsi="Calibri" w:cs="Calibri"/>
                <w:color w:val="000000"/>
                <w:lang w:eastAsia="en-GB"/>
              </w:rPr>
              <w:t>CV</w:t>
            </w:r>
            <w:r>
              <w:rPr>
                <w:rFonts w:ascii="Calibri" w:eastAsia="Times New Roman" w:hAnsi="Calibri" w:cs="Calibri"/>
                <w:color w:val="000000"/>
                <w:lang w:eastAsia="en-GB"/>
              </w:rPr>
              <w:t xml:space="preserve"> </w:t>
            </w:r>
            <w:r w:rsidRPr="00814C8C">
              <w:rPr>
                <w:rFonts w:ascii="Calibri" w:eastAsia="Times New Roman" w:hAnsi="Calibri" w:cs="Calibri"/>
                <w:color w:val="000000"/>
                <w:lang w:eastAsia="en-GB"/>
              </w:rPr>
              <w:t xml:space="preserve">(Net) </w:t>
            </w:r>
          </w:p>
        </w:tc>
        <w:tc>
          <w:tcPr>
            <w:tcW w:w="1692" w:type="dxa"/>
            <w:tcBorders>
              <w:top w:val="nil"/>
              <w:left w:val="nil"/>
              <w:bottom w:val="single" w:sz="4" w:space="0" w:color="auto"/>
              <w:right w:val="single" w:sz="4" w:space="0" w:color="auto"/>
            </w:tcBorders>
            <w:shd w:val="clear" w:color="000000" w:fill="EDEDED"/>
            <w:noWrap/>
            <w:vAlign w:val="bottom"/>
            <w:hideMark/>
          </w:tcPr>
          <w:p w14:paraId="3DD43F95" w14:textId="77777777" w:rsidR="00814C8C" w:rsidRPr="00814C8C" w:rsidRDefault="00814C8C" w:rsidP="00814C8C">
            <w:pPr>
              <w:spacing w:after="0" w:line="240" w:lineRule="auto"/>
              <w:jc w:val="right"/>
              <w:rPr>
                <w:rFonts w:ascii="Calibri" w:eastAsia="Times New Roman" w:hAnsi="Calibri" w:cs="Calibri"/>
                <w:color w:val="000000"/>
                <w:lang w:eastAsia="en-GB"/>
              </w:rPr>
            </w:pPr>
            <w:r w:rsidRPr="00814C8C">
              <w:rPr>
                <w:rFonts w:ascii="Calibri" w:eastAsia="Times New Roman" w:hAnsi="Calibri" w:cs="Calibri"/>
                <w:color w:val="000000"/>
                <w:lang w:eastAsia="en-GB"/>
              </w:rPr>
              <w:t>27.64</w:t>
            </w:r>
          </w:p>
        </w:tc>
        <w:tc>
          <w:tcPr>
            <w:tcW w:w="1692" w:type="dxa"/>
            <w:tcBorders>
              <w:top w:val="nil"/>
              <w:left w:val="nil"/>
              <w:bottom w:val="single" w:sz="4" w:space="0" w:color="auto"/>
              <w:right w:val="single" w:sz="4" w:space="0" w:color="auto"/>
            </w:tcBorders>
            <w:shd w:val="clear" w:color="000000" w:fill="EDEDED"/>
            <w:noWrap/>
            <w:vAlign w:val="bottom"/>
            <w:hideMark/>
          </w:tcPr>
          <w:p w14:paraId="1297FDF0" w14:textId="77777777" w:rsidR="00814C8C" w:rsidRPr="00814C8C" w:rsidRDefault="00814C8C" w:rsidP="00814C8C">
            <w:pPr>
              <w:spacing w:after="0" w:line="240" w:lineRule="auto"/>
              <w:jc w:val="right"/>
              <w:rPr>
                <w:rFonts w:ascii="Calibri" w:eastAsia="Times New Roman" w:hAnsi="Calibri" w:cs="Calibri"/>
                <w:color w:val="000000"/>
                <w:lang w:eastAsia="en-GB"/>
              </w:rPr>
            </w:pPr>
            <w:r w:rsidRPr="00814C8C">
              <w:rPr>
                <w:rFonts w:ascii="Calibri" w:eastAsia="Times New Roman" w:hAnsi="Calibri" w:cs="Calibri"/>
                <w:color w:val="000000"/>
                <w:lang w:eastAsia="en-GB"/>
              </w:rPr>
              <w:t>32.80</w:t>
            </w:r>
          </w:p>
        </w:tc>
        <w:tc>
          <w:tcPr>
            <w:tcW w:w="1692" w:type="dxa"/>
            <w:tcBorders>
              <w:top w:val="nil"/>
              <w:left w:val="nil"/>
              <w:bottom w:val="single" w:sz="4" w:space="0" w:color="auto"/>
              <w:right w:val="single" w:sz="4" w:space="0" w:color="auto"/>
            </w:tcBorders>
            <w:shd w:val="clear" w:color="000000" w:fill="EDEDED"/>
            <w:noWrap/>
            <w:vAlign w:val="bottom"/>
            <w:hideMark/>
          </w:tcPr>
          <w:p w14:paraId="6BF5AC9D" w14:textId="77777777" w:rsidR="00814C8C" w:rsidRPr="00814C8C" w:rsidRDefault="00814C8C" w:rsidP="00814C8C">
            <w:pPr>
              <w:spacing w:after="0" w:line="240" w:lineRule="auto"/>
              <w:jc w:val="right"/>
              <w:rPr>
                <w:rFonts w:ascii="Calibri" w:eastAsia="Times New Roman" w:hAnsi="Calibri" w:cs="Calibri"/>
                <w:color w:val="000000"/>
                <w:lang w:eastAsia="en-GB"/>
              </w:rPr>
            </w:pPr>
            <w:r w:rsidRPr="00814C8C">
              <w:rPr>
                <w:rFonts w:ascii="Calibri" w:eastAsia="Times New Roman" w:hAnsi="Calibri" w:cs="Calibri"/>
                <w:color w:val="000000"/>
                <w:lang w:eastAsia="en-GB"/>
              </w:rPr>
              <w:t>27.54</w:t>
            </w:r>
          </w:p>
        </w:tc>
      </w:tr>
    </w:tbl>
    <w:p w14:paraId="07968494" w14:textId="77777777" w:rsidR="00267BFC" w:rsidRDefault="00267BFC" w:rsidP="001D53D6">
      <w:pPr>
        <w:spacing w:line="360" w:lineRule="auto"/>
        <w:jc w:val="both"/>
      </w:pPr>
    </w:p>
    <w:p w14:paraId="77E73FB4" w14:textId="0277F919" w:rsidR="00A23FBC" w:rsidRDefault="006E2AB7" w:rsidP="00DA6971">
      <w:pPr>
        <w:pStyle w:val="Heading3"/>
      </w:pPr>
      <w:bookmarkStart w:id="93" w:name="_Toc128599634"/>
      <w:r>
        <w:t>Characteristics o</w:t>
      </w:r>
      <w:r w:rsidR="000568ED">
        <w:t xml:space="preserve">f </w:t>
      </w:r>
      <w:r w:rsidR="000B04C4">
        <w:t>Sintering with Biocoke</w:t>
      </w:r>
      <w:bookmarkEnd w:id="93"/>
    </w:p>
    <w:p w14:paraId="3D557D28" w14:textId="3376FDA6" w:rsidR="00F75935" w:rsidRDefault="003B026B" w:rsidP="000B04C4">
      <w:pPr>
        <w:spacing w:line="360" w:lineRule="auto"/>
        <w:jc w:val="both"/>
      </w:pPr>
      <w:r>
        <w:t xml:space="preserve">The quality </w:t>
      </w:r>
      <w:r w:rsidR="00380728">
        <w:t>of the sinter is related to the temperature conditions of the sintering bed</w:t>
      </w:r>
      <w:r w:rsidR="007B3A42">
        <w:t xml:space="preserve"> </w:t>
      </w:r>
      <w:r w:rsidR="00974ED2">
        <w:fldChar w:fldCharType="begin"/>
      </w:r>
      <w:r w:rsidR="00192334">
        <w:instrText xml:space="preserve"> ADDIN ZOTERO_ITEM CSL_CITATION {"citationID":"ZuBAnsGE","properties":{"formattedCitation":"(Cheng {\\i{}et al.}, 2016)","plainCitation":"(Cheng et al., 2016)","noteIndex":0},"citationItems":[{"id":1906,"uris":["http://zotero.org/users/local/AB2owHL2/items/9H8FADEK"],"itemData":{"id":1906,"type":"article-journal","abstract":"Using biomass for partial or complete replacement of coke breeze in iron ore sintering process is an attractive technique for reducing emissions of greenhouse gas and gaseous pollutants. But one drawback of this technique is that low or medium grade charcoal may lead to the failure in achieving proper sintering performance. In this paper, the behaviors of coke combustion versus charcoal combustion in sintering bed were compared. The results of thermal profile and exhaust gas composition indicated that the sinters quality was deteriorated at high charcoal proportion. Lacking heat release in melting zone and the excessively high combustion rate were the reasons to weak sinters. In order to ensure the sintering performance when using medium grade charcoal in sintering bed, the effects of three improving measures (proposing the equivalent fixed carbon substitution approach, increasing charcoal particle size and adopting coated charcoal combustion) were experimentally tested. The results showed that equivalent fixed carbon substitution approach was more effective to produce sufficient heat in melting zone at medium grade charcoal combustion. Additionally, it was also found that increasing charcoal particles size and applying coated charcoal combustion method could reduce combustion rate to achieve a proper matching condition between flame front speed and heat transfer front speed. Consequently, with the help of equivalent fixed carbon substitution approach, coarse charcoal and coated charcoal particles, the peak temperature, holding time above 1100°C, melting quantity index and combustion efficiency were increased in the charcoal sintering process.","container-title":"Applied Energy","DOI":"10.1016/j.apenergy.2015.09.095","ISSN":"0306-2619","journalAbbreviation":"Applied Energy","language":"en","page":"364-374","source":"ScienceDirect","title":"Characteristics of charcoal combustion and its effects on iron-ore sintering performance","URL":"https://www.sciencedirect.com/science/article/pii/S0306261915012210","volume":"161","author":[{"family":"Cheng","given":"Zhilong"},{"family":"Yang","given":"Jian"},{"family":"Zhou","given":"Lang"},{"family":"Liu","given":"Yan"},{"family":"Wang","given":"Qiuwang"}],"accessed":{"date-parts":[["2022",8,22]]},"issued":{"date-parts":[["2016",1,1]]}}}],"schema":"https://github.com/citation-style-language/schema/raw/master/csl-citation.json"} </w:instrText>
      </w:r>
      <w:r w:rsidR="00974ED2">
        <w:fldChar w:fldCharType="separate"/>
      </w:r>
      <w:r w:rsidR="00192334" w:rsidRPr="00192334">
        <w:rPr>
          <w:rFonts w:ascii="Calibri" w:hAnsi="Calibri" w:cs="Calibri"/>
          <w:szCs w:val="24"/>
        </w:rPr>
        <w:t xml:space="preserve">(Cheng </w:t>
      </w:r>
      <w:r w:rsidR="00192334" w:rsidRPr="00192334">
        <w:rPr>
          <w:rFonts w:ascii="Calibri" w:hAnsi="Calibri" w:cs="Calibri"/>
          <w:i/>
          <w:iCs/>
          <w:szCs w:val="24"/>
        </w:rPr>
        <w:t>et al.</w:t>
      </w:r>
      <w:r w:rsidR="00192334" w:rsidRPr="00192334">
        <w:rPr>
          <w:rFonts w:ascii="Calibri" w:hAnsi="Calibri" w:cs="Calibri"/>
          <w:szCs w:val="24"/>
        </w:rPr>
        <w:t>, 2016)</w:t>
      </w:r>
      <w:r w:rsidR="00974ED2">
        <w:fldChar w:fldCharType="end"/>
      </w:r>
      <w:r w:rsidR="00380728">
        <w:t>.</w:t>
      </w:r>
      <w:r w:rsidR="00712097">
        <w:t xml:space="preserve"> </w:t>
      </w:r>
      <w:r w:rsidR="00443D0C">
        <w:t xml:space="preserve">The sintering characteristics that are evaluated are </w:t>
      </w:r>
      <w:r w:rsidR="001D09DC">
        <w:t>peak temperature, sintering time, flame front spee</w:t>
      </w:r>
      <w:r w:rsidR="00D51CB5">
        <w:t>d</w:t>
      </w:r>
      <w:r w:rsidR="00406E24">
        <w:t xml:space="preserve"> and hot and cold </w:t>
      </w:r>
      <w:r w:rsidR="005D2361">
        <w:t>permeability</w:t>
      </w:r>
      <w:r w:rsidR="00406E24">
        <w:t>,</w:t>
      </w:r>
      <w:r w:rsidR="00D51CB5">
        <w:t xml:space="preserve"> some of these can be </w:t>
      </w:r>
      <w:r w:rsidR="0036156C">
        <w:t xml:space="preserve">derived </w:t>
      </w:r>
      <w:r w:rsidR="006176C3">
        <w:t>from t</w:t>
      </w:r>
      <w:r w:rsidR="009A78CB">
        <w:t xml:space="preserve">he </w:t>
      </w:r>
      <w:r w:rsidR="00653322">
        <w:t>time -</w:t>
      </w:r>
      <w:r w:rsidR="0055763E">
        <w:t xml:space="preserve"> </w:t>
      </w:r>
      <w:r w:rsidR="007C5F20">
        <w:t>temperature profil</w:t>
      </w:r>
      <w:r w:rsidR="00974ED2">
        <w:t>es</w:t>
      </w:r>
      <w:r w:rsidR="006B233D">
        <w:t xml:space="preserve"> (Biochar 1)</w:t>
      </w:r>
      <w:r w:rsidR="00974ED2">
        <w:t xml:space="preserve"> </w:t>
      </w:r>
      <w:r w:rsidR="007C5F20">
        <w:t xml:space="preserve">shown in figure </w:t>
      </w:r>
      <w:r w:rsidR="006D4180">
        <w:t>41 below.</w:t>
      </w:r>
      <w:r w:rsidR="00D157BB">
        <w:t xml:space="preserve"> </w:t>
      </w:r>
      <w:r w:rsidR="00460F74">
        <w:t>Thermocouple 1</w:t>
      </w:r>
      <w:r w:rsidR="009605DF">
        <w:t xml:space="preserve"> </w:t>
      </w:r>
      <w:r w:rsidR="00105F1A">
        <w:t>is located</w:t>
      </w:r>
      <w:r w:rsidR="00460F74">
        <w:t xml:space="preserve"> </w:t>
      </w:r>
      <w:r w:rsidR="009605DF">
        <w:t>near</w:t>
      </w:r>
      <w:r w:rsidR="00460F74">
        <w:t xml:space="preserve"> the top of the </w:t>
      </w:r>
      <w:r w:rsidR="00634096">
        <w:t>sinter pot</w:t>
      </w:r>
      <w:r w:rsidR="00943C72">
        <w:t xml:space="preserve"> </w:t>
      </w:r>
      <w:r w:rsidR="009605DF">
        <w:t xml:space="preserve">and </w:t>
      </w:r>
      <w:r w:rsidR="000F7103">
        <w:t xml:space="preserve">they are evenly distributed through the pot to </w:t>
      </w:r>
      <w:r w:rsidR="004351B8">
        <w:t xml:space="preserve">thermocouple 5 near the bottom, there </w:t>
      </w:r>
      <w:r w:rsidR="00F21C30">
        <w:t>are</w:t>
      </w:r>
      <w:r w:rsidR="004351B8">
        <w:t xml:space="preserve"> also 2 thermocouple</w:t>
      </w:r>
      <w:r w:rsidR="00F21C30">
        <w:t>s</w:t>
      </w:r>
      <w:r w:rsidR="004351B8">
        <w:t xml:space="preserve"> measuring the </w:t>
      </w:r>
      <w:r w:rsidR="00015ADC">
        <w:t>off-gas</w:t>
      </w:r>
      <w:r w:rsidR="004351B8">
        <w:t xml:space="preserve"> temperature</w:t>
      </w:r>
      <w:r w:rsidR="00D76096">
        <w:t xml:space="preserve"> underneath the pot</w:t>
      </w:r>
      <w:r w:rsidR="00441C6B">
        <w:t xml:space="preserve">, </w:t>
      </w:r>
      <w:r w:rsidR="00E10346">
        <w:t xml:space="preserve">the sintering time </w:t>
      </w:r>
      <w:r w:rsidR="00343DB4">
        <w:t>ending is concluded once the off gas temperature</w:t>
      </w:r>
      <w:r w:rsidR="008A22F3">
        <w:t xml:space="preserve"> </w:t>
      </w:r>
      <w:r w:rsidR="00546CD5">
        <w:t xml:space="preserve">drops back down to </w:t>
      </w:r>
      <w:r w:rsidR="008E0B4B">
        <w:t>the baseline.</w:t>
      </w:r>
      <w:r w:rsidR="009605DF">
        <w:t xml:space="preserve"> </w:t>
      </w:r>
    </w:p>
    <w:p w14:paraId="152ACE35" w14:textId="3C9B3CD4" w:rsidR="00392D5A" w:rsidRDefault="00812A91" w:rsidP="000B04C4">
      <w:pPr>
        <w:spacing w:line="360" w:lineRule="auto"/>
        <w:jc w:val="both"/>
      </w:pPr>
      <w:r w:rsidRPr="00812A91">
        <w:rPr>
          <w:noProof/>
        </w:rPr>
        <w:drawing>
          <wp:inline distT="0" distB="0" distL="0" distR="0" wp14:anchorId="2A7974BF" wp14:editId="37B7F45F">
            <wp:extent cx="3275937" cy="2356561"/>
            <wp:effectExtent l="0" t="0" r="1270" b="5715"/>
            <wp:docPr id="161" name="Picture 1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Picture 161" descr="Diagram&#10;&#10;Description automatically generated"/>
                    <pic:cNvPicPr/>
                  </pic:nvPicPr>
                  <pic:blipFill>
                    <a:blip r:embed="rId83"/>
                    <a:stretch>
                      <a:fillRect/>
                    </a:stretch>
                  </pic:blipFill>
                  <pic:spPr>
                    <a:xfrm>
                      <a:off x="0" y="0"/>
                      <a:ext cx="3281851" cy="2360815"/>
                    </a:xfrm>
                    <a:prstGeom prst="rect">
                      <a:avLst/>
                    </a:prstGeom>
                  </pic:spPr>
                </pic:pic>
              </a:graphicData>
            </a:graphic>
          </wp:inline>
        </w:drawing>
      </w:r>
    </w:p>
    <w:p w14:paraId="0FE1C4A5" w14:textId="3E16C213" w:rsidR="00812A91" w:rsidRDefault="00812A91" w:rsidP="00812A91">
      <w:pPr>
        <w:pStyle w:val="Caption"/>
      </w:pPr>
      <w:bookmarkStart w:id="94" w:name="_Toc127110935"/>
      <w:r>
        <w:t xml:space="preserve">Figure </w:t>
      </w:r>
      <w:fldSimple w:instr=" SEQ Figure \* ARABIC ">
        <w:r w:rsidR="00A0212F">
          <w:rPr>
            <w:noProof/>
          </w:rPr>
          <w:t>41</w:t>
        </w:r>
      </w:fldSimple>
      <w:r>
        <w:t xml:space="preserve"> </w:t>
      </w:r>
      <w:r w:rsidR="0077078A">
        <w:t xml:space="preserve">The effect </w:t>
      </w:r>
      <w:r w:rsidR="006753D1">
        <w:t>o</w:t>
      </w:r>
      <w:r w:rsidR="00286A66">
        <w:t>n</w:t>
      </w:r>
      <w:r w:rsidR="006753D1">
        <w:t xml:space="preserve"> </w:t>
      </w:r>
      <w:r w:rsidR="00F0583B">
        <w:t>the tempe</w:t>
      </w:r>
      <w:r w:rsidR="00A25547">
        <w:t>rature profile of combustion rate</w:t>
      </w:r>
      <w:r w:rsidR="00C7760C">
        <w:t xml:space="preserve"> </w:t>
      </w:r>
      <w:r w:rsidR="00C7760C">
        <w:fldChar w:fldCharType="begin"/>
      </w:r>
      <w:r w:rsidR="00192334">
        <w:instrText xml:space="preserve"> ADDIN ZOTERO_ITEM CSL_CITATION {"citationID":"DqEdUJmb","properties":{"formattedCitation":"(Kawaguchi and Hara, 2013)","plainCitation":"(Kawaguchi and Hara, 2013)","noteIndex":0},"citationItems":[{"id":1917,"uris":["http://zotero.org/users/local/AB2owHL2/items/TDKN9GFN"],"itemData":{"id":1917,"type":"article-journal","container-title":"ISIJ International","DOI":"10.2355/isijinternational.53.1599","ISSN":"0915-1559, 1347-5460","issue":"9","journalAbbreviation":"ISIJ Int.","language":"en","page":"1599-1606","source":"DOI.org (Crossref)","title":"Utilization of Biomass for Iron Ore Sintering","URL":"https://www.jstage.jst.go.jp/article/isijinternational/53/9/53_1599/_article","volume":"53","author":[{"family":"Kawaguchi","given":"Takazo"},{"family":"Hara","given":"Masaki"}],"accessed":{"date-parts":[["2022",8,24]]},"issued":{"date-parts":[["2013"]]}}}],"schema":"https://github.com/citation-style-language/schema/raw/master/csl-citation.json"} </w:instrText>
      </w:r>
      <w:r w:rsidR="00C7760C">
        <w:fldChar w:fldCharType="separate"/>
      </w:r>
      <w:r w:rsidR="00192334" w:rsidRPr="00192334">
        <w:rPr>
          <w:rFonts w:ascii="Calibri" w:hAnsi="Calibri" w:cs="Calibri"/>
        </w:rPr>
        <w:t>(Kawaguchi and Hara, 2013)</w:t>
      </w:r>
      <w:r w:rsidR="00C7760C">
        <w:fldChar w:fldCharType="end"/>
      </w:r>
      <w:r w:rsidR="00C7760C">
        <w:t>.</w:t>
      </w:r>
      <w:bookmarkEnd w:id="94"/>
    </w:p>
    <w:p w14:paraId="2B804E61" w14:textId="4DBA2D41" w:rsidR="00D872C7" w:rsidRDefault="008F5C12" w:rsidP="000A4426">
      <w:pPr>
        <w:spacing w:line="360" w:lineRule="auto"/>
        <w:jc w:val="both"/>
      </w:pPr>
      <w:r>
        <w:t xml:space="preserve">Authors such as </w:t>
      </w:r>
      <w:r w:rsidR="0054789E">
        <w:fldChar w:fldCharType="begin"/>
      </w:r>
      <w:r w:rsidR="00192334">
        <w:instrText xml:space="preserve"> ADDIN ZOTERO_ITEM CSL_CITATION {"citationID":"Sk3M8Bkg","properties":{"formattedCitation":"(Kawaguchi and Hara, 2013; Gan {\\i{}et al.}, 2014; Cheng {\\i{}et al.}, 2016; Liu {\\i{}et al.}, 2020)","plainCitation":"(Kawaguchi and Hara, 2013; Gan et al., 2014; Cheng et al., 2016; Liu et al., 2020)","noteIndex":0},"citationItems":[{"id":1917,"uris":["http://zotero.org/users/local/AB2owHL2/items/TDKN9GFN"],"itemData":{"id":1917,"type":"article-journal","container-title":"ISIJ International","DOI":"10.2355/isijinternational.53.1599","ISSN":"0915-1559, 1347-5460","issue":"9","journalAbbreviation":"ISIJ Int.","language":"en","page":"1599-1606","source":"DOI.org (Crossref)","title":"Utilization of Biomass for Iron Ore Sintering","URL":"https://www.jstage.jst.go.jp/article/isijinternational/53/9/53_1599/_article","volume":"53","author":[{"family":"Kawaguchi","given":"Takazo"},{"family":"Hara","given":"Masaki"}],"accessed":{"date-parts":[["2022",8,24]]},"issued":{"date-parts":[["2013"]]}},"label":"page"},{"id":1701,"uris":["http://zotero.org/users/local/AB2owHL2/items/YS66955K"],"itemData":{"id":1701,"type":"article-journal","abstract":"It is of great significance for cleaner production to substitute bio-energy for fossil fuels in iron ore sintering. However, with the replacement ratio increasing, the consistency of heat front and flame front is broken, and the thermal utilizing efficiency of fuel is reduced, which results in the decrease of yield and tumble index of sinter. Circulating flue gas to sintering bed as biochar replacing 40% coke, CO in flue gas can be reused so as to increase the thermal utilizing efficiency of fuels, and the consistency of two fronts is recovered for the circulating flue gas containing certain CO2, H2O and lower O2, which contributes to increasing the maximum temperature, extending the high temperature duration time of sintering bed, and results in improving the output and quality of sinter. In the condition of circulating 40% flue gas, the sintering with biomass fuels is strengthened, and the sintering indexes with biomass fuel replacing 40% coke breeze are comparative to those of using coke breeze completely.","container-title":"Journal of Central South University","DOI":"10.1007/s11771-014-2405-6","ISSN":"2095-2899, 2227-5223","issue":"11","journalAbbreviation":"J. Cent. South Univ.","language":"en","page":"4109-4114","source":"DOI.org (Crossref)","title":"Fundamental study on iron ore sintering new process of flue gas recirculation together with using biochar as fuel","URL":"http://link.springer.com/10.1007/s11771-014-2405-6","volume":"21","author":[{"family":"Gan","given":"Min"},{"family":"Fan","given":"Xiao-hui"},{"family":"Jiang","given":"Tao"},{"family":"Chen","given":"Xu-ling"},{"family":"Yu","given":"Zhi-yuan"},{"family":"Ji","given":"Zhi-yun"}],"accessed":{"date-parts":[["2022",6,28]]},"issued":{"date-parts":[["2014",11]]}},"label":"page"},{"id":1906,"uris":["http://zotero.org/users/local/AB2owHL2/items/9H8FADEK"],"itemData":{"id":1906,"type":"article-journal","abstract":"Using biomass for partial or complete replacement of coke breeze in iron ore sintering process is an attractive technique for reducing emissions of greenhouse gas and gaseous pollutants. But one drawback of this technique is that low or medium grade charcoal may lead to the failure in achieving proper sintering performance. In this paper, the behaviors of coke combustion versus charcoal combustion in sintering bed were compared. The results of thermal profile and exhaust gas composition indicated that the sinters quality was deteriorated at high charcoal proportion. Lacking heat release in melting zone and the excessively high combustion rate were the reasons to weak sinters. In order to ensure the sintering performance when using medium grade charcoal in sintering bed, the effects of three improving measures (proposing the equivalent fixed carbon substitution approach, increasing charcoal particle size and adopting coated charcoal combustion) were experimentally tested. The results showed that equivalent fixed carbon substitution approach was more effective to produce sufficient heat in melting zone at medium grade charcoal combustion. Additionally, it was also found that increasing charcoal particles size and applying coated charcoal combustion method could reduce combustion rate to achieve a proper matching condition between flame front speed and heat transfer front speed. Consequently, with the help of equivalent fixed carbon substitution approach, coarse charcoal and coated charcoal particles, the peak temperature, holding time above 1100°C, melting quantity index and combustion efficiency were increased in the charcoal sintering process.","container-title":"Applied Energy","DOI":"10.1016/j.apenergy.2015.09.095","ISSN":"0306-2619","journalAbbreviation":"Applied Energy","language":"en","page":"364-374","source":"ScienceDirect","title":"Characteristics of charcoal combustion and its effects on iron-ore sintering performance","URL":"https://www.sciencedirect.com/science/article/pii/S0306261915012210","volume":"161","author":[{"family":"Cheng","given":"Zhilong"},{"family":"Yang","given":"Jian"},{"family":"Zhou","given":"Lang"},{"family":"Liu","given":"Yan"},{"family":"Wang","given":"Qiuwang"}],"accessed":{"date-parts":[["2022",8,22]]},"issued":{"date-parts":[["2016",1,1]]}},"label":"page"},{"id":1873,"uris":["http://zotero.org/users/local/AB2owHL2/items/H6ZYCLQC"],"itemData":{"id":1873,"type":"article-journal","abstract":"Owing to majority of sintering fuel gas pollutants comes from the coke, modified charcoal replaced coke for iron ore sintering to achieve the emissions reduction of the pollutants in this study. By modifying biomass fuel with CaO and urea, the specific surface area, pore volume and pore diameter were reduced to 12.942 m2 g−1, 1.326e-02 cc g−1 and 18.865 nm. The experimental results of sintering cup showed that the vertical sintering speed increased, the burning through point advanced, the sinter drum index decreased gradually, and the sintering yield increased initially and then decreased with the increasing of modified charcoal content. The optimum proportion of modified charcoal instead of coke powder was determined to be 40%. Meanwhile, application of the 40% modified charcoal to sintering resulted in a decrease of 45.85% for SO2 and a decrease of 54.26% for NOx emissions.","container-title":"Ironmaking &amp; Steelmaking","DOI":"10.1080/03019233.2018.1507070","ISSN":"03019233","issue":"2","note":"publisher: Taylor &amp; Francis Ltd","page":"188-194","source":"EBSCOhost","title":"Modified biomass fuel instead of coke for iron ore sintering","URL":"https://ezproxy.uwtsd.ac.uk/login?url=https://search.ebscohost.com/login.aspx?direct=true&amp;db=aph&amp;AN=142124512&amp;site=ehost-live","volume":"47","author":[{"family":"Liu","given":"Chao"},{"family":"Zhang","given":"Yu-zhu"},{"family":"Zhao","given":"Kai"},{"family":"Xing","given":"Hong-wei"},{"family":"Kang","given":"Yue"}],"accessed":{"date-parts":[["2022",8,3]]},"issued":{"date-parts":[["2020",2]]}},"label":"page"}],"schema":"https://github.com/citation-style-language/schema/raw/master/csl-citation.json"} </w:instrText>
      </w:r>
      <w:r w:rsidR="0054789E">
        <w:fldChar w:fldCharType="separate"/>
      </w:r>
      <w:r w:rsidR="00192334" w:rsidRPr="00192334">
        <w:rPr>
          <w:rFonts w:ascii="Calibri" w:hAnsi="Calibri" w:cs="Calibri"/>
          <w:szCs w:val="24"/>
        </w:rPr>
        <w:t xml:space="preserve">(Kawaguchi and Hara, 2013; Gan </w:t>
      </w:r>
      <w:r w:rsidR="00192334" w:rsidRPr="00192334">
        <w:rPr>
          <w:rFonts w:ascii="Calibri" w:hAnsi="Calibri" w:cs="Calibri"/>
          <w:i/>
          <w:iCs/>
          <w:szCs w:val="24"/>
        </w:rPr>
        <w:t>et al.</w:t>
      </w:r>
      <w:r w:rsidR="00192334" w:rsidRPr="00192334">
        <w:rPr>
          <w:rFonts w:ascii="Calibri" w:hAnsi="Calibri" w:cs="Calibri"/>
          <w:szCs w:val="24"/>
        </w:rPr>
        <w:t xml:space="preserve">, 2014; Cheng </w:t>
      </w:r>
      <w:r w:rsidR="00192334" w:rsidRPr="00192334">
        <w:rPr>
          <w:rFonts w:ascii="Calibri" w:hAnsi="Calibri" w:cs="Calibri"/>
          <w:i/>
          <w:iCs/>
          <w:szCs w:val="24"/>
        </w:rPr>
        <w:t>et al.</w:t>
      </w:r>
      <w:r w:rsidR="00192334" w:rsidRPr="00192334">
        <w:rPr>
          <w:rFonts w:ascii="Calibri" w:hAnsi="Calibri" w:cs="Calibri"/>
          <w:szCs w:val="24"/>
        </w:rPr>
        <w:t xml:space="preserve">, 2016; Liu </w:t>
      </w:r>
      <w:r w:rsidR="00192334" w:rsidRPr="00192334">
        <w:rPr>
          <w:rFonts w:ascii="Calibri" w:hAnsi="Calibri" w:cs="Calibri"/>
          <w:i/>
          <w:iCs/>
          <w:szCs w:val="24"/>
        </w:rPr>
        <w:t>et al.</w:t>
      </w:r>
      <w:r w:rsidR="00192334" w:rsidRPr="00192334">
        <w:rPr>
          <w:rFonts w:ascii="Calibri" w:hAnsi="Calibri" w:cs="Calibri"/>
          <w:szCs w:val="24"/>
        </w:rPr>
        <w:t>, 2020)</w:t>
      </w:r>
      <w:r w:rsidR="0054789E">
        <w:fldChar w:fldCharType="end"/>
      </w:r>
      <w:r w:rsidR="0054789E">
        <w:t xml:space="preserve"> found that </w:t>
      </w:r>
      <w:r w:rsidR="00392A47">
        <w:t>biochar has a faster combustion rate than coke.</w:t>
      </w:r>
      <w:r w:rsidR="000A4426">
        <w:t xml:space="preserve"> As the combustion rate increases</w:t>
      </w:r>
      <w:r w:rsidR="0028590E">
        <w:t xml:space="preserve">, heat generation is </w:t>
      </w:r>
      <w:r w:rsidR="00147E84">
        <w:t>increased,</w:t>
      </w:r>
      <w:r w:rsidR="00D84B3C">
        <w:t xml:space="preserve"> and the maximum temperature is higher</w:t>
      </w:r>
      <w:r w:rsidR="0012330A">
        <w:t xml:space="preserve"> as shown in figure 41</w:t>
      </w:r>
      <w:r w:rsidR="003150C2">
        <w:t xml:space="preserve">. </w:t>
      </w:r>
      <w:r w:rsidR="00DB06BD">
        <w:t>A high combustion rate results in</w:t>
      </w:r>
      <w:r w:rsidR="00BE1D98">
        <w:t xml:space="preserve"> a </w:t>
      </w:r>
      <w:r w:rsidR="00AD2886">
        <w:t>reduction</w:t>
      </w:r>
      <w:r w:rsidR="00BE1D98">
        <w:t xml:space="preserve"> in</w:t>
      </w:r>
      <w:r w:rsidR="00DB06BD">
        <w:t xml:space="preserve"> </w:t>
      </w:r>
      <w:r w:rsidR="00BE1D98">
        <w:t>the holding time at high temperature</w:t>
      </w:r>
      <w:r w:rsidR="001C3676">
        <w:t>,</w:t>
      </w:r>
      <w:r w:rsidR="0067050C">
        <w:t xml:space="preserve"> a lower maximum temperature</w:t>
      </w:r>
      <w:r w:rsidR="00411C61">
        <w:t xml:space="preserve"> and lower combustion efficiency</w:t>
      </w:r>
      <w:r w:rsidR="005A5E74">
        <w:t>. When the combustion rate is too high</w:t>
      </w:r>
      <w:r w:rsidR="00656507">
        <w:t xml:space="preserve"> there is a reduction in the sinter yield</w:t>
      </w:r>
      <w:r w:rsidR="001A3A1D">
        <w:t xml:space="preserve"> as the sinter does not have time to agglomerate. </w:t>
      </w:r>
      <w:r w:rsidR="002C7E4E">
        <w:t>Conversely</w:t>
      </w:r>
      <w:r w:rsidR="002165E0">
        <w:t xml:space="preserve"> </w:t>
      </w:r>
      <w:r w:rsidR="002C7E4E">
        <w:t>s</w:t>
      </w:r>
      <w:r w:rsidR="002165E0">
        <w:t xml:space="preserve">inter productivity increases </w:t>
      </w:r>
      <w:r w:rsidR="00A778ED">
        <w:t>as a result</w:t>
      </w:r>
      <w:r w:rsidR="0067050C">
        <w:t>.</w:t>
      </w:r>
    </w:p>
    <w:p w14:paraId="1D6BC7AD" w14:textId="02585556" w:rsidR="006057AD" w:rsidRDefault="00CC49C3" w:rsidP="001D53D6">
      <w:pPr>
        <w:spacing w:line="360" w:lineRule="auto"/>
        <w:jc w:val="both"/>
      </w:pPr>
      <w:r w:rsidRPr="00CC49C3">
        <w:rPr>
          <w:noProof/>
        </w:rPr>
        <w:lastRenderedPageBreak/>
        <w:drawing>
          <wp:inline distT="0" distB="0" distL="0" distR="0" wp14:anchorId="11CE667D" wp14:editId="7885878B">
            <wp:extent cx="5731510" cy="3101009"/>
            <wp:effectExtent l="0" t="0" r="2540" b="4445"/>
            <wp:docPr id="145" name="Picture 14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Chart, histogram&#10;&#10;Description automatically generated"/>
                    <pic:cNvPicPr/>
                  </pic:nvPicPr>
                  <pic:blipFill>
                    <a:blip r:embed="rId84"/>
                    <a:stretch>
                      <a:fillRect/>
                    </a:stretch>
                  </pic:blipFill>
                  <pic:spPr>
                    <a:xfrm>
                      <a:off x="0" y="0"/>
                      <a:ext cx="5733998" cy="3102355"/>
                    </a:xfrm>
                    <a:prstGeom prst="rect">
                      <a:avLst/>
                    </a:prstGeom>
                  </pic:spPr>
                </pic:pic>
              </a:graphicData>
            </a:graphic>
          </wp:inline>
        </w:drawing>
      </w:r>
    </w:p>
    <w:p w14:paraId="5B17DBF8" w14:textId="71DC765D" w:rsidR="00CC49C3" w:rsidRDefault="00E10387" w:rsidP="001D53D6">
      <w:pPr>
        <w:spacing w:line="360" w:lineRule="auto"/>
        <w:jc w:val="both"/>
      </w:pPr>
      <w:r w:rsidRPr="00E10387">
        <w:rPr>
          <w:noProof/>
        </w:rPr>
        <w:drawing>
          <wp:inline distT="0" distB="0" distL="0" distR="0" wp14:anchorId="31B5BF3A" wp14:editId="61BFE7F8">
            <wp:extent cx="5731510" cy="2910177"/>
            <wp:effectExtent l="0" t="0" r="2540" b="5080"/>
            <wp:docPr id="147" name="Picture 14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Chart, line chart&#10;&#10;Description automatically generated"/>
                    <pic:cNvPicPr/>
                  </pic:nvPicPr>
                  <pic:blipFill>
                    <a:blip r:embed="rId85"/>
                    <a:stretch>
                      <a:fillRect/>
                    </a:stretch>
                  </pic:blipFill>
                  <pic:spPr>
                    <a:xfrm>
                      <a:off x="0" y="0"/>
                      <a:ext cx="5737554" cy="2913246"/>
                    </a:xfrm>
                    <a:prstGeom prst="rect">
                      <a:avLst/>
                    </a:prstGeom>
                  </pic:spPr>
                </pic:pic>
              </a:graphicData>
            </a:graphic>
          </wp:inline>
        </w:drawing>
      </w:r>
    </w:p>
    <w:p w14:paraId="09E19FD5" w14:textId="6835815B" w:rsidR="00364531" w:rsidRDefault="009A78CB" w:rsidP="009A78CB">
      <w:pPr>
        <w:pStyle w:val="Caption"/>
      </w:pPr>
      <w:bookmarkStart w:id="95" w:name="_Toc127110936"/>
      <w:r>
        <w:t xml:space="preserve">Figure </w:t>
      </w:r>
      <w:fldSimple w:instr=" SEQ Figure \* ARABIC ">
        <w:r w:rsidR="00A0212F">
          <w:rPr>
            <w:noProof/>
          </w:rPr>
          <w:t>42</w:t>
        </w:r>
      </w:fldSimple>
      <w:r>
        <w:t xml:space="preserve"> </w:t>
      </w:r>
      <w:r w:rsidR="00653322">
        <w:t>Time - t</w:t>
      </w:r>
      <w:r>
        <w:t>emperature profile</w:t>
      </w:r>
      <w:r w:rsidR="00591600">
        <w:t>s</w:t>
      </w:r>
      <w:r>
        <w:t xml:space="preserve"> of the </w:t>
      </w:r>
      <w:r w:rsidR="002B2614">
        <w:t xml:space="preserve">biochar 1 </w:t>
      </w:r>
      <w:r w:rsidR="00786410">
        <w:t>sinter pot tests</w:t>
      </w:r>
      <w:r w:rsidR="006D4180">
        <w:t>.</w:t>
      </w:r>
      <w:bookmarkEnd w:id="95"/>
    </w:p>
    <w:p w14:paraId="7564484A" w14:textId="5090B4E9" w:rsidR="00D0342B" w:rsidRDefault="00D0342B" w:rsidP="002A33EA">
      <w:pPr>
        <w:spacing w:line="360" w:lineRule="auto"/>
      </w:pPr>
      <w:r>
        <w:t xml:space="preserve">The temperature profiles of the biochar 1 results are shown above in figure 42. </w:t>
      </w:r>
      <w:r w:rsidR="002A33EA">
        <w:t>Each test has been carried out in duplicate</w:t>
      </w:r>
      <w:r w:rsidR="001F6FFD">
        <w:t xml:space="preserve"> and the most consistent </w:t>
      </w:r>
      <w:r w:rsidR="00DC1127">
        <w:t xml:space="preserve">graph has been demonstrated for each test. The material </w:t>
      </w:r>
      <w:r w:rsidR="002C0B59">
        <w:t xml:space="preserve">produced was </w:t>
      </w:r>
      <w:r w:rsidR="008159FC">
        <w:t xml:space="preserve">then </w:t>
      </w:r>
      <w:r w:rsidR="002C0B59">
        <w:t xml:space="preserve">composited </w:t>
      </w:r>
      <w:r w:rsidR="00C92E32">
        <w:t>for the quality test</w:t>
      </w:r>
      <w:r w:rsidR="00F80DC1">
        <w:t>.</w:t>
      </w:r>
    </w:p>
    <w:p w14:paraId="620F5C43" w14:textId="03C69C3B" w:rsidR="00A16097" w:rsidRDefault="00576ECB" w:rsidP="00DB381B">
      <w:pPr>
        <w:spacing w:line="360" w:lineRule="auto"/>
        <w:jc w:val="both"/>
      </w:pPr>
      <w:r>
        <w:t xml:space="preserve">The </w:t>
      </w:r>
      <w:r w:rsidR="00600F1B">
        <w:t xml:space="preserve">temperature profiles are reasonably consistent in the first three </w:t>
      </w:r>
      <w:r w:rsidR="00DB381B">
        <w:t>tests, they all have tall narrow curves which</w:t>
      </w:r>
      <w:r w:rsidR="00BB0DD5">
        <w:t xml:space="preserve"> mostly</w:t>
      </w:r>
      <w:r w:rsidR="00DB381B">
        <w:t xml:space="preserve"> peak </w:t>
      </w:r>
      <w:r w:rsidR="00BB0DD5">
        <w:t>consistently</w:t>
      </w:r>
      <w:r w:rsidR="00F06C1C">
        <w:t>, there are some peaks which are lower</w:t>
      </w:r>
      <w:r w:rsidR="00280626">
        <w:t xml:space="preserve"> (peaks 2 </w:t>
      </w:r>
      <w:r w:rsidR="0010778F">
        <w:t>+ 3 in the biochar 25% test)</w:t>
      </w:r>
      <w:r w:rsidR="00F06C1C">
        <w:t xml:space="preserve">, </w:t>
      </w:r>
      <w:r w:rsidR="00C062FE">
        <w:t xml:space="preserve">some of </w:t>
      </w:r>
      <w:r w:rsidR="00F06C1C">
        <w:t xml:space="preserve">these could be explained by </w:t>
      </w:r>
      <w:r w:rsidR="00DE33CF">
        <w:t>operator error when setting the thermocouples</w:t>
      </w:r>
      <w:r w:rsidR="00043E7E">
        <w:t xml:space="preserve"> Some of the peaks are wider</w:t>
      </w:r>
      <w:r w:rsidR="009605F5">
        <w:t xml:space="preserve"> than others</w:t>
      </w:r>
      <w:r w:rsidR="004353D3">
        <w:t>, these peaks have slower cooldown rates which is related to the permeability of the sinter</w:t>
      </w:r>
      <w:r w:rsidR="00277039">
        <w:t xml:space="preserve">. </w:t>
      </w:r>
      <w:r w:rsidR="00D20F78">
        <w:t>In t</w:t>
      </w:r>
      <w:r w:rsidR="00442DCE">
        <w:t xml:space="preserve">he </w:t>
      </w:r>
      <w:r w:rsidR="00D20F78">
        <w:t xml:space="preserve">75% biochar test </w:t>
      </w:r>
      <w:r w:rsidR="0009261D">
        <w:t>t</w:t>
      </w:r>
      <w:r w:rsidR="00A75EF6">
        <w:t xml:space="preserve">here </w:t>
      </w:r>
      <w:r w:rsidR="00264115">
        <w:t>were</w:t>
      </w:r>
      <w:r w:rsidR="00A75EF6">
        <w:t xml:space="preserve"> some issues with </w:t>
      </w:r>
      <w:r w:rsidR="00A75EF6">
        <w:lastRenderedPageBreak/>
        <w:t>channelling</w:t>
      </w:r>
      <w:r w:rsidR="008275C2">
        <w:t xml:space="preserve">, when a hot spot </w:t>
      </w:r>
      <w:r w:rsidR="00B811F0">
        <w:t>forms along a narrow channel through the sinter pot</w:t>
      </w:r>
      <w:r w:rsidR="00264115">
        <w:t>. Channelling will be discussed later in the report.</w:t>
      </w:r>
      <w:r w:rsidR="00A55FDA">
        <w:t xml:space="preserve"> As a </w:t>
      </w:r>
      <w:r w:rsidR="00F44B0E">
        <w:t>result,</w:t>
      </w:r>
      <w:r w:rsidR="00A55FDA">
        <w:t xml:space="preserve"> this graph </w:t>
      </w:r>
      <w:r w:rsidR="00D554B7">
        <w:t>has distorted p</w:t>
      </w:r>
      <w:r w:rsidR="00A9533D">
        <w:t>rofiles</w:t>
      </w:r>
      <w:r w:rsidR="00D554B7">
        <w:t xml:space="preserve"> displaying middle to low combustion rates.</w:t>
      </w:r>
    </w:p>
    <w:p w14:paraId="2A15F1C0" w14:textId="25A14760" w:rsidR="00911955" w:rsidRDefault="00911955" w:rsidP="00911955">
      <w:pPr>
        <w:pStyle w:val="Caption"/>
        <w:jc w:val="center"/>
      </w:pPr>
      <w:r>
        <w:t xml:space="preserve">Table </w:t>
      </w:r>
      <w:fldSimple w:instr=" SEQ Table \* ARABIC ">
        <w:r w:rsidR="00DA2639">
          <w:rPr>
            <w:noProof/>
          </w:rPr>
          <w:t>15</w:t>
        </w:r>
      </w:fldSimple>
      <w:r>
        <w:t xml:space="preserve"> </w:t>
      </w:r>
      <w:r w:rsidR="00CC64CA">
        <w:t xml:space="preserve">Sintering process </w:t>
      </w:r>
      <w:r w:rsidR="001517CC">
        <w:t>characteristics</w:t>
      </w:r>
      <w:r w:rsidR="002B2614">
        <w:t xml:space="preserve"> Biochar 1</w:t>
      </w:r>
    </w:p>
    <w:tbl>
      <w:tblPr>
        <w:tblW w:w="8320" w:type="dxa"/>
        <w:tblLook w:val="04A0" w:firstRow="1" w:lastRow="0" w:firstColumn="1" w:lastColumn="0" w:noHBand="0" w:noVBand="1"/>
      </w:tblPr>
      <w:tblGrid>
        <w:gridCol w:w="2171"/>
        <w:gridCol w:w="1424"/>
        <w:gridCol w:w="1560"/>
        <w:gridCol w:w="1560"/>
        <w:gridCol w:w="1605"/>
      </w:tblGrid>
      <w:tr w:rsidR="00382CE9" w:rsidRPr="00382CE9" w14:paraId="5FCED7B1" w14:textId="77777777" w:rsidTr="00382CE9">
        <w:trPr>
          <w:trHeight w:val="504"/>
        </w:trPr>
        <w:tc>
          <w:tcPr>
            <w:tcW w:w="2171"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00C6933"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 </w:t>
            </w:r>
          </w:p>
        </w:tc>
        <w:tc>
          <w:tcPr>
            <w:tcW w:w="1424" w:type="dxa"/>
            <w:tcBorders>
              <w:top w:val="single" w:sz="4" w:space="0" w:color="auto"/>
              <w:left w:val="nil"/>
              <w:bottom w:val="single" w:sz="4" w:space="0" w:color="auto"/>
              <w:right w:val="single" w:sz="4" w:space="0" w:color="auto"/>
            </w:tcBorders>
            <w:shd w:val="clear" w:color="auto" w:fill="auto"/>
            <w:vAlign w:val="bottom"/>
            <w:hideMark/>
          </w:tcPr>
          <w:p w14:paraId="572CC0E3"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 xml:space="preserve"> Coke breeze 100%</w:t>
            </w:r>
          </w:p>
        </w:tc>
        <w:tc>
          <w:tcPr>
            <w:tcW w:w="1560" w:type="dxa"/>
            <w:tcBorders>
              <w:top w:val="single" w:sz="4" w:space="0" w:color="auto"/>
              <w:left w:val="nil"/>
              <w:bottom w:val="single" w:sz="4" w:space="0" w:color="auto"/>
              <w:right w:val="single" w:sz="4" w:space="0" w:color="auto"/>
            </w:tcBorders>
            <w:shd w:val="clear" w:color="auto" w:fill="auto"/>
            <w:vAlign w:val="bottom"/>
            <w:hideMark/>
          </w:tcPr>
          <w:p w14:paraId="6AF0ABDD"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Biochar 1 (25%)</w:t>
            </w:r>
          </w:p>
        </w:tc>
        <w:tc>
          <w:tcPr>
            <w:tcW w:w="1560" w:type="dxa"/>
            <w:tcBorders>
              <w:top w:val="single" w:sz="4" w:space="0" w:color="auto"/>
              <w:left w:val="nil"/>
              <w:bottom w:val="single" w:sz="4" w:space="0" w:color="auto"/>
              <w:right w:val="single" w:sz="4" w:space="0" w:color="auto"/>
            </w:tcBorders>
            <w:shd w:val="clear" w:color="auto" w:fill="auto"/>
            <w:vAlign w:val="bottom"/>
            <w:hideMark/>
          </w:tcPr>
          <w:p w14:paraId="2DFE309A"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Biochar 1 (50%)</w:t>
            </w:r>
          </w:p>
        </w:tc>
        <w:tc>
          <w:tcPr>
            <w:tcW w:w="1605" w:type="dxa"/>
            <w:tcBorders>
              <w:top w:val="single" w:sz="4" w:space="0" w:color="auto"/>
              <w:left w:val="nil"/>
              <w:bottom w:val="single" w:sz="4" w:space="0" w:color="auto"/>
              <w:right w:val="single" w:sz="4" w:space="0" w:color="auto"/>
            </w:tcBorders>
            <w:shd w:val="clear" w:color="auto" w:fill="auto"/>
            <w:vAlign w:val="bottom"/>
            <w:hideMark/>
          </w:tcPr>
          <w:p w14:paraId="0B9B4C68"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Biochar 1 (75%)</w:t>
            </w:r>
          </w:p>
        </w:tc>
      </w:tr>
      <w:tr w:rsidR="00382CE9" w:rsidRPr="00382CE9" w14:paraId="4EEB2FBC" w14:textId="77777777" w:rsidTr="00382CE9">
        <w:trPr>
          <w:trHeight w:val="493"/>
        </w:trPr>
        <w:tc>
          <w:tcPr>
            <w:tcW w:w="2171" w:type="dxa"/>
            <w:tcBorders>
              <w:top w:val="nil"/>
              <w:left w:val="single" w:sz="4" w:space="0" w:color="auto"/>
              <w:bottom w:val="single" w:sz="4" w:space="0" w:color="auto"/>
              <w:right w:val="single" w:sz="4" w:space="0" w:color="auto"/>
            </w:tcBorders>
            <w:shd w:val="clear" w:color="auto" w:fill="auto"/>
            <w:vAlign w:val="bottom"/>
            <w:hideMark/>
          </w:tcPr>
          <w:p w14:paraId="1D359E0F"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Max Sintering Temperature (</w:t>
            </w:r>
            <w:proofErr w:type="spellStart"/>
            <w:r w:rsidRPr="00382CE9">
              <w:rPr>
                <w:rFonts w:ascii="Calibri" w:eastAsia="Times New Roman" w:hAnsi="Calibri" w:cs="Calibri"/>
                <w:color w:val="000000"/>
                <w:vertAlign w:val="superscript"/>
                <w:lang w:eastAsia="en-GB"/>
              </w:rPr>
              <w:t>o</w:t>
            </w:r>
            <w:r w:rsidRPr="00382CE9">
              <w:rPr>
                <w:rFonts w:ascii="Calibri" w:eastAsia="Times New Roman" w:hAnsi="Calibri" w:cs="Calibri"/>
                <w:color w:val="000000"/>
                <w:lang w:eastAsia="en-GB"/>
              </w:rPr>
              <w:t>C</w:t>
            </w:r>
            <w:proofErr w:type="spellEnd"/>
            <w:r w:rsidRPr="00382CE9">
              <w:rPr>
                <w:rFonts w:ascii="Calibri" w:eastAsia="Times New Roman" w:hAnsi="Calibri" w:cs="Calibri"/>
                <w:color w:val="000000"/>
                <w:lang w:eastAsia="en-GB"/>
              </w:rPr>
              <w:t>)</w:t>
            </w:r>
          </w:p>
        </w:tc>
        <w:tc>
          <w:tcPr>
            <w:tcW w:w="1424" w:type="dxa"/>
            <w:tcBorders>
              <w:top w:val="nil"/>
              <w:left w:val="nil"/>
              <w:bottom w:val="single" w:sz="4" w:space="0" w:color="auto"/>
              <w:right w:val="single" w:sz="4" w:space="0" w:color="auto"/>
            </w:tcBorders>
            <w:shd w:val="clear" w:color="auto" w:fill="auto"/>
            <w:vAlign w:val="center"/>
            <w:hideMark/>
          </w:tcPr>
          <w:p w14:paraId="2CFD697C"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1313.05</w:t>
            </w:r>
          </w:p>
        </w:tc>
        <w:tc>
          <w:tcPr>
            <w:tcW w:w="1560" w:type="dxa"/>
            <w:tcBorders>
              <w:top w:val="nil"/>
              <w:left w:val="nil"/>
              <w:bottom w:val="single" w:sz="4" w:space="0" w:color="auto"/>
              <w:right w:val="single" w:sz="4" w:space="0" w:color="auto"/>
            </w:tcBorders>
            <w:shd w:val="clear" w:color="auto" w:fill="auto"/>
            <w:vAlign w:val="center"/>
            <w:hideMark/>
          </w:tcPr>
          <w:p w14:paraId="10C49131"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1286.02</w:t>
            </w:r>
          </w:p>
        </w:tc>
        <w:tc>
          <w:tcPr>
            <w:tcW w:w="1560" w:type="dxa"/>
            <w:tcBorders>
              <w:top w:val="nil"/>
              <w:left w:val="nil"/>
              <w:bottom w:val="single" w:sz="4" w:space="0" w:color="auto"/>
              <w:right w:val="single" w:sz="4" w:space="0" w:color="auto"/>
            </w:tcBorders>
            <w:shd w:val="clear" w:color="auto" w:fill="auto"/>
            <w:vAlign w:val="center"/>
            <w:hideMark/>
          </w:tcPr>
          <w:p w14:paraId="6002C1CA"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1342.16</w:t>
            </w:r>
          </w:p>
        </w:tc>
        <w:tc>
          <w:tcPr>
            <w:tcW w:w="1605" w:type="dxa"/>
            <w:tcBorders>
              <w:top w:val="nil"/>
              <w:left w:val="nil"/>
              <w:bottom w:val="single" w:sz="4" w:space="0" w:color="auto"/>
              <w:right w:val="single" w:sz="4" w:space="0" w:color="auto"/>
            </w:tcBorders>
            <w:shd w:val="clear" w:color="auto" w:fill="auto"/>
            <w:vAlign w:val="center"/>
            <w:hideMark/>
          </w:tcPr>
          <w:p w14:paraId="64D15D0A"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1064.92</w:t>
            </w:r>
          </w:p>
        </w:tc>
      </w:tr>
      <w:tr w:rsidR="00382CE9" w:rsidRPr="00382CE9" w14:paraId="5B019166" w14:textId="77777777" w:rsidTr="00382CE9">
        <w:trPr>
          <w:trHeight w:val="493"/>
        </w:trPr>
        <w:tc>
          <w:tcPr>
            <w:tcW w:w="2171" w:type="dxa"/>
            <w:tcBorders>
              <w:top w:val="nil"/>
              <w:left w:val="single" w:sz="4" w:space="0" w:color="auto"/>
              <w:bottom w:val="single" w:sz="4" w:space="0" w:color="auto"/>
              <w:right w:val="single" w:sz="4" w:space="0" w:color="auto"/>
            </w:tcBorders>
            <w:shd w:val="clear" w:color="auto" w:fill="auto"/>
            <w:vAlign w:val="bottom"/>
            <w:hideMark/>
          </w:tcPr>
          <w:p w14:paraId="2F9316BD"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Average max sintering temp (</w:t>
            </w:r>
            <w:proofErr w:type="spellStart"/>
            <w:r w:rsidRPr="00382CE9">
              <w:rPr>
                <w:rFonts w:ascii="Calibri" w:eastAsia="Times New Roman" w:hAnsi="Calibri" w:cs="Calibri"/>
                <w:color w:val="000000"/>
                <w:vertAlign w:val="superscript"/>
                <w:lang w:eastAsia="en-GB"/>
              </w:rPr>
              <w:t>o</w:t>
            </w:r>
            <w:r w:rsidRPr="00382CE9">
              <w:rPr>
                <w:rFonts w:ascii="Calibri" w:eastAsia="Times New Roman" w:hAnsi="Calibri" w:cs="Calibri"/>
                <w:color w:val="000000"/>
                <w:lang w:eastAsia="en-GB"/>
              </w:rPr>
              <w:t>C</w:t>
            </w:r>
            <w:proofErr w:type="spellEnd"/>
            <w:r w:rsidRPr="00382CE9">
              <w:rPr>
                <w:rFonts w:ascii="Calibri" w:eastAsia="Times New Roman" w:hAnsi="Calibri" w:cs="Calibri"/>
                <w:color w:val="000000"/>
                <w:lang w:eastAsia="en-GB"/>
              </w:rPr>
              <w:t>)</w:t>
            </w:r>
          </w:p>
        </w:tc>
        <w:tc>
          <w:tcPr>
            <w:tcW w:w="1424" w:type="dxa"/>
            <w:tcBorders>
              <w:top w:val="nil"/>
              <w:left w:val="nil"/>
              <w:bottom w:val="single" w:sz="4" w:space="0" w:color="auto"/>
              <w:right w:val="single" w:sz="4" w:space="0" w:color="auto"/>
            </w:tcBorders>
            <w:shd w:val="clear" w:color="auto" w:fill="auto"/>
            <w:noWrap/>
            <w:vAlign w:val="center"/>
            <w:hideMark/>
          </w:tcPr>
          <w:p w14:paraId="38DC2987"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1152.76</w:t>
            </w:r>
          </w:p>
        </w:tc>
        <w:tc>
          <w:tcPr>
            <w:tcW w:w="1560" w:type="dxa"/>
            <w:tcBorders>
              <w:top w:val="nil"/>
              <w:left w:val="nil"/>
              <w:bottom w:val="single" w:sz="4" w:space="0" w:color="auto"/>
              <w:right w:val="single" w:sz="4" w:space="0" w:color="auto"/>
            </w:tcBorders>
            <w:shd w:val="clear" w:color="auto" w:fill="auto"/>
            <w:noWrap/>
            <w:vAlign w:val="center"/>
            <w:hideMark/>
          </w:tcPr>
          <w:p w14:paraId="7131E3DA"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1170.97</w:t>
            </w:r>
          </w:p>
        </w:tc>
        <w:tc>
          <w:tcPr>
            <w:tcW w:w="1560" w:type="dxa"/>
            <w:tcBorders>
              <w:top w:val="nil"/>
              <w:left w:val="nil"/>
              <w:bottom w:val="single" w:sz="4" w:space="0" w:color="auto"/>
              <w:right w:val="single" w:sz="4" w:space="0" w:color="auto"/>
            </w:tcBorders>
            <w:shd w:val="clear" w:color="auto" w:fill="auto"/>
            <w:noWrap/>
            <w:vAlign w:val="center"/>
            <w:hideMark/>
          </w:tcPr>
          <w:p w14:paraId="21FF0ACC"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1229.52</w:t>
            </w:r>
          </w:p>
        </w:tc>
        <w:tc>
          <w:tcPr>
            <w:tcW w:w="1605" w:type="dxa"/>
            <w:tcBorders>
              <w:top w:val="nil"/>
              <w:left w:val="nil"/>
              <w:bottom w:val="single" w:sz="4" w:space="0" w:color="auto"/>
              <w:right w:val="single" w:sz="4" w:space="0" w:color="auto"/>
            </w:tcBorders>
            <w:shd w:val="clear" w:color="auto" w:fill="auto"/>
            <w:noWrap/>
            <w:vAlign w:val="center"/>
            <w:hideMark/>
          </w:tcPr>
          <w:p w14:paraId="504DFD77"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892.63</w:t>
            </w:r>
          </w:p>
        </w:tc>
      </w:tr>
      <w:tr w:rsidR="00382CE9" w:rsidRPr="00382CE9" w14:paraId="57F31E4C" w14:textId="77777777" w:rsidTr="00382CE9">
        <w:trPr>
          <w:trHeight w:val="493"/>
        </w:trPr>
        <w:tc>
          <w:tcPr>
            <w:tcW w:w="2171" w:type="dxa"/>
            <w:tcBorders>
              <w:top w:val="nil"/>
              <w:left w:val="single" w:sz="4" w:space="0" w:color="auto"/>
              <w:bottom w:val="single" w:sz="4" w:space="0" w:color="auto"/>
              <w:right w:val="single" w:sz="4" w:space="0" w:color="auto"/>
            </w:tcBorders>
            <w:shd w:val="clear" w:color="auto" w:fill="auto"/>
            <w:vAlign w:val="bottom"/>
            <w:hideMark/>
          </w:tcPr>
          <w:p w14:paraId="6633E7B8"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Average time above 1000</w:t>
            </w:r>
            <w:r w:rsidRPr="00382CE9">
              <w:rPr>
                <w:rFonts w:ascii="Calibri" w:eastAsia="Times New Roman" w:hAnsi="Calibri" w:cs="Calibri"/>
                <w:color w:val="000000"/>
                <w:vertAlign w:val="superscript"/>
                <w:lang w:eastAsia="en-GB"/>
              </w:rPr>
              <w:t>0</w:t>
            </w:r>
            <w:r w:rsidRPr="00382CE9">
              <w:rPr>
                <w:rFonts w:ascii="Calibri" w:eastAsia="Times New Roman" w:hAnsi="Calibri" w:cs="Calibri"/>
                <w:color w:val="000000"/>
                <w:lang w:eastAsia="en-GB"/>
              </w:rPr>
              <w:t>C (</w:t>
            </w:r>
            <w:proofErr w:type="spellStart"/>
            <w:r w:rsidRPr="00382CE9">
              <w:rPr>
                <w:rFonts w:ascii="Calibri" w:eastAsia="Times New Roman" w:hAnsi="Calibri" w:cs="Calibri"/>
                <w:color w:val="000000"/>
                <w:lang w:eastAsia="en-GB"/>
              </w:rPr>
              <w:t>mm:s</w:t>
            </w:r>
            <w:proofErr w:type="spellEnd"/>
            <w:r w:rsidRPr="00382CE9">
              <w:rPr>
                <w:rFonts w:ascii="Calibri" w:eastAsia="Times New Roman" w:hAnsi="Calibri" w:cs="Calibri"/>
                <w:color w:val="000000"/>
                <w:lang w:eastAsia="en-GB"/>
              </w:rPr>
              <w:t>)</w:t>
            </w:r>
          </w:p>
        </w:tc>
        <w:tc>
          <w:tcPr>
            <w:tcW w:w="1424" w:type="dxa"/>
            <w:tcBorders>
              <w:top w:val="nil"/>
              <w:left w:val="nil"/>
              <w:bottom w:val="single" w:sz="4" w:space="0" w:color="auto"/>
              <w:right w:val="single" w:sz="4" w:space="0" w:color="auto"/>
            </w:tcBorders>
            <w:shd w:val="clear" w:color="auto" w:fill="auto"/>
            <w:noWrap/>
            <w:vAlign w:val="center"/>
            <w:hideMark/>
          </w:tcPr>
          <w:p w14:paraId="704D6CBC"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02:25:00</w:t>
            </w:r>
          </w:p>
        </w:tc>
        <w:tc>
          <w:tcPr>
            <w:tcW w:w="1560" w:type="dxa"/>
            <w:tcBorders>
              <w:top w:val="nil"/>
              <w:left w:val="nil"/>
              <w:bottom w:val="single" w:sz="4" w:space="0" w:color="auto"/>
              <w:right w:val="single" w:sz="4" w:space="0" w:color="auto"/>
            </w:tcBorders>
            <w:shd w:val="clear" w:color="auto" w:fill="auto"/>
            <w:noWrap/>
            <w:vAlign w:val="center"/>
            <w:hideMark/>
          </w:tcPr>
          <w:p w14:paraId="655161E7"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01:43:00</w:t>
            </w:r>
          </w:p>
        </w:tc>
        <w:tc>
          <w:tcPr>
            <w:tcW w:w="1560" w:type="dxa"/>
            <w:tcBorders>
              <w:top w:val="nil"/>
              <w:left w:val="nil"/>
              <w:bottom w:val="single" w:sz="4" w:space="0" w:color="auto"/>
              <w:right w:val="single" w:sz="4" w:space="0" w:color="auto"/>
            </w:tcBorders>
            <w:shd w:val="clear" w:color="auto" w:fill="auto"/>
            <w:noWrap/>
            <w:vAlign w:val="center"/>
            <w:hideMark/>
          </w:tcPr>
          <w:p w14:paraId="7E25D3A0"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02:31:00</w:t>
            </w:r>
          </w:p>
        </w:tc>
        <w:tc>
          <w:tcPr>
            <w:tcW w:w="1605" w:type="dxa"/>
            <w:tcBorders>
              <w:top w:val="nil"/>
              <w:left w:val="nil"/>
              <w:bottom w:val="single" w:sz="4" w:space="0" w:color="auto"/>
              <w:right w:val="single" w:sz="4" w:space="0" w:color="auto"/>
            </w:tcBorders>
            <w:shd w:val="clear" w:color="auto" w:fill="auto"/>
            <w:noWrap/>
            <w:vAlign w:val="center"/>
            <w:hideMark/>
          </w:tcPr>
          <w:p w14:paraId="0C3492DF"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00:29:00</w:t>
            </w:r>
          </w:p>
        </w:tc>
      </w:tr>
      <w:tr w:rsidR="00382CE9" w:rsidRPr="00382CE9" w14:paraId="15628516" w14:textId="77777777" w:rsidTr="00382CE9">
        <w:trPr>
          <w:trHeight w:val="459"/>
        </w:trPr>
        <w:tc>
          <w:tcPr>
            <w:tcW w:w="2171" w:type="dxa"/>
            <w:tcBorders>
              <w:top w:val="nil"/>
              <w:left w:val="single" w:sz="4" w:space="0" w:color="auto"/>
              <w:bottom w:val="single" w:sz="4" w:space="0" w:color="auto"/>
              <w:right w:val="single" w:sz="4" w:space="0" w:color="auto"/>
            </w:tcBorders>
            <w:shd w:val="clear" w:color="auto" w:fill="auto"/>
            <w:vAlign w:val="bottom"/>
            <w:hideMark/>
          </w:tcPr>
          <w:p w14:paraId="24DE26AC"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Sintering Time (</w:t>
            </w:r>
            <w:proofErr w:type="spellStart"/>
            <w:r w:rsidRPr="00382CE9">
              <w:rPr>
                <w:rFonts w:ascii="Calibri" w:eastAsia="Times New Roman" w:hAnsi="Calibri" w:cs="Calibri"/>
                <w:color w:val="000000"/>
                <w:lang w:eastAsia="en-GB"/>
              </w:rPr>
              <w:t>mm:ss</w:t>
            </w:r>
            <w:proofErr w:type="spellEnd"/>
            <w:r w:rsidRPr="00382CE9">
              <w:rPr>
                <w:rFonts w:ascii="Calibri" w:eastAsia="Times New Roman" w:hAnsi="Calibri" w:cs="Calibri"/>
                <w:color w:val="000000"/>
                <w:lang w:eastAsia="en-GB"/>
              </w:rPr>
              <w:t>)</w:t>
            </w:r>
          </w:p>
        </w:tc>
        <w:tc>
          <w:tcPr>
            <w:tcW w:w="1424" w:type="dxa"/>
            <w:tcBorders>
              <w:top w:val="nil"/>
              <w:left w:val="nil"/>
              <w:bottom w:val="single" w:sz="4" w:space="0" w:color="auto"/>
              <w:right w:val="single" w:sz="4" w:space="0" w:color="auto"/>
            </w:tcBorders>
            <w:shd w:val="clear" w:color="auto" w:fill="auto"/>
            <w:vAlign w:val="center"/>
            <w:hideMark/>
          </w:tcPr>
          <w:p w14:paraId="797E5EE3"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00:27:25</w:t>
            </w:r>
          </w:p>
        </w:tc>
        <w:tc>
          <w:tcPr>
            <w:tcW w:w="1560" w:type="dxa"/>
            <w:tcBorders>
              <w:top w:val="nil"/>
              <w:left w:val="nil"/>
              <w:bottom w:val="single" w:sz="4" w:space="0" w:color="auto"/>
              <w:right w:val="single" w:sz="4" w:space="0" w:color="auto"/>
            </w:tcBorders>
            <w:shd w:val="clear" w:color="auto" w:fill="auto"/>
            <w:vAlign w:val="center"/>
            <w:hideMark/>
          </w:tcPr>
          <w:p w14:paraId="000B1278"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00:21:55</w:t>
            </w:r>
          </w:p>
        </w:tc>
        <w:tc>
          <w:tcPr>
            <w:tcW w:w="1560" w:type="dxa"/>
            <w:tcBorders>
              <w:top w:val="nil"/>
              <w:left w:val="nil"/>
              <w:bottom w:val="single" w:sz="4" w:space="0" w:color="auto"/>
              <w:right w:val="single" w:sz="4" w:space="0" w:color="auto"/>
            </w:tcBorders>
            <w:shd w:val="clear" w:color="auto" w:fill="auto"/>
            <w:vAlign w:val="center"/>
            <w:hideMark/>
          </w:tcPr>
          <w:p w14:paraId="43D03D91"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00:23:35</w:t>
            </w:r>
          </w:p>
        </w:tc>
        <w:tc>
          <w:tcPr>
            <w:tcW w:w="1605" w:type="dxa"/>
            <w:tcBorders>
              <w:top w:val="nil"/>
              <w:left w:val="nil"/>
              <w:bottom w:val="single" w:sz="4" w:space="0" w:color="auto"/>
              <w:right w:val="single" w:sz="4" w:space="0" w:color="auto"/>
            </w:tcBorders>
            <w:shd w:val="clear" w:color="auto" w:fill="auto"/>
            <w:vAlign w:val="center"/>
            <w:hideMark/>
          </w:tcPr>
          <w:p w14:paraId="26D6B174"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00:28:50</w:t>
            </w:r>
          </w:p>
        </w:tc>
      </w:tr>
      <w:tr w:rsidR="00382CE9" w:rsidRPr="00382CE9" w14:paraId="033AA0EF" w14:textId="77777777" w:rsidTr="00382CE9">
        <w:trPr>
          <w:trHeight w:val="459"/>
        </w:trPr>
        <w:tc>
          <w:tcPr>
            <w:tcW w:w="2171" w:type="dxa"/>
            <w:tcBorders>
              <w:top w:val="nil"/>
              <w:left w:val="single" w:sz="4" w:space="0" w:color="auto"/>
              <w:bottom w:val="single" w:sz="4" w:space="0" w:color="auto"/>
              <w:right w:val="single" w:sz="4" w:space="0" w:color="auto"/>
            </w:tcBorders>
            <w:shd w:val="clear" w:color="auto" w:fill="auto"/>
            <w:vAlign w:val="bottom"/>
            <w:hideMark/>
          </w:tcPr>
          <w:p w14:paraId="7F985D94" w14:textId="77777777" w:rsidR="00382CE9" w:rsidRPr="00382CE9" w:rsidRDefault="00382CE9" w:rsidP="00382CE9">
            <w:pPr>
              <w:spacing w:after="0" w:line="240" w:lineRule="auto"/>
              <w:rPr>
                <w:rFonts w:ascii="Calibri" w:eastAsia="Times New Roman" w:hAnsi="Calibri" w:cs="Calibri"/>
                <w:color w:val="000000"/>
                <w:lang w:eastAsia="en-GB"/>
              </w:rPr>
            </w:pPr>
            <w:r w:rsidRPr="00382CE9">
              <w:rPr>
                <w:rFonts w:ascii="Calibri" w:eastAsia="Times New Roman" w:hAnsi="Calibri" w:cs="Calibri"/>
                <w:color w:val="000000"/>
                <w:lang w:eastAsia="en-GB"/>
              </w:rPr>
              <w:t>Flame Front Speed Average (mm/s)</w:t>
            </w:r>
          </w:p>
        </w:tc>
        <w:tc>
          <w:tcPr>
            <w:tcW w:w="1424" w:type="dxa"/>
            <w:tcBorders>
              <w:top w:val="nil"/>
              <w:left w:val="nil"/>
              <w:bottom w:val="single" w:sz="4" w:space="0" w:color="auto"/>
              <w:right w:val="single" w:sz="4" w:space="0" w:color="auto"/>
            </w:tcBorders>
            <w:shd w:val="clear" w:color="auto" w:fill="auto"/>
            <w:vAlign w:val="center"/>
            <w:hideMark/>
          </w:tcPr>
          <w:p w14:paraId="134AE6A3"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0.33</w:t>
            </w:r>
          </w:p>
        </w:tc>
        <w:tc>
          <w:tcPr>
            <w:tcW w:w="1560" w:type="dxa"/>
            <w:tcBorders>
              <w:top w:val="nil"/>
              <w:left w:val="nil"/>
              <w:bottom w:val="single" w:sz="4" w:space="0" w:color="auto"/>
              <w:right w:val="single" w:sz="4" w:space="0" w:color="auto"/>
            </w:tcBorders>
            <w:shd w:val="clear" w:color="auto" w:fill="auto"/>
            <w:vAlign w:val="center"/>
            <w:hideMark/>
          </w:tcPr>
          <w:p w14:paraId="3B7EB609"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0.31</w:t>
            </w:r>
          </w:p>
        </w:tc>
        <w:tc>
          <w:tcPr>
            <w:tcW w:w="1560" w:type="dxa"/>
            <w:tcBorders>
              <w:top w:val="nil"/>
              <w:left w:val="nil"/>
              <w:bottom w:val="single" w:sz="4" w:space="0" w:color="auto"/>
              <w:right w:val="single" w:sz="4" w:space="0" w:color="auto"/>
            </w:tcBorders>
            <w:shd w:val="clear" w:color="auto" w:fill="auto"/>
            <w:vAlign w:val="center"/>
            <w:hideMark/>
          </w:tcPr>
          <w:p w14:paraId="071A414D"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0.41</w:t>
            </w:r>
          </w:p>
        </w:tc>
        <w:tc>
          <w:tcPr>
            <w:tcW w:w="1605" w:type="dxa"/>
            <w:tcBorders>
              <w:top w:val="nil"/>
              <w:left w:val="nil"/>
              <w:bottom w:val="single" w:sz="4" w:space="0" w:color="auto"/>
              <w:right w:val="single" w:sz="4" w:space="0" w:color="auto"/>
            </w:tcBorders>
            <w:shd w:val="clear" w:color="auto" w:fill="auto"/>
            <w:vAlign w:val="center"/>
            <w:hideMark/>
          </w:tcPr>
          <w:p w14:paraId="1547EC22" w14:textId="73802588" w:rsidR="00382CE9" w:rsidRPr="00382CE9" w:rsidRDefault="00C95F10" w:rsidP="00382CE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0.26</w:t>
            </w:r>
          </w:p>
        </w:tc>
      </w:tr>
      <w:tr w:rsidR="00382CE9" w:rsidRPr="00382CE9" w14:paraId="14027E26" w14:textId="77777777" w:rsidTr="00382CE9">
        <w:trPr>
          <w:trHeight w:val="459"/>
        </w:trPr>
        <w:tc>
          <w:tcPr>
            <w:tcW w:w="2171" w:type="dxa"/>
            <w:tcBorders>
              <w:top w:val="nil"/>
              <w:left w:val="single" w:sz="4" w:space="0" w:color="auto"/>
              <w:bottom w:val="single" w:sz="4" w:space="0" w:color="auto"/>
              <w:right w:val="single" w:sz="4" w:space="0" w:color="auto"/>
            </w:tcBorders>
            <w:shd w:val="clear" w:color="auto" w:fill="auto"/>
            <w:vAlign w:val="center"/>
            <w:hideMark/>
          </w:tcPr>
          <w:p w14:paraId="7B3C965C"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Fraction of sinter &gt;5mm (%)</w:t>
            </w:r>
          </w:p>
        </w:tc>
        <w:tc>
          <w:tcPr>
            <w:tcW w:w="1424" w:type="dxa"/>
            <w:tcBorders>
              <w:top w:val="nil"/>
              <w:left w:val="nil"/>
              <w:bottom w:val="single" w:sz="4" w:space="0" w:color="auto"/>
              <w:right w:val="single" w:sz="4" w:space="0" w:color="auto"/>
            </w:tcBorders>
            <w:shd w:val="clear" w:color="auto" w:fill="auto"/>
            <w:vAlign w:val="center"/>
            <w:hideMark/>
          </w:tcPr>
          <w:p w14:paraId="5E6147B3"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51.19</w:t>
            </w:r>
          </w:p>
        </w:tc>
        <w:tc>
          <w:tcPr>
            <w:tcW w:w="1560" w:type="dxa"/>
            <w:tcBorders>
              <w:top w:val="nil"/>
              <w:left w:val="nil"/>
              <w:bottom w:val="single" w:sz="4" w:space="0" w:color="auto"/>
              <w:right w:val="single" w:sz="4" w:space="0" w:color="auto"/>
            </w:tcBorders>
            <w:shd w:val="clear" w:color="auto" w:fill="auto"/>
            <w:vAlign w:val="center"/>
            <w:hideMark/>
          </w:tcPr>
          <w:p w14:paraId="55088DBF"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42.79</w:t>
            </w:r>
          </w:p>
        </w:tc>
        <w:tc>
          <w:tcPr>
            <w:tcW w:w="1560" w:type="dxa"/>
            <w:tcBorders>
              <w:top w:val="nil"/>
              <w:left w:val="nil"/>
              <w:bottom w:val="single" w:sz="4" w:space="0" w:color="auto"/>
              <w:right w:val="single" w:sz="4" w:space="0" w:color="auto"/>
            </w:tcBorders>
            <w:shd w:val="clear" w:color="auto" w:fill="auto"/>
            <w:vAlign w:val="center"/>
            <w:hideMark/>
          </w:tcPr>
          <w:p w14:paraId="4432AB8F"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53.29</w:t>
            </w:r>
          </w:p>
        </w:tc>
        <w:tc>
          <w:tcPr>
            <w:tcW w:w="1605" w:type="dxa"/>
            <w:tcBorders>
              <w:top w:val="nil"/>
              <w:left w:val="nil"/>
              <w:bottom w:val="single" w:sz="4" w:space="0" w:color="auto"/>
              <w:right w:val="single" w:sz="4" w:space="0" w:color="auto"/>
            </w:tcBorders>
            <w:shd w:val="clear" w:color="auto" w:fill="auto"/>
            <w:vAlign w:val="center"/>
            <w:hideMark/>
          </w:tcPr>
          <w:p w14:paraId="66EC5840" w14:textId="77777777" w:rsidR="00382CE9" w:rsidRPr="00382CE9" w:rsidRDefault="00382CE9" w:rsidP="00382CE9">
            <w:pPr>
              <w:spacing w:after="0" w:line="240" w:lineRule="auto"/>
              <w:jc w:val="center"/>
              <w:rPr>
                <w:rFonts w:ascii="Calibri" w:eastAsia="Times New Roman" w:hAnsi="Calibri" w:cs="Calibri"/>
                <w:color w:val="000000"/>
                <w:lang w:eastAsia="en-GB"/>
              </w:rPr>
            </w:pPr>
            <w:r w:rsidRPr="00382CE9">
              <w:rPr>
                <w:rFonts w:ascii="Calibri" w:eastAsia="Times New Roman" w:hAnsi="Calibri" w:cs="Calibri"/>
                <w:color w:val="000000"/>
                <w:lang w:eastAsia="en-GB"/>
              </w:rPr>
              <w:t>38.64</w:t>
            </w:r>
          </w:p>
        </w:tc>
      </w:tr>
    </w:tbl>
    <w:p w14:paraId="7747FBBA" w14:textId="77777777" w:rsidR="00F44B0E" w:rsidRDefault="00F44B0E" w:rsidP="00F573C2">
      <w:pPr>
        <w:spacing w:line="360" w:lineRule="auto"/>
        <w:jc w:val="both"/>
      </w:pPr>
    </w:p>
    <w:p w14:paraId="0DB1C8C4" w14:textId="2567723E" w:rsidR="000B7C6C" w:rsidRDefault="002E0F19" w:rsidP="00F573C2">
      <w:pPr>
        <w:spacing w:line="360" w:lineRule="auto"/>
        <w:jc w:val="both"/>
      </w:pPr>
      <w:r>
        <w:fldChar w:fldCharType="begin"/>
      </w:r>
      <w:r w:rsidR="00A4617A">
        <w:instrText xml:space="preserve"> ADDIN ZOTERO_ITEM CSL_CITATION {"citationID":"q5xxZIp4","properties":{"formattedCitation":"(Lu {\\i{}et al.}, 2012)","plainCitation":"(Lu et al., 2012)","noteIndex":0},"citationItems":[{"id":1765,"uris":["http://zotero.org/users/local/AB2owHL2/items/PKWXSRQG"],"itemData":{"id":1765,"type":"paper-conference","container-title":"CSIRO Minerals Down Under Flagship","event-place":"Austrailia","event-title":"Technical contribution to the 6th International Congress on the Science and Technology of  Ironmaking – ICSTI, 42nd International Meeting on Ironmaking and 13th International Symposium on  Iron Ore","publisher-place":"Austrailia","source":"ResearchGate","title":"Iron ore sintering with charcoal","author":[{"family":"Lu","given":"Liming"},{"family":"Adam","given":"Matt"},{"family":"Somerville","given":"Michael"},{"family":"Sarath","given":"Hapugoda"},{"family":"Jahanshahi","given":"Sharif"},{"family":"Mathieson","given":"John"}],"issued":{"date-parts":[["2012",10,14]]}}}],"schema":"https://github.com/citation-style-language/schema/raw/master/csl-citation.json"} </w:instrText>
      </w:r>
      <w:r>
        <w:fldChar w:fldCharType="separate"/>
      </w:r>
      <w:r w:rsidR="00192334" w:rsidRPr="00192334">
        <w:rPr>
          <w:rFonts w:ascii="Calibri" w:hAnsi="Calibri" w:cs="Calibri"/>
          <w:szCs w:val="24"/>
        </w:rPr>
        <w:t xml:space="preserve">(Lu </w:t>
      </w:r>
      <w:r w:rsidR="00192334" w:rsidRPr="00192334">
        <w:rPr>
          <w:rFonts w:ascii="Calibri" w:hAnsi="Calibri" w:cs="Calibri"/>
          <w:i/>
          <w:iCs/>
          <w:szCs w:val="24"/>
        </w:rPr>
        <w:t>et al.</w:t>
      </w:r>
      <w:r w:rsidR="00192334" w:rsidRPr="00192334">
        <w:rPr>
          <w:rFonts w:ascii="Calibri" w:hAnsi="Calibri" w:cs="Calibri"/>
          <w:szCs w:val="24"/>
        </w:rPr>
        <w:t>, 2012)</w:t>
      </w:r>
      <w:r>
        <w:fldChar w:fldCharType="end"/>
      </w:r>
      <w:r>
        <w:t xml:space="preserve"> </w:t>
      </w:r>
      <w:r w:rsidR="00DC1FDE">
        <w:t xml:space="preserve">explains that </w:t>
      </w:r>
      <w:r w:rsidR="006C73EB">
        <w:t xml:space="preserve">sinter melt </w:t>
      </w:r>
      <w:r w:rsidR="009931DF">
        <w:t xml:space="preserve">starts to form </w:t>
      </w:r>
      <w:r w:rsidR="006C73EB">
        <w:t xml:space="preserve">at </w:t>
      </w:r>
      <w:r w:rsidR="009931DF">
        <w:t>~</w:t>
      </w:r>
      <w:r w:rsidR="006C73EB">
        <w:t>1100</w:t>
      </w:r>
      <w:r w:rsidR="006C73EB" w:rsidRPr="006C73EB">
        <w:rPr>
          <w:vertAlign w:val="superscript"/>
        </w:rPr>
        <w:t>0</w:t>
      </w:r>
      <w:r w:rsidR="006C73EB">
        <w:t>C</w:t>
      </w:r>
      <w:r w:rsidR="009931DF">
        <w:t xml:space="preserve"> </w:t>
      </w:r>
      <w:r w:rsidR="00C20791">
        <w:t>the sinter continues to react with nucleus particles nearby until the</w:t>
      </w:r>
      <w:r w:rsidR="00495582">
        <w:t xml:space="preserve"> reaction zone temperature falls below 1100</w:t>
      </w:r>
      <w:r w:rsidR="00495582" w:rsidRPr="006C73EB">
        <w:rPr>
          <w:vertAlign w:val="superscript"/>
        </w:rPr>
        <w:t>0</w:t>
      </w:r>
      <w:r w:rsidR="00495582">
        <w:t xml:space="preserve">C at which point the sinter </w:t>
      </w:r>
      <w:r w:rsidR="0038092D">
        <w:t xml:space="preserve">melt </w:t>
      </w:r>
      <w:r w:rsidR="00495582">
        <w:t>solidifies.</w:t>
      </w:r>
      <w:r w:rsidR="0038092D">
        <w:t xml:space="preserve"> The time at which the reaction zone </w:t>
      </w:r>
      <w:r w:rsidR="009B590D">
        <w:t>is maintained above 1100</w:t>
      </w:r>
      <w:r w:rsidR="009B590D" w:rsidRPr="006C73EB">
        <w:rPr>
          <w:vertAlign w:val="superscript"/>
        </w:rPr>
        <w:t>0</w:t>
      </w:r>
      <w:r w:rsidR="009B590D">
        <w:t>C is important</w:t>
      </w:r>
      <w:r w:rsidR="004E6E9D">
        <w:t xml:space="preserve">, more time above this temperature </w:t>
      </w:r>
      <w:r w:rsidR="002B6775">
        <w:t xml:space="preserve">leads to </w:t>
      </w:r>
      <w:r w:rsidR="00815702">
        <w:t>a better sinter structure</w:t>
      </w:r>
      <w:r w:rsidR="004651D1">
        <w:t xml:space="preserve">. </w:t>
      </w:r>
    </w:p>
    <w:p w14:paraId="3F355D76" w14:textId="33542A07" w:rsidR="0003083A" w:rsidRDefault="0003083A" w:rsidP="00F573C2">
      <w:pPr>
        <w:spacing w:line="360" w:lineRule="auto"/>
        <w:jc w:val="both"/>
      </w:pPr>
      <w:r>
        <w:t>The sinter pot software</w:t>
      </w:r>
      <w:r w:rsidR="00CF1A1A">
        <w:t xml:space="preserve"> package at port talbot displays the time above 1000</w:t>
      </w:r>
      <w:r w:rsidR="00CF1A1A" w:rsidRPr="00CF1A1A">
        <w:rPr>
          <w:vertAlign w:val="superscript"/>
        </w:rPr>
        <w:t>0</w:t>
      </w:r>
      <w:r w:rsidR="00CF1A1A">
        <w:t>C</w:t>
      </w:r>
      <w:r w:rsidR="009F42A2">
        <w:t xml:space="preserve"> so this measure is used instead.</w:t>
      </w:r>
    </w:p>
    <w:p w14:paraId="3530F41A" w14:textId="42AC438A" w:rsidR="00364531" w:rsidRDefault="0084674E" w:rsidP="00035933">
      <w:pPr>
        <w:spacing w:line="360" w:lineRule="auto"/>
        <w:jc w:val="both"/>
      </w:pPr>
      <w:r>
        <w:t xml:space="preserve">Table 15 contains the sintering characteristics for the biochar 1 tests. </w:t>
      </w:r>
      <w:r w:rsidR="005E6A37">
        <w:t>Although the base</w:t>
      </w:r>
      <w:r w:rsidR="0061339F">
        <w:t xml:space="preserve"> </w:t>
      </w:r>
      <w:r w:rsidR="005E6A37">
        <w:t xml:space="preserve">blend </w:t>
      </w:r>
      <w:r w:rsidR="0093214F">
        <w:t>had the highest peak temperature</w:t>
      </w:r>
      <w:r w:rsidR="00D26848">
        <w:t xml:space="preserve"> at 1313.05</w:t>
      </w:r>
      <w:r w:rsidR="00D26848" w:rsidRPr="00891D6F">
        <w:rPr>
          <w:vertAlign w:val="superscript"/>
        </w:rPr>
        <w:t>0</w:t>
      </w:r>
      <w:r w:rsidR="00D26848">
        <w:t>C</w:t>
      </w:r>
      <w:r w:rsidR="0093214F">
        <w:t>, th</w:t>
      </w:r>
      <w:r w:rsidR="001C432D">
        <w:t>is only occurred at one thermocouple</w:t>
      </w:r>
      <w:r w:rsidR="00D26848">
        <w:t>,</w:t>
      </w:r>
      <w:r w:rsidR="00111965">
        <w:t xml:space="preserve"> the average peak </w:t>
      </w:r>
      <w:r w:rsidR="00035933">
        <w:t>temperature was</w:t>
      </w:r>
      <w:r w:rsidR="00891D6F">
        <w:t xml:space="preserve"> 1152.76</w:t>
      </w:r>
      <w:r w:rsidR="00891D6F" w:rsidRPr="00891D6F">
        <w:rPr>
          <w:vertAlign w:val="superscript"/>
        </w:rPr>
        <w:t>0</w:t>
      </w:r>
      <w:r w:rsidR="00891D6F">
        <w:t>C</w:t>
      </w:r>
      <w:r w:rsidR="00242192">
        <w:t xml:space="preserve">, the 25% biochar 1 blend had a slightly lower max temperature and slightly </w:t>
      </w:r>
      <w:r w:rsidR="00345F6E">
        <w:t xml:space="preserve">higher average. </w:t>
      </w:r>
      <w:r w:rsidR="00164402">
        <w:t xml:space="preserve">Biochar 1 (50%) had the highest peak temperature and </w:t>
      </w:r>
      <w:r w:rsidR="00C170A5">
        <w:t xml:space="preserve">highest average temperature. </w:t>
      </w:r>
      <w:r w:rsidR="002708EE">
        <w:t>Biochar 1 (75%) had significantly lower results in both the maximum and average temperatures</w:t>
      </w:r>
      <w:r w:rsidR="00BB534F">
        <w:t>.</w:t>
      </w:r>
      <w:r w:rsidR="002708EE">
        <w:t xml:space="preserve"> </w:t>
      </w:r>
      <w:r w:rsidR="001E0BA6">
        <w:t xml:space="preserve"> </w:t>
      </w:r>
      <w:r w:rsidR="0058146A">
        <w:t>The average time above 1000</w:t>
      </w:r>
      <w:r w:rsidR="0058146A" w:rsidRPr="0058146A">
        <w:rPr>
          <w:vertAlign w:val="superscript"/>
        </w:rPr>
        <w:t>0</w:t>
      </w:r>
      <w:r w:rsidR="0058146A">
        <w:t xml:space="preserve">C </w:t>
      </w:r>
      <w:r w:rsidR="007E0AC8">
        <w:t>seems to be trending downwards as more biochar is added</w:t>
      </w:r>
      <w:r w:rsidR="00162F10">
        <w:t xml:space="preserve">, however biochar 1 50% has the longest time above </w:t>
      </w:r>
      <w:r w:rsidR="00D42D8C">
        <w:t>1000</w:t>
      </w:r>
      <w:r w:rsidR="00D42D8C" w:rsidRPr="0058146A">
        <w:rPr>
          <w:vertAlign w:val="superscript"/>
        </w:rPr>
        <w:t>0</w:t>
      </w:r>
      <w:r w:rsidR="00D42D8C">
        <w:t>C and does not follow the trend.</w:t>
      </w:r>
    </w:p>
    <w:p w14:paraId="0487998A" w14:textId="7061073A" w:rsidR="00515F9F" w:rsidRDefault="006B0787" w:rsidP="00994C7E">
      <w:pPr>
        <w:spacing w:line="360" w:lineRule="auto"/>
        <w:jc w:val="both"/>
      </w:pPr>
      <w:r>
        <w:t xml:space="preserve">The sintering time </w:t>
      </w:r>
      <w:r w:rsidR="00661876">
        <w:t>for biochar addition 25% and 50% are</w:t>
      </w:r>
      <w:r w:rsidR="007476E4">
        <w:t xml:space="preserve"> lower than the base blend but the 75% </w:t>
      </w:r>
      <w:r w:rsidR="00745AD7">
        <w:t>biochar addition took longer.</w:t>
      </w:r>
      <w:r w:rsidR="00E133F6">
        <w:t xml:space="preserve"> The flame front speed</w:t>
      </w:r>
      <w:r w:rsidR="00026B29">
        <w:t xml:space="preserve"> (FFS)</w:t>
      </w:r>
      <w:r w:rsidR="00C91389">
        <w:t xml:space="preserve"> is</w:t>
      </w:r>
      <w:r w:rsidR="00191EBD">
        <w:t xml:space="preserve"> </w:t>
      </w:r>
      <w:r w:rsidR="005C30AF">
        <w:t xml:space="preserve">calculated by dividing the bed height (mm) by the time taken </w:t>
      </w:r>
      <w:r w:rsidR="002618CA">
        <w:t>for waste gas temperature to peak, indicating burn through</w:t>
      </w:r>
      <w:r w:rsidR="00026B29">
        <w:t>. FFS is influenced by</w:t>
      </w:r>
      <w:r w:rsidR="00915DFB">
        <w:t xml:space="preserve"> factors including</w:t>
      </w:r>
      <w:r w:rsidR="00026B29">
        <w:t xml:space="preserve"> </w:t>
      </w:r>
      <w:r w:rsidR="008A5C72">
        <w:t xml:space="preserve">bed permeability, </w:t>
      </w:r>
      <w:r w:rsidR="00915DFB">
        <w:t>permeability</w:t>
      </w:r>
      <w:r w:rsidR="008A5C72">
        <w:t xml:space="preserve"> of the reaction zone</w:t>
      </w:r>
      <w:r w:rsidR="00915DFB">
        <w:t xml:space="preserve"> and</w:t>
      </w:r>
      <w:r w:rsidR="008A5C72">
        <w:t xml:space="preserve"> fuel combustion rate</w:t>
      </w:r>
      <w:r w:rsidR="006C458F">
        <w:t xml:space="preserve"> </w:t>
      </w:r>
      <w:r w:rsidR="006C458F">
        <w:fldChar w:fldCharType="begin"/>
      </w:r>
      <w:r w:rsidR="00192334">
        <w:instrText xml:space="preserve"> ADDIN ZOTERO_ITEM CSL_CITATION {"citationID":"5GfxEKaU","properties":{"formattedCitation":"(Lovel, Vining and Dell \\uc0\\u8217{}amico, 2009)","plainCitation":"(Lovel, Vining and Dell ’amico, 2009)","noteIndex":0},"citationItems":[{"id":1891,"uris":["http://zotero.org/users/local/AB2owHL2/items/FS9T3BMI"],"itemData":{"id":1891,"type":"article-journal","container-title":"ISIJ International","DOI":"10.2355/isijinternational.49.195","ISSN":"0915-1559, 1347-5460","issue":"2","journalAbbreviation":"ISIJ Int.","language":"en","page":"195-202","source":"DOI.org (Crossref)","title":"The Influence of Fuel Reactivity on Iron Ore Sintering","URL":"http://www.jstage.jst.go.jp/article/isijinternational/49/2/49_2_195/_article","volume":"49","author":[{"family":"Lovel","given":"Roy R."},{"family":"Vining","given":"Keith R."},{"family":"Dell 'amico","given":"Mark"}],"accessed":{"date-parts":[["2022",8,18]]},"issued":{"date-parts":[["2009"]]}}}],"schema":"https://github.com/citation-style-language/schema/raw/master/csl-citation.json"} </w:instrText>
      </w:r>
      <w:r w:rsidR="006C458F">
        <w:fldChar w:fldCharType="separate"/>
      </w:r>
      <w:r w:rsidR="00192334" w:rsidRPr="00192334">
        <w:rPr>
          <w:rFonts w:ascii="Calibri" w:hAnsi="Calibri" w:cs="Calibri"/>
          <w:szCs w:val="24"/>
        </w:rPr>
        <w:t xml:space="preserve">(Lovel, </w:t>
      </w:r>
      <w:r w:rsidR="00192334" w:rsidRPr="00192334">
        <w:rPr>
          <w:rFonts w:ascii="Calibri" w:hAnsi="Calibri" w:cs="Calibri"/>
          <w:szCs w:val="24"/>
        </w:rPr>
        <w:lastRenderedPageBreak/>
        <w:t>Vining and Dell ’amico, 2009)</w:t>
      </w:r>
      <w:r w:rsidR="006C458F">
        <w:fldChar w:fldCharType="end"/>
      </w:r>
      <w:r w:rsidR="00915DFB">
        <w:t>.</w:t>
      </w:r>
      <w:r w:rsidR="004B2CA2">
        <w:t xml:space="preserve"> The </w:t>
      </w:r>
      <w:r w:rsidR="00AD28EE">
        <w:t>FFS</w:t>
      </w:r>
      <w:r w:rsidR="004B2CA2">
        <w:t xml:space="preserve"> was 0.33 mm/s for the base</w:t>
      </w:r>
      <w:r w:rsidR="00EE3E66">
        <w:t xml:space="preserve"> </w:t>
      </w:r>
      <w:r w:rsidR="004B2CA2">
        <w:t>blend and was lower for the 25%</w:t>
      </w:r>
      <w:r w:rsidR="00E83175">
        <w:t xml:space="preserve"> and</w:t>
      </w:r>
      <w:r w:rsidR="00033480">
        <w:t xml:space="preserve"> </w:t>
      </w:r>
      <w:r w:rsidR="00E83175">
        <w:t>75%</w:t>
      </w:r>
      <w:r w:rsidR="004B2CA2">
        <w:t xml:space="preserve"> blend</w:t>
      </w:r>
      <w:r w:rsidR="00E83175">
        <w:t>s</w:t>
      </w:r>
      <w:r w:rsidR="004B2CA2">
        <w:t xml:space="preserve">. Again the 50% blend had a higher result. </w:t>
      </w:r>
    </w:p>
    <w:p w14:paraId="042C9AE7" w14:textId="64CFEE19" w:rsidR="00D874D1" w:rsidRDefault="00D874D1" w:rsidP="00994C7E">
      <w:pPr>
        <w:spacing w:line="360" w:lineRule="auto"/>
        <w:jc w:val="both"/>
      </w:pPr>
      <w:r>
        <w:t xml:space="preserve">Sinter </w:t>
      </w:r>
      <w:r w:rsidR="00E83175">
        <w:t xml:space="preserve">yield is calculated by </w:t>
      </w:r>
      <w:r w:rsidR="00C22E77">
        <w:t>measuring the sinter above 5mm after screening</w:t>
      </w:r>
      <w:r w:rsidR="00CA62C2">
        <w:t xml:space="preserve"> </w:t>
      </w:r>
      <w:r w:rsidR="00CA62C2">
        <w:fldChar w:fldCharType="begin"/>
      </w:r>
      <w:r w:rsidR="00192334">
        <w:instrText xml:space="preserve"> ADDIN ZOTERO_ITEM CSL_CITATION {"citationID":"9fxfurYi","properties":{"formattedCitation":"(Ooi {\\i{}et al.}, 2011)","plainCitation":"(Ooi et al., 2011)","noteIndex":0},"citationItems":[{"id":1810,"uris":["http://zotero.org/users/local/AB2owHL2/items/REBK9MRP"],"itemData":{"id":1810,"type":"article-journal","abstract":"A study was carried out into the use of hardwood charcoal as a supplementary fuel in the iron-ore sintering process. The primary fuel was coke breeze with 0%, 20%, 50% and 100% replacement of the energy input with charcoal to produce raw blends with the same heat output as 4.0wt.% coke breeze. Experimental results indicate that fuel blends where 20% of the heat input was provided by charcoal may improve both the sinter yield and sintering productivity by up to 8%, under normal sintering conditions. In addition, the 20% replacement of coke energy with charcoal would mean that part of the carbon dioxide emitted from the process would be from a renewable source and could be used to offset carbon dioxide emissions from non-renewable fossil fuels. At higher rates of coke breeze energy substitution with charcoal, the lower sintering performance observed was mainly attributed to the lower fixed carbon content and higher volatile matter content of the fuel mix. At the optimum rate of 20% substitution of coke breeze energy input with charcoal, the emission of dioxins were similar to those observed with coke breeze alone as the fuel. However, sintering with 20% energy input from charcoal resulted in a slight increase in middle molecular weight and lower molecular weight PAHs, contributing to a minor increase in B[a]P-eq from 0.15μg/m3 to 0.17μg/m3. Overall the results from the laboratory scale tests suggest that it is feasible to substitute 20% of the coke breeze energy input with an equivalent amount of energy from charcoal in the iron-ore sintering process.","container-title":"Combustion and Flame","DOI":"10.1016/j.combustflame.2011.01.020","ISSN":"0010-2180","issue":"5","journalAbbreviation":"Combustion and Flame","language":"en","page":"979-987","source":"ScienceDirect","title":"The effect of charcoal combustion on iron-ore sintering performance and emission of persistent organic pollutants","URL":"https://www.sciencedirect.com/science/article/pii/S0010218011000356","volume":"158","author":[{"family":"Ooi","given":"Tze Chean"},{"family":"Thompson","given":"Dennis"},{"family":"Anderson","given":"David R."},{"family":"Fisher","given":"Ray"},{"family":"Fray","given":"Trevor"},{"family":"Zandi","given":"Mohammad"}],"accessed":{"date-parts":[["2022",7,21]]},"issued":{"date-parts":[["2011",5,1]]}}}],"schema":"https://github.com/citation-style-language/schema/raw/master/csl-citation.json"} </w:instrText>
      </w:r>
      <w:r w:rsidR="00CA62C2">
        <w:fldChar w:fldCharType="separate"/>
      </w:r>
      <w:r w:rsidR="00192334" w:rsidRPr="00192334">
        <w:rPr>
          <w:rFonts w:ascii="Calibri" w:hAnsi="Calibri" w:cs="Calibri"/>
          <w:szCs w:val="24"/>
        </w:rPr>
        <w:t xml:space="preserve">(Ooi </w:t>
      </w:r>
      <w:r w:rsidR="00192334" w:rsidRPr="00192334">
        <w:rPr>
          <w:rFonts w:ascii="Calibri" w:hAnsi="Calibri" w:cs="Calibri"/>
          <w:i/>
          <w:iCs/>
          <w:szCs w:val="24"/>
        </w:rPr>
        <w:t>et al.</w:t>
      </w:r>
      <w:r w:rsidR="00192334" w:rsidRPr="00192334">
        <w:rPr>
          <w:rFonts w:ascii="Calibri" w:hAnsi="Calibri" w:cs="Calibri"/>
          <w:szCs w:val="24"/>
        </w:rPr>
        <w:t>, 2011)</w:t>
      </w:r>
      <w:r w:rsidR="00CA62C2">
        <w:fldChar w:fldCharType="end"/>
      </w:r>
      <w:r w:rsidR="00FA4835">
        <w:t>.</w:t>
      </w:r>
      <w:r w:rsidR="00CA62C2">
        <w:t xml:space="preserve"> </w:t>
      </w:r>
      <w:r w:rsidR="00100BE1">
        <w:t xml:space="preserve">The sintering tests show a </w:t>
      </w:r>
      <w:r w:rsidR="007E3254">
        <w:t xml:space="preserve">general </w:t>
      </w:r>
      <w:r w:rsidR="00100BE1">
        <w:t xml:space="preserve">decrease in yield as the </w:t>
      </w:r>
      <w:r w:rsidR="007E3254">
        <w:t>amount of biochar decreases, with the 50% biochar an exception.</w:t>
      </w:r>
    </w:p>
    <w:p w14:paraId="43CC1429" w14:textId="04845C05" w:rsidR="003F19E9" w:rsidRDefault="0099563E" w:rsidP="00994C7E">
      <w:pPr>
        <w:spacing w:line="360" w:lineRule="auto"/>
        <w:jc w:val="both"/>
      </w:pPr>
      <w:r>
        <w:t xml:space="preserve">The literature </w:t>
      </w:r>
      <w:r w:rsidR="00651896">
        <w:t xml:space="preserve">predictions of </w:t>
      </w:r>
      <w:r w:rsidR="003A2D82">
        <w:t>decreased peak temperature</w:t>
      </w:r>
      <w:r w:rsidR="004B2EC1">
        <w:t xml:space="preserve">, </w:t>
      </w:r>
      <w:r w:rsidR="003A2D82">
        <w:t>shorte</w:t>
      </w:r>
      <w:r w:rsidR="00941D8A">
        <w:t>r time held at</w:t>
      </w:r>
      <w:r w:rsidR="003A2D82">
        <w:t xml:space="preserve"> temperatures above 1000</w:t>
      </w:r>
      <w:r w:rsidR="003A2D82" w:rsidRPr="00CF1A1A">
        <w:rPr>
          <w:vertAlign w:val="superscript"/>
        </w:rPr>
        <w:t>0</w:t>
      </w:r>
      <w:r w:rsidR="003A2D82">
        <w:t>C</w:t>
      </w:r>
      <w:r w:rsidR="00F93E91">
        <w:t>,</w:t>
      </w:r>
      <w:r w:rsidR="00966F57">
        <w:t xml:space="preserve"> increased flame front speed</w:t>
      </w:r>
      <w:r w:rsidR="008B4914">
        <w:t xml:space="preserve"> </w:t>
      </w:r>
      <w:r w:rsidR="00F93E91">
        <w:t xml:space="preserve">and </w:t>
      </w:r>
      <w:r w:rsidR="00891C46">
        <w:t>decreased</w:t>
      </w:r>
      <w:r w:rsidR="00F93E91">
        <w:t xml:space="preserve"> yield are</w:t>
      </w:r>
      <w:r w:rsidR="004D7FCA">
        <w:t xml:space="preserve"> mostly</w:t>
      </w:r>
      <w:r w:rsidR="00F93E91">
        <w:t xml:space="preserve"> </w:t>
      </w:r>
      <w:r w:rsidR="00667716">
        <w:t>followed</w:t>
      </w:r>
      <w:r w:rsidR="00A768FD">
        <w:t>, with the exception of the 50% biochar result</w:t>
      </w:r>
      <w:r w:rsidR="006D1555">
        <w:t>s</w:t>
      </w:r>
      <w:r w:rsidR="00A768FD">
        <w:t>.</w:t>
      </w:r>
    </w:p>
    <w:p w14:paraId="6CD9D6BB" w14:textId="724EAF9C" w:rsidR="00F6096B" w:rsidRDefault="005778DF" w:rsidP="00994C7E">
      <w:pPr>
        <w:spacing w:line="360" w:lineRule="auto"/>
        <w:jc w:val="both"/>
      </w:pPr>
      <w:r w:rsidRPr="005778DF">
        <w:rPr>
          <w:noProof/>
        </w:rPr>
        <w:drawing>
          <wp:inline distT="0" distB="0" distL="0" distR="0" wp14:anchorId="4FB3F838" wp14:editId="091AA42E">
            <wp:extent cx="5731510" cy="3014345"/>
            <wp:effectExtent l="0" t="0" r="2540" b="0"/>
            <wp:docPr id="155" name="Picture 15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Chart, line chart&#10;&#10;Description automatically generated"/>
                    <pic:cNvPicPr/>
                  </pic:nvPicPr>
                  <pic:blipFill>
                    <a:blip r:embed="rId86"/>
                    <a:stretch>
                      <a:fillRect/>
                    </a:stretch>
                  </pic:blipFill>
                  <pic:spPr>
                    <a:xfrm>
                      <a:off x="0" y="0"/>
                      <a:ext cx="5731510" cy="3014345"/>
                    </a:xfrm>
                    <a:prstGeom prst="rect">
                      <a:avLst/>
                    </a:prstGeom>
                  </pic:spPr>
                </pic:pic>
              </a:graphicData>
            </a:graphic>
          </wp:inline>
        </w:drawing>
      </w:r>
    </w:p>
    <w:p w14:paraId="7AEDA946" w14:textId="0BE5F53A" w:rsidR="00461E9E" w:rsidRDefault="00F6096B" w:rsidP="00F6096B">
      <w:pPr>
        <w:pStyle w:val="Caption"/>
      </w:pPr>
      <w:bookmarkStart w:id="96" w:name="_Toc127110937"/>
      <w:r>
        <w:t xml:space="preserve">Figure </w:t>
      </w:r>
      <w:fldSimple w:instr=" SEQ Figure \* ARABIC ">
        <w:r w:rsidR="00A0212F">
          <w:rPr>
            <w:noProof/>
          </w:rPr>
          <w:t>43</w:t>
        </w:r>
      </w:fldSimple>
      <w:r>
        <w:t xml:space="preserve"> Cold and hot permeability graphs</w:t>
      </w:r>
      <w:r w:rsidR="004176F7">
        <w:t xml:space="preserve"> – Biochar 1</w:t>
      </w:r>
      <w:bookmarkEnd w:id="96"/>
    </w:p>
    <w:p w14:paraId="0D3D6134" w14:textId="1B78E8B4" w:rsidR="004E046A" w:rsidRDefault="004E046A" w:rsidP="004E046A">
      <w:pPr>
        <w:pStyle w:val="Caption"/>
        <w:jc w:val="center"/>
      </w:pPr>
      <w:r>
        <w:t xml:space="preserve">Table </w:t>
      </w:r>
      <w:fldSimple w:instr=" SEQ Table \* ARABIC ">
        <w:r w:rsidR="00DA2639">
          <w:rPr>
            <w:noProof/>
          </w:rPr>
          <w:t>16</w:t>
        </w:r>
      </w:fldSimple>
      <w:r>
        <w:t xml:space="preserve"> Sintering air flows– Biochar 1</w:t>
      </w:r>
    </w:p>
    <w:tbl>
      <w:tblPr>
        <w:tblW w:w="9037" w:type="dxa"/>
        <w:tblLook w:val="04A0" w:firstRow="1" w:lastRow="0" w:firstColumn="1" w:lastColumn="0" w:noHBand="0" w:noVBand="1"/>
      </w:tblPr>
      <w:tblGrid>
        <w:gridCol w:w="1974"/>
        <w:gridCol w:w="1752"/>
        <w:gridCol w:w="1919"/>
        <w:gridCol w:w="1919"/>
        <w:gridCol w:w="1473"/>
      </w:tblGrid>
      <w:tr w:rsidR="004E046A" w:rsidRPr="003B32EF" w14:paraId="166AB8C9" w14:textId="77777777" w:rsidTr="0063053C">
        <w:trPr>
          <w:trHeight w:val="405"/>
        </w:trPr>
        <w:tc>
          <w:tcPr>
            <w:tcW w:w="197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6C6BD2B"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Process Parameters</w:t>
            </w:r>
          </w:p>
        </w:tc>
        <w:tc>
          <w:tcPr>
            <w:tcW w:w="1752" w:type="dxa"/>
            <w:tcBorders>
              <w:top w:val="single" w:sz="4" w:space="0" w:color="auto"/>
              <w:left w:val="nil"/>
              <w:bottom w:val="single" w:sz="4" w:space="0" w:color="auto"/>
              <w:right w:val="single" w:sz="4" w:space="0" w:color="auto"/>
            </w:tcBorders>
            <w:shd w:val="clear" w:color="auto" w:fill="auto"/>
            <w:vAlign w:val="center"/>
            <w:hideMark/>
          </w:tcPr>
          <w:p w14:paraId="1153D3B8"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Coke breeze 100%</w:t>
            </w:r>
          </w:p>
        </w:tc>
        <w:tc>
          <w:tcPr>
            <w:tcW w:w="1919" w:type="dxa"/>
            <w:tcBorders>
              <w:top w:val="single" w:sz="4" w:space="0" w:color="auto"/>
              <w:left w:val="nil"/>
              <w:bottom w:val="single" w:sz="4" w:space="0" w:color="auto"/>
              <w:right w:val="single" w:sz="4" w:space="0" w:color="auto"/>
            </w:tcBorders>
            <w:shd w:val="clear" w:color="auto" w:fill="auto"/>
            <w:vAlign w:val="center"/>
            <w:hideMark/>
          </w:tcPr>
          <w:p w14:paraId="57EDFD0E"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Biochar 1 (25%)</w:t>
            </w:r>
          </w:p>
        </w:tc>
        <w:tc>
          <w:tcPr>
            <w:tcW w:w="1919" w:type="dxa"/>
            <w:tcBorders>
              <w:top w:val="single" w:sz="4" w:space="0" w:color="auto"/>
              <w:left w:val="nil"/>
              <w:bottom w:val="single" w:sz="4" w:space="0" w:color="auto"/>
              <w:right w:val="single" w:sz="4" w:space="0" w:color="auto"/>
            </w:tcBorders>
            <w:shd w:val="clear" w:color="auto" w:fill="auto"/>
            <w:vAlign w:val="center"/>
            <w:hideMark/>
          </w:tcPr>
          <w:p w14:paraId="6011D94D"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Biochar 1 (50%)</w:t>
            </w:r>
          </w:p>
        </w:tc>
        <w:tc>
          <w:tcPr>
            <w:tcW w:w="1473" w:type="dxa"/>
            <w:tcBorders>
              <w:top w:val="single" w:sz="4" w:space="0" w:color="auto"/>
              <w:left w:val="nil"/>
              <w:bottom w:val="single" w:sz="4" w:space="0" w:color="auto"/>
              <w:right w:val="single" w:sz="4" w:space="0" w:color="auto"/>
            </w:tcBorders>
            <w:shd w:val="clear" w:color="auto" w:fill="auto"/>
            <w:vAlign w:val="center"/>
            <w:hideMark/>
          </w:tcPr>
          <w:p w14:paraId="27CA494C"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Biochar 1 (75%)</w:t>
            </w:r>
          </w:p>
        </w:tc>
      </w:tr>
      <w:tr w:rsidR="004E046A" w:rsidRPr="003B32EF" w14:paraId="41FA19D9" w14:textId="77777777" w:rsidTr="0063053C">
        <w:trPr>
          <w:trHeight w:val="580"/>
        </w:trPr>
        <w:tc>
          <w:tcPr>
            <w:tcW w:w="1974" w:type="dxa"/>
            <w:tcBorders>
              <w:top w:val="nil"/>
              <w:left w:val="single" w:sz="4" w:space="0" w:color="auto"/>
              <w:bottom w:val="single" w:sz="4" w:space="0" w:color="auto"/>
              <w:right w:val="single" w:sz="4" w:space="0" w:color="auto"/>
            </w:tcBorders>
            <w:shd w:val="clear" w:color="auto" w:fill="auto"/>
            <w:vAlign w:val="center"/>
            <w:hideMark/>
          </w:tcPr>
          <w:p w14:paraId="173FB823"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Hot Flow Average (m</w:t>
            </w:r>
            <w:r w:rsidRPr="003B32EF">
              <w:rPr>
                <w:rFonts w:ascii="Calibri" w:eastAsia="Times New Roman" w:hAnsi="Calibri" w:cs="Calibri"/>
                <w:color w:val="000000"/>
                <w:vertAlign w:val="superscript"/>
                <w:lang w:eastAsia="en-GB"/>
              </w:rPr>
              <w:t>3</w:t>
            </w:r>
            <w:r w:rsidRPr="003B32EF">
              <w:rPr>
                <w:rFonts w:ascii="Calibri" w:eastAsia="Times New Roman" w:hAnsi="Calibri" w:cs="Calibri"/>
                <w:color w:val="000000"/>
                <w:lang w:eastAsia="en-GB"/>
              </w:rPr>
              <w:t>/hr)</w:t>
            </w:r>
          </w:p>
        </w:tc>
        <w:tc>
          <w:tcPr>
            <w:tcW w:w="1752" w:type="dxa"/>
            <w:tcBorders>
              <w:top w:val="nil"/>
              <w:left w:val="nil"/>
              <w:bottom w:val="single" w:sz="4" w:space="0" w:color="auto"/>
              <w:right w:val="single" w:sz="4" w:space="0" w:color="auto"/>
            </w:tcBorders>
            <w:shd w:val="clear" w:color="auto" w:fill="auto"/>
            <w:vAlign w:val="center"/>
            <w:hideMark/>
          </w:tcPr>
          <w:p w14:paraId="0287C446"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5.76</w:t>
            </w:r>
          </w:p>
        </w:tc>
        <w:tc>
          <w:tcPr>
            <w:tcW w:w="1919" w:type="dxa"/>
            <w:tcBorders>
              <w:top w:val="nil"/>
              <w:left w:val="nil"/>
              <w:bottom w:val="single" w:sz="4" w:space="0" w:color="auto"/>
              <w:right w:val="single" w:sz="4" w:space="0" w:color="auto"/>
            </w:tcBorders>
            <w:shd w:val="clear" w:color="auto" w:fill="auto"/>
            <w:vAlign w:val="center"/>
            <w:hideMark/>
          </w:tcPr>
          <w:p w14:paraId="2D8175B1"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5.41</w:t>
            </w:r>
          </w:p>
        </w:tc>
        <w:tc>
          <w:tcPr>
            <w:tcW w:w="1919" w:type="dxa"/>
            <w:tcBorders>
              <w:top w:val="nil"/>
              <w:left w:val="nil"/>
              <w:bottom w:val="single" w:sz="4" w:space="0" w:color="auto"/>
              <w:right w:val="single" w:sz="4" w:space="0" w:color="auto"/>
            </w:tcBorders>
            <w:shd w:val="clear" w:color="auto" w:fill="auto"/>
            <w:vAlign w:val="center"/>
            <w:hideMark/>
          </w:tcPr>
          <w:p w14:paraId="5A8CCCFC"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5.47</w:t>
            </w:r>
          </w:p>
        </w:tc>
        <w:tc>
          <w:tcPr>
            <w:tcW w:w="1473" w:type="dxa"/>
            <w:tcBorders>
              <w:top w:val="nil"/>
              <w:left w:val="nil"/>
              <w:bottom w:val="single" w:sz="4" w:space="0" w:color="auto"/>
              <w:right w:val="single" w:sz="4" w:space="0" w:color="auto"/>
            </w:tcBorders>
            <w:shd w:val="clear" w:color="auto" w:fill="auto"/>
            <w:vAlign w:val="center"/>
            <w:hideMark/>
          </w:tcPr>
          <w:p w14:paraId="66A0CD8A"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4.08</w:t>
            </w:r>
          </w:p>
        </w:tc>
      </w:tr>
      <w:tr w:rsidR="004E046A" w:rsidRPr="003B32EF" w14:paraId="4A4DA3D7" w14:textId="77777777" w:rsidTr="0063053C">
        <w:trPr>
          <w:trHeight w:val="580"/>
        </w:trPr>
        <w:tc>
          <w:tcPr>
            <w:tcW w:w="1974" w:type="dxa"/>
            <w:tcBorders>
              <w:top w:val="nil"/>
              <w:left w:val="single" w:sz="4" w:space="0" w:color="auto"/>
              <w:bottom w:val="single" w:sz="4" w:space="0" w:color="auto"/>
              <w:right w:val="single" w:sz="4" w:space="0" w:color="auto"/>
            </w:tcBorders>
            <w:shd w:val="clear" w:color="auto" w:fill="auto"/>
            <w:vAlign w:val="center"/>
            <w:hideMark/>
          </w:tcPr>
          <w:p w14:paraId="32BE7732"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Cold Flow Average (m</w:t>
            </w:r>
            <w:r w:rsidRPr="003B32EF">
              <w:rPr>
                <w:rFonts w:ascii="Calibri" w:eastAsia="Times New Roman" w:hAnsi="Calibri" w:cs="Calibri"/>
                <w:color w:val="000000"/>
                <w:vertAlign w:val="superscript"/>
                <w:lang w:eastAsia="en-GB"/>
              </w:rPr>
              <w:t>3</w:t>
            </w:r>
            <w:r w:rsidRPr="003B32EF">
              <w:rPr>
                <w:rFonts w:ascii="Calibri" w:eastAsia="Times New Roman" w:hAnsi="Calibri" w:cs="Calibri"/>
                <w:color w:val="000000"/>
                <w:lang w:eastAsia="en-GB"/>
              </w:rPr>
              <w:t>/hr)</w:t>
            </w:r>
          </w:p>
        </w:tc>
        <w:tc>
          <w:tcPr>
            <w:tcW w:w="1752" w:type="dxa"/>
            <w:tcBorders>
              <w:top w:val="nil"/>
              <w:left w:val="nil"/>
              <w:bottom w:val="single" w:sz="4" w:space="0" w:color="auto"/>
              <w:right w:val="single" w:sz="4" w:space="0" w:color="auto"/>
            </w:tcBorders>
            <w:shd w:val="clear" w:color="auto" w:fill="auto"/>
            <w:vAlign w:val="center"/>
            <w:hideMark/>
          </w:tcPr>
          <w:p w14:paraId="4FEF7914"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7.79</w:t>
            </w:r>
          </w:p>
        </w:tc>
        <w:tc>
          <w:tcPr>
            <w:tcW w:w="1919" w:type="dxa"/>
            <w:tcBorders>
              <w:top w:val="nil"/>
              <w:left w:val="nil"/>
              <w:bottom w:val="single" w:sz="4" w:space="0" w:color="auto"/>
              <w:right w:val="single" w:sz="4" w:space="0" w:color="auto"/>
            </w:tcBorders>
            <w:shd w:val="clear" w:color="auto" w:fill="auto"/>
            <w:vAlign w:val="center"/>
            <w:hideMark/>
          </w:tcPr>
          <w:p w14:paraId="3104CBC8"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7.79</w:t>
            </w:r>
          </w:p>
        </w:tc>
        <w:tc>
          <w:tcPr>
            <w:tcW w:w="1919" w:type="dxa"/>
            <w:tcBorders>
              <w:top w:val="nil"/>
              <w:left w:val="nil"/>
              <w:bottom w:val="single" w:sz="4" w:space="0" w:color="auto"/>
              <w:right w:val="single" w:sz="4" w:space="0" w:color="auto"/>
            </w:tcBorders>
            <w:shd w:val="clear" w:color="auto" w:fill="auto"/>
            <w:vAlign w:val="center"/>
            <w:hideMark/>
          </w:tcPr>
          <w:p w14:paraId="200A977E"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8.09</w:t>
            </w:r>
          </w:p>
        </w:tc>
        <w:tc>
          <w:tcPr>
            <w:tcW w:w="1473" w:type="dxa"/>
            <w:tcBorders>
              <w:top w:val="nil"/>
              <w:left w:val="nil"/>
              <w:bottom w:val="single" w:sz="4" w:space="0" w:color="auto"/>
              <w:right w:val="single" w:sz="4" w:space="0" w:color="auto"/>
            </w:tcBorders>
            <w:shd w:val="clear" w:color="auto" w:fill="auto"/>
            <w:vAlign w:val="center"/>
            <w:hideMark/>
          </w:tcPr>
          <w:p w14:paraId="51627C76"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6.14</w:t>
            </w:r>
          </w:p>
        </w:tc>
      </w:tr>
      <w:tr w:rsidR="004E046A" w:rsidRPr="003B32EF" w14:paraId="6F2F10E7" w14:textId="77777777" w:rsidTr="0063053C">
        <w:trPr>
          <w:trHeight w:val="396"/>
        </w:trPr>
        <w:tc>
          <w:tcPr>
            <w:tcW w:w="1974" w:type="dxa"/>
            <w:tcBorders>
              <w:top w:val="nil"/>
              <w:left w:val="single" w:sz="4" w:space="0" w:color="auto"/>
              <w:bottom w:val="single" w:sz="4" w:space="0" w:color="auto"/>
              <w:right w:val="single" w:sz="4" w:space="0" w:color="auto"/>
            </w:tcBorders>
            <w:shd w:val="clear" w:color="auto" w:fill="auto"/>
            <w:vAlign w:val="center"/>
            <w:hideMark/>
          </w:tcPr>
          <w:p w14:paraId="1F935B4E"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Sintered Air Flow (m</w:t>
            </w:r>
            <w:r w:rsidRPr="003B32EF">
              <w:rPr>
                <w:rFonts w:ascii="Calibri" w:eastAsia="Times New Roman" w:hAnsi="Calibri" w:cs="Calibri"/>
                <w:color w:val="000000"/>
                <w:vertAlign w:val="superscript"/>
                <w:lang w:eastAsia="en-GB"/>
              </w:rPr>
              <w:t>3</w:t>
            </w:r>
            <w:r w:rsidRPr="003B32EF">
              <w:rPr>
                <w:rFonts w:ascii="Calibri" w:eastAsia="Times New Roman" w:hAnsi="Calibri" w:cs="Calibri"/>
                <w:color w:val="000000"/>
                <w:lang w:eastAsia="en-GB"/>
              </w:rPr>
              <w:t>/hr)</w:t>
            </w:r>
          </w:p>
        </w:tc>
        <w:tc>
          <w:tcPr>
            <w:tcW w:w="1752" w:type="dxa"/>
            <w:tcBorders>
              <w:top w:val="nil"/>
              <w:left w:val="nil"/>
              <w:bottom w:val="single" w:sz="4" w:space="0" w:color="auto"/>
              <w:right w:val="single" w:sz="4" w:space="0" w:color="auto"/>
            </w:tcBorders>
            <w:shd w:val="clear" w:color="auto" w:fill="auto"/>
            <w:vAlign w:val="center"/>
            <w:hideMark/>
          </w:tcPr>
          <w:p w14:paraId="73227DE6"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23.92</w:t>
            </w:r>
          </w:p>
        </w:tc>
        <w:tc>
          <w:tcPr>
            <w:tcW w:w="1919" w:type="dxa"/>
            <w:tcBorders>
              <w:top w:val="nil"/>
              <w:left w:val="nil"/>
              <w:bottom w:val="single" w:sz="4" w:space="0" w:color="auto"/>
              <w:right w:val="single" w:sz="4" w:space="0" w:color="auto"/>
            </w:tcBorders>
            <w:shd w:val="clear" w:color="auto" w:fill="auto"/>
            <w:vAlign w:val="center"/>
            <w:hideMark/>
          </w:tcPr>
          <w:p w14:paraId="0D44D419"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18.23</w:t>
            </w:r>
          </w:p>
        </w:tc>
        <w:tc>
          <w:tcPr>
            <w:tcW w:w="1919" w:type="dxa"/>
            <w:tcBorders>
              <w:top w:val="nil"/>
              <w:left w:val="nil"/>
              <w:bottom w:val="single" w:sz="4" w:space="0" w:color="auto"/>
              <w:right w:val="single" w:sz="4" w:space="0" w:color="auto"/>
            </w:tcBorders>
            <w:shd w:val="clear" w:color="auto" w:fill="auto"/>
            <w:vAlign w:val="center"/>
            <w:hideMark/>
          </w:tcPr>
          <w:p w14:paraId="24897A28"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28.09</w:t>
            </w:r>
          </w:p>
        </w:tc>
        <w:tc>
          <w:tcPr>
            <w:tcW w:w="1473" w:type="dxa"/>
            <w:tcBorders>
              <w:top w:val="nil"/>
              <w:left w:val="nil"/>
              <w:bottom w:val="single" w:sz="4" w:space="0" w:color="auto"/>
              <w:right w:val="single" w:sz="4" w:space="0" w:color="auto"/>
            </w:tcBorders>
            <w:shd w:val="clear" w:color="auto" w:fill="auto"/>
            <w:vAlign w:val="center"/>
            <w:hideMark/>
          </w:tcPr>
          <w:p w14:paraId="4920176A" w14:textId="77777777" w:rsidR="004E046A" w:rsidRPr="003B32EF" w:rsidRDefault="004E046A" w:rsidP="003E3487">
            <w:pPr>
              <w:spacing w:after="0" w:line="240" w:lineRule="auto"/>
              <w:jc w:val="center"/>
              <w:rPr>
                <w:rFonts w:ascii="Calibri" w:eastAsia="Times New Roman" w:hAnsi="Calibri" w:cs="Calibri"/>
                <w:color w:val="000000"/>
                <w:lang w:eastAsia="en-GB"/>
              </w:rPr>
            </w:pPr>
            <w:r w:rsidRPr="003B32EF">
              <w:rPr>
                <w:rFonts w:ascii="Calibri" w:eastAsia="Times New Roman" w:hAnsi="Calibri" w:cs="Calibri"/>
                <w:color w:val="000000"/>
                <w:lang w:eastAsia="en-GB"/>
              </w:rPr>
              <w:t>21.26</w:t>
            </w:r>
          </w:p>
        </w:tc>
      </w:tr>
    </w:tbl>
    <w:p w14:paraId="779E4155" w14:textId="77777777" w:rsidR="004E046A" w:rsidRPr="004E046A" w:rsidRDefault="004E046A" w:rsidP="004E046A"/>
    <w:p w14:paraId="32A93056" w14:textId="5766CBA2" w:rsidR="00F6096B" w:rsidRPr="00F6096B" w:rsidRDefault="00A26BD5" w:rsidP="006228A5">
      <w:pPr>
        <w:spacing w:line="360" w:lineRule="auto"/>
        <w:jc w:val="both"/>
      </w:pPr>
      <w:r>
        <w:t xml:space="preserve">An explanation </w:t>
      </w:r>
      <w:r w:rsidR="007F1019">
        <w:t xml:space="preserve">for the </w:t>
      </w:r>
      <w:r w:rsidR="005D2D5B">
        <w:t xml:space="preserve">50% biochar 1 having </w:t>
      </w:r>
      <w:r w:rsidR="00E81EB2">
        <w:t>stronger</w:t>
      </w:r>
      <w:r w:rsidR="005D2D5B">
        <w:t xml:space="preserve"> </w:t>
      </w:r>
      <w:r w:rsidR="0022528A">
        <w:t xml:space="preserve">process characteristics than the </w:t>
      </w:r>
      <w:r w:rsidR="007C6F7F">
        <w:t>base blend</w:t>
      </w:r>
      <w:r w:rsidR="009C7898">
        <w:t xml:space="preserve"> </w:t>
      </w:r>
      <w:r w:rsidR="00274C92">
        <w:t>could</w:t>
      </w:r>
      <w:r w:rsidR="00A768FD">
        <w:t xml:space="preserve"> be</w:t>
      </w:r>
      <w:r w:rsidR="008C2EB8">
        <w:t xml:space="preserve"> partly</w:t>
      </w:r>
      <w:r w:rsidR="00A768FD">
        <w:t xml:space="preserve"> explained by the permeability results</w:t>
      </w:r>
      <w:r w:rsidR="007A16F3">
        <w:t xml:space="preserve"> shown above in figure 43</w:t>
      </w:r>
      <w:r w:rsidR="008C2EB8">
        <w:t xml:space="preserve"> and table 16</w:t>
      </w:r>
      <w:r w:rsidR="007A16F3">
        <w:t>.</w:t>
      </w:r>
      <w:r w:rsidR="008C2EB8">
        <w:t xml:space="preserve"> </w:t>
      </w:r>
      <w:r w:rsidR="007A16F3">
        <w:t xml:space="preserve"> </w:t>
      </w:r>
      <w:r w:rsidR="00E57F7A">
        <w:t xml:space="preserve">The </w:t>
      </w:r>
      <w:r w:rsidR="007C6F7F">
        <w:t>base blend</w:t>
      </w:r>
      <w:r w:rsidR="00E57F7A">
        <w:t xml:space="preserve"> has the highest permeability of all the tests</w:t>
      </w:r>
      <w:r w:rsidR="00704D00">
        <w:t xml:space="preserve">. The cold </w:t>
      </w:r>
      <w:r w:rsidR="00613797">
        <w:t>permeability test was carried out on the raw sinter mix, the 50</w:t>
      </w:r>
      <w:r w:rsidR="0018355D">
        <w:t>% biochar 1 test has the highest result.</w:t>
      </w:r>
      <w:r w:rsidR="00344B49">
        <w:t xml:space="preserve"> The hot flow is taken during the sintering </w:t>
      </w:r>
      <w:r w:rsidR="00344B49">
        <w:lastRenderedPageBreak/>
        <w:t>process, again the 50% blend came out on top. The sintered air flow is taken after sintering has finished and again the 50% blend had the highest result.</w:t>
      </w:r>
      <w:r w:rsidR="000E215B">
        <w:t xml:space="preserve"> The expectation on this test would be for the </w:t>
      </w:r>
      <w:r w:rsidR="007C6F7F">
        <w:t xml:space="preserve">base blend to have the highest permeability </w:t>
      </w:r>
      <w:r w:rsidR="0010000A">
        <w:t xml:space="preserve">which would then decrease as the biochar addition increased. </w:t>
      </w:r>
      <w:r w:rsidR="00573525">
        <w:t>The reason for t</w:t>
      </w:r>
      <w:r w:rsidR="007023A1">
        <w:t xml:space="preserve">his is that charcoal is very porous and </w:t>
      </w:r>
      <w:r w:rsidR="00F767C7">
        <w:t>so has a much higher moisture saturation</w:t>
      </w:r>
      <w:r w:rsidR="00212569">
        <w:t xml:space="preserve"> value than coke breeze.</w:t>
      </w:r>
      <w:r w:rsidR="00153050">
        <w:t xml:space="preserve"> This is likely to have had an effect on the </w:t>
      </w:r>
      <w:r w:rsidR="00306A79">
        <w:t xml:space="preserve">sinter </w:t>
      </w:r>
      <w:r w:rsidR="00153050">
        <w:t>gran</w:t>
      </w:r>
      <w:r w:rsidR="00306A79">
        <w:t>ulation which in turn affects the sinter density</w:t>
      </w:r>
      <w:r w:rsidR="00565ADD">
        <w:t xml:space="preserve"> </w:t>
      </w:r>
      <w:r w:rsidR="00B10FF1">
        <w:fldChar w:fldCharType="begin"/>
      </w:r>
      <w:r w:rsidR="00192334">
        <w:instrText xml:space="preserve"> ADDIN ZOTERO_ITEM CSL_CITATION {"citationID":"2GwpuFDG","properties":{"formattedCitation":"(Lu {\\i{}et al.}, 2013)","plainCitation":"(Lu et al., 2013)","noteIndex":0},"citationItems":[{"id":1788,"uris":["http://zotero.org/users/local/AB2owHL2/items/B69CWL6R"],"itemData":{"id":1788,"type":"article-journal","container-title":"ISIJ International","DOI":"10.2355/isijinternational.53.1607","ISSN":"0915-1559, 1347-5460","issue":"9","journalAbbreviation":"ISIJ Int.","language":"en","page":"1607-1616","source":"DOI.org (Crossref)","title":"Substitution of Charcoal for Coke Breeze in Iron Ore Sintering","URL":"https://www.jstage.jst.go.jp/article/isijinternational/53/9/53_1607/_article","volume":"53","author":[{"family":"Lu","given":"Liming"},{"family":"Adam","given":"Matt"},{"family":"Kilburn","given":"Matt"},{"family":"Hapugoda","given":"Sarath"},{"family":"Somerville","given":"Michael"},{"family":"Jahanshahi","given":"Sharif"},{"family":"Mathieson","given":"John Gordon"}],"accessed":{"date-parts":[["2022",7,17]]},"issued":{"date-parts":[["2013"]]}}}],"schema":"https://github.com/citation-style-language/schema/raw/master/csl-citation.json"} </w:instrText>
      </w:r>
      <w:r w:rsidR="00B10FF1">
        <w:fldChar w:fldCharType="separate"/>
      </w:r>
      <w:r w:rsidR="00192334" w:rsidRPr="00192334">
        <w:rPr>
          <w:rFonts w:ascii="Calibri" w:hAnsi="Calibri" w:cs="Calibri"/>
          <w:szCs w:val="24"/>
        </w:rPr>
        <w:t xml:space="preserve">(Lu </w:t>
      </w:r>
      <w:r w:rsidR="00192334" w:rsidRPr="00192334">
        <w:rPr>
          <w:rFonts w:ascii="Calibri" w:hAnsi="Calibri" w:cs="Calibri"/>
          <w:i/>
          <w:iCs/>
          <w:szCs w:val="24"/>
        </w:rPr>
        <w:t>et al.</w:t>
      </w:r>
      <w:r w:rsidR="00192334" w:rsidRPr="00192334">
        <w:rPr>
          <w:rFonts w:ascii="Calibri" w:hAnsi="Calibri" w:cs="Calibri"/>
          <w:szCs w:val="24"/>
        </w:rPr>
        <w:t>, 2013)</w:t>
      </w:r>
      <w:r w:rsidR="00B10FF1">
        <w:fldChar w:fldCharType="end"/>
      </w:r>
      <w:r w:rsidR="00306A79">
        <w:t>.</w:t>
      </w:r>
      <w:r w:rsidR="00FF751C">
        <w:t xml:space="preserve"> The base blend had the second highest of the results across all permeability measures which otherwise did decrease as the </w:t>
      </w:r>
      <w:r w:rsidR="002E22F6">
        <w:t>biochar addition increased.</w:t>
      </w:r>
    </w:p>
    <w:p w14:paraId="6A47291A" w14:textId="47949CDE" w:rsidR="00364531" w:rsidRDefault="00B55F2B" w:rsidP="00390F02">
      <w:r w:rsidRPr="00B55F2B">
        <w:rPr>
          <w:noProof/>
        </w:rPr>
        <w:drawing>
          <wp:inline distT="0" distB="0" distL="0" distR="0" wp14:anchorId="2B52BC41" wp14:editId="1BC958AD">
            <wp:extent cx="5730759" cy="3395207"/>
            <wp:effectExtent l="0" t="0" r="3810" b="0"/>
            <wp:docPr id="151" name="Picture 15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Chart, histogram&#10;&#10;Description automatically generated"/>
                    <pic:cNvPicPr/>
                  </pic:nvPicPr>
                  <pic:blipFill>
                    <a:blip r:embed="rId87"/>
                    <a:stretch>
                      <a:fillRect/>
                    </a:stretch>
                  </pic:blipFill>
                  <pic:spPr>
                    <a:xfrm>
                      <a:off x="0" y="0"/>
                      <a:ext cx="5744919" cy="3403596"/>
                    </a:xfrm>
                    <a:prstGeom prst="rect">
                      <a:avLst/>
                    </a:prstGeom>
                  </pic:spPr>
                </pic:pic>
              </a:graphicData>
            </a:graphic>
          </wp:inline>
        </w:drawing>
      </w:r>
    </w:p>
    <w:p w14:paraId="2B859F7E" w14:textId="1BFE10C5" w:rsidR="00E87F84" w:rsidRDefault="00E87F84" w:rsidP="00390F02">
      <w:r w:rsidRPr="00E87F84">
        <w:rPr>
          <w:noProof/>
        </w:rPr>
        <w:drawing>
          <wp:inline distT="0" distB="0" distL="0" distR="0" wp14:anchorId="7CD6285C" wp14:editId="0321979C">
            <wp:extent cx="5730665" cy="3140765"/>
            <wp:effectExtent l="0" t="0" r="3810" b="2540"/>
            <wp:docPr id="152" name="Picture 15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Chart, histogram&#10;&#10;Description automatically generated"/>
                    <pic:cNvPicPr/>
                  </pic:nvPicPr>
                  <pic:blipFill>
                    <a:blip r:embed="rId88"/>
                    <a:stretch>
                      <a:fillRect/>
                    </a:stretch>
                  </pic:blipFill>
                  <pic:spPr>
                    <a:xfrm>
                      <a:off x="0" y="0"/>
                      <a:ext cx="5737224" cy="3144360"/>
                    </a:xfrm>
                    <a:prstGeom prst="rect">
                      <a:avLst/>
                    </a:prstGeom>
                  </pic:spPr>
                </pic:pic>
              </a:graphicData>
            </a:graphic>
          </wp:inline>
        </w:drawing>
      </w:r>
    </w:p>
    <w:p w14:paraId="01F2B06F" w14:textId="746EE91F" w:rsidR="00364531" w:rsidRDefault="00B52870" w:rsidP="00B52870">
      <w:pPr>
        <w:pStyle w:val="Caption"/>
      </w:pPr>
      <w:bookmarkStart w:id="97" w:name="_Toc127110938"/>
      <w:r>
        <w:t xml:space="preserve">Figure </w:t>
      </w:r>
      <w:fldSimple w:instr=" SEQ Figure \* ARABIC ">
        <w:r w:rsidR="00A0212F">
          <w:rPr>
            <w:noProof/>
          </w:rPr>
          <w:t>44</w:t>
        </w:r>
      </w:fldSimple>
      <w:r w:rsidR="004E046A">
        <w:t xml:space="preserve"> Time - temperature profiles of the biochar 2 sinter pot tests.</w:t>
      </w:r>
      <w:bookmarkEnd w:id="97"/>
    </w:p>
    <w:p w14:paraId="165BADFB" w14:textId="1AA58D83" w:rsidR="006228A5" w:rsidRPr="00521D23" w:rsidRDefault="006228A5" w:rsidP="006228A5">
      <w:pPr>
        <w:spacing w:line="360" w:lineRule="auto"/>
        <w:jc w:val="both"/>
      </w:pPr>
      <w:r>
        <w:lastRenderedPageBreak/>
        <w:t xml:space="preserve">The time – temperature graphs for biochar 2 are displayed above in figure 44, the graph peaks largely have a shape that demonstrates a high combustion rate (see figure 41). The base blend has some wider profiles at the middle to base of the profile this represents a slower cool down time. </w:t>
      </w:r>
    </w:p>
    <w:p w14:paraId="562E3473" w14:textId="77777777" w:rsidR="006228A5" w:rsidRPr="00521D23" w:rsidRDefault="006228A5" w:rsidP="006228A5">
      <w:pPr>
        <w:spacing w:line="360" w:lineRule="auto"/>
        <w:jc w:val="both"/>
      </w:pPr>
      <w:r>
        <w:t>The base blend has an average max peak temp of 1152.76</w:t>
      </w:r>
      <w:r w:rsidRPr="00FF068F">
        <w:rPr>
          <w:vertAlign w:val="superscript"/>
        </w:rPr>
        <w:t>0</w:t>
      </w:r>
      <w:r>
        <w:t>C (see table 17 for process characteristics biochar 2) with the final thermocouple peaking at 1313.03, this profile is inconsistent with the others and may be because of variation in density while packing the sinter pot. In the biochar 2 25% graph the profile peaks are at a consistent level around the average 1206</w:t>
      </w:r>
      <w:r w:rsidRPr="00114D88">
        <w:rPr>
          <w:vertAlign w:val="superscript"/>
        </w:rPr>
        <w:t>0</w:t>
      </w:r>
      <w:r>
        <w:t>C, and the max peak is not much higher at 1254</w:t>
      </w:r>
      <w:r w:rsidRPr="008668E3">
        <w:rPr>
          <w:vertAlign w:val="superscript"/>
        </w:rPr>
        <w:t>0</w:t>
      </w:r>
      <w:r>
        <w:t>C. The biochar 2 50% graph has two profiles indicating medium to slow combustion rates that do not match the rest of the thermocouple profiles in that graph, this may be due to channelling or operator error when fixing the thermocouples. The three remaining profiles in this graph peak at around 1200</w:t>
      </w:r>
      <w:r w:rsidRPr="00D86766">
        <w:rPr>
          <w:vertAlign w:val="superscript"/>
        </w:rPr>
        <w:t>0</w:t>
      </w:r>
      <w:r>
        <w:t>C. Biochar 75% has consistently lower profile peaks, with a max peak temperature of 1129</w:t>
      </w:r>
      <w:r w:rsidRPr="00B46874">
        <w:rPr>
          <w:vertAlign w:val="superscript"/>
        </w:rPr>
        <w:t>0</w:t>
      </w:r>
      <w:r>
        <w:t>C, the average max peak temperature is 1041</w:t>
      </w:r>
      <w:r w:rsidRPr="00B46874">
        <w:rPr>
          <w:vertAlign w:val="superscript"/>
        </w:rPr>
        <w:t>0</w:t>
      </w:r>
      <w:r>
        <w:t>C, although this is distorted by the middle thermocouple profile.</w:t>
      </w:r>
    </w:p>
    <w:p w14:paraId="7071E109" w14:textId="54021125" w:rsidR="00B52870" w:rsidRDefault="006228A5" w:rsidP="006228A5">
      <w:pPr>
        <w:spacing w:line="360" w:lineRule="auto"/>
        <w:jc w:val="both"/>
      </w:pPr>
      <w:r>
        <w:t>The average time above 1000</w:t>
      </w:r>
      <w:r w:rsidRPr="009160B5">
        <w:rPr>
          <w:vertAlign w:val="superscript"/>
        </w:rPr>
        <w:t>0</w:t>
      </w:r>
      <w:r>
        <w:t>C is 2mins 20 secs for the base blend, the 25% biochar 2 blend is slightly higher at 2 mins 54 secs, the following two blends are lower than the base blend at 1 min 58 secs and 1 min 12 secs respectively. The FFS and yield decrease linearly with the exception of the 50% blend.</w:t>
      </w:r>
    </w:p>
    <w:p w14:paraId="4C03926D" w14:textId="07CD772F" w:rsidR="00B52870" w:rsidRDefault="00042B2B" w:rsidP="002E165E">
      <w:pPr>
        <w:pStyle w:val="Caption"/>
        <w:jc w:val="center"/>
      </w:pPr>
      <w:r>
        <w:t xml:space="preserve">Table </w:t>
      </w:r>
      <w:fldSimple w:instr=" SEQ Table \* ARABIC ">
        <w:r w:rsidR="00DA2639">
          <w:rPr>
            <w:noProof/>
          </w:rPr>
          <w:t>17</w:t>
        </w:r>
      </w:fldSimple>
      <w:r w:rsidR="005242DD">
        <w:t xml:space="preserve"> </w:t>
      </w:r>
      <w:r w:rsidR="002E165E">
        <w:t>Sintering process characteristics Biochar 2</w:t>
      </w:r>
    </w:p>
    <w:tbl>
      <w:tblPr>
        <w:tblW w:w="8847" w:type="dxa"/>
        <w:tblLook w:val="04A0" w:firstRow="1" w:lastRow="0" w:firstColumn="1" w:lastColumn="0" w:noHBand="0" w:noVBand="1"/>
      </w:tblPr>
      <w:tblGrid>
        <w:gridCol w:w="2705"/>
        <w:gridCol w:w="1566"/>
        <w:gridCol w:w="1403"/>
        <w:gridCol w:w="1607"/>
        <w:gridCol w:w="1566"/>
      </w:tblGrid>
      <w:tr w:rsidR="00C220B2" w:rsidRPr="00C220B2" w14:paraId="54077548" w14:textId="77777777" w:rsidTr="00382CE9">
        <w:trPr>
          <w:trHeight w:val="539"/>
        </w:trPr>
        <w:tc>
          <w:tcPr>
            <w:tcW w:w="2705"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AFC2B50"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 </w:t>
            </w:r>
          </w:p>
        </w:tc>
        <w:tc>
          <w:tcPr>
            <w:tcW w:w="1566" w:type="dxa"/>
            <w:tcBorders>
              <w:top w:val="single" w:sz="4" w:space="0" w:color="auto"/>
              <w:left w:val="nil"/>
              <w:bottom w:val="single" w:sz="4" w:space="0" w:color="auto"/>
              <w:right w:val="single" w:sz="4" w:space="0" w:color="auto"/>
            </w:tcBorders>
            <w:shd w:val="clear" w:color="auto" w:fill="auto"/>
            <w:vAlign w:val="bottom"/>
            <w:hideMark/>
          </w:tcPr>
          <w:p w14:paraId="07165D67"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 xml:space="preserve"> Coke breeze 100%</w:t>
            </w:r>
          </w:p>
        </w:tc>
        <w:tc>
          <w:tcPr>
            <w:tcW w:w="1403" w:type="dxa"/>
            <w:tcBorders>
              <w:top w:val="single" w:sz="4" w:space="0" w:color="auto"/>
              <w:left w:val="nil"/>
              <w:bottom w:val="single" w:sz="4" w:space="0" w:color="auto"/>
              <w:right w:val="single" w:sz="4" w:space="0" w:color="auto"/>
            </w:tcBorders>
            <w:shd w:val="clear" w:color="auto" w:fill="auto"/>
            <w:vAlign w:val="bottom"/>
            <w:hideMark/>
          </w:tcPr>
          <w:p w14:paraId="0009FAE2"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Biochar 2 (25%)</w:t>
            </w:r>
          </w:p>
        </w:tc>
        <w:tc>
          <w:tcPr>
            <w:tcW w:w="1607" w:type="dxa"/>
            <w:tcBorders>
              <w:top w:val="single" w:sz="4" w:space="0" w:color="auto"/>
              <w:left w:val="nil"/>
              <w:bottom w:val="single" w:sz="4" w:space="0" w:color="auto"/>
              <w:right w:val="single" w:sz="4" w:space="0" w:color="auto"/>
            </w:tcBorders>
            <w:shd w:val="clear" w:color="auto" w:fill="auto"/>
            <w:vAlign w:val="bottom"/>
            <w:hideMark/>
          </w:tcPr>
          <w:p w14:paraId="19EA6800"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Biochar 2 (50%)</w:t>
            </w:r>
          </w:p>
        </w:tc>
        <w:tc>
          <w:tcPr>
            <w:tcW w:w="1566" w:type="dxa"/>
            <w:tcBorders>
              <w:top w:val="single" w:sz="4" w:space="0" w:color="auto"/>
              <w:left w:val="nil"/>
              <w:bottom w:val="single" w:sz="4" w:space="0" w:color="auto"/>
              <w:right w:val="single" w:sz="4" w:space="0" w:color="auto"/>
            </w:tcBorders>
            <w:shd w:val="clear" w:color="auto" w:fill="auto"/>
            <w:vAlign w:val="bottom"/>
            <w:hideMark/>
          </w:tcPr>
          <w:p w14:paraId="50A48ECF"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Biochar 2 (75%)</w:t>
            </w:r>
          </w:p>
        </w:tc>
      </w:tr>
      <w:tr w:rsidR="00C220B2" w:rsidRPr="00C220B2" w14:paraId="73C175FF" w14:textId="77777777" w:rsidTr="00382CE9">
        <w:trPr>
          <w:trHeight w:val="527"/>
        </w:trPr>
        <w:tc>
          <w:tcPr>
            <w:tcW w:w="2705" w:type="dxa"/>
            <w:tcBorders>
              <w:top w:val="nil"/>
              <w:left w:val="single" w:sz="4" w:space="0" w:color="auto"/>
              <w:bottom w:val="single" w:sz="4" w:space="0" w:color="auto"/>
              <w:right w:val="single" w:sz="4" w:space="0" w:color="auto"/>
            </w:tcBorders>
            <w:shd w:val="clear" w:color="auto" w:fill="auto"/>
            <w:vAlign w:val="bottom"/>
            <w:hideMark/>
          </w:tcPr>
          <w:p w14:paraId="3D2B29DE"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Max Sintering Temperature (</w:t>
            </w:r>
            <w:proofErr w:type="spellStart"/>
            <w:r w:rsidRPr="00C220B2">
              <w:rPr>
                <w:rFonts w:ascii="Calibri" w:eastAsia="Times New Roman" w:hAnsi="Calibri" w:cs="Calibri"/>
                <w:color w:val="000000"/>
                <w:vertAlign w:val="superscript"/>
                <w:lang w:eastAsia="en-GB"/>
              </w:rPr>
              <w:t>o</w:t>
            </w:r>
            <w:r w:rsidRPr="00C220B2">
              <w:rPr>
                <w:rFonts w:ascii="Calibri" w:eastAsia="Times New Roman" w:hAnsi="Calibri" w:cs="Calibri"/>
                <w:color w:val="000000"/>
                <w:lang w:eastAsia="en-GB"/>
              </w:rPr>
              <w:t>C</w:t>
            </w:r>
            <w:proofErr w:type="spellEnd"/>
            <w:r w:rsidRPr="00C220B2">
              <w:rPr>
                <w:rFonts w:ascii="Calibri" w:eastAsia="Times New Roman" w:hAnsi="Calibri" w:cs="Calibri"/>
                <w:color w:val="000000"/>
                <w:lang w:eastAsia="en-GB"/>
              </w:rPr>
              <w:t>)</w:t>
            </w:r>
          </w:p>
        </w:tc>
        <w:tc>
          <w:tcPr>
            <w:tcW w:w="1566" w:type="dxa"/>
            <w:tcBorders>
              <w:top w:val="nil"/>
              <w:left w:val="nil"/>
              <w:bottom w:val="single" w:sz="4" w:space="0" w:color="auto"/>
              <w:right w:val="single" w:sz="4" w:space="0" w:color="auto"/>
            </w:tcBorders>
            <w:shd w:val="clear" w:color="auto" w:fill="auto"/>
            <w:noWrap/>
            <w:vAlign w:val="center"/>
            <w:hideMark/>
          </w:tcPr>
          <w:p w14:paraId="3BF1F3E7"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1313.05</w:t>
            </w:r>
          </w:p>
        </w:tc>
        <w:tc>
          <w:tcPr>
            <w:tcW w:w="1403" w:type="dxa"/>
            <w:tcBorders>
              <w:top w:val="nil"/>
              <w:left w:val="nil"/>
              <w:bottom w:val="single" w:sz="4" w:space="0" w:color="auto"/>
              <w:right w:val="single" w:sz="4" w:space="0" w:color="auto"/>
            </w:tcBorders>
            <w:shd w:val="clear" w:color="auto" w:fill="auto"/>
            <w:noWrap/>
            <w:vAlign w:val="center"/>
            <w:hideMark/>
          </w:tcPr>
          <w:p w14:paraId="4C26BEFB"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1254.13</w:t>
            </w:r>
          </w:p>
        </w:tc>
        <w:tc>
          <w:tcPr>
            <w:tcW w:w="1607" w:type="dxa"/>
            <w:tcBorders>
              <w:top w:val="nil"/>
              <w:left w:val="nil"/>
              <w:bottom w:val="single" w:sz="4" w:space="0" w:color="auto"/>
              <w:right w:val="single" w:sz="4" w:space="0" w:color="auto"/>
            </w:tcBorders>
            <w:shd w:val="clear" w:color="auto" w:fill="auto"/>
            <w:noWrap/>
            <w:vAlign w:val="center"/>
            <w:hideMark/>
          </w:tcPr>
          <w:p w14:paraId="057989C4"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1198.54</w:t>
            </w:r>
          </w:p>
        </w:tc>
        <w:tc>
          <w:tcPr>
            <w:tcW w:w="1566" w:type="dxa"/>
            <w:tcBorders>
              <w:top w:val="nil"/>
              <w:left w:val="nil"/>
              <w:bottom w:val="single" w:sz="4" w:space="0" w:color="auto"/>
              <w:right w:val="single" w:sz="4" w:space="0" w:color="auto"/>
            </w:tcBorders>
            <w:shd w:val="clear" w:color="auto" w:fill="auto"/>
            <w:noWrap/>
            <w:vAlign w:val="center"/>
            <w:hideMark/>
          </w:tcPr>
          <w:p w14:paraId="22A6CADE"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1129.27</w:t>
            </w:r>
          </w:p>
        </w:tc>
      </w:tr>
      <w:tr w:rsidR="00C220B2" w:rsidRPr="00C220B2" w14:paraId="4CF7BD91" w14:textId="77777777" w:rsidTr="00382CE9">
        <w:trPr>
          <w:trHeight w:val="527"/>
        </w:trPr>
        <w:tc>
          <w:tcPr>
            <w:tcW w:w="2705" w:type="dxa"/>
            <w:tcBorders>
              <w:top w:val="nil"/>
              <w:left w:val="single" w:sz="4" w:space="0" w:color="auto"/>
              <w:bottom w:val="single" w:sz="4" w:space="0" w:color="auto"/>
              <w:right w:val="single" w:sz="4" w:space="0" w:color="auto"/>
            </w:tcBorders>
            <w:shd w:val="clear" w:color="auto" w:fill="auto"/>
            <w:vAlign w:val="bottom"/>
            <w:hideMark/>
          </w:tcPr>
          <w:p w14:paraId="5FD89F30"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Average max sintering temp (</w:t>
            </w:r>
            <w:proofErr w:type="spellStart"/>
            <w:r w:rsidRPr="00C220B2">
              <w:rPr>
                <w:rFonts w:ascii="Calibri" w:eastAsia="Times New Roman" w:hAnsi="Calibri" w:cs="Calibri"/>
                <w:color w:val="000000"/>
                <w:vertAlign w:val="superscript"/>
                <w:lang w:eastAsia="en-GB"/>
              </w:rPr>
              <w:t>o</w:t>
            </w:r>
            <w:r w:rsidRPr="00C220B2">
              <w:rPr>
                <w:rFonts w:ascii="Calibri" w:eastAsia="Times New Roman" w:hAnsi="Calibri" w:cs="Calibri"/>
                <w:color w:val="000000"/>
                <w:lang w:eastAsia="en-GB"/>
              </w:rPr>
              <w:t>C</w:t>
            </w:r>
            <w:proofErr w:type="spellEnd"/>
            <w:r w:rsidRPr="00C220B2">
              <w:rPr>
                <w:rFonts w:ascii="Calibri" w:eastAsia="Times New Roman" w:hAnsi="Calibri" w:cs="Calibri"/>
                <w:color w:val="000000"/>
                <w:lang w:eastAsia="en-GB"/>
              </w:rPr>
              <w:t>)</w:t>
            </w:r>
          </w:p>
        </w:tc>
        <w:tc>
          <w:tcPr>
            <w:tcW w:w="1566" w:type="dxa"/>
            <w:tcBorders>
              <w:top w:val="nil"/>
              <w:left w:val="nil"/>
              <w:bottom w:val="single" w:sz="4" w:space="0" w:color="auto"/>
              <w:right w:val="single" w:sz="4" w:space="0" w:color="auto"/>
            </w:tcBorders>
            <w:shd w:val="clear" w:color="auto" w:fill="auto"/>
            <w:noWrap/>
            <w:vAlign w:val="center"/>
            <w:hideMark/>
          </w:tcPr>
          <w:p w14:paraId="145FCF7A"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1152.76</w:t>
            </w:r>
          </w:p>
        </w:tc>
        <w:tc>
          <w:tcPr>
            <w:tcW w:w="1403" w:type="dxa"/>
            <w:tcBorders>
              <w:top w:val="nil"/>
              <w:left w:val="nil"/>
              <w:bottom w:val="single" w:sz="4" w:space="0" w:color="auto"/>
              <w:right w:val="single" w:sz="4" w:space="0" w:color="auto"/>
            </w:tcBorders>
            <w:shd w:val="clear" w:color="auto" w:fill="auto"/>
            <w:noWrap/>
            <w:vAlign w:val="center"/>
            <w:hideMark/>
          </w:tcPr>
          <w:p w14:paraId="3AA74965"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1206.26</w:t>
            </w:r>
          </w:p>
        </w:tc>
        <w:tc>
          <w:tcPr>
            <w:tcW w:w="1607" w:type="dxa"/>
            <w:tcBorders>
              <w:top w:val="nil"/>
              <w:left w:val="nil"/>
              <w:bottom w:val="single" w:sz="4" w:space="0" w:color="auto"/>
              <w:right w:val="single" w:sz="4" w:space="0" w:color="auto"/>
            </w:tcBorders>
            <w:shd w:val="clear" w:color="auto" w:fill="auto"/>
            <w:noWrap/>
            <w:vAlign w:val="center"/>
            <w:hideMark/>
          </w:tcPr>
          <w:p w14:paraId="3EB78BDF"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1087.38</w:t>
            </w:r>
          </w:p>
        </w:tc>
        <w:tc>
          <w:tcPr>
            <w:tcW w:w="1566" w:type="dxa"/>
            <w:tcBorders>
              <w:top w:val="nil"/>
              <w:left w:val="nil"/>
              <w:bottom w:val="single" w:sz="4" w:space="0" w:color="auto"/>
              <w:right w:val="single" w:sz="4" w:space="0" w:color="auto"/>
            </w:tcBorders>
            <w:shd w:val="clear" w:color="auto" w:fill="auto"/>
            <w:noWrap/>
            <w:vAlign w:val="center"/>
            <w:hideMark/>
          </w:tcPr>
          <w:p w14:paraId="227DBE3C"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1041.73</w:t>
            </w:r>
          </w:p>
        </w:tc>
      </w:tr>
      <w:tr w:rsidR="00C220B2" w:rsidRPr="00C220B2" w14:paraId="5719DB0E" w14:textId="77777777" w:rsidTr="00382CE9">
        <w:trPr>
          <w:trHeight w:val="527"/>
        </w:trPr>
        <w:tc>
          <w:tcPr>
            <w:tcW w:w="2705" w:type="dxa"/>
            <w:tcBorders>
              <w:top w:val="nil"/>
              <w:left w:val="single" w:sz="4" w:space="0" w:color="auto"/>
              <w:bottom w:val="single" w:sz="4" w:space="0" w:color="auto"/>
              <w:right w:val="single" w:sz="4" w:space="0" w:color="auto"/>
            </w:tcBorders>
            <w:shd w:val="clear" w:color="auto" w:fill="auto"/>
            <w:vAlign w:val="bottom"/>
            <w:hideMark/>
          </w:tcPr>
          <w:p w14:paraId="57303F3D"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Average time above 1000</w:t>
            </w:r>
            <w:r w:rsidRPr="00C220B2">
              <w:rPr>
                <w:rFonts w:ascii="Calibri" w:eastAsia="Times New Roman" w:hAnsi="Calibri" w:cs="Calibri"/>
                <w:color w:val="000000"/>
                <w:vertAlign w:val="superscript"/>
                <w:lang w:eastAsia="en-GB"/>
              </w:rPr>
              <w:t>0</w:t>
            </w:r>
            <w:r w:rsidRPr="00C220B2">
              <w:rPr>
                <w:rFonts w:ascii="Calibri" w:eastAsia="Times New Roman" w:hAnsi="Calibri" w:cs="Calibri"/>
                <w:color w:val="000000"/>
                <w:lang w:eastAsia="en-GB"/>
              </w:rPr>
              <w:t>C (</w:t>
            </w:r>
            <w:proofErr w:type="spellStart"/>
            <w:r w:rsidRPr="00C220B2">
              <w:rPr>
                <w:rFonts w:ascii="Calibri" w:eastAsia="Times New Roman" w:hAnsi="Calibri" w:cs="Calibri"/>
                <w:color w:val="000000"/>
                <w:lang w:eastAsia="en-GB"/>
              </w:rPr>
              <w:t>mm:s</w:t>
            </w:r>
            <w:proofErr w:type="spellEnd"/>
            <w:r w:rsidRPr="00C220B2">
              <w:rPr>
                <w:rFonts w:ascii="Calibri" w:eastAsia="Times New Roman" w:hAnsi="Calibri" w:cs="Calibri"/>
                <w:color w:val="000000"/>
                <w:lang w:eastAsia="en-GB"/>
              </w:rPr>
              <w:t>)</w:t>
            </w:r>
          </w:p>
        </w:tc>
        <w:tc>
          <w:tcPr>
            <w:tcW w:w="1566" w:type="dxa"/>
            <w:tcBorders>
              <w:top w:val="nil"/>
              <w:left w:val="nil"/>
              <w:bottom w:val="single" w:sz="4" w:space="0" w:color="auto"/>
              <w:right w:val="single" w:sz="4" w:space="0" w:color="auto"/>
            </w:tcBorders>
            <w:shd w:val="clear" w:color="auto" w:fill="auto"/>
            <w:noWrap/>
            <w:vAlign w:val="center"/>
            <w:hideMark/>
          </w:tcPr>
          <w:p w14:paraId="70F6DFA6"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02:20:00</w:t>
            </w:r>
          </w:p>
        </w:tc>
        <w:tc>
          <w:tcPr>
            <w:tcW w:w="1403" w:type="dxa"/>
            <w:tcBorders>
              <w:top w:val="nil"/>
              <w:left w:val="nil"/>
              <w:bottom w:val="single" w:sz="4" w:space="0" w:color="auto"/>
              <w:right w:val="single" w:sz="4" w:space="0" w:color="auto"/>
            </w:tcBorders>
            <w:shd w:val="clear" w:color="auto" w:fill="auto"/>
            <w:noWrap/>
            <w:vAlign w:val="center"/>
            <w:hideMark/>
          </w:tcPr>
          <w:p w14:paraId="49EED100"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02:54:00</w:t>
            </w:r>
          </w:p>
        </w:tc>
        <w:tc>
          <w:tcPr>
            <w:tcW w:w="1607" w:type="dxa"/>
            <w:tcBorders>
              <w:top w:val="nil"/>
              <w:left w:val="nil"/>
              <w:bottom w:val="single" w:sz="4" w:space="0" w:color="auto"/>
              <w:right w:val="single" w:sz="4" w:space="0" w:color="auto"/>
            </w:tcBorders>
            <w:shd w:val="clear" w:color="auto" w:fill="auto"/>
            <w:noWrap/>
            <w:vAlign w:val="center"/>
            <w:hideMark/>
          </w:tcPr>
          <w:p w14:paraId="69D4C3D7"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01:58:00</w:t>
            </w:r>
          </w:p>
        </w:tc>
        <w:tc>
          <w:tcPr>
            <w:tcW w:w="1566" w:type="dxa"/>
            <w:tcBorders>
              <w:top w:val="nil"/>
              <w:left w:val="nil"/>
              <w:bottom w:val="single" w:sz="4" w:space="0" w:color="auto"/>
              <w:right w:val="single" w:sz="4" w:space="0" w:color="auto"/>
            </w:tcBorders>
            <w:shd w:val="clear" w:color="auto" w:fill="auto"/>
            <w:noWrap/>
            <w:vAlign w:val="center"/>
            <w:hideMark/>
          </w:tcPr>
          <w:p w14:paraId="2269FCF4"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01:12:00</w:t>
            </w:r>
          </w:p>
        </w:tc>
      </w:tr>
      <w:tr w:rsidR="00C220B2" w:rsidRPr="00C220B2" w14:paraId="5FDC51B9" w14:textId="77777777" w:rsidTr="00382CE9">
        <w:trPr>
          <w:trHeight w:val="490"/>
        </w:trPr>
        <w:tc>
          <w:tcPr>
            <w:tcW w:w="2705" w:type="dxa"/>
            <w:tcBorders>
              <w:top w:val="nil"/>
              <w:left w:val="single" w:sz="4" w:space="0" w:color="auto"/>
              <w:bottom w:val="single" w:sz="4" w:space="0" w:color="auto"/>
              <w:right w:val="single" w:sz="4" w:space="0" w:color="auto"/>
            </w:tcBorders>
            <w:shd w:val="clear" w:color="auto" w:fill="auto"/>
            <w:vAlign w:val="bottom"/>
            <w:hideMark/>
          </w:tcPr>
          <w:p w14:paraId="15F58DB1"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Sintering Time (</w:t>
            </w:r>
            <w:proofErr w:type="spellStart"/>
            <w:r w:rsidRPr="00C220B2">
              <w:rPr>
                <w:rFonts w:ascii="Calibri" w:eastAsia="Times New Roman" w:hAnsi="Calibri" w:cs="Calibri"/>
                <w:color w:val="000000"/>
                <w:lang w:eastAsia="en-GB"/>
              </w:rPr>
              <w:t>mm:ss</w:t>
            </w:r>
            <w:proofErr w:type="spellEnd"/>
            <w:r w:rsidRPr="00C220B2">
              <w:rPr>
                <w:rFonts w:ascii="Calibri" w:eastAsia="Times New Roman" w:hAnsi="Calibri" w:cs="Calibri"/>
                <w:color w:val="000000"/>
                <w:lang w:eastAsia="en-GB"/>
              </w:rPr>
              <w:t>)</w:t>
            </w:r>
          </w:p>
        </w:tc>
        <w:tc>
          <w:tcPr>
            <w:tcW w:w="1566" w:type="dxa"/>
            <w:tcBorders>
              <w:top w:val="nil"/>
              <w:left w:val="nil"/>
              <w:bottom w:val="single" w:sz="4" w:space="0" w:color="auto"/>
              <w:right w:val="single" w:sz="4" w:space="0" w:color="auto"/>
            </w:tcBorders>
            <w:shd w:val="clear" w:color="auto" w:fill="auto"/>
            <w:vAlign w:val="center"/>
            <w:hideMark/>
          </w:tcPr>
          <w:p w14:paraId="08497E78"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00:27:25</w:t>
            </w:r>
          </w:p>
        </w:tc>
        <w:tc>
          <w:tcPr>
            <w:tcW w:w="1403" w:type="dxa"/>
            <w:tcBorders>
              <w:top w:val="nil"/>
              <w:left w:val="nil"/>
              <w:bottom w:val="single" w:sz="4" w:space="0" w:color="auto"/>
              <w:right w:val="single" w:sz="4" w:space="0" w:color="auto"/>
            </w:tcBorders>
            <w:shd w:val="clear" w:color="auto" w:fill="auto"/>
            <w:vAlign w:val="center"/>
            <w:hideMark/>
          </w:tcPr>
          <w:p w14:paraId="068579CB"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00:28:45</w:t>
            </w:r>
          </w:p>
        </w:tc>
        <w:tc>
          <w:tcPr>
            <w:tcW w:w="1607" w:type="dxa"/>
            <w:tcBorders>
              <w:top w:val="nil"/>
              <w:left w:val="nil"/>
              <w:bottom w:val="single" w:sz="4" w:space="0" w:color="auto"/>
              <w:right w:val="single" w:sz="4" w:space="0" w:color="auto"/>
            </w:tcBorders>
            <w:shd w:val="clear" w:color="auto" w:fill="auto"/>
            <w:vAlign w:val="center"/>
            <w:hideMark/>
          </w:tcPr>
          <w:p w14:paraId="499E1D10"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00:28:55</w:t>
            </w:r>
          </w:p>
        </w:tc>
        <w:tc>
          <w:tcPr>
            <w:tcW w:w="1566" w:type="dxa"/>
            <w:tcBorders>
              <w:top w:val="nil"/>
              <w:left w:val="nil"/>
              <w:bottom w:val="single" w:sz="4" w:space="0" w:color="auto"/>
              <w:right w:val="single" w:sz="4" w:space="0" w:color="auto"/>
            </w:tcBorders>
            <w:shd w:val="clear" w:color="auto" w:fill="auto"/>
            <w:vAlign w:val="center"/>
            <w:hideMark/>
          </w:tcPr>
          <w:p w14:paraId="51CDD11E"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00:31:25</w:t>
            </w:r>
          </w:p>
        </w:tc>
      </w:tr>
      <w:tr w:rsidR="00C220B2" w:rsidRPr="00C220B2" w14:paraId="45288091" w14:textId="77777777" w:rsidTr="00382CE9">
        <w:trPr>
          <w:trHeight w:val="490"/>
        </w:trPr>
        <w:tc>
          <w:tcPr>
            <w:tcW w:w="2705" w:type="dxa"/>
            <w:tcBorders>
              <w:top w:val="nil"/>
              <w:left w:val="single" w:sz="4" w:space="0" w:color="auto"/>
              <w:bottom w:val="single" w:sz="4" w:space="0" w:color="auto"/>
              <w:right w:val="single" w:sz="4" w:space="0" w:color="auto"/>
            </w:tcBorders>
            <w:shd w:val="clear" w:color="auto" w:fill="auto"/>
            <w:vAlign w:val="bottom"/>
            <w:hideMark/>
          </w:tcPr>
          <w:p w14:paraId="223820A4"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Flame Front Speed Average (mm/s)</w:t>
            </w:r>
          </w:p>
        </w:tc>
        <w:tc>
          <w:tcPr>
            <w:tcW w:w="1566" w:type="dxa"/>
            <w:tcBorders>
              <w:top w:val="nil"/>
              <w:left w:val="nil"/>
              <w:bottom w:val="single" w:sz="4" w:space="0" w:color="auto"/>
              <w:right w:val="single" w:sz="4" w:space="0" w:color="auto"/>
            </w:tcBorders>
            <w:shd w:val="clear" w:color="auto" w:fill="auto"/>
            <w:noWrap/>
            <w:vAlign w:val="center"/>
            <w:hideMark/>
          </w:tcPr>
          <w:p w14:paraId="5E4905C6"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0.33</w:t>
            </w:r>
          </w:p>
        </w:tc>
        <w:tc>
          <w:tcPr>
            <w:tcW w:w="1403" w:type="dxa"/>
            <w:tcBorders>
              <w:top w:val="nil"/>
              <w:left w:val="nil"/>
              <w:bottom w:val="single" w:sz="4" w:space="0" w:color="auto"/>
              <w:right w:val="single" w:sz="4" w:space="0" w:color="auto"/>
            </w:tcBorders>
            <w:shd w:val="clear" w:color="auto" w:fill="auto"/>
            <w:noWrap/>
            <w:vAlign w:val="center"/>
            <w:hideMark/>
          </w:tcPr>
          <w:p w14:paraId="326F60BC"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0.26</w:t>
            </w:r>
          </w:p>
        </w:tc>
        <w:tc>
          <w:tcPr>
            <w:tcW w:w="1607" w:type="dxa"/>
            <w:tcBorders>
              <w:top w:val="nil"/>
              <w:left w:val="nil"/>
              <w:bottom w:val="single" w:sz="4" w:space="0" w:color="auto"/>
              <w:right w:val="single" w:sz="4" w:space="0" w:color="auto"/>
            </w:tcBorders>
            <w:shd w:val="clear" w:color="auto" w:fill="auto"/>
            <w:noWrap/>
            <w:vAlign w:val="center"/>
            <w:hideMark/>
          </w:tcPr>
          <w:p w14:paraId="75DEE409"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0.34</w:t>
            </w:r>
          </w:p>
        </w:tc>
        <w:tc>
          <w:tcPr>
            <w:tcW w:w="1566" w:type="dxa"/>
            <w:tcBorders>
              <w:top w:val="nil"/>
              <w:left w:val="nil"/>
              <w:bottom w:val="single" w:sz="4" w:space="0" w:color="auto"/>
              <w:right w:val="single" w:sz="4" w:space="0" w:color="auto"/>
            </w:tcBorders>
            <w:shd w:val="clear" w:color="auto" w:fill="auto"/>
            <w:noWrap/>
            <w:vAlign w:val="center"/>
            <w:hideMark/>
          </w:tcPr>
          <w:p w14:paraId="02DF2203"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0.23</w:t>
            </w:r>
          </w:p>
        </w:tc>
      </w:tr>
      <w:tr w:rsidR="00C220B2" w:rsidRPr="00C220B2" w14:paraId="1F74ACB1" w14:textId="77777777" w:rsidTr="00382CE9">
        <w:trPr>
          <w:trHeight w:val="490"/>
        </w:trPr>
        <w:tc>
          <w:tcPr>
            <w:tcW w:w="2705" w:type="dxa"/>
            <w:tcBorders>
              <w:top w:val="nil"/>
              <w:left w:val="single" w:sz="4" w:space="0" w:color="auto"/>
              <w:bottom w:val="single" w:sz="4" w:space="0" w:color="auto"/>
              <w:right w:val="single" w:sz="4" w:space="0" w:color="auto"/>
            </w:tcBorders>
            <w:shd w:val="clear" w:color="auto" w:fill="auto"/>
            <w:vAlign w:val="bottom"/>
            <w:hideMark/>
          </w:tcPr>
          <w:p w14:paraId="3DD90C5A" w14:textId="77777777" w:rsidR="00C220B2" w:rsidRPr="00C220B2" w:rsidRDefault="00C220B2" w:rsidP="00C220B2">
            <w:pPr>
              <w:spacing w:after="0" w:line="240" w:lineRule="auto"/>
              <w:rPr>
                <w:rFonts w:ascii="Calibri" w:eastAsia="Times New Roman" w:hAnsi="Calibri" w:cs="Calibri"/>
                <w:color w:val="000000"/>
                <w:lang w:eastAsia="en-GB"/>
              </w:rPr>
            </w:pPr>
            <w:r w:rsidRPr="00C220B2">
              <w:rPr>
                <w:rFonts w:ascii="Calibri" w:eastAsia="Times New Roman" w:hAnsi="Calibri" w:cs="Calibri"/>
                <w:color w:val="000000"/>
                <w:lang w:eastAsia="en-GB"/>
              </w:rPr>
              <w:t>Fraction of sinter &gt;5mm (%)</w:t>
            </w:r>
          </w:p>
        </w:tc>
        <w:tc>
          <w:tcPr>
            <w:tcW w:w="1566" w:type="dxa"/>
            <w:tcBorders>
              <w:top w:val="nil"/>
              <w:left w:val="nil"/>
              <w:bottom w:val="single" w:sz="4" w:space="0" w:color="auto"/>
              <w:right w:val="single" w:sz="4" w:space="0" w:color="auto"/>
            </w:tcBorders>
            <w:shd w:val="clear" w:color="auto" w:fill="auto"/>
            <w:noWrap/>
            <w:vAlign w:val="center"/>
            <w:hideMark/>
          </w:tcPr>
          <w:p w14:paraId="4ABBA2B9"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51.19</w:t>
            </w:r>
          </w:p>
        </w:tc>
        <w:tc>
          <w:tcPr>
            <w:tcW w:w="1403" w:type="dxa"/>
            <w:tcBorders>
              <w:top w:val="nil"/>
              <w:left w:val="nil"/>
              <w:bottom w:val="single" w:sz="4" w:space="0" w:color="auto"/>
              <w:right w:val="single" w:sz="4" w:space="0" w:color="auto"/>
            </w:tcBorders>
            <w:shd w:val="clear" w:color="auto" w:fill="auto"/>
            <w:noWrap/>
            <w:vAlign w:val="center"/>
            <w:hideMark/>
          </w:tcPr>
          <w:p w14:paraId="1B5E7EBB"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54.41</w:t>
            </w:r>
          </w:p>
        </w:tc>
        <w:tc>
          <w:tcPr>
            <w:tcW w:w="1607" w:type="dxa"/>
            <w:tcBorders>
              <w:top w:val="nil"/>
              <w:left w:val="nil"/>
              <w:bottom w:val="single" w:sz="4" w:space="0" w:color="auto"/>
              <w:right w:val="single" w:sz="4" w:space="0" w:color="auto"/>
            </w:tcBorders>
            <w:shd w:val="clear" w:color="auto" w:fill="auto"/>
            <w:noWrap/>
            <w:vAlign w:val="center"/>
            <w:hideMark/>
          </w:tcPr>
          <w:p w14:paraId="13309883"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45.43</w:t>
            </w:r>
          </w:p>
        </w:tc>
        <w:tc>
          <w:tcPr>
            <w:tcW w:w="1566" w:type="dxa"/>
            <w:tcBorders>
              <w:top w:val="nil"/>
              <w:left w:val="nil"/>
              <w:bottom w:val="single" w:sz="4" w:space="0" w:color="auto"/>
              <w:right w:val="single" w:sz="4" w:space="0" w:color="auto"/>
            </w:tcBorders>
            <w:shd w:val="clear" w:color="auto" w:fill="auto"/>
            <w:noWrap/>
            <w:vAlign w:val="center"/>
            <w:hideMark/>
          </w:tcPr>
          <w:p w14:paraId="4A57A57E" w14:textId="77777777" w:rsidR="00C220B2" w:rsidRPr="00C220B2" w:rsidRDefault="00C220B2" w:rsidP="00C220B2">
            <w:pPr>
              <w:spacing w:after="0" w:line="240" w:lineRule="auto"/>
              <w:jc w:val="center"/>
              <w:rPr>
                <w:rFonts w:ascii="Calibri" w:eastAsia="Times New Roman" w:hAnsi="Calibri" w:cs="Calibri"/>
                <w:color w:val="000000"/>
                <w:lang w:eastAsia="en-GB"/>
              </w:rPr>
            </w:pPr>
            <w:r w:rsidRPr="00C220B2">
              <w:rPr>
                <w:rFonts w:ascii="Calibri" w:eastAsia="Times New Roman" w:hAnsi="Calibri" w:cs="Calibri"/>
                <w:color w:val="000000"/>
                <w:lang w:eastAsia="en-GB"/>
              </w:rPr>
              <w:t>25.56</w:t>
            </w:r>
          </w:p>
        </w:tc>
      </w:tr>
    </w:tbl>
    <w:p w14:paraId="0CB84BE7" w14:textId="77777777" w:rsidR="00C57B0F" w:rsidRDefault="00C57B0F" w:rsidP="00390F02"/>
    <w:p w14:paraId="6BFEA04C" w14:textId="386E34D5" w:rsidR="00C57B0F" w:rsidRDefault="00EF5B75" w:rsidP="00390F02">
      <w:r w:rsidRPr="00EF5B75">
        <w:rPr>
          <w:noProof/>
        </w:rPr>
        <w:lastRenderedPageBreak/>
        <w:drawing>
          <wp:inline distT="0" distB="0" distL="0" distR="0" wp14:anchorId="76EDB068" wp14:editId="334E949F">
            <wp:extent cx="5731510" cy="3238500"/>
            <wp:effectExtent l="0" t="0" r="2540" b="0"/>
            <wp:docPr id="159" name="Picture 15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Chart&#10;&#10;Description automatically generated"/>
                    <pic:cNvPicPr/>
                  </pic:nvPicPr>
                  <pic:blipFill>
                    <a:blip r:embed="rId89"/>
                    <a:stretch>
                      <a:fillRect/>
                    </a:stretch>
                  </pic:blipFill>
                  <pic:spPr>
                    <a:xfrm>
                      <a:off x="0" y="0"/>
                      <a:ext cx="5731510" cy="3238500"/>
                    </a:xfrm>
                    <a:prstGeom prst="rect">
                      <a:avLst/>
                    </a:prstGeom>
                  </pic:spPr>
                </pic:pic>
              </a:graphicData>
            </a:graphic>
          </wp:inline>
        </w:drawing>
      </w:r>
    </w:p>
    <w:p w14:paraId="50BFF43C" w14:textId="3A7CE421" w:rsidR="00364531" w:rsidRDefault="00B52870" w:rsidP="00B52870">
      <w:pPr>
        <w:pStyle w:val="Caption"/>
      </w:pPr>
      <w:bookmarkStart w:id="98" w:name="_Toc127110939"/>
      <w:r>
        <w:t xml:space="preserve">Figure </w:t>
      </w:r>
      <w:fldSimple w:instr=" SEQ Figure \* ARABIC ">
        <w:r w:rsidR="00A0212F">
          <w:rPr>
            <w:noProof/>
          </w:rPr>
          <w:t>45</w:t>
        </w:r>
      </w:fldSimple>
      <w:r w:rsidR="002E165E">
        <w:t xml:space="preserve"> Cold and hot permeability graphs – Biochar 2</w:t>
      </w:r>
      <w:bookmarkEnd w:id="98"/>
    </w:p>
    <w:p w14:paraId="0B85F73B" w14:textId="3DB47816" w:rsidR="002F0C0B" w:rsidRPr="002F0C0B" w:rsidRDefault="002F0C0B" w:rsidP="00BC7D5B">
      <w:pPr>
        <w:spacing w:line="360" w:lineRule="auto"/>
        <w:jc w:val="both"/>
      </w:pPr>
      <w:r>
        <w:t>The permeability</w:t>
      </w:r>
      <w:r w:rsidR="004879BF">
        <w:t xml:space="preserve"> results shown in the</w:t>
      </w:r>
      <w:r>
        <w:t xml:space="preserve"> figure 45</w:t>
      </w:r>
      <w:r w:rsidR="004879BF">
        <w:t xml:space="preserve"> above</w:t>
      </w:r>
      <w:r>
        <w:t xml:space="preserve"> </w:t>
      </w:r>
      <w:r w:rsidR="008C3EC4">
        <w:t xml:space="preserve">and table 18 below </w:t>
      </w:r>
      <w:r>
        <w:t>show that the base</w:t>
      </w:r>
      <w:r w:rsidR="00727017">
        <w:t xml:space="preserve"> </w:t>
      </w:r>
      <w:r>
        <w:t xml:space="preserve">blend has the highest </w:t>
      </w:r>
      <w:r w:rsidR="008A0CA5">
        <w:t>hot</w:t>
      </w:r>
      <w:r>
        <w:t xml:space="preserve"> permeability </w:t>
      </w:r>
      <w:r w:rsidR="00727017">
        <w:t>follow</w:t>
      </w:r>
      <w:r w:rsidR="008C3EC4">
        <w:t>ed linearly by the 25%, 50%, and the 75% blends</w:t>
      </w:r>
      <w:r w:rsidR="004879BF">
        <w:t>.</w:t>
      </w:r>
      <w:r w:rsidR="006F17CF">
        <w:t xml:space="preserve"> The base blend also has the highest cold </w:t>
      </w:r>
      <w:r w:rsidR="003E60BC">
        <w:t>permeability,</w:t>
      </w:r>
      <w:r w:rsidR="006F17CF">
        <w:t xml:space="preserve"> but the </w:t>
      </w:r>
      <w:r w:rsidR="00203C7F">
        <w:t>closest result</w:t>
      </w:r>
      <w:r w:rsidR="006F17CF">
        <w:t xml:space="preserve"> is the </w:t>
      </w:r>
      <w:r w:rsidR="0094592B">
        <w:t xml:space="preserve">50% blend, </w:t>
      </w:r>
      <w:r w:rsidR="00865CA7">
        <w:t>the</w:t>
      </w:r>
      <w:r w:rsidR="0094592B">
        <w:t xml:space="preserve"> 25% and 75% blends</w:t>
      </w:r>
      <w:r w:rsidR="00865CA7">
        <w:t xml:space="preserve"> then </w:t>
      </w:r>
      <w:r w:rsidR="00746BFB">
        <w:t>follow</w:t>
      </w:r>
      <w:r w:rsidR="00865CA7">
        <w:t xml:space="preserve"> in order</w:t>
      </w:r>
      <w:r w:rsidR="0094592B">
        <w:t>.</w:t>
      </w:r>
      <w:r w:rsidR="005456E9">
        <w:t xml:space="preserve"> For the finished sinter </w:t>
      </w:r>
      <w:r w:rsidR="0085471C">
        <w:t>permeability,</w:t>
      </w:r>
      <w:r w:rsidR="005456E9">
        <w:t xml:space="preserve"> the 25% blend has the highest </w:t>
      </w:r>
      <w:r w:rsidR="00A45500">
        <w:t xml:space="preserve">result, with the base blend close behind. The 50% blend and 75% </w:t>
      </w:r>
      <w:r w:rsidR="0085471C">
        <w:t>follow with lower results.</w:t>
      </w:r>
    </w:p>
    <w:p w14:paraId="5C4E7190" w14:textId="73545433" w:rsidR="00364531" w:rsidRDefault="002E165E" w:rsidP="002E165E">
      <w:pPr>
        <w:pStyle w:val="Caption"/>
        <w:jc w:val="center"/>
      </w:pPr>
      <w:r>
        <w:t xml:space="preserve">Table </w:t>
      </w:r>
      <w:fldSimple w:instr=" SEQ Table \* ARABIC ">
        <w:r w:rsidR="00DA2639">
          <w:rPr>
            <w:noProof/>
          </w:rPr>
          <w:t>18</w:t>
        </w:r>
      </w:fldSimple>
      <w:r>
        <w:t xml:space="preserve"> Sintering air flows– Biochar </w:t>
      </w:r>
      <w:r w:rsidR="00190156">
        <w:t>2</w:t>
      </w:r>
    </w:p>
    <w:tbl>
      <w:tblPr>
        <w:tblW w:w="9209" w:type="dxa"/>
        <w:tblLook w:val="04A0" w:firstRow="1" w:lastRow="0" w:firstColumn="1" w:lastColumn="0" w:noHBand="0" w:noVBand="1"/>
      </w:tblPr>
      <w:tblGrid>
        <w:gridCol w:w="2920"/>
        <w:gridCol w:w="1690"/>
        <w:gridCol w:w="1515"/>
        <w:gridCol w:w="1525"/>
        <w:gridCol w:w="1559"/>
      </w:tblGrid>
      <w:tr w:rsidR="005242DD" w:rsidRPr="005242DD" w14:paraId="6AB4C05C" w14:textId="77777777" w:rsidTr="00E37B5B">
        <w:trPr>
          <w:trHeight w:val="424"/>
        </w:trPr>
        <w:tc>
          <w:tcPr>
            <w:tcW w:w="292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12E278"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Process Parameters</w:t>
            </w:r>
          </w:p>
        </w:tc>
        <w:tc>
          <w:tcPr>
            <w:tcW w:w="1690" w:type="dxa"/>
            <w:tcBorders>
              <w:top w:val="single" w:sz="4" w:space="0" w:color="auto"/>
              <w:left w:val="nil"/>
              <w:bottom w:val="single" w:sz="4" w:space="0" w:color="auto"/>
              <w:right w:val="single" w:sz="4" w:space="0" w:color="auto"/>
            </w:tcBorders>
            <w:shd w:val="clear" w:color="auto" w:fill="auto"/>
            <w:vAlign w:val="center"/>
            <w:hideMark/>
          </w:tcPr>
          <w:p w14:paraId="4086C4CD"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Coke breeze 100%</w:t>
            </w:r>
          </w:p>
        </w:tc>
        <w:tc>
          <w:tcPr>
            <w:tcW w:w="1515" w:type="dxa"/>
            <w:tcBorders>
              <w:top w:val="single" w:sz="4" w:space="0" w:color="auto"/>
              <w:left w:val="nil"/>
              <w:bottom w:val="single" w:sz="4" w:space="0" w:color="auto"/>
              <w:right w:val="single" w:sz="4" w:space="0" w:color="auto"/>
            </w:tcBorders>
            <w:shd w:val="clear" w:color="auto" w:fill="auto"/>
            <w:vAlign w:val="center"/>
            <w:hideMark/>
          </w:tcPr>
          <w:p w14:paraId="0D38B096"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Biochar 2 (25%)</w:t>
            </w:r>
          </w:p>
        </w:tc>
        <w:tc>
          <w:tcPr>
            <w:tcW w:w="1525" w:type="dxa"/>
            <w:tcBorders>
              <w:top w:val="single" w:sz="4" w:space="0" w:color="auto"/>
              <w:left w:val="nil"/>
              <w:bottom w:val="single" w:sz="4" w:space="0" w:color="auto"/>
              <w:right w:val="single" w:sz="4" w:space="0" w:color="auto"/>
            </w:tcBorders>
            <w:shd w:val="clear" w:color="auto" w:fill="auto"/>
            <w:vAlign w:val="center"/>
            <w:hideMark/>
          </w:tcPr>
          <w:p w14:paraId="52DB223D" w14:textId="14FD635F"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Biochar 2 (50%)</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3BBD5D65"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Biochar 2 (75%)</w:t>
            </w:r>
          </w:p>
        </w:tc>
      </w:tr>
      <w:tr w:rsidR="005242DD" w:rsidRPr="005242DD" w14:paraId="4B0EC79C" w14:textId="77777777" w:rsidTr="00E37B5B">
        <w:trPr>
          <w:trHeight w:val="608"/>
        </w:trPr>
        <w:tc>
          <w:tcPr>
            <w:tcW w:w="2920" w:type="dxa"/>
            <w:tcBorders>
              <w:top w:val="nil"/>
              <w:left w:val="single" w:sz="4" w:space="0" w:color="auto"/>
              <w:bottom w:val="single" w:sz="4" w:space="0" w:color="auto"/>
              <w:right w:val="single" w:sz="4" w:space="0" w:color="auto"/>
            </w:tcBorders>
            <w:shd w:val="clear" w:color="auto" w:fill="auto"/>
            <w:vAlign w:val="center"/>
            <w:hideMark/>
          </w:tcPr>
          <w:p w14:paraId="33446D01"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Hot Flow Average (m</w:t>
            </w:r>
            <w:r w:rsidRPr="005242DD">
              <w:rPr>
                <w:rFonts w:ascii="Calibri" w:eastAsia="Times New Roman" w:hAnsi="Calibri" w:cs="Calibri"/>
                <w:color w:val="000000"/>
                <w:vertAlign w:val="superscript"/>
                <w:lang w:eastAsia="en-GB"/>
              </w:rPr>
              <w:t>3</w:t>
            </w:r>
            <w:r w:rsidRPr="005242DD">
              <w:rPr>
                <w:rFonts w:ascii="Calibri" w:eastAsia="Times New Roman" w:hAnsi="Calibri" w:cs="Calibri"/>
                <w:color w:val="000000"/>
                <w:lang w:eastAsia="en-GB"/>
              </w:rPr>
              <w:t>/hr)</w:t>
            </w:r>
          </w:p>
        </w:tc>
        <w:tc>
          <w:tcPr>
            <w:tcW w:w="1690" w:type="dxa"/>
            <w:tcBorders>
              <w:top w:val="nil"/>
              <w:left w:val="nil"/>
              <w:bottom w:val="single" w:sz="4" w:space="0" w:color="auto"/>
              <w:right w:val="single" w:sz="4" w:space="0" w:color="auto"/>
            </w:tcBorders>
            <w:shd w:val="clear" w:color="auto" w:fill="auto"/>
            <w:vAlign w:val="center"/>
            <w:hideMark/>
          </w:tcPr>
          <w:p w14:paraId="63168233"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5.76</w:t>
            </w:r>
          </w:p>
        </w:tc>
        <w:tc>
          <w:tcPr>
            <w:tcW w:w="1515" w:type="dxa"/>
            <w:tcBorders>
              <w:top w:val="nil"/>
              <w:left w:val="nil"/>
              <w:bottom w:val="single" w:sz="4" w:space="0" w:color="auto"/>
              <w:right w:val="single" w:sz="4" w:space="0" w:color="auto"/>
            </w:tcBorders>
            <w:shd w:val="clear" w:color="auto" w:fill="auto"/>
            <w:vAlign w:val="center"/>
            <w:hideMark/>
          </w:tcPr>
          <w:p w14:paraId="718DB943"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5.03</w:t>
            </w:r>
          </w:p>
        </w:tc>
        <w:tc>
          <w:tcPr>
            <w:tcW w:w="1525" w:type="dxa"/>
            <w:tcBorders>
              <w:top w:val="nil"/>
              <w:left w:val="nil"/>
              <w:bottom w:val="single" w:sz="4" w:space="0" w:color="auto"/>
              <w:right w:val="single" w:sz="4" w:space="0" w:color="auto"/>
            </w:tcBorders>
            <w:shd w:val="clear" w:color="auto" w:fill="auto"/>
            <w:vAlign w:val="center"/>
            <w:hideMark/>
          </w:tcPr>
          <w:p w14:paraId="65093E44"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4.22</w:t>
            </w:r>
          </w:p>
        </w:tc>
        <w:tc>
          <w:tcPr>
            <w:tcW w:w="1559" w:type="dxa"/>
            <w:tcBorders>
              <w:top w:val="nil"/>
              <w:left w:val="nil"/>
              <w:bottom w:val="single" w:sz="4" w:space="0" w:color="auto"/>
              <w:right w:val="single" w:sz="4" w:space="0" w:color="auto"/>
            </w:tcBorders>
            <w:shd w:val="clear" w:color="auto" w:fill="auto"/>
            <w:vAlign w:val="center"/>
            <w:hideMark/>
          </w:tcPr>
          <w:p w14:paraId="2EA6AB85"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3.98</w:t>
            </w:r>
          </w:p>
        </w:tc>
      </w:tr>
      <w:tr w:rsidR="005242DD" w:rsidRPr="005242DD" w14:paraId="2AC5D9DE" w14:textId="77777777" w:rsidTr="00E37B5B">
        <w:trPr>
          <w:trHeight w:val="608"/>
        </w:trPr>
        <w:tc>
          <w:tcPr>
            <w:tcW w:w="2920" w:type="dxa"/>
            <w:tcBorders>
              <w:top w:val="nil"/>
              <w:left w:val="single" w:sz="4" w:space="0" w:color="auto"/>
              <w:bottom w:val="single" w:sz="4" w:space="0" w:color="auto"/>
              <w:right w:val="single" w:sz="4" w:space="0" w:color="auto"/>
            </w:tcBorders>
            <w:shd w:val="clear" w:color="auto" w:fill="auto"/>
            <w:vAlign w:val="center"/>
            <w:hideMark/>
          </w:tcPr>
          <w:p w14:paraId="110C91A7"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Cold Flow Average (m</w:t>
            </w:r>
            <w:r w:rsidRPr="005242DD">
              <w:rPr>
                <w:rFonts w:ascii="Calibri" w:eastAsia="Times New Roman" w:hAnsi="Calibri" w:cs="Calibri"/>
                <w:color w:val="000000"/>
                <w:vertAlign w:val="superscript"/>
                <w:lang w:eastAsia="en-GB"/>
              </w:rPr>
              <w:t>3</w:t>
            </w:r>
            <w:r w:rsidRPr="005242DD">
              <w:rPr>
                <w:rFonts w:ascii="Calibri" w:eastAsia="Times New Roman" w:hAnsi="Calibri" w:cs="Calibri"/>
                <w:color w:val="000000"/>
                <w:lang w:eastAsia="en-GB"/>
              </w:rPr>
              <w:t>/hr)</w:t>
            </w:r>
          </w:p>
        </w:tc>
        <w:tc>
          <w:tcPr>
            <w:tcW w:w="1690" w:type="dxa"/>
            <w:tcBorders>
              <w:top w:val="nil"/>
              <w:left w:val="nil"/>
              <w:bottom w:val="single" w:sz="4" w:space="0" w:color="auto"/>
              <w:right w:val="single" w:sz="4" w:space="0" w:color="auto"/>
            </w:tcBorders>
            <w:shd w:val="clear" w:color="auto" w:fill="auto"/>
            <w:vAlign w:val="center"/>
            <w:hideMark/>
          </w:tcPr>
          <w:p w14:paraId="2A3C6F50"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7.79</w:t>
            </w:r>
          </w:p>
        </w:tc>
        <w:tc>
          <w:tcPr>
            <w:tcW w:w="1515" w:type="dxa"/>
            <w:tcBorders>
              <w:top w:val="nil"/>
              <w:left w:val="nil"/>
              <w:bottom w:val="single" w:sz="4" w:space="0" w:color="auto"/>
              <w:right w:val="single" w:sz="4" w:space="0" w:color="auto"/>
            </w:tcBorders>
            <w:shd w:val="clear" w:color="auto" w:fill="auto"/>
            <w:vAlign w:val="center"/>
            <w:hideMark/>
          </w:tcPr>
          <w:p w14:paraId="6B871A04"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7.12</w:t>
            </w:r>
          </w:p>
        </w:tc>
        <w:tc>
          <w:tcPr>
            <w:tcW w:w="1525" w:type="dxa"/>
            <w:tcBorders>
              <w:top w:val="nil"/>
              <w:left w:val="nil"/>
              <w:bottom w:val="single" w:sz="4" w:space="0" w:color="auto"/>
              <w:right w:val="single" w:sz="4" w:space="0" w:color="auto"/>
            </w:tcBorders>
            <w:shd w:val="clear" w:color="auto" w:fill="auto"/>
            <w:vAlign w:val="center"/>
            <w:hideMark/>
          </w:tcPr>
          <w:p w14:paraId="38FDF002"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7.42</w:t>
            </w:r>
          </w:p>
        </w:tc>
        <w:tc>
          <w:tcPr>
            <w:tcW w:w="1559" w:type="dxa"/>
            <w:tcBorders>
              <w:top w:val="nil"/>
              <w:left w:val="nil"/>
              <w:bottom w:val="single" w:sz="4" w:space="0" w:color="auto"/>
              <w:right w:val="single" w:sz="4" w:space="0" w:color="auto"/>
            </w:tcBorders>
            <w:shd w:val="clear" w:color="auto" w:fill="auto"/>
            <w:vAlign w:val="center"/>
            <w:hideMark/>
          </w:tcPr>
          <w:p w14:paraId="00ED4D94"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6.78</w:t>
            </w:r>
          </w:p>
        </w:tc>
      </w:tr>
      <w:tr w:rsidR="005242DD" w:rsidRPr="005242DD" w14:paraId="7E0AA1E5" w14:textId="77777777" w:rsidTr="00E37B5B">
        <w:trPr>
          <w:trHeight w:val="415"/>
        </w:trPr>
        <w:tc>
          <w:tcPr>
            <w:tcW w:w="2920" w:type="dxa"/>
            <w:tcBorders>
              <w:top w:val="nil"/>
              <w:left w:val="single" w:sz="4" w:space="0" w:color="auto"/>
              <w:bottom w:val="single" w:sz="4" w:space="0" w:color="auto"/>
              <w:right w:val="single" w:sz="4" w:space="0" w:color="auto"/>
            </w:tcBorders>
            <w:shd w:val="clear" w:color="auto" w:fill="auto"/>
            <w:vAlign w:val="center"/>
            <w:hideMark/>
          </w:tcPr>
          <w:p w14:paraId="0343EED9"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Sintered Air Flow (m</w:t>
            </w:r>
            <w:r w:rsidRPr="005242DD">
              <w:rPr>
                <w:rFonts w:ascii="Calibri" w:eastAsia="Times New Roman" w:hAnsi="Calibri" w:cs="Calibri"/>
                <w:color w:val="000000"/>
                <w:vertAlign w:val="superscript"/>
                <w:lang w:eastAsia="en-GB"/>
              </w:rPr>
              <w:t>3</w:t>
            </w:r>
            <w:r w:rsidRPr="005242DD">
              <w:rPr>
                <w:rFonts w:ascii="Calibri" w:eastAsia="Times New Roman" w:hAnsi="Calibri" w:cs="Calibri"/>
                <w:color w:val="000000"/>
                <w:lang w:eastAsia="en-GB"/>
              </w:rPr>
              <w:t>/hr)</w:t>
            </w:r>
          </w:p>
        </w:tc>
        <w:tc>
          <w:tcPr>
            <w:tcW w:w="1690" w:type="dxa"/>
            <w:tcBorders>
              <w:top w:val="nil"/>
              <w:left w:val="nil"/>
              <w:bottom w:val="single" w:sz="4" w:space="0" w:color="auto"/>
              <w:right w:val="single" w:sz="4" w:space="0" w:color="auto"/>
            </w:tcBorders>
            <w:shd w:val="clear" w:color="auto" w:fill="auto"/>
            <w:vAlign w:val="center"/>
            <w:hideMark/>
          </w:tcPr>
          <w:p w14:paraId="602EA79A"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23.92</w:t>
            </w:r>
          </w:p>
        </w:tc>
        <w:tc>
          <w:tcPr>
            <w:tcW w:w="1515" w:type="dxa"/>
            <w:tcBorders>
              <w:top w:val="nil"/>
              <w:left w:val="nil"/>
              <w:bottom w:val="single" w:sz="4" w:space="0" w:color="auto"/>
              <w:right w:val="single" w:sz="4" w:space="0" w:color="auto"/>
            </w:tcBorders>
            <w:shd w:val="clear" w:color="auto" w:fill="auto"/>
            <w:vAlign w:val="center"/>
            <w:hideMark/>
          </w:tcPr>
          <w:p w14:paraId="78E099F2"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24.64</w:t>
            </w:r>
          </w:p>
        </w:tc>
        <w:tc>
          <w:tcPr>
            <w:tcW w:w="1525" w:type="dxa"/>
            <w:tcBorders>
              <w:top w:val="nil"/>
              <w:left w:val="nil"/>
              <w:bottom w:val="single" w:sz="4" w:space="0" w:color="auto"/>
              <w:right w:val="single" w:sz="4" w:space="0" w:color="auto"/>
            </w:tcBorders>
            <w:shd w:val="clear" w:color="auto" w:fill="auto"/>
            <w:vAlign w:val="center"/>
            <w:hideMark/>
          </w:tcPr>
          <w:p w14:paraId="5B7ECDA7"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20.12</w:t>
            </w:r>
          </w:p>
        </w:tc>
        <w:tc>
          <w:tcPr>
            <w:tcW w:w="1559" w:type="dxa"/>
            <w:tcBorders>
              <w:top w:val="nil"/>
              <w:left w:val="nil"/>
              <w:bottom w:val="single" w:sz="4" w:space="0" w:color="auto"/>
              <w:right w:val="single" w:sz="4" w:space="0" w:color="auto"/>
            </w:tcBorders>
            <w:shd w:val="clear" w:color="auto" w:fill="auto"/>
            <w:vAlign w:val="center"/>
            <w:hideMark/>
          </w:tcPr>
          <w:p w14:paraId="2AA45982" w14:textId="77777777" w:rsidR="005242DD" w:rsidRPr="005242DD" w:rsidRDefault="005242DD" w:rsidP="005242DD">
            <w:pPr>
              <w:spacing w:after="0" w:line="240" w:lineRule="auto"/>
              <w:jc w:val="center"/>
              <w:rPr>
                <w:rFonts w:ascii="Calibri" w:eastAsia="Times New Roman" w:hAnsi="Calibri" w:cs="Calibri"/>
                <w:color w:val="000000"/>
                <w:lang w:eastAsia="en-GB"/>
              </w:rPr>
            </w:pPr>
            <w:r w:rsidRPr="005242DD">
              <w:rPr>
                <w:rFonts w:ascii="Calibri" w:eastAsia="Times New Roman" w:hAnsi="Calibri" w:cs="Calibri"/>
                <w:color w:val="000000"/>
                <w:lang w:eastAsia="en-GB"/>
              </w:rPr>
              <w:t>15.19</w:t>
            </w:r>
          </w:p>
        </w:tc>
      </w:tr>
    </w:tbl>
    <w:p w14:paraId="7FA3AF27" w14:textId="77777777" w:rsidR="00126ED0" w:rsidRDefault="00126ED0" w:rsidP="00721948">
      <w:pPr>
        <w:pStyle w:val="Heading3"/>
        <w:spacing w:line="360" w:lineRule="auto"/>
      </w:pPr>
    </w:p>
    <w:p w14:paraId="0CFD841D" w14:textId="77777777" w:rsidR="00BC7D5B" w:rsidRDefault="00BC7D5B" w:rsidP="00BC7D5B"/>
    <w:p w14:paraId="53B20BCD" w14:textId="77777777" w:rsidR="00BC7D5B" w:rsidRDefault="00BC7D5B" w:rsidP="00BC7D5B"/>
    <w:p w14:paraId="50FDEAAA" w14:textId="77777777" w:rsidR="00BC7D5B" w:rsidRDefault="00BC7D5B" w:rsidP="00BC7D5B"/>
    <w:p w14:paraId="4A6CACAB" w14:textId="77777777" w:rsidR="00BC7D5B" w:rsidRDefault="00BC7D5B" w:rsidP="00BC7D5B"/>
    <w:p w14:paraId="2E2B5C20" w14:textId="77777777" w:rsidR="00BC7D5B" w:rsidRPr="00BC7D5B" w:rsidRDefault="00BC7D5B" w:rsidP="00BC7D5B"/>
    <w:p w14:paraId="66C5BD9D" w14:textId="4ED9411C" w:rsidR="00721948" w:rsidRDefault="00F37B6E" w:rsidP="00721948">
      <w:pPr>
        <w:pStyle w:val="Heading3"/>
        <w:spacing w:line="360" w:lineRule="auto"/>
      </w:pPr>
      <w:bookmarkStart w:id="99" w:name="_Toc128599635"/>
      <w:r>
        <w:lastRenderedPageBreak/>
        <w:t>Sinter quality indice</w:t>
      </w:r>
      <w:r w:rsidR="009F60F0">
        <w:t>s</w:t>
      </w:r>
      <w:bookmarkEnd w:id="99"/>
    </w:p>
    <w:p w14:paraId="6CFCE29D" w14:textId="07FEAA99" w:rsidR="009F60F0" w:rsidRPr="009F60F0" w:rsidRDefault="00BA199C" w:rsidP="00224783">
      <w:pPr>
        <w:spacing w:line="360" w:lineRule="auto"/>
        <w:jc w:val="both"/>
      </w:pPr>
      <w:r>
        <w:t xml:space="preserve">A </w:t>
      </w:r>
      <w:r w:rsidR="00180929">
        <w:t>major requirement for</w:t>
      </w:r>
      <w:r w:rsidR="006A5418">
        <w:t xml:space="preserve"> BF raw</w:t>
      </w:r>
      <w:r w:rsidR="00180929">
        <w:t xml:space="preserve"> materials</w:t>
      </w:r>
      <w:r w:rsidR="006A5418">
        <w:t xml:space="preserve"> is to limit the quantity of fines</w:t>
      </w:r>
      <w:r w:rsidR="00691B45">
        <w:t xml:space="preserve"> introduced or created</w:t>
      </w:r>
      <w:r w:rsidR="006A5418">
        <w:t xml:space="preserve"> as much as possible</w:t>
      </w:r>
      <w:r w:rsidR="00691B45">
        <w:t xml:space="preserve">. To </w:t>
      </w:r>
      <w:r w:rsidR="007B30A6">
        <w:t>support this</w:t>
      </w:r>
      <w:r w:rsidR="008076D2">
        <w:t>,</w:t>
      </w:r>
      <w:r w:rsidR="007B30A6">
        <w:t xml:space="preserve"> </w:t>
      </w:r>
      <w:r w:rsidR="008076D2">
        <w:t>all sinter</w:t>
      </w:r>
      <w:r w:rsidR="007B30A6">
        <w:t xml:space="preserve"> </w:t>
      </w:r>
      <w:r w:rsidR="00053275">
        <w:t xml:space="preserve">material </w:t>
      </w:r>
      <w:r w:rsidR="00B35A9D">
        <w:t xml:space="preserve">&gt;5mm is screened out before being charged. </w:t>
      </w:r>
      <w:r w:rsidR="00CB59EE">
        <w:t xml:space="preserve">The remaining sinter material needs to be resistant to fracture and abrasion (have cold strength) and </w:t>
      </w:r>
      <w:r w:rsidR="00A34005">
        <w:t xml:space="preserve">have good reduction – disintegration properties. These properties are measured by </w:t>
      </w:r>
      <w:r w:rsidR="0025043C">
        <w:t xml:space="preserve">the tumble and abrasion indices and the RDI indices </w:t>
      </w:r>
      <w:r w:rsidR="0025043C">
        <w:fldChar w:fldCharType="begin"/>
      </w:r>
      <w:r w:rsidR="00192334">
        <w:instrText xml:space="preserve"> ADDIN ZOTERO_ITEM CSL_CITATION {"citationID":"ZJ3xKPoo","properties":{"formattedCitation":"(Geerdes, Toxopeus and Vliet, 2009)","plainCitation":"(Geerdes, Toxopeus and Vliet, 2009)","noteIndex":0},"citationItems":[{"id":436,"uris":["http://zotero.org/users/local/AB2owHL2/items/EQWAX4TY"],"itemData":{"id":436,"type":"book","edition":"2nd","event-place":"Amsterdam","language":"English","publisher":"IOS Press BV","publisher-place":"Amsterdam","title":"Modern Blast Furnace Ironmaking an introduction","author":[{"family":"Geerdes","given":"Maarten"},{"family":"Toxopeus","given":"Hisko"},{"family":"Vliet","given":"Cor","dropping-particle":"van der"}],"issued":{"date-parts":[["2009"]]}}}],"schema":"https://github.com/citation-style-language/schema/raw/master/csl-citation.json"} </w:instrText>
      </w:r>
      <w:r w:rsidR="0025043C">
        <w:fldChar w:fldCharType="separate"/>
      </w:r>
      <w:r w:rsidR="00192334" w:rsidRPr="00192334">
        <w:rPr>
          <w:rFonts w:ascii="Calibri" w:hAnsi="Calibri" w:cs="Calibri"/>
        </w:rPr>
        <w:t>(Geerdes, Toxopeus and Vliet, 2009)</w:t>
      </w:r>
      <w:r w:rsidR="0025043C">
        <w:fldChar w:fldCharType="end"/>
      </w:r>
      <w:r w:rsidR="0025043C">
        <w:t>.</w:t>
      </w:r>
    </w:p>
    <w:p w14:paraId="73527DFB" w14:textId="3085A772" w:rsidR="00B939A4" w:rsidRPr="00B939A4" w:rsidRDefault="005C1883" w:rsidP="00B939A4">
      <w:pPr>
        <w:spacing w:line="360" w:lineRule="auto"/>
      </w:pPr>
      <w:r>
        <w:rPr>
          <w:noProof/>
        </w:rPr>
        <w:drawing>
          <wp:inline distT="0" distB="0" distL="0" distR="0" wp14:anchorId="12759EC1" wp14:editId="08F22D7B">
            <wp:extent cx="5732890" cy="2798859"/>
            <wp:effectExtent l="0" t="0" r="1270" b="1905"/>
            <wp:docPr id="170" name="Chart 170">
              <a:extLst xmlns:a="http://schemas.openxmlformats.org/drawingml/2006/main">
                <a:ext uri="{FF2B5EF4-FFF2-40B4-BE49-F238E27FC236}">
                  <a16:creationId xmlns:a16="http://schemas.microsoft.com/office/drawing/2014/main" id="{00000000-0008-0000-03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42C77E32" w14:textId="13D710A0" w:rsidR="00364531" w:rsidRDefault="000C357E" w:rsidP="000C357E">
      <w:pPr>
        <w:pStyle w:val="Caption"/>
      </w:pPr>
      <w:bookmarkStart w:id="100" w:name="_Toc127110940"/>
      <w:r>
        <w:t xml:space="preserve">Figure </w:t>
      </w:r>
      <w:fldSimple w:instr=" SEQ Figure \* ARABIC ">
        <w:r w:rsidR="00A0212F">
          <w:rPr>
            <w:noProof/>
          </w:rPr>
          <w:t>46</w:t>
        </w:r>
      </w:fldSimple>
      <w:r>
        <w:t xml:space="preserve"> The Sinter quality indices for biochar 1</w:t>
      </w:r>
      <w:bookmarkEnd w:id="100"/>
    </w:p>
    <w:p w14:paraId="2DAA8F3D" w14:textId="41815F23" w:rsidR="00364531" w:rsidRDefault="00EE6313" w:rsidP="00D17A75">
      <w:pPr>
        <w:spacing w:line="360" w:lineRule="auto"/>
        <w:jc w:val="both"/>
      </w:pPr>
      <w:r>
        <w:t>The sinter quality indices</w:t>
      </w:r>
      <w:r w:rsidR="00CD5D0E">
        <w:t xml:space="preserve"> for the biochar 1 tests</w:t>
      </w:r>
      <w:r>
        <w:t xml:space="preserve"> are displayed above in figure 46. </w:t>
      </w:r>
      <w:r w:rsidR="00504842">
        <w:t>For the cold strength indices</w:t>
      </w:r>
      <w:r w:rsidR="00D17A75">
        <w:t>, the resistance to fracture</w:t>
      </w:r>
      <w:r w:rsidR="0051232D">
        <w:t>, the tumble index shows a general tre</w:t>
      </w:r>
      <w:r w:rsidR="00822F9F">
        <w:t>nd down</w:t>
      </w:r>
      <w:r w:rsidR="00AB7E18">
        <w:t xml:space="preserve">wards, the base blend starts at 44.4% </w:t>
      </w:r>
      <w:r w:rsidR="00A93B88">
        <w:t>and the 25% blend then drops to 41.8%</w:t>
      </w:r>
      <w:r w:rsidR="00062CF4">
        <w:t>, the</w:t>
      </w:r>
      <w:r w:rsidR="00CD5D0E">
        <w:t xml:space="preserve"> 50% is sl</w:t>
      </w:r>
      <w:r w:rsidR="00D05C49">
        <w:t xml:space="preserve">ightly stronger than the base blend at 44.7% then the 75% blend drops to 37.1%, a drop of </w:t>
      </w:r>
      <w:r w:rsidR="00F21A4D">
        <w:t>7.3% from the base blend.</w:t>
      </w:r>
      <w:r w:rsidR="005E0FB7">
        <w:t xml:space="preserve"> </w:t>
      </w:r>
      <w:r w:rsidR="00F21A4D">
        <w:t xml:space="preserve">The 50% biochar result </w:t>
      </w:r>
      <w:r w:rsidR="00C6522C">
        <w:t>supports the results gained from the process characteristics.</w:t>
      </w:r>
      <w:r w:rsidR="005E0FB7">
        <w:t xml:space="preserve"> The abrasion </w:t>
      </w:r>
      <w:r w:rsidR="007A2D3E">
        <w:t xml:space="preserve">index </w:t>
      </w:r>
      <w:r w:rsidR="00C70E65">
        <w:t xml:space="preserve">represents the resistance </w:t>
      </w:r>
      <w:r w:rsidR="00E84A82">
        <w:t>to</w:t>
      </w:r>
      <w:r w:rsidR="00C70E65">
        <w:t xml:space="preserve"> fines generation. </w:t>
      </w:r>
      <w:r w:rsidR="00DE370D">
        <w:t xml:space="preserve">The biochar 1 </w:t>
      </w:r>
      <w:r w:rsidR="0021473E">
        <w:t xml:space="preserve">AI </w:t>
      </w:r>
      <w:r w:rsidR="00DE370D">
        <w:t>results show a</w:t>
      </w:r>
      <w:r w:rsidR="0093578F">
        <w:t>n</w:t>
      </w:r>
      <w:r w:rsidR="00DE370D">
        <w:t xml:space="preserve"> </w:t>
      </w:r>
      <w:r w:rsidR="0048452B">
        <w:t xml:space="preserve">upward trend as more fines are created as the sinter gets weaker. The 50% </w:t>
      </w:r>
      <w:r w:rsidR="0093578F">
        <w:t xml:space="preserve">blend sinter being the exception with a </w:t>
      </w:r>
      <w:r w:rsidR="00C05914">
        <w:t>marginally lower result than the base blend.</w:t>
      </w:r>
    </w:p>
    <w:p w14:paraId="7F8E66C2" w14:textId="41C70874" w:rsidR="005A0626" w:rsidRDefault="00EB0B0A" w:rsidP="00D17A75">
      <w:pPr>
        <w:spacing w:line="360" w:lineRule="auto"/>
        <w:jc w:val="both"/>
      </w:pPr>
      <w:r>
        <w:t xml:space="preserve">The RDI is a </w:t>
      </w:r>
      <w:r w:rsidR="006F415F">
        <w:t xml:space="preserve">indicates how the sinter may </w:t>
      </w:r>
      <w:r w:rsidR="00FB541B">
        <w:t>disintegrate in the upper region of the BF</w:t>
      </w:r>
      <w:r w:rsidR="00F425C9">
        <w:t xml:space="preserve">. Sinter with a high </w:t>
      </w:r>
      <w:r w:rsidR="00426ABA">
        <w:t xml:space="preserve">RDI would generate fines at the top of the furnace </w:t>
      </w:r>
      <w:r w:rsidR="004D4703">
        <w:t xml:space="preserve">which would decrease permeability in that region. </w:t>
      </w:r>
      <w:r w:rsidR="00AE3708">
        <w:t>The RDI</w:t>
      </w:r>
      <w:r w:rsidR="005F0BBB">
        <w:t xml:space="preserve"> index results for biochar 1 are illustrated in figure 46, </w:t>
      </w:r>
      <w:r w:rsidR="009270AA">
        <w:t>it shows that as the concentration of biochar increases</w:t>
      </w:r>
      <w:r w:rsidR="000F44DC">
        <w:t>, the amount of material -2.8mm increases. Again the 50% blend is an exception with the least amount of material -2.8mm generated.</w:t>
      </w:r>
    </w:p>
    <w:p w14:paraId="2913CE86" w14:textId="0BDAC8F4" w:rsidR="00364531" w:rsidRDefault="00AE3708" w:rsidP="00390F02">
      <w:r>
        <w:rPr>
          <w:noProof/>
        </w:rPr>
        <w:lastRenderedPageBreak/>
        <w:drawing>
          <wp:inline distT="0" distB="0" distL="0" distR="0" wp14:anchorId="635BDF60" wp14:editId="6FD9933B">
            <wp:extent cx="5772647" cy="3069203"/>
            <wp:effectExtent l="0" t="0" r="0" b="17145"/>
            <wp:docPr id="171" name="Chart 171">
              <a:extLst xmlns:a="http://schemas.openxmlformats.org/drawingml/2006/main">
                <a:ext uri="{FF2B5EF4-FFF2-40B4-BE49-F238E27FC236}">
                  <a16:creationId xmlns:a16="http://schemas.microsoft.com/office/drawing/2014/main" id="{00000000-0008-0000-03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69871C94" w14:textId="5BFE4C91" w:rsidR="00364531" w:rsidRDefault="002842BA" w:rsidP="002842BA">
      <w:pPr>
        <w:pStyle w:val="Caption"/>
      </w:pPr>
      <w:bookmarkStart w:id="101" w:name="_Toc127110941"/>
      <w:r>
        <w:t xml:space="preserve">Figure </w:t>
      </w:r>
      <w:fldSimple w:instr=" SEQ Figure \* ARABIC ">
        <w:r w:rsidR="00A0212F">
          <w:rPr>
            <w:noProof/>
          </w:rPr>
          <w:t>47</w:t>
        </w:r>
      </w:fldSimple>
      <w:r>
        <w:t xml:space="preserve"> Biochar 2 sinter quality indices</w:t>
      </w:r>
      <w:bookmarkEnd w:id="101"/>
    </w:p>
    <w:p w14:paraId="2ABF3AED" w14:textId="3729EF24" w:rsidR="00364531" w:rsidRDefault="00791876" w:rsidP="00331854">
      <w:pPr>
        <w:spacing w:line="360" w:lineRule="auto"/>
        <w:jc w:val="both"/>
      </w:pPr>
      <w:r>
        <w:t xml:space="preserve">The tumble index for biochar 2 </w:t>
      </w:r>
      <w:r w:rsidR="004A12D1">
        <w:t xml:space="preserve">presented above shows that </w:t>
      </w:r>
      <w:r w:rsidR="00331854">
        <w:t xml:space="preserve">the sinter gets weaker as the biochar concentration increases. </w:t>
      </w:r>
      <w:r w:rsidR="004A12D1">
        <w:t xml:space="preserve"> </w:t>
      </w:r>
      <w:r w:rsidR="00AD3116">
        <w:t xml:space="preserve">A tumble test could not be completed on the 75% </w:t>
      </w:r>
      <w:r w:rsidR="0066553A">
        <w:t xml:space="preserve">blend as 74.5% </w:t>
      </w:r>
      <w:r w:rsidR="00983968">
        <w:t xml:space="preserve">of the material was </w:t>
      </w:r>
      <w:r w:rsidR="0066553A">
        <w:t>less than 5mm</w:t>
      </w:r>
      <w:r w:rsidR="00983968">
        <w:t xml:space="preserve"> when screened. </w:t>
      </w:r>
      <w:r w:rsidR="00700616">
        <w:t>There was not enough material</w:t>
      </w:r>
      <w:r w:rsidR="00A005CB">
        <w:t xml:space="preserve"> from the </w:t>
      </w:r>
      <w:r w:rsidR="003F684C">
        <w:t xml:space="preserve">25mm, 16mm and 10mm fractions to make up the test portion. </w:t>
      </w:r>
      <w:r w:rsidR="00FB6228">
        <w:t xml:space="preserve">This reaffirms the </w:t>
      </w:r>
      <w:r w:rsidR="00EE71DB">
        <w:t>theory</w:t>
      </w:r>
      <w:r w:rsidR="00FB6228">
        <w:t xml:space="preserve"> that the sinter gets weaker </w:t>
      </w:r>
      <w:r w:rsidR="0097226C">
        <w:t xml:space="preserve">as the biochar addition increases. </w:t>
      </w:r>
      <w:r w:rsidR="004A58D0">
        <w:t xml:space="preserve">The </w:t>
      </w:r>
      <w:r w:rsidR="0017258A">
        <w:t>AI</w:t>
      </w:r>
      <w:r w:rsidR="004A58D0">
        <w:t xml:space="preserve"> </w:t>
      </w:r>
      <w:r w:rsidR="00863B15">
        <w:t xml:space="preserve">is 5.68% for the </w:t>
      </w:r>
      <w:r w:rsidR="007E34C6">
        <w:t>base blend then falls slightly for the 25% blend before increasing significantly for the 50%</w:t>
      </w:r>
      <w:r w:rsidR="00390AAE">
        <w:t xml:space="preserve"> blend. The </w:t>
      </w:r>
      <w:r w:rsidR="0017258A">
        <w:t>prediction would be for the AI to increase as the biochar addition increases if the sinter is becoming weaker.</w:t>
      </w:r>
    </w:p>
    <w:p w14:paraId="52EAAF2C" w14:textId="0FEB9E89" w:rsidR="00E83612" w:rsidRDefault="00E83612" w:rsidP="00331854">
      <w:pPr>
        <w:spacing w:line="360" w:lineRule="auto"/>
        <w:jc w:val="both"/>
      </w:pPr>
      <w:r>
        <w:t xml:space="preserve">The RDI results </w:t>
      </w:r>
      <w:r w:rsidR="00662BC1">
        <w:t xml:space="preserve">show that the material less than </w:t>
      </w:r>
      <w:r w:rsidR="00AE6F09">
        <w:t>2.8mm increases as the biochar concentration increases</w:t>
      </w:r>
      <w:r w:rsidR="00126ED0">
        <w:t xml:space="preserve"> excluding the</w:t>
      </w:r>
      <w:r w:rsidR="000A2354">
        <w:t xml:space="preserve"> 25% blend</w:t>
      </w:r>
      <w:r w:rsidR="00126ED0">
        <w:t xml:space="preserve"> which</w:t>
      </w:r>
      <w:r w:rsidR="000A2354">
        <w:t xml:space="preserve"> </w:t>
      </w:r>
      <w:r w:rsidR="00126ED0">
        <w:t xml:space="preserve">is marginally lower. </w:t>
      </w:r>
    </w:p>
    <w:p w14:paraId="30549149" w14:textId="2C9C553B" w:rsidR="00126ED0" w:rsidRDefault="00126ED0" w:rsidP="00126ED0">
      <w:pPr>
        <w:spacing w:line="360" w:lineRule="auto"/>
        <w:jc w:val="both"/>
      </w:pPr>
      <w:r>
        <w:t xml:space="preserve">The results displayed above for the sintering tests do not all conform to the results gathered in similar </w:t>
      </w:r>
      <w:r w:rsidR="00481C24">
        <w:t>research</w:t>
      </w:r>
      <w:r>
        <w:t xml:space="preserve"> carried out by authors such as </w:t>
      </w:r>
      <w:r>
        <w:fldChar w:fldCharType="begin"/>
      </w:r>
      <w:r w:rsidR="00192334">
        <w:instrText xml:space="preserve"> ADDIN ZOTERO_ITEM CSL_CITATION {"citationID":"fhME44k7","properties":{"formattedCitation":"(Kawaguchi and Hara, 2013; Gan {\\i{}et al.}, 2014; Cheng {\\i{}et al.}, 2016; Liu {\\i{}et al.}, 2020)","plainCitation":"(Kawaguchi and Hara, 2013; Gan et al., 2014; Cheng et al., 2016; Liu et al., 2020)","noteIndex":0},"citationItems":[{"id":1917,"uris":["http://zotero.org/users/local/AB2owHL2/items/TDKN9GFN"],"itemData":{"id":1917,"type":"article-journal","container-title":"ISIJ International","DOI":"10.2355/isijinternational.53.1599","ISSN":"0915-1559, 1347-5460","issue":"9","journalAbbreviation":"ISIJ Int.","language":"en","page":"1599-1606","source":"DOI.org (Crossref)","title":"Utilization of Biomass for Iron Ore Sintering","URL":"https://www.jstage.jst.go.jp/article/isijinternational/53/9/53_1599/_article","volume":"53","author":[{"family":"Kawaguchi","given":"Takazo"},{"family":"Hara","given":"Masaki"}],"accessed":{"date-parts":[["2022",8,24]]},"issued":{"date-parts":[["2013"]]}},"label":"page"},{"id":1701,"uris":["http://zotero.org/users/local/AB2owHL2/items/YS66955K"],"itemData":{"id":1701,"type":"article-journal","abstract":"It is of great significance for cleaner production to substitute bio-energy for fossil fuels in iron ore sintering. However, with the replacement ratio increasing, the consistency of heat front and flame front is broken, and the thermal utilizing efficiency of fuel is reduced, which results in the decrease of yield and tumble index of sinter. Circulating flue gas to sintering bed as biochar replacing 40% coke, CO in flue gas can be reused so as to increase the thermal utilizing efficiency of fuels, and the consistency of two fronts is recovered for the circulating flue gas containing certain CO2, H2O and lower O2, which contributes to increasing the maximum temperature, extending the high temperature duration time of sintering bed, and results in improving the output and quality of sinter. In the condition of circulating 40% flue gas, the sintering with biomass fuels is strengthened, and the sintering indexes with biomass fuel replacing 40% coke breeze are comparative to those of using coke breeze completely.","container-title":"Journal of Central South University","DOI":"10.1007/s11771-014-2405-6","ISSN":"2095-2899, 2227-5223","issue":"11","journalAbbreviation":"J. Cent. South Univ.","language":"en","page":"4109-4114","source":"DOI.org (Crossref)","title":"Fundamental study on iron ore sintering new process of flue gas recirculation together with using biochar as fuel","URL":"http://link.springer.com/10.1007/s11771-014-2405-6","volume":"21","author":[{"family":"Gan","given":"Min"},{"family":"Fan","given":"Xiao-hui"},{"family":"Jiang","given":"Tao"},{"family":"Chen","given":"Xu-ling"},{"family":"Yu","given":"Zhi-yuan"},{"family":"Ji","given":"Zhi-yun"}],"accessed":{"date-parts":[["2022",6,28]]},"issued":{"date-parts":[["2014",11]]}},"label":"page"},{"id":1906,"uris":["http://zotero.org/users/local/AB2owHL2/items/9H8FADEK"],"itemData":{"id":1906,"type":"article-journal","abstract":"Using biomass for partial or complete replacement of coke breeze in iron ore sintering process is an attractive technique for reducing emissions of greenhouse gas and gaseous pollutants. But one drawback of this technique is that low or medium grade charcoal may lead to the failure in achieving proper sintering performance. In this paper, the behaviors of coke combustion versus charcoal combustion in sintering bed were compared. The results of thermal profile and exhaust gas composition indicated that the sinters quality was deteriorated at high charcoal proportion. Lacking heat release in melting zone and the excessively high combustion rate were the reasons to weak sinters. In order to ensure the sintering performance when using medium grade charcoal in sintering bed, the effects of three improving measures (proposing the equivalent fixed carbon substitution approach, increasing charcoal particle size and adopting coated charcoal combustion) were experimentally tested. The results showed that equivalent fixed carbon substitution approach was more effective to produce sufficient heat in melting zone at medium grade charcoal combustion. Additionally, it was also found that increasing charcoal particles size and applying coated charcoal combustion method could reduce combustion rate to achieve a proper matching condition between flame front speed and heat transfer front speed. Consequently, with the help of equivalent fixed carbon substitution approach, coarse charcoal and coated charcoal particles, the peak temperature, holding time above 1100°C, melting quantity index and combustion efficiency were increased in the charcoal sintering process.","container-title":"Applied Energy","DOI":"10.1016/j.apenergy.2015.09.095","ISSN":"0306-2619","journalAbbreviation":"Applied Energy","language":"en","page":"364-374","source":"ScienceDirect","title":"Characteristics of charcoal combustion and its effects on iron-ore sintering performance","URL":"https://www.sciencedirect.com/science/article/pii/S0306261915012210","volume":"161","author":[{"family":"Cheng","given":"Zhilong"},{"family":"Yang","given":"Jian"},{"family":"Zhou","given":"Lang"},{"family":"Liu","given":"Yan"},{"family":"Wang","given":"Qiuwang"}],"accessed":{"date-parts":[["2022",8,22]]},"issued":{"date-parts":[["2016",1,1]]}},"label":"page"},{"id":1873,"uris":["http://zotero.org/users/local/AB2owHL2/items/H6ZYCLQC"],"itemData":{"id":1873,"type":"article-journal","abstract":"Owing to majority of sintering fuel gas pollutants comes from the coke, modified charcoal replaced coke for iron ore sintering to achieve the emissions reduction of the pollutants in this study. By modifying biomass fuel with CaO and urea, the specific surface area, pore volume and pore diameter were reduced to 12.942 m2 g−1, 1.326e-02 cc g−1 and 18.865 nm. The experimental results of sintering cup showed that the vertical sintering speed increased, the burning through point advanced, the sinter drum index decreased gradually, and the sintering yield increased initially and then decreased with the increasing of modified charcoal content. The optimum proportion of modified charcoal instead of coke powder was determined to be 40%. Meanwhile, application of the 40% modified charcoal to sintering resulted in a decrease of 45.85% for SO2 and a decrease of 54.26% for NOx emissions.","container-title":"Ironmaking &amp; Steelmaking","DOI":"10.1080/03019233.2018.1507070","ISSN":"03019233","issue":"2","note":"publisher: Taylor &amp; Francis Ltd","page":"188-194","source":"EBSCOhost","title":"Modified biomass fuel instead of coke for iron ore sintering","URL":"https://ezproxy.uwtsd.ac.uk/login?url=https://search.ebscohost.com/login.aspx?direct=true&amp;db=aph&amp;AN=142124512&amp;site=ehost-live","volume":"47","author":[{"family":"Liu","given":"Chao"},{"family":"Zhang","given":"Yu-zhu"},{"family":"Zhao","given":"Kai"},{"family":"Xing","given":"Hong-wei"},{"family":"Kang","given":"Yue"}],"accessed":{"date-parts":[["2022",8,3]]},"issued":{"date-parts":[["2020",2]]}},"label":"page"}],"schema":"https://github.com/citation-style-language/schema/raw/master/csl-citation.json"} </w:instrText>
      </w:r>
      <w:r>
        <w:fldChar w:fldCharType="separate"/>
      </w:r>
      <w:r w:rsidR="00192334" w:rsidRPr="00192334">
        <w:rPr>
          <w:rFonts w:ascii="Calibri" w:hAnsi="Calibri" w:cs="Calibri"/>
          <w:szCs w:val="24"/>
        </w:rPr>
        <w:t xml:space="preserve">(Kawaguchi and Hara, 2013; Gan </w:t>
      </w:r>
      <w:r w:rsidR="00192334" w:rsidRPr="00192334">
        <w:rPr>
          <w:rFonts w:ascii="Calibri" w:hAnsi="Calibri" w:cs="Calibri"/>
          <w:i/>
          <w:iCs/>
          <w:szCs w:val="24"/>
        </w:rPr>
        <w:t>et al.</w:t>
      </w:r>
      <w:r w:rsidR="00192334" w:rsidRPr="00192334">
        <w:rPr>
          <w:rFonts w:ascii="Calibri" w:hAnsi="Calibri" w:cs="Calibri"/>
          <w:szCs w:val="24"/>
        </w:rPr>
        <w:t xml:space="preserve">, 2014; Cheng </w:t>
      </w:r>
      <w:r w:rsidR="00192334" w:rsidRPr="00192334">
        <w:rPr>
          <w:rFonts w:ascii="Calibri" w:hAnsi="Calibri" w:cs="Calibri"/>
          <w:i/>
          <w:iCs/>
          <w:szCs w:val="24"/>
        </w:rPr>
        <w:t>et al.</w:t>
      </w:r>
      <w:r w:rsidR="00192334" w:rsidRPr="00192334">
        <w:rPr>
          <w:rFonts w:ascii="Calibri" w:hAnsi="Calibri" w:cs="Calibri"/>
          <w:szCs w:val="24"/>
        </w:rPr>
        <w:t xml:space="preserve">, 2016; Liu </w:t>
      </w:r>
      <w:r w:rsidR="00192334" w:rsidRPr="00192334">
        <w:rPr>
          <w:rFonts w:ascii="Calibri" w:hAnsi="Calibri" w:cs="Calibri"/>
          <w:i/>
          <w:iCs/>
          <w:szCs w:val="24"/>
        </w:rPr>
        <w:t>et al.</w:t>
      </w:r>
      <w:r w:rsidR="00192334" w:rsidRPr="00192334">
        <w:rPr>
          <w:rFonts w:ascii="Calibri" w:hAnsi="Calibri" w:cs="Calibri"/>
          <w:szCs w:val="24"/>
        </w:rPr>
        <w:t>, 2020)</w:t>
      </w:r>
      <w:r>
        <w:fldChar w:fldCharType="end"/>
      </w:r>
      <w:r>
        <w:t xml:space="preserve">. The general trends are shown but there are a few exceptions. This </w:t>
      </w:r>
      <w:r w:rsidR="00481C24">
        <w:t>could be</w:t>
      </w:r>
      <w:r>
        <w:t xml:space="preserve"> due to operator error, the author had limited access to the sinter pot which is used a plant process quality measurement and research and development tool. The author was trained and assessed as competent in using the equipment but has a lack in experience in what is a complicated process. The author also changed roles during this time, further reducing access to the equipment. There are many variables when preparing and testing sinter, more testing would have been beneficial to get more consistent results.</w:t>
      </w:r>
      <w:r w:rsidR="006E79FE">
        <w:t xml:space="preserve"> </w:t>
      </w:r>
    </w:p>
    <w:p w14:paraId="3FF2785F" w14:textId="37E64338" w:rsidR="00481C24" w:rsidRDefault="00481C24" w:rsidP="00481C24">
      <w:pPr>
        <w:spacing w:line="360" w:lineRule="auto"/>
        <w:jc w:val="both"/>
      </w:pPr>
      <w:r>
        <w:t xml:space="preserve">The 50% biochar 1 blend and the 25% biochar 2 blend </w:t>
      </w:r>
      <w:r w:rsidR="0060324E">
        <w:t>performed</w:t>
      </w:r>
      <w:r w:rsidR="006973D6">
        <w:t xml:space="preserve"> better in the quality tests</w:t>
      </w:r>
      <w:r>
        <w:t xml:space="preserve"> than the base blend</w:t>
      </w:r>
      <w:r w:rsidR="006973D6">
        <w:t>,</w:t>
      </w:r>
      <w:r w:rsidR="00993A85">
        <w:t xml:space="preserve"> as discussed above this could be due to operator error or some form of variation</w:t>
      </w:r>
      <w:r w:rsidR="006973D6">
        <w:t>.</w:t>
      </w:r>
      <w:r w:rsidR="00F939D5">
        <w:t xml:space="preserve"> </w:t>
      </w:r>
      <w:r w:rsidR="005F3F76">
        <w:lastRenderedPageBreak/>
        <w:t>Alternatively,</w:t>
      </w:r>
      <w:r w:rsidR="00F939D5">
        <w:t xml:space="preserve"> these conditions could make stronger sinter</w:t>
      </w:r>
      <w:r w:rsidR="005F3F76">
        <w:t>.</w:t>
      </w:r>
      <w:r w:rsidR="00F939D5">
        <w:t xml:space="preserve"> </w:t>
      </w:r>
      <w:r w:rsidR="005F3F76">
        <w:t>A</w:t>
      </w:r>
      <w:r w:rsidR="00107DE8">
        <w:t>ccording to previous studies carried out in literature, the former is more likely.</w:t>
      </w:r>
    </w:p>
    <w:p w14:paraId="5DBAC3B0" w14:textId="1FE34E31" w:rsidR="00BC6784" w:rsidRDefault="00BC6784" w:rsidP="0032282B">
      <w:pPr>
        <w:pStyle w:val="Heading3"/>
        <w:spacing w:line="360" w:lineRule="auto"/>
        <w:jc w:val="both"/>
      </w:pPr>
      <w:bookmarkStart w:id="102" w:name="_Toc128599636"/>
      <w:r>
        <w:t>Photographs of the sinter produced on the sinter pot</w:t>
      </w:r>
      <w:r w:rsidR="00970B51">
        <w:t>.</w:t>
      </w:r>
      <w:bookmarkEnd w:id="102"/>
    </w:p>
    <w:p w14:paraId="3C373DBC" w14:textId="452A2579" w:rsidR="00476EA7" w:rsidRDefault="00CC15D0" w:rsidP="0032282B">
      <w:pPr>
        <w:spacing w:line="360" w:lineRule="auto"/>
        <w:jc w:val="both"/>
      </w:pPr>
      <w:r>
        <w:t xml:space="preserve">The pictures below in figure 48 </w:t>
      </w:r>
      <w:r w:rsidR="007110BC">
        <w:t xml:space="preserve">display </w:t>
      </w:r>
      <w:r w:rsidR="0060324E">
        <w:t xml:space="preserve">examples of sinter cake produced on the sinter pot. The picture on the right is of a fully formed </w:t>
      </w:r>
      <w:r w:rsidR="005329FD">
        <w:t>sinter cake, the fact that it came out whole indicates that the sinter is reasonably strong</w:t>
      </w:r>
      <w:r w:rsidR="00A174F1">
        <w:t xml:space="preserve">. A weak sinter would crumble and fall apart when </w:t>
      </w:r>
      <w:r w:rsidR="003A5C32">
        <w:t xml:space="preserve">extracted. </w:t>
      </w:r>
      <w:r w:rsidR="00B4782F">
        <w:t xml:space="preserve">The picture on the right </w:t>
      </w:r>
      <w:r w:rsidR="00D8179F">
        <w:t xml:space="preserve">is an example of a sinter cake that exhibits channelling. </w:t>
      </w:r>
      <w:r w:rsidR="005F3C66">
        <w:t>C</w:t>
      </w:r>
      <w:r w:rsidR="001A7339">
        <w:t>hannelling occurs</w:t>
      </w:r>
      <w:r w:rsidR="005F3C66">
        <w:t xml:space="preserve"> down the side of the sinter pot </w:t>
      </w:r>
      <w:r w:rsidR="002833F2">
        <w:t>where the thermocouples are inserted</w:t>
      </w:r>
      <w:r w:rsidR="001B5ACF">
        <w:t xml:space="preserve">. </w:t>
      </w:r>
      <w:r w:rsidR="009300BE">
        <w:t xml:space="preserve">The </w:t>
      </w:r>
      <w:r w:rsidR="00DC3441">
        <w:t xml:space="preserve">areas between the </w:t>
      </w:r>
      <w:r w:rsidR="009300BE">
        <w:t xml:space="preserve">thermocouple entry points </w:t>
      </w:r>
      <w:r w:rsidR="00DC3441">
        <w:t>become weak</w:t>
      </w:r>
      <w:r w:rsidR="00E21F49">
        <w:t xml:space="preserve"> and partially collapse creating a more permeable area, </w:t>
      </w:r>
      <w:r w:rsidR="00A7203B">
        <w:t xml:space="preserve">through which the air passes </w:t>
      </w:r>
      <w:r w:rsidR="008E1FF5">
        <w:t>more quickly</w:t>
      </w:r>
      <w:r w:rsidR="000A5002">
        <w:t xml:space="preserve">. </w:t>
      </w:r>
      <w:r w:rsidR="00F34056">
        <w:t xml:space="preserve">As a </w:t>
      </w:r>
      <w:r w:rsidR="00970B51">
        <w:t>result,</w:t>
      </w:r>
      <w:r w:rsidR="00F34056">
        <w:t xml:space="preserve"> the channel stays hotter for longer and reacts</w:t>
      </w:r>
      <w:r w:rsidR="00010468">
        <w:t xml:space="preserve"> for</w:t>
      </w:r>
      <w:r w:rsidR="00F34056">
        <w:t xml:space="preserve"> </w:t>
      </w:r>
      <w:r w:rsidR="00010468">
        <w:t xml:space="preserve">longer than the rest of the cake. </w:t>
      </w:r>
      <w:r w:rsidR="00F823F3">
        <w:t xml:space="preserve">Examples can be seen in figures 42 and 44 for </w:t>
      </w:r>
      <w:r w:rsidR="00933C6F">
        <w:t>Biochar 1 75% and biochar 2 50%</w:t>
      </w:r>
      <w:r w:rsidR="00F823F3">
        <w:t>.</w:t>
      </w:r>
    </w:p>
    <w:p w14:paraId="251D970B" w14:textId="6B995C50" w:rsidR="00476EA7" w:rsidRPr="00BC6784" w:rsidRDefault="00461505" w:rsidP="00FF4B5B">
      <w:r w:rsidRPr="00FF4B5B">
        <w:rPr>
          <w:noProof/>
        </w:rPr>
        <w:drawing>
          <wp:inline distT="0" distB="0" distL="0" distR="0" wp14:anchorId="7577582E" wp14:editId="715B7666">
            <wp:extent cx="2433948" cy="2815590"/>
            <wp:effectExtent l="0" t="635" r="4445" b="4445"/>
            <wp:docPr id="63" name="Picture 63" descr="A picture containing dirty, stone, c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dirty, stone, cement&#10;&#10;Description automatically generated"/>
                    <pic:cNvPicPr/>
                  </pic:nvPicPr>
                  <pic:blipFill>
                    <a:blip r:embed="rId92"/>
                    <a:stretch>
                      <a:fillRect/>
                    </a:stretch>
                  </pic:blipFill>
                  <pic:spPr>
                    <a:xfrm rot="5400000">
                      <a:off x="0" y="0"/>
                      <a:ext cx="2461889" cy="2847912"/>
                    </a:xfrm>
                    <a:prstGeom prst="rect">
                      <a:avLst/>
                    </a:prstGeom>
                  </pic:spPr>
                </pic:pic>
              </a:graphicData>
            </a:graphic>
          </wp:inline>
        </w:drawing>
      </w:r>
      <w:r>
        <w:t xml:space="preserve"> </w:t>
      </w:r>
      <w:r w:rsidR="00476EA7" w:rsidRPr="00476EA7">
        <w:rPr>
          <w:noProof/>
        </w:rPr>
        <w:drawing>
          <wp:inline distT="0" distB="0" distL="0" distR="0" wp14:anchorId="08BA1591" wp14:editId="2046AAF4">
            <wp:extent cx="2829560" cy="2433099"/>
            <wp:effectExtent l="0" t="0" r="889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877144" cy="2474016"/>
                    </a:xfrm>
                    <a:prstGeom prst="rect">
                      <a:avLst/>
                    </a:prstGeom>
                  </pic:spPr>
                </pic:pic>
              </a:graphicData>
            </a:graphic>
          </wp:inline>
        </w:drawing>
      </w:r>
      <w:r w:rsidR="00FF4B5B">
        <w:t xml:space="preserve">  </w:t>
      </w:r>
    </w:p>
    <w:p w14:paraId="6CDA65B8" w14:textId="765ADF30" w:rsidR="005C005B" w:rsidRDefault="002532FD" w:rsidP="00AF2490">
      <w:pPr>
        <w:pStyle w:val="Caption"/>
      </w:pPr>
      <w:bookmarkStart w:id="103" w:name="_Toc127110942"/>
      <w:r>
        <w:t xml:space="preserve">Figure </w:t>
      </w:r>
      <w:fldSimple w:instr=" SEQ Figure \* ARABIC ">
        <w:r w:rsidR="00A0212F">
          <w:rPr>
            <w:noProof/>
          </w:rPr>
          <w:t>48</w:t>
        </w:r>
      </w:fldSimple>
      <w:r w:rsidR="00461505">
        <w:t xml:space="preserve"> </w:t>
      </w:r>
      <w:r w:rsidR="007405C8">
        <w:t xml:space="preserve">Examples of </w:t>
      </w:r>
      <w:r w:rsidR="00A40960">
        <w:t>sinter cake produced in the sinter pot. On the left a whole sinter cake</w:t>
      </w:r>
      <w:r w:rsidR="00F039EB">
        <w:t>, on the right an example of channelling in a sinter cake.</w:t>
      </w:r>
      <w:bookmarkEnd w:id="103"/>
    </w:p>
    <w:p w14:paraId="097B0238" w14:textId="1B1B1682" w:rsidR="005C005B" w:rsidRDefault="005E6848" w:rsidP="005E2CEC">
      <w:pPr>
        <w:spacing w:line="360" w:lineRule="auto"/>
        <w:jc w:val="both"/>
      </w:pPr>
      <w:r>
        <w:t>For t</w:t>
      </w:r>
      <w:r w:rsidR="005C005B">
        <w:t xml:space="preserve">he following photographs </w:t>
      </w:r>
      <w:r>
        <w:t xml:space="preserve">the sinter cake was broken </w:t>
      </w:r>
      <w:r w:rsidR="005E2CEC">
        <w:t>at approx. 50mm from the bottom of the cake</w:t>
      </w:r>
      <w:r w:rsidR="00E77511">
        <w:t xml:space="preserve"> and a picture taken of the cross sectio</w:t>
      </w:r>
      <w:r w:rsidR="009C6B7A">
        <w:t>n</w:t>
      </w:r>
      <w:r w:rsidR="00E77511">
        <w:t xml:space="preserve">. This location was chosen as the bottom of the cake </w:t>
      </w:r>
      <w:r w:rsidR="00C450CC">
        <w:t xml:space="preserve">should have the best quality sinter </w:t>
      </w:r>
      <w:r w:rsidR="009C6B7A">
        <w:t>because</w:t>
      </w:r>
      <w:r w:rsidR="00C450CC">
        <w:t xml:space="preserve"> the sintering conditions </w:t>
      </w:r>
      <w:r w:rsidR="00377142">
        <w:t>will be stable and at an optimum at this point.</w:t>
      </w:r>
    </w:p>
    <w:p w14:paraId="462D03EA" w14:textId="2849A322" w:rsidR="00CB3682" w:rsidRPr="00CB3682" w:rsidRDefault="00B71FF2" w:rsidP="00984D1F">
      <w:r>
        <w:rPr>
          <w:noProof/>
        </w:rPr>
        <w:lastRenderedPageBreak/>
        <mc:AlternateContent>
          <mc:Choice Requires="wps">
            <w:drawing>
              <wp:anchor distT="0" distB="0" distL="114300" distR="114300" simplePos="0" relativeHeight="251674624" behindDoc="0" locked="0" layoutInCell="1" allowOverlap="1" wp14:anchorId="0FA290C9" wp14:editId="2C040899">
                <wp:simplePos x="0" y="0"/>
                <wp:positionH relativeFrom="column">
                  <wp:posOffset>850735</wp:posOffset>
                </wp:positionH>
                <wp:positionV relativeFrom="paragraph">
                  <wp:posOffset>2357727</wp:posOffset>
                </wp:positionV>
                <wp:extent cx="389614" cy="341907"/>
                <wp:effectExtent l="0" t="0" r="10795" b="20320"/>
                <wp:wrapNone/>
                <wp:docPr id="153" name="Oval 153"/>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A24F38" id="Oval 153" o:spid="_x0000_s1026" style="position:absolute;margin-left:67pt;margin-top:185.65pt;width:30.7pt;height:26.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Ia1LX7hAAAACwEAAA8AAABkcnMvZG93bnJldi54bWxMj81uwjAQhO+VeAdr&#10;kXorzh9Q0jgIWrVIVS+Fil5NvI0j4nUUG0jfHnNqj6MZzXxTLAfTsjP2rrEkIJ5EwJAqqxqqBXzt&#10;Xh8egTkvScnWEgr4RQfLcnRXyFzZC33ieetrFkrI5VKA9r7LOXeVRiPdxHZIwfuxvZE+yL7mqpeX&#10;UG5ankTRjBvZUFjQssNnjdVxezICFus32n9somRI5vq42TfvL7vvmRD342H1BMzj4P/CcMMP6FAG&#10;poM9kXKsDTrNwhcvIJ3HKbBbYjHNgB0EZMk0Bl4W/P+H8goAAP//AwBQSwECLQAUAAYACAAAACEA&#10;toM4kv4AAADhAQAAEwAAAAAAAAAAAAAAAAAAAAAAW0NvbnRlbnRfVHlwZXNdLnhtbFBLAQItABQA&#10;BgAIAAAAIQA4/SH/1gAAAJQBAAALAAAAAAAAAAAAAAAAAC8BAABfcmVscy8ucmVsc1BLAQItABQA&#10;BgAIAAAAIQDhac/mUgIAAKMEAAAOAAAAAAAAAAAAAAAAAC4CAABkcnMvZTJvRG9jLnhtbFBLAQIt&#10;ABQABgAIAAAAIQCGtS1+4QAAAAsBAAAPAAAAAAAAAAAAAAAAAKwEAABkcnMvZG93bnJldi54bWxQ&#10;SwUGAAAAAAQABADzAAAAugUAAAAA&#10;" filled="f" strokecolor="red" strokeweight=".5pt">
                <v:stroke joinstyle="miter"/>
              </v:oval>
            </w:pict>
          </mc:Fallback>
        </mc:AlternateContent>
      </w:r>
      <w:r w:rsidR="000A40AC">
        <w:rPr>
          <w:noProof/>
        </w:rPr>
        <mc:AlternateContent>
          <mc:Choice Requires="wps">
            <w:drawing>
              <wp:anchor distT="0" distB="0" distL="114300" distR="114300" simplePos="0" relativeHeight="251676672" behindDoc="0" locked="0" layoutInCell="1" allowOverlap="1" wp14:anchorId="3A820F05" wp14:editId="1A0780AB">
                <wp:simplePos x="0" y="0"/>
                <wp:positionH relativeFrom="column">
                  <wp:posOffset>723320</wp:posOffset>
                </wp:positionH>
                <wp:positionV relativeFrom="paragraph">
                  <wp:posOffset>918845</wp:posOffset>
                </wp:positionV>
                <wp:extent cx="389614" cy="341907"/>
                <wp:effectExtent l="0" t="0" r="10795" b="20320"/>
                <wp:wrapNone/>
                <wp:docPr id="154" name="Oval 154"/>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AC3415" id="Oval 154" o:spid="_x0000_s1026" style="position:absolute;margin-left:56.95pt;margin-top:72.35pt;width:30.7pt;height:26.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JepXubhAAAACwEAAA8AAABkcnMvZG93bnJldi54bWxMj0tPwzAQhO9I/Adr&#10;kbhRp+kjTYhT8RBUQr20ReXqxksSNV5HsduGf8/2BLcZ7afZmXw52FacsfeNIwXjUQQCqXSmoUrB&#10;5+7tYQHCB01Gt45QwQ96WBa3N7nOjLvQBs/bUAkOIZ9pBXUIXSalL2u02o9ch8S3b9dbHdj2lTS9&#10;vnC4bWUcRXNpdUP8odYdvtRYHrcnqyB9fqf9ehXFQ5zUx9W++Xjdfc2Vur8bnh5BBBzCHwzX+lwd&#10;Cu50cCcyXrTsx5OUURbTaQLiSiSzCYgDi3QxA1nk8v+G4hcAAP//AwBQSwECLQAUAAYACAAAACEA&#10;toM4kv4AAADhAQAAEwAAAAAAAAAAAAAAAAAAAAAAW0NvbnRlbnRfVHlwZXNdLnhtbFBLAQItABQA&#10;BgAIAAAAIQA4/SH/1gAAAJQBAAALAAAAAAAAAAAAAAAAAC8BAABfcmVscy8ucmVsc1BLAQItABQA&#10;BgAIAAAAIQDhac/mUgIAAKMEAAAOAAAAAAAAAAAAAAAAAC4CAABkcnMvZTJvRG9jLnhtbFBLAQIt&#10;ABQABgAIAAAAIQCXqV7m4QAAAAsBAAAPAAAAAAAAAAAAAAAAAKwEAABkcnMvZG93bnJldi54bWxQ&#10;SwUGAAAAAAQABADzAAAAugUAAAAA&#10;" filled="f" strokecolor="red" strokeweight=".5pt">
                <v:stroke joinstyle="miter"/>
              </v:oval>
            </w:pict>
          </mc:Fallback>
        </mc:AlternateContent>
      </w:r>
      <w:r w:rsidR="00C76AE9">
        <w:rPr>
          <w:noProof/>
        </w:rPr>
        <mc:AlternateContent>
          <mc:Choice Requires="wps">
            <w:drawing>
              <wp:anchor distT="0" distB="0" distL="114300" distR="114300" simplePos="0" relativeHeight="251672576" behindDoc="0" locked="0" layoutInCell="1" allowOverlap="1" wp14:anchorId="78D6B8DD" wp14:editId="4C15A3D2">
                <wp:simplePos x="0" y="0"/>
                <wp:positionH relativeFrom="column">
                  <wp:posOffset>1653871</wp:posOffset>
                </wp:positionH>
                <wp:positionV relativeFrom="paragraph">
                  <wp:posOffset>1300839</wp:posOffset>
                </wp:positionV>
                <wp:extent cx="389614" cy="341907"/>
                <wp:effectExtent l="0" t="0" r="10795" b="20320"/>
                <wp:wrapNone/>
                <wp:docPr id="150" name="Oval 150"/>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339012" id="Oval 150" o:spid="_x0000_s1026" style="position:absolute;margin-left:130.25pt;margin-top:102.45pt;width:30.7pt;height:26.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GnebJvhAAAACwEAAA8AAABkcnMvZG93bnJldi54bWxMj0tPwzAQhO9I/Adr&#10;kbhRu4ambYhT8RBUQlz6ULm6sYmjxusodtvw77uc4Da7M5r9tlgMvmUn28cmoILxSACzWAXTYK1g&#10;u3m7mwGLSaPRbUCr4MdGWJTXV4XOTTjjyp7WqWZUgjHXClxKXc55rJz1Oo5CZ5G879B7nWjsa256&#10;faZy33IpRMa9bpAuON3ZF2erw/roFcyf33H3uRRykFN3WO6aj9fNV6bU7c3w9Ags2SH9heEXn9Ch&#10;JKZ9OKKJrFUgMzGhKAnxMAdGiXs5JrGnzWQ2BV4W/P8P5QUAAP//AwBQSwECLQAUAAYACAAAACEA&#10;toM4kv4AAADhAQAAEwAAAAAAAAAAAAAAAAAAAAAAW0NvbnRlbnRfVHlwZXNdLnhtbFBLAQItABQA&#10;BgAIAAAAIQA4/SH/1gAAAJQBAAALAAAAAAAAAAAAAAAAAC8BAABfcmVscy8ucmVsc1BLAQItABQA&#10;BgAIAAAAIQDhac/mUgIAAKMEAAAOAAAAAAAAAAAAAAAAAC4CAABkcnMvZTJvRG9jLnhtbFBLAQIt&#10;ABQABgAIAAAAIQBp3myb4QAAAAsBAAAPAAAAAAAAAAAAAAAAAKwEAABkcnMvZG93bnJldi54bWxQ&#10;SwUGAAAAAAQABADzAAAAugUAAAAA&#10;" filled="f" strokecolor="red" strokeweight=".5pt">
                <v:stroke joinstyle="miter"/>
              </v:oval>
            </w:pict>
          </mc:Fallback>
        </mc:AlternateContent>
      </w:r>
      <w:r w:rsidR="00AA23B1">
        <w:rPr>
          <w:noProof/>
        </w:rPr>
        <mc:AlternateContent>
          <mc:Choice Requires="wps">
            <w:drawing>
              <wp:anchor distT="0" distB="0" distL="114300" distR="114300" simplePos="0" relativeHeight="251670528" behindDoc="0" locked="0" layoutInCell="1" allowOverlap="1" wp14:anchorId="5112FDF5" wp14:editId="4F86259E">
                <wp:simplePos x="0" y="0"/>
                <wp:positionH relativeFrom="column">
                  <wp:posOffset>1622066</wp:posOffset>
                </wp:positionH>
                <wp:positionV relativeFrom="paragraph">
                  <wp:posOffset>402065</wp:posOffset>
                </wp:positionV>
                <wp:extent cx="389614" cy="341907"/>
                <wp:effectExtent l="0" t="0" r="10795" b="20320"/>
                <wp:wrapNone/>
                <wp:docPr id="148" name="Oval 148"/>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FBB696" id="Oval 148" o:spid="_x0000_s1026" style="position:absolute;margin-left:127.7pt;margin-top:31.65pt;width:30.7pt;height:26.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sRhAIAAGoFAAAOAAAAZHJzL2Uyb0RvYy54bWysVEtv2zAMvg/YfxB0X22n6SuoUwQtMgwo&#10;2mDt0LMiS7EAWdQkJU7260fJjwRrscMwH2RJJD+Sn0je3u0bTXbCeQWmpMVZTokwHCplNiX98br8&#10;ck2JD8xUTIMRJT0IT+/mnz/dtnYmJlCDroQjCGL8rLUlrUOwsyzzvBYN82dghUGhBNewgEe3ySrH&#10;WkRvdDbJ88usBVdZB1x4j7cPnZDOE76UgodnKb0IRJcUYwtpdWldxzWb37LZxjFbK96Hwf4hioYp&#10;g05HqAcWGNk69Q6qUdyBBxnOODQZSKm4SDlgNkX+RzYvNbMi5YLkeDvS5P8fLH/avdiVQxpa62ce&#10;tzGLvXRN/GN8ZJ/IOoxkiX0gHC/Pr28uiyklHEXn0+Imv4pkZkdj63z4KqAhcVNSobWyPqbDZmz3&#10;6EOnPWjFawNLpXV6Em1IW9LL84s8GXjQqorCqObdZn2vHdkxfNTlMsevd32ihoFog/Ec00q7cNAi&#10;YmjzXUiiKkxk0nmIFSdGWMa5MKHoRDWrROft4tTZYJGyToARWWKUI3YPMGh2IAN2R0CvH01FKtjR&#10;uE/9b8ajRfIMJozGjTLgPspMY1a9505/IKmjJrK0huqwcsRB1y7e8qXCN3xkPqyYw/7ATsKeD8+4&#10;SA34UNDvKKnB/froPupj2aKUkhb7raT+55Y5QYn+ZrCgb4rpNDZoOkwvriZ4cKeS9anEbJt7wNcv&#10;cLpYnrZRP+hhKx00bzgaFtEripjh6LukPLjhcB+6OYDDhYvFIqlhU1oWHs2L5RE8shoL9HX/xpzt&#10;CzlgBzzB0JvvirnTjZYGFtsAUqVKP/La840NnQqnHz5xYpyek9ZxRM5/AwAA//8DAFBLAwQUAAYA&#10;CAAAACEAO+sACuAAAAAKAQAADwAAAGRycy9kb3ducmV2LnhtbEyPy07DMBBF90j8gzVI7KjzoCmE&#10;OBUPQSXEhhaVrRsPcdR4HMVuG/6eYQXL0Rzde261nFwvjjiGzpOCdJaAQGq86ahV8LF5vroBEaIm&#10;o3tPqOAbAyzr87NKl8af6B2P69gKDqFQagU2xqGUMjQWnQ4zPyDx78uPTkc+x1aaUZ843PUyS5JC&#10;Ot0RN1g94KPFZr8+OAW3Dy+0fVsl2ZQt7H617V6fNp+FUpcX0/0diIhT/IPhV5/VoWannT+QCaJX&#10;kM3n14wqKPIcBAN5WvCWHZPpIgVZV/L/hPoHAAD//wMAUEsBAi0AFAAGAAgAAAAhALaDOJL+AAAA&#10;4QEAABMAAAAAAAAAAAAAAAAAAAAAAFtDb250ZW50X1R5cGVzXS54bWxQSwECLQAUAAYACAAAACEA&#10;OP0h/9YAAACUAQAACwAAAAAAAAAAAAAAAAAvAQAAX3JlbHMvLnJlbHNQSwECLQAUAAYACAAAACEA&#10;vtm7EYQCAABqBQAADgAAAAAAAAAAAAAAAAAuAgAAZHJzL2Uyb0RvYy54bWxQSwECLQAUAAYACAAA&#10;ACEAO+sACuAAAAAKAQAADwAAAAAAAAAAAAAAAADeBAAAZHJzL2Rvd25yZXYueG1sUEsFBgAAAAAE&#10;AAQA8wAAAOsFAAAAAA==&#10;" filled="f" strokecolor="red" strokeweight=".5pt">
                <v:stroke joinstyle="miter"/>
              </v:oval>
            </w:pict>
          </mc:Fallback>
        </mc:AlternateContent>
      </w:r>
      <w:r w:rsidR="003F6149" w:rsidRPr="003F6149">
        <w:rPr>
          <w:noProof/>
        </w:rPr>
        <w:drawing>
          <wp:inline distT="0" distB="0" distL="0" distR="0" wp14:anchorId="601517B4" wp14:editId="368311BB">
            <wp:extent cx="2835275" cy="2981739"/>
            <wp:effectExtent l="0" t="0" r="3175" b="952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851128" cy="2998411"/>
                    </a:xfrm>
                    <a:prstGeom prst="rect">
                      <a:avLst/>
                    </a:prstGeom>
                  </pic:spPr>
                </pic:pic>
              </a:graphicData>
            </a:graphic>
          </wp:inline>
        </w:drawing>
      </w:r>
    </w:p>
    <w:p w14:paraId="5AA7A217" w14:textId="73F744D9" w:rsidR="00F823F3" w:rsidRDefault="00456167" w:rsidP="005C005B">
      <w:pPr>
        <w:pStyle w:val="Caption"/>
      </w:pPr>
      <w:bookmarkStart w:id="104" w:name="_Toc127110943"/>
      <w:r>
        <w:t xml:space="preserve">Figure </w:t>
      </w:r>
      <w:fldSimple w:instr=" SEQ Figure \* ARABIC ">
        <w:r w:rsidR="00A0212F">
          <w:rPr>
            <w:noProof/>
          </w:rPr>
          <w:t>49</w:t>
        </w:r>
      </w:fldSimple>
      <w:r>
        <w:t xml:space="preserve"> Base blend sinter.</w:t>
      </w:r>
      <w:bookmarkEnd w:id="104"/>
    </w:p>
    <w:p w14:paraId="72399881" w14:textId="2E5BB08C" w:rsidR="009C6B7A" w:rsidRPr="009C6B7A" w:rsidRDefault="00C95E06" w:rsidP="00FA2042">
      <w:pPr>
        <w:spacing w:line="360" w:lineRule="auto"/>
        <w:jc w:val="both"/>
      </w:pPr>
      <w:r>
        <w:t>F</w:t>
      </w:r>
      <w:r w:rsidR="00EF645B">
        <w:t>igure 49 is a photograph of a cross</w:t>
      </w:r>
      <w:r w:rsidR="00197A4C">
        <w:t xml:space="preserve"> section of the base blend</w:t>
      </w:r>
      <w:r w:rsidR="00A56BAF">
        <w:t xml:space="preserve">. </w:t>
      </w:r>
      <w:r w:rsidR="00A6197B">
        <w:t>There are some areas where good agglomeration can be seen</w:t>
      </w:r>
      <w:r w:rsidR="00853509">
        <w:t>, the sinter granules have bonded together</w:t>
      </w:r>
      <w:r w:rsidR="00351023">
        <w:t>.</w:t>
      </w:r>
      <w:r w:rsidR="005C53E2">
        <w:t xml:space="preserve"> Some of these areas are highlighted in red.</w:t>
      </w:r>
      <w:r w:rsidR="00351023">
        <w:t xml:space="preserve"> The cake looks porous with many holes observed. </w:t>
      </w:r>
      <w:r w:rsidR="00FA2042">
        <w:t>The quality across the cross section is consistent.</w:t>
      </w:r>
    </w:p>
    <w:p w14:paraId="6F98B078" w14:textId="09339401" w:rsidR="00591B0F" w:rsidRDefault="008179E0" w:rsidP="00591B0F">
      <w:pPr>
        <w:keepNext/>
      </w:pPr>
      <w:r>
        <w:rPr>
          <w:noProof/>
        </w:rPr>
        <mc:AlternateContent>
          <mc:Choice Requires="wps">
            <w:drawing>
              <wp:anchor distT="0" distB="0" distL="114300" distR="114300" simplePos="0" relativeHeight="251688960" behindDoc="0" locked="0" layoutInCell="1" allowOverlap="1" wp14:anchorId="66F4E7BB" wp14:editId="0FD506AB">
                <wp:simplePos x="0" y="0"/>
                <wp:positionH relativeFrom="column">
                  <wp:posOffset>3530379</wp:posOffset>
                </wp:positionH>
                <wp:positionV relativeFrom="paragraph">
                  <wp:posOffset>1481566</wp:posOffset>
                </wp:positionV>
                <wp:extent cx="492622" cy="1048882"/>
                <wp:effectExtent l="0" t="0" r="22225" b="18415"/>
                <wp:wrapNone/>
                <wp:docPr id="168" name="Oval 168"/>
                <wp:cNvGraphicFramePr/>
                <a:graphic xmlns:a="http://schemas.openxmlformats.org/drawingml/2006/main">
                  <a:graphicData uri="http://schemas.microsoft.com/office/word/2010/wordprocessingShape">
                    <wps:wsp>
                      <wps:cNvSpPr/>
                      <wps:spPr>
                        <a:xfrm>
                          <a:off x="0" y="0"/>
                          <a:ext cx="492622" cy="1048882"/>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7F0862" id="Oval 168" o:spid="_x0000_s1026" style="position:absolute;margin-left:278pt;margin-top:116.65pt;width:38.8pt;height:82.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EP3VAIAAKQEAAAOAAAAZHJzL2Uyb0RvYy54bWysVFFv2yAQfp+0/4B4X+x4aZZGcaooVaZJ&#10;VVspnfpMMMRIwDEgcbpfvwO7TbbuaZof8B13vuP7+M6Lm5PR5Ch8UGBrOh6VlAjLoVF2X9PvT5tP&#10;M0pCZLZhGqyo6YsI9Gb58cOic3NRQQu6EZ5gERvmnatpG6ObF0XgrTAsjMAJi0EJ3rCIrt8XjWcd&#10;Vje6qMpyWnTgG+eBixBw97YP0mWuL6Xg8UHKICLRNcWzxbz6vO7SWiwXbL73zLWKD8dg/3AKw5TF&#10;pm+lbllk5ODVu1JGcQ8BZBxxMAVIqbjIGBDNuPwDzbZlTmQsSE5wbzSF/1eW3x+37tEjDZ0L84Bm&#10;QnGS3qQ3no+cMlkvb2SJUyQcNyfX1bSqKOEYGpeT2WxWJTaL89fOh/hVgCHJqKnQWrmQ8LA5O96F&#10;2Ge/ZqVtCxuldb4TbUlX0+nnK7w1zlAZUrOIpnFNTYPdU8L0HiXHo88VA2jVpK9TneD3u7X25Mjw&#10;2jf4lPmm8Wy/paXWtyy0fV4O9YIwKqIqtTI1nZXpGZBpm6qLrKsBwJm2ZO2geXn0xEMvtOD4RmGT&#10;OxbiI/OoLESD0xIfcJEaECEMFiUt+J9/20/5eOEYpaRDpSL8HwfmBSX6m0UpXI8nkyTt7EyuvlTo&#10;+MvI7jJiD2YNyMoY59LxbKb8qF9N6cE841CtUlcMMcuxd0/04KxjP0E4llysVjkN5exYvLNbx1Px&#10;xFOi9+n0zLwbFBBRO/fwqup3Kuhzex2sDhGkyhI584rqSg6OQtbZMLZp1i79nHX+uSx/AQAA//8D&#10;AFBLAwQUAAYACAAAACEAax1CsOAAAAALAQAADwAAAGRycy9kb3ducmV2LnhtbEyPy07DMBRE90j8&#10;g3WR2CDqUCtWCXGqCqldgmj5gJv45iFiO8RuHn+PWcFyNKOZM/l+MT2baPSdswqeNgkwspXTnW0U&#10;fF6OjztgPqDV2DtLClbysC9ub3LMtJvtB03n0LBYYn2GCtoQhoxzX7Vk0G/cQDZ6tRsNhijHhusR&#10;51huer5NEskNdjYutDjQa0vV1/lqFMjDaa3r01Qd1/e1LXGevt8euFL3d8vhBVigJfyF4Rc/okMR&#10;mUp3tdqzXkGayvglKNgKIYDFhBRCAisViOddCrzI+f8PxQ8AAAD//wMAUEsBAi0AFAAGAAgAAAAh&#10;ALaDOJL+AAAA4QEAABMAAAAAAAAAAAAAAAAAAAAAAFtDb250ZW50X1R5cGVzXS54bWxQSwECLQAU&#10;AAYACAAAACEAOP0h/9YAAACUAQAACwAAAAAAAAAAAAAAAAAvAQAAX3JlbHMvLnJlbHNQSwECLQAU&#10;AAYACAAAACEA2qxD91QCAACkBAAADgAAAAAAAAAAAAAAAAAuAgAAZHJzL2Uyb0RvYy54bWxQSwEC&#10;LQAUAAYACAAAACEAax1CsOAAAAALAQAADwAAAAAAAAAAAAAAAACuBAAAZHJzL2Rvd25yZXYueG1s&#10;UEsFBgAAAAAEAAQA8wAAALsFAAAAAA==&#10;" filled="f" strokecolor="yellow" strokeweight=".5pt">
                <v:stroke joinstyle="miter"/>
              </v:oval>
            </w:pict>
          </mc:Fallback>
        </mc:AlternateContent>
      </w:r>
      <w:r w:rsidR="003E6B6B">
        <w:rPr>
          <w:noProof/>
        </w:rPr>
        <mc:AlternateContent>
          <mc:Choice Requires="wps">
            <w:drawing>
              <wp:anchor distT="0" distB="0" distL="114300" distR="114300" simplePos="0" relativeHeight="251686912" behindDoc="0" locked="0" layoutInCell="1" allowOverlap="1" wp14:anchorId="6C070154" wp14:editId="6EBD2A81">
                <wp:simplePos x="0" y="0"/>
                <wp:positionH relativeFrom="column">
                  <wp:posOffset>4833814</wp:posOffset>
                </wp:positionH>
                <wp:positionV relativeFrom="paragraph">
                  <wp:posOffset>1664362</wp:posOffset>
                </wp:positionV>
                <wp:extent cx="389614" cy="341907"/>
                <wp:effectExtent l="0" t="0" r="10795" b="20320"/>
                <wp:wrapNone/>
                <wp:docPr id="167" name="Oval 167"/>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28E98E" id="Oval 167" o:spid="_x0000_s1026" style="position:absolute;margin-left:380.6pt;margin-top:131.05pt;width:30.7pt;height:26.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ENlxl3iAAAACwEAAA8AAABkcnMvZG93bnJldi54bWxMj8tOwzAQRfdI/IM1&#10;SOyoEyPcNs2k4iGoVLGhRe3WjU0cNR5HsduGv8esYDm6R/eeKZej69jZDKH1hJBPMmCGaq9bahA+&#10;t693M2AhKtKq82QQvk2AZXV9VapC+wt9mPMmNiyVUCgUgo2xLzgPtTVOhYnvDaXsyw9OxXQODdeD&#10;uqRy13GRZZI71VJasKo3z9bUx83JIcyf3mj3vsrEKKb2uNq165ftXiLe3oyPC2DRjPEPhl/9pA5V&#10;cjr4E+nAOoSpzEVCEYQUObBEzISQwA4I9/nDHHhV8v8/VD8AAAD//wMAUEsBAi0AFAAGAAgAAAAh&#10;ALaDOJL+AAAA4QEAABMAAAAAAAAAAAAAAAAAAAAAAFtDb250ZW50X1R5cGVzXS54bWxQSwECLQAU&#10;AAYACAAAACEAOP0h/9YAAACUAQAACwAAAAAAAAAAAAAAAAAvAQAAX3JlbHMvLnJlbHNQSwECLQAU&#10;AAYACAAAACEA4WnP5lICAACjBAAADgAAAAAAAAAAAAAAAAAuAgAAZHJzL2Uyb0RvYy54bWxQSwEC&#10;LQAUAAYACAAAACEAQ2XGXeIAAAALAQAADwAAAAAAAAAAAAAAAACsBAAAZHJzL2Rvd25yZXYueG1s&#10;UEsFBgAAAAAEAAQA8wAAALsFAAAAAA==&#10;" filled="f" strokecolor="red" strokeweight=".5pt">
                <v:stroke joinstyle="miter"/>
              </v:oval>
            </w:pict>
          </mc:Fallback>
        </mc:AlternateContent>
      </w:r>
      <w:r w:rsidR="000F6658">
        <w:rPr>
          <w:noProof/>
        </w:rPr>
        <mc:AlternateContent>
          <mc:Choice Requires="wps">
            <w:drawing>
              <wp:anchor distT="0" distB="0" distL="114300" distR="114300" simplePos="0" relativeHeight="251684864" behindDoc="0" locked="0" layoutInCell="1" allowOverlap="1" wp14:anchorId="14562D9C" wp14:editId="1EAAC721">
                <wp:simplePos x="0" y="0"/>
                <wp:positionH relativeFrom="column">
                  <wp:posOffset>3720631</wp:posOffset>
                </wp:positionH>
                <wp:positionV relativeFrom="paragraph">
                  <wp:posOffset>837427</wp:posOffset>
                </wp:positionV>
                <wp:extent cx="389614" cy="341907"/>
                <wp:effectExtent l="0" t="0" r="10795" b="20320"/>
                <wp:wrapNone/>
                <wp:docPr id="166" name="Oval 166"/>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CD1E23" id="Oval 166" o:spid="_x0000_s1026" style="position:absolute;margin-left:292.95pt;margin-top:65.95pt;width:30.7pt;height:26.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NbHMWriAAAACwEAAA8AAABkcnMvZG93bnJldi54bWxMj0tPwzAQhO9I/Adr&#10;kbhRpyl5NMSpeAgqIS60qFzdeEmixusodtvw71lOcNvdGc1+U64m24sTjr5zpGA+i0Ag1c501Cj4&#10;2D7f5CB80GR07wgVfKOHVXV5UerCuDO942kTGsEh5AutoA1hKKT0dYtW+5kbkFj7cqPVgdexkWbU&#10;Zw63vYyjKJVWd8QfWj3gY4v1YXO0CpYPL7R7W0fxFGftYb3rXp+2n6lS11fT/R2IgFP4M8MvPqND&#10;xUx7dyTjRa8gyZMlW1lYzHlgR3qbLUDs+ZInGciqlP87VD8AAAD//wMAUEsBAi0AFAAGAAgAAAAh&#10;ALaDOJL+AAAA4QEAABMAAAAAAAAAAAAAAAAAAAAAAFtDb250ZW50X1R5cGVzXS54bWxQSwECLQAU&#10;AAYACAAAACEAOP0h/9YAAACUAQAACwAAAAAAAAAAAAAAAAAvAQAAX3JlbHMvLnJlbHNQSwECLQAU&#10;AAYACAAAACEA4WnP5lICAACjBAAADgAAAAAAAAAAAAAAAAAuAgAAZHJzL2Uyb0RvYy54bWxQSwEC&#10;LQAUAAYACAAAACEA1scxauIAAAALAQAADwAAAAAAAAAAAAAAAACsBAAAZHJzL2Rvd25yZXYueG1s&#10;UEsFBgAAAAAEAAQA8wAAALsFAAAAAA==&#10;" filled="f" strokecolor="red" strokeweight=".5pt">
                <v:stroke joinstyle="miter"/>
              </v:oval>
            </w:pict>
          </mc:Fallback>
        </mc:AlternateContent>
      </w:r>
      <w:r w:rsidR="00B45599">
        <w:rPr>
          <w:noProof/>
        </w:rPr>
        <mc:AlternateContent>
          <mc:Choice Requires="wps">
            <w:drawing>
              <wp:anchor distT="0" distB="0" distL="114300" distR="114300" simplePos="0" relativeHeight="251682816" behindDoc="0" locked="0" layoutInCell="1" allowOverlap="1" wp14:anchorId="34597DD5" wp14:editId="057B546E">
                <wp:simplePos x="0" y="0"/>
                <wp:positionH relativeFrom="column">
                  <wp:posOffset>5088255</wp:posOffset>
                </wp:positionH>
                <wp:positionV relativeFrom="paragraph">
                  <wp:posOffset>1346311</wp:posOffset>
                </wp:positionV>
                <wp:extent cx="389614" cy="341907"/>
                <wp:effectExtent l="0" t="0" r="10795" b="20320"/>
                <wp:wrapNone/>
                <wp:docPr id="165" name="Oval 165"/>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C36115" id="Oval 165" o:spid="_x0000_s1026" style="position:absolute;margin-left:400.65pt;margin-top:106pt;width:30.7pt;height:26.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AEIA//hAAAACwEAAA8AAABkcnMvZG93bnJldi54bWxMj8tOwzAQRfdI/IM1&#10;SOyoHSPSkMapeAgqITa0qN26sYmjxuModtvw9wwrWM7M0Z1zq+Xke3ayY+wCKshmApjFJpgOWwWf&#10;m5ebAlhMGo3uA1oF3zbCsr68qHRpwhk/7GmdWkYhGEutwKU0lJzHxlmv4ywMFun2FUavE41jy82o&#10;zxTuey6FyLnXHdIHpwf75GxzWB+9gvvHV9y+r4Sc5NwdVtvu7Xmzy5W6vpoeFsCSndIfDL/6pA41&#10;Oe3DEU1kvYJCZLeEKpCZpFJEFLmcA9vTJr8rgNcV/9+h/gEAAP//AwBQSwECLQAUAAYACAAAACEA&#10;toM4kv4AAADhAQAAEwAAAAAAAAAAAAAAAAAAAAAAW0NvbnRlbnRfVHlwZXNdLnhtbFBLAQItABQA&#10;BgAIAAAAIQA4/SH/1gAAAJQBAAALAAAAAAAAAAAAAAAAAC8BAABfcmVscy8ucmVsc1BLAQItABQA&#10;BgAIAAAAIQDhac/mUgIAAKMEAAAOAAAAAAAAAAAAAAAAAC4CAABkcnMvZTJvRG9jLnhtbFBLAQIt&#10;ABQABgAIAAAAIQABCAP/4QAAAAsBAAAPAAAAAAAAAAAAAAAAAKwEAABkcnMvZG93bnJldi54bWxQ&#10;SwUGAAAAAAQABADzAAAAugUAAAAA&#10;" filled="f" strokecolor="red" strokeweight=".5pt">
                <v:stroke joinstyle="miter"/>
              </v:oval>
            </w:pict>
          </mc:Fallback>
        </mc:AlternateContent>
      </w:r>
      <w:r w:rsidR="00E37093">
        <w:rPr>
          <w:noProof/>
        </w:rPr>
        <mc:AlternateContent>
          <mc:Choice Requires="wps">
            <w:drawing>
              <wp:anchor distT="0" distB="0" distL="114300" distR="114300" simplePos="0" relativeHeight="251680768" behindDoc="0" locked="0" layoutInCell="1" allowOverlap="1" wp14:anchorId="65AC85A1" wp14:editId="6C1445CC">
                <wp:simplePos x="0" y="0"/>
                <wp:positionH relativeFrom="column">
                  <wp:posOffset>1741335</wp:posOffset>
                </wp:positionH>
                <wp:positionV relativeFrom="paragraph">
                  <wp:posOffset>630362</wp:posOffset>
                </wp:positionV>
                <wp:extent cx="389614" cy="341907"/>
                <wp:effectExtent l="0" t="0" r="10795" b="20320"/>
                <wp:wrapNone/>
                <wp:docPr id="163" name="Oval 163"/>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393A40" id="Oval 163" o:spid="_x0000_s1026" style="position:absolute;margin-left:137.1pt;margin-top:49.65pt;width:30.7pt;height:26.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I1iVAIAAKMEAAAOAAAAZHJzL2Uyb0RvYy54bWysVE1v2zAMvQ/YfxB0X+206VdQpwhaZBhQ&#10;tAHaoWdGlmIBkqhJSpzu14+S3aZbdxrmg0yKNKn39Oir6701bCdD1OgaPjmqOZNOYKvdpuHfn5Zf&#10;LjiLCVwLBp1s+IuM/Hr++dNV72fyGDs0rQyMirg4633Du5T8rKqi6KSFeIReOgoqDBYSuWFTtQF6&#10;qm5NdVzXZ1WPofUBhYyRdm+HIJ+X+kpJkR6UijIx03A6WyprKOs6r9X8CmabAL7TYjwG/MMpLGhH&#10;Td9K3UICtg36QymrRcCIKh0JtBUqpYUsGAjNpP4DzWMHXhYsRE70bzTF/1dW3O8e/SoQDb2Ps0hm&#10;RrFXweY3nY/tC1kvb2TJfWKCNk8uLs8mU84EhU6mk8v6PJNZHT72IaavEi3LRsOlMdrHDAdmsLuL&#10;ach+zcrbDpfamHIlxrG+4Wcnp3RpAkgYykAi0/q24dFtOAOzIcWJFErFiEa3+etcJ4bN+sYEtgO6&#10;9SU9dbloOttvabn1LcRuyCuhQQ9WJxKl0bbhF3V+RmTG5eqyyGoEcGAtW2tsX1aBBRx0Fr1Yampy&#10;BzGtIJCwCA0NS3qgRRkkhDhanHUYfv5tP+fTfVOUs56ESvB/bCFIzsw3R0q4nEynWdnFmZ6eH5MT&#10;3kfW7yNua2+QWJnQWHpRzJyfzKupAtpnmqlF7kohcIJ6D0SPzk0aBoimUsjFoqSRmj2kO/foRS6e&#10;ecr0Pu2fIfhRAYmkc4+vov6ggiF30MFim1DpIpEDr6Su7NAkFJ2NU5tH7b1fsg7/lvkvAAAA//8D&#10;AFBLAwQUAAYACAAAACEAUvLjC+AAAAAKAQAADwAAAGRycy9kb3ducmV2LnhtbEyPy07DMBBF90j8&#10;gzVIbBB1mtCUhjhVhdQuQZR+gBNP4oh4HGI3j7/HrGA5ukf3nsn3s+nYiINrLQlYryJgSJVVLTUC&#10;Lp/Hx2dgzktSsrOEAhZ0sC9ub3KZKTvRB45n37BQQi6TArT3fca5qzQa6Va2RwpZbQcjfTiHhqtB&#10;TqHcdDyOopQb2VJY0LLHV43V1/lqBKSH01LXp7E6Lu+LLuU0fr89cCHu7+bDCzCPs/+D4Vc/qEMR&#10;nEp7JeVYJyDePsUBFbDbJcACkCSbFFgZyE2yBl7k/P8LxQ8AAAD//wMAUEsBAi0AFAAGAAgAAAAh&#10;ALaDOJL+AAAA4QEAABMAAAAAAAAAAAAAAAAAAAAAAFtDb250ZW50X1R5cGVzXS54bWxQSwECLQAU&#10;AAYACAAAACEAOP0h/9YAAACUAQAACwAAAAAAAAAAAAAAAAAvAQAAX3JlbHMvLnJlbHNQSwECLQAU&#10;AAYACAAAACEAmuSNYlQCAACjBAAADgAAAAAAAAAAAAAAAAAuAgAAZHJzL2Uyb0RvYy54bWxQSwEC&#10;LQAUAAYACAAAACEAUvLjC+AAAAAKAQAADwAAAAAAAAAAAAAAAACuBAAAZHJzL2Rvd25yZXYueG1s&#10;UEsFBgAAAAAEAAQA8wAAALsFAAAAAA==&#10;" filled="f" strokecolor="yellow" strokeweight=".5pt">
                <v:stroke joinstyle="miter"/>
              </v:oval>
            </w:pict>
          </mc:Fallback>
        </mc:AlternateContent>
      </w:r>
      <w:r w:rsidR="00E37093">
        <w:rPr>
          <w:noProof/>
        </w:rPr>
        <mc:AlternateContent>
          <mc:Choice Requires="wps">
            <w:drawing>
              <wp:anchor distT="0" distB="0" distL="114300" distR="114300" simplePos="0" relativeHeight="251678720" behindDoc="0" locked="0" layoutInCell="1" allowOverlap="1" wp14:anchorId="1B6D1975" wp14:editId="3275507B">
                <wp:simplePos x="0" y="0"/>
                <wp:positionH relativeFrom="column">
                  <wp:posOffset>1256306</wp:posOffset>
                </wp:positionH>
                <wp:positionV relativeFrom="paragraph">
                  <wp:posOffset>829145</wp:posOffset>
                </wp:positionV>
                <wp:extent cx="389614" cy="341907"/>
                <wp:effectExtent l="0" t="0" r="10795" b="20320"/>
                <wp:wrapNone/>
                <wp:docPr id="162" name="Oval 162"/>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714FA3" id="Oval 162" o:spid="_x0000_s1026" style="position:absolute;margin-left:98.9pt;margin-top:65.3pt;width:30.7pt;height:26.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I1iVAIAAKMEAAAOAAAAZHJzL2Uyb0RvYy54bWysVE1v2zAMvQ/YfxB0X+206VdQpwhaZBhQ&#10;tAHaoWdGlmIBkqhJSpzu14+S3aZbdxrmg0yKNKn39Oir6701bCdD1OgaPjmqOZNOYKvdpuHfn5Zf&#10;LjiLCVwLBp1s+IuM/Hr++dNV72fyGDs0rQyMirg4633Du5T8rKqi6KSFeIReOgoqDBYSuWFTtQF6&#10;qm5NdVzXZ1WPofUBhYyRdm+HIJ+X+kpJkR6UijIx03A6WyprKOs6r9X8CmabAL7TYjwG/MMpLGhH&#10;Td9K3UICtg36QymrRcCIKh0JtBUqpYUsGAjNpP4DzWMHXhYsRE70bzTF/1dW3O8e/SoQDb2Ps0hm&#10;RrFXweY3nY/tC1kvb2TJfWKCNk8uLs8mU84EhU6mk8v6PJNZHT72IaavEi3LRsOlMdrHDAdmsLuL&#10;ach+zcrbDpfamHIlxrG+4Wcnp3RpAkgYykAi0/q24dFtOAOzIcWJFErFiEa3+etcJ4bN+sYEtgO6&#10;9SU9dbloOttvabn1LcRuyCuhQQ9WJxKl0bbhF3V+RmTG5eqyyGoEcGAtW2tsX1aBBRx0Fr1Yampy&#10;BzGtIJCwCA0NS3qgRRkkhDhanHUYfv5tP+fTfVOUs56ESvB/bCFIzsw3R0q4nEynWdnFmZ6eH5MT&#10;3kfW7yNua2+QWJnQWHpRzJyfzKupAtpnmqlF7kohcIJ6D0SPzk0aBoimUsjFoqSRmj2kO/foRS6e&#10;ecr0Pu2fIfhRAYmkc4+vov6ggiF30MFim1DpIpEDr6Su7NAkFJ2NU5tH7b1fsg7/lvkvAAAA//8D&#10;AFBLAwQUAAYACAAAACEAQs8v4d8AAAALAQAADwAAAGRycy9kb3ducmV2LnhtbEyPzU7DMBCE70i8&#10;g7VIXBB1CCW0IU5VIbVHKgoPsIk3PyK2Q+zm5+1ZTnDb2R3NfpPtZtOJkQbfOqvgYRWBIFs63dpa&#10;wefH4X4Dwge0GjtnScFCHnb59VWGqXaTfafxHGrBIdanqKAJoU+l9GVDBv3K9WT5VrnBYGA51FIP&#10;OHG46WQcRYk02Fr+0GBPrw2VX+eLUZDsj0tVHcfysJyWpsBp/H67k0rd3sz7FxCB5vBnhl98Roec&#10;mQp3sdqLjvX2mdEDD49RAoId8dM2BlHwZrNeg8wz+b9D/gMAAP//AwBQSwECLQAUAAYACAAAACEA&#10;toM4kv4AAADhAQAAEwAAAAAAAAAAAAAAAAAAAAAAW0NvbnRlbnRfVHlwZXNdLnhtbFBLAQItABQA&#10;BgAIAAAAIQA4/SH/1gAAAJQBAAALAAAAAAAAAAAAAAAAAC8BAABfcmVscy8ucmVsc1BLAQItABQA&#10;BgAIAAAAIQCa5I1iVAIAAKMEAAAOAAAAAAAAAAAAAAAAAC4CAABkcnMvZTJvRG9jLnhtbFBLAQIt&#10;ABQABgAIAAAAIQBCzy/h3wAAAAsBAAAPAAAAAAAAAAAAAAAAAK4EAABkcnMvZG93bnJldi54bWxQ&#10;SwUGAAAAAAQABADzAAAAugUAAAAA&#10;" filled="f" strokecolor="yellow" strokeweight=".5pt">
                <v:stroke joinstyle="miter"/>
              </v:oval>
            </w:pict>
          </mc:Fallback>
        </mc:AlternateContent>
      </w:r>
      <w:r w:rsidR="00591B0F" w:rsidRPr="00591B0F">
        <w:rPr>
          <w:noProof/>
        </w:rPr>
        <w:drawing>
          <wp:inline distT="0" distB="0" distL="0" distR="0" wp14:anchorId="594BF92B" wp14:editId="586D0D03">
            <wp:extent cx="2861945" cy="2733839"/>
            <wp:effectExtent l="0" t="0" r="0" b="952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2868100" cy="2739718"/>
                    </a:xfrm>
                    <a:prstGeom prst="rect">
                      <a:avLst/>
                    </a:prstGeom>
                  </pic:spPr>
                </pic:pic>
              </a:graphicData>
            </a:graphic>
          </wp:inline>
        </w:drawing>
      </w:r>
      <w:r w:rsidR="000A6B4B">
        <w:t xml:space="preserve"> </w:t>
      </w:r>
      <w:r w:rsidR="000A6B4B" w:rsidRPr="00E71EAC">
        <w:rPr>
          <w:noProof/>
        </w:rPr>
        <w:drawing>
          <wp:inline distT="0" distB="0" distL="0" distR="0" wp14:anchorId="2B02F0CF" wp14:editId="62D4D125">
            <wp:extent cx="2814762" cy="2750820"/>
            <wp:effectExtent l="0" t="0" r="5080" b="0"/>
            <wp:docPr id="143" name="Picture 143" descr="A picture containing person, food, plant, choco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containing person, food, plant, chocolate&#10;&#10;Description automatically generated"/>
                    <pic:cNvPicPr/>
                  </pic:nvPicPr>
                  <pic:blipFill>
                    <a:blip r:embed="rId96"/>
                    <a:stretch>
                      <a:fillRect/>
                    </a:stretch>
                  </pic:blipFill>
                  <pic:spPr>
                    <a:xfrm>
                      <a:off x="0" y="0"/>
                      <a:ext cx="2823567" cy="2759425"/>
                    </a:xfrm>
                    <a:prstGeom prst="rect">
                      <a:avLst/>
                    </a:prstGeom>
                  </pic:spPr>
                </pic:pic>
              </a:graphicData>
            </a:graphic>
          </wp:inline>
        </w:drawing>
      </w:r>
    </w:p>
    <w:p w14:paraId="02E2514E" w14:textId="1EAE18E3" w:rsidR="00456167" w:rsidRDefault="00591B0F" w:rsidP="00591B0F">
      <w:pPr>
        <w:pStyle w:val="Caption"/>
      </w:pPr>
      <w:bookmarkStart w:id="105" w:name="_Toc127110944"/>
      <w:r>
        <w:t xml:space="preserve">Figure </w:t>
      </w:r>
      <w:fldSimple w:instr=" SEQ Figure \* ARABIC ">
        <w:r w:rsidR="00A0212F">
          <w:rPr>
            <w:noProof/>
          </w:rPr>
          <w:t>50</w:t>
        </w:r>
      </w:fldSimple>
      <w:r>
        <w:t xml:space="preserve"> 25%</w:t>
      </w:r>
      <w:r w:rsidR="00BE530A">
        <w:t>addition</w:t>
      </w:r>
      <w:r>
        <w:t xml:space="preserve"> biochar 1</w:t>
      </w:r>
      <w:r w:rsidR="00BE530A">
        <w:t>(left)</w:t>
      </w:r>
      <w:r w:rsidR="000A6B4B">
        <w:t xml:space="preserve"> and bio</w:t>
      </w:r>
      <w:r w:rsidR="00BE530A">
        <w:t>char 2 (right).</w:t>
      </w:r>
      <w:bookmarkEnd w:id="105"/>
    </w:p>
    <w:p w14:paraId="10379BD7" w14:textId="2F413375" w:rsidR="00E37093" w:rsidRDefault="00BA12D9" w:rsidP="00EF61FD">
      <w:pPr>
        <w:spacing w:line="360" w:lineRule="auto"/>
        <w:jc w:val="both"/>
      </w:pPr>
      <w:r>
        <w:t>The photograph on the left above in figure 50 is of the 25% biochar 1 blend</w:t>
      </w:r>
      <w:r w:rsidR="00EF61FD">
        <w:t>. The</w:t>
      </w:r>
      <w:r w:rsidR="00E37093">
        <w:t xml:space="preserve">re is noticeably less evidence of agglomeration when compared to the base blend. </w:t>
      </w:r>
      <w:r w:rsidR="000401B2">
        <w:t>Un-sintered</w:t>
      </w:r>
      <w:r w:rsidR="00E37093">
        <w:t xml:space="preserve"> </w:t>
      </w:r>
      <w:r w:rsidR="000401B2">
        <w:t>raw mix granules can be observed</w:t>
      </w:r>
      <w:r w:rsidR="0032282B">
        <w:t xml:space="preserve"> (</w:t>
      </w:r>
      <w:r w:rsidR="00384237">
        <w:t xml:space="preserve">shown in </w:t>
      </w:r>
      <w:r w:rsidR="00B45599">
        <w:t>yellow</w:t>
      </w:r>
      <w:r w:rsidR="0032282B">
        <w:t xml:space="preserve"> </w:t>
      </w:r>
      <w:r w:rsidR="00B45599">
        <w:t>circles</w:t>
      </w:r>
      <w:r w:rsidR="0032282B">
        <w:t>).</w:t>
      </w:r>
      <w:r w:rsidR="00B666AD">
        <w:t xml:space="preserve"> The </w:t>
      </w:r>
      <w:r w:rsidR="009513FA">
        <w:t xml:space="preserve">cake seems dense, </w:t>
      </w:r>
      <w:r w:rsidR="003E6B6B">
        <w:t>less</w:t>
      </w:r>
      <w:r w:rsidR="009513FA">
        <w:t xml:space="preserve"> porosity can be observed.</w:t>
      </w:r>
      <w:r w:rsidR="00530F09">
        <w:t xml:space="preserve"> Visually</w:t>
      </w:r>
      <w:r w:rsidR="00584037">
        <w:t>,</w:t>
      </w:r>
      <w:r w:rsidR="00530F09">
        <w:t xml:space="preserve"> the quality of this sinter cake </w:t>
      </w:r>
      <w:r w:rsidR="00584037">
        <w:t>is somewhat poor.</w:t>
      </w:r>
      <w:r w:rsidR="009C0E03">
        <w:t xml:space="preserve"> </w:t>
      </w:r>
    </w:p>
    <w:p w14:paraId="5231A22B" w14:textId="6A597B13" w:rsidR="000F6658" w:rsidRPr="00BA12D9" w:rsidRDefault="000F6658" w:rsidP="00EF61FD">
      <w:pPr>
        <w:spacing w:line="360" w:lineRule="auto"/>
        <w:jc w:val="both"/>
      </w:pPr>
      <w:r>
        <w:lastRenderedPageBreak/>
        <w:t>The 25% biochar 2 blend shown on the right in figure 50</w:t>
      </w:r>
      <w:r w:rsidR="006E05A5">
        <w:t xml:space="preserve"> has </w:t>
      </w:r>
      <w:r w:rsidR="00384237">
        <w:t>evidence in some areas of good agglomeration (shown in red circles)</w:t>
      </w:r>
      <w:r w:rsidR="00C14D14">
        <w:t>. There is a large crack running through the cross section shown in a yellow circle.</w:t>
      </w:r>
      <w:r w:rsidR="00C02810">
        <w:t xml:space="preserve"> There are areas that seem dense, while other area</w:t>
      </w:r>
      <w:r w:rsidR="00B72EDD">
        <w:t>s</w:t>
      </w:r>
      <w:r w:rsidR="00C02810">
        <w:t xml:space="preserve"> do exhibit some porosity.</w:t>
      </w:r>
      <w:r w:rsidR="00B72EDD">
        <w:t xml:space="preserve"> There is a mix of good quality and poor-quality sintering across this cross section.</w:t>
      </w:r>
    </w:p>
    <w:p w14:paraId="7263BD63" w14:textId="31C5EDD3" w:rsidR="00591B0F" w:rsidRPr="00591B0F" w:rsidRDefault="002424B6" w:rsidP="00591B0F">
      <w:r>
        <w:rPr>
          <w:noProof/>
        </w:rPr>
        <mc:AlternateContent>
          <mc:Choice Requires="wps">
            <w:drawing>
              <wp:anchor distT="0" distB="0" distL="114300" distR="114300" simplePos="0" relativeHeight="251703296" behindDoc="0" locked="0" layoutInCell="1" allowOverlap="1" wp14:anchorId="0A7F0BD4" wp14:editId="0B34356C">
                <wp:simplePos x="0" y="0"/>
                <wp:positionH relativeFrom="column">
                  <wp:posOffset>4786685</wp:posOffset>
                </wp:positionH>
                <wp:positionV relativeFrom="paragraph">
                  <wp:posOffset>1805360</wp:posOffset>
                </wp:positionV>
                <wp:extent cx="596348" cy="604299"/>
                <wp:effectExtent l="0" t="0" r="13335" b="24765"/>
                <wp:wrapNone/>
                <wp:docPr id="178" name="Oval 178"/>
                <wp:cNvGraphicFramePr/>
                <a:graphic xmlns:a="http://schemas.openxmlformats.org/drawingml/2006/main">
                  <a:graphicData uri="http://schemas.microsoft.com/office/word/2010/wordprocessingShape">
                    <wps:wsp>
                      <wps:cNvSpPr/>
                      <wps:spPr>
                        <a:xfrm>
                          <a:off x="0" y="0"/>
                          <a:ext cx="596348" cy="604299"/>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653833" id="Oval 178" o:spid="_x0000_s1026" style="position:absolute;margin-left:376.9pt;margin-top:142.15pt;width:46.95pt;height:47.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OorUwIAAKMEAAAOAAAAZHJzL2Uyb0RvYy54bWysVMFu2zAMvQ/YPwi6r3bStGuCOkXQIsOA&#10;oivQDj0zshQLkERNUuJ0Xz9Kdptu3WmYDzIp0pTe46Mvrw7WsL0MUaNr+OSk5kw6ga1224Z/f1x/&#10;uuAsJnAtGHSy4c8y8qvlxw+XvV/IKXZoWhkYFXFx0fuGdyn5RVVF0UkL8QS9dBRUGCwkcsO2agP0&#10;VN2aalrX51WPofUBhYyRdm+GIF+W+kpJkb4pFWVipuF0t1TWUNZNXqvlJSy2AXynxXgN+IdbWNCO&#10;Dn0tdQMJ2C7od6WsFgEjqnQi0FaolBayYCA0k/oPNA8deFmwEDnRv9IU/19Zcbd/8PeBaOh9XEQy&#10;M4qDCja/6X7sUMh6fiVLHhITtHk2Pz+dUXcFhc7r2XQ+z2RWx499iOmLRMuy0XBpjPYxw4EF7G9j&#10;GrJfsvK2w7U2prTEONZT3dMzapoAEoYykMi0vm14dFvOwGxJcSKFUjGi0W3+OteJYbu5NoHtgbq+&#10;pqcujaa7/ZaWj76B2A15JTTowepEojTaNvyizs+IzLhcXRZZjQCOrGVrg+3zfWABB51FL9aaDrmF&#10;mO4hkLAIDQ1L+kaLMkgIcbQ46zD8/Nt+zqd+U5SznoRK8H/sIEjOzFdHSphPZrOs7OLMzj5PyQlv&#10;I5u3Ebez10isTGgsvShmzk/mxVQB7RPN1CqfSiFwgs4eiB6d6zQMEE2lkKtVSSM1e0i37sGLXDzz&#10;lOl9PDxB8KMCEknnDl9E/U4FQ+6gg9UuodJFIkdeSV3ZoUkoOhunNo/aW79kHf8ty18AAAD//wMA&#10;UEsDBBQABgAIAAAAIQCWNufy4QAAAAsBAAAPAAAAZHJzL2Rvd25yZXYueG1sTI/NTsMwEITvSLyD&#10;tUhcEHVo2iaEbKoKqT1SUXgAJ3biiHgdYjc/b485wXE0o5lv8v1sOjaqwbWWEJ5WETBFlZUtNQif&#10;H8fHFJjzgqToLCmERTnYF7c3uciknehdjRffsFBCLhMI2vs+49xVWhnhVrZXFLzaDkb4IIeGy0FM&#10;odx0fB1FO25ES2FBi169alV9Xa4GYXc4LXV9Gqvjcl50Kabx++2BI97fzYcXYF7N/i8Mv/gBHYrA&#10;VNorScc6hGQbB3SPsE43MbCQSDdJAqxEiJPnLfAi5/8/FD8AAAD//wMAUEsBAi0AFAAGAAgAAAAh&#10;ALaDOJL+AAAA4QEAABMAAAAAAAAAAAAAAAAAAAAAAFtDb250ZW50X1R5cGVzXS54bWxQSwECLQAU&#10;AAYACAAAACEAOP0h/9YAAACUAQAACwAAAAAAAAAAAAAAAAAvAQAAX3JlbHMvLnJlbHNQSwECLQAU&#10;AAYACAAAACEAwkjqK1MCAACjBAAADgAAAAAAAAAAAAAAAAAuAgAAZHJzL2Uyb0RvYy54bWxQSwEC&#10;LQAUAAYACAAAACEAljbn8uEAAAALAQAADwAAAAAAAAAAAAAAAACtBAAAZHJzL2Rvd25yZXYueG1s&#10;UEsFBgAAAAAEAAQA8wAAALsFAAAAAA==&#10;" filled="f" strokecolor="yellow" strokeweight=".5pt">
                <v:stroke joinstyle="miter"/>
              </v:oval>
            </w:pict>
          </mc:Fallback>
        </mc:AlternateContent>
      </w:r>
      <w:r w:rsidR="00B02D7E">
        <w:rPr>
          <w:noProof/>
        </w:rPr>
        <mc:AlternateContent>
          <mc:Choice Requires="wps">
            <w:drawing>
              <wp:anchor distT="0" distB="0" distL="114300" distR="114300" simplePos="0" relativeHeight="251701248" behindDoc="0" locked="0" layoutInCell="1" allowOverlap="1" wp14:anchorId="1B09717C" wp14:editId="62D8AE76">
                <wp:simplePos x="0" y="0"/>
                <wp:positionH relativeFrom="column">
                  <wp:posOffset>4842068</wp:posOffset>
                </wp:positionH>
                <wp:positionV relativeFrom="paragraph">
                  <wp:posOffset>620202</wp:posOffset>
                </wp:positionV>
                <wp:extent cx="389614" cy="341907"/>
                <wp:effectExtent l="0" t="0" r="10795" b="20320"/>
                <wp:wrapNone/>
                <wp:docPr id="177" name="Oval 177"/>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07CA53" id="Oval 177" o:spid="_x0000_s1026" style="position:absolute;margin-left:381.25pt;margin-top:48.85pt;width:30.7pt;height:26.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CoFSAngAAAACgEAAA8AAABkcnMvZG93bnJldi54bWxMj01PwzAMQO9I/IfI&#10;SNxYuqC2W2k68SGYhLiwoXHNGtNWa5yqybby7zEnOFp+en4uV5PrxQnH0HnSMJ8lIJBqbztqNHxs&#10;n28WIEI0ZE3vCTV8Y4BVdXlRmsL6M73jaRMbwRIKhdHQxjgUUoa6RWfCzA9IvPvyozORx7GRdjRn&#10;lrteqiTJpDMd8YXWDPjYYn3YHJ2G5cML7d7WiZpU3h7Wu+71afuZaX19Nd3fgYg4xT8YfvM5HSpu&#10;2vsj2SB6DXmmUkZZlucgGFio2yWIPZPpPAVZlfL/C9UPAAAA//8DAFBLAQItABQABgAIAAAAIQC2&#10;gziS/gAAAOEBAAATAAAAAAAAAAAAAAAAAAAAAABbQ29udGVudF9UeXBlc10ueG1sUEsBAi0AFAAG&#10;AAgAAAAhADj9If/WAAAAlAEAAAsAAAAAAAAAAAAAAAAALwEAAF9yZWxzLy5yZWxzUEsBAi0AFAAG&#10;AAgAAAAhAOFpz+ZSAgAAowQAAA4AAAAAAAAAAAAAAAAALgIAAGRycy9lMm9Eb2MueG1sUEsBAi0A&#10;FAAGAAgAAAAhACoFSAngAAAACgEAAA8AAAAAAAAAAAAAAAAArAQAAGRycy9kb3ducmV2LnhtbFBL&#10;BQYAAAAABAAEAPMAAAC5BQAAAAA=&#10;" filled="f" strokecolor="red" strokeweight=".5pt">
                <v:stroke joinstyle="miter"/>
              </v:oval>
            </w:pict>
          </mc:Fallback>
        </mc:AlternateContent>
      </w:r>
      <w:r w:rsidR="00294BFE">
        <w:rPr>
          <w:noProof/>
        </w:rPr>
        <mc:AlternateContent>
          <mc:Choice Requires="wps">
            <w:drawing>
              <wp:anchor distT="0" distB="0" distL="114300" distR="114300" simplePos="0" relativeHeight="251699200" behindDoc="0" locked="0" layoutInCell="1" allowOverlap="1" wp14:anchorId="21C91BB6" wp14:editId="3A6F7201">
                <wp:simplePos x="0" y="0"/>
                <wp:positionH relativeFrom="column">
                  <wp:posOffset>3625519</wp:posOffset>
                </wp:positionH>
                <wp:positionV relativeFrom="paragraph">
                  <wp:posOffset>1828800</wp:posOffset>
                </wp:positionV>
                <wp:extent cx="389614" cy="341907"/>
                <wp:effectExtent l="0" t="0" r="10795" b="20320"/>
                <wp:wrapNone/>
                <wp:docPr id="176" name="Oval 176"/>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E586A0" id="Oval 176" o:spid="_x0000_s1026" style="position:absolute;margin-left:285.45pt;margin-top:2in;width:30.7pt;height:26.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CnsF+jiAAAACwEAAA8AAABkcnMvZG93bnJldi54bWxMj8tOwzAQRfdI/IM1&#10;SOyoUwfSNMSpeAgqITZ9qGzd2MRR43EUu234+w4rWI7m6N5zy8XoOnYyQ2g9SphOEmAGa69bbCRs&#10;N293ObAQFWrVeTQSfkyARXV9VapC+zOuzGkdG0YhGAolwcbYF5yH2hqnwsT3Bun37QenIp1Dw/Wg&#10;zhTuOi6SJONOtUgNVvXmxZr6sD46CfPnd9x9LhMxipk9LHftx+vmK5Py9mZ8egQWzRj/YPjVJ3Wo&#10;yGnvj6gD6yQ8zJI5oRJEntMoIrJUpMD2EtL7aQ68Kvn/DdUFAAD//wMAUEsBAi0AFAAGAAgAAAAh&#10;ALaDOJL+AAAA4QEAABMAAAAAAAAAAAAAAAAAAAAAAFtDb250ZW50X1R5cGVzXS54bWxQSwECLQAU&#10;AAYACAAAACEAOP0h/9YAAACUAQAACwAAAAAAAAAAAAAAAAAvAQAAX3JlbHMvLnJlbHNQSwECLQAU&#10;AAYACAAAACEA4WnP5lICAACjBAAADgAAAAAAAAAAAAAAAAAuAgAAZHJzL2Uyb0RvYy54bWxQSwEC&#10;LQAUAAYACAAAACEAKewX6OIAAAALAQAADwAAAAAAAAAAAAAAAACsBAAAZHJzL2Rvd25yZXYueG1s&#10;UEsFBgAAAAAEAAQA8wAAALsFAAAAAA==&#10;" filled="f" strokecolor="red" strokeweight=".5pt">
                <v:stroke joinstyle="miter"/>
              </v:oval>
            </w:pict>
          </mc:Fallback>
        </mc:AlternateContent>
      </w:r>
      <w:r w:rsidR="00294BFE">
        <w:rPr>
          <w:noProof/>
        </w:rPr>
        <mc:AlternateContent>
          <mc:Choice Requires="wps">
            <w:drawing>
              <wp:anchor distT="0" distB="0" distL="114300" distR="114300" simplePos="0" relativeHeight="251697152" behindDoc="0" locked="0" layoutInCell="1" allowOverlap="1" wp14:anchorId="497891B7" wp14:editId="62B5566D">
                <wp:simplePos x="0" y="0"/>
                <wp:positionH relativeFrom="column">
                  <wp:posOffset>4818214</wp:posOffset>
                </wp:positionH>
                <wp:positionV relativeFrom="paragraph">
                  <wp:posOffset>1399430</wp:posOffset>
                </wp:positionV>
                <wp:extent cx="389614" cy="341907"/>
                <wp:effectExtent l="0" t="0" r="10795" b="20320"/>
                <wp:wrapNone/>
                <wp:docPr id="175" name="Oval 175"/>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4ED9D8" id="Oval 175" o:spid="_x0000_s1026" style="position:absolute;margin-left:379.4pt;margin-top:110.2pt;width:30.7pt;height:26.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ET4sRnhAAAACwEAAA8AAABkcnMvZG93bnJldi54bWxMj81OwzAQhO9IvIO1&#10;SNyojVWaEOJU/AgqIS60qFzdeEmixusodtvw9iwnOO7saOabcjn5XhxxjF0gA9czBQKpDq6jxsDH&#10;5vkqBxGTJWf7QGjgGyMsq/Oz0hYunOgdj+vUCA6hWFgDbUpDIWWsW/Q2zsKAxL+vMHqb+Bwb6UZ7&#10;4nDfS63UQnrbETe0dsDHFuv9+uAN3D680PZtpfSks3a/2navT5vPhTGXF9P9HYiEU/ozwy8+o0PF&#10;TLtwIBdFbyC7yRk9GdBazUGwI9dKg9ixks01yKqU/zdUPwAAAP//AwBQSwECLQAUAAYACAAAACEA&#10;toM4kv4AAADhAQAAEwAAAAAAAAAAAAAAAAAAAAAAW0NvbnRlbnRfVHlwZXNdLnhtbFBLAQItABQA&#10;BgAIAAAAIQA4/SH/1gAAAJQBAAALAAAAAAAAAAAAAAAAAC8BAABfcmVscy8ucmVsc1BLAQItABQA&#10;BgAIAAAAIQDhac/mUgIAAKMEAAAOAAAAAAAAAAAAAAAAAC4CAABkcnMvZTJvRG9jLnhtbFBLAQIt&#10;ABQABgAIAAAAIQBE+LEZ4QAAAAsBAAAPAAAAAAAAAAAAAAAAAKwEAABkcnMvZG93bnJldi54bWxQ&#10;SwUGAAAAAAQABADzAAAAugUAAAAA&#10;" filled="f" strokecolor="red" strokeweight=".5pt">
                <v:stroke joinstyle="miter"/>
              </v:oval>
            </w:pict>
          </mc:Fallback>
        </mc:AlternateContent>
      </w:r>
      <w:r w:rsidR="0069541F">
        <w:rPr>
          <w:noProof/>
        </w:rPr>
        <mc:AlternateContent>
          <mc:Choice Requires="wps">
            <w:drawing>
              <wp:anchor distT="0" distB="0" distL="114300" distR="114300" simplePos="0" relativeHeight="251695104" behindDoc="0" locked="0" layoutInCell="1" allowOverlap="1" wp14:anchorId="0102DF70" wp14:editId="7B239E2C">
                <wp:simplePos x="0" y="0"/>
                <wp:positionH relativeFrom="column">
                  <wp:posOffset>1478887</wp:posOffset>
                </wp:positionH>
                <wp:positionV relativeFrom="paragraph">
                  <wp:posOffset>1463040</wp:posOffset>
                </wp:positionV>
                <wp:extent cx="389614" cy="341907"/>
                <wp:effectExtent l="0" t="0" r="10795" b="20320"/>
                <wp:wrapNone/>
                <wp:docPr id="173" name="Oval 173"/>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771030" id="Oval 173" o:spid="_x0000_s1026" style="position:absolute;margin-left:116.45pt;margin-top:115.2pt;width:30.7pt;height:26.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Jtmz1nhAAAACwEAAA8AAABkcnMvZG93bnJldi54bWxMj8tOwzAQRfdI/IM1&#10;SOyojRuVJsSpeAgqITa0qGzdeIijxuModtv07+uuYHdHc3TnTLkYXccOOITWk4L7iQCGVHvTUqPg&#10;e/12NwcWoiajO0+o4IQBFtX1VakL44/0hYdVbFgqoVBoBTbGvuA81BadDhPfI6Xdrx+cjmkcGm4G&#10;fUzlruNSiBl3uqV0weoeXyzWu9XeKcif32nzuRRylA92t9y0H6/rn5lStzfj0yOwiGP8g+Gin9Sh&#10;Sk5bvycTWKdATmWe0EsQGbBEyDybAtumMM8k8Krk/3+ozgAAAP//AwBQSwECLQAUAAYACAAAACEA&#10;toM4kv4AAADhAQAAEwAAAAAAAAAAAAAAAAAAAAAAW0NvbnRlbnRfVHlwZXNdLnhtbFBLAQItABQA&#10;BgAIAAAAIQA4/SH/1gAAAJQBAAALAAAAAAAAAAAAAAAAAC8BAABfcmVscy8ucmVsc1BLAQItABQA&#10;BgAIAAAAIQDhac/mUgIAAKMEAAAOAAAAAAAAAAAAAAAAAC4CAABkcnMvZTJvRG9jLnhtbFBLAQIt&#10;ABQABgAIAAAAIQCbZs9Z4QAAAAsBAAAPAAAAAAAAAAAAAAAAAKwEAABkcnMvZG93bnJldi54bWxQ&#10;SwUGAAAAAAQABADzAAAAugUAAAAA&#10;" filled="f" strokecolor="red" strokeweight=".5pt">
                <v:stroke joinstyle="miter"/>
              </v:oval>
            </w:pict>
          </mc:Fallback>
        </mc:AlternateContent>
      </w:r>
      <w:r w:rsidR="0069541F">
        <w:rPr>
          <w:noProof/>
        </w:rPr>
        <mc:AlternateContent>
          <mc:Choice Requires="wps">
            <w:drawing>
              <wp:anchor distT="0" distB="0" distL="114300" distR="114300" simplePos="0" relativeHeight="251693056" behindDoc="0" locked="0" layoutInCell="1" allowOverlap="1" wp14:anchorId="4BB93E21" wp14:editId="70D3751A">
                <wp:simplePos x="0" y="0"/>
                <wp:positionH relativeFrom="column">
                  <wp:posOffset>1876453</wp:posOffset>
                </wp:positionH>
                <wp:positionV relativeFrom="paragraph">
                  <wp:posOffset>1820848</wp:posOffset>
                </wp:positionV>
                <wp:extent cx="389614" cy="341907"/>
                <wp:effectExtent l="0" t="0" r="10795" b="20320"/>
                <wp:wrapNone/>
                <wp:docPr id="172" name="Oval 172"/>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257077" id="Oval 172" o:spid="_x0000_s1026" style="position:absolute;margin-left:147.75pt;margin-top:143.35pt;width:30.7pt;height:26.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ET2bZ3hAAAACwEAAA8AAABkcnMvZG93bnJldi54bWxMj01PwzAMhu9I/IfI&#10;SNxYQqHdWppOfAgmIS5saFyzxrTVGqdqsq38e8wJbq/lR68fl8vJ9eKIY+g8abieKRBItbcdNRo+&#10;Ns9XCxAhGrKm94QavjHAsjo/K01h/Yne8biOjeASCoXR0MY4FFKGukVnwswPSLz78qMzkcexkXY0&#10;Jy53vUyUyqQzHfGF1gz42GK9Xx+chvzhhbZvK5VMybzdr7bd69PmM9P68mK6vwMRcYp/MPzqszpU&#10;7LTzB7JB9BqSPE0Z5bDI5iCYuEmzHMSOw61KQVal/P9D9QMAAP//AwBQSwECLQAUAAYACAAAACEA&#10;toM4kv4AAADhAQAAEwAAAAAAAAAAAAAAAAAAAAAAW0NvbnRlbnRfVHlwZXNdLnhtbFBLAQItABQA&#10;BgAIAAAAIQA4/SH/1gAAAJQBAAALAAAAAAAAAAAAAAAAAC8BAABfcmVscy8ucmVsc1BLAQItABQA&#10;BgAIAAAAIQDhac/mUgIAAKMEAAAOAAAAAAAAAAAAAAAAAC4CAABkcnMvZTJvRG9jLnhtbFBLAQIt&#10;ABQABgAIAAAAIQBE9m2d4QAAAAsBAAAPAAAAAAAAAAAAAAAAAKwEAABkcnMvZG93bnJldi54bWxQ&#10;SwUGAAAAAAQABADzAAAAugUAAAAA&#10;" filled="f" strokecolor="red" strokeweight=".5pt">
                <v:stroke joinstyle="miter"/>
              </v:oval>
            </w:pict>
          </mc:Fallback>
        </mc:AlternateContent>
      </w:r>
      <w:r w:rsidR="0069541F">
        <w:rPr>
          <w:noProof/>
        </w:rPr>
        <mc:AlternateContent>
          <mc:Choice Requires="wps">
            <w:drawing>
              <wp:anchor distT="0" distB="0" distL="114300" distR="114300" simplePos="0" relativeHeight="251691008" behindDoc="0" locked="0" layoutInCell="1" allowOverlap="1" wp14:anchorId="2C24EC4B" wp14:editId="43BA825A">
                <wp:simplePos x="0" y="0"/>
                <wp:positionH relativeFrom="column">
                  <wp:posOffset>683757</wp:posOffset>
                </wp:positionH>
                <wp:positionV relativeFrom="paragraph">
                  <wp:posOffset>1916265</wp:posOffset>
                </wp:positionV>
                <wp:extent cx="389614" cy="341907"/>
                <wp:effectExtent l="0" t="0" r="10795" b="20320"/>
                <wp:wrapNone/>
                <wp:docPr id="169" name="Oval 169"/>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A0CE03" id="Oval 169" o:spid="_x0000_s1026" style="position:absolute;margin-left:53.85pt;margin-top:150.9pt;width:30.7pt;height:26.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c/mUgIAAKMEAAAOAAAAZHJzL2Uyb0RvYy54bWysVE1vGyEQvVfqf0Dcm/VXvqysIyuRq0pR&#10;Eimpch6z4EUChgL2Ov31Hdh1nDY9VfUBzzDDDO/xZq+u99awnQxRo6v5+GTEmXQCG+02Nf/+vPpy&#10;wVlM4Bow6GTNX2Xk14vPn646P5cTbNE0MjAq4uK88zVvU/LzqoqilRbiCXrpKKgwWEjkhk3VBOio&#10;ujXVZDQ6qzoMjQ8oZIy0e9sH+aLUV0qK9KBUlImZmtPdUllDWdd5rRZXMN8E8K0WwzXgH25hQTtq&#10;+lbqFhKwbdAfSlktAkZU6USgrVApLWTBQGjGoz/QPLXgZcFC5ET/RlP8f2XF/e7JPwaiofNxHsnM&#10;KPYq2PxP92P7QtbrG1lyn5igzenF5dl4xpmg0HQ2vhydZzKr42EfYvoq0bJs1Fwao33McGAOu7uY&#10;+uxDVt52uNLGlCcxjnU1P5ue0qMJIGEoA4lM65uaR7fhDMyGFCdSKBUjGt3k07lODJv1jQlsB/Tq&#10;q9WIfsPdfkvLrW8htn1eCfV6sDqRKI22Nb/Ihw+njcvVZZHVAODIWrbW2Lw+Bhaw11n0YqWpyR3E&#10;9AiBhEVoaFjSAy3KICHEweKsxfDzb/s5n96bopx1JFSC/2MLQXJmvjlSwuV4NsvKLs7s9HxCTngf&#10;Wb+PuK29QWJlTGPpRTFzfjIHUwW0LzRTy9yVQuAE9e6JHpyb1A8QTaWQy2VJIzV7SHfuyYtcPPOU&#10;6X3ev0DwgwISSeceD6L+oII+t9fBcptQ6SKRI6+kruzQJBSdDVObR+29X7KO35bFLwAAAP//AwBQ&#10;SwMEFAAGAAgAAAAhAIXV9KbgAAAACwEAAA8AAABkcnMvZG93bnJldi54bWxMj81OwzAQhO9IvIO1&#10;SNyonaAmNMSp+BFUQlxoUbm68ZJEjddR7Lbh7dme4Dizn2ZnyuXkenHEMXSeNCQzBQKp9rajRsPn&#10;5uXmDkSIhqzpPaGGHwywrC4vSlNYf6IPPK5jIziEQmE0tDEOhZShbtGZMPMDEt++/ehMZDk20o7m&#10;xOGul6lSmXSmI/7QmgGfWqz364PTsHh8pe37SqVTmrf71bZ7e958ZVpfX00P9yAiTvEPhnN9rg4V&#10;d9r5A9kgetYqzxnVcKsS3nAmskUCYsfOfJ6BrEr5f0P1CwAA//8DAFBLAQItABQABgAIAAAAIQC2&#10;gziS/gAAAOEBAAATAAAAAAAAAAAAAAAAAAAAAABbQ29udGVudF9UeXBlc10ueG1sUEsBAi0AFAAG&#10;AAgAAAAhADj9If/WAAAAlAEAAAsAAAAAAAAAAAAAAAAALwEAAF9yZWxzLy5yZWxzUEsBAi0AFAAG&#10;AAgAAAAhAOFpz+ZSAgAAowQAAA4AAAAAAAAAAAAAAAAALgIAAGRycy9lMm9Eb2MueG1sUEsBAi0A&#10;FAAGAAgAAAAhAIXV9KbgAAAACwEAAA8AAAAAAAAAAAAAAAAArAQAAGRycy9kb3ducmV2LnhtbFBL&#10;BQYAAAAABAAEAPMAAAC5BQAAAAA=&#10;" filled="f" strokecolor="red" strokeweight=".5pt">
                <v:stroke joinstyle="miter"/>
              </v:oval>
            </w:pict>
          </mc:Fallback>
        </mc:AlternateContent>
      </w:r>
      <w:r w:rsidR="00BE530A">
        <w:t xml:space="preserve"> </w:t>
      </w:r>
      <w:r w:rsidR="00BE530A" w:rsidRPr="00357B35">
        <w:rPr>
          <w:noProof/>
        </w:rPr>
        <w:drawing>
          <wp:inline distT="0" distB="0" distL="0" distR="0" wp14:anchorId="17ECBB68" wp14:editId="745E6E27">
            <wp:extent cx="2829627" cy="2773017"/>
            <wp:effectExtent l="0" t="0" r="8890" b="8890"/>
            <wp:docPr id="144" name="Picture 144" descr="A picture containing person, indoor, chocolate,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A picture containing person, indoor, chocolate, piece&#10;&#10;Description automatically generated"/>
                    <pic:cNvPicPr/>
                  </pic:nvPicPr>
                  <pic:blipFill>
                    <a:blip r:embed="rId97"/>
                    <a:stretch>
                      <a:fillRect/>
                    </a:stretch>
                  </pic:blipFill>
                  <pic:spPr>
                    <a:xfrm>
                      <a:off x="0" y="0"/>
                      <a:ext cx="2849888" cy="2792872"/>
                    </a:xfrm>
                    <a:prstGeom prst="rect">
                      <a:avLst/>
                    </a:prstGeom>
                  </pic:spPr>
                </pic:pic>
              </a:graphicData>
            </a:graphic>
          </wp:inline>
        </w:drawing>
      </w:r>
      <w:r w:rsidR="0053212E">
        <w:t xml:space="preserve"> </w:t>
      </w:r>
      <w:r w:rsidR="0053212E" w:rsidRPr="000A2857">
        <w:rPr>
          <w:noProof/>
        </w:rPr>
        <w:drawing>
          <wp:inline distT="0" distB="0" distL="0" distR="0" wp14:anchorId="189DA244" wp14:editId="2C6D6FCA">
            <wp:extent cx="2782957" cy="2774723"/>
            <wp:effectExtent l="0" t="0" r="0" b="6985"/>
            <wp:docPr id="141" name="Picture 141" descr="A picture containing chocolate, person, piec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A picture containing chocolate, person, piece, plant&#10;&#10;Description automatically generated"/>
                    <pic:cNvPicPr/>
                  </pic:nvPicPr>
                  <pic:blipFill>
                    <a:blip r:embed="rId98"/>
                    <a:stretch>
                      <a:fillRect/>
                    </a:stretch>
                  </pic:blipFill>
                  <pic:spPr>
                    <a:xfrm>
                      <a:off x="0" y="0"/>
                      <a:ext cx="2791187" cy="2782928"/>
                    </a:xfrm>
                    <a:prstGeom prst="rect">
                      <a:avLst/>
                    </a:prstGeom>
                  </pic:spPr>
                </pic:pic>
              </a:graphicData>
            </a:graphic>
          </wp:inline>
        </w:drawing>
      </w:r>
    </w:p>
    <w:p w14:paraId="3EEB1F3D" w14:textId="70AB2345" w:rsidR="00C52918" w:rsidRDefault="00E71EAC" w:rsidP="0053212E">
      <w:pPr>
        <w:pStyle w:val="Caption"/>
      </w:pPr>
      <w:bookmarkStart w:id="106" w:name="_Toc127110945"/>
      <w:r>
        <w:t xml:space="preserve">Figure </w:t>
      </w:r>
      <w:fldSimple w:instr=" SEQ Figure \* ARABIC ">
        <w:r w:rsidR="00A0212F">
          <w:rPr>
            <w:noProof/>
          </w:rPr>
          <w:t>51</w:t>
        </w:r>
      </w:fldSimple>
      <w:r>
        <w:t xml:space="preserve"> </w:t>
      </w:r>
      <w:r w:rsidR="003769FE">
        <w:t>50</w:t>
      </w:r>
      <w:r w:rsidR="00782BC6">
        <w:t>% addition biochar 1 (left) and biochar 2 (right)</w:t>
      </w:r>
      <w:bookmarkEnd w:id="106"/>
    </w:p>
    <w:p w14:paraId="7CF39C3B" w14:textId="1490E795" w:rsidR="00B72EDD" w:rsidRDefault="00B72EDD" w:rsidP="006577B7">
      <w:pPr>
        <w:spacing w:line="360" w:lineRule="auto"/>
        <w:jc w:val="both"/>
      </w:pPr>
      <w:r>
        <w:t>The 50% biochar</w:t>
      </w:r>
      <w:r w:rsidR="0008756D">
        <w:t xml:space="preserve"> 1</w:t>
      </w:r>
      <w:r>
        <w:t xml:space="preserve"> blend is </w:t>
      </w:r>
      <w:r w:rsidR="0008756D">
        <w:t>presented in figure 51.</w:t>
      </w:r>
      <w:r w:rsidR="006577B7">
        <w:t xml:space="preserve"> This cross section demonstrates a good level of agglomeration</w:t>
      </w:r>
      <w:r w:rsidR="0069541F">
        <w:t xml:space="preserve"> (red circles)</w:t>
      </w:r>
      <w:r w:rsidR="006577B7">
        <w:t xml:space="preserve"> and porosity</w:t>
      </w:r>
      <w:r w:rsidR="00B13D69">
        <w:t>. The quality of sintering</w:t>
      </w:r>
      <w:r w:rsidR="005C358B">
        <w:t>,</w:t>
      </w:r>
      <w:r w:rsidR="00B13D69">
        <w:t xml:space="preserve"> across the cross section is consistent.</w:t>
      </w:r>
    </w:p>
    <w:p w14:paraId="24296B1E" w14:textId="6DBFC4AD" w:rsidR="005C358B" w:rsidRDefault="005C358B" w:rsidP="006577B7">
      <w:pPr>
        <w:spacing w:line="360" w:lineRule="auto"/>
        <w:jc w:val="both"/>
      </w:pPr>
      <w:r>
        <w:t xml:space="preserve">The 50% biochar 2 blend on the right </w:t>
      </w:r>
      <w:r w:rsidR="00A475A9">
        <w:t xml:space="preserve">is far </w:t>
      </w:r>
      <w:r w:rsidR="00294BFE">
        <w:t>denser</w:t>
      </w:r>
      <w:r w:rsidR="00A475A9">
        <w:t xml:space="preserve"> than the 50% biochar 1</w:t>
      </w:r>
      <w:r w:rsidR="00B02D7E">
        <w:t xml:space="preserve"> with a significant difference in porosity. There is fair </w:t>
      </w:r>
      <w:r w:rsidR="00F7773C">
        <w:t>amount</w:t>
      </w:r>
      <w:r w:rsidR="00B02D7E">
        <w:t xml:space="preserve"> of </w:t>
      </w:r>
      <w:r w:rsidR="0037568F">
        <w:t>agglomeration,</w:t>
      </w:r>
      <w:r w:rsidR="00B02D7E">
        <w:t xml:space="preserve"> however</w:t>
      </w:r>
      <w:r w:rsidR="0074648B">
        <w:t xml:space="preserve"> the</w:t>
      </w:r>
      <w:r w:rsidR="00F7773C">
        <w:t>re not much evidence of porosity</w:t>
      </w:r>
      <w:r w:rsidR="00B02D7E">
        <w:t>.</w:t>
      </w:r>
      <w:r w:rsidR="00C327DE">
        <w:t xml:space="preserve"> The area circled in yellow shows where some channelling has taken place.</w:t>
      </w:r>
    </w:p>
    <w:p w14:paraId="434BDB9C" w14:textId="361E3AB8" w:rsidR="00AC781F" w:rsidRDefault="00190156" w:rsidP="006577B7">
      <w:pPr>
        <w:spacing w:line="360" w:lineRule="auto"/>
        <w:jc w:val="both"/>
      </w:pPr>
      <w:r>
        <w:t xml:space="preserve">The 75% biochar 1 </w:t>
      </w:r>
      <w:r w:rsidR="0087633E">
        <w:t>sinter cake is shown below</w:t>
      </w:r>
      <w:r w:rsidR="001F77C7">
        <w:t xml:space="preserve"> on the left</w:t>
      </w:r>
      <w:r w:rsidR="0087633E">
        <w:t xml:space="preserve"> in figure 52, a large channel can be seen on the right side marked with a yellow circle</w:t>
      </w:r>
      <w:r w:rsidR="009019F8">
        <w:t>.</w:t>
      </w:r>
      <w:r w:rsidR="005D3629">
        <w:t xml:space="preserve"> There is evidence of some </w:t>
      </w:r>
      <w:r w:rsidR="008A7B9D">
        <w:t>agglomeration,</w:t>
      </w:r>
      <w:r w:rsidR="005D3629">
        <w:t xml:space="preserve"> and the cross section is very porous</w:t>
      </w:r>
      <w:r w:rsidR="003A5490">
        <w:t xml:space="preserve">, some of the holes are large. The cross section is </w:t>
      </w:r>
      <w:r w:rsidR="008A7B9D">
        <w:t>also misshapen</w:t>
      </w:r>
      <w:r w:rsidR="00811364">
        <w:t xml:space="preserve"> and has a relatively smaller diameter</w:t>
      </w:r>
      <w:r w:rsidR="008A7B9D">
        <w:t xml:space="preserve">. </w:t>
      </w:r>
    </w:p>
    <w:p w14:paraId="36091664" w14:textId="14AF2471" w:rsidR="00C96D02" w:rsidRPr="00B72EDD" w:rsidRDefault="001F77C7" w:rsidP="000C6916">
      <w:pPr>
        <w:spacing w:line="360" w:lineRule="auto"/>
        <w:jc w:val="both"/>
      </w:pPr>
      <w:r>
        <w:t xml:space="preserve">The photograph on the </w:t>
      </w:r>
      <w:r w:rsidR="00970B51">
        <w:t>right-hand</w:t>
      </w:r>
      <w:r>
        <w:t xml:space="preserve"> side is of the 75% biochar 2 sinter cake</w:t>
      </w:r>
      <w:r w:rsidR="003A517B">
        <w:t>. There is little evidence of agglomeration and the un-sintered raw mix granules can be clearly seen</w:t>
      </w:r>
      <w:r w:rsidR="000C6916">
        <w:t xml:space="preserve"> throughout</w:t>
      </w:r>
      <w:r w:rsidR="003A517B">
        <w:t>.</w:t>
      </w:r>
      <w:r w:rsidR="000C6916">
        <w:t xml:space="preserve"> There is a lack of </w:t>
      </w:r>
      <w:r w:rsidR="00B447F0">
        <w:t>porosity,</w:t>
      </w:r>
      <w:r w:rsidR="001708C0">
        <w:t xml:space="preserve"> and the cross section seems dense. </w:t>
      </w:r>
      <w:r w:rsidR="00CE4AD4">
        <w:t xml:space="preserve">The cross section has a red discolouration </w:t>
      </w:r>
      <w:r w:rsidR="00B447F0">
        <w:t xml:space="preserve">on it. The </w:t>
      </w:r>
      <w:r w:rsidR="00811364">
        <w:t>diameter is also smaller than the other samples.</w:t>
      </w:r>
    </w:p>
    <w:p w14:paraId="56DB356D" w14:textId="54171DBE" w:rsidR="000A2857" w:rsidRPr="000A2857" w:rsidRDefault="000C6916" w:rsidP="000A2857">
      <w:r>
        <w:rPr>
          <w:noProof/>
        </w:rPr>
        <w:lastRenderedPageBreak/>
        <mc:AlternateContent>
          <mc:Choice Requires="wps">
            <w:drawing>
              <wp:anchor distT="0" distB="0" distL="114300" distR="114300" simplePos="0" relativeHeight="251715584" behindDoc="0" locked="0" layoutInCell="1" allowOverlap="1" wp14:anchorId="372E178C" wp14:editId="4465A257">
                <wp:simplePos x="0" y="0"/>
                <wp:positionH relativeFrom="column">
                  <wp:posOffset>4086777</wp:posOffset>
                </wp:positionH>
                <wp:positionV relativeFrom="paragraph">
                  <wp:posOffset>1168842</wp:posOffset>
                </wp:positionV>
                <wp:extent cx="389614" cy="341907"/>
                <wp:effectExtent l="0" t="0" r="10795" b="20320"/>
                <wp:wrapNone/>
                <wp:docPr id="185" name="Oval 185"/>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F82A22" id="Oval 185" o:spid="_x0000_s1026" style="position:absolute;margin-left:321.8pt;margin-top:92.05pt;width:30.7pt;height:26.9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I1iVAIAAKMEAAAOAAAAZHJzL2Uyb0RvYy54bWysVE1v2zAMvQ/YfxB0X+206VdQpwhaZBhQ&#10;tAHaoWdGlmIBkqhJSpzu14+S3aZbdxrmg0yKNKn39Oir6701bCdD1OgaPjmqOZNOYKvdpuHfn5Zf&#10;LjiLCVwLBp1s+IuM/Hr++dNV72fyGDs0rQyMirg4633Du5T8rKqi6KSFeIReOgoqDBYSuWFTtQF6&#10;qm5NdVzXZ1WPofUBhYyRdm+HIJ+X+kpJkR6UijIx03A6WyprKOs6r9X8CmabAL7TYjwG/MMpLGhH&#10;Td9K3UICtg36QymrRcCIKh0JtBUqpYUsGAjNpP4DzWMHXhYsRE70bzTF/1dW3O8e/SoQDb2Ps0hm&#10;RrFXweY3nY/tC1kvb2TJfWKCNk8uLs8mU84EhU6mk8v6PJNZHT72IaavEi3LRsOlMdrHDAdmsLuL&#10;ach+zcrbDpfamHIlxrG+4Wcnp3RpAkgYykAi0/q24dFtOAOzIcWJFErFiEa3+etcJ4bN+sYEtgO6&#10;9SU9dbloOttvabn1LcRuyCuhQQ9WJxKl0bbhF3V+RmTG5eqyyGoEcGAtW2tsX1aBBRx0Fr1Yampy&#10;BzGtIJCwCA0NS3qgRRkkhDhanHUYfv5tP+fTfVOUs56ESvB/bCFIzsw3R0q4nEynWdnFmZ6eH5MT&#10;3kfW7yNua2+QWJnQWHpRzJyfzKupAtpnmqlF7kohcIJ6D0SPzk0aBoimUsjFoqSRmj2kO/foRS6e&#10;ecr0Pu2fIfhRAYmkc4+vov6ggiF30MFim1DpIpEDr6Su7NAkFJ2NU5tH7b1fsg7/lvkvAAAA//8D&#10;AFBLAwQUAAYACAAAACEAYMiks98AAAALAQAADwAAAGRycy9kb3ducmV2LnhtbEyPy07DMBBF90j8&#10;gzVIbBB1+iAtIU5VIbVLKgof4MSTh4jHIXbz+HuGFSxH9+rMuel+sq0YsPeNIwXLRQQCqXCmoUrB&#10;58fxcQfCB01Gt45QwYwe9tntTaoT40Z6x+ESKsEQ8olWUIfQJVL6okar/cJ1SJyVrrc68NlX0vR6&#10;ZLht5SqKYml1Q/yh1h2+1lh8Xa5WQXw4zWV5GorjfJ7rXI/D99uDVOr+bjq8gAg4hb8y/OqzOmTs&#10;lLsrGS9aZmzWMVc52G2WILixjZ54Xa5gtd4+g8xS+X9D9gMAAP//AwBQSwECLQAUAAYACAAAACEA&#10;toM4kv4AAADhAQAAEwAAAAAAAAAAAAAAAAAAAAAAW0NvbnRlbnRfVHlwZXNdLnhtbFBLAQItABQA&#10;BgAIAAAAIQA4/SH/1gAAAJQBAAALAAAAAAAAAAAAAAAAAC8BAABfcmVscy8ucmVsc1BLAQItABQA&#10;BgAIAAAAIQCa5I1iVAIAAKMEAAAOAAAAAAAAAAAAAAAAAC4CAABkcnMvZTJvRG9jLnhtbFBLAQIt&#10;ABQABgAIAAAAIQBgyKSz3wAAAAsBAAAPAAAAAAAAAAAAAAAAAK4EAABkcnMvZG93bnJldi54bWxQ&#10;SwUGAAAAAAQABADzAAAAugUAAAAA&#10;" filled="f" strokecolor="yellow" strokeweight=".5pt">
                <v:stroke joinstyle="miter"/>
              </v:oval>
            </w:pict>
          </mc:Fallback>
        </mc:AlternateContent>
      </w:r>
      <w:r>
        <w:rPr>
          <w:noProof/>
        </w:rPr>
        <mc:AlternateContent>
          <mc:Choice Requires="wps">
            <w:drawing>
              <wp:anchor distT="0" distB="0" distL="114300" distR="114300" simplePos="0" relativeHeight="251713536" behindDoc="0" locked="0" layoutInCell="1" allowOverlap="1" wp14:anchorId="7F5F9062" wp14:editId="444FCF5D">
                <wp:simplePos x="0" y="0"/>
                <wp:positionH relativeFrom="column">
                  <wp:posOffset>4221949</wp:posOffset>
                </wp:positionH>
                <wp:positionV relativeFrom="paragraph">
                  <wp:posOffset>2242268</wp:posOffset>
                </wp:positionV>
                <wp:extent cx="389614" cy="341907"/>
                <wp:effectExtent l="0" t="0" r="10795" b="20320"/>
                <wp:wrapNone/>
                <wp:docPr id="184" name="Oval 184"/>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F4D48BF" id="Oval 184" o:spid="_x0000_s1026" style="position:absolute;margin-left:332.45pt;margin-top:176.55pt;width:30.7pt;height:26.9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I1iVAIAAKMEAAAOAAAAZHJzL2Uyb0RvYy54bWysVE1v2zAMvQ/YfxB0X+206VdQpwhaZBhQ&#10;tAHaoWdGlmIBkqhJSpzu14+S3aZbdxrmg0yKNKn39Oir6701bCdD1OgaPjmqOZNOYKvdpuHfn5Zf&#10;LjiLCVwLBp1s+IuM/Hr++dNV72fyGDs0rQyMirg4633Du5T8rKqi6KSFeIReOgoqDBYSuWFTtQF6&#10;qm5NdVzXZ1WPofUBhYyRdm+HIJ+X+kpJkR6UijIx03A6WyprKOs6r9X8CmabAL7TYjwG/MMpLGhH&#10;Td9K3UICtg36QymrRcCIKh0JtBUqpYUsGAjNpP4DzWMHXhYsRE70bzTF/1dW3O8e/SoQDb2Ps0hm&#10;RrFXweY3nY/tC1kvb2TJfWKCNk8uLs8mU84EhU6mk8v6PJNZHT72IaavEi3LRsOlMdrHDAdmsLuL&#10;ach+zcrbDpfamHIlxrG+4Wcnp3RpAkgYykAi0/q24dFtOAOzIcWJFErFiEa3+etcJ4bN+sYEtgO6&#10;9SU9dbloOttvabn1LcRuyCuhQQ9WJxKl0bbhF3V+RmTG5eqyyGoEcGAtW2tsX1aBBRx0Fr1Yampy&#10;BzGtIJCwCA0NS3qgRRkkhDhanHUYfv5tP+fTfVOUs56ESvB/bCFIzsw3R0q4nEynWdnFmZ6eH5MT&#10;3kfW7yNua2+QWJnQWHpRzJyfzKupAtpnmqlF7kohcIJ6D0SPzk0aBoimUsjFoqSRmj2kO/foRS6e&#10;ecr0Pu2fIfhRAYmkc4+vov6ggiF30MFim1DpIpEDr6Su7NAkFJ2NU5tH7b1fsg7/lvkvAAAA//8D&#10;AFBLAwQUAAYACAAAACEAWtFCd98AAAALAQAADwAAAGRycy9kb3ducmV2LnhtbEyPy07DMBAA70j8&#10;g7VIXBB12hRDQ5yqQmqPIAof4MSbOCK2Q+zm8fcsJziudjQ7m+9n27ERh9B6J2G9SoChq7xuXSPh&#10;8+N4/wQsROW06rxDCQsG2BfXV7nKtJ/cO47n2DCSuJApCSbGPuM8VAatCivfo6Nd7QerIo1Dw/Wg&#10;JpLbjm+SRHCrWkcXjOrxxWD1db5YCeJwWur6NFbH5W0xpZrG79c7LuXtzXx4BhZxjn8w/OZTOhTU&#10;VPqL04F15BDbHaES0od0DYyIx41IgZUStonYAS9y/v+H4gcAAP//AwBQSwECLQAUAAYACAAAACEA&#10;toM4kv4AAADhAQAAEwAAAAAAAAAAAAAAAAAAAAAAW0NvbnRlbnRfVHlwZXNdLnhtbFBLAQItABQA&#10;BgAIAAAAIQA4/SH/1gAAAJQBAAALAAAAAAAAAAAAAAAAAC8BAABfcmVscy8ucmVsc1BLAQItABQA&#10;BgAIAAAAIQCa5I1iVAIAAKMEAAAOAAAAAAAAAAAAAAAAAC4CAABkcnMvZTJvRG9jLnhtbFBLAQIt&#10;ABQABgAIAAAAIQBa0UJ33wAAAAsBAAAPAAAAAAAAAAAAAAAAAK4EAABkcnMvZG93bnJldi54bWxQ&#10;SwUGAAAAAAQABADzAAAAugUAAAAA&#10;" filled="f" strokecolor="yellow" strokeweight=".5pt">
                <v:stroke joinstyle="miter"/>
              </v:oval>
            </w:pict>
          </mc:Fallback>
        </mc:AlternateContent>
      </w:r>
      <w:r>
        <w:rPr>
          <w:noProof/>
        </w:rPr>
        <mc:AlternateContent>
          <mc:Choice Requires="wps">
            <w:drawing>
              <wp:anchor distT="0" distB="0" distL="114300" distR="114300" simplePos="0" relativeHeight="251711488" behindDoc="0" locked="0" layoutInCell="1" allowOverlap="1" wp14:anchorId="316D433A" wp14:editId="6F824BC5">
                <wp:simplePos x="0" y="0"/>
                <wp:positionH relativeFrom="column">
                  <wp:posOffset>3800530</wp:posOffset>
                </wp:positionH>
                <wp:positionV relativeFrom="paragraph">
                  <wp:posOffset>1891941</wp:posOffset>
                </wp:positionV>
                <wp:extent cx="389614" cy="341907"/>
                <wp:effectExtent l="0" t="0" r="10795" b="20320"/>
                <wp:wrapNone/>
                <wp:docPr id="182" name="Oval 182"/>
                <wp:cNvGraphicFramePr/>
                <a:graphic xmlns:a="http://schemas.openxmlformats.org/drawingml/2006/main">
                  <a:graphicData uri="http://schemas.microsoft.com/office/word/2010/wordprocessingShape">
                    <wps:wsp>
                      <wps:cNvSpPr/>
                      <wps:spPr>
                        <a:xfrm>
                          <a:off x="0" y="0"/>
                          <a:ext cx="389614" cy="341907"/>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7AD44F" id="Oval 182" o:spid="_x0000_s1026" style="position:absolute;margin-left:299.25pt;margin-top:148.95pt;width:30.7pt;height:26.9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I1iVAIAAKMEAAAOAAAAZHJzL2Uyb0RvYy54bWysVE1v2zAMvQ/YfxB0X+206VdQpwhaZBhQ&#10;tAHaoWdGlmIBkqhJSpzu14+S3aZbdxrmg0yKNKn39Oir6701bCdD1OgaPjmqOZNOYKvdpuHfn5Zf&#10;LjiLCVwLBp1s+IuM/Hr++dNV72fyGDs0rQyMirg4633Du5T8rKqi6KSFeIReOgoqDBYSuWFTtQF6&#10;qm5NdVzXZ1WPofUBhYyRdm+HIJ+X+kpJkR6UijIx03A6WyprKOs6r9X8CmabAL7TYjwG/MMpLGhH&#10;Td9K3UICtg36QymrRcCIKh0JtBUqpYUsGAjNpP4DzWMHXhYsRE70bzTF/1dW3O8e/SoQDb2Ps0hm&#10;RrFXweY3nY/tC1kvb2TJfWKCNk8uLs8mU84EhU6mk8v6PJNZHT72IaavEi3LRsOlMdrHDAdmsLuL&#10;ach+zcrbDpfamHIlxrG+4Wcnp3RpAkgYykAi0/q24dFtOAOzIcWJFErFiEa3+etcJ4bN+sYEtgO6&#10;9SU9dbloOttvabn1LcRuyCuhQQ9WJxKl0bbhF3V+RmTG5eqyyGoEcGAtW2tsX1aBBRx0Fr1Yampy&#10;BzGtIJCwCA0NS3qgRRkkhDhanHUYfv5tP+fTfVOUs56ESvB/bCFIzsw3R0q4nEynWdnFmZ6eH5MT&#10;3kfW7yNua2+QWJnQWHpRzJyfzKupAtpnmqlF7kohcIJ6D0SPzk0aBoimUsjFoqSRmj2kO/foRS6e&#10;ecr0Pu2fIfhRAYmkc4+vov6ggiF30MFim1DpIpEDr6Su7NAkFJ2NU5tH7b1fsg7/lvkvAAAA//8D&#10;AFBLAwQUAAYACAAAACEAq6/S8OEAAAALAQAADwAAAGRycy9kb3ducmV2LnhtbEyPy07DMBBF90j8&#10;gzVIbFDrtChpk8apKqR2CaLwAZN4EkfEdojdPP4es4LdjObozrn5cdYdG2lwrTUCNusIGJnKytY0&#10;Aj4/zqs9MOfRSOysIQELOTgW93c5ZtJO5p3Gq29YCDEuQwHK+z7j3FWKNLq17cmEW20HjT6sQ8Pl&#10;gFMI1x3fRlHCNbYmfFDY04ui6ut60wKS02Wp68tYnZe3RZU4jd+vT1yIx4f5dADmafZ/MPzqB3Uo&#10;glNpb0Y61gmI030cUAHbdJcCC0QSp2EoBTzHmx3wIuf/OxQ/AAAA//8DAFBLAQItABQABgAIAAAA&#10;IQC2gziS/gAAAOEBAAATAAAAAAAAAAAAAAAAAAAAAABbQ29udGVudF9UeXBlc10ueG1sUEsBAi0A&#10;FAAGAAgAAAAhADj9If/WAAAAlAEAAAsAAAAAAAAAAAAAAAAALwEAAF9yZWxzLy5yZWxzUEsBAi0A&#10;FAAGAAgAAAAhAJrkjWJUAgAAowQAAA4AAAAAAAAAAAAAAAAALgIAAGRycy9lMm9Eb2MueG1sUEsB&#10;Ai0AFAAGAAgAAAAhAKuv0vDhAAAACwEAAA8AAAAAAAAAAAAAAAAArgQAAGRycy9kb3ducmV2Lnht&#10;bFBLBQYAAAAABAAEAPMAAAC8BQAAAAA=&#10;" filled="f" strokecolor="yellow" strokeweight=".5pt">
                <v:stroke joinstyle="miter"/>
              </v:oval>
            </w:pict>
          </mc:Fallback>
        </mc:AlternateContent>
      </w:r>
      <w:r w:rsidR="005D3629">
        <w:rPr>
          <w:noProof/>
        </w:rPr>
        <mc:AlternateContent>
          <mc:Choice Requires="wps">
            <w:drawing>
              <wp:anchor distT="0" distB="0" distL="114300" distR="114300" simplePos="0" relativeHeight="251709440" behindDoc="0" locked="0" layoutInCell="1" allowOverlap="1" wp14:anchorId="2CC63F04" wp14:editId="361C28B7">
                <wp:simplePos x="0" y="0"/>
                <wp:positionH relativeFrom="margin">
                  <wp:posOffset>286247</wp:posOffset>
                </wp:positionH>
                <wp:positionV relativeFrom="paragraph">
                  <wp:posOffset>1097280</wp:posOffset>
                </wp:positionV>
                <wp:extent cx="389255" cy="349857"/>
                <wp:effectExtent l="0" t="0" r="10795" b="12700"/>
                <wp:wrapNone/>
                <wp:docPr id="181" name="Oval 181"/>
                <wp:cNvGraphicFramePr/>
                <a:graphic xmlns:a="http://schemas.openxmlformats.org/drawingml/2006/main">
                  <a:graphicData uri="http://schemas.microsoft.com/office/word/2010/wordprocessingShape">
                    <wps:wsp>
                      <wps:cNvSpPr/>
                      <wps:spPr>
                        <a:xfrm>
                          <a:off x="0" y="0"/>
                          <a:ext cx="389255" cy="34985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E6B235" id="Oval 181" o:spid="_x0000_s1026" style="position:absolute;margin-left:22.55pt;margin-top:86.4pt;width:30.65pt;height:27.5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GxeUQIAAKMEAAAOAAAAZHJzL2Uyb0RvYy54bWysVE1vGjEQvVfqf7B8L8tnQlCWCIGoKkUJ&#10;UlLlPHht1pK/ahsW+us79i6BNj1V5WBmPOMZv+c3e/9w1IocuA/SmpIOen1KuGG2kmZX0u+v6y9T&#10;SkIEU4Gyhpf0xAN9mH/+dN+4GR/a2qqKe4JFTJg1rqR1jG5WFIHVXEPoWccNBoX1GiK6fldUHhqs&#10;rlUx7Pdvisb6ynnLeAi4u2qDdJ7rC8FZfBYi8EhUSfFuMa8+r9u0FvN7mO08uFqy7hrwD7fQIA02&#10;fS+1gghk7+WHUloyb4MVscesLqwQkvGMAdEM+n+geanB8YwFyQnunabw/8qyp8OL23ikoXFhFtBM&#10;KI7C6/SP9yPHTNbpnSx+jITh5mh6N5xMKGEYGo3vppPbRGZxOex8iF+51SQZJeVKSRcSHJjB4THE&#10;NvuclbaNXUul8pMoQ5qS3owm+GgMUBhCQURTu6qkwewoAbVDxbHoc8VglazS6VQn+N12qTw5AL76&#10;et3HX3e339JS6xWEus3LoVYPWkYUpZK6pNN0+HxamVSdZ1l1AC6sJWtrq9PGE29bnQXH1hKbPEKI&#10;G/AoLESDwxKfcRHKIkLbWZTU1v/8237Kx/fGKCUNChXh/9iD55SobwaVcDcYj5OyszOe3A7R8deR&#10;7XXE7PXSIisDHEvHspnyozqbwlv9hjO1SF0xBIZh75bozlnGdoBwKhlfLHIaqtlBfDQvjqXiiadE&#10;7+vxDbzrFBBROk/2LOoPKmhzWx0s9tEKmSVy4RXVlRychKyzbmrTqF37OevybZn/AgAA//8DAFBL&#10;AwQUAAYACAAAACEAvAGiheAAAAAKAQAADwAAAGRycy9kb3ducmV2LnhtbEyPy07DMBBF90j8gzVI&#10;7KhdqyQ0xKl4iFZCbGhR2bqxiaPG4yh22/Tvma5gOTNHd84tF6Pv2NEOsQ2oYDoRwCzWwbTYKPja&#10;vN09AItJo9FdQKvgbCMsquurUhcmnPDTHtepYRSCsdAKXEp9wXmsnfU6TkJvkW4/YfA60Tg03Az6&#10;ROG+41KIjHvdIn1wurcvztb79cErmD8vcfuxEnKUuduvtu376+Y7U+r2Znx6BJbsmP5guOiTOlTk&#10;tAsHNJF1Cmb3UyJpn0uqcAFENgO2UyBlPgdelfx/heoXAAD//wMAUEsBAi0AFAAGAAgAAAAhALaD&#10;OJL+AAAA4QEAABMAAAAAAAAAAAAAAAAAAAAAAFtDb250ZW50X1R5cGVzXS54bWxQSwECLQAUAAYA&#10;CAAAACEAOP0h/9YAAACUAQAACwAAAAAAAAAAAAAAAAAvAQAAX3JlbHMvLnJlbHNQSwECLQAUAAYA&#10;CAAAACEAoLhsXlECAACjBAAADgAAAAAAAAAAAAAAAAAuAgAAZHJzL2Uyb0RvYy54bWxQSwECLQAU&#10;AAYACAAAACEAvAGiheAAAAAKAQAADwAAAAAAAAAAAAAAAACrBAAAZHJzL2Rvd25yZXYueG1sUEsF&#10;BgAAAAAEAAQA8wAAALgFAAAAAA==&#10;" filled="f" strokecolor="red" strokeweight=".5pt">
                <v:stroke joinstyle="miter"/>
                <w10:wrap anchorx="margin"/>
              </v:oval>
            </w:pict>
          </mc:Fallback>
        </mc:AlternateContent>
      </w:r>
      <w:r w:rsidR="005D3629">
        <w:rPr>
          <w:noProof/>
        </w:rPr>
        <mc:AlternateContent>
          <mc:Choice Requires="wps">
            <w:drawing>
              <wp:anchor distT="0" distB="0" distL="114300" distR="114300" simplePos="0" relativeHeight="251707392" behindDoc="0" locked="0" layoutInCell="1" allowOverlap="1" wp14:anchorId="3F92AE98" wp14:editId="6F9A75C8">
                <wp:simplePos x="0" y="0"/>
                <wp:positionH relativeFrom="margin">
                  <wp:posOffset>747423</wp:posOffset>
                </wp:positionH>
                <wp:positionV relativeFrom="paragraph">
                  <wp:posOffset>1542691</wp:posOffset>
                </wp:positionV>
                <wp:extent cx="389255" cy="349857"/>
                <wp:effectExtent l="0" t="0" r="10795" b="12700"/>
                <wp:wrapNone/>
                <wp:docPr id="180" name="Oval 180"/>
                <wp:cNvGraphicFramePr/>
                <a:graphic xmlns:a="http://schemas.openxmlformats.org/drawingml/2006/main">
                  <a:graphicData uri="http://schemas.microsoft.com/office/word/2010/wordprocessingShape">
                    <wps:wsp>
                      <wps:cNvSpPr/>
                      <wps:spPr>
                        <a:xfrm>
                          <a:off x="0" y="0"/>
                          <a:ext cx="389255" cy="349857"/>
                        </a:xfrm>
                        <a:prstGeom prst="ellipse">
                          <a:avLst/>
                        </a:prstGeom>
                        <a:noFill/>
                        <a:ln w="63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FBCD41" id="Oval 180" o:spid="_x0000_s1026" style="position:absolute;margin-left:58.85pt;margin-top:121.45pt;width:30.65pt;height:27.5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GxeUQIAAKMEAAAOAAAAZHJzL2Uyb0RvYy54bWysVE1vGjEQvVfqf7B8L8tnQlCWCIGoKkUJ&#10;UlLlPHht1pK/ahsW+us79i6BNj1V5WBmPOMZv+c3e/9w1IocuA/SmpIOen1KuGG2kmZX0u+v6y9T&#10;SkIEU4Gyhpf0xAN9mH/+dN+4GR/a2qqKe4JFTJg1rqR1jG5WFIHVXEPoWccNBoX1GiK6fldUHhqs&#10;rlUx7Pdvisb6ynnLeAi4u2qDdJ7rC8FZfBYi8EhUSfFuMa8+r9u0FvN7mO08uFqy7hrwD7fQIA02&#10;fS+1gghk7+WHUloyb4MVscesLqwQkvGMAdEM+n+geanB8YwFyQnunabw/8qyp8OL23ikoXFhFtBM&#10;KI7C6/SP9yPHTNbpnSx+jITh5mh6N5xMKGEYGo3vppPbRGZxOex8iF+51SQZJeVKSRcSHJjB4THE&#10;NvuclbaNXUul8pMoQ5qS3owm+GgMUBhCQURTu6qkwewoAbVDxbHoc8VglazS6VQn+N12qTw5AL76&#10;et3HX3e339JS6xWEus3LoVYPWkYUpZK6pNN0+HxamVSdZ1l1AC6sJWtrq9PGE29bnQXH1hKbPEKI&#10;G/AoLESDwxKfcRHKIkLbWZTU1v/8237Kx/fGKCUNChXh/9iD55SobwaVcDcYj5OyszOe3A7R8deR&#10;7XXE7PXSIisDHEvHspnyozqbwlv9hjO1SF0xBIZh75bozlnGdoBwKhlfLHIaqtlBfDQvjqXiiadE&#10;7+vxDbzrFBBROk/2LOoPKmhzWx0s9tEKmSVy4RXVlRychKyzbmrTqF37OevybZn/AgAA//8DAFBL&#10;AwQUAAYACAAAACEAJe43LuAAAAALAQAADwAAAGRycy9kb3ducmV2LnhtbEyPzW7CMBCE75X6DtZW&#10;6q3YWBUhIQ7qj1qkikuholcTmzgiXkexgfTtu5za48x+mp0pl6Pv2NkOsQ2oYDoRwCzWwbTYKPja&#10;vj3MgcWk0eguoFXwYyMsq9ubUhcmXPDTnjepYRSCsdAKXEp9wXmsnfU6TkJvkW6HMHidSA4NN4O+&#10;ULjvuBRixr1ukT443dsXZ+vj5uQV5M/vuFuvhBxl5o6rXfvxuv2eKXV/Nz4tgCU7pj8YrvWpOlTU&#10;aR9OaCLrSE+zjFAF8lHmwK5EltO6PTn5XACvSv5/Q/ULAAD//wMAUEsBAi0AFAAGAAgAAAAhALaD&#10;OJL+AAAA4QEAABMAAAAAAAAAAAAAAAAAAAAAAFtDb250ZW50X1R5cGVzXS54bWxQSwECLQAUAAYA&#10;CAAAACEAOP0h/9YAAACUAQAACwAAAAAAAAAAAAAAAAAvAQAAX3JlbHMvLnJlbHNQSwECLQAUAAYA&#10;CAAAACEAoLhsXlECAACjBAAADgAAAAAAAAAAAAAAAAAuAgAAZHJzL2Uyb0RvYy54bWxQSwECLQAU&#10;AAYACAAAACEAJe43LuAAAAALAQAADwAAAAAAAAAAAAAAAACrBAAAZHJzL2Rvd25yZXYueG1sUEsF&#10;BgAAAAAEAAQA8wAAALgFAAAAAA==&#10;" filled="f" strokecolor="red" strokeweight=".5pt">
                <v:stroke joinstyle="miter"/>
                <w10:wrap anchorx="margin"/>
              </v:oval>
            </w:pict>
          </mc:Fallback>
        </mc:AlternateContent>
      </w:r>
      <w:r w:rsidR="0037568F">
        <w:rPr>
          <w:noProof/>
        </w:rPr>
        <mc:AlternateContent>
          <mc:Choice Requires="wps">
            <w:drawing>
              <wp:anchor distT="0" distB="0" distL="114300" distR="114300" simplePos="0" relativeHeight="251705344" behindDoc="0" locked="0" layoutInCell="1" allowOverlap="1" wp14:anchorId="2B0B92B8" wp14:editId="73F2BE89">
                <wp:simplePos x="0" y="0"/>
                <wp:positionH relativeFrom="column">
                  <wp:posOffset>1924216</wp:posOffset>
                </wp:positionH>
                <wp:positionV relativeFrom="paragraph">
                  <wp:posOffset>1073426</wp:posOffset>
                </wp:positionV>
                <wp:extent cx="803081" cy="818984"/>
                <wp:effectExtent l="0" t="0" r="16510" b="19685"/>
                <wp:wrapNone/>
                <wp:docPr id="179" name="Oval 179"/>
                <wp:cNvGraphicFramePr/>
                <a:graphic xmlns:a="http://schemas.openxmlformats.org/drawingml/2006/main">
                  <a:graphicData uri="http://schemas.microsoft.com/office/word/2010/wordprocessingShape">
                    <wps:wsp>
                      <wps:cNvSpPr/>
                      <wps:spPr>
                        <a:xfrm>
                          <a:off x="0" y="0"/>
                          <a:ext cx="803081" cy="818984"/>
                        </a:xfrm>
                        <a:prstGeom prst="ellipse">
                          <a:avLst/>
                        </a:prstGeom>
                        <a:noFill/>
                        <a:ln w="6350"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A91F6B" id="Oval 179" o:spid="_x0000_s1026" style="position:absolute;margin-left:151.5pt;margin-top:84.5pt;width:63.25pt;height:64.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OnXUQIAAKMEAAAOAAAAZHJzL2Uyb0RvYy54bWysVN9P2zAQfp+0/8Hy+0gKhZWKFFWgTpMQ&#10;IMHE89WxG0v+tbPblP31OzuBwtjTtDw4d77L+b7P3+Xicm8N20mM2ruGT45qzqQTvtVu0/Afj6sv&#10;M85iAteC8U42/FlGfrn4/OmiD3N57DtvWomMirg470PDu5TCvKqi6KSFeOSDdBRUHi0kcnFTtQg9&#10;VbemOq7rs6r32Ab0QsZIu9dDkC9KfaWkSHdKRZmYaTj1lsqKZV3ntVpcwHyDEDotxjbgH7qwoB0d&#10;+lrqGhKwLeoPpawW6KNX6Uh4W3mltJAFA6GZ1H+geeggyIKFyInhlab4/8qK291DuEeioQ9xHsnM&#10;KPYKbX5Tf2xfyHp+JUvuExO0OatP6tmEM0Gh2WR2PptmMqvDxwFj+ia9ZdlouDRGh5jhwBx2NzEN&#10;2S9Zedv5lTamXIlxrG/42ckpXZoAEoYykMi0oW14dBvOwGxIcSJhqRi90W3+OteJuFlfGWQ7oFtf&#10;0VOXi6be3qXlo68hdkNeCQ16sDqRKI22GWV+RmTG5eqyyGoEcGAtW2vfPt8jQz/oLAax0nTIDcR0&#10;D0jCIjQ0LOmOFmU8IfSjxVnn8dff9nM+3TdFOetJqAT/5xZQcma+O1LC+WQ6zcouzvT06zE5+Day&#10;fhtxW3vliRW6OOqumDk/mRdTobdPNFPLfCqFwAk6eyB6dK7SMEA0lUIulyWN1Bwg3biHIHLxzFOm&#10;93H/BBhGBSSSzq1/EfUHFQy5gw6W2+SVLhI58Erqyg5NQtHZOLV51N76Jevwb1n8BgAA//8DAFBL&#10;AwQUAAYACAAAACEANYzqM98AAAALAQAADwAAAGRycy9kb3ducmV2LnhtbEyPzU7DMBCE70i8g7VI&#10;XBC1SSFqQpyqQmqPIAoP4MROHBGvQ+zm5+1ZTnDb0Yxmvyn2i+vZZMbQeZTwsBHADNZed9hK+Pw4&#10;3u+AhahQq96jkbCaAPvy+qpQufYzvpvpHFtGJRhyJcHGOOSch9oap8LGDwbJa/zoVCQ5tlyPaqZy&#10;1/NEiJQ71SF9sGowL9bUX+eLk5AeTmvTnKb6uL6ttlLz9P16x6W8vVkOz8CiWeJfGH7xCR1KYqr8&#10;BXVgvYSt2NKWSEaa0UGJxyR7AlZJSLKdAF4W/P+G8gcAAP//AwBQSwECLQAUAAYACAAAACEAtoM4&#10;kv4AAADhAQAAEwAAAAAAAAAAAAAAAAAAAAAAW0NvbnRlbnRfVHlwZXNdLnhtbFBLAQItABQABgAI&#10;AAAAIQA4/SH/1gAAAJQBAAALAAAAAAAAAAAAAAAAAC8BAABfcmVscy8ucmVsc1BLAQItABQABgAI&#10;AAAAIQCsDOnXUQIAAKMEAAAOAAAAAAAAAAAAAAAAAC4CAABkcnMvZTJvRG9jLnhtbFBLAQItABQA&#10;BgAIAAAAIQA1jOoz3wAAAAsBAAAPAAAAAAAAAAAAAAAAAKsEAABkcnMvZG93bnJldi54bWxQSwUG&#10;AAAAAAQABADzAAAAtwUAAAAA&#10;" filled="f" strokecolor="yellow" strokeweight=".5pt">
                <v:stroke joinstyle="miter"/>
              </v:oval>
            </w:pict>
          </mc:Fallback>
        </mc:AlternateContent>
      </w:r>
      <w:r w:rsidR="000A6B4B" w:rsidRPr="000A6B4B">
        <w:rPr>
          <w:noProof/>
        </w:rPr>
        <w:drawing>
          <wp:inline distT="0" distB="0" distL="0" distR="0" wp14:anchorId="4758A407" wp14:editId="12390335">
            <wp:extent cx="2814320" cy="3156668"/>
            <wp:effectExtent l="0" t="0" r="5080" b="571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2841053" cy="3186653"/>
                    </a:xfrm>
                    <a:prstGeom prst="rect">
                      <a:avLst/>
                    </a:prstGeom>
                  </pic:spPr>
                </pic:pic>
              </a:graphicData>
            </a:graphic>
          </wp:inline>
        </w:drawing>
      </w:r>
      <w:r w:rsidR="0053212E">
        <w:t xml:space="preserve"> </w:t>
      </w:r>
      <w:r w:rsidRPr="003769FE">
        <w:rPr>
          <w:noProof/>
        </w:rPr>
        <w:drawing>
          <wp:inline distT="0" distB="0" distL="0" distR="0" wp14:anchorId="398FF102" wp14:editId="621D9E49">
            <wp:extent cx="2780050" cy="3163960"/>
            <wp:effectExtent l="0" t="0" r="1270" b="0"/>
            <wp:docPr id="183" name="Picture 183" descr="A picture containing chocolate, piece, plant,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A picture containing chocolate, piece, plant, close&#10;&#10;Description automatically generated"/>
                    <pic:cNvPicPr/>
                  </pic:nvPicPr>
                  <pic:blipFill>
                    <a:blip r:embed="rId100"/>
                    <a:stretch>
                      <a:fillRect/>
                    </a:stretch>
                  </pic:blipFill>
                  <pic:spPr>
                    <a:xfrm>
                      <a:off x="0" y="0"/>
                      <a:ext cx="2792246" cy="3177841"/>
                    </a:xfrm>
                    <a:prstGeom prst="rect">
                      <a:avLst/>
                    </a:prstGeom>
                  </pic:spPr>
                </pic:pic>
              </a:graphicData>
            </a:graphic>
          </wp:inline>
        </w:drawing>
      </w:r>
    </w:p>
    <w:p w14:paraId="4A9242DE" w14:textId="021669E7" w:rsidR="0085471C" w:rsidRDefault="003769FE" w:rsidP="003769FE">
      <w:pPr>
        <w:pStyle w:val="Caption"/>
      </w:pPr>
      <w:bookmarkStart w:id="107" w:name="_Toc127110946"/>
      <w:r>
        <w:t xml:space="preserve">Figure </w:t>
      </w:r>
      <w:fldSimple w:instr=" SEQ Figure \* ARABIC ">
        <w:r w:rsidR="00A0212F">
          <w:rPr>
            <w:noProof/>
          </w:rPr>
          <w:t>52</w:t>
        </w:r>
      </w:fldSimple>
      <w:r>
        <w:t xml:space="preserve"> 75% addition</w:t>
      </w:r>
      <w:r w:rsidRPr="003769FE">
        <w:t xml:space="preserve"> </w:t>
      </w:r>
      <w:r>
        <w:t>biochar 1 (left) and biochar 2 (right)</w:t>
      </w:r>
      <w:bookmarkEnd w:id="107"/>
    </w:p>
    <w:p w14:paraId="198DDD74" w14:textId="643BFF2B" w:rsidR="0085471C" w:rsidRDefault="00A04869" w:rsidP="009961FE">
      <w:pPr>
        <w:spacing w:line="360" w:lineRule="auto"/>
        <w:jc w:val="both"/>
      </w:pPr>
      <w:r>
        <w:t xml:space="preserve">The </w:t>
      </w:r>
      <w:r w:rsidR="009961FE">
        <w:t>sinter quality analysis carried out on biochar 1 &amp; 2</w:t>
      </w:r>
      <w:r w:rsidR="00BC32BE">
        <w:t xml:space="preserve"> demonstrates the potential for using biochar as a partial replacement for </w:t>
      </w:r>
      <w:r w:rsidR="00204510">
        <w:t xml:space="preserve">coke breeze as a fuel in the sinter making process. </w:t>
      </w:r>
      <w:r w:rsidR="00F82CB9">
        <w:t>Using these results</w:t>
      </w:r>
      <w:r w:rsidR="00625C5C">
        <w:t>,</w:t>
      </w:r>
      <w:r w:rsidR="00F82CB9">
        <w:t xml:space="preserve"> up to 50%</w:t>
      </w:r>
      <w:r w:rsidR="00310B52">
        <w:t xml:space="preserve"> of</w:t>
      </w:r>
      <w:r w:rsidR="00F82CB9">
        <w:t xml:space="preserve"> </w:t>
      </w:r>
      <w:r w:rsidR="0021583F">
        <w:t>biochar 1</w:t>
      </w:r>
      <w:r w:rsidR="00625C5C">
        <w:t xml:space="preserve"> and 25%</w:t>
      </w:r>
      <w:r w:rsidR="00310B52">
        <w:t xml:space="preserve"> of</w:t>
      </w:r>
      <w:r w:rsidR="00625C5C">
        <w:t xml:space="preserve"> biochar 2</w:t>
      </w:r>
      <w:r w:rsidR="0021583F">
        <w:t xml:space="preserve"> could be </w:t>
      </w:r>
      <w:r w:rsidR="00625C5C">
        <w:t xml:space="preserve">substituted for coke breeze </w:t>
      </w:r>
      <w:r w:rsidR="00FD25E2">
        <w:t xml:space="preserve">before overly </w:t>
      </w:r>
      <w:r w:rsidR="00625C5C">
        <w:t>affecting quality results</w:t>
      </w:r>
      <w:r w:rsidR="00310B52">
        <w:t xml:space="preserve">. </w:t>
      </w:r>
      <w:r w:rsidR="00BA07C5">
        <w:t xml:space="preserve">In general biochar addition had the effect of </w:t>
      </w:r>
      <w:r w:rsidR="00807F82">
        <w:t>decreasing maximum temperature and the length of time</w:t>
      </w:r>
      <w:r w:rsidR="00D5115D">
        <w:t xml:space="preserve"> the sinter temperature is held</w:t>
      </w:r>
      <w:r w:rsidR="00807F82">
        <w:t xml:space="preserve"> </w:t>
      </w:r>
      <w:r w:rsidR="00D5115D">
        <w:t>over 1000</w:t>
      </w:r>
      <w:r w:rsidR="00D5115D" w:rsidRPr="00D5115D">
        <w:rPr>
          <w:vertAlign w:val="superscript"/>
        </w:rPr>
        <w:t>0</w:t>
      </w:r>
      <w:r w:rsidR="00D5115D">
        <w:t>C</w:t>
      </w:r>
      <w:r w:rsidR="00FD25E2">
        <w:t xml:space="preserve">, </w:t>
      </w:r>
      <w:r w:rsidR="0078562B">
        <w:t>decreased sinter yield</w:t>
      </w:r>
      <w:r w:rsidR="00940FA3">
        <w:t>. The tumble and abrasion and RDI indices also dropped as the level of substitution increased.</w:t>
      </w:r>
      <w:r w:rsidR="00BD5DB8">
        <w:t xml:space="preserve"> Further tests would be required as there were some inconsistencies in these results. The 50% biochar1 for example</w:t>
      </w:r>
      <w:r w:rsidR="00825EFD">
        <w:t>,</w:t>
      </w:r>
      <w:r w:rsidR="00BD5DB8">
        <w:t xml:space="preserve"> </w:t>
      </w:r>
      <w:r w:rsidR="00825EFD">
        <w:t>produced the</w:t>
      </w:r>
      <w:r w:rsidR="00BD5DB8">
        <w:t xml:space="preserve"> strongest </w:t>
      </w:r>
      <w:r w:rsidR="00825EFD">
        <w:t xml:space="preserve">sinter. </w:t>
      </w:r>
    </w:p>
    <w:p w14:paraId="222663AB" w14:textId="4DE64AB6" w:rsidR="00EC1C96" w:rsidRDefault="000A516B" w:rsidP="009961FE">
      <w:pPr>
        <w:spacing w:line="360" w:lineRule="auto"/>
        <w:jc w:val="both"/>
      </w:pPr>
      <w:r>
        <w:t xml:space="preserve">In hindsight, more fuel could have been added to the raw mix to better aid </w:t>
      </w:r>
      <w:r w:rsidR="00FB0EFA">
        <w:t xml:space="preserve">sinter agglomeration. A 4% fuel addition was tried on the base blend, which turned out to be </w:t>
      </w:r>
      <w:r w:rsidR="00F23722">
        <w:t>too</w:t>
      </w:r>
      <w:r w:rsidR="00FB0EFA">
        <w:t xml:space="preserve"> low, as the </w:t>
      </w:r>
      <w:r w:rsidR="00F23722">
        <w:t>quality of sinter produced</w:t>
      </w:r>
      <w:r w:rsidR="00FB0EFA">
        <w:t xml:space="preserve"> was very poor. The </w:t>
      </w:r>
      <w:r w:rsidR="000C0EC6">
        <w:t xml:space="preserve">fuel addition was then raised to 5% for these tests. A 6% fuel addition may have been more beneficial. </w:t>
      </w:r>
    </w:p>
    <w:p w14:paraId="6FDEC2F2" w14:textId="53B893CC" w:rsidR="00AD4644" w:rsidRDefault="00AD4644" w:rsidP="009961FE">
      <w:pPr>
        <w:spacing w:line="360" w:lineRule="auto"/>
        <w:jc w:val="both"/>
      </w:pPr>
      <w:r>
        <w:t>The moisture level was set at 6%</w:t>
      </w:r>
      <w:r w:rsidR="00E67391">
        <w:t xml:space="preserve"> for all tests. According to </w:t>
      </w:r>
      <w:r w:rsidR="00336B19">
        <w:fldChar w:fldCharType="begin"/>
      </w:r>
      <w:r w:rsidR="00192334">
        <w:instrText xml:space="preserve"> ADDIN ZOTERO_ITEM CSL_CITATION {"citationID":"1zsOrKRL","properties":{"formattedCitation":"(Kawaguchi and Hara, 2013)","plainCitation":"(Kawaguchi and Hara, 2013)","noteIndex":0},"citationItems":[{"id":1917,"uris":["http://zotero.org/users/local/AB2owHL2/items/TDKN9GFN"],"itemData":{"id":1917,"type":"article-journal","container-title":"ISIJ International","DOI":"10.2355/isijinternational.53.1599","ISSN":"0915-1559, 1347-5460","issue":"9","journalAbbreviation":"ISIJ Int.","language":"en","page":"1599-1606","source":"DOI.org (Crossref)","title":"Utilization of Biomass for Iron Ore Sintering","URL":"https://www.jstage.jst.go.jp/article/isijinternational/53/9/53_1599/_article","volume":"53","author":[{"family":"Kawaguchi","given":"Takazo"},{"family":"Hara","given":"Masaki"}],"accessed":{"date-parts":[["2022",8,24]]},"issued":{"date-parts":[["2013"]]}}}],"schema":"https://github.com/citation-style-language/schema/raw/master/csl-citation.json"} </w:instrText>
      </w:r>
      <w:r w:rsidR="00336B19">
        <w:fldChar w:fldCharType="separate"/>
      </w:r>
      <w:r w:rsidR="00192334" w:rsidRPr="00192334">
        <w:rPr>
          <w:rFonts w:ascii="Calibri" w:hAnsi="Calibri" w:cs="Calibri"/>
        </w:rPr>
        <w:t>(Kawaguchi and Hara, 2013)</w:t>
      </w:r>
      <w:r w:rsidR="00336B19">
        <w:fldChar w:fldCharType="end"/>
      </w:r>
      <w:r w:rsidR="00EA6CAF">
        <w:t>, due to the porous nature of biomass</w:t>
      </w:r>
      <w:r w:rsidR="00D857A4">
        <w:t>, a higher moisture addition is required to ensure appropriate granulation of the sinter mix.</w:t>
      </w:r>
      <w:r w:rsidR="00AB7925">
        <w:t xml:space="preserve"> A 7% - 8% moisture level for the </w:t>
      </w:r>
      <w:r w:rsidR="00C64A2C">
        <w:t>biochar blends may have been more suitable.</w:t>
      </w:r>
    </w:p>
    <w:p w14:paraId="6B5529F9" w14:textId="673F16DD" w:rsidR="00A9300C" w:rsidRDefault="00EC1C96" w:rsidP="00900CC1">
      <w:pPr>
        <w:spacing w:line="360" w:lineRule="auto"/>
        <w:jc w:val="both"/>
      </w:pPr>
      <w:r>
        <w:t>More tests will have also given the author more practice using the equipment</w:t>
      </w:r>
      <w:r w:rsidR="00C64A2C">
        <w:t xml:space="preserve"> and aid in achieving more consistent results. </w:t>
      </w:r>
      <w:r w:rsidR="001545A4">
        <w:t xml:space="preserve">Further trials could </w:t>
      </w:r>
      <w:r w:rsidR="000349BF">
        <w:t xml:space="preserve">examine the effect of biochar PSD, </w:t>
      </w:r>
      <w:r w:rsidR="00970B51">
        <w:t>feedstock,</w:t>
      </w:r>
      <w:r w:rsidR="00C51C3F">
        <w:t xml:space="preserve"> and pyrolysis conditions on sintering performance</w:t>
      </w:r>
      <w:r w:rsidR="001B2E2D">
        <w:t>.</w:t>
      </w:r>
    </w:p>
    <w:p w14:paraId="7A5D0D46" w14:textId="52BD37DE" w:rsidR="007E7E24" w:rsidRDefault="007E7E24" w:rsidP="00900CC1">
      <w:pPr>
        <w:spacing w:line="360" w:lineRule="auto"/>
        <w:jc w:val="both"/>
      </w:pPr>
      <w:r>
        <w:lastRenderedPageBreak/>
        <w:t>Due to the safety implications of increased volatile matter in the fuel, plant scale trial would be required.</w:t>
      </w:r>
    </w:p>
    <w:p w14:paraId="6A62CC14" w14:textId="7540FC22" w:rsidR="00A56593" w:rsidRDefault="00730D90" w:rsidP="00730D90">
      <w:pPr>
        <w:pStyle w:val="Heading3"/>
        <w:spacing w:line="360" w:lineRule="auto"/>
        <w:jc w:val="both"/>
      </w:pPr>
      <w:bookmarkStart w:id="108" w:name="_Toc128599637"/>
      <w:r>
        <w:t>Biochar comparison</w:t>
      </w:r>
      <w:bookmarkEnd w:id="108"/>
    </w:p>
    <w:p w14:paraId="5915AD2B" w14:textId="289F5766" w:rsidR="00730D90" w:rsidRDefault="00A730BE" w:rsidP="00730D90">
      <w:pPr>
        <w:spacing w:line="360" w:lineRule="auto"/>
        <w:jc w:val="both"/>
      </w:pPr>
      <w:r>
        <w:t xml:space="preserve">The results indicate that biochar 1 has superior </w:t>
      </w:r>
      <w:r w:rsidR="00E65161">
        <w:t>properties for use in steelmaking processes when compared with biochar 2.</w:t>
      </w:r>
      <w:r w:rsidR="00241095">
        <w:t xml:space="preserve"> Biochar 1 outperformed biochar 2</w:t>
      </w:r>
      <w:r>
        <w:t xml:space="preserve"> </w:t>
      </w:r>
      <w:r w:rsidR="00241095">
        <w:t xml:space="preserve">in every aspect of each process. </w:t>
      </w:r>
    </w:p>
    <w:p w14:paraId="03E8B9ED" w14:textId="5B3EF047" w:rsidR="00D35C71" w:rsidRDefault="00903D52" w:rsidP="00730D90">
      <w:pPr>
        <w:spacing w:line="360" w:lineRule="auto"/>
        <w:jc w:val="both"/>
      </w:pPr>
      <w:r>
        <w:fldChar w:fldCharType="begin"/>
      </w:r>
      <w:r w:rsidR="00192334">
        <w:instrText xml:space="preserve"> ADDIN ZOTERO_ITEM CSL_CITATION {"citationID":"yDj3L7ey","properties":{"formattedCitation":"(Ning {\\i{}et al.}, 2022)","plainCitation":"(Ning et al., 2022)","noteIndex":0},"citationItems":[{"id":1667,"uris":["http://zotero.org/users/local/AB2owHL2/items/5FHLH8XY"],"itemData":{"id":1667,"type":"article-journal","abstract":"As a carbon–neutral fuel, biomass plays a prominent role in replacing fossil fuels. The objective of this research is to uncover the influence of pyrolysis temperature on the metallurgical properties of biochar, as well as to provide a theoretical reference for the preparation of biochar suitable for blast furnace injection. The metallurgical properties of biochar have been systematically studied through the comparative analysis of the physical and chemical properties of biochar. The results show that pyrolysis technology can effectively improve the fuel performance of biomass. As the pyrolysis temperature increases, the fuel performance of biochar increases, the carbonization degree gradually increases, and the combustion performance and reactivity gradually weaken, approaching carbonaceous materials. The Coats-Redfern kinetic equation is used for the kinetic fitting of the combustion process of biochar, and has achieved good results. This clarifies the speed control link in the combustion process of biochar.","container-title":"Fuel","DOI":"10.1016/j.fuel.2021.122648","ISSN":"0016-2361","journalAbbreviation":"Fuel","language":"en","page":"122648","source":"ScienceDirect","title":"Effect of pyrolysis temperature on blast furnace injection performance of biochar","URL":"https://www.sciencedirect.com/science/article/pii/S0016236121025151","volume":"313","author":[{"family":"Ning","given":"Xiaojun"},{"family":"Liang","given":"Wang"},{"family":"Wang","given":"Guangwei"},{"family":"Xu","given":"Runsheng"},{"family":"Wang","given":"Peng"},{"family":"Zhang","given":"Jianliang"},{"family":"Guo","given":"Xingmin"},{"family":"Jiang","given":"Chunhe"},{"family":"Li","given":"Jinhua"},{"family":"Wang","given":"Chuan"}],"accessed":{"date-parts":[["2022",6,27]]},"issued":{"date-parts":[["2022",4,1]]}}}],"schema":"https://github.com/citation-style-language/schema/raw/master/csl-citation.json"} </w:instrText>
      </w:r>
      <w:r>
        <w:fldChar w:fldCharType="separate"/>
      </w:r>
      <w:r w:rsidR="00192334" w:rsidRPr="00192334">
        <w:rPr>
          <w:rFonts w:ascii="Calibri" w:hAnsi="Calibri" w:cs="Calibri"/>
          <w:szCs w:val="24"/>
        </w:rPr>
        <w:t xml:space="preserve">(Ning </w:t>
      </w:r>
      <w:r w:rsidR="00192334" w:rsidRPr="00192334">
        <w:rPr>
          <w:rFonts w:ascii="Calibri" w:hAnsi="Calibri" w:cs="Calibri"/>
          <w:i/>
          <w:iCs/>
          <w:szCs w:val="24"/>
        </w:rPr>
        <w:t>et al.</w:t>
      </w:r>
      <w:r w:rsidR="00192334" w:rsidRPr="00192334">
        <w:rPr>
          <w:rFonts w:ascii="Calibri" w:hAnsi="Calibri" w:cs="Calibri"/>
          <w:szCs w:val="24"/>
        </w:rPr>
        <w:t>, 2022)</w:t>
      </w:r>
      <w:r>
        <w:fldChar w:fldCharType="end"/>
      </w:r>
      <w:r w:rsidR="00F97B70">
        <w:t xml:space="preserve"> state that the m</w:t>
      </w:r>
      <w:r w:rsidR="005F55CB">
        <w:t xml:space="preserve">ost important </w:t>
      </w:r>
      <w:r w:rsidR="00F97B70">
        <w:t xml:space="preserve">factor affecting </w:t>
      </w:r>
      <w:r w:rsidR="005D185D">
        <w:t>biochar properties</w:t>
      </w:r>
      <w:r w:rsidR="00CD2DE7">
        <w:t xml:space="preserve"> is</w:t>
      </w:r>
      <w:r w:rsidR="005D185D">
        <w:t xml:space="preserve"> pyrolysis temperature</w:t>
      </w:r>
      <w:r w:rsidR="00CD2DE7">
        <w:t xml:space="preserve">, this determines </w:t>
      </w:r>
      <w:r w:rsidR="00163D83">
        <w:t>the yield, microstructure and chemical properties of the biochar produced.</w:t>
      </w:r>
      <w:r w:rsidR="00F6199B">
        <w:t xml:space="preserve"> As pyrolysis temperature increases the</w:t>
      </w:r>
      <w:r w:rsidR="00EF46A5">
        <w:t xml:space="preserve"> biochar</w:t>
      </w:r>
      <w:r w:rsidR="00F6199B">
        <w:t xml:space="preserve"> VM</w:t>
      </w:r>
      <w:r w:rsidR="00EF46A5">
        <w:t xml:space="preserve"> and yield decreases while carbonisation and </w:t>
      </w:r>
      <w:r w:rsidR="00867359">
        <w:t>CV increases</w:t>
      </w:r>
      <w:r w:rsidR="00FF7781">
        <w:t>,</w:t>
      </w:r>
      <w:r w:rsidR="001D4813">
        <w:t xml:space="preserve"> as previously demonstrated in figure 8</w:t>
      </w:r>
      <w:r w:rsidR="00867359">
        <w:t>.</w:t>
      </w:r>
      <w:r w:rsidR="00245A18">
        <w:t xml:space="preserve"> The optimum value was found to be 500</w:t>
      </w:r>
      <w:r w:rsidR="00245A18" w:rsidRPr="00245A18">
        <w:rPr>
          <w:vertAlign w:val="superscript"/>
        </w:rPr>
        <w:t>0</w:t>
      </w:r>
      <w:r w:rsidR="001D4813">
        <w:t>C.</w:t>
      </w:r>
    </w:p>
    <w:p w14:paraId="0244A85A" w14:textId="014148F6" w:rsidR="00B81E7A" w:rsidRDefault="00013239" w:rsidP="00B81E7A">
      <w:pPr>
        <w:spacing w:line="360" w:lineRule="auto"/>
        <w:jc w:val="both"/>
      </w:pPr>
      <w:r>
        <w:t xml:space="preserve">The </w:t>
      </w:r>
      <w:r w:rsidR="009B0AA7">
        <w:t xml:space="preserve">process parameters used to produce biochar 1 are known while not all the </w:t>
      </w:r>
      <w:r w:rsidR="004C29C4">
        <w:t xml:space="preserve">process </w:t>
      </w:r>
      <w:r w:rsidR="009B0AA7">
        <w:t>parameters for biochar</w:t>
      </w:r>
      <w:r w:rsidR="004C29C4">
        <w:t xml:space="preserve"> 2 were disclosed. </w:t>
      </w:r>
      <w:r w:rsidR="002253E4">
        <w:t xml:space="preserve">Although </w:t>
      </w:r>
      <w:r w:rsidR="00937BE7">
        <w:t xml:space="preserve">due to </w:t>
      </w:r>
      <w:r w:rsidR="00976ECE">
        <w:t>biochar 2’s</w:t>
      </w:r>
      <w:r w:rsidR="00937BE7">
        <w:t xml:space="preserve"> lower carbon content and higher VM it can be assumed that the pyrolysis temperature and or resi</w:t>
      </w:r>
      <w:r w:rsidR="00B81E7A">
        <w:t>dence time were lower</w:t>
      </w:r>
      <w:r w:rsidR="00976ECE">
        <w:t xml:space="preserve"> than biochar 1</w:t>
      </w:r>
      <w:r w:rsidR="00B81E7A">
        <w:t xml:space="preserve">. </w:t>
      </w:r>
    </w:p>
    <w:p w14:paraId="68601625" w14:textId="21D8E173" w:rsidR="00CD539B" w:rsidRDefault="0014734F" w:rsidP="00CD539B">
      <w:pPr>
        <w:pStyle w:val="Heading2"/>
        <w:spacing w:line="360" w:lineRule="auto"/>
        <w:jc w:val="both"/>
      </w:pPr>
      <w:bookmarkStart w:id="109" w:name="_Toc128599638"/>
      <w:r>
        <w:t>Carbon Dioxide</w:t>
      </w:r>
      <w:r w:rsidR="009F6174">
        <w:t xml:space="preserve"> emission</w:t>
      </w:r>
      <w:r>
        <w:t xml:space="preserve"> </w:t>
      </w:r>
      <w:r w:rsidR="008F2495">
        <w:t>mitigation</w:t>
      </w:r>
      <w:r w:rsidR="005F332E">
        <w:t xml:space="preserve"> potential using Biochar </w:t>
      </w:r>
      <w:r w:rsidR="00784F59">
        <w:t>at Port Talbot Steelworks</w:t>
      </w:r>
      <w:bookmarkEnd w:id="109"/>
    </w:p>
    <w:p w14:paraId="6066A66F" w14:textId="36B8BE0F" w:rsidR="00813F48" w:rsidRDefault="00255F91" w:rsidP="00255F91">
      <w:pPr>
        <w:spacing w:line="360" w:lineRule="auto"/>
        <w:jc w:val="both"/>
      </w:pPr>
      <w:r>
        <w:t>In 2021 Port Talbot steelworks produced</w:t>
      </w:r>
      <w:r w:rsidR="00813F48">
        <w:t>:</w:t>
      </w:r>
    </w:p>
    <w:p w14:paraId="04CFF9F0" w14:textId="58BC5916" w:rsidR="004D3302" w:rsidRDefault="004D3302" w:rsidP="00255F91">
      <w:pPr>
        <w:spacing w:line="360" w:lineRule="auto"/>
        <w:jc w:val="both"/>
      </w:pPr>
      <w:r>
        <w:t>Approx. 3</w:t>
      </w:r>
      <w:r w:rsidR="0070207D">
        <w:t>.</w:t>
      </w:r>
      <w:r>
        <w:t xml:space="preserve">5 </w:t>
      </w:r>
      <w:r w:rsidR="00B37B60">
        <w:t>M</w:t>
      </w:r>
      <w:r>
        <w:t xml:space="preserve">t of </w:t>
      </w:r>
      <w:r w:rsidR="00F80884">
        <w:t xml:space="preserve">Iron, </w:t>
      </w:r>
      <w:r w:rsidR="005D20B7">
        <w:t>using 6</w:t>
      </w:r>
      <w:r w:rsidR="00B37B60">
        <w:t>3</w:t>
      </w:r>
      <w:r w:rsidR="00961B8C">
        <w:t>0</w:t>
      </w:r>
      <w:r w:rsidR="005D20B7">
        <w:t xml:space="preserve"> </w:t>
      </w:r>
      <w:r w:rsidR="00B37B60">
        <w:t>k</w:t>
      </w:r>
      <w:r w:rsidR="005D20B7">
        <w:t>t of PCI coal and 1</w:t>
      </w:r>
      <w:r w:rsidR="0070207D">
        <w:t>.</w:t>
      </w:r>
      <w:r w:rsidR="005D20B7">
        <w:t xml:space="preserve">12 </w:t>
      </w:r>
      <w:r w:rsidR="0070207D">
        <w:t>M</w:t>
      </w:r>
      <w:r w:rsidR="005D20B7">
        <w:t>t of coke</w:t>
      </w:r>
      <w:r w:rsidR="00F21D3E">
        <w:t xml:space="preserve"> - at the BF</w:t>
      </w:r>
      <w:r w:rsidR="00EA3D79">
        <w:t>.</w:t>
      </w:r>
    </w:p>
    <w:p w14:paraId="7C05D456" w14:textId="76D9AF22" w:rsidR="006B2D03" w:rsidRDefault="00F21D3E" w:rsidP="00255F91">
      <w:pPr>
        <w:spacing w:line="360" w:lineRule="auto"/>
        <w:jc w:val="both"/>
      </w:pPr>
      <w:r>
        <w:t xml:space="preserve">Approx. </w:t>
      </w:r>
      <w:r w:rsidR="00961B8C">
        <w:t>9</w:t>
      </w:r>
      <w:r w:rsidR="00AE3F4D">
        <w:t>00 kt of coke using 1.3 Mt of coal</w:t>
      </w:r>
      <w:r>
        <w:t xml:space="preserve"> – at the coke ovens</w:t>
      </w:r>
      <w:r w:rsidR="00A50FA9">
        <w:t>.</w:t>
      </w:r>
    </w:p>
    <w:p w14:paraId="306AFBFE" w14:textId="1820B42C" w:rsidR="003A3FE9" w:rsidRDefault="003A3FE9" w:rsidP="003A3FE9">
      <w:pPr>
        <w:spacing w:line="360" w:lineRule="auto"/>
        <w:jc w:val="both"/>
      </w:pPr>
      <w:r>
        <w:t>Approx. 3.6 Mt of sinter using 150 kt of fuel – at the sinter plant</w:t>
      </w:r>
      <w:r w:rsidR="00A50FA9">
        <w:t>.</w:t>
      </w:r>
    </w:p>
    <w:p w14:paraId="3409C664" w14:textId="364C00B1" w:rsidR="00DB416B" w:rsidRDefault="00DB416B" w:rsidP="00255F91">
      <w:pPr>
        <w:spacing w:line="360" w:lineRule="auto"/>
        <w:jc w:val="both"/>
      </w:pPr>
      <w:r>
        <w:t>6,643,838 t of CO</w:t>
      </w:r>
      <w:r w:rsidRPr="00DB416B">
        <w:rPr>
          <w:vertAlign w:val="subscript"/>
        </w:rPr>
        <w:t>2</w:t>
      </w:r>
      <w:r w:rsidR="0030587E">
        <w:t xml:space="preserve"> emitted at Port Talbo</w:t>
      </w:r>
      <w:r w:rsidR="00A50FA9">
        <w:t>t.</w:t>
      </w:r>
    </w:p>
    <w:p w14:paraId="1D030C68" w14:textId="60AB0869" w:rsidR="001A1973" w:rsidRDefault="00CD539B" w:rsidP="00255F91">
      <w:pPr>
        <w:spacing w:line="360" w:lineRule="auto"/>
        <w:jc w:val="both"/>
      </w:pPr>
      <w:r>
        <w:t xml:space="preserve">The </w:t>
      </w:r>
      <w:r w:rsidR="00D912AC">
        <w:t xml:space="preserve">plant product tonnages were sourced from the </w:t>
      </w:r>
      <w:r w:rsidR="00C85397">
        <w:t xml:space="preserve">plant </w:t>
      </w:r>
      <w:r w:rsidR="007C441B">
        <w:t>area technical managers. The CO</w:t>
      </w:r>
      <w:r w:rsidR="007C441B" w:rsidRPr="00541D5A">
        <w:rPr>
          <w:vertAlign w:val="subscript"/>
        </w:rPr>
        <w:t>2</w:t>
      </w:r>
      <w:r w:rsidR="007C441B">
        <w:t xml:space="preserve"> figure w</w:t>
      </w:r>
      <w:r w:rsidR="001F1370">
        <w:t xml:space="preserve">as from the </w:t>
      </w:r>
      <w:r w:rsidR="00B16B6E">
        <w:t xml:space="preserve">results reported </w:t>
      </w:r>
      <w:r w:rsidR="005C555D">
        <w:t>to</w:t>
      </w:r>
      <w:r w:rsidR="005E1AAB">
        <w:t xml:space="preserve"> for the</w:t>
      </w:r>
      <w:r w:rsidR="00B16B6E">
        <w:t xml:space="preserve"> EUETS</w:t>
      </w:r>
      <w:r w:rsidR="005E1AAB">
        <w:t xml:space="preserve"> report</w:t>
      </w:r>
      <w:r w:rsidR="00B16B6E">
        <w:t xml:space="preserve"> and sourced from the environmental department</w:t>
      </w:r>
      <w:r w:rsidR="00982FDA">
        <w:t xml:space="preserve"> at Port Talbot</w:t>
      </w:r>
      <w:r w:rsidR="00B16B6E">
        <w:t>.</w:t>
      </w:r>
      <w:r w:rsidR="001A1973">
        <w:t xml:space="preserve"> </w:t>
      </w:r>
    </w:p>
    <w:p w14:paraId="6D542020" w14:textId="1F2066DB" w:rsidR="00785CFD" w:rsidRDefault="00C23C6C" w:rsidP="00785CFD">
      <w:pPr>
        <w:spacing w:line="360" w:lineRule="auto"/>
        <w:jc w:val="both"/>
      </w:pPr>
      <w:r>
        <w:fldChar w:fldCharType="begin"/>
      </w:r>
      <w:r w:rsidR="00192334">
        <w:instrText xml:space="preserve"> ADDIN ZOTERO_ITEM CSL_CITATION {"citationID":"KDHQr2vw","properties":{"formattedCitation":"(Birat, 2010)","plainCitation":"(Birat, 2010)","noteIndex":0},"citationItems":[{"id":1874,"uris":["http://zotero.org/users/local/AB2owHL2/items/T8DHGYTC"],"itemData":{"id":1874,"type":"report","event-place":"Amsterdam","genre":"CCS roadmap – sectoral assessment, Steel","publisher-place":"Amsterdam","title":"Global Technology  Roadmap for CCS in  Industry","URL":"https://www.globalccsinstitute.com/archive/hub/publications/15671/global-technology-roadmap-ccs-industry-steel-sectoral-report.pdf","author":[{"family":"Birat","given":"J.P"}],"accessed":{"date-parts":[["2022",8,3]]},"issued":{"date-parts":[["2010"]]}}}],"schema":"https://github.com/citation-style-language/schema/raw/master/csl-citation.json"} </w:instrText>
      </w:r>
      <w:r>
        <w:fldChar w:fldCharType="separate"/>
      </w:r>
      <w:r w:rsidR="00192334" w:rsidRPr="00192334">
        <w:rPr>
          <w:rFonts w:ascii="Calibri" w:hAnsi="Calibri" w:cs="Calibri"/>
        </w:rPr>
        <w:t>(Birat, 2010)</w:t>
      </w:r>
      <w:r>
        <w:fldChar w:fldCharType="end"/>
      </w:r>
      <w:r>
        <w:t xml:space="preserve"> explains </w:t>
      </w:r>
      <w:r w:rsidR="00147BB3">
        <w:t>that CO</w:t>
      </w:r>
      <w:r w:rsidR="00147BB3" w:rsidRPr="00541D5A">
        <w:rPr>
          <w:vertAlign w:val="subscript"/>
        </w:rPr>
        <w:t>2</w:t>
      </w:r>
      <w:r w:rsidR="00147BB3">
        <w:t xml:space="preserve"> emission</w:t>
      </w:r>
      <w:r w:rsidR="00F84F7F">
        <w:t xml:space="preserve"> figures are mostly attributed to the stacks they are released from.</w:t>
      </w:r>
      <w:r w:rsidR="00237D1E">
        <w:t xml:space="preserve"> The </w:t>
      </w:r>
      <w:r w:rsidR="003B1EA9">
        <w:t>figures often do not take into account the area of steel plant that they were created</w:t>
      </w:r>
      <w:r w:rsidR="00EB5435">
        <w:t>. There is no comprehensive registry of CO</w:t>
      </w:r>
      <w:r w:rsidR="00EB5435" w:rsidRPr="00541D5A">
        <w:rPr>
          <w:vertAlign w:val="subscript"/>
        </w:rPr>
        <w:t>2</w:t>
      </w:r>
      <w:r w:rsidR="00EB5435">
        <w:rPr>
          <w:vertAlign w:val="subscript"/>
        </w:rPr>
        <w:t xml:space="preserve"> </w:t>
      </w:r>
      <w:r w:rsidR="00EB5435" w:rsidRPr="00EB5435">
        <w:t>emissions published for the steel sector.</w:t>
      </w:r>
      <w:r w:rsidR="009742DA">
        <w:t xml:space="preserve"> </w:t>
      </w:r>
      <w:r w:rsidR="008E4BEC">
        <w:t xml:space="preserve">Table 19 below uses figures calculated from </w:t>
      </w:r>
      <w:r w:rsidR="00185555">
        <w:t>emission factors</w:t>
      </w:r>
      <w:r w:rsidR="001367CE">
        <w:t>.</w:t>
      </w:r>
    </w:p>
    <w:p w14:paraId="772773E7" w14:textId="3F966A97" w:rsidR="00FF7781" w:rsidRDefault="00FF7781" w:rsidP="00785CFD">
      <w:pPr>
        <w:spacing w:line="360" w:lineRule="auto"/>
        <w:jc w:val="both"/>
      </w:pPr>
    </w:p>
    <w:p w14:paraId="0883FE7F" w14:textId="4AC7073B" w:rsidR="00FF7781" w:rsidRDefault="00FF7781" w:rsidP="00785CFD">
      <w:pPr>
        <w:spacing w:line="360" w:lineRule="auto"/>
        <w:jc w:val="both"/>
      </w:pPr>
    </w:p>
    <w:p w14:paraId="506D4C02" w14:textId="0C09BFF2" w:rsidR="00FF7781" w:rsidRDefault="00FF7781" w:rsidP="00785CFD">
      <w:pPr>
        <w:spacing w:line="360" w:lineRule="auto"/>
        <w:jc w:val="both"/>
      </w:pPr>
    </w:p>
    <w:p w14:paraId="6D156ADF" w14:textId="77777777" w:rsidR="00FF7781" w:rsidRDefault="00FF7781" w:rsidP="00785CFD">
      <w:pPr>
        <w:spacing w:line="360" w:lineRule="auto"/>
        <w:jc w:val="both"/>
      </w:pPr>
    </w:p>
    <w:p w14:paraId="09C2DCA1" w14:textId="72BBD8DB" w:rsidR="00785CFD" w:rsidRPr="00785CFD" w:rsidRDefault="00785CFD" w:rsidP="00785CFD">
      <w:pPr>
        <w:pStyle w:val="Caption"/>
      </w:pPr>
      <w:r>
        <w:lastRenderedPageBreak/>
        <w:t xml:space="preserve">Table </w:t>
      </w:r>
      <w:fldSimple w:instr=" SEQ Table \* ARABIC ">
        <w:r w:rsidR="00DA2639">
          <w:rPr>
            <w:noProof/>
          </w:rPr>
          <w:t>19</w:t>
        </w:r>
      </w:fldSimple>
      <w:r>
        <w:t xml:space="preserve"> CO</w:t>
      </w:r>
      <w:r w:rsidRPr="00541D5A">
        <w:rPr>
          <w:vertAlign w:val="subscript"/>
        </w:rPr>
        <w:t>2</w:t>
      </w:r>
      <w:r>
        <w:t xml:space="preserve"> emissions </w:t>
      </w:r>
      <w:r w:rsidR="00414253">
        <w:t xml:space="preserve">by area in a steel plant </w:t>
      </w:r>
      <w:r w:rsidR="00414253">
        <w:fldChar w:fldCharType="begin"/>
      </w:r>
      <w:r w:rsidR="00192334">
        <w:instrText xml:space="preserve"> ADDIN ZOTERO_ITEM CSL_CITATION {"citationID":"prJD7xN2","properties":{"formattedCitation":"(Birat, 2010)","plainCitation":"(Birat, 2010)","noteIndex":0},"citationItems":[{"id":1874,"uris":["http://zotero.org/users/local/AB2owHL2/items/T8DHGYTC"],"itemData":{"id":1874,"type":"report","event-place":"Amsterdam","genre":"CCS roadmap – sectoral assessment, Steel","publisher-place":"Amsterdam","title":"Global Technology  Roadmap for CCS in  Industry","URL":"https://www.globalccsinstitute.com/archive/hub/publications/15671/global-technology-roadmap-ccs-industry-steel-sectoral-report.pdf","author":[{"family":"Birat","given":"J.P"}],"accessed":{"date-parts":[["2022",8,3]]},"issued":{"date-parts":[["2010"]]}}}],"schema":"https://github.com/citation-style-language/schema/raw/master/csl-citation.json"} </w:instrText>
      </w:r>
      <w:r w:rsidR="00414253">
        <w:fldChar w:fldCharType="separate"/>
      </w:r>
      <w:r w:rsidR="00192334" w:rsidRPr="00192334">
        <w:rPr>
          <w:rFonts w:ascii="Calibri" w:hAnsi="Calibri" w:cs="Calibri"/>
        </w:rPr>
        <w:t>(Birat, 2010)</w:t>
      </w:r>
      <w:r w:rsidR="00414253">
        <w:fldChar w:fldCharType="end"/>
      </w:r>
      <w:r w:rsidR="00414253">
        <w:t>.</w:t>
      </w:r>
    </w:p>
    <w:p w14:paraId="5823643C" w14:textId="62388309" w:rsidR="005D3289" w:rsidRDefault="00785CFD" w:rsidP="00255F91">
      <w:pPr>
        <w:spacing w:line="360" w:lineRule="auto"/>
        <w:jc w:val="both"/>
      </w:pPr>
      <w:r w:rsidRPr="00785CFD">
        <w:rPr>
          <w:noProof/>
        </w:rPr>
        <w:drawing>
          <wp:inline distT="0" distB="0" distL="0" distR="0" wp14:anchorId="11F5BF8E" wp14:editId="2C6B274D">
            <wp:extent cx="5065035" cy="3164619"/>
            <wp:effectExtent l="0" t="0" r="2540" b="0"/>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a:blip r:embed="rId101"/>
                    <a:stretch>
                      <a:fillRect/>
                    </a:stretch>
                  </pic:blipFill>
                  <pic:spPr>
                    <a:xfrm>
                      <a:off x="0" y="0"/>
                      <a:ext cx="5091370" cy="3181073"/>
                    </a:xfrm>
                    <a:prstGeom prst="rect">
                      <a:avLst/>
                    </a:prstGeom>
                  </pic:spPr>
                </pic:pic>
              </a:graphicData>
            </a:graphic>
          </wp:inline>
        </w:drawing>
      </w:r>
    </w:p>
    <w:p w14:paraId="0B957939" w14:textId="7D6ECC3C" w:rsidR="00306EC4" w:rsidRDefault="00725730" w:rsidP="00255F91">
      <w:pPr>
        <w:spacing w:line="360" w:lineRule="auto"/>
        <w:jc w:val="both"/>
      </w:pPr>
      <w:r>
        <w:fldChar w:fldCharType="begin"/>
      </w:r>
      <w:r w:rsidR="00192334">
        <w:instrText xml:space="preserve"> ADDIN ZOTERO_ITEM CSL_CITATION {"citationID":"7puy0cMH","properties":{"formattedCitation":"(Pardo and Moya, 2013)","plainCitation":"(Pardo and Moya, 2013)","noteIndex":0},"citationItems":[{"id":717,"uris":["http://zotero.org/users/local/AB2owHL2/items/LD2DHE4H"],"itemData":{"id":717,"type":"article-journal","abstract":"The Iron &amp; Steel industry is one of the biggest industrial CO2 emitters in the European Union. The present work analyzes the potential for the improvement of the energy efficiency and CO2 emission reduction for this sector up to 2030. Three scenarios are analyzed: baseline scenario (BS) representing the current evolution of this sector and two alternative scenarios (AS1 and AS2) to study the sensitivity of fuel and resource prices and CO2 emission prices. In the integrated production route all the scenarios highlight the importance of breakthrough technologies, such as Top Gas Recycling, to obtain performance improvement in energy consumption and CO2 emissions. In the secondary production route conditions under BS scenario are enough for a suitable incorporation of the best technologies in this route making insensitive the possible incentives due to higher prices in fuel and resources or CO2 emissions.","container-title":"Energy","DOI":"10.1016/j.energy.2013.03.015","ISSN":"0360-5442","journalAbbreviation":"Energy","language":"en","page":"113-128","source":"ScienceDirect","title":"Prospective scenarios on energy efficiency and CO2 emissions in the European Iron &amp; Steel industry","URL":"https://www.sciencedirect.com/science/article/pii/S0360544213001928","volume":"54","author":[{"family":"Pardo","given":"Nicolás"},{"family":"Moya","given":"José Antonio"}],"accessed":{"date-parts":[["2021",3,21]]},"issued":{"date-parts":[["2013",6,1]]}}}],"schema":"https://github.com/citation-style-language/schema/raw/master/csl-citation.json"} </w:instrText>
      </w:r>
      <w:r>
        <w:fldChar w:fldCharType="separate"/>
      </w:r>
      <w:r w:rsidR="00192334" w:rsidRPr="00192334">
        <w:rPr>
          <w:rFonts w:ascii="Calibri" w:hAnsi="Calibri" w:cs="Calibri"/>
        </w:rPr>
        <w:t>(Pardo and Moya, 2013)</w:t>
      </w:r>
      <w:r>
        <w:fldChar w:fldCharType="end"/>
      </w:r>
      <w:r>
        <w:t xml:space="preserve"> </w:t>
      </w:r>
      <w:r w:rsidR="003C7BF3">
        <w:t>employ</w:t>
      </w:r>
      <w:r w:rsidR="009E4B2B">
        <w:t xml:space="preserve"> </w:t>
      </w:r>
      <w:r w:rsidR="005742D9">
        <w:t>estimated</w:t>
      </w:r>
      <w:r w:rsidR="00507CD2">
        <w:t xml:space="preserve"> </w:t>
      </w:r>
      <w:r w:rsidR="004A12F8">
        <w:t>emission factors</w:t>
      </w:r>
      <w:r w:rsidR="00507CD2">
        <w:t xml:space="preserve"> for </w:t>
      </w:r>
      <w:r w:rsidR="005742D9">
        <w:t>direct CO</w:t>
      </w:r>
      <w:r w:rsidR="005742D9" w:rsidRPr="00541D5A">
        <w:rPr>
          <w:vertAlign w:val="subscript"/>
        </w:rPr>
        <w:t>2</w:t>
      </w:r>
      <w:r w:rsidR="005742D9">
        <w:t xml:space="preserve"> </w:t>
      </w:r>
      <w:r w:rsidR="0090656D">
        <w:t>emissions</w:t>
      </w:r>
      <w:r w:rsidR="005742D9">
        <w:t xml:space="preserve"> per tonne of product</w:t>
      </w:r>
      <w:r w:rsidR="0024586A">
        <w:t xml:space="preserve"> for the different steelmaking processes.</w:t>
      </w:r>
      <w:r w:rsidR="00A00CBD">
        <w:t xml:space="preserve"> The</w:t>
      </w:r>
      <w:r w:rsidR="00142E0D">
        <w:t xml:space="preserve"> figures they reported were</w:t>
      </w:r>
      <w:r w:rsidR="00033EF8">
        <w:t>:</w:t>
      </w:r>
    </w:p>
    <w:p w14:paraId="234924C5" w14:textId="107D612F" w:rsidR="00033EF8" w:rsidRDefault="00033EF8" w:rsidP="00255F91">
      <w:pPr>
        <w:spacing w:line="360" w:lineRule="auto"/>
        <w:jc w:val="both"/>
      </w:pPr>
      <w:r>
        <w:t xml:space="preserve">Blast furnace – </w:t>
      </w:r>
      <w:r w:rsidR="00D717C2">
        <w:t>1.219</w:t>
      </w:r>
      <w:r>
        <w:t xml:space="preserve"> (</w:t>
      </w:r>
      <w:r w:rsidR="00882F1A">
        <w:t>tCO2</w:t>
      </w:r>
      <w:r w:rsidR="00BB3489">
        <w:t>) per ton of iron.</w:t>
      </w:r>
    </w:p>
    <w:p w14:paraId="0DC77B9A" w14:textId="35061181" w:rsidR="005D3289" w:rsidRDefault="00D717C2" w:rsidP="00255F91">
      <w:pPr>
        <w:spacing w:line="360" w:lineRule="auto"/>
        <w:jc w:val="both"/>
      </w:pPr>
      <w:r>
        <w:t>Coke plant – 0.794 (tCO2</w:t>
      </w:r>
      <w:r w:rsidR="00BB3489">
        <w:t>) per ton of coke.</w:t>
      </w:r>
    </w:p>
    <w:p w14:paraId="4AB1616C" w14:textId="683BB216" w:rsidR="00D717C2" w:rsidRDefault="00D717C2" w:rsidP="00255F91">
      <w:pPr>
        <w:spacing w:line="360" w:lineRule="auto"/>
        <w:jc w:val="both"/>
      </w:pPr>
      <w:r>
        <w:t>Sinter plant – 0.200 (tCO2</w:t>
      </w:r>
      <w:r w:rsidR="00BB3489">
        <w:t>) per ton of sinter.</w:t>
      </w:r>
    </w:p>
    <w:p w14:paraId="48361D36" w14:textId="662DC4BE" w:rsidR="005D3289" w:rsidRDefault="0090600D" w:rsidP="00255F91">
      <w:pPr>
        <w:spacing w:line="360" w:lineRule="auto"/>
        <w:jc w:val="both"/>
      </w:pPr>
      <w:r>
        <w:t xml:space="preserve">Using the </w:t>
      </w:r>
      <w:r w:rsidR="008F6F0B">
        <w:t xml:space="preserve">figure quoted by </w:t>
      </w:r>
      <w:r w:rsidR="008F6F0B">
        <w:fldChar w:fldCharType="begin"/>
      </w:r>
      <w:r w:rsidR="00192334">
        <w:instrText xml:space="preserve"> ADDIN ZOTERO_ITEM CSL_CITATION {"citationID":"g0i5EtS5","properties":{"formattedCitation":"(Pardo and Moya, 2013)","plainCitation":"(Pardo and Moya, 2013)","noteIndex":0},"citationItems":[{"id":717,"uris":["http://zotero.org/users/local/AB2owHL2/items/LD2DHE4H"],"itemData":{"id":717,"type":"article-journal","abstract":"The Iron &amp; Steel industry is one of the biggest industrial CO2 emitters in the European Union. The present work analyzes the potential for the improvement of the energy efficiency and CO2 emission reduction for this sector up to 2030. Three scenarios are analyzed: baseline scenario (BS) representing the current evolution of this sector and two alternative scenarios (AS1 and AS2) to study the sensitivity of fuel and resource prices and CO2 emission prices. In the integrated production route all the scenarios highlight the importance of breakthrough technologies, such as Top Gas Recycling, to obtain performance improvement in energy consumption and CO2 emissions. In the secondary production route conditions under BS scenario are enough for a suitable incorporation of the best technologies in this route making insensitive the possible incentives due to higher prices in fuel and resources or CO2 emissions.","container-title":"Energy","DOI":"10.1016/j.energy.2013.03.015","ISSN":"0360-5442","journalAbbreviation":"Energy","language":"en","page":"113-128","source":"ScienceDirect","title":"Prospective scenarios on energy efficiency and CO2 emissions in the European Iron &amp; Steel industry","URL":"https://www.sciencedirect.com/science/article/pii/S0360544213001928","volume":"54","author":[{"family":"Pardo","given":"Nicolás"},{"family":"Moya","given":"José Antonio"}],"accessed":{"date-parts":[["2021",3,21]]},"issued":{"date-parts":[["2013",6,1]]}}}],"schema":"https://github.com/citation-style-language/schema/raw/master/csl-citation.json"} </w:instrText>
      </w:r>
      <w:r w:rsidR="008F6F0B">
        <w:fldChar w:fldCharType="separate"/>
      </w:r>
      <w:r w:rsidR="00192334" w:rsidRPr="00192334">
        <w:rPr>
          <w:rFonts w:ascii="Calibri" w:hAnsi="Calibri" w:cs="Calibri"/>
        </w:rPr>
        <w:t>(Pardo and Moya, 2013)</w:t>
      </w:r>
      <w:r w:rsidR="008F6F0B">
        <w:fldChar w:fldCharType="end"/>
      </w:r>
      <w:r w:rsidR="008F6F0B">
        <w:t xml:space="preserve"> </w:t>
      </w:r>
      <w:r w:rsidR="00873937">
        <w:t>and the product tonnage figures figure from Port Talbot in 2021</w:t>
      </w:r>
      <w:r w:rsidR="00487511">
        <w:t xml:space="preserve"> approximate CO</w:t>
      </w:r>
      <w:r w:rsidR="00487511" w:rsidRPr="00541D5A">
        <w:rPr>
          <w:vertAlign w:val="subscript"/>
        </w:rPr>
        <w:t>2</w:t>
      </w:r>
      <w:r w:rsidR="00487511">
        <w:t xml:space="preserve"> emissions can be calculated.</w:t>
      </w:r>
    </w:p>
    <w:p w14:paraId="64712F2E" w14:textId="3EBAC934" w:rsidR="00B63868" w:rsidRDefault="00B63868" w:rsidP="00255F91">
      <w:pPr>
        <w:spacing w:line="360" w:lineRule="auto"/>
        <w:jc w:val="both"/>
        <w:rPr>
          <w:rFonts w:eastAsiaTheme="minorEastAsia"/>
        </w:rPr>
      </w:pPr>
      <w:r>
        <w:t>Blast furnace</w:t>
      </w:r>
      <w:r w:rsidR="00A96FC3">
        <w:t>:</w:t>
      </w:r>
      <w:r>
        <w:t xml:space="preserve"> </w:t>
      </w:r>
      <m:oMath>
        <m:r>
          <w:rPr>
            <w:rFonts w:ascii="Cambria Math" w:hAnsi="Cambria Math"/>
          </w:rPr>
          <m:t xml:space="preserve">BFe=1.219* </m:t>
        </m:r>
      </m:oMath>
      <w:r w:rsidR="002F647F">
        <w:rPr>
          <w:rFonts w:eastAsiaTheme="minorEastAsia"/>
        </w:rPr>
        <w:t>3,500,000</w:t>
      </w:r>
      <w:r w:rsidR="007909AD">
        <w:rPr>
          <w:rFonts w:eastAsiaTheme="minorEastAsia"/>
        </w:rPr>
        <w:t>,</w:t>
      </w:r>
      <w:r w:rsidR="002F647F">
        <w:rPr>
          <w:rFonts w:eastAsiaTheme="minorEastAsia"/>
        </w:rPr>
        <w:t xml:space="preserve"> </w:t>
      </w:r>
      <w:r w:rsidR="00A37240">
        <w:rPr>
          <w:rFonts w:eastAsiaTheme="minorEastAsia"/>
        </w:rPr>
        <w:t xml:space="preserve">which </w:t>
      </w:r>
      <w:r w:rsidR="003D46B7">
        <w:rPr>
          <w:rFonts w:eastAsiaTheme="minorEastAsia"/>
        </w:rPr>
        <w:t>equates to</w:t>
      </w:r>
      <w:r w:rsidR="00A37240">
        <w:rPr>
          <w:rFonts w:eastAsiaTheme="minorEastAsia"/>
        </w:rPr>
        <w:t xml:space="preserve"> </w:t>
      </w:r>
      <w:r w:rsidR="003D46B7">
        <w:rPr>
          <w:rFonts w:eastAsiaTheme="minorEastAsia"/>
        </w:rPr>
        <w:t>4,266,500t of CO</w:t>
      </w:r>
      <w:r w:rsidR="003D46B7" w:rsidRPr="003D46B7">
        <w:rPr>
          <w:rFonts w:eastAsiaTheme="minorEastAsia"/>
          <w:vertAlign w:val="subscript"/>
        </w:rPr>
        <w:t>2</w:t>
      </w:r>
      <w:r w:rsidR="003D46B7">
        <w:rPr>
          <w:rFonts w:eastAsiaTheme="minorEastAsia"/>
        </w:rPr>
        <w:t xml:space="preserve"> emission</w:t>
      </w:r>
      <w:r w:rsidR="00A96FC3">
        <w:rPr>
          <w:rFonts w:eastAsiaTheme="minorEastAsia"/>
        </w:rPr>
        <w:t>s</w:t>
      </w:r>
      <w:r w:rsidR="00742049">
        <w:rPr>
          <w:rFonts w:eastAsiaTheme="minorEastAsia"/>
        </w:rPr>
        <w:t>. 64.2</w:t>
      </w:r>
      <w:r w:rsidR="000B4A4A">
        <w:rPr>
          <w:rFonts w:eastAsiaTheme="minorEastAsia"/>
        </w:rPr>
        <w:t>2</w:t>
      </w:r>
      <w:r w:rsidR="00742049">
        <w:rPr>
          <w:rFonts w:eastAsiaTheme="minorEastAsia"/>
        </w:rPr>
        <w:t xml:space="preserve">% of the </w:t>
      </w:r>
      <w:r w:rsidR="008D4D13">
        <w:rPr>
          <w:rFonts w:eastAsiaTheme="minorEastAsia"/>
        </w:rPr>
        <w:t xml:space="preserve">annual </w:t>
      </w:r>
      <w:r w:rsidR="009366B1">
        <w:rPr>
          <w:rFonts w:eastAsiaTheme="minorEastAsia"/>
        </w:rPr>
        <w:t>plant total</w:t>
      </w:r>
      <w:r w:rsidR="004716FD">
        <w:rPr>
          <w:rFonts w:eastAsiaTheme="minorEastAsia"/>
        </w:rPr>
        <w:t xml:space="preserve"> emissions</w:t>
      </w:r>
      <w:r w:rsidR="009366B1">
        <w:rPr>
          <w:rFonts w:eastAsiaTheme="minorEastAsia"/>
        </w:rPr>
        <w:t>.</w:t>
      </w:r>
    </w:p>
    <w:p w14:paraId="219CF2FD" w14:textId="2052823E" w:rsidR="00A96FC3" w:rsidRDefault="00A96FC3" w:rsidP="00255F91">
      <w:pPr>
        <w:spacing w:line="360" w:lineRule="auto"/>
        <w:jc w:val="both"/>
        <w:rPr>
          <w:rFonts w:eastAsiaTheme="minorEastAsia"/>
        </w:rPr>
      </w:pPr>
      <w:r>
        <w:rPr>
          <w:rFonts w:eastAsiaTheme="minorEastAsia"/>
        </w:rPr>
        <w:t xml:space="preserve">Morfa coke ovens: </w:t>
      </w:r>
      <m:oMath>
        <m:r>
          <w:rPr>
            <w:rFonts w:ascii="Cambria Math" w:eastAsiaTheme="minorEastAsia" w:hAnsi="Cambria Math"/>
          </w:rPr>
          <m:t>COe=0794*900,00</m:t>
        </m:r>
      </m:oMath>
      <w:r w:rsidR="007909AD">
        <w:rPr>
          <w:rFonts w:eastAsiaTheme="minorEastAsia"/>
        </w:rPr>
        <w:t xml:space="preserve">, </w:t>
      </w:r>
      <w:r w:rsidR="00E35A38">
        <w:rPr>
          <w:rFonts w:eastAsiaTheme="minorEastAsia"/>
        </w:rPr>
        <w:t xml:space="preserve">equals </w:t>
      </w:r>
      <w:r w:rsidR="001411DA">
        <w:rPr>
          <w:rFonts w:eastAsiaTheme="minorEastAsia"/>
        </w:rPr>
        <w:t>714,600t of CO</w:t>
      </w:r>
      <w:r w:rsidR="001411DA" w:rsidRPr="003D46B7">
        <w:rPr>
          <w:rFonts w:eastAsiaTheme="minorEastAsia"/>
          <w:vertAlign w:val="subscript"/>
        </w:rPr>
        <w:t>2</w:t>
      </w:r>
      <w:r w:rsidR="001411DA">
        <w:rPr>
          <w:rFonts w:eastAsiaTheme="minorEastAsia"/>
        </w:rPr>
        <w:t xml:space="preserve"> emissions.</w:t>
      </w:r>
      <w:r w:rsidR="009366B1">
        <w:rPr>
          <w:rFonts w:eastAsiaTheme="minorEastAsia"/>
        </w:rPr>
        <w:t xml:space="preserve"> </w:t>
      </w:r>
      <w:r w:rsidR="00AD7C9E">
        <w:rPr>
          <w:rFonts w:eastAsiaTheme="minorEastAsia"/>
        </w:rPr>
        <w:t>10.76% of the</w:t>
      </w:r>
      <w:r w:rsidR="008D4D13">
        <w:rPr>
          <w:rFonts w:eastAsiaTheme="minorEastAsia"/>
        </w:rPr>
        <w:t xml:space="preserve"> annual</w:t>
      </w:r>
      <w:r w:rsidR="00AD7C9E">
        <w:rPr>
          <w:rFonts w:eastAsiaTheme="minorEastAsia"/>
        </w:rPr>
        <w:t xml:space="preserve"> plant total</w:t>
      </w:r>
      <w:r w:rsidR="004716FD">
        <w:rPr>
          <w:rFonts w:eastAsiaTheme="minorEastAsia"/>
        </w:rPr>
        <w:t xml:space="preserve"> emissions</w:t>
      </w:r>
      <w:r w:rsidR="00AD7C9E">
        <w:rPr>
          <w:rFonts w:eastAsiaTheme="minorEastAsia"/>
        </w:rPr>
        <w:t>.</w:t>
      </w:r>
    </w:p>
    <w:p w14:paraId="4F9DA9CD" w14:textId="0BE58E88" w:rsidR="000B4A4A" w:rsidRPr="004716FD" w:rsidRDefault="001411DA" w:rsidP="00255F91">
      <w:pPr>
        <w:spacing w:line="360" w:lineRule="auto"/>
        <w:jc w:val="both"/>
        <w:rPr>
          <w:rFonts w:eastAsiaTheme="minorEastAsia"/>
        </w:rPr>
      </w:pPr>
      <w:r>
        <w:rPr>
          <w:rFonts w:eastAsiaTheme="minorEastAsia"/>
        </w:rPr>
        <w:t xml:space="preserve">Sinter plant: </w:t>
      </w:r>
      <m:oMath>
        <m:r>
          <w:rPr>
            <w:rFonts w:ascii="Cambria Math" w:eastAsiaTheme="minorEastAsia" w:hAnsi="Cambria Math"/>
          </w:rPr>
          <m:t xml:space="preserve"> SPe=0.200*3,600,00</m:t>
        </m:r>
      </m:oMath>
      <w:r w:rsidR="006C30CF">
        <w:rPr>
          <w:rFonts w:eastAsiaTheme="minorEastAsia"/>
        </w:rPr>
        <w:t xml:space="preserve">, </w:t>
      </w:r>
      <w:r w:rsidR="00F25DF7">
        <w:rPr>
          <w:rFonts w:eastAsiaTheme="minorEastAsia"/>
        </w:rPr>
        <w:t>returning 720,000t of CO</w:t>
      </w:r>
      <w:r w:rsidR="00F25DF7" w:rsidRPr="003D46B7">
        <w:rPr>
          <w:rFonts w:eastAsiaTheme="minorEastAsia"/>
          <w:vertAlign w:val="subscript"/>
        </w:rPr>
        <w:t>2</w:t>
      </w:r>
      <w:r w:rsidR="00F25DF7">
        <w:rPr>
          <w:rFonts w:eastAsiaTheme="minorEastAsia"/>
        </w:rPr>
        <w:t xml:space="preserve"> emissions.</w:t>
      </w:r>
      <w:r w:rsidR="00AD7C9E">
        <w:rPr>
          <w:rFonts w:eastAsiaTheme="minorEastAsia"/>
        </w:rPr>
        <w:t xml:space="preserve"> </w:t>
      </w:r>
      <w:r w:rsidR="000B4A4A">
        <w:rPr>
          <w:rFonts w:eastAsiaTheme="minorEastAsia"/>
        </w:rPr>
        <w:t xml:space="preserve">10.83% of the </w:t>
      </w:r>
      <w:r w:rsidR="004716FD">
        <w:rPr>
          <w:rFonts w:eastAsiaTheme="minorEastAsia"/>
        </w:rPr>
        <w:t>plant’s</w:t>
      </w:r>
      <w:r w:rsidR="000B4A4A">
        <w:rPr>
          <w:rFonts w:eastAsiaTheme="minorEastAsia"/>
        </w:rPr>
        <w:t xml:space="preserve"> total emissions</w:t>
      </w:r>
      <w:r w:rsidR="008D4D13">
        <w:rPr>
          <w:rFonts w:eastAsiaTheme="minorEastAsia"/>
        </w:rPr>
        <w:t xml:space="preserve"> annually</w:t>
      </w:r>
      <w:r w:rsidR="000B4A4A">
        <w:rPr>
          <w:rFonts w:eastAsiaTheme="minorEastAsia"/>
        </w:rPr>
        <w:t xml:space="preserve">. </w:t>
      </w:r>
      <w:r w:rsidR="00841D6A">
        <w:rPr>
          <w:rFonts w:eastAsiaTheme="minorEastAsia"/>
        </w:rPr>
        <w:t xml:space="preserve">These </w:t>
      </w:r>
      <w:r w:rsidR="005C555D">
        <w:rPr>
          <w:rFonts w:eastAsiaTheme="minorEastAsia"/>
        </w:rPr>
        <w:t xml:space="preserve">emission </w:t>
      </w:r>
      <w:r w:rsidR="00841D6A">
        <w:rPr>
          <w:rFonts w:eastAsiaTheme="minorEastAsia"/>
        </w:rPr>
        <w:t xml:space="preserve">percentages are close to those </w:t>
      </w:r>
      <w:r w:rsidR="004716FD">
        <w:rPr>
          <w:rFonts w:eastAsiaTheme="minorEastAsia"/>
        </w:rPr>
        <w:t xml:space="preserve">presented by </w:t>
      </w:r>
      <w:r w:rsidR="004716FD">
        <w:rPr>
          <w:rFonts w:eastAsiaTheme="minorEastAsia"/>
        </w:rPr>
        <w:fldChar w:fldCharType="begin"/>
      </w:r>
      <w:r w:rsidR="00192334">
        <w:rPr>
          <w:rFonts w:eastAsiaTheme="minorEastAsia"/>
        </w:rPr>
        <w:instrText xml:space="preserve"> ADDIN ZOTERO_ITEM CSL_CITATION {"citationID":"tEYLACnp","properties":{"formattedCitation":"(Birat, 2010)","plainCitation":"(Birat, 2010)","noteIndex":0},"citationItems":[{"id":1874,"uris":["http://zotero.org/users/local/AB2owHL2/items/T8DHGYTC"],"itemData":{"id":1874,"type":"report","event-place":"Amsterdam","genre":"CCS roadmap – sectoral assessment, Steel","publisher-place":"Amsterdam","title":"Global Technology  Roadmap for CCS in  Industry","URL":"https://www.globalccsinstitute.com/archive/hub/publications/15671/global-technology-roadmap-ccs-industry-steel-sectoral-report.pdf","author":[{"family":"Birat","given":"J.P"}],"accessed":{"date-parts":[["2022",8,3]]},"issued":{"date-parts":[["2010"]]}}}],"schema":"https://github.com/citation-style-language/schema/raw/master/csl-citation.json"} </w:instrText>
      </w:r>
      <w:r w:rsidR="004716FD">
        <w:rPr>
          <w:rFonts w:eastAsiaTheme="minorEastAsia"/>
        </w:rPr>
        <w:fldChar w:fldCharType="separate"/>
      </w:r>
      <w:r w:rsidR="00192334" w:rsidRPr="00192334">
        <w:rPr>
          <w:rFonts w:ascii="Calibri" w:hAnsi="Calibri" w:cs="Calibri"/>
        </w:rPr>
        <w:t>(Birat, 2010)</w:t>
      </w:r>
      <w:r w:rsidR="004716FD">
        <w:rPr>
          <w:rFonts w:eastAsiaTheme="minorEastAsia"/>
        </w:rPr>
        <w:fldChar w:fldCharType="end"/>
      </w:r>
      <w:r w:rsidR="004716FD">
        <w:rPr>
          <w:rFonts w:eastAsiaTheme="minorEastAsia"/>
        </w:rPr>
        <w:t xml:space="preserve"> in table 19.</w:t>
      </w:r>
    </w:p>
    <w:p w14:paraId="233BAD25" w14:textId="6D845ECA" w:rsidR="0085471C" w:rsidRDefault="004D25D9" w:rsidP="00255F91">
      <w:pPr>
        <w:spacing w:line="360" w:lineRule="auto"/>
        <w:jc w:val="both"/>
        <w:rPr>
          <w:rFonts w:eastAsiaTheme="minorEastAsia"/>
        </w:rPr>
      </w:pPr>
      <w:r>
        <w:fldChar w:fldCharType="begin"/>
      </w:r>
      <w:r w:rsidR="00192334">
        <w:instrText xml:space="preserve"> ADDIN ZOTERO_ITEM CSL_CITATION {"citationID":"EtYwuKab","properties":{"formattedCitation":"(Babich, Senk and Fernandez, 2010)","plainCitation":"(Babich, Senk and Fernandez, 2010)","noteIndex":0},"citationItems":[{"id":1828,"uris":["http://zotero.org/users/local/AB2owHL2/items/ERJ5VU9V"],"itemData":{"id":1828,"type":"article-journal","abstract":"Nowadays the use of charcoal in metallurgy is intimately linked to small blast furnaces in Brazil. Due to the challenge for CO2 mitigation, interest for charcoal use as a renewable energy source is rising. In the scope of European efforts to mitigate carbon dioxide emissions in the steel industry in the post-Kyoto period, the use of charcoal in cokemaking and ironmaking has been investigated. This paper presents results of an experimental study on charcoal behaviour under the blast furnace simulating conditions performed at the Department of Ferrous Metallurgy, RWTH Aachen University and at the National Centre for Metallurgical Investigations, Madrid. Conditions in the raceway and in the furnace shaft were simulated using thermo-analytical, laboratory and pilot facilities. Charcoal samples were produced in two furnaces for pyrolysis from different wood types at various carbonisation conditions. Furthermore technological and ecological assessment of blast furnace process when injecting different types of charcoal was performed using a mathematical model. All the experiments and calculations were also performed with reference mineral coals for injection. Conversion efficiency of all the tested charcoals is better or comparable with coals. Change in coke rate, furnace productivity and further operation parameters when replacing pulverised coal with charcoal depends on charcoal ash content and composition.","container-title":"ISIJ International","DOI":"10.2355/isijinternational.50.81","issue":"1","page":"81-88","source":"J-Stage","title":"Charcoal Behaviour by Its Injection into the Modern Blast Furnace","volume":"50","author":[{"family":"Babich","given":"Alexander"},{"family":"Senk","given":"Dieter"},{"family":"Fernandez","given":"Miguel"}],"issued":{"date-parts":[["2010"]]}}}],"schema":"https://github.com/citation-style-language/schema/raw/master/csl-citation.json"} </w:instrText>
      </w:r>
      <w:r>
        <w:fldChar w:fldCharType="separate"/>
      </w:r>
      <w:r w:rsidR="00192334" w:rsidRPr="00192334">
        <w:rPr>
          <w:rFonts w:ascii="Calibri" w:hAnsi="Calibri" w:cs="Calibri"/>
        </w:rPr>
        <w:t>(Babich, Senk and Fernandez, 2010)</w:t>
      </w:r>
      <w:r>
        <w:fldChar w:fldCharType="end"/>
      </w:r>
      <w:r>
        <w:t xml:space="preserve"> reports that</w:t>
      </w:r>
      <w:r w:rsidR="00F829BC">
        <w:t xml:space="preserve"> approximately 41% of </w:t>
      </w:r>
      <w:r w:rsidR="0092452B">
        <w:t>BF emissions can be accounted to PC</w:t>
      </w:r>
      <w:r w:rsidR="004B58B6">
        <w:t>I</w:t>
      </w:r>
      <w:r w:rsidR="0023140E">
        <w:t>. At Port Talbot t</w:t>
      </w:r>
      <w:r w:rsidR="00BB0FCA">
        <w:t>his would equal 1</w:t>
      </w:r>
      <w:r w:rsidR="00D6253E">
        <w:t xml:space="preserve">,749,265t </w:t>
      </w:r>
      <w:r w:rsidR="00D6253E">
        <w:rPr>
          <w:rFonts w:eastAsiaTheme="minorEastAsia"/>
        </w:rPr>
        <w:t>CO</w:t>
      </w:r>
      <w:r w:rsidR="00D6253E" w:rsidRPr="003D46B7">
        <w:rPr>
          <w:rFonts w:eastAsiaTheme="minorEastAsia"/>
          <w:vertAlign w:val="subscript"/>
        </w:rPr>
        <w:t>2</w:t>
      </w:r>
      <w:r w:rsidR="00F33A08">
        <w:rPr>
          <w:rFonts w:eastAsiaTheme="minorEastAsia"/>
        </w:rPr>
        <w:t xml:space="preserve"> (41% of 4,266,500t). If </w:t>
      </w:r>
      <w:r w:rsidR="00697C39">
        <w:rPr>
          <w:rFonts w:eastAsiaTheme="minorEastAsia"/>
        </w:rPr>
        <w:t xml:space="preserve">biochar was substituted for PCI at a </w:t>
      </w:r>
      <w:r w:rsidR="00A85EC2">
        <w:rPr>
          <w:rFonts w:eastAsiaTheme="minorEastAsia"/>
        </w:rPr>
        <w:t>conservative 25%, then</w:t>
      </w:r>
      <w:r w:rsidR="0089166A">
        <w:rPr>
          <w:rFonts w:eastAsiaTheme="minorEastAsia"/>
        </w:rPr>
        <w:t xml:space="preserve"> there is potential to reduce</w:t>
      </w:r>
      <w:r w:rsidR="00A85EC2">
        <w:rPr>
          <w:rFonts w:eastAsiaTheme="minorEastAsia"/>
        </w:rPr>
        <w:t xml:space="preserve"> 437</w:t>
      </w:r>
      <w:r w:rsidR="00C75942">
        <w:rPr>
          <w:rFonts w:eastAsiaTheme="minorEastAsia"/>
        </w:rPr>
        <w:t>,316t of CO</w:t>
      </w:r>
      <w:r w:rsidR="00C75942" w:rsidRPr="003D46B7">
        <w:rPr>
          <w:rFonts w:eastAsiaTheme="minorEastAsia"/>
          <w:vertAlign w:val="subscript"/>
        </w:rPr>
        <w:t>2</w:t>
      </w:r>
      <w:r w:rsidR="00C75942">
        <w:rPr>
          <w:rFonts w:eastAsiaTheme="minorEastAsia"/>
        </w:rPr>
        <w:t xml:space="preserve"> </w:t>
      </w:r>
      <w:r w:rsidR="008D4D13">
        <w:rPr>
          <w:rFonts w:eastAsiaTheme="minorEastAsia"/>
        </w:rPr>
        <w:t xml:space="preserve">annually </w:t>
      </w:r>
      <w:r w:rsidR="0089166A">
        <w:rPr>
          <w:rFonts w:eastAsiaTheme="minorEastAsia"/>
        </w:rPr>
        <w:t>at the BF</w:t>
      </w:r>
      <w:r w:rsidR="00CF4865">
        <w:rPr>
          <w:rFonts w:eastAsiaTheme="minorEastAsia"/>
        </w:rPr>
        <w:t xml:space="preserve">. </w:t>
      </w:r>
      <w:r w:rsidR="001906CF">
        <w:rPr>
          <w:rFonts w:eastAsiaTheme="minorEastAsia"/>
        </w:rPr>
        <w:lastRenderedPageBreak/>
        <w:t xml:space="preserve">6.58% of total </w:t>
      </w:r>
      <w:r w:rsidR="00417816">
        <w:rPr>
          <w:rFonts w:eastAsiaTheme="minorEastAsia"/>
        </w:rPr>
        <w:t>CO</w:t>
      </w:r>
      <w:r w:rsidR="00417816" w:rsidRPr="003D46B7">
        <w:rPr>
          <w:rFonts w:eastAsiaTheme="minorEastAsia"/>
          <w:vertAlign w:val="subscript"/>
        </w:rPr>
        <w:t>2</w:t>
      </w:r>
      <w:r w:rsidR="00417816">
        <w:rPr>
          <w:rFonts w:eastAsiaTheme="minorEastAsia"/>
          <w:vertAlign w:val="subscript"/>
        </w:rPr>
        <w:t xml:space="preserve"> </w:t>
      </w:r>
      <w:r w:rsidR="001906CF">
        <w:rPr>
          <w:rFonts w:eastAsiaTheme="minorEastAsia"/>
        </w:rPr>
        <w:t>emissions</w:t>
      </w:r>
      <w:r w:rsidR="0089166A">
        <w:rPr>
          <w:rFonts w:eastAsiaTheme="minorEastAsia"/>
        </w:rPr>
        <w:t xml:space="preserve">. </w:t>
      </w:r>
      <w:r w:rsidR="006A3C57">
        <w:rPr>
          <w:rFonts w:eastAsiaTheme="minorEastAsia"/>
        </w:rPr>
        <w:t xml:space="preserve">A 50% </w:t>
      </w:r>
      <w:r w:rsidR="009D6733">
        <w:rPr>
          <w:rFonts w:eastAsiaTheme="minorEastAsia"/>
        </w:rPr>
        <w:t>biochar substitution</w:t>
      </w:r>
      <w:r w:rsidR="006A3C57">
        <w:rPr>
          <w:rFonts w:eastAsiaTheme="minorEastAsia"/>
        </w:rPr>
        <w:t xml:space="preserve"> would save</w:t>
      </w:r>
      <w:r w:rsidR="009D6733">
        <w:rPr>
          <w:rFonts w:eastAsiaTheme="minorEastAsia"/>
        </w:rPr>
        <w:t xml:space="preserve"> 874</w:t>
      </w:r>
      <w:r w:rsidR="00C544EC">
        <w:rPr>
          <w:rFonts w:eastAsiaTheme="minorEastAsia"/>
        </w:rPr>
        <w:t>,</w:t>
      </w:r>
      <w:r w:rsidR="009D6733">
        <w:rPr>
          <w:rFonts w:eastAsiaTheme="minorEastAsia"/>
        </w:rPr>
        <w:t>632.5</w:t>
      </w:r>
      <w:r w:rsidR="008C4DBA">
        <w:rPr>
          <w:rFonts w:eastAsiaTheme="minorEastAsia"/>
        </w:rPr>
        <w:t>t CO</w:t>
      </w:r>
      <w:r w:rsidR="008C4DBA" w:rsidRPr="003D46B7">
        <w:rPr>
          <w:rFonts w:eastAsiaTheme="minorEastAsia"/>
          <w:vertAlign w:val="subscript"/>
        </w:rPr>
        <w:t>2</w:t>
      </w:r>
      <w:r w:rsidR="00FA6176">
        <w:rPr>
          <w:rFonts w:eastAsiaTheme="minorEastAsia"/>
        </w:rPr>
        <w:t>,</w:t>
      </w:r>
      <w:r w:rsidR="00417816">
        <w:rPr>
          <w:rFonts w:eastAsiaTheme="minorEastAsia"/>
        </w:rPr>
        <w:t xml:space="preserve"> 13.16</w:t>
      </w:r>
      <w:r w:rsidR="007C6406">
        <w:rPr>
          <w:rFonts w:eastAsiaTheme="minorEastAsia"/>
        </w:rPr>
        <w:t>%</w:t>
      </w:r>
      <w:r w:rsidR="00417816">
        <w:rPr>
          <w:rFonts w:eastAsiaTheme="minorEastAsia"/>
        </w:rPr>
        <w:t xml:space="preserve"> of total CO</w:t>
      </w:r>
      <w:r w:rsidR="00417816" w:rsidRPr="003D46B7">
        <w:rPr>
          <w:rFonts w:eastAsiaTheme="minorEastAsia"/>
          <w:vertAlign w:val="subscript"/>
        </w:rPr>
        <w:t>2</w:t>
      </w:r>
      <w:r w:rsidR="00417816">
        <w:rPr>
          <w:rFonts w:eastAsiaTheme="minorEastAsia"/>
          <w:vertAlign w:val="subscript"/>
        </w:rPr>
        <w:t xml:space="preserve"> </w:t>
      </w:r>
      <w:r w:rsidR="00417816">
        <w:rPr>
          <w:rFonts w:eastAsiaTheme="minorEastAsia"/>
        </w:rPr>
        <w:t>emissions.</w:t>
      </w:r>
      <w:r w:rsidR="009D6733">
        <w:rPr>
          <w:rFonts w:eastAsiaTheme="minorEastAsia"/>
        </w:rPr>
        <w:t xml:space="preserve"> A 75% substitution would save </w:t>
      </w:r>
      <w:r w:rsidR="008C4DBA">
        <w:rPr>
          <w:rFonts w:eastAsiaTheme="minorEastAsia"/>
        </w:rPr>
        <w:t>1</w:t>
      </w:r>
      <w:r w:rsidR="00C544EC">
        <w:rPr>
          <w:rFonts w:eastAsiaTheme="minorEastAsia"/>
        </w:rPr>
        <w:t>,</w:t>
      </w:r>
      <w:r w:rsidR="008C4DBA">
        <w:rPr>
          <w:rFonts w:eastAsiaTheme="minorEastAsia"/>
        </w:rPr>
        <w:t>311</w:t>
      </w:r>
      <w:r w:rsidR="00C544EC">
        <w:rPr>
          <w:rFonts w:eastAsiaTheme="minorEastAsia"/>
        </w:rPr>
        <w:t>,</w:t>
      </w:r>
      <w:r w:rsidR="008C4DBA">
        <w:rPr>
          <w:rFonts w:eastAsiaTheme="minorEastAsia"/>
        </w:rPr>
        <w:t>948.8t CO</w:t>
      </w:r>
      <w:r w:rsidR="008C4DBA" w:rsidRPr="003D46B7">
        <w:rPr>
          <w:rFonts w:eastAsiaTheme="minorEastAsia"/>
          <w:vertAlign w:val="subscript"/>
        </w:rPr>
        <w:t>2</w:t>
      </w:r>
      <w:r w:rsidR="00FA6176">
        <w:rPr>
          <w:rFonts w:eastAsiaTheme="minorEastAsia"/>
        </w:rPr>
        <w:t>,</w:t>
      </w:r>
      <w:r w:rsidR="00381473">
        <w:rPr>
          <w:rFonts w:eastAsiaTheme="minorEastAsia"/>
        </w:rPr>
        <w:t xml:space="preserve"> 19.75% of total</w:t>
      </w:r>
      <w:r w:rsidR="004D0DC3">
        <w:rPr>
          <w:rFonts w:eastAsiaTheme="minorEastAsia"/>
        </w:rPr>
        <w:t xml:space="preserve"> CO</w:t>
      </w:r>
      <w:r w:rsidR="004D0DC3" w:rsidRPr="003D46B7">
        <w:rPr>
          <w:rFonts w:eastAsiaTheme="minorEastAsia"/>
          <w:vertAlign w:val="subscript"/>
        </w:rPr>
        <w:t>2</w:t>
      </w:r>
      <w:r w:rsidR="00381473">
        <w:rPr>
          <w:rFonts w:eastAsiaTheme="minorEastAsia"/>
        </w:rPr>
        <w:t xml:space="preserve"> </w:t>
      </w:r>
      <w:r w:rsidR="004D0DC3">
        <w:rPr>
          <w:rFonts w:eastAsiaTheme="minorEastAsia"/>
        </w:rPr>
        <w:t>emissions.</w:t>
      </w:r>
    </w:p>
    <w:p w14:paraId="64613A0F" w14:textId="3E99A5FA" w:rsidR="007A7686" w:rsidRDefault="00876B84" w:rsidP="00255F91">
      <w:pPr>
        <w:spacing w:line="360" w:lineRule="auto"/>
        <w:jc w:val="both"/>
      </w:pPr>
      <w:r>
        <w:t>This report has found that</w:t>
      </w:r>
      <w:r w:rsidR="005C3C75">
        <w:t xml:space="preserve"> there is potential to replace 5% </w:t>
      </w:r>
      <w:r w:rsidR="00D3747E">
        <w:t>coal with biochar for coke making. This would reduce CO</w:t>
      </w:r>
      <w:r w:rsidR="00D3747E" w:rsidRPr="00D3747E">
        <w:rPr>
          <w:vertAlign w:val="subscript"/>
        </w:rPr>
        <w:t>2</w:t>
      </w:r>
      <w:r w:rsidR="00D3747E">
        <w:t xml:space="preserve"> emissions in this process by </w:t>
      </w:r>
      <w:r w:rsidR="00DC1BB5">
        <w:t>35,730t</w:t>
      </w:r>
      <w:r w:rsidR="008D4D13">
        <w:t xml:space="preserve"> annually. </w:t>
      </w:r>
      <w:r w:rsidR="00524538">
        <w:t>Which equates to 0.54% of the total CO2 emissions.</w:t>
      </w:r>
    </w:p>
    <w:p w14:paraId="688FEE79" w14:textId="3AEA9ADF" w:rsidR="003C24AF" w:rsidRDefault="00065D54" w:rsidP="00255F91">
      <w:pPr>
        <w:spacing w:line="360" w:lineRule="auto"/>
        <w:jc w:val="both"/>
      </w:pPr>
      <w:r>
        <w:t xml:space="preserve">In the sinter tests it was found that there is potential to replace up to 50% of the sinter fuel with biochar. </w:t>
      </w:r>
      <w:r w:rsidR="00345FD5">
        <w:t xml:space="preserve">This could save </w:t>
      </w:r>
      <w:r w:rsidR="002302F0">
        <w:t>360,000t of CO</w:t>
      </w:r>
      <w:r w:rsidR="002302F0" w:rsidRPr="002302F0">
        <w:rPr>
          <w:vertAlign w:val="subscript"/>
        </w:rPr>
        <w:t>2</w:t>
      </w:r>
      <w:r w:rsidR="002302F0">
        <w:t xml:space="preserve"> annually.</w:t>
      </w:r>
      <w:r w:rsidR="00CF4865">
        <w:t xml:space="preserve"> 5.42% of the total</w:t>
      </w:r>
      <w:r w:rsidR="00524538">
        <w:t xml:space="preserve"> CO2 emissions</w:t>
      </w:r>
      <w:r w:rsidR="00CF4865">
        <w:t xml:space="preserve">. </w:t>
      </w:r>
    </w:p>
    <w:p w14:paraId="56B8079B" w14:textId="06FE37CD" w:rsidR="00876949" w:rsidRDefault="00BC048B" w:rsidP="00255F91">
      <w:pPr>
        <w:spacing w:line="360" w:lineRule="auto"/>
        <w:jc w:val="both"/>
      </w:pPr>
      <w:r>
        <w:t xml:space="preserve">In </w:t>
      </w:r>
      <w:r w:rsidR="009F5524">
        <w:t>three scenarios</w:t>
      </w:r>
      <w:r w:rsidR="00876949">
        <w:t xml:space="preserve">, the total potential </w:t>
      </w:r>
      <w:r w:rsidR="00876949">
        <w:rPr>
          <w:rFonts w:eastAsiaTheme="minorEastAsia"/>
        </w:rPr>
        <w:t>CO</w:t>
      </w:r>
      <w:r w:rsidR="00876949" w:rsidRPr="003D46B7">
        <w:rPr>
          <w:rFonts w:eastAsiaTheme="minorEastAsia"/>
          <w:vertAlign w:val="subscript"/>
        </w:rPr>
        <w:t>2</w:t>
      </w:r>
      <w:r w:rsidR="00876949">
        <w:t xml:space="preserve"> savings</w:t>
      </w:r>
      <w:r w:rsidR="00517B84">
        <w:t xml:space="preserve"> annually</w:t>
      </w:r>
      <w:r w:rsidR="000D414F">
        <w:t xml:space="preserve"> from substituting biochar into </w:t>
      </w:r>
      <w:r w:rsidR="00F86438">
        <w:t>iron</w:t>
      </w:r>
      <w:r w:rsidR="000D414F">
        <w:t>, sinter and coke making</w:t>
      </w:r>
      <w:r w:rsidR="004C5F11">
        <w:t xml:space="preserve"> at Port Talbot</w:t>
      </w:r>
      <w:r w:rsidR="00876949">
        <w:t xml:space="preserve"> could be:</w:t>
      </w:r>
    </w:p>
    <w:p w14:paraId="2D09C6E6" w14:textId="4043CAF1" w:rsidR="006A4AA5" w:rsidRPr="006C6621" w:rsidRDefault="009F5524" w:rsidP="00255F91">
      <w:pPr>
        <w:spacing w:line="360" w:lineRule="auto"/>
        <w:jc w:val="both"/>
      </w:pPr>
      <w:r>
        <w:t>a</w:t>
      </w:r>
      <w:r w:rsidR="00876949">
        <w:t>t</w:t>
      </w:r>
      <w:r>
        <w:t xml:space="preserve"> 25% PCI substitution</w:t>
      </w:r>
      <w:r w:rsidR="00876949">
        <w:t xml:space="preserve"> </w:t>
      </w:r>
      <w:r w:rsidR="005319A1">
        <w:t>–</w:t>
      </w:r>
      <w:r w:rsidR="00876949">
        <w:t xml:space="preserve"> </w:t>
      </w:r>
      <w:r w:rsidR="005319A1">
        <w:t xml:space="preserve">833,046t </w:t>
      </w:r>
      <w:r w:rsidR="002B760F">
        <w:t>–</w:t>
      </w:r>
      <w:r w:rsidR="00A24943">
        <w:t xml:space="preserve"> </w:t>
      </w:r>
      <w:r w:rsidR="002B760F">
        <w:t>a 12.5% saving</w:t>
      </w:r>
      <w:r w:rsidR="006C6621">
        <w:t xml:space="preserve"> in total </w:t>
      </w:r>
      <w:r w:rsidR="006C6621">
        <w:rPr>
          <w:rFonts w:eastAsiaTheme="minorEastAsia"/>
        </w:rPr>
        <w:t>CO</w:t>
      </w:r>
      <w:r w:rsidR="006C6621" w:rsidRPr="003D46B7">
        <w:rPr>
          <w:rFonts w:eastAsiaTheme="minorEastAsia"/>
          <w:vertAlign w:val="subscript"/>
        </w:rPr>
        <w:t>2</w:t>
      </w:r>
      <w:r w:rsidR="006C6621">
        <w:rPr>
          <w:rFonts w:eastAsiaTheme="minorEastAsia"/>
        </w:rPr>
        <w:t xml:space="preserve"> emissions.</w:t>
      </w:r>
    </w:p>
    <w:p w14:paraId="17C4F895" w14:textId="1613D9F7" w:rsidR="00C544EC" w:rsidRDefault="00C544EC" w:rsidP="00255F91">
      <w:pPr>
        <w:spacing w:line="360" w:lineRule="auto"/>
        <w:jc w:val="both"/>
      </w:pPr>
      <w:r>
        <w:t xml:space="preserve">at 50% PCI substitution </w:t>
      </w:r>
      <w:r w:rsidR="001A7FC9">
        <w:t>–</w:t>
      </w:r>
      <w:r>
        <w:t xml:space="preserve"> </w:t>
      </w:r>
      <w:r w:rsidR="001A7FC9">
        <w:t>1,270</w:t>
      </w:r>
      <w:r w:rsidR="000044CA">
        <w:t>,362t</w:t>
      </w:r>
      <w:r w:rsidR="006C6621">
        <w:t xml:space="preserve"> </w:t>
      </w:r>
      <w:r w:rsidR="00A05FC6">
        <w:t>–</w:t>
      </w:r>
      <w:r w:rsidR="006C6621">
        <w:t xml:space="preserve"> </w:t>
      </w:r>
      <w:r w:rsidR="00A05FC6">
        <w:t xml:space="preserve">a 19.1% saving in total </w:t>
      </w:r>
      <w:r w:rsidR="00A05FC6">
        <w:rPr>
          <w:rFonts w:eastAsiaTheme="minorEastAsia"/>
        </w:rPr>
        <w:t>CO</w:t>
      </w:r>
      <w:r w:rsidR="00A05FC6" w:rsidRPr="003D46B7">
        <w:rPr>
          <w:rFonts w:eastAsiaTheme="minorEastAsia"/>
          <w:vertAlign w:val="subscript"/>
        </w:rPr>
        <w:t>2</w:t>
      </w:r>
      <w:r w:rsidR="00A05FC6">
        <w:rPr>
          <w:rFonts w:eastAsiaTheme="minorEastAsia"/>
        </w:rPr>
        <w:t xml:space="preserve"> emissions.</w:t>
      </w:r>
    </w:p>
    <w:p w14:paraId="75686C94" w14:textId="69B1E38C" w:rsidR="00CB63E2" w:rsidRDefault="000044CA" w:rsidP="007E7E24">
      <w:pPr>
        <w:spacing w:line="360" w:lineRule="auto"/>
        <w:jc w:val="both"/>
        <w:rPr>
          <w:rFonts w:eastAsiaTheme="minorEastAsia"/>
        </w:rPr>
      </w:pPr>
      <w:r>
        <w:t>a</w:t>
      </w:r>
      <w:r w:rsidR="001A3485">
        <w:t>t</w:t>
      </w:r>
      <w:r>
        <w:t xml:space="preserve"> 75% PCI substitution </w:t>
      </w:r>
      <w:r w:rsidR="00A24943">
        <w:t>–</w:t>
      </w:r>
      <w:r>
        <w:t xml:space="preserve"> </w:t>
      </w:r>
      <w:r w:rsidR="00A24943">
        <w:t>1,707,679t</w:t>
      </w:r>
      <w:r w:rsidR="00A05FC6">
        <w:t xml:space="preserve"> </w:t>
      </w:r>
      <w:r w:rsidR="00E441AA">
        <w:t>–</w:t>
      </w:r>
      <w:r w:rsidR="00A05FC6">
        <w:t xml:space="preserve"> </w:t>
      </w:r>
      <w:r w:rsidR="00E441AA">
        <w:t xml:space="preserve">a 25.7% saving in total </w:t>
      </w:r>
      <w:r w:rsidR="00E441AA">
        <w:rPr>
          <w:rFonts w:eastAsiaTheme="minorEastAsia"/>
        </w:rPr>
        <w:t>CO</w:t>
      </w:r>
      <w:r w:rsidR="00E441AA" w:rsidRPr="003D46B7">
        <w:rPr>
          <w:rFonts w:eastAsiaTheme="minorEastAsia"/>
          <w:vertAlign w:val="subscript"/>
        </w:rPr>
        <w:t>2</w:t>
      </w:r>
      <w:r w:rsidR="00E441AA">
        <w:rPr>
          <w:rFonts w:eastAsiaTheme="minorEastAsia"/>
        </w:rPr>
        <w:t xml:space="preserve"> emissions.</w:t>
      </w:r>
    </w:p>
    <w:p w14:paraId="6873597C" w14:textId="2C3CCBE8" w:rsidR="00FF7781" w:rsidRDefault="00FF7781" w:rsidP="007E7E24">
      <w:pPr>
        <w:spacing w:line="360" w:lineRule="auto"/>
        <w:jc w:val="both"/>
        <w:rPr>
          <w:rFonts w:eastAsiaTheme="minorEastAsia"/>
        </w:rPr>
      </w:pPr>
    </w:p>
    <w:p w14:paraId="33673F4D" w14:textId="2BDA9482" w:rsidR="00FF7781" w:rsidRDefault="00FF7781" w:rsidP="007E7E24">
      <w:pPr>
        <w:spacing w:line="360" w:lineRule="auto"/>
        <w:jc w:val="both"/>
        <w:rPr>
          <w:rFonts w:eastAsiaTheme="minorEastAsia"/>
        </w:rPr>
      </w:pPr>
    </w:p>
    <w:p w14:paraId="7B7FF925" w14:textId="4B488AA1" w:rsidR="00FF7781" w:rsidRDefault="00FF7781" w:rsidP="007E7E24">
      <w:pPr>
        <w:spacing w:line="360" w:lineRule="auto"/>
        <w:jc w:val="both"/>
        <w:rPr>
          <w:rFonts w:eastAsiaTheme="minorEastAsia"/>
        </w:rPr>
      </w:pPr>
    </w:p>
    <w:p w14:paraId="38FB1942" w14:textId="633990ED" w:rsidR="00FF7781" w:rsidRDefault="00FF7781" w:rsidP="007E7E24">
      <w:pPr>
        <w:spacing w:line="360" w:lineRule="auto"/>
        <w:jc w:val="both"/>
        <w:rPr>
          <w:rFonts w:eastAsiaTheme="minorEastAsia"/>
        </w:rPr>
      </w:pPr>
    </w:p>
    <w:p w14:paraId="3279BD26" w14:textId="1CC4BA74" w:rsidR="00FF7781" w:rsidRDefault="00FF7781" w:rsidP="007E7E24">
      <w:pPr>
        <w:spacing w:line="360" w:lineRule="auto"/>
        <w:jc w:val="both"/>
        <w:rPr>
          <w:rFonts w:eastAsiaTheme="minorEastAsia"/>
        </w:rPr>
      </w:pPr>
    </w:p>
    <w:p w14:paraId="4231A78B" w14:textId="7806A17B" w:rsidR="00FF7781" w:rsidRDefault="00FF7781" w:rsidP="007E7E24">
      <w:pPr>
        <w:spacing w:line="360" w:lineRule="auto"/>
        <w:jc w:val="both"/>
        <w:rPr>
          <w:rFonts w:eastAsiaTheme="minorEastAsia"/>
        </w:rPr>
      </w:pPr>
    </w:p>
    <w:p w14:paraId="316DE152" w14:textId="4939D63A" w:rsidR="00FF7781" w:rsidRDefault="00FF7781" w:rsidP="007E7E24">
      <w:pPr>
        <w:spacing w:line="360" w:lineRule="auto"/>
        <w:jc w:val="both"/>
        <w:rPr>
          <w:rFonts w:eastAsiaTheme="minorEastAsia"/>
        </w:rPr>
      </w:pPr>
    </w:p>
    <w:p w14:paraId="4ADC3979" w14:textId="42132675" w:rsidR="00FF7781" w:rsidRDefault="00FF7781" w:rsidP="007E7E24">
      <w:pPr>
        <w:spacing w:line="360" w:lineRule="auto"/>
        <w:jc w:val="both"/>
        <w:rPr>
          <w:rFonts w:eastAsiaTheme="minorEastAsia"/>
        </w:rPr>
      </w:pPr>
    </w:p>
    <w:p w14:paraId="73B725DA" w14:textId="6157D0AC" w:rsidR="00FF7781" w:rsidRDefault="00FF7781" w:rsidP="007E7E24">
      <w:pPr>
        <w:spacing w:line="360" w:lineRule="auto"/>
        <w:jc w:val="both"/>
        <w:rPr>
          <w:rFonts w:eastAsiaTheme="minorEastAsia"/>
        </w:rPr>
      </w:pPr>
    </w:p>
    <w:p w14:paraId="00ED3AAB" w14:textId="281C4CB5" w:rsidR="00FF7781" w:rsidRDefault="00FF7781" w:rsidP="007E7E24">
      <w:pPr>
        <w:spacing w:line="360" w:lineRule="auto"/>
        <w:jc w:val="both"/>
        <w:rPr>
          <w:rFonts w:eastAsiaTheme="minorEastAsia"/>
        </w:rPr>
      </w:pPr>
    </w:p>
    <w:p w14:paraId="60B77C7E" w14:textId="420CF3CB" w:rsidR="00FF7781" w:rsidRDefault="00FF7781" w:rsidP="007E7E24">
      <w:pPr>
        <w:spacing w:line="360" w:lineRule="auto"/>
        <w:jc w:val="both"/>
        <w:rPr>
          <w:rFonts w:eastAsiaTheme="minorEastAsia"/>
        </w:rPr>
      </w:pPr>
    </w:p>
    <w:p w14:paraId="05F182EC" w14:textId="77777777" w:rsidR="00FF7781" w:rsidRPr="00CB63E2" w:rsidRDefault="00FF7781" w:rsidP="007E7E24">
      <w:pPr>
        <w:spacing w:line="360" w:lineRule="auto"/>
        <w:jc w:val="both"/>
      </w:pPr>
    </w:p>
    <w:p w14:paraId="42727CC0" w14:textId="635E573A" w:rsidR="009443AA" w:rsidRDefault="009443AA" w:rsidP="00A30F1F">
      <w:pPr>
        <w:pStyle w:val="Heading1"/>
        <w:spacing w:line="360" w:lineRule="auto"/>
        <w:jc w:val="both"/>
      </w:pPr>
      <w:bookmarkStart w:id="110" w:name="_Toc128599639"/>
      <w:r>
        <w:lastRenderedPageBreak/>
        <w:t>Conclusion</w:t>
      </w:r>
      <w:bookmarkEnd w:id="110"/>
    </w:p>
    <w:p w14:paraId="49415499" w14:textId="4EC1B7E3" w:rsidR="00A30F1F" w:rsidRDefault="007F76E6" w:rsidP="00A30F1F">
      <w:pPr>
        <w:spacing w:line="360" w:lineRule="auto"/>
        <w:jc w:val="both"/>
      </w:pPr>
      <w:r>
        <w:t xml:space="preserve">The purpose of this report was to </w:t>
      </w:r>
      <w:r w:rsidR="00237F27">
        <w:t>investigate whether</w:t>
      </w:r>
      <w:r w:rsidR="00135F9E">
        <w:t xml:space="preserve"> </w:t>
      </w:r>
      <w:r w:rsidR="004D029D">
        <w:t>the fossil fuels</w:t>
      </w:r>
      <w:r w:rsidR="0061132C">
        <w:t xml:space="preserve"> used in steelmaking process could be partially replaced with </w:t>
      </w:r>
      <w:r w:rsidR="002D09F7">
        <w:t>biochar produced from sustainably sourced biomass</w:t>
      </w:r>
      <w:r w:rsidR="00681587">
        <w:t>, without</w:t>
      </w:r>
      <w:r w:rsidR="00A83243">
        <w:t xml:space="preserve"> </w:t>
      </w:r>
      <w:r w:rsidR="00FC541D">
        <w:t xml:space="preserve">adversely impacting product quality. </w:t>
      </w:r>
      <w:r w:rsidR="00AC4010">
        <w:t>Replacing these fossil fuels wi</w:t>
      </w:r>
      <w:r w:rsidR="00F55993">
        <w:t xml:space="preserve">th biochar </w:t>
      </w:r>
      <w:r w:rsidR="00B27E2B">
        <w:t>would</w:t>
      </w:r>
      <w:r w:rsidR="00F55993">
        <w:t xml:space="preserve"> potentially allow the steel industry to significantly reduce its CO</w:t>
      </w:r>
      <w:r w:rsidR="00F55993" w:rsidRPr="00F55993">
        <w:rPr>
          <w:vertAlign w:val="subscript"/>
        </w:rPr>
        <w:t>2</w:t>
      </w:r>
      <w:r w:rsidR="00F55993">
        <w:rPr>
          <w:vertAlign w:val="subscript"/>
        </w:rPr>
        <w:t xml:space="preserve"> </w:t>
      </w:r>
      <w:r w:rsidR="00F55993">
        <w:t xml:space="preserve">footprint. </w:t>
      </w:r>
    </w:p>
    <w:p w14:paraId="2CCC5289" w14:textId="5942FF5D" w:rsidR="00B4396F" w:rsidRDefault="00156154" w:rsidP="00A30F1F">
      <w:pPr>
        <w:spacing w:line="360" w:lineRule="auto"/>
        <w:jc w:val="both"/>
      </w:pPr>
      <w:r>
        <w:t xml:space="preserve">Three steelmaking process </w:t>
      </w:r>
      <w:r w:rsidR="00140FC1">
        <w:t>were</w:t>
      </w:r>
      <w:r w:rsidR="00765378">
        <w:t xml:space="preserve"> replicated at a lab scale</w:t>
      </w:r>
      <w:r w:rsidR="007705E7">
        <w:t xml:space="preserve"> and</w:t>
      </w:r>
      <w:r w:rsidR="00C1234B">
        <w:t xml:space="preserve"> </w:t>
      </w:r>
      <w:r w:rsidR="00765378">
        <w:t xml:space="preserve">the impact of </w:t>
      </w:r>
      <w:r w:rsidR="000F7EBE">
        <w:t>partially replacing the current fuel with</w:t>
      </w:r>
      <w:r w:rsidR="00765378">
        <w:t xml:space="preserve"> bioch</w:t>
      </w:r>
      <w:r w:rsidR="000F7EBE">
        <w:t xml:space="preserve">ar </w:t>
      </w:r>
      <w:r w:rsidR="00765378">
        <w:t>on product quality</w:t>
      </w:r>
      <w:r w:rsidR="00C1234B">
        <w:t xml:space="preserve"> was assessed for each process.</w:t>
      </w:r>
      <w:r w:rsidR="00214FE2">
        <w:t xml:space="preserve"> </w:t>
      </w:r>
      <w:r w:rsidR="007F12D6">
        <w:t xml:space="preserve">Two biochar feedstocks were chosen, a </w:t>
      </w:r>
      <w:proofErr w:type="spellStart"/>
      <w:r w:rsidR="007F12D6">
        <w:t>pyrolised</w:t>
      </w:r>
      <w:proofErr w:type="spellEnd"/>
      <w:r w:rsidR="007F12D6">
        <w:t xml:space="preserve"> softwood and a </w:t>
      </w:r>
      <w:proofErr w:type="spellStart"/>
      <w:r w:rsidR="007F12D6">
        <w:t>pyrolised</w:t>
      </w:r>
      <w:proofErr w:type="spellEnd"/>
      <w:r w:rsidR="007F12D6">
        <w:t xml:space="preserve"> waste hardwood.</w:t>
      </w:r>
    </w:p>
    <w:p w14:paraId="6E22D1AB" w14:textId="74CCC5C9" w:rsidR="00A129DA" w:rsidRPr="00AE63FA" w:rsidRDefault="00214FE2" w:rsidP="00A30F1F">
      <w:pPr>
        <w:spacing w:line="360" w:lineRule="auto"/>
        <w:jc w:val="both"/>
      </w:pPr>
      <w:r>
        <w:t>Biochar was compared to p</w:t>
      </w:r>
      <w:r w:rsidR="002D0330">
        <w:t>ulverised coal by simulating</w:t>
      </w:r>
      <w:r w:rsidR="00C1234B">
        <w:t xml:space="preserve"> </w:t>
      </w:r>
      <w:r w:rsidR="002D0330">
        <w:t>b</w:t>
      </w:r>
      <w:r w:rsidR="009D7E3D">
        <w:t>last furnace conditions</w:t>
      </w:r>
      <w:r w:rsidR="002D0330">
        <w:t>,</w:t>
      </w:r>
      <w:r w:rsidR="00E37E51">
        <w:t xml:space="preserve"> a drop tube furnace</w:t>
      </w:r>
      <w:r w:rsidR="000A4BA0">
        <w:t xml:space="preserve"> was used</w:t>
      </w:r>
      <w:r w:rsidR="00C760B0">
        <w:t xml:space="preserve"> t</w:t>
      </w:r>
      <w:r w:rsidR="002448F1">
        <w:t xml:space="preserve">o produce blast furnace char which was </w:t>
      </w:r>
      <w:r>
        <w:t xml:space="preserve">tested for its </w:t>
      </w:r>
      <w:r w:rsidR="00EE50AF">
        <w:t xml:space="preserve">chemical, </w:t>
      </w:r>
      <w:r w:rsidR="004D26EB">
        <w:t>combustion,</w:t>
      </w:r>
      <w:r>
        <w:t xml:space="preserve"> and burnout properties</w:t>
      </w:r>
      <w:r w:rsidR="00037D36">
        <w:t xml:space="preserve">. </w:t>
      </w:r>
      <w:r w:rsidR="00FB47E0">
        <w:t xml:space="preserve">The biochar had a comparable </w:t>
      </w:r>
      <w:r w:rsidR="004D26EB">
        <w:t xml:space="preserve">chemical properties to pulverised coal. </w:t>
      </w:r>
      <w:r w:rsidR="00C067F3">
        <w:t xml:space="preserve">It was </w:t>
      </w:r>
      <w:r w:rsidR="001C133A">
        <w:t>established</w:t>
      </w:r>
      <w:r w:rsidR="00C067F3">
        <w:t xml:space="preserve"> that </w:t>
      </w:r>
      <w:r w:rsidR="0025696B">
        <w:t>although the biochar does contain higher concentration</w:t>
      </w:r>
      <w:r w:rsidR="002E3B17">
        <w:t>s</w:t>
      </w:r>
      <w:r w:rsidR="0025696B">
        <w:t xml:space="preserve"> of harmful alkali elements</w:t>
      </w:r>
      <w:r w:rsidR="00DD1E45">
        <w:t xml:space="preserve">, the concentrations </w:t>
      </w:r>
      <w:r w:rsidR="009C1B7D">
        <w:t>of these elements in</w:t>
      </w:r>
      <w:r w:rsidR="00DD1E45">
        <w:t xml:space="preserve"> the two </w:t>
      </w:r>
      <w:r w:rsidR="008F7762">
        <w:t>biochar’s’</w:t>
      </w:r>
      <w:r w:rsidR="00DD1E45">
        <w:t xml:space="preserve"> tested </w:t>
      </w:r>
      <w:r w:rsidR="004D2A9D">
        <w:t>was</w:t>
      </w:r>
      <w:r w:rsidR="00BD18F3">
        <w:t xml:space="preserve"> reasonably low.</w:t>
      </w:r>
      <w:r w:rsidR="00B4396F">
        <w:t xml:space="preserve"> </w:t>
      </w:r>
      <w:r w:rsidR="00AB2A78">
        <w:t>The biochar was more reactive tha</w:t>
      </w:r>
      <w:r w:rsidR="009007DF">
        <w:t>n</w:t>
      </w:r>
      <w:r w:rsidR="00AB2A78">
        <w:t xml:space="preserve"> </w:t>
      </w:r>
      <w:r w:rsidR="00021C1A">
        <w:t xml:space="preserve">the pulverised coal meaning </w:t>
      </w:r>
      <w:r w:rsidR="005C4E90">
        <w:t>any blast furnace char it produced would ignite at lower temperature</w:t>
      </w:r>
      <w:r w:rsidR="00D36400">
        <w:t xml:space="preserve"> and burnout more quickly than pulverised coal</w:t>
      </w:r>
      <w:r w:rsidR="00CD1FCF">
        <w:t xml:space="preserve"> </w:t>
      </w:r>
      <w:r w:rsidR="00DD55CA">
        <w:t>which could result</w:t>
      </w:r>
      <w:r w:rsidR="00CD1FCF">
        <w:t xml:space="preserve"> </w:t>
      </w:r>
      <w:r w:rsidR="00DD55CA">
        <w:t>in</w:t>
      </w:r>
      <w:r w:rsidR="00CD1FCF">
        <w:t xml:space="preserve"> </w:t>
      </w:r>
      <w:r w:rsidR="00341429">
        <w:t>improved blast furnace performance.</w:t>
      </w:r>
      <w:r w:rsidR="001C133A">
        <w:t xml:space="preserve"> It was determined that</w:t>
      </w:r>
      <w:r w:rsidR="006F31B2">
        <w:t xml:space="preserve"> based on combustion and burnout characteristics, measures used to assess pulverised coal,</w:t>
      </w:r>
      <w:r w:rsidR="001C133A">
        <w:t xml:space="preserve"> it would be possible to replace a substantive amount of pulverised coal with biochar at the blast furnace. </w:t>
      </w:r>
      <w:r w:rsidR="007B2FAA">
        <w:t>In 2021 Port Talbots blast furnaces consumed approximately 1.05 - 1.12 Mt of coke and 0.63 – 0.7</w:t>
      </w:r>
      <w:r w:rsidR="00AE63FA">
        <w:t>0</w:t>
      </w:r>
      <w:r w:rsidR="007B2FAA">
        <w:t xml:space="preserve"> Mt of coal producing approximately 3.5 Mt of Iron</w:t>
      </w:r>
      <w:r w:rsidR="00AE63FA">
        <w:t xml:space="preserve"> while emitting approximately 4.27Mt of C0</w:t>
      </w:r>
      <w:r w:rsidR="00AE63FA" w:rsidRPr="00AE63FA">
        <w:rPr>
          <w:vertAlign w:val="subscript"/>
        </w:rPr>
        <w:t>2</w:t>
      </w:r>
      <w:r w:rsidR="00AE63FA">
        <w:t xml:space="preserve">. If between 25% - 75% of the coal was substituted with </w:t>
      </w:r>
      <w:r w:rsidR="004D26EB">
        <w:t>biochar,</w:t>
      </w:r>
      <w:r w:rsidR="00AE63FA">
        <w:t xml:space="preserve"> then 6.</w:t>
      </w:r>
      <w:r w:rsidR="006F31B2">
        <w:t>6</w:t>
      </w:r>
      <w:r w:rsidR="00AE63FA">
        <w:t>% to 19.</w:t>
      </w:r>
      <w:r w:rsidR="006F31B2">
        <w:t>8</w:t>
      </w:r>
      <w:r w:rsidR="00AE63FA">
        <w:t>% C0</w:t>
      </w:r>
      <w:r w:rsidR="00AE63FA" w:rsidRPr="00AE63FA">
        <w:rPr>
          <w:vertAlign w:val="subscript"/>
        </w:rPr>
        <w:t>2</w:t>
      </w:r>
      <w:r w:rsidR="00AE63FA">
        <w:t xml:space="preserve"> </w:t>
      </w:r>
      <w:r w:rsidR="00524538">
        <w:t xml:space="preserve">annual </w:t>
      </w:r>
      <w:r w:rsidR="00AE63FA">
        <w:t>savings could be achieved at Port Talbots blast furnaces alone.</w:t>
      </w:r>
    </w:p>
    <w:p w14:paraId="0C010BC7" w14:textId="06391ADD" w:rsidR="00604683" w:rsidRDefault="0057601B" w:rsidP="00A30F1F">
      <w:pPr>
        <w:spacing w:line="360" w:lineRule="auto"/>
        <w:jc w:val="both"/>
      </w:pPr>
      <w:r>
        <w:t xml:space="preserve">Coal was partially replaced with biochar in a lab scale pilot oven to produce </w:t>
      </w:r>
      <w:r w:rsidR="00B906D7">
        <w:t xml:space="preserve">biocoke, </w:t>
      </w:r>
      <w:r w:rsidR="001C133A">
        <w:t>which was</w:t>
      </w:r>
      <w:r w:rsidR="00B906D7">
        <w:t xml:space="preserve"> </w:t>
      </w:r>
      <w:r w:rsidR="00D64167">
        <w:t>quality assessed.</w:t>
      </w:r>
      <w:r w:rsidR="009937A8">
        <w:t xml:space="preserve"> </w:t>
      </w:r>
      <w:r w:rsidR="00D66E2A">
        <w:t>It was found that t</w:t>
      </w:r>
      <w:r w:rsidR="004D26EB">
        <w:t xml:space="preserve">he addition of biochar to coking coal adversely affects the quality of the biocoke produced. </w:t>
      </w:r>
      <w:r w:rsidR="00D66E2A">
        <w:t xml:space="preserve">Drops in the quality measures, hot and cold coke strength were observed. The nature of biochar leaves inert inclusions in the biocoke, acting as focal points for stress from which fissuring can occur. </w:t>
      </w:r>
      <w:r w:rsidR="00604683">
        <w:t>Bioc</w:t>
      </w:r>
      <w:r w:rsidR="008D3589">
        <w:t>oke</w:t>
      </w:r>
      <w:r w:rsidR="00604683">
        <w:t xml:space="preserve"> has higher concentrations of alkali metals</w:t>
      </w:r>
      <w:r w:rsidR="00D66E2A">
        <w:t xml:space="preserve"> </w:t>
      </w:r>
      <w:r w:rsidR="00604683">
        <w:t>making it more reactive in the blast furnace. These characteristics severely limit the amount of bioc</w:t>
      </w:r>
      <w:r w:rsidR="008D3589">
        <w:t>har</w:t>
      </w:r>
      <w:r w:rsidR="00604683">
        <w:t xml:space="preserve"> that can be used for </w:t>
      </w:r>
      <w:r w:rsidR="008D3589">
        <w:t>coke</w:t>
      </w:r>
      <w:r w:rsidR="00604683">
        <w:t xml:space="preserve"> making. </w:t>
      </w:r>
    </w:p>
    <w:p w14:paraId="766C54F4" w14:textId="6BD4FF2A" w:rsidR="000551A9" w:rsidRDefault="00604683" w:rsidP="000551A9">
      <w:pPr>
        <w:spacing w:line="360" w:lineRule="auto"/>
        <w:jc w:val="both"/>
      </w:pPr>
      <w:r>
        <w:t>It would be possible to use 5% of a biochar with the properties of biochar 1</w:t>
      </w:r>
      <w:r w:rsidR="004E4ACE">
        <w:t xml:space="preserve"> without overly impacting coke </w:t>
      </w:r>
      <w:r w:rsidR="00B703FC">
        <w:t>quality.</w:t>
      </w:r>
      <w:r>
        <w:t xml:space="preserve"> In 2021 the coke ovens at Port Talbot produced approximately 0.9 Mt of coke using 1.3Mt </w:t>
      </w:r>
      <w:r>
        <w:lastRenderedPageBreak/>
        <w:t>of coal while emitting approximately 0.71 Mt of CO</w:t>
      </w:r>
      <w:r w:rsidRPr="00604683">
        <w:rPr>
          <w:vertAlign w:val="subscript"/>
        </w:rPr>
        <w:t>2</w:t>
      </w:r>
      <w:r>
        <w:t xml:space="preserve">. </w:t>
      </w:r>
      <w:r w:rsidR="00524538">
        <w:t>Substituting 5% biochar into the coal blend could save 35kt of CO</w:t>
      </w:r>
      <w:r w:rsidR="00524538" w:rsidRPr="00524538">
        <w:rPr>
          <w:vertAlign w:val="subscript"/>
        </w:rPr>
        <w:t>2</w:t>
      </w:r>
      <w:r w:rsidR="00524538">
        <w:t xml:space="preserve"> annually, 0.54% of the total emissions. </w:t>
      </w:r>
    </w:p>
    <w:p w14:paraId="41BA4EE8" w14:textId="64A9C166" w:rsidR="000A0472" w:rsidRDefault="00F62E25" w:rsidP="000551A9">
      <w:pPr>
        <w:spacing w:line="360" w:lineRule="auto"/>
        <w:jc w:val="both"/>
      </w:pPr>
      <w:r>
        <w:t>Bio-sinter was produced using the sinter pot, a lab scale replication of the sinter making process. Biochar was used to partially replace coke breeze as the fuel in the process.</w:t>
      </w:r>
      <w:r w:rsidR="002D10A0">
        <w:t xml:space="preserve"> </w:t>
      </w:r>
      <w:r w:rsidR="000F11AB">
        <w:t>The tests found that as</w:t>
      </w:r>
      <w:r w:rsidR="00EE0F87">
        <w:t xml:space="preserve"> the amount of biochar increased then the quality of sinter </w:t>
      </w:r>
      <w:r w:rsidR="00374133">
        <w:t xml:space="preserve">was </w:t>
      </w:r>
      <w:r w:rsidR="00854CD8">
        <w:t>decreased</w:t>
      </w:r>
      <w:r w:rsidR="00EE0F87">
        <w:t>. Th</w:t>
      </w:r>
      <w:r w:rsidR="00891904">
        <w:t>e maximum sintering temperature</w:t>
      </w:r>
      <w:r w:rsidR="00DB4F68">
        <w:t xml:space="preserve"> d</w:t>
      </w:r>
      <w:r w:rsidR="00223C33">
        <w:t>ropped</w:t>
      </w:r>
      <w:r w:rsidR="00DB4F68">
        <w:t xml:space="preserve">, and the time </w:t>
      </w:r>
      <w:r w:rsidR="007205A2">
        <w:t>spent above 1000</w:t>
      </w:r>
      <w:r w:rsidR="007205A2" w:rsidRPr="000551A9">
        <w:rPr>
          <w:vertAlign w:val="superscript"/>
        </w:rPr>
        <w:t>0</w:t>
      </w:r>
      <w:r w:rsidR="007205A2">
        <w:t>C</w:t>
      </w:r>
      <w:r w:rsidR="00891904">
        <w:t xml:space="preserve"> </w:t>
      </w:r>
      <w:r w:rsidR="007205A2">
        <w:t>reduced</w:t>
      </w:r>
      <w:r w:rsidR="00B41728">
        <w:t xml:space="preserve">, permeability </w:t>
      </w:r>
      <w:r w:rsidR="00854CD8">
        <w:t>decreased,</w:t>
      </w:r>
      <w:r w:rsidR="00832E9C">
        <w:t xml:space="preserve"> and the yield </w:t>
      </w:r>
      <w:r w:rsidR="00157135">
        <w:t>was l</w:t>
      </w:r>
      <w:r w:rsidR="00B41728">
        <w:t xml:space="preserve">ower. </w:t>
      </w:r>
      <w:r w:rsidR="00A269A6">
        <w:t>The quality measures</w:t>
      </w:r>
      <w:r w:rsidR="00DA2772">
        <w:t xml:space="preserve">, cold strength and reducibility </w:t>
      </w:r>
      <w:r w:rsidR="00650A3B">
        <w:t>were negatively affected.</w:t>
      </w:r>
      <w:r w:rsidR="009A368F">
        <w:t xml:space="preserve"> The </w:t>
      </w:r>
      <w:r w:rsidR="000551A9">
        <w:t>quality drops were not significant however until over 50%</w:t>
      </w:r>
      <w:r w:rsidR="00DA38CC">
        <w:t xml:space="preserve"> biochar substitution. </w:t>
      </w:r>
    </w:p>
    <w:p w14:paraId="64DA3915" w14:textId="76F1B21D" w:rsidR="00755124" w:rsidRDefault="00450725" w:rsidP="00A30F1F">
      <w:pPr>
        <w:spacing w:line="360" w:lineRule="auto"/>
        <w:jc w:val="both"/>
      </w:pPr>
      <w:r>
        <w:t>The results were not perfectly linear as</w:t>
      </w:r>
      <w:r w:rsidR="00BE3C29">
        <w:t xml:space="preserve"> the tests for both biochar 1 and biochar 2 contained an outlier. The tests for biochar 1 at 50% </w:t>
      </w:r>
      <w:r w:rsidR="002B205F">
        <w:t>substitution all showed an improvement in results from the base test.</w:t>
      </w:r>
      <w:r w:rsidR="00C07508">
        <w:t xml:space="preserve"> Similarly for the 25%</w:t>
      </w:r>
      <w:r w:rsidR="0062484A">
        <w:t xml:space="preserve"> </w:t>
      </w:r>
      <w:r w:rsidR="00EE244B">
        <w:t>substitution</w:t>
      </w:r>
      <w:r w:rsidR="00C07508">
        <w:t xml:space="preserve"> test results on the biochar 2</w:t>
      </w:r>
      <w:r w:rsidR="00EE244B">
        <w:t xml:space="preserve">. </w:t>
      </w:r>
      <w:r w:rsidR="00E41657">
        <w:t xml:space="preserve">The results do though show the potential for </w:t>
      </w:r>
      <w:r w:rsidR="00623FA8">
        <w:t xml:space="preserve">biochar to be used in sinter making </w:t>
      </w:r>
      <w:r w:rsidR="009D182D">
        <w:t>with</w:t>
      </w:r>
      <w:r w:rsidR="00623FA8">
        <w:t xml:space="preserve"> a </w:t>
      </w:r>
      <w:r w:rsidR="009D182D">
        <w:t xml:space="preserve">coke breeze </w:t>
      </w:r>
      <w:r w:rsidR="00623FA8">
        <w:t>replacement rate up to 50%.</w:t>
      </w:r>
      <w:r w:rsidR="0060660A" w:rsidRPr="0060660A">
        <w:t xml:space="preserve"> </w:t>
      </w:r>
      <w:r w:rsidR="0060660A">
        <w:t>This could save 360,000t of CO</w:t>
      </w:r>
      <w:r w:rsidR="0060660A" w:rsidRPr="002302F0">
        <w:rPr>
          <w:vertAlign w:val="subscript"/>
        </w:rPr>
        <w:t>2</w:t>
      </w:r>
      <w:r w:rsidR="0060660A">
        <w:t xml:space="preserve"> annually. 5.42% of the total CO2 emissions.</w:t>
      </w:r>
    </w:p>
    <w:p w14:paraId="2A96B912" w14:textId="080EBAA1" w:rsidR="004C3642" w:rsidRDefault="004C3642" w:rsidP="00A30F1F">
      <w:pPr>
        <w:spacing w:line="360" w:lineRule="auto"/>
        <w:jc w:val="both"/>
      </w:pPr>
      <w:r>
        <w:t xml:space="preserve">Of the two biochar </w:t>
      </w:r>
      <w:r w:rsidR="00C87DCE">
        <w:t xml:space="preserve">types </w:t>
      </w:r>
      <w:r w:rsidR="00E46121">
        <w:t>tested,</w:t>
      </w:r>
      <w:r w:rsidR="00C87DCE">
        <w:t xml:space="preserve"> biochar 1</w:t>
      </w:r>
      <w:r w:rsidR="006F709C">
        <w:t xml:space="preserve"> yielded the better results.</w:t>
      </w:r>
      <w:r w:rsidR="003436D3">
        <w:t xml:space="preserve"> It can be concluded that a single biochar </w:t>
      </w:r>
      <w:r w:rsidR="00475967">
        <w:t xml:space="preserve">source </w:t>
      </w:r>
      <w:r w:rsidR="003436D3">
        <w:t>could</w:t>
      </w:r>
      <w:r w:rsidR="00475967">
        <w:t xml:space="preserve"> be used in all three of the processes </w:t>
      </w:r>
      <w:r w:rsidR="00F2782D">
        <w:t>investigated</w:t>
      </w:r>
      <w:r w:rsidR="00DA59E3">
        <w:t xml:space="preserve"> in this report</w:t>
      </w:r>
      <w:r w:rsidR="00546F20">
        <w:t xml:space="preserve">. </w:t>
      </w:r>
      <w:r w:rsidR="004134A8">
        <w:t>The total potential CO</w:t>
      </w:r>
      <w:r w:rsidR="004134A8" w:rsidRPr="004134A8">
        <w:rPr>
          <w:vertAlign w:val="subscript"/>
        </w:rPr>
        <w:t>2</w:t>
      </w:r>
      <w:r w:rsidR="004134A8">
        <w:t xml:space="preserve"> savings at Port Talbot </w:t>
      </w:r>
      <w:r w:rsidR="001A5923">
        <w:t xml:space="preserve">between </w:t>
      </w:r>
      <w:r w:rsidR="008C138F">
        <w:t xml:space="preserve">0.83Mt (25% biochar substitution in PCI) and </w:t>
      </w:r>
      <w:r w:rsidR="00B101E5">
        <w:t>1.7Mt (75% biochar substitution in PCI)</w:t>
      </w:r>
      <w:r w:rsidR="00B12C9A">
        <w:t xml:space="preserve">. Which equates to savings of between 12.5% - 25.7% </w:t>
      </w:r>
      <w:r w:rsidR="00B703FC">
        <w:t>of total CO</w:t>
      </w:r>
      <w:r w:rsidR="00B703FC" w:rsidRPr="00B703FC">
        <w:rPr>
          <w:vertAlign w:val="subscript"/>
        </w:rPr>
        <w:t xml:space="preserve">2 </w:t>
      </w:r>
      <w:r w:rsidR="00B703FC">
        <w:t>emissions</w:t>
      </w:r>
      <w:r w:rsidR="00DD2D35">
        <w:t xml:space="preserve"> at Port Talbot</w:t>
      </w:r>
      <w:r w:rsidR="003252C0">
        <w:t>.</w:t>
      </w:r>
    </w:p>
    <w:p w14:paraId="1D551E53" w14:textId="6551092F" w:rsidR="006C5EC6" w:rsidRDefault="006C5EC6" w:rsidP="00A30F1F">
      <w:pPr>
        <w:spacing w:line="360" w:lineRule="auto"/>
        <w:jc w:val="both"/>
      </w:pPr>
      <w:r>
        <w:fldChar w:fldCharType="begin"/>
      </w:r>
      <w:r w:rsidR="000B49F5">
        <w:instrText xml:space="preserve"> ADDIN ZOTERO_ITEM CSL_CITATION {"citationID":"a2o7m9mvq72","properties":{"formattedCitation":"(Mandova {\\i{}et al.}, 2018)","plainCitation":"(Mandova et al., 2018)","noteIndex":0},"citationItems":[{"id":1645,"uris":["http://zotero.org/users/local/AB2owHL2/items/U7AYIKF9"],"itemData":{"id":1645,"type":"article-journal","abstract":"Iron and steel plants producing steel via the blast furnace-basic oxygen furnace (BF-BOF) route constitute among the largest single point CO2 emitters within the European Union (EU). As the iron ore reduction process in the blast furnace is fully dependent on carbon mainly supplied by coal and coke, bioenergy is the only renewable that presents a possibility for their partial substitution. Using the BeWhere model, this work optimised the mobilization and use of biomass resources within the EU in order to identify the opportunities that bioenergy can bring to the 30 operating BF-BOF plants. The results demonstrate competition for the available biomass resources within existing industries and economically unappealing prices of the bio-based fuels. A carbon dioxide price of 60 € t−1 is required to substitute 20% of the CO2 emissions from the fossil fuels use, while a price of 140 € t−1 is needed to reach the maximum potential of 42%. The possibility to use organic wastes to produce hydrochar would not enhance the maximum emission reduction potential, but it would broaden the available feedstock during the low levels of substitution. The scope for bioenergy integration is different for each plant and so consideration of its deployment should be treated individually. Therefore, the EU-ETS (Emission Trading System) may not be the best policy tool for bioenergy as an emission reduction strategy for the iron and steel industry, as it does not differentiate between the opportunities across the different steel plants and creates additional costs for the already struggling European steel industry.","container-title":"Biomass and Bioenergy","DOI":"10.1016/j.biombioe.2018.04.021","ISSN":"0961-9534","journalAbbreviation":"Biomass and Bioenergy","language":"en","page":"231-243","source":"ScienceDirect","title":"Possibilities for CO2 emission reduction using biomass in European integrated steel plants","URL":"https://www.sciencedirect.com/science/article/pii/S0961953418301107","volume":"115","author":[{"family":"Mandova","given":"H."},{"family":"Leduc","given":"S."},{"family":"Wang","given":"C."},{"family":"Wetterlund","given":"E."},{"family":"Patrizio","given":"P."},{"family":"Gale","given":"W."},{"family":"Kraxner","given":"F."}],"accessed":{"date-parts":[["2022",5,3]]},"issued":{"date-parts":[["2018",8,1]]}}}],"schema":"https://github.com/citation-style-language/schema/raw/master/csl-citation.json"} </w:instrText>
      </w:r>
      <w:r>
        <w:fldChar w:fldCharType="separate"/>
      </w:r>
      <w:r w:rsidR="000B49F5" w:rsidRPr="000B49F5">
        <w:rPr>
          <w:rFonts w:ascii="Calibri" w:hAnsi="Calibri" w:cs="Calibri"/>
          <w:szCs w:val="24"/>
        </w:rPr>
        <w:t xml:space="preserve">(Mandova </w:t>
      </w:r>
      <w:r w:rsidR="000B49F5" w:rsidRPr="000B49F5">
        <w:rPr>
          <w:rFonts w:ascii="Calibri" w:hAnsi="Calibri" w:cs="Calibri"/>
          <w:i/>
          <w:iCs/>
          <w:szCs w:val="24"/>
        </w:rPr>
        <w:t>et al.</w:t>
      </w:r>
      <w:r w:rsidR="000B49F5" w:rsidRPr="000B49F5">
        <w:rPr>
          <w:rFonts w:ascii="Calibri" w:hAnsi="Calibri" w:cs="Calibri"/>
          <w:szCs w:val="24"/>
        </w:rPr>
        <w:t>, 2018)</w:t>
      </w:r>
      <w:r>
        <w:fldChar w:fldCharType="end"/>
      </w:r>
      <w:r>
        <w:t xml:space="preserve"> suggests that the availability of sustainable biomass would not be an issue, rather the cost of pre-treatment and transport, drives the price of biochar significantly higher than fossil fuels. There needs to be support from governments to provide subsidies such as carbon allowances to encourage the use of biochar.</w:t>
      </w:r>
    </w:p>
    <w:p w14:paraId="0F9FD165" w14:textId="7DF44E88" w:rsidR="00475CB6" w:rsidRDefault="00475CB6" w:rsidP="00A30F1F">
      <w:pPr>
        <w:spacing w:line="360" w:lineRule="auto"/>
        <w:jc w:val="both"/>
      </w:pPr>
      <w:r>
        <w:t xml:space="preserve">There may be challenges </w:t>
      </w:r>
      <w:r w:rsidR="000E63FD">
        <w:t>involved in implementing the use of biochar in the iron and steel industry</w:t>
      </w:r>
      <w:r w:rsidR="00AA1602">
        <w:t xml:space="preserve"> such as the current lack of biomass supply chain and the facilities to produce </w:t>
      </w:r>
      <w:r w:rsidR="001A11B7">
        <w:t>charcoal in the large quantities the industry would require.</w:t>
      </w:r>
      <w:r w:rsidR="00B846A6">
        <w:t xml:space="preserve"> The industry may also need to</w:t>
      </w:r>
      <w:r w:rsidR="000B67D1">
        <w:t xml:space="preserve"> invest in </w:t>
      </w:r>
      <w:r w:rsidR="003133FC">
        <w:t xml:space="preserve">plant alterations to support the </w:t>
      </w:r>
      <w:r w:rsidR="0002170A">
        <w:t xml:space="preserve">preparation and </w:t>
      </w:r>
      <w:r w:rsidR="003133FC">
        <w:t xml:space="preserve">use of biochar. </w:t>
      </w:r>
      <w:r w:rsidR="0023439D">
        <w:t>However,</w:t>
      </w:r>
      <w:r w:rsidR="003133FC">
        <w:t xml:space="preserve"> </w:t>
      </w:r>
      <w:r w:rsidR="00B3664D">
        <w:t xml:space="preserve">the </w:t>
      </w:r>
      <w:r w:rsidR="00D531A4">
        <w:t>result</w:t>
      </w:r>
      <w:r w:rsidR="00B3664D">
        <w:t xml:space="preserve"> of this investigation </w:t>
      </w:r>
      <w:r w:rsidR="00085484">
        <w:t xml:space="preserve">demonstrates the </w:t>
      </w:r>
      <w:r w:rsidR="00ED5BE3">
        <w:t>potential benefits that using the material could bring in helping the industry reduce its carbon footprint</w:t>
      </w:r>
      <w:r w:rsidR="00782C12">
        <w:t>.</w:t>
      </w:r>
    </w:p>
    <w:p w14:paraId="266B5F59" w14:textId="77777777" w:rsidR="000D451B" w:rsidRDefault="000D451B" w:rsidP="00A30F1F">
      <w:pPr>
        <w:spacing w:line="360" w:lineRule="auto"/>
        <w:jc w:val="both"/>
      </w:pPr>
    </w:p>
    <w:p w14:paraId="22142B1D" w14:textId="77777777" w:rsidR="000D451B" w:rsidRDefault="000D451B" w:rsidP="00A30F1F">
      <w:pPr>
        <w:spacing w:line="360" w:lineRule="auto"/>
        <w:jc w:val="both"/>
      </w:pPr>
    </w:p>
    <w:p w14:paraId="1F931632" w14:textId="06AA2A49" w:rsidR="008D3589" w:rsidRDefault="003252C0" w:rsidP="003252C0">
      <w:pPr>
        <w:pStyle w:val="Heading2"/>
        <w:spacing w:line="360" w:lineRule="auto"/>
        <w:jc w:val="both"/>
      </w:pPr>
      <w:bookmarkStart w:id="111" w:name="_Toc128599640"/>
      <w:r>
        <w:lastRenderedPageBreak/>
        <w:t>Limitations</w:t>
      </w:r>
      <w:bookmarkEnd w:id="111"/>
    </w:p>
    <w:p w14:paraId="27F440AB" w14:textId="180B496A" w:rsidR="003252C0" w:rsidRDefault="00016ADF" w:rsidP="003252C0">
      <w:pPr>
        <w:spacing w:line="360" w:lineRule="auto"/>
        <w:jc w:val="both"/>
      </w:pPr>
      <w:r>
        <w:t xml:space="preserve">Several biochar and charcoal companies were </w:t>
      </w:r>
      <w:r w:rsidR="0063450F">
        <w:t xml:space="preserve">sent communications requesting samples for use in this report. </w:t>
      </w:r>
      <w:r w:rsidR="00D96197">
        <w:t>Many did not reply and those that did were only interested in supplying large quantities of charcoal</w:t>
      </w:r>
      <w:r w:rsidR="00DB49D4">
        <w:t>.</w:t>
      </w:r>
      <w:r w:rsidR="00F161D1">
        <w:t xml:space="preserve"> Edinburgh University Biochar research centre supplied Biochar 1 and </w:t>
      </w:r>
      <w:r w:rsidR="00E05696">
        <w:t>the data for</w:t>
      </w:r>
      <w:r w:rsidR="00F161D1">
        <w:t xml:space="preserve"> its processing parameters. Biochar 2 was purchased from a </w:t>
      </w:r>
      <w:r w:rsidR="003B7F6B">
        <w:t xml:space="preserve">supplier of charcoal </w:t>
      </w:r>
      <w:r w:rsidR="00991556">
        <w:t>used</w:t>
      </w:r>
      <w:r w:rsidR="003B7F6B">
        <w:t xml:space="preserve"> </w:t>
      </w:r>
      <w:r w:rsidR="00991556">
        <w:t>for</w:t>
      </w:r>
      <w:r w:rsidR="003B7F6B">
        <w:t xml:space="preserve"> gardening</w:t>
      </w:r>
      <w:r w:rsidR="00991556">
        <w:t xml:space="preserve"> purposes</w:t>
      </w:r>
      <w:r w:rsidR="003B7F6B">
        <w:t>. Several requests</w:t>
      </w:r>
      <w:r w:rsidR="00991556">
        <w:t xml:space="preserve"> to the supplier</w:t>
      </w:r>
      <w:r w:rsidR="003B7F6B">
        <w:t xml:space="preserve"> for </w:t>
      </w:r>
      <w:r w:rsidR="004D4456">
        <w:t>the processing parameter</w:t>
      </w:r>
      <w:r w:rsidR="000D729B">
        <w:t>s</w:t>
      </w:r>
      <w:r w:rsidR="004D4456">
        <w:t xml:space="preserve"> used to make the charcoal were ignored.</w:t>
      </w:r>
      <w:r w:rsidR="001309DF">
        <w:t xml:space="preserve"> This information would have been beneficial when comparing and analysing the </w:t>
      </w:r>
      <w:r w:rsidR="00C57704">
        <w:t>biochar’s</w:t>
      </w:r>
      <w:r w:rsidR="00E05696">
        <w:t>.</w:t>
      </w:r>
    </w:p>
    <w:p w14:paraId="581843D2" w14:textId="0E70F195" w:rsidR="001D22BA" w:rsidRDefault="00FE1197" w:rsidP="003252C0">
      <w:pPr>
        <w:spacing w:line="360" w:lineRule="auto"/>
        <w:jc w:val="both"/>
      </w:pPr>
      <w:r>
        <w:t xml:space="preserve">Access to the </w:t>
      </w:r>
      <w:r w:rsidR="0012022F">
        <w:t xml:space="preserve">drop tube furnace at Cardiff university </w:t>
      </w:r>
      <w:r>
        <w:t>was limited</w:t>
      </w:r>
      <w:r w:rsidR="009C5B26">
        <w:t xml:space="preserve">, there were several </w:t>
      </w:r>
      <w:r w:rsidR="0059162A">
        <w:t>students that were using the facility for their own projects,</w:t>
      </w:r>
      <w:r w:rsidR="009C5B26">
        <w:t xml:space="preserve"> supervision using the equipment was also required</w:t>
      </w:r>
      <w:r w:rsidR="0059162A">
        <w:t xml:space="preserve">. The </w:t>
      </w:r>
      <w:r w:rsidR="005B5773">
        <w:t xml:space="preserve">materials lecturer (Dr Steer) was very generous with </w:t>
      </w:r>
      <w:r w:rsidR="006769D4">
        <w:t>his</w:t>
      </w:r>
      <w:r w:rsidR="005B5773">
        <w:t xml:space="preserve"> time</w:t>
      </w:r>
      <w:r w:rsidR="0074637A">
        <w:t>, but he had other responsibilities</w:t>
      </w:r>
      <w:r w:rsidR="00DD75FA">
        <w:t xml:space="preserve"> and could only offer so much</w:t>
      </w:r>
      <w:r w:rsidR="00973EF3">
        <w:t xml:space="preserve"> of his</w:t>
      </w:r>
      <w:r w:rsidR="00DD75FA">
        <w:t xml:space="preserve"> time</w:t>
      </w:r>
      <w:r w:rsidR="0074637A">
        <w:t>.</w:t>
      </w:r>
      <w:r w:rsidR="006F38EB">
        <w:t xml:space="preserve"> More tests with coal/ biochar blends would have provided valuable information and given a better understanding of how much biochar could be </w:t>
      </w:r>
      <w:r w:rsidR="00C57704">
        <w:t xml:space="preserve">substituted for PCI in the blast furnace. </w:t>
      </w:r>
    </w:p>
    <w:p w14:paraId="4229A0EC" w14:textId="00E312D0" w:rsidR="00147A02" w:rsidRDefault="00B17E1D" w:rsidP="003252C0">
      <w:pPr>
        <w:spacing w:line="360" w:lineRule="auto"/>
        <w:jc w:val="both"/>
      </w:pPr>
      <w:r>
        <w:t>There were plans to analyse the waste gases from the sinter po</w:t>
      </w:r>
      <w:r w:rsidR="00621D40">
        <w:t>t tests</w:t>
      </w:r>
      <w:r w:rsidR="00662D43">
        <w:t xml:space="preserve"> but the author required training on the equipment. The availability of the training did not align with the availability of the sinter pot</w:t>
      </w:r>
      <w:r w:rsidR="00346F81">
        <w:t>. This testing therefore had to be abandoned</w:t>
      </w:r>
      <w:r w:rsidR="001F679B">
        <w:t xml:space="preserve"> as time ran short</w:t>
      </w:r>
      <w:r w:rsidR="00346F81">
        <w:t xml:space="preserve">. It was hoped that the tests would demonstrate that biochar addition would reduce </w:t>
      </w:r>
      <w:r w:rsidR="005F4431">
        <w:t>GHG emissions during sinter making.</w:t>
      </w:r>
    </w:p>
    <w:p w14:paraId="25601F13" w14:textId="4452AC05" w:rsidR="00C40509" w:rsidRDefault="007353C1" w:rsidP="003252C0">
      <w:pPr>
        <w:spacing w:line="360" w:lineRule="auto"/>
        <w:jc w:val="both"/>
      </w:pPr>
      <w:r>
        <w:t>Other</w:t>
      </w:r>
      <w:r w:rsidR="00C40509">
        <w:t xml:space="preserve"> test</w:t>
      </w:r>
      <w:r>
        <w:t>s</w:t>
      </w:r>
      <w:r w:rsidR="00C40509">
        <w:t xml:space="preserve"> that w</w:t>
      </w:r>
      <w:r w:rsidR="008E2092">
        <w:t>ere</w:t>
      </w:r>
      <w:r>
        <w:t xml:space="preserve"> not completed were dilation and fluidity of the coal and coal/biochar blends. These tests would have demonstrated the effect of biochar on </w:t>
      </w:r>
      <w:r w:rsidR="00031BF6">
        <w:t xml:space="preserve">vital </w:t>
      </w:r>
      <w:r>
        <w:t>coking c</w:t>
      </w:r>
      <w:r w:rsidR="00031BF6">
        <w:t xml:space="preserve">haracteristics. </w:t>
      </w:r>
      <w:r w:rsidR="004D73D3">
        <w:t>Again,</w:t>
      </w:r>
      <w:r w:rsidR="00031BF6">
        <w:t xml:space="preserve"> the author required training on the instruments. Th</w:t>
      </w:r>
      <w:r w:rsidR="004D73D3">
        <w:t xml:space="preserve">e availability of the training and the time taken to carry out the tests </w:t>
      </w:r>
      <w:r w:rsidR="00144C13">
        <w:t xml:space="preserve">would have made </w:t>
      </w:r>
      <w:r w:rsidR="009D2E59">
        <w:t>it</w:t>
      </w:r>
      <w:r w:rsidR="00A85021">
        <w:t xml:space="preserve"> difficult to complete within a </w:t>
      </w:r>
      <w:r w:rsidR="004B67E4">
        <w:t xml:space="preserve">sensible time frame. It was felt that </w:t>
      </w:r>
      <w:r w:rsidR="008E2092">
        <w:t>possibly</w:t>
      </w:r>
      <w:r w:rsidR="004B67E4">
        <w:t xml:space="preserve"> to</w:t>
      </w:r>
      <w:r w:rsidR="00A42840">
        <w:t>o</w:t>
      </w:r>
      <w:r w:rsidR="004B67E4">
        <w:t xml:space="preserve"> many tests would have been included in the report.</w:t>
      </w:r>
    </w:p>
    <w:p w14:paraId="1D5DC038" w14:textId="1B7767FA" w:rsidR="00A42840" w:rsidRDefault="00CA1E39" w:rsidP="003252C0">
      <w:pPr>
        <w:spacing w:line="360" w:lineRule="auto"/>
        <w:jc w:val="both"/>
      </w:pPr>
      <w:r>
        <w:t>To</w:t>
      </w:r>
      <w:r w:rsidR="000B4E74">
        <w:t xml:space="preserve"> ensure that these results are adequately repeatable</w:t>
      </w:r>
      <w:r w:rsidR="000F503A">
        <w:t xml:space="preserve">, more tests would have been preferable. However, </w:t>
      </w:r>
      <w:r w:rsidR="003B228B">
        <w:t xml:space="preserve">the process of making blast furnace char with a drop tube, </w:t>
      </w:r>
      <w:r w:rsidR="00D719D7">
        <w:t>making coke with a pilot oven and sinter with a sinter pot are time consuming activities</w:t>
      </w:r>
      <w:r w:rsidR="00825A1A">
        <w:t xml:space="preserve">. </w:t>
      </w:r>
      <w:r w:rsidR="00B33A34">
        <w:t xml:space="preserve">One sample through the drop tube took </w:t>
      </w:r>
      <w:r w:rsidR="001062A1">
        <w:t>3</w:t>
      </w:r>
      <w:r w:rsidR="000C443E">
        <w:t xml:space="preserve"> hours. </w:t>
      </w:r>
      <w:r w:rsidR="00FD5338">
        <w:t>A sinter</w:t>
      </w:r>
      <w:r w:rsidR="001062A1">
        <w:t xml:space="preserve"> pot test t</w:t>
      </w:r>
      <w:r w:rsidR="00D47483">
        <w:t xml:space="preserve">ook </w:t>
      </w:r>
      <w:r w:rsidR="00B72A96">
        <w:t>3</w:t>
      </w:r>
      <w:r w:rsidR="00D47483">
        <w:t xml:space="preserve"> hours to produce</w:t>
      </w:r>
      <w:r w:rsidR="00B72A96">
        <w:t xml:space="preserve"> 1 sinter cake</w:t>
      </w:r>
      <w:r w:rsidR="00D47483">
        <w:t xml:space="preserve">. One pilot oven test takes 24 hours to produce </w:t>
      </w:r>
      <w:r w:rsidR="002066BD">
        <w:t xml:space="preserve">1 </w:t>
      </w:r>
      <w:r w:rsidR="00D47483">
        <w:t>coke</w:t>
      </w:r>
      <w:r w:rsidR="002066BD">
        <w:t xml:space="preserve"> </w:t>
      </w:r>
      <w:r w:rsidR="00FD5338">
        <w:t>batch</w:t>
      </w:r>
      <w:r w:rsidR="00D47483">
        <w:t>.</w:t>
      </w:r>
      <w:r w:rsidR="001062A1">
        <w:t xml:space="preserve"> </w:t>
      </w:r>
      <w:r w:rsidR="00FD5338">
        <w:t xml:space="preserve"> These activities</w:t>
      </w:r>
      <w:r w:rsidR="00443C61">
        <w:t xml:space="preserve"> also</w:t>
      </w:r>
      <w:r w:rsidR="00FD5338">
        <w:t xml:space="preserve"> had to be </w:t>
      </w:r>
      <w:r w:rsidR="007F0FAC">
        <w:t>planned around the regular use of the equipment.</w:t>
      </w:r>
    </w:p>
    <w:p w14:paraId="453ABE6A" w14:textId="6F8AA096" w:rsidR="00C317FC" w:rsidRDefault="00C317FC" w:rsidP="003252C0">
      <w:pPr>
        <w:spacing w:line="360" w:lineRule="auto"/>
        <w:jc w:val="both"/>
      </w:pPr>
      <w:r>
        <w:t xml:space="preserve">Some tests were completed by laboratory staff at Port Talbot </w:t>
      </w:r>
      <w:r w:rsidR="00AD3D91">
        <w:t>laboratories</w:t>
      </w:r>
      <w:r w:rsidR="00EF23AF">
        <w:t xml:space="preserve">, some level of variation will have been introduced by this fact. </w:t>
      </w:r>
      <w:r w:rsidR="00356248">
        <w:t>Dependent on</w:t>
      </w:r>
      <w:r w:rsidR="00487119">
        <w:t xml:space="preserve"> the</w:t>
      </w:r>
      <w:r w:rsidR="00356248">
        <w:t xml:space="preserve"> level of training</w:t>
      </w:r>
      <w:r w:rsidR="00FC5362">
        <w:t xml:space="preserve">, </w:t>
      </w:r>
      <w:r w:rsidR="009D2E59">
        <w:t>competency,</w:t>
      </w:r>
      <w:r w:rsidR="00356248">
        <w:t xml:space="preserve"> and experience of the technician. </w:t>
      </w:r>
    </w:p>
    <w:p w14:paraId="649859FA" w14:textId="2BD216A8" w:rsidR="00A30F1F" w:rsidRPr="00A30F1F" w:rsidRDefault="00CC391C" w:rsidP="008F0C72">
      <w:pPr>
        <w:spacing w:line="360" w:lineRule="auto"/>
        <w:jc w:val="both"/>
      </w:pPr>
      <w:r>
        <w:lastRenderedPageBreak/>
        <w:t xml:space="preserve">The author’s level of training, competency and experience using </w:t>
      </w:r>
      <w:r w:rsidR="00DE5C7F">
        <w:t xml:space="preserve">some of the equipment may have also introduced variation to the results. </w:t>
      </w:r>
      <w:r w:rsidR="00361CE2">
        <w:t>Although trained and signed off as competent using the equipment.</w:t>
      </w:r>
      <w:r w:rsidR="00DE5C7F">
        <w:t xml:space="preserve"> </w:t>
      </w:r>
      <w:r w:rsidR="00361CE2">
        <w:t>For some of the tests it was the authors first time using the pilot oven and sinter pot alone</w:t>
      </w:r>
      <w:r w:rsidR="008A4AA9">
        <w:t xml:space="preserve"> and unsupervised following training. </w:t>
      </w:r>
    </w:p>
    <w:p w14:paraId="42727CC1" w14:textId="77777777" w:rsidR="009443AA" w:rsidRDefault="009443AA" w:rsidP="00E1409E">
      <w:pPr>
        <w:pStyle w:val="Heading1"/>
        <w:spacing w:line="360" w:lineRule="auto"/>
        <w:jc w:val="both"/>
      </w:pPr>
      <w:bookmarkStart w:id="112" w:name="_Toc128599641"/>
      <w:r w:rsidRPr="009443AA">
        <w:t>Recommendations</w:t>
      </w:r>
      <w:bookmarkEnd w:id="112"/>
    </w:p>
    <w:p w14:paraId="1DFF8636" w14:textId="57DEE3B4" w:rsidR="000F6C2C" w:rsidRDefault="00F347D1" w:rsidP="00E1409E">
      <w:pPr>
        <w:spacing w:line="360" w:lineRule="auto"/>
        <w:jc w:val="both"/>
      </w:pPr>
      <w:r>
        <w:t xml:space="preserve">This </w:t>
      </w:r>
      <w:r w:rsidR="0050490E">
        <w:t xml:space="preserve">project </w:t>
      </w:r>
      <w:r w:rsidR="00B81094">
        <w:t xml:space="preserve">studied the viability of using </w:t>
      </w:r>
      <w:r w:rsidR="00A736AF">
        <w:t xml:space="preserve">a single biochar feedstock across the three major iron and steelmaking processes that use fossil fuels as an energy source. </w:t>
      </w:r>
      <w:r w:rsidR="00164F09">
        <w:t>However,</w:t>
      </w:r>
      <w:r w:rsidR="001873E1">
        <w:t xml:space="preserve"> the properties of charcoals c</w:t>
      </w:r>
      <w:r w:rsidR="005B1433">
        <w:t>ould be tailored to suit each process individually</w:t>
      </w:r>
      <w:r w:rsidR="009A22FD">
        <w:t>,</w:t>
      </w:r>
      <w:r w:rsidR="00FB2126">
        <w:t xml:space="preserve"> as each process has different requirements </w:t>
      </w:r>
      <w:r w:rsidR="00C64BEF">
        <w:t>of the fuel source</w:t>
      </w:r>
      <w:r w:rsidR="00A05E1C">
        <w:t xml:space="preserve"> in use</w:t>
      </w:r>
      <w:r w:rsidR="00C64BEF">
        <w:t xml:space="preserve">. </w:t>
      </w:r>
      <w:r w:rsidR="009A22FD">
        <w:t xml:space="preserve"> </w:t>
      </w:r>
      <w:r w:rsidR="00C64BEF">
        <w:t>Such an approach</w:t>
      </w:r>
      <w:r w:rsidR="009A22FD">
        <w:t xml:space="preserve"> would result in</w:t>
      </w:r>
      <w:r w:rsidR="00C64BEF">
        <w:t xml:space="preserve"> greater</w:t>
      </w:r>
      <w:r w:rsidR="009A22FD">
        <w:t xml:space="preserve"> optimal performance and </w:t>
      </w:r>
      <w:r w:rsidR="0068001F">
        <w:t>a higher value in use of the charcoals.</w:t>
      </w:r>
      <w:r w:rsidR="00573435">
        <w:t xml:space="preserve"> </w:t>
      </w:r>
      <w:r w:rsidR="008F2CC3">
        <w:t xml:space="preserve">Research has shown that wood is the most suitable feedstock for </w:t>
      </w:r>
      <w:r w:rsidR="00164F09">
        <w:t>biochar</w:t>
      </w:r>
      <w:r w:rsidR="0044595F">
        <w:t xml:space="preserve"> for use in the ISI, </w:t>
      </w:r>
      <w:r w:rsidR="0076202D">
        <w:t>yet it is the pyrolysis conditions that have the most influence on its chemical properties</w:t>
      </w:r>
      <w:r w:rsidR="00911834">
        <w:t xml:space="preserve"> </w:t>
      </w:r>
      <w:r w:rsidR="00911834">
        <w:fldChar w:fldCharType="begin"/>
      </w:r>
      <w:r w:rsidR="000B49F5">
        <w:instrText xml:space="preserve"> ADDIN ZOTERO_ITEM CSL_CITATION {"citationID":"aohbn8mhdi","properties":{"formattedCitation":"(Jahanshahi {\\i{}et al.}, 2014)","plainCitation":"(Jahanshahi et al., 2014)","noteIndex":0},"citationItems":[{"id":472,"uris":["http://zotero.org/users/local/AB2owHL2/items/M3PJURXG"],"itemData":{"id":472,"type":"paper-conference","abstract":"The use of biomass derived fuels and reductants in the iron and steel making industry provides a sustainable option for reducing net CO 2 emissions at a lower capital cost and technological risk than other breakthrough technologies under development. In 2006 Arrium, BlueScope and CSIRO initiated a R&amp;D program with the aim to develop and evaluate technologies to reduce the industry's net greenhouse emissions by at least 50%. Given that most of the CO 2 emissions in steel production occur during the reduction of iron ore to hot metal through use of coal and coke, a key focus of this program has been to partially substitute these with renewable carbon (charcoal) from sustainable sources such as plantations of biomass species or forest wastes. Raw biomass is unsuitable for applications in iron and steel making and it has to be converted into charcoals (chars) through a pyrolysis process before use. The biomass derived chars and hydrocarbon fuels have great potential in lowering the net CO 2 emissions of integrated (blast furnace-BOS route) steel plants. Life cycle assessment has quantified the potential reduction in net CO 2 emissions and covers the whole life cycle, including plantation, harvesting, transport, pyrolysis and use of chars and bio-oil products. The properties of chars produced by pyrolysis of biomass can be tailored to each of the several applications proposed (coke breeze for sintering, coal blend for cokemaking, coal injectant for the blast furnace, recarburising in steelmaking, etc), thus resulting in optimal performance and greater value-in-use of the char. Our economic analysis has made allowance for such value-in-use in applications, particularly as a replacement of pulverised coal injection with charcoal. This analysis shows that key factors influencing the economics are the net cost of producing charcoal from biomass, selection of pyrolysis technology, and value of by-products as well as the value-in-use for the charcoal. This paper provides a summary of the progress made over the eight years of the R&amp;D program. These activities have been focused on the development of know-how and processes for substantial replacement of coal-based materials across the areas of biomass supply and wood properties and selection, pyrolysis technologies, handling and densification, and application. The current status of each of the application areas is also provided.","event-place":"Japan","event-title":"Innovation of Ironmaking Technologies and Future International Collaboration  - to Overcome Energy &amp; Resource Restrictions in Accordance with Environment","publisher-place":"Japan","source":"ResearchGate","title":"Recent Progress in R&amp;D on Assessment of the Use of Biomass/Designer Chars for Steel Production","author":[{"family":"Jahanshahi","given":"Sharif"},{"family":"Deev","given":"Alex"},{"family":"Haque","given":"Nawshad"},{"family":"Lu","given":"Liming"},{"family":"Mathieson","given":"John"},{"family":"Norgate","given":"Terry"},{"family":"Ridgeway","given":"Phillip"},{"family":"Rogers","given":"Harold"},{"family":"Somerville","given":"Michael"},{"family":"Zughbi","given":"Habib"},{"family":"Zulli","given":"Paul"}],"issued":{"date-parts":[["2014",11]]}}}],"schema":"https://github.com/citation-style-language/schema/raw/master/csl-citation.json"} </w:instrText>
      </w:r>
      <w:r w:rsidR="00911834">
        <w:fldChar w:fldCharType="separate"/>
      </w:r>
      <w:r w:rsidR="000B49F5" w:rsidRPr="000B49F5">
        <w:rPr>
          <w:rFonts w:ascii="Calibri" w:hAnsi="Calibri" w:cs="Calibri"/>
          <w:szCs w:val="24"/>
        </w:rPr>
        <w:t xml:space="preserve">(Jahanshahi </w:t>
      </w:r>
      <w:r w:rsidR="000B49F5" w:rsidRPr="000B49F5">
        <w:rPr>
          <w:rFonts w:ascii="Calibri" w:hAnsi="Calibri" w:cs="Calibri"/>
          <w:i/>
          <w:iCs/>
          <w:szCs w:val="24"/>
        </w:rPr>
        <w:t>et al.</w:t>
      </w:r>
      <w:r w:rsidR="000B49F5" w:rsidRPr="000B49F5">
        <w:rPr>
          <w:rFonts w:ascii="Calibri" w:hAnsi="Calibri" w:cs="Calibri"/>
          <w:szCs w:val="24"/>
        </w:rPr>
        <w:t>, 2014)</w:t>
      </w:r>
      <w:r w:rsidR="00911834">
        <w:fldChar w:fldCharType="end"/>
      </w:r>
      <w:r w:rsidR="0076202D">
        <w:t>.</w:t>
      </w:r>
      <w:r w:rsidR="000F6C2C">
        <w:t xml:space="preserve"> </w:t>
      </w:r>
      <w:r w:rsidR="00A7440E">
        <w:t xml:space="preserve">Further </w:t>
      </w:r>
      <w:r w:rsidR="0048537C">
        <w:t>testing</w:t>
      </w:r>
      <w:r w:rsidR="00875012">
        <w:t xml:space="preserve"> </w:t>
      </w:r>
      <w:r w:rsidR="0048537C">
        <w:t xml:space="preserve">on biochar produced from various </w:t>
      </w:r>
      <w:r w:rsidR="00A03A1A">
        <w:t xml:space="preserve">pyrolysis conditions to find the </w:t>
      </w:r>
      <w:r w:rsidR="0062153A">
        <w:t xml:space="preserve">optimal </w:t>
      </w:r>
      <w:r w:rsidR="00013B36">
        <w:t>conditions</w:t>
      </w:r>
      <w:r w:rsidR="0062153A">
        <w:t xml:space="preserve"> for each process at Port Talbot</w:t>
      </w:r>
      <w:r w:rsidR="00013B36">
        <w:t>.</w:t>
      </w:r>
    </w:p>
    <w:p w14:paraId="44D5D85E" w14:textId="216CF519" w:rsidR="00495B39" w:rsidRDefault="00013B36" w:rsidP="00E1409E">
      <w:pPr>
        <w:spacing w:line="360" w:lineRule="auto"/>
        <w:jc w:val="both"/>
      </w:pPr>
      <w:r>
        <w:t xml:space="preserve">The </w:t>
      </w:r>
      <w:r w:rsidR="003635B6">
        <w:t>particle size of the biochar will h</w:t>
      </w:r>
      <w:r w:rsidR="008C3B0C">
        <w:t>ave an influence on reactions</w:t>
      </w:r>
      <w:r w:rsidR="00913CB3">
        <w:t xml:space="preserve"> during the processes. </w:t>
      </w:r>
      <w:r w:rsidR="002621F6">
        <w:t>Facilities such as the pilot coke oven</w:t>
      </w:r>
      <w:r w:rsidR="00AF600C">
        <w:t xml:space="preserve"> and</w:t>
      </w:r>
      <w:r w:rsidR="002621F6">
        <w:t xml:space="preserve"> sinter pot can be used to assess </w:t>
      </w:r>
      <w:r w:rsidR="00495B39">
        <w:t>the effect of biochar particle size should also be carried out.</w:t>
      </w:r>
    </w:p>
    <w:p w14:paraId="5DB3ECC1" w14:textId="0DAF7A2A" w:rsidR="00AF600C" w:rsidRDefault="00AF600C" w:rsidP="00E1409E">
      <w:pPr>
        <w:spacing w:line="360" w:lineRule="auto"/>
        <w:jc w:val="both"/>
      </w:pPr>
      <w:r>
        <w:t xml:space="preserve">Plant scale </w:t>
      </w:r>
      <w:r w:rsidR="00617504">
        <w:t>trial</w:t>
      </w:r>
      <w:r w:rsidR="00D05285">
        <w:t>s</w:t>
      </w:r>
      <w:r w:rsidR="00617504">
        <w:t xml:space="preserve"> should </w:t>
      </w:r>
      <w:r w:rsidR="00424485">
        <w:t>take place</w:t>
      </w:r>
      <w:r w:rsidR="00617504">
        <w:t xml:space="preserve"> </w:t>
      </w:r>
      <w:r w:rsidR="008F062B">
        <w:t>to assess if</w:t>
      </w:r>
      <w:r w:rsidR="008235FC">
        <w:t xml:space="preserve"> the</w:t>
      </w:r>
      <w:r w:rsidR="008F062B">
        <w:t xml:space="preserve"> results gained from projects such as this </w:t>
      </w:r>
      <w:r w:rsidR="00D05285">
        <w:t>can be replicated.</w:t>
      </w:r>
    </w:p>
    <w:p w14:paraId="46975D67" w14:textId="5B761DB9" w:rsidR="00D05285" w:rsidRDefault="00D05285" w:rsidP="00E1409E">
      <w:pPr>
        <w:spacing w:line="360" w:lineRule="auto"/>
        <w:jc w:val="both"/>
      </w:pPr>
      <w:r>
        <w:t xml:space="preserve">The production of biochar produces by-products, namely bio-oil and bio-gas. </w:t>
      </w:r>
      <w:r w:rsidR="001D5C14">
        <w:t xml:space="preserve">These by-products have potential uses </w:t>
      </w:r>
      <w:r w:rsidR="00164F09">
        <w:t xml:space="preserve">across the iron and steelmaking process. These should also be investigated. </w:t>
      </w:r>
      <w:r>
        <w:t xml:space="preserve"> </w:t>
      </w:r>
    </w:p>
    <w:p w14:paraId="3AB3D0E6" w14:textId="3DD1887A" w:rsidR="00013B36" w:rsidRDefault="005C210D" w:rsidP="00E1409E">
      <w:pPr>
        <w:spacing w:line="360" w:lineRule="auto"/>
        <w:jc w:val="both"/>
      </w:pPr>
      <w:r>
        <w:t xml:space="preserve">Biochar has different physical properties to coal and coke, the storage and handling of these materials needs to be considered. </w:t>
      </w:r>
      <w:r w:rsidR="009D2C83">
        <w:t>Could the coal mills at Port Talbot crush biochar to a suitable size for instance?</w:t>
      </w:r>
      <w:r w:rsidR="00C01B1A">
        <w:t xml:space="preserve"> Biochar </w:t>
      </w:r>
      <w:r w:rsidR="00A63F96">
        <w:t xml:space="preserve">is quite flammable, consideration of </w:t>
      </w:r>
      <w:r w:rsidR="003A6E89">
        <w:t xml:space="preserve">its </w:t>
      </w:r>
      <w:r w:rsidR="00A63F96">
        <w:t xml:space="preserve">storage and handling </w:t>
      </w:r>
      <w:r w:rsidR="003A6E89">
        <w:t xml:space="preserve">needs </w:t>
      </w:r>
      <w:r w:rsidR="00424485">
        <w:t>is important.</w:t>
      </w:r>
    </w:p>
    <w:p w14:paraId="77E9F087" w14:textId="3D596698" w:rsidR="00424485" w:rsidRDefault="00D83029" w:rsidP="00E1409E">
      <w:pPr>
        <w:spacing w:line="360" w:lineRule="auto"/>
        <w:jc w:val="both"/>
      </w:pPr>
      <w:r>
        <w:t>The</w:t>
      </w:r>
      <w:r w:rsidR="009857DB">
        <w:t xml:space="preserve"> iron and steelmaking process </w:t>
      </w:r>
      <w:r w:rsidR="001C55F8">
        <w:t xml:space="preserve">has many waste heat streams. </w:t>
      </w:r>
      <w:r w:rsidR="00E426C8">
        <w:t xml:space="preserve">Slags produced from iron and </w:t>
      </w:r>
      <w:r w:rsidR="00E77B18">
        <w:t>steelmaking</w:t>
      </w:r>
      <w:r w:rsidR="00E426C8">
        <w:t xml:space="preserve"> </w:t>
      </w:r>
      <w:r w:rsidR="00E77B18">
        <w:t>have temperatures of up to 1500</w:t>
      </w:r>
      <w:r w:rsidR="00E77B18" w:rsidRPr="00E77B18">
        <w:rPr>
          <w:vertAlign w:val="superscript"/>
        </w:rPr>
        <w:t>0</w:t>
      </w:r>
      <w:r w:rsidR="00E77B18">
        <w:t xml:space="preserve">C, some of this heat could be recovered and used </w:t>
      </w:r>
      <w:r w:rsidR="0005719E">
        <w:t>in the production of biochar.</w:t>
      </w:r>
    </w:p>
    <w:p w14:paraId="42727CC4" w14:textId="77777777" w:rsidR="009443AA" w:rsidRDefault="009443AA" w:rsidP="009443AA"/>
    <w:p w14:paraId="42727CC5" w14:textId="77777777" w:rsidR="009443AA" w:rsidRDefault="009443AA">
      <w:r>
        <w:br w:type="page"/>
      </w:r>
    </w:p>
    <w:p w14:paraId="42727CC6" w14:textId="77777777" w:rsidR="009443AA" w:rsidRDefault="009443AA" w:rsidP="00C544C3">
      <w:pPr>
        <w:pStyle w:val="Heading1"/>
        <w:spacing w:line="360" w:lineRule="auto"/>
        <w:jc w:val="both"/>
      </w:pPr>
      <w:bookmarkStart w:id="113" w:name="_Toc128599642"/>
      <w:r w:rsidRPr="009443AA">
        <w:lastRenderedPageBreak/>
        <w:t>Reference list</w:t>
      </w:r>
      <w:bookmarkEnd w:id="113"/>
    </w:p>
    <w:p w14:paraId="044F389C" w14:textId="77777777" w:rsidR="00F81026" w:rsidRPr="00F81026" w:rsidRDefault="00DA3F2F" w:rsidP="00F81026">
      <w:pPr>
        <w:pStyle w:val="Bibliography"/>
        <w:rPr>
          <w:rFonts w:ascii="Calibri" w:hAnsi="Calibri" w:cs="Calibri"/>
        </w:rPr>
      </w:pPr>
      <w:r>
        <w:rPr>
          <w:rFonts w:ascii="Calibri" w:hAnsi="Calibri" w:cs="Calibri"/>
        </w:rPr>
        <w:fldChar w:fldCharType="begin"/>
      </w:r>
      <w:r w:rsidR="00F81026">
        <w:rPr>
          <w:rFonts w:ascii="Calibri" w:hAnsi="Calibri" w:cs="Calibri"/>
        </w:rPr>
        <w:instrText xml:space="preserve"> ADDIN ZOTERO_BIBL {"uncited":[],"omitted":[],"custom":[]} CSL_BIBLIOGRAPHY </w:instrText>
      </w:r>
      <w:r>
        <w:rPr>
          <w:rFonts w:ascii="Calibri" w:hAnsi="Calibri" w:cs="Calibri"/>
        </w:rPr>
        <w:fldChar w:fldCharType="separate"/>
      </w:r>
      <w:proofErr w:type="spellStart"/>
      <w:r w:rsidR="00F81026" w:rsidRPr="00F81026">
        <w:rPr>
          <w:rFonts w:ascii="Calibri" w:hAnsi="Calibri" w:cs="Calibri"/>
        </w:rPr>
        <w:t>Aaskov</w:t>
      </w:r>
      <w:proofErr w:type="spellEnd"/>
      <w:r w:rsidR="00F81026" w:rsidRPr="00F81026">
        <w:rPr>
          <w:rFonts w:ascii="Calibri" w:hAnsi="Calibri" w:cs="Calibri"/>
        </w:rPr>
        <w:t xml:space="preserve">, F. (2022) </w:t>
      </w:r>
      <w:r w:rsidR="00F81026" w:rsidRPr="00F81026">
        <w:rPr>
          <w:rFonts w:ascii="Calibri" w:hAnsi="Calibri" w:cs="Calibri"/>
          <w:i/>
          <w:iCs/>
        </w:rPr>
        <w:t>Net Zero Steel - A Vision for the Future of UK Steel Production</w:t>
      </w:r>
      <w:r w:rsidR="00F81026" w:rsidRPr="00F81026">
        <w:rPr>
          <w:rFonts w:ascii="Calibri" w:hAnsi="Calibri" w:cs="Calibri"/>
        </w:rPr>
        <w:t>. Available at: https://www.makeuk.org/about/uk-steel/net-zero-steel---a-vision-for-the-future-of-</w:t>
      </w:r>
      <w:proofErr w:type="spellStart"/>
      <w:r w:rsidR="00F81026" w:rsidRPr="00F81026">
        <w:rPr>
          <w:rFonts w:ascii="Calibri" w:hAnsi="Calibri" w:cs="Calibri"/>
        </w:rPr>
        <w:t>uk</w:t>
      </w:r>
      <w:proofErr w:type="spellEnd"/>
      <w:r w:rsidR="00F81026" w:rsidRPr="00F81026">
        <w:rPr>
          <w:rFonts w:ascii="Calibri" w:hAnsi="Calibri" w:cs="Calibri"/>
        </w:rPr>
        <w:t>-steel-production (Accessed: 12 July 2022).</w:t>
      </w:r>
    </w:p>
    <w:p w14:paraId="6E3B5FA2" w14:textId="77777777" w:rsidR="00F81026" w:rsidRPr="00F81026" w:rsidRDefault="00F81026" w:rsidP="00F81026">
      <w:pPr>
        <w:pStyle w:val="Bibliography"/>
        <w:rPr>
          <w:rFonts w:ascii="Calibri" w:hAnsi="Calibri" w:cs="Calibri"/>
        </w:rPr>
      </w:pPr>
      <w:r w:rsidRPr="00F81026">
        <w:rPr>
          <w:rFonts w:ascii="Calibri" w:hAnsi="Calibri" w:cs="Calibri"/>
        </w:rPr>
        <w:t xml:space="preserve">Abreu, G.C. </w:t>
      </w:r>
      <w:r w:rsidRPr="00F81026">
        <w:rPr>
          <w:rFonts w:ascii="Calibri" w:hAnsi="Calibri" w:cs="Calibri"/>
          <w:i/>
          <w:iCs/>
        </w:rPr>
        <w:t>et al.</w:t>
      </w:r>
      <w:r w:rsidRPr="00F81026">
        <w:rPr>
          <w:rFonts w:ascii="Calibri" w:hAnsi="Calibri" w:cs="Calibri"/>
        </w:rPr>
        <w:t xml:space="preserve"> (2015) ‘Operational and environmental assessment on the use of charcoal in iron ore sinter production’, </w:t>
      </w:r>
      <w:r w:rsidRPr="00F81026">
        <w:rPr>
          <w:rFonts w:ascii="Calibri" w:hAnsi="Calibri" w:cs="Calibri"/>
          <w:i/>
          <w:iCs/>
        </w:rPr>
        <w:t>Journal of Cleaner Production</w:t>
      </w:r>
      <w:r w:rsidRPr="00F81026">
        <w:rPr>
          <w:rFonts w:ascii="Calibri" w:hAnsi="Calibri" w:cs="Calibri"/>
        </w:rPr>
        <w:t>, 101, pp. 387–394. Available at: https://doi.org/10.1016/j.jclepro.2015.04.015.</w:t>
      </w:r>
    </w:p>
    <w:p w14:paraId="76D0B512" w14:textId="77777777" w:rsidR="00F81026" w:rsidRPr="00F81026" w:rsidRDefault="00F81026" w:rsidP="00F81026">
      <w:pPr>
        <w:pStyle w:val="Bibliography"/>
        <w:rPr>
          <w:rFonts w:ascii="Calibri" w:hAnsi="Calibri" w:cs="Calibri"/>
        </w:rPr>
      </w:pPr>
      <w:r w:rsidRPr="00F81026">
        <w:rPr>
          <w:rFonts w:ascii="Calibri" w:hAnsi="Calibri" w:cs="Calibri"/>
        </w:rPr>
        <w:t xml:space="preserve">Ahmed, H. (2018) ‘New Trends in the Application of Carbon-Bearing Materials in Blast Furnace Iron-Making’, </w:t>
      </w:r>
      <w:r w:rsidRPr="00F81026">
        <w:rPr>
          <w:rFonts w:ascii="Calibri" w:hAnsi="Calibri" w:cs="Calibri"/>
          <w:i/>
          <w:iCs/>
        </w:rPr>
        <w:t>Minerals</w:t>
      </w:r>
      <w:r w:rsidRPr="00F81026">
        <w:rPr>
          <w:rFonts w:ascii="Calibri" w:hAnsi="Calibri" w:cs="Calibri"/>
        </w:rPr>
        <w:t>, 8(12), p. 561. Available at: https://doi.org/10.3390/min8120561.</w:t>
      </w:r>
    </w:p>
    <w:p w14:paraId="3FBF710B" w14:textId="4917FD39" w:rsidR="00F81026" w:rsidRPr="00F81026" w:rsidRDefault="00F81026" w:rsidP="00F81026">
      <w:pPr>
        <w:pStyle w:val="Bibliography"/>
        <w:rPr>
          <w:rFonts w:ascii="Calibri" w:hAnsi="Calibri" w:cs="Calibri"/>
        </w:rPr>
      </w:pPr>
      <w:r w:rsidRPr="00F81026">
        <w:rPr>
          <w:rFonts w:ascii="Calibri" w:hAnsi="Calibri" w:cs="Calibri"/>
        </w:rPr>
        <w:t xml:space="preserve">Arias, P.A. </w:t>
      </w:r>
      <w:r w:rsidRPr="00F81026">
        <w:rPr>
          <w:rFonts w:ascii="Calibri" w:hAnsi="Calibri" w:cs="Calibri"/>
          <w:i/>
          <w:iCs/>
        </w:rPr>
        <w:t>et al.</w:t>
      </w:r>
      <w:r w:rsidRPr="00F81026">
        <w:rPr>
          <w:rFonts w:ascii="Calibri" w:hAnsi="Calibri" w:cs="Calibri"/>
        </w:rPr>
        <w:t xml:space="preserve"> (2021) </w:t>
      </w:r>
      <w:r w:rsidRPr="00F81026">
        <w:rPr>
          <w:rFonts w:ascii="Calibri" w:hAnsi="Calibri" w:cs="Calibri"/>
          <w:i/>
          <w:iCs/>
        </w:rPr>
        <w:t>Technical Summary. In Climate Change 2021: The Physical Science Basis. Contribution of Working Group I to the Sixth Assessment Report of the Intergovernmental Panel on Climate Change</w:t>
      </w:r>
      <w:r w:rsidRPr="00F81026">
        <w:rPr>
          <w:rFonts w:ascii="Calibri" w:hAnsi="Calibri" w:cs="Calibri"/>
        </w:rPr>
        <w:t>. Cambridge, UK: Cambridge University Press, p. 112. Available at: https://www.ipcc.ch/report/ar6/wg1/downloads/report/IPCC_AR6_WGI_TS.pdf (Accessed: 5 July 2022).</w:t>
      </w:r>
    </w:p>
    <w:p w14:paraId="2E60966D"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Babich</w:t>
      </w:r>
      <w:proofErr w:type="spellEnd"/>
      <w:r w:rsidRPr="00F81026">
        <w:rPr>
          <w:rFonts w:ascii="Calibri" w:hAnsi="Calibri" w:cs="Calibri"/>
        </w:rPr>
        <w:t xml:space="preserve">, A., </w:t>
      </w:r>
      <w:proofErr w:type="spellStart"/>
      <w:r w:rsidRPr="00F81026">
        <w:rPr>
          <w:rFonts w:ascii="Calibri" w:hAnsi="Calibri" w:cs="Calibri"/>
        </w:rPr>
        <w:t>Senk</w:t>
      </w:r>
      <w:proofErr w:type="spellEnd"/>
      <w:r w:rsidRPr="00F81026">
        <w:rPr>
          <w:rFonts w:ascii="Calibri" w:hAnsi="Calibri" w:cs="Calibri"/>
        </w:rPr>
        <w:t xml:space="preserve">, D. and Fernandez, M. (2010) ‘Charcoal Behaviour by Its Injection into the Modern Blast Furnace’, </w:t>
      </w:r>
      <w:r w:rsidRPr="00F81026">
        <w:rPr>
          <w:rFonts w:ascii="Calibri" w:hAnsi="Calibri" w:cs="Calibri"/>
          <w:i/>
          <w:iCs/>
        </w:rPr>
        <w:t>ISIJ International</w:t>
      </w:r>
      <w:r w:rsidRPr="00F81026">
        <w:rPr>
          <w:rFonts w:ascii="Calibri" w:hAnsi="Calibri" w:cs="Calibri"/>
        </w:rPr>
        <w:t>, 50(1), pp. 81–88. Available at: https://doi.org/10.2355/isijinternational.50.81.</w:t>
      </w:r>
    </w:p>
    <w:p w14:paraId="4A77AEDC" w14:textId="77777777" w:rsidR="00F81026" w:rsidRPr="00F81026" w:rsidRDefault="00F81026" w:rsidP="00F81026">
      <w:pPr>
        <w:pStyle w:val="Bibliography"/>
        <w:rPr>
          <w:rFonts w:ascii="Calibri" w:hAnsi="Calibri" w:cs="Calibri"/>
        </w:rPr>
      </w:pPr>
      <w:r w:rsidRPr="00F81026">
        <w:rPr>
          <w:rFonts w:ascii="Calibri" w:hAnsi="Calibri" w:cs="Calibri"/>
        </w:rPr>
        <w:t xml:space="preserve">Backus, J. (2015) </w:t>
      </w:r>
      <w:r w:rsidRPr="00F81026">
        <w:rPr>
          <w:rFonts w:ascii="Calibri" w:hAnsi="Calibri" w:cs="Calibri"/>
          <w:i/>
          <w:iCs/>
        </w:rPr>
        <w:t>Coal Analysis</w:t>
      </w:r>
      <w:r w:rsidRPr="00F81026">
        <w:rPr>
          <w:rFonts w:ascii="Calibri" w:hAnsi="Calibri" w:cs="Calibri"/>
        </w:rPr>
        <w:t xml:space="preserve">, </w:t>
      </w:r>
      <w:r w:rsidRPr="00F81026">
        <w:rPr>
          <w:rFonts w:ascii="Calibri" w:hAnsi="Calibri" w:cs="Calibri"/>
          <w:i/>
          <w:iCs/>
        </w:rPr>
        <w:t>Kentucky Geological Survey, University of Kentucky</w:t>
      </w:r>
      <w:r w:rsidRPr="00F81026">
        <w:rPr>
          <w:rFonts w:ascii="Calibri" w:hAnsi="Calibri" w:cs="Calibri"/>
        </w:rPr>
        <w:t>. Available at: http://www.uky.edu/KGS/coal/coal-analyses-moisture.php (Accessed: 14 September 2022).</w:t>
      </w:r>
    </w:p>
    <w:p w14:paraId="6C7C10E6" w14:textId="77777777" w:rsidR="00F81026" w:rsidRPr="00F81026" w:rsidRDefault="00F81026" w:rsidP="00F81026">
      <w:pPr>
        <w:pStyle w:val="Bibliography"/>
        <w:rPr>
          <w:rFonts w:ascii="Calibri" w:hAnsi="Calibri" w:cs="Calibri"/>
        </w:rPr>
      </w:pPr>
      <w:r w:rsidRPr="00F81026">
        <w:rPr>
          <w:rFonts w:ascii="Calibri" w:hAnsi="Calibri" w:cs="Calibri"/>
        </w:rPr>
        <w:t xml:space="preserve">Backus, J. (2022) </w:t>
      </w:r>
      <w:r w:rsidRPr="00F81026">
        <w:rPr>
          <w:rFonts w:ascii="Calibri" w:hAnsi="Calibri" w:cs="Calibri"/>
          <w:i/>
          <w:iCs/>
        </w:rPr>
        <w:t>​​Volatile Matter (Part of Proximate Analysis), Coal Analysis</w:t>
      </w:r>
      <w:r w:rsidRPr="00F81026">
        <w:rPr>
          <w:rFonts w:ascii="Calibri" w:hAnsi="Calibri" w:cs="Calibri"/>
        </w:rPr>
        <w:t xml:space="preserve">, </w:t>
      </w:r>
      <w:r w:rsidRPr="00F81026">
        <w:rPr>
          <w:rFonts w:ascii="Calibri" w:hAnsi="Calibri" w:cs="Calibri"/>
          <w:i/>
          <w:iCs/>
        </w:rPr>
        <w:t>, Kentucky Geological Survey, University of Kentucky</w:t>
      </w:r>
      <w:r w:rsidRPr="00F81026">
        <w:rPr>
          <w:rFonts w:ascii="Calibri" w:hAnsi="Calibri" w:cs="Calibri"/>
        </w:rPr>
        <w:t>. Available at: http://www.uky.edu/KGS/coal/coal-analyses-volatile-matter.php (Accessed: 14 September 2022).</w:t>
      </w:r>
    </w:p>
    <w:p w14:paraId="6EA145BB" w14:textId="4B571E02" w:rsidR="00F81026" w:rsidRPr="00F81026" w:rsidRDefault="00F81026" w:rsidP="00F81026">
      <w:pPr>
        <w:pStyle w:val="Bibliography"/>
        <w:rPr>
          <w:rFonts w:ascii="Calibri" w:hAnsi="Calibri" w:cs="Calibri"/>
        </w:rPr>
      </w:pPr>
      <w:proofErr w:type="spellStart"/>
      <w:r w:rsidRPr="00F81026">
        <w:rPr>
          <w:rFonts w:ascii="Calibri" w:hAnsi="Calibri" w:cs="Calibri"/>
        </w:rPr>
        <w:t>Basson</w:t>
      </w:r>
      <w:proofErr w:type="spellEnd"/>
      <w:r w:rsidRPr="00F81026">
        <w:rPr>
          <w:rFonts w:ascii="Calibri" w:hAnsi="Calibri" w:cs="Calibri"/>
        </w:rPr>
        <w:t xml:space="preserve">, E. (2020) </w:t>
      </w:r>
      <w:r w:rsidRPr="00F81026">
        <w:rPr>
          <w:rFonts w:ascii="Calibri" w:hAnsi="Calibri" w:cs="Calibri"/>
          <w:i/>
          <w:iCs/>
        </w:rPr>
        <w:t xml:space="preserve">Steel’s Contribution To A Low Carbon Future and Climate Resilient Societies </w:t>
      </w:r>
      <w:proofErr w:type="spellStart"/>
      <w:r w:rsidRPr="00F81026">
        <w:rPr>
          <w:rFonts w:ascii="Calibri" w:hAnsi="Calibri" w:cs="Calibri"/>
          <w:i/>
          <w:iCs/>
        </w:rPr>
        <w:t>worldsteel</w:t>
      </w:r>
      <w:proofErr w:type="spellEnd"/>
      <w:r w:rsidRPr="00F81026">
        <w:rPr>
          <w:rFonts w:ascii="Calibri" w:hAnsi="Calibri" w:cs="Calibri"/>
          <w:i/>
          <w:iCs/>
        </w:rPr>
        <w:t xml:space="preserve"> position paper</w:t>
      </w:r>
      <w:r w:rsidRPr="00F81026">
        <w:rPr>
          <w:rFonts w:ascii="Calibri" w:hAnsi="Calibri" w:cs="Calibri"/>
        </w:rPr>
        <w:t>. World steel Association. Available at:: https://www.worldsteel.org/en/dam/ jcr:f7982217-cfde-4fdc-8ba0-795ed807f513/World%2520Steel%2520in%2520Figures%25202020i.pdf (Accessed: 21 March 2021).</w:t>
      </w:r>
    </w:p>
    <w:p w14:paraId="3BFD12A4"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Basu</w:t>
      </w:r>
      <w:proofErr w:type="spellEnd"/>
      <w:r w:rsidRPr="00F81026">
        <w:rPr>
          <w:rFonts w:ascii="Calibri" w:hAnsi="Calibri" w:cs="Calibri"/>
        </w:rPr>
        <w:t xml:space="preserve">, P. (2013) </w:t>
      </w:r>
      <w:r w:rsidRPr="00F81026">
        <w:rPr>
          <w:rFonts w:ascii="Calibri" w:hAnsi="Calibri" w:cs="Calibri"/>
          <w:i/>
          <w:iCs/>
        </w:rPr>
        <w:t>Biomass Gasification, Pyrolysis, and Torrefaction Practical Design and Theory</w:t>
      </w:r>
      <w:r w:rsidRPr="00F81026">
        <w:rPr>
          <w:rFonts w:ascii="Calibri" w:hAnsi="Calibri" w:cs="Calibri"/>
        </w:rPr>
        <w:t>. Second. London: Elsevier.</w:t>
      </w:r>
    </w:p>
    <w:p w14:paraId="76C0F338"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Bazaluk</w:t>
      </w:r>
      <w:proofErr w:type="spellEnd"/>
      <w:r w:rsidRPr="00F81026">
        <w:rPr>
          <w:rFonts w:ascii="Calibri" w:hAnsi="Calibri" w:cs="Calibri"/>
        </w:rPr>
        <w:t xml:space="preserve">, O. </w:t>
      </w:r>
      <w:r w:rsidRPr="00F81026">
        <w:rPr>
          <w:rFonts w:ascii="Calibri" w:hAnsi="Calibri" w:cs="Calibri"/>
          <w:i/>
          <w:iCs/>
        </w:rPr>
        <w:t>et al.</w:t>
      </w:r>
      <w:r w:rsidRPr="00F81026">
        <w:rPr>
          <w:rFonts w:ascii="Calibri" w:hAnsi="Calibri" w:cs="Calibri"/>
        </w:rPr>
        <w:t xml:space="preserve"> (2022) ‘Metallurgical Coke Production with Biomass Additives: Study of Biocoke Properties for Blast Furnace and Submerged Arc Furnace Purposes’, </w:t>
      </w:r>
      <w:r w:rsidRPr="00F81026">
        <w:rPr>
          <w:rFonts w:ascii="Calibri" w:hAnsi="Calibri" w:cs="Calibri"/>
          <w:i/>
          <w:iCs/>
        </w:rPr>
        <w:t>Materials</w:t>
      </w:r>
      <w:r w:rsidRPr="00F81026">
        <w:rPr>
          <w:rFonts w:ascii="Calibri" w:hAnsi="Calibri" w:cs="Calibri"/>
        </w:rPr>
        <w:t>, 15(3), p. 1147. Available at: https://doi-org.ezproxy.uwtsd.ac.uk/10.3390/ma15031147.</w:t>
      </w:r>
    </w:p>
    <w:p w14:paraId="633F9CC9" w14:textId="3BE9360F" w:rsidR="00F81026" w:rsidRPr="00F81026" w:rsidRDefault="00F81026" w:rsidP="00F81026">
      <w:pPr>
        <w:pStyle w:val="Bibliography"/>
        <w:rPr>
          <w:rFonts w:ascii="Calibri" w:hAnsi="Calibri" w:cs="Calibri"/>
        </w:rPr>
      </w:pPr>
      <w:proofErr w:type="spellStart"/>
      <w:r w:rsidRPr="00F81026">
        <w:rPr>
          <w:rFonts w:ascii="Calibri" w:hAnsi="Calibri" w:cs="Calibri"/>
        </w:rPr>
        <w:t>Birat</w:t>
      </w:r>
      <w:proofErr w:type="spellEnd"/>
      <w:r w:rsidRPr="00F81026">
        <w:rPr>
          <w:rFonts w:ascii="Calibri" w:hAnsi="Calibri" w:cs="Calibri"/>
        </w:rPr>
        <w:t xml:space="preserve">, J.P. (2010) </w:t>
      </w:r>
      <w:r w:rsidRPr="00F81026">
        <w:rPr>
          <w:rFonts w:ascii="Calibri" w:hAnsi="Calibri" w:cs="Calibri"/>
          <w:i/>
          <w:iCs/>
        </w:rPr>
        <w:t>Global Technology Roadmap for CCS in  Industry</w:t>
      </w:r>
      <w:r w:rsidRPr="00F81026">
        <w:rPr>
          <w:rFonts w:ascii="Calibri" w:hAnsi="Calibri" w:cs="Calibri"/>
        </w:rPr>
        <w:t>. CCS roadmap – sectoral assessment, Steel. Amsterdam. Available at: https://www.globalccsinstitute.com/archive/hub/publications/15671/global-technology-roadmap-ccs-industry-steel-sectoral-report.pdf (Accessed: 3 August 2022).</w:t>
      </w:r>
    </w:p>
    <w:p w14:paraId="1A6EA529" w14:textId="77777777" w:rsidR="00F81026" w:rsidRPr="00F81026" w:rsidRDefault="00F81026" w:rsidP="00F81026">
      <w:pPr>
        <w:pStyle w:val="Bibliography"/>
        <w:rPr>
          <w:rFonts w:ascii="Calibri" w:hAnsi="Calibri" w:cs="Calibri"/>
        </w:rPr>
      </w:pPr>
      <w:r w:rsidRPr="00F81026">
        <w:rPr>
          <w:rFonts w:ascii="Calibri" w:hAnsi="Calibri" w:cs="Calibri"/>
        </w:rPr>
        <w:t xml:space="preserve">Blondel, D. (2020) </w:t>
      </w:r>
      <w:r w:rsidRPr="00F81026">
        <w:rPr>
          <w:rFonts w:ascii="Calibri" w:hAnsi="Calibri" w:cs="Calibri"/>
          <w:i/>
          <w:iCs/>
        </w:rPr>
        <w:t>Understanding X-Ray Fluorescence: How Does XRF Work?</w:t>
      </w:r>
      <w:r w:rsidRPr="00F81026">
        <w:rPr>
          <w:rFonts w:ascii="Calibri" w:hAnsi="Calibri" w:cs="Calibri"/>
        </w:rPr>
        <w:t xml:space="preserve"> Available at: https://www.olympus-ims.com/en/insight/understanding-x-ray-fluorescence-how-does-xrf-work/ (Accessed: 20 September 2022).</w:t>
      </w:r>
    </w:p>
    <w:p w14:paraId="21C2DD14" w14:textId="3AD6477F" w:rsidR="00F81026" w:rsidRPr="00F81026" w:rsidRDefault="00F81026" w:rsidP="00F81026">
      <w:pPr>
        <w:pStyle w:val="Bibliography"/>
        <w:rPr>
          <w:rFonts w:ascii="Calibri" w:hAnsi="Calibri" w:cs="Calibri"/>
        </w:rPr>
      </w:pPr>
      <w:r w:rsidRPr="00F81026">
        <w:rPr>
          <w:rFonts w:ascii="Calibri" w:hAnsi="Calibri" w:cs="Calibri"/>
        </w:rPr>
        <w:t xml:space="preserve">British Standards Institute (1999) ‘BS 1016-1: 1973, The analysis and testing of coal </w:t>
      </w:r>
      <w:r w:rsidR="00681348" w:rsidRPr="00F81026">
        <w:rPr>
          <w:rFonts w:ascii="Calibri" w:hAnsi="Calibri" w:cs="Calibri"/>
        </w:rPr>
        <w:t>and coke</w:t>
      </w:r>
      <w:r w:rsidRPr="00F81026">
        <w:rPr>
          <w:rFonts w:ascii="Calibri" w:hAnsi="Calibri" w:cs="Calibri"/>
        </w:rPr>
        <w:t xml:space="preserve"> — Part 1: Total moisture of coal’. British Standards Institution.</w:t>
      </w:r>
    </w:p>
    <w:p w14:paraId="4BA8112C" w14:textId="4AC314C8" w:rsidR="00F81026" w:rsidRPr="00F81026" w:rsidRDefault="00F81026" w:rsidP="00F81026">
      <w:pPr>
        <w:pStyle w:val="Bibliography"/>
        <w:rPr>
          <w:rFonts w:ascii="Calibri" w:hAnsi="Calibri" w:cs="Calibri"/>
        </w:rPr>
      </w:pPr>
      <w:r w:rsidRPr="00F81026">
        <w:rPr>
          <w:rFonts w:ascii="Calibri" w:hAnsi="Calibri" w:cs="Calibri"/>
        </w:rPr>
        <w:lastRenderedPageBreak/>
        <w:t>British Standards Institute (2010) ‘BS ISO 562: 2010, Hard coal and coke — Determination of volatile matter’. BSI Standards Institution.</w:t>
      </w:r>
    </w:p>
    <w:p w14:paraId="09A794B6" w14:textId="39011E83" w:rsidR="00F81026" w:rsidRPr="00F81026" w:rsidRDefault="00F81026" w:rsidP="00F81026">
      <w:pPr>
        <w:pStyle w:val="Bibliography"/>
        <w:rPr>
          <w:rFonts w:ascii="Calibri" w:hAnsi="Calibri" w:cs="Calibri"/>
        </w:rPr>
      </w:pPr>
      <w:r w:rsidRPr="00F81026">
        <w:rPr>
          <w:rFonts w:ascii="Calibri" w:hAnsi="Calibri" w:cs="Calibri"/>
        </w:rPr>
        <w:t>British Standards Institute (2010) ‘BS ISO 1171: 2010, Solid mineral fuels — Determination of ash’. British Standards Institution.</w:t>
      </w:r>
    </w:p>
    <w:p w14:paraId="7D00C7C8" w14:textId="7AFC69F8" w:rsidR="00F81026" w:rsidRPr="00F81026" w:rsidRDefault="00F81026" w:rsidP="00F81026">
      <w:pPr>
        <w:pStyle w:val="Bibliography"/>
        <w:rPr>
          <w:rFonts w:ascii="Calibri" w:hAnsi="Calibri" w:cs="Calibri"/>
        </w:rPr>
      </w:pPr>
      <w:r w:rsidRPr="00F81026">
        <w:rPr>
          <w:rFonts w:ascii="Calibri" w:hAnsi="Calibri" w:cs="Calibri"/>
        </w:rPr>
        <w:t xml:space="preserve">British Standards Institute (2015) ‘BS ISO 3271: 2015 Iron ores for blast furnace and direct reduction feedstocks — Determination of the tumble and abrasion </w:t>
      </w:r>
      <w:r w:rsidR="009E4BA5" w:rsidRPr="00F81026">
        <w:rPr>
          <w:rFonts w:ascii="Calibri" w:hAnsi="Calibri" w:cs="Calibri"/>
        </w:rPr>
        <w:t>indices</w:t>
      </w:r>
      <w:r w:rsidRPr="00F81026">
        <w:rPr>
          <w:rFonts w:ascii="Calibri" w:hAnsi="Calibri" w:cs="Calibri"/>
        </w:rPr>
        <w:t>. British Standards Institution.</w:t>
      </w:r>
    </w:p>
    <w:p w14:paraId="21FD304E" w14:textId="407A3BE4" w:rsidR="00F81026" w:rsidRPr="00F81026" w:rsidRDefault="00F81026" w:rsidP="00F81026">
      <w:pPr>
        <w:pStyle w:val="Bibliography"/>
        <w:rPr>
          <w:rFonts w:ascii="Calibri" w:hAnsi="Calibri" w:cs="Calibri"/>
        </w:rPr>
      </w:pPr>
      <w:r w:rsidRPr="00F81026">
        <w:rPr>
          <w:rFonts w:ascii="Calibri" w:hAnsi="Calibri" w:cs="Calibri"/>
        </w:rPr>
        <w:t>British Standards Institute (2015) ‘BS ISO 4696-2: 2015 Iron ores for blast furnace feedstocks — Determination of low-temperature reduction disintegration indices by static method Part 2: Reduction with CO and N2’. British Standards Institution.</w:t>
      </w:r>
    </w:p>
    <w:p w14:paraId="0932E280" w14:textId="4710F06A" w:rsidR="00F81026" w:rsidRPr="00F81026" w:rsidRDefault="00F81026" w:rsidP="00F81026">
      <w:pPr>
        <w:pStyle w:val="Bibliography"/>
        <w:rPr>
          <w:rFonts w:ascii="Calibri" w:hAnsi="Calibri" w:cs="Calibri"/>
        </w:rPr>
      </w:pPr>
      <w:r w:rsidRPr="00F81026">
        <w:rPr>
          <w:rFonts w:ascii="Calibri" w:hAnsi="Calibri" w:cs="Calibri"/>
        </w:rPr>
        <w:t xml:space="preserve">British Standards Institute (2018) ‘BS ISO 18894: 2018, Coke — Determination of coke reactivity </w:t>
      </w:r>
      <w:r w:rsidR="009335A7" w:rsidRPr="00F81026">
        <w:rPr>
          <w:rFonts w:ascii="Calibri" w:hAnsi="Calibri" w:cs="Calibri"/>
        </w:rPr>
        <w:t>index (</w:t>
      </w:r>
      <w:r w:rsidRPr="00F81026">
        <w:rPr>
          <w:rFonts w:ascii="Calibri" w:hAnsi="Calibri" w:cs="Calibri"/>
        </w:rPr>
        <w:t>CRI) and coke strength after reaction (CSR)’. British Standards Institution.</w:t>
      </w:r>
    </w:p>
    <w:p w14:paraId="00280AE4" w14:textId="77777777" w:rsidR="00F81026" w:rsidRPr="00F81026" w:rsidRDefault="00F81026" w:rsidP="00F81026">
      <w:pPr>
        <w:pStyle w:val="Bibliography"/>
        <w:rPr>
          <w:rFonts w:ascii="Calibri" w:hAnsi="Calibri" w:cs="Calibri"/>
        </w:rPr>
      </w:pPr>
      <w:r w:rsidRPr="00F81026">
        <w:rPr>
          <w:rFonts w:ascii="Calibri" w:hAnsi="Calibri" w:cs="Calibri"/>
        </w:rPr>
        <w:t xml:space="preserve">Carbonaro, G. (2021) </w:t>
      </w:r>
      <w:r w:rsidRPr="00F81026">
        <w:rPr>
          <w:rFonts w:ascii="Calibri" w:hAnsi="Calibri" w:cs="Calibri"/>
          <w:i/>
          <w:iCs/>
        </w:rPr>
        <w:t>Carbon emissions trading explained: How will the UK system work?</w:t>
      </w:r>
      <w:r w:rsidRPr="00F81026">
        <w:rPr>
          <w:rFonts w:ascii="Calibri" w:hAnsi="Calibri" w:cs="Calibri"/>
        </w:rPr>
        <w:t xml:space="preserve"> Available at: https://newseu.cgtn.com/news/2021-05-18/Carbon-emissions-trading-explained-How-will-the-UK-system-work--10lp4CqAt2g/index.html (Accessed: 6 July 2022).</w:t>
      </w:r>
    </w:p>
    <w:p w14:paraId="1B367DC2" w14:textId="77777777" w:rsidR="00F81026" w:rsidRPr="00F81026" w:rsidRDefault="00F81026" w:rsidP="00F81026">
      <w:pPr>
        <w:pStyle w:val="Bibliography"/>
        <w:rPr>
          <w:rFonts w:ascii="Calibri" w:hAnsi="Calibri" w:cs="Calibri"/>
        </w:rPr>
      </w:pPr>
      <w:r w:rsidRPr="00F81026">
        <w:rPr>
          <w:rFonts w:ascii="Calibri" w:hAnsi="Calibri" w:cs="Calibri"/>
        </w:rPr>
        <w:t xml:space="preserve">Carpenter, A.M. (2010) </w:t>
      </w:r>
      <w:r w:rsidRPr="00F81026">
        <w:rPr>
          <w:rFonts w:ascii="Calibri" w:hAnsi="Calibri" w:cs="Calibri"/>
          <w:i/>
          <w:iCs/>
        </w:rPr>
        <w:t>Injection of coal and waste plastics in blast furnaces</w:t>
      </w:r>
      <w:r w:rsidRPr="00F81026">
        <w:rPr>
          <w:rFonts w:ascii="Calibri" w:hAnsi="Calibri" w:cs="Calibri"/>
        </w:rPr>
        <w:t>. CCC/166. IEA Clean Coal Centre, p. 58.</w:t>
      </w:r>
    </w:p>
    <w:p w14:paraId="14834669" w14:textId="2C330BDE" w:rsidR="00F81026" w:rsidRPr="00F81026" w:rsidRDefault="00F81026" w:rsidP="00F81026">
      <w:pPr>
        <w:pStyle w:val="Bibliography"/>
        <w:rPr>
          <w:rFonts w:ascii="Calibri" w:hAnsi="Calibri" w:cs="Calibri"/>
        </w:rPr>
      </w:pPr>
      <w:r w:rsidRPr="00F81026">
        <w:rPr>
          <w:rFonts w:ascii="Calibri" w:hAnsi="Calibri" w:cs="Calibri"/>
        </w:rPr>
        <w:t xml:space="preserve">Chen, Xin </w:t>
      </w:r>
      <w:r w:rsidRPr="00F81026">
        <w:rPr>
          <w:rFonts w:ascii="Calibri" w:hAnsi="Calibri" w:cs="Calibri"/>
          <w:i/>
          <w:iCs/>
        </w:rPr>
        <w:t>et al.</w:t>
      </w:r>
      <w:r w:rsidRPr="00F81026">
        <w:rPr>
          <w:rFonts w:ascii="Calibri" w:hAnsi="Calibri" w:cs="Calibri"/>
        </w:rPr>
        <w:t xml:space="preserve"> (2016) ‘</w:t>
      </w:r>
      <w:r w:rsidR="009E4BA5" w:rsidRPr="00F81026">
        <w:rPr>
          <w:rFonts w:ascii="Calibri" w:hAnsi="Calibri" w:cs="Calibri"/>
        </w:rPr>
        <w:t>Modelling</w:t>
      </w:r>
      <w:r w:rsidRPr="00F81026">
        <w:rPr>
          <w:rFonts w:ascii="Calibri" w:hAnsi="Calibri" w:cs="Calibri"/>
        </w:rPr>
        <w:t xml:space="preserve"> and optimization method featuring multiple operating modes for improving carbon efficiency of iron ore sintering process’, </w:t>
      </w:r>
      <w:r w:rsidRPr="00F81026">
        <w:rPr>
          <w:rFonts w:ascii="Calibri" w:hAnsi="Calibri" w:cs="Calibri"/>
          <w:i/>
          <w:iCs/>
        </w:rPr>
        <w:t>Control Engineering Practice</w:t>
      </w:r>
      <w:r w:rsidRPr="00F81026">
        <w:rPr>
          <w:rFonts w:ascii="Calibri" w:hAnsi="Calibri" w:cs="Calibri"/>
        </w:rPr>
        <w:t>, 54, pp. 117–128. Available at: https://doi.org/10.1016/j.conengprac.2016.05.007.</w:t>
      </w:r>
    </w:p>
    <w:p w14:paraId="0B30DE39" w14:textId="77777777" w:rsidR="00F81026" w:rsidRPr="00F81026" w:rsidRDefault="00F81026" w:rsidP="00F81026">
      <w:pPr>
        <w:pStyle w:val="Bibliography"/>
        <w:rPr>
          <w:rFonts w:ascii="Calibri" w:hAnsi="Calibri" w:cs="Calibri"/>
        </w:rPr>
      </w:pPr>
      <w:r w:rsidRPr="00F81026">
        <w:rPr>
          <w:rFonts w:ascii="Calibri" w:hAnsi="Calibri" w:cs="Calibri"/>
        </w:rPr>
        <w:t xml:space="preserve">Cheng, Z. </w:t>
      </w:r>
      <w:r w:rsidRPr="00F81026">
        <w:rPr>
          <w:rFonts w:ascii="Calibri" w:hAnsi="Calibri" w:cs="Calibri"/>
          <w:i/>
          <w:iCs/>
        </w:rPr>
        <w:t>et al.</w:t>
      </w:r>
      <w:r w:rsidRPr="00F81026">
        <w:rPr>
          <w:rFonts w:ascii="Calibri" w:hAnsi="Calibri" w:cs="Calibri"/>
        </w:rPr>
        <w:t xml:space="preserve"> (2016) ‘Characteristics of charcoal combustion and its effects on iron-ore sintering performance’, </w:t>
      </w:r>
      <w:r w:rsidRPr="00F81026">
        <w:rPr>
          <w:rFonts w:ascii="Calibri" w:hAnsi="Calibri" w:cs="Calibri"/>
          <w:i/>
          <w:iCs/>
        </w:rPr>
        <w:t>Applied Energy</w:t>
      </w:r>
      <w:r w:rsidRPr="00F81026">
        <w:rPr>
          <w:rFonts w:ascii="Calibri" w:hAnsi="Calibri" w:cs="Calibri"/>
        </w:rPr>
        <w:t>, 161, pp. 364–374. Available at: https://doi.org/10.1016/j.apenergy.2015.09.095.</w:t>
      </w:r>
    </w:p>
    <w:p w14:paraId="6CC9ED66" w14:textId="77777777" w:rsidR="00F81026" w:rsidRPr="00F81026" w:rsidRDefault="00F81026" w:rsidP="00F81026">
      <w:pPr>
        <w:pStyle w:val="Bibliography"/>
        <w:rPr>
          <w:rFonts w:ascii="Calibri" w:hAnsi="Calibri" w:cs="Calibri"/>
        </w:rPr>
      </w:pPr>
      <w:r w:rsidRPr="00F81026">
        <w:rPr>
          <w:rFonts w:ascii="Calibri" w:hAnsi="Calibri" w:cs="Calibri"/>
        </w:rPr>
        <w:t xml:space="preserve">Conte, P. </w:t>
      </w:r>
      <w:r w:rsidRPr="00F81026">
        <w:rPr>
          <w:rFonts w:ascii="Calibri" w:hAnsi="Calibri" w:cs="Calibri"/>
          <w:i/>
          <w:iCs/>
        </w:rPr>
        <w:t>et al.</w:t>
      </w:r>
      <w:r w:rsidRPr="00F81026">
        <w:rPr>
          <w:rFonts w:ascii="Calibri" w:hAnsi="Calibri" w:cs="Calibri"/>
        </w:rPr>
        <w:t xml:space="preserve"> (2021) ‘Recent Developments in Understanding Biochar’s Physical–Chemistry’, </w:t>
      </w:r>
      <w:r w:rsidRPr="00F81026">
        <w:rPr>
          <w:rFonts w:ascii="Calibri" w:hAnsi="Calibri" w:cs="Calibri"/>
          <w:i/>
          <w:iCs/>
        </w:rPr>
        <w:t>Agronomy</w:t>
      </w:r>
      <w:r w:rsidRPr="00F81026">
        <w:rPr>
          <w:rFonts w:ascii="Calibri" w:hAnsi="Calibri" w:cs="Calibri"/>
        </w:rPr>
        <w:t>, 11(4), p. 615. Available at: https://doi.org/10.3390/agronomy11040615.</w:t>
      </w:r>
    </w:p>
    <w:p w14:paraId="19A540D7" w14:textId="77777777" w:rsidR="00F81026" w:rsidRPr="00F81026" w:rsidRDefault="00F81026" w:rsidP="00F81026">
      <w:pPr>
        <w:pStyle w:val="Bibliography"/>
        <w:rPr>
          <w:rFonts w:ascii="Calibri" w:hAnsi="Calibri" w:cs="Calibri"/>
        </w:rPr>
      </w:pPr>
      <w:r w:rsidRPr="00F81026">
        <w:rPr>
          <w:rFonts w:ascii="Calibri" w:hAnsi="Calibri" w:cs="Calibri"/>
          <w:i/>
          <w:iCs/>
        </w:rPr>
        <w:t>Data &amp; Statistics</w:t>
      </w:r>
      <w:r w:rsidRPr="00F81026">
        <w:rPr>
          <w:rFonts w:ascii="Calibri" w:hAnsi="Calibri" w:cs="Calibri"/>
        </w:rPr>
        <w:t xml:space="preserve"> (2020) </w:t>
      </w:r>
      <w:r w:rsidRPr="00F81026">
        <w:rPr>
          <w:rFonts w:ascii="Calibri" w:hAnsi="Calibri" w:cs="Calibri"/>
          <w:i/>
          <w:iCs/>
        </w:rPr>
        <w:t>IEA</w:t>
      </w:r>
      <w:r w:rsidRPr="00F81026">
        <w:rPr>
          <w:rFonts w:ascii="Calibri" w:hAnsi="Calibri" w:cs="Calibri"/>
        </w:rPr>
        <w:t>. Available at: https://www.iea.org/data-and-statistics (Accessed: 19 March 2021).</w:t>
      </w:r>
    </w:p>
    <w:p w14:paraId="73B54966" w14:textId="77777777" w:rsidR="00F81026" w:rsidRPr="00F81026" w:rsidRDefault="00F81026" w:rsidP="00F81026">
      <w:pPr>
        <w:pStyle w:val="Bibliography"/>
        <w:rPr>
          <w:rFonts w:ascii="Calibri" w:hAnsi="Calibri" w:cs="Calibri"/>
        </w:rPr>
      </w:pPr>
      <w:r w:rsidRPr="00F81026">
        <w:rPr>
          <w:rFonts w:ascii="Calibri" w:hAnsi="Calibri" w:cs="Calibri"/>
        </w:rPr>
        <w:t xml:space="preserve">Diez, M.A., Alvarez, R. and Fernández, M. (2012) ‘Biomass derived products as modifiers of the rheological properties of coking coals’, </w:t>
      </w:r>
      <w:r w:rsidRPr="00F81026">
        <w:rPr>
          <w:rFonts w:ascii="Calibri" w:hAnsi="Calibri" w:cs="Calibri"/>
          <w:i/>
          <w:iCs/>
        </w:rPr>
        <w:t>Fuel</w:t>
      </w:r>
      <w:r w:rsidRPr="00F81026">
        <w:rPr>
          <w:rFonts w:ascii="Calibri" w:hAnsi="Calibri" w:cs="Calibri"/>
        </w:rPr>
        <w:t>, 96, pp. 306–313. Available at: https://doi.org/10.1016/j.fuel.2011.12.065.</w:t>
      </w:r>
    </w:p>
    <w:p w14:paraId="0CCDD155"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Dı́ez</w:t>
      </w:r>
      <w:proofErr w:type="spellEnd"/>
      <w:r w:rsidRPr="00F81026">
        <w:rPr>
          <w:rFonts w:ascii="Calibri" w:hAnsi="Calibri" w:cs="Calibri"/>
        </w:rPr>
        <w:t xml:space="preserve">, M.A., Alvarez, R. and </w:t>
      </w:r>
      <w:proofErr w:type="spellStart"/>
      <w:r w:rsidRPr="00F81026">
        <w:rPr>
          <w:rFonts w:ascii="Calibri" w:hAnsi="Calibri" w:cs="Calibri"/>
        </w:rPr>
        <w:t>Barriocanal</w:t>
      </w:r>
      <w:proofErr w:type="spellEnd"/>
      <w:r w:rsidRPr="00F81026">
        <w:rPr>
          <w:rFonts w:ascii="Calibri" w:hAnsi="Calibri" w:cs="Calibri"/>
        </w:rPr>
        <w:t xml:space="preserve">, C. (2002) ‘Coal for metallurgical coke production: predictions of coke quality and future requirements for </w:t>
      </w:r>
      <w:proofErr w:type="spellStart"/>
      <w:r w:rsidRPr="00F81026">
        <w:rPr>
          <w:rFonts w:ascii="Calibri" w:hAnsi="Calibri" w:cs="Calibri"/>
        </w:rPr>
        <w:t>cokemaking</w:t>
      </w:r>
      <w:proofErr w:type="spellEnd"/>
      <w:r w:rsidRPr="00F81026">
        <w:rPr>
          <w:rFonts w:ascii="Calibri" w:hAnsi="Calibri" w:cs="Calibri"/>
        </w:rPr>
        <w:t xml:space="preserve">’, </w:t>
      </w:r>
      <w:r w:rsidRPr="00F81026">
        <w:rPr>
          <w:rFonts w:ascii="Calibri" w:hAnsi="Calibri" w:cs="Calibri"/>
          <w:i/>
          <w:iCs/>
        </w:rPr>
        <w:t>International Journal of Coal Geology</w:t>
      </w:r>
      <w:r w:rsidRPr="00F81026">
        <w:rPr>
          <w:rFonts w:ascii="Calibri" w:hAnsi="Calibri" w:cs="Calibri"/>
        </w:rPr>
        <w:t>, 50(1), pp. 389–412. Available at: https://doi.org/10.1016/S0166-5162(02)00123-4.</w:t>
      </w:r>
    </w:p>
    <w:p w14:paraId="4EE46658" w14:textId="77777777" w:rsidR="00F81026" w:rsidRPr="00F81026" w:rsidRDefault="00F81026" w:rsidP="00F81026">
      <w:pPr>
        <w:pStyle w:val="Bibliography"/>
        <w:rPr>
          <w:rFonts w:ascii="Calibri" w:hAnsi="Calibri" w:cs="Calibri"/>
        </w:rPr>
      </w:pPr>
      <w:r w:rsidRPr="00F81026">
        <w:rPr>
          <w:rFonts w:ascii="Calibri" w:hAnsi="Calibri" w:cs="Calibri"/>
        </w:rPr>
        <w:t>Feliciano-</w:t>
      </w:r>
      <w:proofErr w:type="spellStart"/>
      <w:r w:rsidRPr="00F81026">
        <w:rPr>
          <w:rFonts w:ascii="Calibri" w:hAnsi="Calibri" w:cs="Calibri"/>
        </w:rPr>
        <w:t>Bruzual</w:t>
      </w:r>
      <w:proofErr w:type="spellEnd"/>
      <w:r w:rsidRPr="00F81026">
        <w:rPr>
          <w:rFonts w:ascii="Calibri" w:hAnsi="Calibri" w:cs="Calibri"/>
        </w:rPr>
        <w:t xml:space="preserve">, C. and Mathews, J.A. (2013) ‘BIO-PCI, </w:t>
      </w:r>
      <w:proofErr w:type="spellStart"/>
      <w:r w:rsidRPr="00F81026">
        <w:rPr>
          <w:rFonts w:ascii="Calibri" w:hAnsi="Calibri" w:cs="Calibri"/>
        </w:rPr>
        <w:t>Inyección</w:t>
      </w:r>
      <w:proofErr w:type="spellEnd"/>
      <w:r w:rsidRPr="00F81026">
        <w:rPr>
          <w:rFonts w:ascii="Calibri" w:hAnsi="Calibri" w:cs="Calibri"/>
        </w:rPr>
        <w:t xml:space="preserve"> de </w:t>
      </w:r>
      <w:proofErr w:type="spellStart"/>
      <w:r w:rsidRPr="00F81026">
        <w:rPr>
          <w:rFonts w:ascii="Calibri" w:hAnsi="Calibri" w:cs="Calibri"/>
        </w:rPr>
        <w:t>carbón</w:t>
      </w:r>
      <w:proofErr w:type="spellEnd"/>
      <w:r w:rsidRPr="00F81026">
        <w:rPr>
          <w:rFonts w:ascii="Calibri" w:hAnsi="Calibri" w:cs="Calibri"/>
        </w:rPr>
        <w:t xml:space="preserve"> vegetal </w:t>
      </w:r>
      <w:proofErr w:type="spellStart"/>
      <w:r w:rsidRPr="00F81026">
        <w:rPr>
          <w:rFonts w:ascii="Calibri" w:hAnsi="Calibri" w:cs="Calibri"/>
        </w:rPr>
        <w:t>en</w:t>
      </w:r>
      <w:proofErr w:type="spellEnd"/>
      <w:r w:rsidRPr="00F81026">
        <w:rPr>
          <w:rFonts w:ascii="Calibri" w:hAnsi="Calibri" w:cs="Calibri"/>
        </w:rPr>
        <w:t xml:space="preserve"> Altos </w:t>
      </w:r>
      <w:proofErr w:type="spellStart"/>
      <w:r w:rsidRPr="00F81026">
        <w:rPr>
          <w:rFonts w:ascii="Calibri" w:hAnsi="Calibri" w:cs="Calibri"/>
        </w:rPr>
        <w:t>Hornos</w:t>
      </w:r>
      <w:proofErr w:type="spellEnd"/>
      <w:r w:rsidRPr="00F81026">
        <w:rPr>
          <w:rFonts w:ascii="Calibri" w:hAnsi="Calibri" w:cs="Calibri"/>
        </w:rPr>
        <w:t xml:space="preserve">: Estado del </w:t>
      </w:r>
      <w:proofErr w:type="spellStart"/>
      <w:r w:rsidRPr="00F81026">
        <w:rPr>
          <w:rFonts w:ascii="Calibri" w:hAnsi="Calibri" w:cs="Calibri"/>
        </w:rPr>
        <w:t>arte</w:t>
      </w:r>
      <w:proofErr w:type="spellEnd"/>
      <w:r w:rsidRPr="00F81026">
        <w:rPr>
          <w:rFonts w:ascii="Calibri" w:hAnsi="Calibri" w:cs="Calibri"/>
        </w:rPr>
        <w:t xml:space="preserve"> y </w:t>
      </w:r>
      <w:proofErr w:type="spellStart"/>
      <w:r w:rsidRPr="00F81026">
        <w:rPr>
          <w:rFonts w:ascii="Calibri" w:hAnsi="Calibri" w:cs="Calibri"/>
        </w:rPr>
        <w:t>perspectivas</w:t>
      </w:r>
      <w:proofErr w:type="spellEnd"/>
      <w:r w:rsidRPr="00F81026">
        <w:rPr>
          <w:rFonts w:ascii="Calibri" w:hAnsi="Calibri" w:cs="Calibri"/>
        </w:rPr>
        <w:t xml:space="preserve"> </w:t>
      </w:r>
      <w:proofErr w:type="spellStart"/>
      <w:r w:rsidRPr="00F81026">
        <w:rPr>
          <w:rFonts w:ascii="Calibri" w:hAnsi="Calibri" w:cs="Calibri"/>
        </w:rPr>
        <w:t>económicas</w:t>
      </w:r>
      <w:proofErr w:type="spellEnd"/>
      <w:r w:rsidRPr="00F81026">
        <w:rPr>
          <w:rFonts w:ascii="Calibri" w:hAnsi="Calibri" w:cs="Calibri"/>
        </w:rPr>
        <w:t xml:space="preserve">’, </w:t>
      </w:r>
      <w:proofErr w:type="spellStart"/>
      <w:r w:rsidRPr="00F81026">
        <w:rPr>
          <w:rFonts w:ascii="Calibri" w:hAnsi="Calibri" w:cs="Calibri"/>
          <w:i/>
          <w:iCs/>
        </w:rPr>
        <w:t>Revista</w:t>
      </w:r>
      <w:proofErr w:type="spellEnd"/>
      <w:r w:rsidRPr="00F81026">
        <w:rPr>
          <w:rFonts w:ascii="Calibri" w:hAnsi="Calibri" w:cs="Calibri"/>
          <w:i/>
          <w:iCs/>
        </w:rPr>
        <w:t xml:space="preserve"> de </w:t>
      </w:r>
      <w:proofErr w:type="spellStart"/>
      <w:r w:rsidRPr="00F81026">
        <w:rPr>
          <w:rFonts w:ascii="Calibri" w:hAnsi="Calibri" w:cs="Calibri"/>
          <w:i/>
          <w:iCs/>
        </w:rPr>
        <w:t>Metalurgia</w:t>
      </w:r>
      <w:proofErr w:type="spellEnd"/>
      <w:r w:rsidRPr="00F81026">
        <w:rPr>
          <w:rFonts w:ascii="Calibri" w:hAnsi="Calibri" w:cs="Calibri"/>
        </w:rPr>
        <w:t>, 49(6), pp. 458–468. Available at: https://doi.org/10.3989/revmetalm.1331.</w:t>
      </w:r>
    </w:p>
    <w:p w14:paraId="2B372E37" w14:textId="77777777" w:rsidR="00F81026" w:rsidRPr="00F81026" w:rsidRDefault="00F81026" w:rsidP="00F81026">
      <w:pPr>
        <w:pStyle w:val="Bibliography"/>
        <w:rPr>
          <w:rFonts w:ascii="Calibri" w:hAnsi="Calibri" w:cs="Calibri"/>
        </w:rPr>
      </w:pPr>
      <w:r w:rsidRPr="00F81026">
        <w:rPr>
          <w:rFonts w:ascii="Calibri" w:hAnsi="Calibri" w:cs="Calibri"/>
        </w:rPr>
        <w:t xml:space="preserve">Fick, G. </w:t>
      </w:r>
      <w:r w:rsidRPr="00F81026">
        <w:rPr>
          <w:rFonts w:ascii="Calibri" w:hAnsi="Calibri" w:cs="Calibri"/>
          <w:i/>
          <w:iCs/>
        </w:rPr>
        <w:t>et al.</w:t>
      </w:r>
      <w:r w:rsidRPr="00F81026">
        <w:rPr>
          <w:rFonts w:ascii="Calibri" w:hAnsi="Calibri" w:cs="Calibri"/>
        </w:rPr>
        <w:t xml:space="preserve"> (2014) ‘Using Biomass for Pig Iron Production: A Technical, Environmental and Economical Assessment’, </w:t>
      </w:r>
      <w:r w:rsidRPr="00F81026">
        <w:rPr>
          <w:rFonts w:ascii="Calibri" w:hAnsi="Calibri" w:cs="Calibri"/>
          <w:i/>
          <w:iCs/>
        </w:rPr>
        <w:t xml:space="preserve">Waste and Biomass </w:t>
      </w:r>
      <w:proofErr w:type="spellStart"/>
      <w:r w:rsidRPr="00F81026">
        <w:rPr>
          <w:rFonts w:ascii="Calibri" w:hAnsi="Calibri" w:cs="Calibri"/>
          <w:i/>
          <w:iCs/>
        </w:rPr>
        <w:t>Valorization</w:t>
      </w:r>
      <w:proofErr w:type="spellEnd"/>
      <w:r w:rsidRPr="00F81026">
        <w:rPr>
          <w:rFonts w:ascii="Calibri" w:hAnsi="Calibri" w:cs="Calibri"/>
        </w:rPr>
        <w:t>, 5(1), pp. 43–55. Available at: https://doi.org/10.1007/s12649-013-9223-1.</w:t>
      </w:r>
    </w:p>
    <w:p w14:paraId="7EF4AB33" w14:textId="77777777" w:rsidR="00F81026" w:rsidRPr="00F81026" w:rsidRDefault="00F81026" w:rsidP="00F81026">
      <w:pPr>
        <w:pStyle w:val="Bibliography"/>
        <w:rPr>
          <w:rFonts w:ascii="Calibri" w:hAnsi="Calibri" w:cs="Calibri"/>
        </w:rPr>
      </w:pPr>
      <w:r w:rsidRPr="00F81026">
        <w:rPr>
          <w:rFonts w:ascii="Calibri" w:hAnsi="Calibri" w:cs="Calibri"/>
        </w:rPr>
        <w:lastRenderedPageBreak/>
        <w:t xml:space="preserve">Flores, B.D. </w:t>
      </w:r>
      <w:r w:rsidRPr="00F81026">
        <w:rPr>
          <w:rFonts w:ascii="Calibri" w:hAnsi="Calibri" w:cs="Calibri"/>
          <w:i/>
          <w:iCs/>
        </w:rPr>
        <w:t>et al.</w:t>
      </w:r>
      <w:r w:rsidRPr="00F81026">
        <w:rPr>
          <w:rFonts w:ascii="Calibri" w:hAnsi="Calibri" w:cs="Calibri"/>
        </w:rPr>
        <w:t xml:space="preserve"> (2017) ‘Effect of charcoal blending with a vitrinite rich coking coal on coke reactivity’, </w:t>
      </w:r>
      <w:r w:rsidRPr="00F81026">
        <w:rPr>
          <w:rFonts w:ascii="Calibri" w:hAnsi="Calibri" w:cs="Calibri"/>
          <w:i/>
          <w:iCs/>
        </w:rPr>
        <w:t>Fuel Processing Technology</w:t>
      </w:r>
      <w:r w:rsidRPr="00F81026">
        <w:rPr>
          <w:rFonts w:ascii="Calibri" w:hAnsi="Calibri" w:cs="Calibri"/>
        </w:rPr>
        <w:t>, 155, pp. 97–105. Available at: https://doi.org/10.1016/j.fuproc.2016.04.012.</w:t>
      </w:r>
    </w:p>
    <w:p w14:paraId="0B58BEB7" w14:textId="77777777" w:rsidR="00F81026" w:rsidRPr="00F81026" w:rsidRDefault="00F81026" w:rsidP="00F81026">
      <w:pPr>
        <w:pStyle w:val="Bibliography"/>
        <w:rPr>
          <w:rFonts w:ascii="Calibri" w:hAnsi="Calibri" w:cs="Calibri"/>
        </w:rPr>
      </w:pPr>
      <w:r w:rsidRPr="00F81026">
        <w:rPr>
          <w:rFonts w:ascii="Calibri" w:hAnsi="Calibri" w:cs="Calibri"/>
        </w:rPr>
        <w:t xml:space="preserve">Gan, M. </w:t>
      </w:r>
      <w:r w:rsidRPr="00F81026">
        <w:rPr>
          <w:rFonts w:ascii="Calibri" w:hAnsi="Calibri" w:cs="Calibri"/>
          <w:i/>
          <w:iCs/>
        </w:rPr>
        <w:t>et al.</w:t>
      </w:r>
      <w:r w:rsidRPr="00F81026">
        <w:rPr>
          <w:rFonts w:ascii="Calibri" w:hAnsi="Calibri" w:cs="Calibri"/>
        </w:rPr>
        <w:t xml:space="preserve"> (2014) ‘Fundamental study on iron ore sintering new process of flue gas recirculation together with using biochar as fuel’, </w:t>
      </w:r>
      <w:r w:rsidRPr="00F81026">
        <w:rPr>
          <w:rFonts w:ascii="Calibri" w:hAnsi="Calibri" w:cs="Calibri"/>
          <w:i/>
          <w:iCs/>
        </w:rPr>
        <w:t>Journal of Central South University</w:t>
      </w:r>
      <w:r w:rsidRPr="00F81026">
        <w:rPr>
          <w:rFonts w:ascii="Calibri" w:hAnsi="Calibri" w:cs="Calibri"/>
        </w:rPr>
        <w:t>, 21(11), pp. 4109–4114. Available at: https://doi.org/10.1007/s11771-014-2405-6.</w:t>
      </w:r>
    </w:p>
    <w:p w14:paraId="66991745" w14:textId="77777777" w:rsidR="00F81026" w:rsidRPr="00F81026" w:rsidRDefault="00F81026" w:rsidP="00F81026">
      <w:pPr>
        <w:pStyle w:val="Bibliography"/>
        <w:rPr>
          <w:rFonts w:ascii="Calibri" w:hAnsi="Calibri" w:cs="Calibri"/>
        </w:rPr>
      </w:pPr>
      <w:r w:rsidRPr="00F81026">
        <w:rPr>
          <w:rFonts w:ascii="Calibri" w:hAnsi="Calibri" w:cs="Calibri"/>
        </w:rPr>
        <w:t xml:space="preserve">Gan, M. </w:t>
      </w:r>
      <w:r w:rsidRPr="00F81026">
        <w:rPr>
          <w:rFonts w:ascii="Calibri" w:hAnsi="Calibri" w:cs="Calibri"/>
          <w:i/>
          <w:iCs/>
        </w:rPr>
        <w:t>et al.</w:t>
      </w:r>
      <w:r w:rsidRPr="00F81026">
        <w:rPr>
          <w:rFonts w:ascii="Calibri" w:hAnsi="Calibri" w:cs="Calibri"/>
        </w:rPr>
        <w:t xml:space="preserve"> (2015) ‘Application of biomass fuel in iron ore sintering: influencing mechanism and emission reduction’, </w:t>
      </w:r>
      <w:r w:rsidRPr="00F81026">
        <w:rPr>
          <w:rFonts w:ascii="Calibri" w:hAnsi="Calibri" w:cs="Calibri"/>
          <w:i/>
          <w:iCs/>
        </w:rPr>
        <w:t>Ironmaking &amp; Steelmaking</w:t>
      </w:r>
      <w:r w:rsidRPr="00F81026">
        <w:rPr>
          <w:rFonts w:ascii="Calibri" w:hAnsi="Calibri" w:cs="Calibri"/>
        </w:rPr>
        <w:t>, 42(1), pp. 27–33. Available at: https://doi.org/10.1179/1743281214Y.0000000194.</w:t>
      </w:r>
    </w:p>
    <w:p w14:paraId="1A1E9307"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Geerdes</w:t>
      </w:r>
      <w:proofErr w:type="spellEnd"/>
      <w:r w:rsidRPr="00F81026">
        <w:rPr>
          <w:rFonts w:ascii="Calibri" w:hAnsi="Calibri" w:cs="Calibri"/>
        </w:rPr>
        <w:t xml:space="preserve">, M., </w:t>
      </w:r>
      <w:proofErr w:type="spellStart"/>
      <w:r w:rsidRPr="00F81026">
        <w:rPr>
          <w:rFonts w:ascii="Calibri" w:hAnsi="Calibri" w:cs="Calibri"/>
        </w:rPr>
        <w:t>Toxopeus</w:t>
      </w:r>
      <w:proofErr w:type="spellEnd"/>
      <w:r w:rsidRPr="00F81026">
        <w:rPr>
          <w:rFonts w:ascii="Calibri" w:hAnsi="Calibri" w:cs="Calibri"/>
        </w:rPr>
        <w:t xml:space="preserve">, H. and Vliet, C. van der (2009) </w:t>
      </w:r>
      <w:r w:rsidRPr="00F81026">
        <w:rPr>
          <w:rFonts w:ascii="Calibri" w:hAnsi="Calibri" w:cs="Calibri"/>
          <w:i/>
          <w:iCs/>
        </w:rPr>
        <w:t>Modern Blast Furnace Ironmaking an introduction</w:t>
      </w:r>
      <w:r w:rsidRPr="00F81026">
        <w:rPr>
          <w:rFonts w:ascii="Calibri" w:hAnsi="Calibri" w:cs="Calibri"/>
        </w:rPr>
        <w:t xml:space="preserve">. 2nd </w:t>
      </w:r>
      <w:proofErr w:type="spellStart"/>
      <w:r w:rsidRPr="00F81026">
        <w:rPr>
          <w:rFonts w:ascii="Calibri" w:hAnsi="Calibri" w:cs="Calibri"/>
        </w:rPr>
        <w:t>edn</w:t>
      </w:r>
      <w:proofErr w:type="spellEnd"/>
      <w:r w:rsidRPr="00F81026">
        <w:rPr>
          <w:rFonts w:ascii="Calibri" w:hAnsi="Calibri" w:cs="Calibri"/>
        </w:rPr>
        <w:t>. Amsterdam: IOS Press BV.</w:t>
      </w:r>
    </w:p>
    <w:p w14:paraId="21FB28AB" w14:textId="77777777" w:rsidR="00F81026" w:rsidRPr="00F81026" w:rsidRDefault="00F81026" w:rsidP="00F81026">
      <w:pPr>
        <w:pStyle w:val="Bibliography"/>
        <w:rPr>
          <w:rFonts w:ascii="Calibri" w:hAnsi="Calibri" w:cs="Calibri"/>
        </w:rPr>
      </w:pPr>
      <w:r w:rsidRPr="00F81026">
        <w:rPr>
          <w:rFonts w:ascii="Calibri" w:hAnsi="Calibri" w:cs="Calibri"/>
        </w:rPr>
        <w:t xml:space="preserve">Guerrero, A., Diez, M.A. and Borrego, A.G. (2015) ‘Influence of charcoal fines on the thermoplastic properties of coking coals and the optical properties of the semicoke’, </w:t>
      </w:r>
      <w:r w:rsidRPr="00F81026">
        <w:rPr>
          <w:rFonts w:ascii="Calibri" w:hAnsi="Calibri" w:cs="Calibri"/>
          <w:i/>
          <w:iCs/>
        </w:rPr>
        <w:t>International Journal of Coal Geology</w:t>
      </w:r>
      <w:r w:rsidRPr="00F81026">
        <w:rPr>
          <w:rFonts w:ascii="Calibri" w:hAnsi="Calibri" w:cs="Calibri"/>
        </w:rPr>
        <w:t>, 147–148, pp. 105–114. Available at: https://doi.org/10.1016/j.coal.2015.06.013.</w:t>
      </w:r>
    </w:p>
    <w:p w14:paraId="3B53F9A5" w14:textId="7FAAACC6" w:rsidR="00F81026" w:rsidRPr="00F81026" w:rsidRDefault="00F81026" w:rsidP="00F81026">
      <w:pPr>
        <w:pStyle w:val="Bibliography"/>
        <w:rPr>
          <w:rFonts w:ascii="Calibri" w:hAnsi="Calibri" w:cs="Calibri"/>
        </w:rPr>
      </w:pPr>
      <w:proofErr w:type="spellStart"/>
      <w:r w:rsidRPr="00F81026">
        <w:rPr>
          <w:rFonts w:ascii="Calibri" w:hAnsi="Calibri" w:cs="Calibri"/>
        </w:rPr>
        <w:t>Haapakangas</w:t>
      </w:r>
      <w:proofErr w:type="spellEnd"/>
      <w:r w:rsidRPr="00F81026">
        <w:rPr>
          <w:rFonts w:ascii="Calibri" w:hAnsi="Calibri" w:cs="Calibri"/>
        </w:rPr>
        <w:t xml:space="preserve">, J. (2016) </w:t>
      </w:r>
      <w:r w:rsidRPr="00F81026">
        <w:rPr>
          <w:rFonts w:ascii="Calibri" w:hAnsi="Calibri" w:cs="Calibri"/>
          <w:i/>
          <w:iCs/>
        </w:rPr>
        <w:t xml:space="preserve">Coke properties in simulated blast furnace conditions, investigation on hot strength, chemical </w:t>
      </w:r>
      <w:r w:rsidR="009E4BA5" w:rsidRPr="00F81026">
        <w:rPr>
          <w:rFonts w:ascii="Calibri" w:hAnsi="Calibri" w:cs="Calibri"/>
          <w:i/>
          <w:iCs/>
        </w:rPr>
        <w:t>reactivity,</w:t>
      </w:r>
      <w:r w:rsidRPr="00F81026">
        <w:rPr>
          <w:rFonts w:ascii="Calibri" w:hAnsi="Calibri" w:cs="Calibri"/>
          <w:i/>
          <w:iCs/>
        </w:rPr>
        <w:t xml:space="preserve"> and reaction mechanism</w:t>
      </w:r>
      <w:r w:rsidRPr="00F81026">
        <w:rPr>
          <w:rFonts w:ascii="Calibri" w:hAnsi="Calibri" w:cs="Calibri"/>
        </w:rPr>
        <w:t>. University of Oulu. Available at: https://www.semanticscholar.org/paper/Juho-Haapakangas-COKE-PROPERTIES-IN-SIMULATED-BLAST-Palviainen-Vuolteenaho/da6a141d5618862fd311b259c4a2da39370752e7 (Accessed: 7 August 2022).</w:t>
      </w:r>
    </w:p>
    <w:p w14:paraId="1F9CFA66"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Hilding</w:t>
      </w:r>
      <w:proofErr w:type="spellEnd"/>
      <w:r w:rsidRPr="00F81026">
        <w:rPr>
          <w:rFonts w:ascii="Calibri" w:hAnsi="Calibri" w:cs="Calibri"/>
        </w:rPr>
        <w:t xml:space="preserve">, T. (2005) </w:t>
      </w:r>
      <w:r w:rsidRPr="00F81026">
        <w:rPr>
          <w:rFonts w:ascii="Calibri" w:hAnsi="Calibri" w:cs="Calibri"/>
          <w:i/>
          <w:iCs/>
        </w:rPr>
        <w:t>Evolution of Coke Properties while Descending through a Blast Furnace</w:t>
      </w:r>
      <w:r w:rsidRPr="00F81026">
        <w:rPr>
          <w:rFonts w:ascii="Calibri" w:hAnsi="Calibri" w:cs="Calibri"/>
        </w:rPr>
        <w:t xml:space="preserve">. Division of Process Metallurgy. </w:t>
      </w:r>
      <w:proofErr w:type="spellStart"/>
      <w:r w:rsidRPr="00F81026">
        <w:rPr>
          <w:rFonts w:ascii="Calibri" w:hAnsi="Calibri" w:cs="Calibri"/>
        </w:rPr>
        <w:t>Luleå</w:t>
      </w:r>
      <w:proofErr w:type="spellEnd"/>
      <w:r w:rsidRPr="00F81026">
        <w:rPr>
          <w:rFonts w:ascii="Calibri" w:hAnsi="Calibri" w:cs="Calibri"/>
        </w:rPr>
        <w:t xml:space="preserve"> University of Technology.</w:t>
      </w:r>
    </w:p>
    <w:p w14:paraId="643ECB28"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Holappa</w:t>
      </w:r>
      <w:proofErr w:type="spellEnd"/>
      <w:r w:rsidRPr="00F81026">
        <w:rPr>
          <w:rFonts w:ascii="Calibri" w:hAnsi="Calibri" w:cs="Calibri"/>
        </w:rPr>
        <w:t xml:space="preserve">, L. (2020) ‘A General Vision for Reduction of Energy Consumption and CO2 Emissions from the Steel Industry’, </w:t>
      </w:r>
      <w:r w:rsidRPr="00F81026">
        <w:rPr>
          <w:rFonts w:ascii="Calibri" w:hAnsi="Calibri" w:cs="Calibri"/>
          <w:i/>
          <w:iCs/>
        </w:rPr>
        <w:t>Metals</w:t>
      </w:r>
      <w:r w:rsidRPr="00F81026">
        <w:rPr>
          <w:rFonts w:ascii="Calibri" w:hAnsi="Calibri" w:cs="Calibri"/>
        </w:rPr>
        <w:t>, 10(9), p. 1117. Available at: http://dx.doi.org.ezproxy.uwtsd.ac.uk/10.3390/met10091117.</w:t>
      </w:r>
    </w:p>
    <w:p w14:paraId="5804AEE6" w14:textId="77777777" w:rsidR="00F81026" w:rsidRPr="00F81026" w:rsidRDefault="00F81026" w:rsidP="00F81026">
      <w:pPr>
        <w:pStyle w:val="Bibliography"/>
        <w:rPr>
          <w:rFonts w:ascii="Calibri" w:hAnsi="Calibri" w:cs="Calibri"/>
        </w:rPr>
      </w:pPr>
      <w:r w:rsidRPr="00F81026">
        <w:rPr>
          <w:rFonts w:ascii="Calibri" w:hAnsi="Calibri" w:cs="Calibri"/>
        </w:rPr>
        <w:t>International Standards Association (2020) ‘ISO 556-2020’. ISO.</w:t>
      </w:r>
    </w:p>
    <w:p w14:paraId="46B68093" w14:textId="5FAD4264" w:rsidR="00F81026" w:rsidRPr="00F81026" w:rsidRDefault="00F81026" w:rsidP="00F81026">
      <w:pPr>
        <w:pStyle w:val="Bibliography"/>
        <w:rPr>
          <w:rFonts w:ascii="Calibri" w:hAnsi="Calibri" w:cs="Calibri"/>
        </w:rPr>
      </w:pPr>
      <w:proofErr w:type="spellStart"/>
      <w:r w:rsidRPr="00F81026">
        <w:rPr>
          <w:rFonts w:ascii="Calibri" w:hAnsi="Calibri" w:cs="Calibri"/>
        </w:rPr>
        <w:t>Jahanshahi</w:t>
      </w:r>
      <w:proofErr w:type="spellEnd"/>
      <w:r w:rsidRPr="00F81026">
        <w:rPr>
          <w:rFonts w:ascii="Calibri" w:hAnsi="Calibri" w:cs="Calibri"/>
        </w:rPr>
        <w:t xml:space="preserve">, S. </w:t>
      </w:r>
      <w:r w:rsidRPr="00F81026">
        <w:rPr>
          <w:rFonts w:ascii="Calibri" w:hAnsi="Calibri" w:cs="Calibri"/>
          <w:i/>
          <w:iCs/>
        </w:rPr>
        <w:t>et al.</w:t>
      </w:r>
      <w:r w:rsidRPr="00F81026">
        <w:rPr>
          <w:rFonts w:ascii="Calibri" w:hAnsi="Calibri" w:cs="Calibri"/>
        </w:rPr>
        <w:t xml:space="preserve"> (2014) ‘Recent Progress in R&amp;D on Assessment of the Use of Biomass/Designer Chars for Steel Production’, in. </w:t>
      </w:r>
      <w:r w:rsidRPr="00F81026">
        <w:rPr>
          <w:rFonts w:ascii="Calibri" w:hAnsi="Calibri" w:cs="Calibri"/>
          <w:i/>
          <w:iCs/>
        </w:rPr>
        <w:t xml:space="preserve">Innovation of Ironmaking Technologies and Future International </w:t>
      </w:r>
      <w:r w:rsidR="009E4BA5" w:rsidRPr="00F81026">
        <w:rPr>
          <w:rFonts w:ascii="Calibri" w:hAnsi="Calibri" w:cs="Calibri"/>
          <w:i/>
          <w:iCs/>
        </w:rPr>
        <w:t>Collaboration -</w:t>
      </w:r>
      <w:r w:rsidRPr="00F81026">
        <w:rPr>
          <w:rFonts w:ascii="Calibri" w:hAnsi="Calibri" w:cs="Calibri"/>
          <w:i/>
          <w:iCs/>
        </w:rPr>
        <w:t xml:space="preserve"> to Overcome Energy &amp; Resource Restrictions in Accordance with Environment</w:t>
      </w:r>
      <w:r w:rsidRPr="00F81026">
        <w:rPr>
          <w:rFonts w:ascii="Calibri" w:hAnsi="Calibri" w:cs="Calibri"/>
        </w:rPr>
        <w:t>, Japan.</w:t>
      </w:r>
    </w:p>
    <w:p w14:paraId="626F6B21" w14:textId="77777777" w:rsidR="00F81026" w:rsidRPr="00F81026" w:rsidRDefault="00F81026" w:rsidP="00F81026">
      <w:pPr>
        <w:pStyle w:val="Bibliography"/>
        <w:rPr>
          <w:rFonts w:ascii="Calibri" w:hAnsi="Calibri" w:cs="Calibri"/>
        </w:rPr>
      </w:pPr>
      <w:r w:rsidRPr="00F81026">
        <w:rPr>
          <w:rFonts w:ascii="Calibri" w:hAnsi="Calibri" w:cs="Calibri"/>
        </w:rPr>
        <w:t xml:space="preserve">Jiao, L. </w:t>
      </w:r>
      <w:r w:rsidRPr="00F81026">
        <w:rPr>
          <w:rFonts w:ascii="Calibri" w:hAnsi="Calibri" w:cs="Calibri"/>
          <w:i/>
          <w:iCs/>
        </w:rPr>
        <w:t>et al.</w:t>
      </w:r>
      <w:r w:rsidRPr="00F81026">
        <w:rPr>
          <w:rFonts w:ascii="Calibri" w:hAnsi="Calibri" w:cs="Calibri"/>
        </w:rPr>
        <w:t xml:space="preserve"> (2021) ‘​ ​CFD </w:t>
      </w:r>
      <w:proofErr w:type="spellStart"/>
      <w:r w:rsidRPr="00F81026">
        <w:rPr>
          <w:rFonts w:ascii="Calibri" w:hAnsi="Calibri" w:cs="Calibri"/>
        </w:rPr>
        <w:t>Modeling</w:t>
      </w:r>
      <w:proofErr w:type="spellEnd"/>
      <w:r w:rsidRPr="00F81026">
        <w:rPr>
          <w:rFonts w:ascii="Calibri" w:hAnsi="Calibri" w:cs="Calibri"/>
        </w:rPr>
        <w:t xml:space="preserve"> and Analysis of Particle Size Reduction and Its Effect on Blast Furnace Ironmaking’, </w:t>
      </w:r>
      <w:r w:rsidRPr="00F81026">
        <w:rPr>
          <w:rFonts w:ascii="Calibri" w:hAnsi="Calibri" w:cs="Calibri"/>
          <w:i/>
          <w:iCs/>
        </w:rPr>
        <w:t>Metallurgical and Materials Transactions: Process Metallurgy and Materials Processing Science</w:t>
      </w:r>
      <w:r w:rsidRPr="00F81026">
        <w:rPr>
          <w:rFonts w:ascii="Calibri" w:hAnsi="Calibri" w:cs="Calibri"/>
        </w:rPr>
        <w:t>, 52(1), pp. 138–155. Available at: http://www.proquest.com/docview/2483426060?pq-origsite=primo&amp;accountid=130472 (Accessed: 4 October 2022).</w:t>
      </w:r>
    </w:p>
    <w:p w14:paraId="676DC81F" w14:textId="6E20102A" w:rsidR="00F81026" w:rsidRPr="00F81026" w:rsidRDefault="00F81026" w:rsidP="00F81026">
      <w:pPr>
        <w:pStyle w:val="Bibliography"/>
        <w:rPr>
          <w:rFonts w:ascii="Calibri" w:hAnsi="Calibri" w:cs="Calibri"/>
        </w:rPr>
      </w:pPr>
      <w:proofErr w:type="spellStart"/>
      <w:r w:rsidRPr="00F81026">
        <w:rPr>
          <w:rFonts w:ascii="Calibri" w:hAnsi="Calibri" w:cs="Calibri"/>
        </w:rPr>
        <w:t>Kambo</w:t>
      </w:r>
      <w:proofErr w:type="spellEnd"/>
      <w:r w:rsidRPr="00F81026">
        <w:rPr>
          <w:rFonts w:ascii="Calibri" w:hAnsi="Calibri" w:cs="Calibri"/>
        </w:rPr>
        <w:t xml:space="preserve">, H.S. and Dutta, A. (2015) ‘A comparative review of biochar and </w:t>
      </w:r>
      <w:proofErr w:type="spellStart"/>
      <w:r w:rsidRPr="00F81026">
        <w:rPr>
          <w:rFonts w:ascii="Calibri" w:hAnsi="Calibri" w:cs="Calibri"/>
        </w:rPr>
        <w:t>hydrochar</w:t>
      </w:r>
      <w:proofErr w:type="spellEnd"/>
      <w:r w:rsidRPr="00F81026">
        <w:rPr>
          <w:rFonts w:ascii="Calibri" w:hAnsi="Calibri" w:cs="Calibri"/>
        </w:rPr>
        <w:t xml:space="preserve"> in terms of production, </w:t>
      </w:r>
      <w:proofErr w:type="spellStart"/>
      <w:r w:rsidRPr="00F81026">
        <w:rPr>
          <w:rFonts w:ascii="Calibri" w:hAnsi="Calibri" w:cs="Calibri"/>
        </w:rPr>
        <w:t>physico</w:t>
      </w:r>
      <w:proofErr w:type="spellEnd"/>
      <w:r w:rsidRPr="00F81026">
        <w:rPr>
          <w:rFonts w:ascii="Calibri" w:hAnsi="Calibri" w:cs="Calibri"/>
        </w:rPr>
        <w:t xml:space="preserve">-chemical </w:t>
      </w:r>
      <w:r w:rsidR="009E4BA5" w:rsidRPr="00F81026">
        <w:rPr>
          <w:rFonts w:ascii="Calibri" w:hAnsi="Calibri" w:cs="Calibri"/>
        </w:rPr>
        <w:t>properties,</w:t>
      </w:r>
      <w:r w:rsidRPr="00F81026">
        <w:rPr>
          <w:rFonts w:ascii="Calibri" w:hAnsi="Calibri" w:cs="Calibri"/>
        </w:rPr>
        <w:t xml:space="preserve"> and applications’, </w:t>
      </w:r>
      <w:r w:rsidRPr="00F81026">
        <w:rPr>
          <w:rFonts w:ascii="Calibri" w:hAnsi="Calibri" w:cs="Calibri"/>
          <w:i/>
          <w:iCs/>
        </w:rPr>
        <w:t>Renewable and Sustainable Energy Reviews</w:t>
      </w:r>
      <w:r w:rsidRPr="00F81026">
        <w:rPr>
          <w:rFonts w:ascii="Calibri" w:hAnsi="Calibri" w:cs="Calibri"/>
        </w:rPr>
        <w:t>, 45, pp. 359–378. Available at: https://doi.org/10.1016/j.rser.2015.01.050.</w:t>
      </w:r>
    </w:p>
    <w:p w14:paraId="79A3461E" w14:textId="77777777" w:rsidR="00F81026" w:rsidRPr="00F81026" w:rsidRDefault="00F81026" w:rsidP="00F81026">
      <w:pPr>
        <w:pStyle w:val="Bibliography"/>
        <w:rPr>
          <w:rFonts w:ascii="Calibri" w:hAnsi="Calibri" w:cs="Calibri"/>
        </w:rPr>
      </w:pPr>
      <w:r w:rsidRPr="00F81026">
        <w:rPr>
          <w:rFonts w:ascii="Calibri" w:hAnsi="Calibri" w:cs="Calibri"/>
        </w:rPr>
        <w:t xml:space="preserve">Kawaguchi, T. and Hara, M. (2013) ‘Utilization of Biomass for Iron Ore Sintering’, </w:t>
      </w:r>
      <w:r w:rsidRPr="00F81026">
        <w:rPr>
          <w:rFonts w:ascii="Calibri" w:hAnsi="Calibri" w:cs="Calibri"/>
          <w:i/>
          <w:iCs/>
        </w:rPr>
        <w:t>ISIJ International</w:t>
      </w:r>
      <w:r w:rsidRPr="00F81026">
        <w:rPr>
          <w:rFonts w:ascii="Calibri" w:hAnsi="Calibri" w:cs="Calibri"/>
        </w:rPr>
        <w:t>, 53(9), pp. 1599–1606. Available at: https://doi.org/10.2355/isijinternational.53.1599.</w:t>
      </w:r>
    </w:p>
    <w:p w14:paraId="07C5EC94"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Lamers</w:t>
      </w:r>
      <w:proofErr w:type="spellEnd"/>
      <w:r w:rsidRPr="00F81026">
        <w:rPr>
          <w:rFonts w:ascii="Calibri" w:hAnsi="Calibri" w:cs="Calibri"/>
        </w:rPr>
        <w:t xml:space="preserve">, P. </w:t>
      </w:r>
      <w:r w:rsidRPr="00F81026">
        <w:rPr>
          <w:rFonts w:ascii="Calibri" w:hAnsi="Calibri" w:cs="Calibri"/>
          <w:i/>
          <w:iCs/>
        </w:rPr>
        <w:t>et al.</w:t>
      </w:r>
      <w:r w:rsidRPr="00F81026">
        <w:rPr>
          <w:rFonts w:ascii="Calibri" w:hAnsi="Calibri" w:cs="Calibri"/>
        </w:rPr>
        <w:t xml:space="preserve"> (2016) </w:t>
      </w:r>
      <w:r w:rsidRPr="00F81026">
        <w:rPr>
          <w:rFonts w:ascii="Calibri" w:hAnsi="Calibri" w:cs="Calibri"/>
          <w:i/>
          <w:iCs/>
        </w:rPr>
        <w:t>Developing the bioeconomy - Technical, market, and environmental lessons from bioenergy</w:t>
      </w:r>
      <w:r w:rsidRPr="00F81026">
        <w:rPr>
          <w:rFonts w:ascii="Calibri" w:hAnsi="Calibri" w:cs="Calibri"/>
        </w:rPr>
        <w:t>. London: Elsevier.</w:t>
      </w:r>
    </w:p>
    <w:p w14:paraId="4F11B106" w14:textId="77777777" w:rsidR="00F81026" w:rsidRPr="00F81026" w:rsidRDefault="00F81026" w:rsidP="00F81026">
      <w:pPr>
        <w:pStyle w:val="Bibliography"/>
        <w:rPr>
          <w:rFonts w:ascii="Calibri" w:hAnsi="Calibri" w:cs="Calibri"/>
        </w:rPr>
      </w:pPr>
      <w:r w:rsidRPr="00F81026">
        <w:rPr>
          <w:rFonts w:ascii="Calibri" w:hAnsi="Calibri" w:cs="Calibri"/>
        </w:rPr>
        <w:lastRenderedPageBreak/>
        <w:t xml:space="preserve">Li, K. </w:t>
      </w:r>
      <w:r w:rsidRPr="00F81026">
        <w:rPr>
          <w:rFonts w:ascii="Calibri" w:hAnsi="Calibri" w:cs="Calibri"/>
          <w:i/>
          <w:iCs/>
        </w:rPr>
        <w:t>et al.</w:t>
      </w:r>
      <w:r w:rsidRPr="00F81026">
        <w:rPr>
          <w:rFonts w:ascii="Calibri" w:hAnsi="Calibri" w:cs="Calibri"/>
        </w:rPr>
        <w:t xml:space="preserve"> (2014) ‘The evolution of structural order, microstructure and mineral matter of metallurgical coke in a blast furnace: A review’, </w:t>
      </w:r>
      <w:r w:rsidRPr="00F81026">
        <w:rPr>
          <w:rFonts w:ascii="Calibri" w:hAnsi="Calibri" w:cs="Calibri"/>
          <w:i/>
          <w:iCs/>
        </w:rPr>
        <w:t>Fuel</w:t>
      </w:r>
      <w:r w:rsidRPr="00F81026">
        <w:rPr>
          <w:rFonts w:ascii="Calibri" w:hAnsi="Calibri" w:cs="Calibri"/>
        </w:rPr>
        <w:t>, 133, pp. 194–215. Available at: https://doi.org/10.1016/j.fuel.2014.05.014.</w:t>
      </w:r>
    </w:p>
    <w:p w14:paraId="74C1030D" w14:textId="77777777" w:rsidR="00F81026" w:rsidRPr="00F81026" w:rsidRDefault="00F81026" w:rsidP="00F81026">
      <w:pPr>
        <w:pStyle w:val="Bibliography"/>
        <w:rPr>
          <w:rFonts w:ascii="Calibri" w:hAnsi="Calibri" w:cs="Calibri"/>
        </w:rPr>
      </w:pPr>
      <w:r w:rsidRPr="00F81026">
        <w:rPr>
          <w:rFonts w:ascii="Calibri" w:hAnsi="Calibri" w:cs="Calibri"/>
        </w:rPr>
        <w:t xml:space="preserve">Liu, C. </w:t>
      </w:r>
      <w:r w:rsidRPr="00F81026">
        <w:rPr>
          <w:rFonts w:ascii="Calibri" w:hAnsi="Calibri" w:cs="Calibri"/>
          <w:i/>
          <w:iCs/>
        </w:rPr>
        <w:t>et al.</w:t>
      </w:r>
      <w:r w:rsidRPr="00F81026">
        <w:rPr>
          <w:rFonts w:ascii="Calibri" w:hAnsi="Calibri" w:cs="Calibri"/>
        </w:rPr>
        <w:t xml:space="preserve"> (2020) ‘Modified biomass fuel instead of coke for iron ore sintering’, </w:t>
      </w:r>
      <w:r w:rsidRPr="00F81026">
        <w:rPr>
          <w:rFonts w:ascii="Calibri" w:hAnsi="Calibri" w:cs="Calibri"/>
          <w:i/>
          <w:iCs/>
        </w:rPr>
        <w:t>Ironmaking &amp; Steelmaking</w:t>
      </w:r>
      <w:r w:rsidRPr="00F81026">
        <w:rPr>
          <w:rFonts w:ascii="Calibri" w:hAnsi="Calibri" w:cs="Calibri"/>
        </w:rPr>
        <w:t>, 47(2), pp. 188–194. Available at: https://doi.org/10.1080/03019233.2018.1507070.</w:t>
      </w:r>
    </w:p>
    <w:p w14:paraId="2B9EFBB1" w14:textId="77777777" w:rsidR="00F81026" w:rsidRPr="00F81026" w:rsidRDefault="00F81026" w:rsidP="00F81026">
      <w:pPr>
        <w:pStyle w:val="Bibliography"/>
        <w:rPr>
          <w:rFonts w:ascii="Calibri" w:hAnsi="Calibri" w:cs="Calibri"/>
        </w:rPr>
      </w:pPr>
      <w:r w:rsidRPr="00F81026">
        <w:rPr>
          <w:rFonts w:ascii="Calibri" w:hAnsi="Calibri" w:cs="Calibri"/>
        </w:rPr>
        <w:t xml:space="preserve">Liu, Y. and Shen, Y. (2021a) ‘Modelling and optimisation of biomass injection in ironmaking blast furnaces’, </w:t>
      </w:r>
      <w:r w:rsidRPr="00F81026">
        <w:rPr>
          <w:rFonts w:ascii="Calibri" w:hAnsi="Calibri" w:cs="Calibri"/>
          <w:i/>
          <w:iCs/>
        </w:rPr>
        <w:t>Progress in Energy and Combustion Science</w:t>
      </w:r>
      <w:r w:rsidRPr="00F81026">
        <w:rPr>
          <w:rFonts w:ascii="Calibri" w:hAnsi="Calibri" w:cs="Calibri"/>
        </w:rPr>
        <w:t>, 87, p. 100952. Available at: https://doi.org/10.1016/j.pecs.2021.100952.</w:t>
      </w:r>
    </w:p>
    <w:p w14:paraId="309A999A" w14:textId="5CC74316" w:rsidR="00F81026" w:rsidRPr="00F81026" w:rsidRDefault="00F81026" w:rsidP="00F81026">
      <w:pPr>
        <w:pStyle w:val="Bibliography"/>
        <w:rPr>
          <w:rFonts w:ascii="Calibri" w:hAnsi="Calibri" w:cs="Calibri"/>
        </w:rPr>
      </w:pPr>
      <w:proofErr w:type="spellStart"/>
      <w:r w:rsidRPr="00F81026">
        <w:rPr>
          <w:rFonts w:ascii="Calibri" w:hAnsi="Calibri" w:cs="Calibri"/>
        </w:rPr>
        <w:t>Loison</w:t>
      </w:r>
      <w:proofErr w:type="spellEnd"/>
      <w:r w:rsidRPr="00F81026">
        <w:rPr>
          <w:rFonts w:ascii="Calibri" w:hAnsi="Calibri" w:cs="Calibri"/>
        </w:rPr>
        <w:t xml:space="preserve">, R., Foch, P. and Boyer, A. (1989) </w:t>
      </w:r>
      <w:r w:rsidR="009E4BA5" w:rsidRPr="00F81026">
        <w:rPr>
          <w:rFonts w:ascii="Calibri" w:hAnsi="Calibri" w:cs="Calibri"/>
          <w:i/>
          <w:iCs/>
        </w:rPr>
        <w:t>Coke:</w:t>
      </w:r>
      <w:r w:rsidRPr="00F81026">
        <w:rPr>
          <w:rFonts w:ascii="Calibri" w:hAnsi="Calibri" w:cs="Calibri"/>
          <w:i/>
          <w:iCs/>
        </w:rPr>
        <w:t xml:space="preserve"> Quality and Production</w:t>
      </w:r>
      <w:r w:rsidRPr="00F81026">
        <w:rPr>
          <w:rFonts w:ascii="Calibri" w:hAnsi="Calibri" w:cs="Calibri"/>
        </w:rPr>
        <w:t xml:space="preserve">. 2nd </w:t>
      </w:r>
      <w:proofErr w:type="spellStart"/>
      <w:r w:rsidRPr="00F81026">
        <w:rPr>
          <w:rFonts w:ascii="Calibri" w:hAnsi="Calibri" w:cs="Calibri"/>
        </w:rPr>
        <w:t>edn</w:t>
      </w:r>
      <w:proofErr w:type="spellEnd"/>
      <w:r w:rsidRPr="00F81026">
        <w:rPr>
          <w:rFonts w:ascii="Calibri" w:hAnsi="Calibri" w:cs="Calibri"/>
        </w:rPr>
        <w:t>. Cambridge: Butterworths.</w:t>
      </w:r>
    </w:p>
    <w:p w14:paraId="36037898" w14:textId="7AE39DF3" w:rsidR="00F81026" w:rsidRPr="00F81026" w:rsidRDefault="00F81026" w:rsidP="00F81026">
      <w:pPr>
        <w:pStyle w:val="Bibliography"/>
        <w:rPr>
          <w:rFonts w:ascii="Calibri" w:hAnsi="Calibri" w:cs="Calibri"/>
        </w:rPr>
      </w:pPr>
      <w:r w:rsidRPr="00F81026">
        <w:rPr>
          <w:rFonts w:ascii="Calibri" w:hAnsi="Calibri" w:cs="Calibri"/>
        </w:rPr>
        <w:t xml:space="preserve">Lovel, R., Vining, K. and </w:t>
      </w:r>
      <w:r w:rsidR="00E32428" w:rsidRPr="00F81026">
        <w:rPr>
          <w:rFonts w:ascii="Calibri" w:hAnsi="Calibri" w:cs="Calibri"/>
        </w:rPr>
        <w:t>Dell ’Amico</w:t>
      </w:r>
      <w:r w:rsidRPr="00F81026">
        <w:rPr>
          <w:rFonts w:ascii="Calibri" w:hAnsi="Calibri" w:cs="Calibri"/>
        </w:rPr>
        <w:t xml:space="preserve">, M. (2007) ‘Iron ore sintering with charcoal’, </w:t>
      </w:r>
      <w:r w:rsidRPr="00F81026">
        <w:rPr>
          <w:rFonts w:ascii="Calibri" w:hAnsi="Calibri" w:cs="Calibri"/>
          <w:i/>
          <w:iCs/>
        </w:rPr>
        <w:t>Mineral Processing &amp; Extractive Metallurgy: Transactions of the Institution of Mining &amp; Metallurgy, Section C</w:t>
      </w:r>
      <w:r w:rsidRPr="00F81026">
        <w:rPr>
          <w:rFonts w:ascii="Calibri" w:hAnsi="Calibri" w:cs="Calibri"/>
        </w:rPr>
        <w:t>, 116(2), pp. 85–92. Available at: https://doi.org/10.1179/174328507X163887.</w:t>
      </w:r>
    </w:p>
    <w:p w14:paraId="3E363C48" w14:textId="71A632B5" w:rsidR="00F81026" w:rsidRPr="00F81026" w:rsidRDefault="00F81026" w:rsidP="00F81026">
      <w:pPr>
        <w:pStyle w:val="Bibliography"/>
        <w:rPr>
          <w:rFonts w:ascii="Calibri" w:hAnsi="Calibri" w:cs="Calibri"/>
        </w:rPr>
      </w:pPr>
      <w:r w:rsidRPr="00F81026">
        <w:rPr>
          <w:rFonts w:ascii="Calibri" w:hAnsi="Calibri" w:cs="Calibri"/>
        </w:rPr>
        <w:t>Lovel, R.R., Vining, K.R. and Dell ’</w:t>
      </w:r>
      <w:r w:rsidR="00E32428" w:rsidRPr="00F81026">
        <w:rPr>
          <w:rFonts w:ascii="Calibri" w:hAnsi="Calibri" w:cs="Calibri"/>
        </w:rPr>
        <w:t>Amico</w:t>
      </w:r>
      <w:r w:rsidRPr="00F81026">
        <w:rPr>
          <w:rFonts w:ascii="Calibri" w:hAnsi="Calibri" w:cs="Calibri"/>
        </w:rPr>
        <w:t xml:space="preserve">, M. (2009) ‘The Influence of Fuel Reactivity on Iron Ore Sintering’, </w:t>
      </w:r>
      <w:r w:rsidRPr="00F81026">
        <w:rPr>
          <w:rFonts w:ascii="Calibri" w:hAnsi="Calibri" w:cs="Calibri"/>
          <w:i/>
          <w:iCs/>
        </w:rPr>
        <w:t>ISIJ International</w:t>
      </w:r>
      <w:r w:rsidRPr="00F81026">
        <w:rPr>
          <w:rFonts w:ascii="Calibri" w:hAnsi="Calibri" w:cs="Calibri"/>
        </w:rPr>
        <w:t>, 49(2), pp. 195–202. Available at: https://doi.org/10.2355/isijinternational.49.195.</w:t>
      </w:r>
    </w:p>
    <w:p w14:paraId="41B3608F" w14:textId="66DEF2BA" w:rsidR="00F81026" w:rsidRPr="00F81026" w:rsidRDefault="00F81026" w:rsidP="00F81026">
      <w:pPr>
        <w:pStyle w:val="Bibliography"/>
        <w:rPr>
          <w:rFonts w:ascii="Calibri" w:hAnsi="Calibri" w:cs="Calibri"/>
        </w:rPr>
      </w:pPr>
      <w:r w:rsidRPr="00F81026">
        <w:rPr>
          <w:rFonts w:ascii="Calibri" w:hAnsi="Calibri" w:cs="Calibri"/>
        </w:rPr>
        <w:t xml:space="preserve">Lu, L. </w:t>
      </w:r>
      <w:r w:rsidRPr="00F81026">
        <w:rPr>
          <w:rFonts w:ascii="Calibri" w:hAnsi="Calibri" w:cs="Calibri"/>
          <w:i/>
          <w:iCs/>
        </w:rPr>
        <w:t>et al.</w:t>
      </w:r>
      <w:r w:rsidRPr="00F81026">
        <w:rPr>
          <w:rFonts w:ascii="Calibri" w:hAnsi="Calibri" w:cs="Calibri"/>
        </w:rPr>
        <w:t xml:space="preserve"> (2012) ‘Iron ore sintering with charcoal’, in </w:t>
      </w:r>
      <w:r w:rsidRPr="00F81026">
        <w:rPr>
          <w:rFonts w:ascii="Calibri" w:hAnsi="Calibri" w:cs="Calibri"/>
          <w:i/>
          <w:iCs/>
        </w:rPr>
        <w:t>CSIRO Minerals Down Under Flagship</w:t>
      </w:r>
      <w:r w:rsidRPr="00F81026">
        <w:rPr>
          <w:rFonts w:ascii="Calibri" w:hAnsi="Calibri" w:cs="Calibri"/>
        </w:rPr>
        <w:t xml:space="preserve">. </w:t>
      </w:r>
      <w:r w:rsidRPr="00F81026">
        <w:rPr>
          <w:rFonts w:ascii="Calibri" w:hAnsi="Calibri" w:cs="Calibri"/>
          <w:i/>
          <w:iCs/>
        </w:rPr>
        <w:t xml:space="preserve">Technical contribution to the 6th International Congress on the Science and Technology </w:t>
      </w:r>
      <w:r w:rsidR="009E4BA5" w:rsidRPr="00F81026">
        <w:rPr>
          <w:rFonts w:ascii="Calibri" w:hAnsi="Calibri" w:cs="Calibri"/>
          <w:i/>
          <w:iCs/>
        </w:rPr>
        <w:t>of Ironmaking</w:t>
      </w:r>
      <w:r w:rsidRPr="00F81026">
        <w:rPr>
          <w:rFonts w:ascii="Calibri" w:hAnsi="Calibri" w:cs="Calibri"/>
          <w:i/>
          <w:iCs/>
        </w:rPr>
        <w:t xml:space="preserve"> – ICSTI, 42nd International Meeting on Ironmaking and 13th International Symposium </w:t>
      </w:r>
      <w:r w:rsidR="00E32428" w:rsidRPr="00F81026">
        <w:rPr>
          <w:rFonts w:ascii="Calibri" w:hAnsi="Calibri" w:cs="Calibri"/>
          <w:i/>
          <w:iCs/>
        </w:rPr>
        <w:t>on Iron</w:t>
      </w:r>
      <w:r w:rsidRPr="00F81026">
        <w:rPr>
          <w:rFonts w:ascii="Calibri" w:hAnsi="Calibri" w:cs="Calibri"/>
          <w:i/>
          <w:iCs/>
        </w:rPr>
        <w:t xml:space="preserve"> Ore</w:t>
      </w:r>
      <w:r w:rsidRPr="00F81026">
        <w:rPr>
          <w:rFonts w:ascii="Calibri" w:hAnsi="Calibri" w:cs="Calibri"/>
        </w:rPr>
        <w:t xml:space="preserve">, </w:t>
      </w:r>
      <w:r w:rsidR="00E32428" w:rsidRPr="00F81026">
        <w:rPr>
          <w:rFonts w:ascii="Calibri" w:hAnsi="Calibri" w:cs="Calibri"/>
        </w:rPr>
        <w:t>Australia</w:t>
      </w:r>
      <w:r w:rsidRPr="00F81026">
        <w:rPr>
          <w:rFonts w:ascii="Calibri" w:hAnsi="Calibri" w:cs="Calibri"/>
        </w:rPr>
        <w:t>.</w:t>
      </w:r>
    </w:p>
    <w:p w14:paraId="198C35F4" w14:textId="77777777" w:rsidR="00F81026" w:rsidRPr="00F81026" w:rsidRDefault="00F81026" w:rsidP="00F81026">
      <w:pPr>
        <w:pStyle w:val="Bibliography"/>
        <w:rPr>
          <w:rFonts w:ascii="Calibri" w:hAnsi="Calibri" w:cs="Calibri"/>
        </w:rPr>
      </w:pPr>
      <w:r w:rsidRPr="00F81026">
        <w:rPr>
          <w:rFonts w:ascii="Calibri" w:hAnsi="Calibri" w:cs="Calibri"/>
        </w:rPr>
        <w:t xml:space="preserve">Lu, L. </w:t>
      </w:r>
      <w:r w:rsidRPr="00F81026">
        <w:rPr>
          <w:rFonts w:ascii="Calibri" w:hAnsi="Calibri" w:cs="Calibri"/>
          <w:i/>
          <w:iCs/>
        </w:rPr>
        <w:t>et al.</w:t>
      </w:r>
      <w:r w:rsidRPr="00F81026">
        <w:rPr>
          <w:rFonts w:ascii="Calibri" w:hAnsi="Calibri" w:cs="Calibri"/>
        </w:rPr>
        <w:t xml:space="preserve"> (2013) ‘Substitution of Charcoal for Coke Breeze in Iron Ore Sintering’, </w:t>
      </w:r>
      <w:r w:rsidRPr="00F81026">
        <w:rPr>
          <w:rFonts w:ascii="Calibri" w:hAnsi="Calibri" w:cs="Calibri"/>
          <w:i/>
          <w:iCs/>
        </w:rPr>
        <w:t>ISIJ International</w:t>
      </w:r>
      <w:r w:rsidRPr="00F81026">
        <w:rPr>
          <w:rFonts w:ascii="Calibri" w:hAnsi="Calibri" w:cs="Calibri"/>
        </w:rPr>
        <w:t>, 53(9), pp. 1607–1616. Available at: https://doi.org/10.2355/isijinternational.53.1607.</w:t>
      </w:r>
    </w:p>
    <w:p w14:paraId="32FE899D" w14:textId="77777777" w:rsidR="00F81026" w:rsidRPr="00F81026" w:rsidRDefault="00F81026" w:rsidP="00F81026">
      <w:pPr>
        <w:pStyle w:val="Bibliography"/>
        <w:rPr>
          <w:rFonts w:ascii="Calibri" w:hAnsi="Calibri" w:cs="Calibri"/>
        </w:rPr>
      </w:pPr>
      <w:r w:rsidRPr="00F81026">
        <w:rPr>
          <w:rFonts w:ascii="Calibri" w:hAnsi="Calibri" w:cs="Calibri"/>
        </w:rPr>
        <w:t xml:space="preserve">MacPhee, J.A. </w:t>
      </w:r>
      <w:r w:rsidRPr="00F81026">
        <w:rPr>
          <w:rFonts w:ascii="Calibri" w:hAnsi="Calibri" w:cs="Calibri"/>
          <w:i/>
          <w:iCs/>
        </w:rPr>
        <w:t>et al.</w:t>
      </w:r>
      <w:r w:rsidRPr="00F81026">
        <w:rPr>
          <w:rFonts w:ascii="Calibri" w:hAnsi="Calibri" w:cs="Calibri"/>
        </w:rPr>
        <w:t xml:space="preserve"> (2009) ‘Possible CO2 mitigation via addition of charcoal to coking coal blends’, </w:t>
      </w:r>
      <w:r w:rsidRPr="00F81026">
        <w:rPr>
          <w:rFonts w:ascii="Calibri" w:hAnsi="Calibri" w:cs="Calibri"/>
          <w:i/>
          <w:iCs/>
        </w:rPr>
        <w:t>Fuel Processing Technology</w:t>
      </w:r>
      <w:r w:rsidRPr="00F81026">
        <w:rPr>
          <w:rFonts w:ascii="Calibri" w:hAnsi="Calibri" w:cs="Calibri"/>
        </w:rPr>
        <w:t>, 90(1), pp. 16–20. Available at: https://doi.org/10.1016/j.fuproc.2008.07.007.</w:t>
      </w:r>
    </w:p>
    <w:p w14:paraId="69F219CF"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Mandova</w:t>
      </w:r>
      <w:proofErr w:type="spellEnd"/>
      <w:r w:rsidRPr="00F81026">
        <w:rPr>
          <w:rFonts w:ascii="Calibri" w:hAnsi="Calibri" w:cs="Calibri"/>
        </w:rPr>
        <w:t xml:space="preserve">, H. </w:t>
      </w:r>
      <w:r w:rsidRPr="00F81026">
        <w:rPr>
          <w:rFonts w:ascii="Calibri" w:hAnsi="Calibri" w:cs="Calibri"/>
          <w:i/>
          <w:iCs/>
        </w:rPr>
        <w:t>et al.</w:t>
      </w:r>
      <w:r w:rsidRPr="00F81026">
        <w:rPr>
          <w:rFonts w:ascii="Calibri" w:hAnsi="Calibri" w:cs="Calibri"/>
        </w:rPr>
        <w:t xml:space="preserve"> (2018) ‘Possibilities for CO2 emission reduction using biomass in European integrated steel plants’, </w:t>
      </w:r>
      <w:r w:rsidRPr="00F81026">
        <w:rPr>
          <w:rFonts w:ascii="Calibri" w:hAnsi="Calibri" w:cs="Calibri"/>
          <w:i/>
          <w:iCs/>
        </w:rPr>
        <w:t>Biomass and Bioenergy</w:t>
      </w:r>
      <w:r w:rsidRPr="00F81026">
        <w:rPr>
          <w:rFonts w:ascii="Calibri" w:hAnsi="Calibri" w:cs="Calibri"/>
        </w:rPr>
        <w:t>, 115, pp. 231–243. Available at: https://doi.org/10.1016/j.biombioe.2018.04.021.</w:t>
      </w:r>
    </w:p>
    <w:p w14:paraId="07D508DF"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Mašek</w:t>
      </w:r>
      <w:proofErr w:type="spellEnd"/>
      <w:r w:rsidRPr="00F81026">
        <w:rPr>
          <w:rFonts w:ascii="Calibri" w:hAnsi="Calibri" w:cs="Calibri"/>
        </w:rPr>
        <w:t xml:space="preserve">, O. </w:t>
      </w:r>
      <w:r w:rsidRPr="00F81026">
        <w:rPr>
          <w:rFonts w:ascii="Calibri" w:hAnsi="Calibri" w:cs="Calibri"/>
          <w:i/>
          <w:iCs/>
        </w:rPr>
        <w:t>et al.</w:t>
      </w:r>
      <w:r w:rsidRPr="00F81026">
        <w:rPr>
          <w:rFonts w:ascii="Calibri" w:hAnsi="Calibri" w:cs="Calibri"/>
        </w:rPr>
        <w:t xml:space="preserve"> (2018) ‘Consistency of biochar properties over time and production scales: A characterisation of standard materials’, </w:t>
      </w:r>
      <w:r w:rsidRPr="00F81026">
        <w:rPr>
          <w:rFonts w:ascii="Calibri" w:hAnsi="Calibri" w:cs="Calibri"/>
          <w:i/>
          <w:iCs/>
        </w:rPr>
        <w:t>Journal of Analytical and Applied Pyrolysis</w:t>
      </w:r>
      <w:r w:rsidRPr="00F81026">
        <w:rPr>
          <w:rFonts w:ascii="Calibri" w:hAnsi="Calibri" w:cs="Calibri"/>
        </w:rPr>
        <w:t>, 132, pp. 200–210. Available at: https://doi.org/10.1016/j.jaap.2018.02.020.</w:t>
      </w:r>
    </w:p>
    <w:p w14:paraId="12C2115B" w14:textId="77777777" w:rsidR="00F81026" w:rsidRPr="00F81026" w:rsidRDefault="00F81026" w:rsidP="00F81026">
      <w:pPr>
        <w:pStyle w:val="Bibliography"/>
        <w:rPr>
          <w:rFonts w:ascii="Calibri" w:hAnsi="Calibri" w:cs="Calibri"/>
        </w:rPr>
      </w:pPr>
      <w:r w:rsidRPr="00F81026">
        <w:rPr>
          <w:rFonts w:ascii="Calibri" w:hAnsi="Calibri" w:cs="Calibri"/>
        </w:rPr>
        <w:t xml:space="preserve">Mathieson, J. </w:t>
      </w:r>
      <w:r w:rsidRPr="00F81026">
        <w:rPr>
          <w:rFonts w:ascii="Calibri" w:hAnsi="Calibri" w:cs="Calibri"/>
          <w:i/>
          <w:iCs/>
        </w:rPr>
        <w:t>et al.</w:t>
      </w:r>
      <w:r w:rsidRPr="00F81026">
        <w:rPr>
          <w:rFonts w:ascii="Calibri" w:hAnsi="Calibri" w:cs="Calibri"/>
        </w:rPr>
        <w:t xml:space="preserve"> (2011) ‘Use of biomass in the iron and steel industry - An Australian perspective’, in </w:t>
      </w:r>
      <w:r w:rsidRPr="00F81026">
        <w:rPr>
          <w:rFonts w:ascii="Calibri" w:hAnsi="Calibri" w:cs="Calibri"/>
          <w:i/>
          <w:iCs/>
        </w:rPr>
        <w:t>Alternative fuels in iron- and steelmaking</w:t>
      </w:r>
      <w:r w:rsidRPr="00F81026">
        <w:rPr>
          <w:rFonts w:ascii="Calibri" w:hAnsi="Calibri" w:cs="Calibri"/>
        </w:rPr>
        <w:t xml:space="preserve">. </w:t>
      </w:r>
      <w:proofErr w:type="spellStart"/>
      <w:r w:rsidRPr="00F81026">
        <w:rPr>
          <w:rFonts w:ascii="Calibri" w:hAnsi="Calibri" w:cs="Calibri"/>
          <w:i/>
          <w:iCs/>
        </w:rPr>
        <w:t>Metec</w:t>
      </w:r>
      <w:proofErr w:type="spellEnd"/>
      <w:r w:rsidRPr="00F81026">
        <w:rPr>
          <w:rFonts w:ascii="Calibri" w:hAnsi="Calibri" w:cs="Calibri"/>
          <w:i/>
          <w:iCs/>
        </w:rPr>
        <w:t xml:space="preserve"> </w:t>
      </w:r>
      <w:proofErr w:type="spellStart"/>
      <w:r w:rsidRPr="00F81026">
        <w:rPr>
          <w:rFonts w:ascii="Calibri" w:hAnsi="Calibri" w:cs="Calibri"/>
          <w:i/>
          <w:iCs/>
        </w:rPr>
        <w:t>insteel</w:t>
      </w:r>
      <w:proofErr w:type="spellEnd"/>
      <w:r w:rsidRPr="00F81026">
        <w:rPr>
          <w:rFonts w:ascii="Calibri" w:hAnsi="Calibri" w:cs="Calibri"/>
          <w:i/>
          <w:iCs/>
        </w:rPr>
        <w:t xml:space="preserve"> conference</w:t>
      </w:r>
      <w:r w:rsidRPr="00F81026">
        <w:rPr>
          <w:rFonts w:ascii="Calibri" w:hAnsi="Calibri" w:cs="Calibri"/>
        </w:rPr>
        <w:t>, Düsseldorf Germany. Available at: https://www.researchgate.net/publication/281640741 (Accessed: 27 October 2022).</w:t>
      </w:r>
    </w:p>
    <w:p w14:paraId="3A208855" w14:textId="77777777" w:rsidR="00F81026" w:rsidRPr="00F81026" w:rsidRDefault="00F81026" w:rsidP="00F81026">
      <w:pPr>
        <w:pStyle w:val="Bibliography"/>
        <w:rPr>
          <w:rFonts w:ascii="Calibri" w:hAnsi="Calibri" w:cs="Calibri"/>
        </w:rPr>
      </w:pPr>
      <w:r w:rsidRPr="00F81026">
        <w:rPr>
          <w:rFonts w:ascii="Calibri" w:hAnsi="Calibri" w:cs="Calibri"/>
        </w:rPr>
        <w:t xml:space="preserve">Matsumura, T. </w:t>
      </w:r>
      <w:r w:rsidRPr="00F81026">
        <w:rPr>
          <w:rFonts w:ascii="Calibri" w:hAnsi="Calibri" w:cs="Calibri"/>
          <w:i/>
          <w:iCs/>
        </w:rPr>
        <w:t>et al.</w:t>
      </w:r>
      <w:r w:rsidRPr="00F81026">
        <w:rPr>
          <w:rFonts w:ascii="Calibri" w:hAnsi="Calibri" w:cs="Calibri"/>
        </w:rPr>
        <w:t xml:space="preserve"> (2008) ‘Carbonization Behaviour of Woody Biomass and Resulting Metallurgical Coke Properties’, </w:t>
      </w:r>
      <w:r w:rsidRPr="00F81026">
        <w:rPr>
          <w:rFonts w:ascii="Calibri" w:hAnsi="Calibri" w:cs="Calibri"/>
          <w:i/>
          <w:iCs/>
        </w:rPr>
        <w:t>ISIJ International</w:t>
      </w:r>
      <w:r w:rsidRPr="00F81026">
        <w:rPr>
          <w:rFonts w:ascii="Calibri" w:hAnsi="Calibri" w:cs="Calibri"/>
        </w:rPr>
        <w:t>, 48(5), pp. 572–577. Available at: https://doi.org/10.2355/isijinternational.48.572.</w:t>
      </w:r>
    </w:p>
    <w:p w14:paraId="0D1AE82B"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Montiano</w:t>
      </w:r>
      <w:proofErr w:type="spellEnd"/>
      <w:r w:rsidRPr="00F81026">
        <w:rPr>
          <w:rFonts w:ascii="Calibri" w:hAnsi="Calibri" w:cs="Calibri"/>
        </w:rPr>
        <w:t xml:space="preserve">, M.G. </w:t>
      </w:r>
      <w:r w:rsidRPr="00F81026">
        <w:rPr>
          <w:rFonts w:ascii="Calibri" w:hAnsi="Calibri" w:cs="Calibri"/>
          <w:i/>
          <w:iCs/>
        </w:rPr>
        <w:t>et al.</w:t>
      </w:r>
      <w:r w:rsidRPr="00F81026">
        <w:rPr>
          <w:rFonts w:ascii="Calibri" w:hAnsi="Calibri" w:cs="Calibri"/>
        </w:rPr>
        <w:t xml:space="preserve"> (2014) ‘Influence of biomass on metallurgical coke quality’, </w:t>
      </w:r>
      <w:r w:rsidRPr="00F81026">
        <w:rPr>
          <w:rFonts w:ascii="Calibri" w:hAnsi="Calibri" w:cs="Calibri"/>
          <w:i/>
          <w:iCs/>
        </w:rPr>
        <w:t>Fuel</w:t>
      </w:r>
      <w:r w:rsidRPr="00F81026">
        <w:rPr>
          <w:rFonts w:ascii="Calibri" w:hAnsi="Calibri" w:cs="Calibri"/>
        </w:rPr>
        <w:t>, 116, pp. 175–182. Available at: https://doi.org/10.1016/j.fuel.2013.07.070.</w:t>
      </w:r>
    </w:p>
    <w:p w14:paraId="5C497171"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lastRenderedPageBreak/>
        <w:t>Montiano</w:t>
      </w:r>
      <w:proofErr w:type="spellEnd"/>
      <w:r w:rsidRPr="00F81026">
        <w:rPr>
          <w:rFonts w:ascii="Calibri" w:hAnsi="Calibri" w:cs="Calibri"/>
        </w:rPr>
        <w:t>, M.G., Díaz-</w:t>
      </w:r>
      <w:proofErr w:type="spellStart"/>
      <w:r w:rsidRPr="00F81026">
        <w:rPr>
          <w:rFonts w:ascii="Calibri" w:hAnsi="Calibri" w:cs="Calibri"/>
        </w:rPr>
        <w:t>Faes</w:t>
      </w:r>
      <w:proofErr w:type="spellEnd"/>
      <w:r w:rsidRPr="00F81026">
        <w:rPr>
          <w:rFonts w:ascii="Calibri" w:hAnsi="Calibri" w:cs="Calibri"/>
        </w:rPr>
        <w:t xml:space="preserve">, E. and </w:t>
      </w:r>
      <w:proofErr w:type="spellStart"/>
      <w:r w:rsidRPr="00F81026">
        <w:rPr>
          <w:rFonts w:ascii="Calibri" w:hAnsi="Calibri" w:cs="Calibri"/>
        </w:rPr>
        <w:t>Barriocanal</w:t>
      </w:r>
      <w:proofErr w:type="spellEnd"/>
      <w:r w:rsidRPr="00F81026">
        <w:rPr>
          <w:rFonts w:ascii="Calibri" w:hAnsi="Calibri" w:cs="Calibri"/>
        </w:rPr>
        <w:t xml:space="preserve">, C. (2014) ‘Partial briquetting vs direct addition of biomass in coking blends’, </w:t>
      </w:r>
      <w:r w:rsidRPr="00F81026">
        <w:rPr>
          <w:rFonts w:ascii="Calibri" w:hAnsi="Calibri" w:cs="Calibri"/>
          <w:i/>
          <w:iCs/>
        </w:rPr>
        <w:t>Fuel</w:t>
      </w:r>
      <w:r w:rsidRPr="00F81026">
        <w:rPr>
          <w:rFonts w:ascii="Calibri" w:hAnsi="Calibri" w:cs="Calibri"/>
        </w:rPr>
        <w:t>, 137, pp. 313–320. Available at: https://doi.org/10.1016/j.fuel.2014.08.012.</w:t>
      </w:r>
    </w:p>
    <w:p w14:paraId="0891E242" w14:textId="77777777" w:rsidR="00F81026" w:rsidRPr="00F81026" w:rsidRDefault="00F81026" w:rsidP="00F81026">
      <w:pPr>
        <w:pStyle w:val="Bibliography"/>
        <w:rPr>
          <w:rFonts w:ascii="Calibri" w:hAnsi="Calibri" w:cs="Calibri"/>
        </w:rPr>
      </w:pPr>
      <w:r w:rsidRPr="00F81026">
        <w:rPr>
          <w:rFonts w:ascii="Calibri" w:hAnsi="Calibri" w:cs="Calibri"/>
        </w:rPr>
        <w:t xml:space="preserve">Mousa, E. </w:t>
      </w:r>
      <w:r w:rsidRPr="00F81026">
        <w:rPr>
          <w:rFonts w:ascii="Calibri" w:hAnsi="Calibri" w:cs="Calibri"/>
          <w:i/>
          <w:iCs/>
        </w:rPr>
        <w:t>et al.</w:t>
      </w:r>
      <w:r w:rsidRPr="00F81026">
        <w:rPr>
          <w:rFonts w:ascii="Calibri" w:hAnsi="Calibri" w:cs="Calibri"/>
        </w:rPr>
        <w:t xml:space="preserve"> (2016) ‘Biomass applications in iron and steel industry: An overview of challenges and opportunities’, </w:t>
      </w:r>
      <w:r w:rsidRPr="00F81026">
        <w:rPr>
          <w:rFonts w:ascii="Calibri" w:hAnsi="Calibri" w:cs="Calibri"/>
          <w:i/>
          <w:iCs/>
        </w:rPr>
        <w:t>Renewable and Sustainable Energy Reviews</w:t>
      </w:r>
      <w:r w:rsidRPr="00F81026">
        <w:rPr>
          <w:rFonts w:ascii="Calibri" w:hAnsi="Calibri" w:cs="Calibri"/>
        </w:rPr>
        <w:t>, 65, pp. 1247–1266. Available at: https://doi.org/10.1016/j.rser.2016.07.061.</w:t>
      </w:r>
    </w:p>
    <w:p w14:paraId="5FA1A829" w14:textId="77777777" w:rsidR="00F81026" w:rsidRPr="00F81026" w:rsidRDefault="00F81026" w:rsidP="00F81026">
      <w:pPr>
        <w:pStyle w:val="Bibliography"/>
        <w:rPr>
          <w:rFonts w:ascii="Calibri" w:hAnsi="Calibri" w:cs="Calibri"/>
        </w:rPr>
      </w:pPr>
      <w:r w:rsidRPr="00F81026">
        <w:rPr>
          <w:rFonts w:ascii="Calibri" w:hAnsi="Calibri" w:cs="Calibri"/>
        </w:rPr>
        <w:t xml:space="preserve">Mousa, E., </w:t>
      </w:r>
      <w:proofErr w:type="spellStart"/>
      <w:r w:rsidRPr="00F81026">
        <w:rPr>
          <w:rFonts w:ascii="Calibri" w:hAnsi="Calibri" w:cs="Calibri"/>
        </w:rPr>
        <w:t>Babich</w:t>
      </w:r>
      <w:proofErr w:type="spellEnd"/>
      <w:r w:rsidRPr="00F81026">
        <w:rPr>
          <w:rFonts w:ascii="Calibri" w:hAnsi="Calibri" w:cs="Calibri"/>
        </w:rPr>
        <w:t xml:space="preserve">, A. and </w:t>
      </w:r>
      <w:proofErr w:type="spellStart"/>
      <w:r w:rsidRPr="00F81026">
        <w:rPr>
          <w:rFonts w:ascii="Calibri" w:hAnsi="Calibri" w:cs="Calibri"/>
        </w:rPr>
        <w:t>Senk</w:t>
      </w:r>
      <w:proofErr w:type="spellEnd"/>
      <w:r w:rsidRPr="00F81026">
        <w:rPr>
          <w:rFonts w:ascii="Calibri" w:hAnsi="Calibri" w:cs="Calibri"/>
        </w:rPr>
        <w:t xml:space="preserve">, D. (2015) ‘Iron Ore Sintering Process with Biomass Utilization’, in. </w:t>
      </w:r>
      <w:proofErr w:type="spellStart"/>
      <w:r w:rsidRPr="00F81026">
        <w:rPr>
          <w:rFonts w:ascii="Calibri" w:hAnsi="Calibri" w:cs="Calibri"/>
          <w:i/>
          <w:iCs/>
        </w:rPr>
        <w:t>Metec</w:t>
      </w:r>
      <w:proofErr w:type="spellEnd"/>
      <w:r w:rsidRPr="00F81026">
        <w:rPr>
          <w:rFonts w:ascii="Calibri" w:hAnsi="Calibri" w:cs="Calibri"/>
          <w:i/>
          <w:iCs/>
        </w:rPr>
        <w:t xml:space="preserve"> &amp; 2nd </w:t>
      </w:r>
      <w:proofErr w:type="spellStart"/>
      <w:r w:rsidRPr="00F81026">
        <w:rPr>
          <w:rFonts w:ascii="Calibri" w:hAnsi="Calibri" w:cs="Calibri"/>
          <w:i/>
          <w:iCs/>
        </w:rPr>
        <w:t>Estad</w:t>
      </w:r>
      <w:proofErr w:type="spellEnd"/>
      <w:r w:rsidRPr="00F81026">
        <w:rPr>
          <w:rFonts w:ascii="Calibri" w:hAnsi="Calibri" w:cs="Calibri"/>
        </w:rPr>
        <w:t>, Düsseldorf Germany: Institute of Ferrous Metallurgy.</w:t>
      </w:r>
    </w:p>
    <w:p w14:paraId="57BD10D9" w14:textId="77777777" w:rsidR="00F81026" w:rsidRPr="00F81026" w:rsidRDefault="00F81026" w:rsidP="00F81026">
      <w:pPr>
        <w:pStyle w:val="Bibliography"/>
        <w:rPr>
          <w:rFonts w:ascii="Calibri" w:hAnsi="Calibri" w:cs="Calibri"/>
        </w:rPr>
      </w:pPr>
      <w:r w:rsidRPr="00F81026">
        <w:rPr>
          <w:rFonts w:ascii="Calibri" w:hAnsi="Calibri" w:cs="Calibri"/>
        </w:rPr>
        <w:t xml:space="preserve">Mousa, E. and </w:t>
      </w:r>
      <w:proofErr w:type="spellStart"/>
      <w:r w:rsidRPr="00F81026">
        <w:rPr>
          <w:rFonts w:ascii="Calibri" w:hAnsi="Calibri" w:cs="Calibri"/>
        </w:rPr>
        <w:t>Sjöblom</w:t>
      </w:r>
      <w:proofErr w:type="spellEnd"/>
      <w:r w:rsidRPr="00F81026">
        <w:rPr>
          <w:rFonts w:ascii="Calibri" w:hAnsi="Calibri" w:cs="Calibri"/>
        </w:rPr>
        <w:t>, K. (2022) ‘</w:t>
      </w:r>
      <w:proofErr w:type="spellStart"/>
      <w:r w:rsidRPr="00F81026">
        <w:rPr>
          <w:rFonts w:ascii="Calibri" w:hAnsi="Calibri" w:cs="Calibri"/>
        </w:rPr>
        <w:t>Modeling</w:t>
      </w:r>
      <w:proofErr w:type="spellEnd"/>
      <w:r w:rsidRPr="00F81026">
        <w:rPr>
          <w:rFonts w:ascii="Calibri" w:hAnsi="Calibri" w:cs="Calibri"/>
        </w:rPr>
        <w:t xml:space="preserve"> and Optimization of Biochar Injection into Blast Furnace to Mitigate the Fossil CO2 Emission’, </w:t>
      </w:r>
      <w:r w:rsidRPr="00F81026">
        <w:rPr>
          <w:rFonts w:ascii="Calibri" w:hAnsi="Calibri" w:cs="Calibri"/>
          <w:i/>
          <w:iCs/>
        </w:rPr>
        <w:t>Sustainability</w:t>
      </w:r>
      <w:r w:rsidRPr="00F81026">
        <w:rPr>
          <w:rFonts w:ascii="Calibri" w:hAnsi="Calibri" w:cs="Calibri"/>
        </w:rPr>
        <w:t>, 14(4), p. 2393. Available at: https://doi.org/10.3390/su14042393.</w:t>
      </w:r>
    </w:p>
    <w:p w14:paraId="0B3C3A83" w14:textId="77777777" w:rsidR="00F81026" w:rsidRPr="00F81026" w:rsidRDefault="00F81026" w:rsidP="00F81026">
      <w:pPr>
        <w:pStyle w:val="Bibliography"/>
        <w:rPr>
          <w:rFonts w:ascii="Calibri" w:hAnsi="Calibri" w:cs="Calibri"/>
        </w:rPr>
      </w:pPr>
      <w:r w:rsidRPr="00F81026">
        <w:rPr>
          <w:rFonts w:ascii="Calibri" w:hAnsi="Calibri" w:cs="Calibri"/>
        </w:rPr>
        <w:t xml:space="preserve">Ng, K.W. </w:t>
      </w:r>
      <w:r w:rsidRPr="00F81026">
        <w:rPr>
          <w:rFonts w:ascii="Calibri" w:hAnsi="Calibri" w:cs="Calibri"/>
          <w:i/>
          <w:iCs/>
        </w:rPr>
        <w:t>et al.</w:t>
      </w:r>
      <w:r w:rsidRPr="00F81026">
        <w:rPr>
          <w:rFonts w:ascii="Calibri" w:hAnsi="Calibri" w:cs="Calibri"/>
        </w:rPr>
        <w:t xml:space="preserve"> (2011) ‘Reactivity of bio-coke with CO2’, </w:t>
      </w:r>
      <w:r w:rsidRPr="00F81026">
        <w:rPr>
          <w:rFonts w:ascii="Calibri" w:hAnsi="Calibri" w:cs="Calibri"/>
          <w:i/>
          <w:iCs/>
        </w:rPr>
        <w:t>Fuel Processing Technology</w:t>
      </w:r>
      <w:r w:rsidRPr="00F81026">
        <w:rPr>
          <w:rFonts w:ascii="Calibri" w:hAnsi="Calibri" w:cs="Calibri"/>
        </w:rPr>
        <w:t>, 92(4), pp. 801–804. Available at: https://doi.org/10.1016/j.fuproc.2010.08.005.</w:t>
      </w:r>
    </w:p>
    <w:p w14:paraId="209D79BA" w14:textId="77777777" w:rsidR="00F81026" w:rsidRPr="00F81026" w:rsidRDefault="00F81026" w:rsidP="00F81026">
      <w:pPr>
        <w:pStyle w:val="Bibliography"/>
        <w:rPr>
          <w:rFonts w:ascii="Calibri" w:hAnsi="Calibri" w:cs="Calibri"/>
        </w:rPr>
      </w:pPr>
      <w:r w:rsidRPr="00F81026">
        <w:rPr>
          <w:rFonts w:ascii="Calibri" w:hAnsi="Calibri" w:cs="Calibri"/>
        </w:rPr>
        <w:t xml:space="preserve">Ng, K.W., Giroux, L. and </w:t>
      </w:r>
      <w:proofErr w:type="spellStart"/>
      <w:r w:rsidRPr="00F81026">
        <w:rPr>
          <w:rFonts w:ascii="Calibri" w:hAnsi="Calibri" w:cs="Calibri"/>
        </w:rPr>
        <w:t>Todoschuk</w:t>
      </w:r>
      <w:proofErr w:type="spellEnd"/>
      <w:r w:rsidRPr="00F81026">
        <w:rPr>
          <w:rFonts w:ascii="Calibri" w:hAnsi="Calibri" w:cs="Calibri"/>
        </w:rPr>
        <w:t xml:space="preserve">, T. (2018) ‘Full article: Value-in-use of biocarbon fuel for direct injection in blast furnace ironmaking’, </w:t>
      </w:r>
      <w:r w:rsidRPr="00F81026">
        <w:rPr>
          <w:rFonts w:ascii="Calibri" w:hAnsi="Calibri" w:cs="Calibri"/>
          <w:i/>
          <w:iCs/>
        </w:rPr>
        <w:t>Ironmaking &amp; Steelmaking - Processes, Products and Applications</w:t>
      </w:r>
      <w:r w:rsidRPr="00F81026">
        <w:rPr>
          <w:rFonts w:ascii="Calibri" w:hAnsi="Calibri" w:cs="Calibri"/>
        </w:rPr>
        <w:t>, 45(5), pp. 406–411. Available at: https://www-tandfonline-com.ezproxy.uwtsd.ac.uk/doi/full/10.1080/03019233.2018.1457837 (Accessed: 28 June 2022).</w:t>
      </w:r>
    </w:p>
    <w:p w14:paraId="545388A5" w14:textId="684E1DED" w:rsidR="00F81026" w:rsidRPr="00F81026" w:rsidRDefault="00F81026" w:rsidP="00F81026">
      <w:pPr>
        <w:pStyle w:val="Bibliography"/>
        <w:rPr>
          <w:rFonts w:ascii="Calibri" w:hAnsi="Calibri" w:cs="Calibri"/>
        </w:rPr>
      </w:pPr>
      <w:proofErr w:type="spellStart"/>
      <w:r w:rsidRPr="00F81026">
        <w:rPr>
          <w:rFonts w:ascii="Calibri" w:hAnsi="Calibri" w:cs="Calibri"/>
        </w:rPr>
        <w:t>Nhuchhen</w:t>
      </w:r>
      <w:proofErr w:type="spellEnd"/>
      <w:r w:rsidRPr="00F81026">
        <w:rPr>
          <w:rFonts w:ascii="Calibri" w:hAnsi="Calibri" w:cs="Calibri"/>
        </w:rPr>
        <w:t xml:space="preserve">, D.R., </w:t>
      </w:r>
      <w:proofErr w:type="spellStart"/>
      <w:r w:rsidRPr="00F81026">
        <w:rPr>
          <w:rFonts w:ascii="Calibri" w:hAnsi="Calibri" w:cs="Calibri"/>
        </w:rPr>
        <w:t>Basu</w:t>
      </w:r>
      <w:proofErr w:type="spellEnd"/>
      <w:r w:rsidRPr="00F81026">
        <w:rPr>
          <w:rFonts w:ascii="Calibri" w:hAnsi="Calibri" w:cs="Calibri"/>
        </w:rPr>
        <w:t xml:space="preserve">, P. and Acharya, B. (2014) ‘A Comprehensive Review on </w:t>
      </w:r>
      <w:r w:rsidR="007321EF" w:rsidRPr="00F81026">
        <w:rPr>
          <w:rFonts w:ascii="Calibri" w:hAnsi="Calibri" w:cs="Calibri"/>
        </w:rPr>
        <w:t>Biomass Torrefaction</w:t>
      </w:r>
      <w:r w:rsidRPr="00F81026">
        <w:rPr>
          <w:rFonts w:ascii="Calibri" w:hAnsi="Calibri" w:cs="Calibri"/>
        </w:rPr>
        <w:t xml:space="preserve">’, </w:t>
      </w:r>
      <w:r w:rsidRPr="00F81026">
        <w:rPr>
          <w:rFonts w:ascii="Calibri" w:hAnsi="Calibri" w:cs="Calibri"/>
          <w:i/>
          <w:iCs/>
        </w:rPr>
        <w:t>International Journal of Renewable Energy &amp; Biofuels</w:t>
      </w:r>
      <w:r w:rsidRPr="00F81026">
        <w:rPr>
          <w:rFonts w:ascii="Calibri" w:hAnsi="Calibri" w:cs="Calibri"/>
        </w:rPr>
        <w:t>, 2014, p. 56. Available at: https://doi.org/10.5171/2014.506376.</w:t>
      </w:r>
    </w:p>
    <w:p w14:paraId="23AE0500" w14:textId="77777777" w:rsidR="00F81026" w:rsidRPr="00F81026" w:rsidRDefault="00F81026" w:rsidP="00F81026">
      <w:pPr>
        <w:pStyle w:val="Bibliography"/>
        <w:rPr>
          <w:rFonts w:ascii="Calibri" w:hAnsi="Calibri" w:cs="Calibri"/>
        </w:rPr>
      </w:pPr>
      <w:r w:rsidRPr="00F81026">
        <w:rPr>
          <w:rFonts w:ascii="Calibri" w:hAnsi="Calibri" w:cs="Calibri"/>
        </w:rPr>
        <w:t xml:space="preserve">Ning, X. </w:t>
      </w:r>
      <w:r w:rsidRPr="00F81026">
        <w:rPr>
          <w:rFonts w:ascii="Calibri" w:hAnsi="Calibri" w:cs="Calibri"/>
          <w:i/>
          <w:iCs/>
        </w:rPr>
        <w:t>et al.</w:t>
      </w:r>
      <w:r w:rsidRPr="00F81026">
        <w:rPr>
          <w:rFonts w:ascii="Calibri" w:hAnsi="Calibri" w:cs="Calibri"/>
        </w:rPr>
        <w:t xml:space="preserve"> (2022) ‘Effect of pyrolysis temperature on blast furnace injection performance of biochar’, </w:t>
      </w:r>
      <w:r w:rsidRPr="00F81026">
        <w:rPr>
          <w:rFonts w:ascii="Calibri" w:hAnsi="Calibri" w:cs="Calibri"/>
          <w:i/>
          <w:iCs/>
        </w:rPr>
        <w:t>Fuel</w:t>
      </w:r>
      <w:r w:rsidRPr="00F81026">
        <w:rPr>
          <w:rFonts w:ascii="Calibri" w:hAnsi="Calibri" w:cs="Calibri"/>
        </w:rPr>
        <w:t>, 313, p. 122648. Available at: https://doi.org/10.1016/j.fuel.2021.122648.</w:t>
      </w:r>
    </w:p>
    <w:p w14:paraId="6602896B" w14:textId="77777777" w:rsidR="00F81026" w:rsidRPr="00F81026" w:rsidRDefault="00F81026" w:rsidP="00F81026">
      <w:pPr>
        <w:pStyle w:val="Bibliography"/>
        <w:rPr>
          <w:rFonts w:ascii="Calibri" w:hAnsi="Calibri" w:cs="Calibri"/>
        </w:rPr>
      </w:pPr>
      <w:r w:rsidRPr="00F81026">
        <w:rPr>
          <w:rFonts w:ascii="Calibri" w:hAnsi="Calibri" w:cs="Calibri"/>
        </w:rPr>
        <w:t xml:space="preserve">Nomura, S. and Kato, K. (2006) ‘The effect of plastic size on coke quality and coking pressure in the co-carbonization of coal/plastic in coke oven’, </w:t>
      </w:r>
      <w:r w:rsidRPr="00F81026">
        <w:rPr>
          <w:rFonts w:ascii="Calibri" w:hAnsi="Calibri" w:cs="Calibri"/>
          <w:i/>
          <w:iCs/>
        </w:rPr>
        <w:t>Fuel</w:t>
      </w:r>
      <w:r w:rsidRPr="00F81026">
        <w:rPr>
          <w:rFonts w:ascii="Calibri" w:hAnsi="Calibri" w:cs="Calibri"/>
        </w:rPr>
        <w:t>, 85(1), pp. 47–56. Available at: https://doi.org/10.1016/j.fuel.2005.05.019.</w:t>
      </w:r>
    </w:p>
    <w:p w14:paraId="0A5EC576" w14:textId="77777777" w:rsidR="00F81026" w:rsidRPr="00F81026" w:rsidRDefault="00F81026" w:rsidP="00F81026">
      <w:pPr>
        <w:pStyle w:val="Bibliography"/>
        <w:rPr>
          <w:rFonts w:ascii="Calibri" w:hAnsi="Calibri" w:cs="Calibri"/>
        </w:rPr>
      </w:pPr>
      <w:r w:rsidRPr="00F81026">
        <w:rPr>
          <w:rFonts w:ascii="Calibri" w:hAnsi="Calibri" w:cs="Calibri"/>
        </w:rPr>
        <w:t xml:space="preserve">Norgate, T. </w:t>
      </w:r>
      <w:r w:rsidRPr="00F81026">
        <w:rPr>
          <w:rFonts w:ascii="Calibri" w:hAnsi="Calibri" w:cs="Calibri"/>
          <w:i/>
          <w:iCs/>
        </w:rPr>
        <w:t>et al.</w:t>
      </w:r>
      <w:r w:rsidRPr="00F81026">
        <w:rPr>
          <w:rFonts w:ascii="Calibri" w:hAnsi="Calibri" w:cs="Calibri"/>
        </w:rPr>
        <w:t xml:space="preserve"> (2012) ‘Biomass as a Source of Renewable Carbon for Iron and Steelmaking’, </w:t>
      </w:r>
      <w:r w:rsidRPr="00F81026">
        <w:rPr>
          <w:rFonts w:ascii="Calibri" w:hAnsi="Calibri" w:cs="Calibri"/>
          <w:i/>
          <w:iCs/>
        </w:rPr>
        <w:t>ISIJ International</w:t>
      </w:r>
      <w:r w:rsidRPr="00F81026">
        <w:rPr>
          <w:rFonts w:ascii="Calibri" w:hAnsi="Calibri" w:cs="Calibri"/>
        </w:rPr>
        <w:t>, 52(8), pp. 1472–1481. Available at: https://doi.org/10.2355/isijinternational.52.1472.</w:t>
      </w:r>
    </w:p>
    <w:p w14:paraId="70C9EF72" w14:textId="77777777" w:rsidR="00F81026" w:rsidRPr="00F81026" w:rsidRDefault="00F81026" w:rsidP="00F81026">
      <w:pPr>
        <w:pStyle w:val="Bibliography"/>
        <w:rPr>
          <w:rFonts w:ascii="Calibri" w:hAnsi="Calibri" w:cs="Calibri"/>
        </w:rPr>
      </w:pPr>
      <w:r w:rsidRPr="00F81026">
        <w:rPr>
          <w:rFonts w:ascii="Calibri" w:hAnsi="Calibri" w:cs="Calibri"/>
        </w:rPr>
        <w:t xml:space="preserve">Norgate, T. and Langberg, D. (2009) ‘Environmental and Economic Aspects of Charcoal Use in Steelmaking’, </w:t>
      </w:r>
      <w:r w:rsidRPr="00F81026">
        <w:rPr>
          <w:rFonts w:ascii="Calibri" w:hAnsi="Calibri" w:cs="Calibri"/>
          <w:i/>
          <w:iCs/>
        </w:rPr>
        <w:t>ISIJ International</w:t>
      </w:r>
      <w:r w:rsidRPr="00F81026">
        <w:rPr>
          <w:rFonts w:ascii="Calibri" w:hAnsi="Calibri" w:cs="Calibri"/>
        </w:rPr>
        <w:t>, 49(4), pp. 587–595. Available at: https://doi.org/10.2355/isijinternational.49.587.</w:t>
      </w:r>
    </w:p>
    <w:p w14:paraId="0DF3CF5E"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Ooi</w:t>
      </w:r>
      <w:proofErr w:type="spellEnd"/>
      <w:r w:rsidRPr="00F81026">
        <w:rPr>
          <w:rFonts w:ascii="Calibri" w:hAnsi="Calibri" w:cs="Calibri"/>
        </w:rPr>
        <w:t xml:space="preserve">, T.C. </w:t>
      </w:r>
      <w:r w:rsidRPr="00F81026">
        <w:rPr>
          <w:rFonts w:ascii="Calibri" w:hAnsi="Calibri" w:cs="Calibri"/>
          <w:i/>
          <w:iCs/>
        </w:rPr>
        <w:t>et al.</w:t>
      </w:r>
      <w:r w:rsidRPr="00F81026">
        <w:rPr>
          <w:rFonts w:ascii="Calibri" w:hAnsi="Calibri" w:cs="Calibri"/>
        </w:rPr>
        <w:t xml:space="preserve"> (2011) ‘The effect of charcoal combustion on iron-ore sintering performance and emission of persistent organic pollutants’, </w:t>
      </w:r>
      <w:r w:rsidRPr="00F81026">
        <w:rPr>
          <w:rFonts w:ascii="Calibri" w:hAnsi="Calibri" w:cs="Calibri"/>
          <w:i/>
          <w:iCs/>
        </w:rPr>
        <w:t>Combustion and Flame</w:t>
      </w:r>
      <w:r w:rsidRPr="00F81026">
        <w:rPr>
          <w:rFonts w:ascii="Calibri" w:hAnsi="Calibri" w:cs="Calibri"/>
        </w:rPr>
        <w:t>, 158(5), pp. 979–987. Available at: https://doi.org/10.1016/j.combustflame.2011.01.020.</w:t>
      </w:r>
    </w:p>
    <w:p w14:paraId="5D6712CD" w14:textId="61FD0C65" w:rsidR="00F81026" w:rsidRPr="00F81026" w:rsidRDefault="00F81026" w:rsidP="00F81026">
      <w:pPr>
        <w:pStyle w:val="Bibliography"/>
        <w:rPr>
          <w:rFonts w:ascii="Calibri" w:hAnsi="Calibri" w:cs="Calibri"/>
        </w:rPr>
      </w:pPr>
      <w:r w:rsidRPr="00F81026">
        <w:rPr>
          <w:rFonts w:ascii="Calibri" w:hAnsi="Calibri" w:cs="Calibri"/>
        </w:rPr>
        <w:t xml:space="preserve">Osbourne, D. (2013) </w:t>
      </w:r>
      <w:r w:rsidRPr="00F81026">
        <w:rPr>
          <w:rFonts w:ascii="Calibri" w:hAnsi="Calibri" w:cs="Calibri"/>
          <w:i/>
          <w:iCs/>
        </w:rPr>
        <w:t xml:space="preserve">The Coal </w:t>
      </w:r>
      <w:r w:rsidR="007321EF" w:rsidRPr="00F81026">
        <w:rPr>
          <w:rFonts w:ascii="Calibri" w:hAnsi="Calibri" w:cs="Calibri"/>
          <w:i/>
          <w:iCs/>
        </w:rPr>
        <w:t>Handbook: Towards</w:t>
      </w:r>
      <w:r w:rsidRPr="00F81026">
        <w:rPr>
          <w:rFonts w:ascii="Calibri" w:hAnsi="Calibri" w:cs="Calibri"/>
          <w:i/>
          <w:iCs/>
        </w:rPr>
        <w:t xml:space="preserve"> Cleaner Production</w:t>
      </w:r>
      <w:r w:rsidRPr="00F81026">
        <w:rPr>
          <w:rFonts w:ascii="Calibri" w:hAnsi="Calibri" w:cs="Calibri"/>
        </w:rPr>
        <w:t>. Cambridge: Woodhead Publishing Limited.</w:t>
      </w:r>
    </w:p>
    <w:p w14:paraId="56493184" w14:textId="77777777" w:rsidR="00F81026" w:rsidRPr="00F81026" w:rsidRDefault="00F81026" w:rsidP="00F81026">
      <w:pPr>
        <w:pStyle w:val="Bibliography"/>
        <w:rPr>
          <w:rFonts w:ascii="Calibri" w:hAnsi="Calibri" w:cs="Calibri"/>
        </w:rPr>
      </w:pPr>
      <w:r w:rsidRPr="00F81026">
        <w:rPr>
          <w:rFonts w:ascii="Calibri" w:hAnsi="Calibri" w:cs="Calibri"/>
        </w:rPr>
        <w:t xml:space="preserve">Pardo, N. and Moya, J.A. (2013) ‘Prospective scenarios on energy efficiency and CO2 emissions in the European Iron &amp; Steel industry’, </w:t>
      </w:r>
      <w:r w:rsidRPr="00F81026">
        <w:rPr>
          <w:rFonts w:ascii="Calibri" w:hAnsi="Calibri" w:cs="Calibri"/>
          <w:i/>
          <w:iCs/>
        </w:rPr>
        <w:t>Energy</w:t>
      </w:r>
      <w:r w:rsidRPr="00F81026">
        <w:rPr>
          <w:rFonts w:ascii="Calibri" w:hAnsi="Calibri" w:cs="Calibri"/>
        </w:rPr>
        <w:t>, 54, pp. 113–128. Available at: https://doi.org/10.1016/j.energy.2013.03.015.</w:t>
      </w:r>
    </w:p>
    <w:p w14:paraId="50FD7622" w14:textId="77777777" w:rsidR="00F81026" w:rsidRPr="00F81026" w:rsidRDefault="00F81026" w:rsidP="00F81026">
      <w:pPr>
        <w:pStyle w:val="Bibliography"/>
        <w:rPr>
          <w:rFonts w:ascii="Calibri" w:hAnsi="Calibri" w:cs="Calibri"/>
        </w:rPr>
      </w:pPr>
      <w:r w:rsidRPr="00F81026">
        <w:rPr>
          <w:rFonts w:ascii="Calibri" w:hAnsi="Calibri" w:cs="Calibri"/>
        </w:rPr>
        <w:lastRenderedPageBreak/>
        <w:t xml:space="preserve">Particle Technology Labs (2022) </w:t>
      </w:r>
      <w:r w:rsidRPr="00F81026">
        <w:rPr>
          <w:rFonts w:ascii="Calibri" w:hAnsi="Calibri" w:cs="Calibri"/>
          <w:i/>
          <w:iCs/>
        </w:rPr>
        <w:t>Sieve Analysis</w:t>
      </w:r>
      <w:r w:rsidRPr="00F81026">
        <w:rPr>
          <w:rFonts w:ascii="Calibri" w:hAnsi="Calibri" w:cs="Calibri"/>
        </w:rPr>
        <w:t xml:space="preserve">, </w:t>
      </w:r>
      <w:r w:rsidRPr="00F81026">
        <w:rPr>
          <w:rFonts w:ascii="Calibri" w:hAnsi="Calibri" w:cs="Calibri"/>
          <w:i/>
          <w:iCs/>
        </w:rPr>
        <w:t>Particle Technology Labs</w:t>
      </w:r>
      <w:r w:rsidRPr="00F81026">
        <w:rPr>
          <w:rFonts w:ascii="Calibri" w:hAnsi="Calibri" w:cs="Calibri"/>
        </w:rPr>
        <w:t>. Available at: https://www.particletechlabs.com/analytical-testing/particle-size-distribution-analyses/sieve-analysis (Accessed: 25 September 2022).</w:t>
      </w:r>
    </w:p>
    <w:p w14:paraId="26A9E6BF" w14:textId="77777777" w:rsidR="00F81026" w:rsidRPr="00F81026" w:rsidRDefault="00F81026" w:rsidP="00F81026">
      <w:pPr>
        <w:pStyle w:val="Bibliography"/>
        <w:rPr>
          <w:rFonts w:ascii="Calibri" w:hAnsi="Calibri" w:cs="Calibri"/>
        </w:rPr>
      </w:pPr>
      <w:r w:rsidRPr="00F81026">
        <w:rPr>
          <w:rFonts w:ascii="Calibri" w:hAnsi="Calibri" w:cs="Calibri"/>
        </w:rPr>
        <w:t xml:space="preserve">Sarna, S.K. (2013) ‘​​ ​ Metallurgical Coke – </w:t>
      </w:r>
      <w:proofErr w:type="spellStart"/>
      <w:r w:rsidRPr="00F81026">
        <w:rPr>
          <w:rFonts w:ascii="Calibri" w:hAnsi="Calibri" w:cs="Calibri"/>
        </w:rPr>
        <w:t>IspatGuru</w:t>
      </w:r>
      <w:proofErr w:type="spellEnd"/>
      <w:r w:rsidRPr="00F81026">
        <w:rPr>
          <w:rFonts w:ascii="Calibri" w:hAnsi="Calibri" w:cs="Calibri"/>
        </w:rPr>
        <w:t>’. Available at: https://www.ispatguru.com/metallurgical-coke/ (Accessed: 30 December 2022).</w:t>
      </w:r>
    </w:p>
    <w:p w14:paraId="5F05F28B" w14:textId="77777777" w:rsidR="00F81026" w:rsidRPr="00F81026" w:rsidRDefault="00F81026" w:rsidP="00F81026">
      <w:pPr>
        <w:pStyle w:val="Bibliography"/>
        <w:rPr>
          <w:rFonts w:ascii="Calibri" w:hAnsi="Calibri" w:cs="Calibri"/>
        </w:rPr>
      </w:pPr>
      <w:r w:rsidRPr="00F81026">
        <w:rPr>
          <w:rFonts w:ascii="Calibri" w:hAnsi="Calibri" w:cs="Calibri"/>
        </w:rPr>
        <w:t xml:space="preserve">Solar, J. </w:t>
      </w:r>
      <w:r w:rsidRPr="00F81026">
        <w:rPr>
          <w:rFonts w:ascii="Calibri" w:hAnsi="Calibri" w:cs="Calibri"/>
          <w:i/>
          <w:iCs/>
        </w:rPr>
        <w:t>et al.</w:t>
      </w:r>
      <w:r w:rsidRPr="00F81026">
        <w:rPr>
          <w:rFonts w:ascii="Calibri" w:hAnsi="Calibri" w:cs="Calibri"/>
        </w:rPr>
        <w:t xml:space="preserve"> (2021) ‘Impact of the Addition of Pyrolysed Forestry Waste to the Coking Process on the Resulting Green Biocoke’, </w:t>
      </w:r>
      <w:r w:rsidRPr="00F81026">
        <w:rPr>
          <w:rFonts w:ascii="Calibri" w:hAnsi="Calibri" w:cs="Calibri"/>
          <w:i/>
          <w:iCs/>
        </w:rPr>
        <w:t>Metals</w:t>
      </w:r>
      <w:r w:rsidRPr="00F81026">
        <w:rPr>
          <w:rFonts w:ascii="Calibri" w:hAnsi="Calibri" w:cs="Calibri"/>
        </w:rPr>
        <w:t>, 11(4), p. 613. Available at: https://doi.org/10.3390/met11040613.</w:t>
      </w:r>
    </w:p>
    <w:p w14:paraId="0236B171" w14:textId="77777777" w:rsidR="00F81026" w:rsidRPr="00F81026" w:rsidRDefault="00F81026" w:rsidP="00F81026">
      <w:pPr>
        <w:pStyle w:val="Bibliography"/>
        <w:rPr>
          <w:rFonts w:ascii="Calibri" w:hAnsi="Calibri" w:cs="Calibri"/>
        </w:rPr>
      </w:pPr>
      <w:r w:rsidRPr="00F81026">
        <w:rPr>
          <w:rFonts w:ascii="Calibri" w:hAnsi="Calibri" w:cs="Calibri"/>
          <w:i/>
          <w:iCs/>
        </w:rPr>
        <w:t>Solid Biofuels</w:t>
      </w:r>
      <w:r w:rsidRPr="00F81026">
        <w:rPr>
          <w:rFonts w:ascii="Calibri" w:hAnsi="Calibri" w:cs="Calibri"/>
        </w:rPr>
        <w:t xml:space="preserve"> (no date) </w:t>
      </w:r>
      <w:r w:rsidRPr="00F81026">
        <w:rPr>
          <w:rFonts w:ascii="Calibri" w:hAnsi="Calibri" w:cs="Calibri"/>
          <w:i/>
          <w:iCs/>
        </w:rPr>
        <w:t>SOCOTEC UK</w:t>
      </w:r>
      <w:r w:rsidRPr="00F81026">
        <w:rPr>
          <w:rFonts w:ascii="Calibri" w:hAnsi="Calibri" w:cs="Calibri"/>
        </w:rPr>
        <w:t>. Available at: https://www.socotec.co.uk/our-services/energy-supply-generation-and-regulation/solid-biofuels (Accessed: 13 October 2022).</w:t>
      </w:r>
    </w:p>
    <w:p w14:paraId="0741E198" w14:textId="77777777" w:rsidR="00F81026" w:rsidRPr="00F81026" w:rsidRDefault="00F81026" w:rsidP="00F81026">
      <w:pPr>
        <w:pStyle w:val="Bibliography"/>
        <w:rPr>
          <w:rFonts w:ascii="Calibri" w:hAnsi="Calibri" w:cs="Calibri"/>
        </w:rPr>
      </w:pPr>
      <w:r w:rsidRPr="00F81026">
        <w:rPr>
          <w:rFonts w:ascii="Calibri" w:hAnsi="Calibri" w:cs="Calibri"/>
        </w:rPr>
        <w:t xml:space="preserve">de Souza, J.F.T. and Pacca, S.A. (2021) ‘Carbon reduction potential and costs through circular bioeconomy in the Brazilian steel industry’, </w:t>
      </w:r>
      <w:r w:rsidRPr="00F81026">
        <w:rPr>
          <w:rFonts w:ascii="Calibri" w:hAnsi="Calibri" w:cs="Calibri"/>
          <w:i/>
          <w:iCs/>
        </w:rPr>
        <w:t>Resources, Conservation and Recycling</w:t>
      </w:r>
      <w:r w:rsidRPr="00F81026">
        <w:rPr>
          <w:rFonts w:ascii="Calibri" w:hAnsi="Calibri" w:cs="Calibri"/>
        </w:rPr>
        <w:t>, 169, p. 105517. Available at: https://doi.org/10.1016/j.resconrec.2021.105517.</w:t>
      </w:r>
    </w:p>
    <w:p w14:paraId="057837C7" w14:textId="77777777" w:rsidR="00F81026" w:rsidRPr="00F81026" w:rsidRDefault="00F81026" w:rsidP="00F81026">
      <w:pPr>
        <w:pStyle w:val="Bibliography"/>
        <w:rPr>
          <w:rFonts w:ascii="Calibri" w:hAnsi="Calibri" w:cs="Calibri"/>
        </w:rPr>
      </w:pPr>
      <w:r w:rsidRPr="00F81026">
        <w:rPr>
          <w:rFonts w:ascii="Calibri" w:hAnsi="Calibri" w:cs="Calibri"/>
        </w:rPr>
        <w:t xml:space="preserve">Speight, J.G. (2015) </w:t>
      </w:r>
      <w:r w:rsidRPr="00F81026">
        <w:rPr>
          <w:rFonts w:ascii="Calibri" w:hAnsi="Calibri" w:cs="Calibri"/>
          <w:i/>
          <w:iCs/>
        </w:rPr>
        <w:t>Handbook of Coal Analysis</w:t>
      </w:r>
      <w:r w:rsidRPr="00F81026">
        <w:rPr>
          <w:rFonts w:ascii="Calibri" w:hAnsi="Calibri" w:cs="Calibri"/>
        </w:rPr>
        <w:t>. Second. New Jersey: John Wiley &amp; Sons, Inc.</w:t>
      </w:r>
    </w:p>
    <w:p w14:paraId="70007033" w14:textId="77777777" w:rsidR="00F81026" w:rsidRPr="00F81026" w:rsidRDefault="00F81026" w:rsidP="00F81026">
      <w:pPr>
        <w:pStyle w:val="Bibliography"/>
        <w:rPr>
          <w:rFonts w:ascii="Calibri" w:hAnsi="Calibri" w:cs="Calibri"/>
        </w:rPr>
      </w:pPr>
      <w:r w:rsidRPr="00F81026">
        <w:rPr>
          <w:rFonts w:ascii="Calibri" w:hAnsi="Calibri" w:cs="Calibri"/>
        </w:rPr>
        <w:t xml:space="preserve">Steer, J. </w:t>
      </w:r>
      <w:r w:rsidRPr="00F81026">
        <w:rPr>
          <w:rFonts w:ascii="Calibri" w:hAnsi="Calibri" w:cs="Calibri"/>
          <w:i/>
          <w:iCs/>
        </w:rPr>
        <w:t>et al.</w:t>
      </w:r>
      <w:r w:rsidRPr="00F81026">
        <w:rPr>
          <w:rFonts w:ascii="Calibri" w:hAnsi="Calibri" w:cs="Calibri"/>
        </w:rPr>
        <w:t xml:space="preserve"> (2021) ‘A Comparison of Laboratory Coal Testing with the Blast Furnace Process and Coal Injection’, </w:t>
      </w:r>
      <w:r w:rsidRPr="00F81026">
        <w:rPr>
          <w:rFonts w:ascii="Calibri" w:hAnsi="Calibri" w:cs="Calibri"/>
          <w:i/>
          <w:iCs/>
        </w:rPr>
        <w:t>Metals</w:t>
      </w:r>
      <w:r w:rsidRPr="00F81026">
        <w:rPr>
          <w:rFonts w:ascii="Calibri" w:hAnsi="Calibri" w:cs="Calibri"/>
        </w:rPr>
        <w:t>, 11(9), p. 1476. Available at: https://doi.org/10.3390/met11091476.</w:t>
      </w:r>
    </w:p>
    <w:p w14:paraId="5BDD37D6" w14:textId="77777777" w:rsidR="00F81026" w:rsidRPr="00F81026" w:rsidRDefault="00F81026" w:rsidP="00F81026">
      <w:pPr>
        <w:pStyle w:val="Bibliography"/>
        <w:rPr>
          <w:rFonts w:ascii="Calibri" w:hAnsi="Calibri" w:cs="Calibri"/>
        </w:rPr>
      </w:pPr>
      <w:r w:rsidRPr="00F81026">
        <w:rPr>
          <w:rFonts w:ascii="Calibri" w:hAnsi="Calibri" w:cs="Calibri"/>
        </w:rPr>
        <w:t xml:space="preserve">Steer, J.M. </w:t>
      </w:r>
      <w:r w:rsidRPr="00F81026">
        <w:rPr>
          <w:rFonts w:ascii="Calibri" w:hAnsi="Calibri" w:cs="Calibri"/>
          <w:i/>
          <w:iCs/>
        </w:rPr>
        <w:t>et al.</w:t>
      </w:r>
      <w:r w:rsidRPr="00F81026">
        <w:rPr>
          <w:rFonts w:ascii="Calibri" w:hAnsi="Calibri" w:cs="Calibri"/>
        </w:rPr>
        <w:t xml:space="preserve"> (2015) ‘Opportunities to improve the utilisation of granulated coals for blast furnace injection’, </w:t>
      </w:r>
      <w:r w:rsidRPr="00F81026">
        <w:rPr>
          <w:rFonts w:ascii="Calibri" w:hAnsi="Calibri" w:cs="Calibri"/>
          <w:i/>
          <w:iCs/>
        </w:rPr>
        <w:t>Fuel</w:t>
      </w:r>
      <w:r w:rsidRPr="00F81026">
        <w:rPr>
          <w:rFonts w:ascii="Calibri" w:hAnsi="Calibri" w:cs="Calibri"/>
        </w:rPr>
        <w:t>, 151, pp. 40–49. Available at: https://doi.org/10.1016/j.fuel.2014.12.060.</w:t>
      </w:r>
    </w:p>
    <w:p w14:paraId="50B3E17C" w14:textId="77777777" w:rsidR="00F81026" w:rsidRPr="00F81026" w:rsidRDefault="00F81026" w:rsidP="00F81026">
      <w:pPr>
        <w:pStyle w:val="Bibliography"/>
        <w:rPr>
          <w:rFonts w:ascii="Calibri" w:hAnsi="Calibri" w:cs="Calibri"/>
        </w:rPr>
      </w:pPr>
      <w:r w:rsidRPr="00F81026">
        <w:rPr>
          <w:rFonts w:ascii="Calibri" w:hAnsi="Calibri" w:cs="Calibri"/>
        </w:rPr>
        <w:t xml:space="preserve">van der </w:t>
      </w:r>
      <w:proofErr w:type="spellStart"/>
      <w:r w:rsidRPr="00F81026">
        <w:rPr>
          <w:rFonts w:ascii="Calibri" w:hAnsi="Calibri" w:cs="Calibri"/>
        </w:rPr>
        <w:t>Stelt</w:t>
      </w:r>
      <w:proofErr w:type="spellEnd"/>
      <w:r w:rsidRPr="00F81026">
        <w:rPr>
          <w:rFonts w:ascii="Calibri" w:hAnsi="Calibri" w:cs="Calibri"/>
        </w:rPr>
        <w:t xml:space="preserve">, M.J.C. </w:t>
      </w:r>
      <w:r w:rsidRPr="00F81026">
        <w:rPr>
          <w:rFonts w:ascii="Calibri" w:hAnsi="Calibri" w:cs="Calibri"/>
          <w:i/>
          <w:iCs/>
        </w:rPr>
        <w:t>et al.</w:t>
      </w:r>
      <w:r w:rsidRPr="00F81026">
        <w:rPr>
          <w:rFonts w:ascii="Calibri" w:hAnsi="Calibri" w:cs="Calibri"/>
        </w:rPr>
        <w:t xml:space="preserve"> (2011) ‘Biomass upgrading by torrefaction for the production of biofuels: A review’, </w:t>
      </w:r>
      <w:r w:rsidRPr="00F81026">
        <w:rPr>
          <w:rFonts w:ascii="Calibri" w:hAnsi="Calibri" w:cs="Calibri"/>
          <w:i/>
          <w:iCs/>
        </w:rPr>
        <w:t>Biomass and Bioenergy</w:t>
      </w:r>
      <w:r w:rsidRPr="00F81026">
        <w:rPr>
          <w:rFonts w:ascii="Calibri" w:hAnsi="Calibri" w:cs="Calibri"/>
        </w:rPr>
        <w:t>, 35(9), pp. 3748–3762. Available at: https://doi.org/10.1016/j.biombioe.2011.06.023.</w:t>
      </w:r>
    </w:p>
    <w:p w14:paraId="1FDE3C99"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Strezov</w:t>
      </w:r>
      <w:proofErr w:type="spellEnd"/>
      <w:r w:rsidRPr="00F81026">
        <w:rPr>
          <w:rFonts w:ascii="Calibri" w:hAnsi="Calibri" w:cs="Calibri"/>
        </w:rPr>
        <w:t xml:space="preserve">, V. (2006) ‘Iron ore reduction using sawdust: Experimental analysis and kinetic modelling’, </w:t>
      </w:r>
      <w:r w:rsidRPr="00F81026">
        <w:rPr>
          <w:rFonts w:ascii="Calibri" w:hAnsi="Calibri" w:cs="Calibri"/>
          <w:i/>
          <w:iCs/>
        </w:rPr>
        <w:t>Renewable Energy</w:t>
      </w:r>
      <w:r w:rsidRPr="00F81026">
        <w:rPr>
          <w:rFonts w:ascii="Calibri" w:hAnsi="Calibri" w:cs="Calibri"/>
        </w:rPr>
        <w:t>, 31(12), pp. 1892–1905. Available at: https://doi.org/10.1016/j.renene.2005.08.032.</w:t>
      </w:r>
    </w:p>
    <w:p w14:paraId="2BC7784C" w14:textId="3832670A" w:rsidR="00F81026" w:rsidRPr="00F81026" w:rsidRDefault="00F81026" w:rsidP="00F81026">
      <w:pPr>
        <w:pStyle w:val="Bibliography"/>
        <w:rPr>
          <w:rFonts w:ascii="Calibri" w:hAnsi="Calibri" w:cs="Calibri"/>
        </w:rPr>
      </w:pPr>
      <w:proofErr w:type="spellStart"/>
      <w:r w:rsidRPr="00F81026">
        <w:rPr>
          <w:rFonts w:ascii="Calibri" w:hAnsi="Calibri" w:cs="Calibri"/>
        </w:rPr>
        <w:t>Suopajärvi</w:t>
      </w:r>
      <w:proofErr w:type="spellEnd"/>
      <w:r w:rsidRPr="00F81026">
        <w:rPr>
          <w:rFonts w:ascii="Calibri" w:hAnsi="Calibri" w:cs="Calibri"/>
        </w:rPr>
        <w:t>, H. (2014) ‘</w:t>
      </w:r>
      <w:proofErr w:type="spellStart"/>
      <w:r w:rsidRPr="00F81026">
        <w:rPr>
          <w:rFonts w:ascii="Calibri" w:hAnsi="Calibri" w:cs="Calibri"/>
        </w:rPr>
        <w:t>Bioreducer</w:t>
      </w:r>
      <w:proofErr w:type="spellEnd"/>
      <w:r w:rsidRPr="00F81026">
        <w:rPr>
          <w:rFonts w:ascii="Calibri" w:hAnsi="Calibri" w:cs="Calibri"/>
        </w:rPr>
        <w:t xml:space="preserve"> use in blast furnace ironmaking in </w:t>
      </w:r>
      <w:r w:rsidR="00657794" w:rsidRPr="00F81026">
        <w:rPr>
          <w:rFonts w:ascii="Calibri" w:hAnsi="Calibri" w:cs="Calibri"/>
        </w:rPr>
        <w:t>Finland:</w:t>
      </w:r>
      <w:r w:rsidRPr="00F81026">
        <w:rPr>
          <w:rFonts w:ascii="Calibri" w:hAnsi="Calibri" w:cs="Calibri"/>
        </w:rPr>
        <w:t xml:space="preserve"> techno-economic assessment and CO2 emission reduction potential’, p. 100.</w:t>
      </w:r>
    </w:p>
    <w:p w14:paraId="1E5ED6B9"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Suopajärvi</w:t>
      </w:r>
      <w:proofErr w:type="spellEnd"/>
      <w:r w:rsidRPr="00F81026">
        <w:rPr>
          <w:rFonts w:ascii="Calibri" w:hAnsi="Calibri" w:cs="Calibri"/>
        </w:rPr>
        <w:t xml:space="preserve">, H. </w:t>
      </w:r>
      <w:r w:rsidRPr="00F81026">
        <w:rPr>
          <w:rFonts w:ascii="Calibri" w:hAnsi="Calibri" w:cs="Calibri"/>
          <w:i/>
          <w:iCs/>
        </w:rPr>
        <w:t>et al.</w:t>
      </w:r>
      <w:r w:rsidRPr="00F81026">
        <w:rPr>
          <w:rFonts w:ascii="Calibri" w:hAnsi="Calibri" w:cs="Calibri"/>
        </w:rPr>
        <w:t xml:space="preserve"> (2017) ‘Effect of Charcoal and Kraft-Lignin Addition on Coke Compression Strength and Reactivity’, </w:t>
      </w:r>
      <w:r w:rsidRPr="00F81026">
        <w:rPr>
          <w:rFonts w:ascii="Calibri" w:hAnsi="Calibri" w:cs="Calibri"/>
          <w:i/>
          <w:iCs/>
        </w:rPr>
        <w:t>Energies</w:t>
      </w:r>
      <w:r w:rsidRPr="00F81026">
        <w:rPr>
          <w:rFonts w:ascii="Calibri" w:hAnsi="Calibri" w:cs="Calibri"/>
        </w:rPr>
        <w:t>, 10(11), p. 1850. Available at: https://doi.org/10.3390/en10111850.</w:t>
      </w:r>
    </w:p>
    <w:p w14:paraId="37604C40"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Suopajärvi</w:t>
      </w:r>
      <w:proofErr w:type="spellEnd"/>
      <w:r w:rsidRPr="00F81026">
        <w:rPr>
          <w:rFonts w:ascii="Calibri" w:hAnsi="Calibri" w:cs="Calibri"/>
        </w:rPr>
        <w:t xml:space="preserve">, H. </w:t>
      </w:r>
      <w:r w:rsidRPr="00F81026">
        <w:rPr>
          <w:rFonts w:ascii="Calibri" w:hAnsi="Calibri" w:cs="Calibri"/>
          <w:i/>
          <w:iCs/>
        </w:rPr>
        <w:t>et al.</w:t>
      </w:r>
      <w:r w:rsidRPr="00F81026">
        <w:rPr>
          <w:rFonts w:ascii="Calibri" w:hAnsi="Calibri" w:cs="Calibri"/>
        </w:rPr>
        <w:t xml:space="preserve"> (2018) ‘Use of biomass in integrated steelmaking – Status quo, future needs and comparison to other low-CO2 steel production technologies’, </w:t>
      </w:r>
      <w:r w:rsidRPr="00F81026">
        <w:rPr>
          <w:rFonts w:ascii="Calibri" w:hAnsi="Calibri" w:cs="Calibri"/>
          <w:i/>
          <w:iCs/>
        </w:rPr>
        <w:t>Applied Energy</w:t>
      </w:r>
      <w:r w:rsidRPr="00F81026">
        <w:rPr>
          <w:rFonts w:ascii="Calibri" w:hAnsi="Calibri" w:cs="Calibri"/>
        </w:rPr>
        <w:t>, 213, pp. 384–407. Available at: https://doi.org/10.1016/j.apenergy.2018.01.060.</w:t>
      </w:r>
    </w:p>
    <w:p w14:paraId="045A1350"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Suopajärvi</w:t>
      </w:r>
      <w:proofErr w:type="spellEnd"/>
      <w:r w:rsidRPr="00F81026">
        <w:rPr>
          <w:rFonts w:ascii="Calibri" w:hAnsi="Calibri" w:cs="Calibri"/>
        </w:rPr>
        <w:t xml:space="preserve">, H. and Fabritius, T. (2013) ‘Towards More Sustainable Ironmaking-An Analysis of Energy Wood Availability in Finland and the Economics of Charcoal Production’, </w:t>
      </w:r>
      <w:r w:rsidRPr="00F81026">
        <w:rPr>
          <w:rFonts w:ascii="Calibri" w:hAnsi="Calibri" w:cs="Calibri"/>
          <w:i/>
          <w:iCs/>
        </w:rPr>
        <w:t>Sustainability</w:t>
      </w:r>
      <w:r w:rsidRPr="00F81026">
        <w:rPr>
          <w:rFonts w:ascii="Calibri" w:hAnsi="Calibri" w:cs="Calibri"/>
        </w:rPr>
        <w:t>, 5(3), pp. 1188–1207. Available at: https://doi-org.ezproxy.uwtsd.ac.uk/10.3390/su5031188.</w:t>
      </w:r>
    </w:p>
    <w:p w14:paraId="0EA3924C"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Suopajärvi</w:t>
      </w:r>
      <w:proofErr w:type="spellEnd"/>
      <w:r w:rsidRPr="00F81026">
        <w:rPr>
          <w:rFonts w:ascii="Calibri" w:hAnsi="Calibri" w:cs="Calibri"/>
        </w:rPr>
        <w:t xml:space="preserve">, H., </w:t>
      </w:r>
      <w:proofErr w:type="spellStart"/>
      <w:r w:rsidRPr="00F81026">
        <w:rPr>
          <w:rFonts w:ascii="Calibri" w:hAnsi="Calibri" w:cs="Calibri"/>
        </w:rPr>
        <w:t>Pongrácz</w:t>
      </w:r>
      <w:proofErr w:type="spellEnd"/>
      <w:r w:rsidRPr="00F81026">
        <w:rPr>
          <w:rFonts w:ascii="Calibri" w:hAnsi="Calibri" w:cs="Calibri"/>
        </w:rPr>
        <w:t xml:space="preserve">, E. and Fabritius, T. (2013) ‘The potential of using biomass-based reducing agents in the blast furnace: A review of thermochemical conversion technologies and assessments related to sustainability’, </w:t>
      </w:r>
      <w:r w:rsidRPr="00F81026">
        <w:rPr>
          <w:rFonts w:ascii="Calibri" w:hAnsi="Calibri" w:cs="Calibri"/>
          <w:i/>
          <w:iCs/>
        </w:rPr>
        <w:t>Renewable and Sustainable Energy Reviews</w:t>
      </w:r>
      <w:r w:rsidRPr="00F81026">
        <w:rPr>
          <w:rFonts w:ascii="Calibri" w:hAnsi="Calibri" w:cs="Calibri"/>
        </w:rPr>
        <w:t>, 25, pp. 511–528. Available at: https://doi.org/10.1016/j.rser.2013.05.005.</w:t>
      </w:r>
    </w:p>
    <w:p w14:paraId="343023DC" w14:textId="77777777" w:rsidR="00F81026" w:rsidRPr="00F81026" w:rsidRDefault="00F81026" w:rsidP="00F81026">
      <w:pPr>
        <w:pStyle w:val="Bibliography"/>
        <w:rPr>
          <w:rFonts w:ascii="Calibri" w:hAnsi="Calibri" w:cs="Calibri"/>
        </w:rPr>
      </w:pPr>
      <w:r w:rsidRPr="00F81026">
        <w:rPr>
          <w:rFonts w:ascii="Calibri" w:hAnsi="Calibri" w:cs="Calibri"/>
        </w:rPr>
        <w:lastRenderedPageBreak/>
        <w:t xml:space="preserve">‘Sustainability indicators’ (2022) </w:t>
      </w:r>
      <w:r w:rsidRPr="00F81026">
        <w:rPr>
          <w:rFonts w:ascii="Calibri" w:hAnsi="Calibri" w:cs="Calibri"/>
          <w:i/>
          <w:iCs/>
        </w:rPr>
        <w:t>worldsteel.org</w:t>
      </w:r>
      <w:r w:rsidRPr="00F81026">
        <w:rPr>
          <w:rFonts w:ascii="Calibri" w:hAnsi="Calibri" w:cs="Calibri"/>
        </w:rPr>
        <w:t>. Available at: https://worldsteel.org/steel-topics/sustainability/sustainability-indicators/ (Accessed: 5 July 2022).</w:t>
      </w:r>
    </w:p>
    <w:p w14:paraId="35DC75E1" w14:textId="77777777" w:rsidR="00F81026" w:rsidRPr="00F81026" w:rsidRDefault="00F81026" w:rsidP="00F81026">
      <w:pPr>
        <w:pStyle w:val="Bibliography"/>
        <w:rPr>
          <w:rFonts w:ascii="Calibri" w:hAnsi="Calibri" w:cs="Calibri"/>
        </w:rPr>
      </w:pPr>
      <w:r w:rsidRPr="00F81026">
        <w:rPr>
          <w:rFonts w:ascii="Calibri" w:hAnsi="Calibri" w:cs="Calibri"/>
        </w:rPr>
        <w:t xml:space="preserve">Tao, G. </w:t>
      </w:r>
      <w:r w:rsidRPr="00F81026">
        <w:rPr>
          <w:rFonts w:ascii="Calibri" w:hAnsi="Calibri" w:cs="Calibri"/>
          <w:i/>
          <w:iCs/>
        </w:rPr>
        <w:t>et al.</w:t>
      </w:r>
      <w:r w:rsidRPr="00F81026">
        <w:rPr>
          <w:rFonts w:ascii="Calibri" w:hAnsi="Calibri" w:cs="Calibri"/>
        </w:rPr>
        <w:t xml:space="preserve"> (2012) ‘Biomass properties in association with plant species and assortments I: A synthesis based on literature data of energy properties’, </w:t>
      </w:r>
      <w:r w:rsidRPr="00F81026">
        <w:rPr>
          <w:rFonts w:ascii="Calibri" w:hAnsi="Calibri" w:cs="Calibri"/>
          <w:i/>
          <w:iCs/>
        </w:rPr>
        <w:t>Renewable and Sustainable Energy Reviews</w:t>
      </w:r>
      <w:r w:rsidRPr="00F81026">
        <w:rPr>
          <w:rFonts w:ascii="Calibri" w:hAnsi="Calibri" w:cs="Calibri"/>
        </w:rPr>
        <w:t>, 16(5), pp. 3481–3506. Available at: https://doi.org/10.1016/j.rser.2012.02.039.</w:t>
      </w:r>
    </w:p>
    <w:p w14:paraId="65A3131A"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Thermo</w:t>
      </w:r>
      <w:proofErr w:type="spellEnd"/>
      <w:r w:rsidRPr="00F81026">
        <w:rPr>
          <w:rFonts w:ascii="Calibri" w:hAnsi="Calibri" w:cs="Calibri"/>
        </w:rPr>
        <w:t xml:space="preserve"> Fisher Scientific (2022) </w:t>
      </w:r>
      <w:r w:rsidRPr="00F81026">
        <w:rPr>
          <w:rFonts w:ascii="Calibri" w:hAnsi="Calibri" w:cs="Calibri"/>
          <w:i/>
          <w:iCs/>
        </w:rPr>
        <w:t>Inductively Coupled Plasma Optical Emission Spectroscopy (ICP-OES) Information - UK</w:t>
      </w:r>
      <w:r w:rsidRPr="00F81026">
        <w:rPr>
          <w:rFonts w:ascii="Calibri" w:hAnsi="Calibri" w:cs="Calibri"/>
        </w:rPr>
        <w:t xml:space="preserve">, </w:t>
      </w:r>
      <w:proofErr w:type="spellStart"/>
      <w:r w:rsidRPr="00F81026">
        <w:rPr>
          <w:rFonts w:ascii="Calibri" w:hAnsi="Calibri" w:cs="Calibri"/>
          <w:i/>
          <w:iCs/>
        </w:rPr>
        <w:t>Thermo</w:t>
      </w:r>
      <w:proofErr w:type="spellEnd"/>
      <w:r w:rsidRPr="00F81026">
        <w:rPr>
          <w:rFonts w:ascii="Calibri" w:hAnsi="Calibri" w:cs="Calibri"/>
          <w:i/>
          <w:iCs/>
        </w:rPr>
        <w:t xml:space="preserve"> Fisher Scientific</w:t>
      </w:r>
      <w:r w:rsidRPr="00F81026">
        <w:rPr>
          <w:rFonts w:ascii="Calibri" w:hAnsi="Calibri" w:cs="Calibri"/>
        </w:rPr>
        <w:t>. Available at: https://www.thermofisher.com/uk/en/home/industrial/spectroscopy-elemental-isotope-analysis/spectroscopy-elemental-isotope-analysis-learning-center/trace-elemental-analysis-tea-information/icp-oes-information.html (Accessed: 23 September 2022).</w:t>
      </w:r>
    </w:p>
    <w:p w14:paraId="3C20A888"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Tieso</w:t>
      </w:r>
      <w:proofErr w:type="spellEnd"/>
      <w:r w:rsidRPr="00F81026">
        <w:rPr>
          <w:rFonts w:ascii="Calibri" w:hAnsi="Calibri" w:cs="Calibri"/>
        </w:rPr>
        <w:t xml:space="preserve">, I. (2023) </w:t>
      </w:r>
      <w:r w:rsidRPr="00F81026">
        <w:rPr>
          <w:rFonts w:ascii="Calibri" w:hAnsi="Calibri" w:cs="Calibri"/>
          <w:i/>
          <w:iCs/>
        </w:rPr>
        <w:t>UK-ETS carbon pricing 2022</w:t>
      </w:r>
      <w:r w:rsidRPr="00F81026">
        <w:rPr>
          <w:rFonts w:ascii="Calibri" w:hAnsi="Calibri" w:cs="Calibri"/>
        </w:rPr>
        <w:t xml:space="preserve">, </w:t>
      </w:r>
      <w:r w:rsidRPr="00F81026">
        <w:rPr>
          <w:rFonts w:ascii="Calibri" w:hAnsi="Calibri" w:cs="Calibri"/>
          <w:i/>
          <w:iCs/>
        </w:rPr>
        <w:t>Statista</w:t>
      </w:r>
      <w:r w:rsidRPr="00F81026">
        <w:rPr>
          <w:rFonts w:ascii="Calibri" w:hAnsi="Calibri" w:cs="Calibri"/>
        </w:rPr>
        <w:t>. Available at: https://www.statista.com/statistics/1322275/carbon-prices-united-kingdom-emission-trading-scheme/ (Accessed: 19 March 2023).</w:t>
      </w:r>
    </w:p>
    <w:p w14:paraId="4BEE4C50"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Tumuluru</w:t>
      </w:r>
      <w:proofErr w:type="spellEnd"/>
      <w:r w:rsidRPr="00F81026">
        <w:rPr>
          <w:rFonts w:ascii="Calibri" w:hAnsi="Calibri" w:cs="Calibri"/>
        </w:rPr>
        <w:t xml:space="preserve">, J.S. </w:t>
      </w:r>
      <w:r w:rsidRPr="00F81026">
        <w:rPr>
          <w:rFonts w:ascii="Calibri" w:hAnsi="Calibri" w:cs="Calibri"/>
          <w:i/>
          <w:iCs/>
        </w:rPr>
        <w:t>et al.</w:t>
      </w:r>
      <w:r w:rsidRPr="00F81026">
        <w:rPr>
          <w:rFonts w:ascii="Calibri" w:hAnsi="Calibri" w:cs="Calibri"/>
        </w:rPr>
        <w:t xml:space="preserve"> (2012) ‘Formulation, </w:t>
      </w:r>
      <w:proofErr w:type="spellStart"/>
      <w:r w:rsidRPr="00F81026">
        <w:rPr>
          <w:rFonts w:ascii="Calibri" w:hAnsi="Calibri" w:cs="Calibri"/>
        </w:rPr>
        <w:t>Pretreatment</w:t>
      </w:r>
      <w:proofErr w:type="spellEnd"/>
      <w:r w:rsidRPr="00F81026">
        <w:rPr>
          <w:rFonts w:ascii="Calibri" w:hAnsi="Calibri" w:cs="Calibri"/>
        </w:rPr>
        <w:t xml:space="preserve">, and Densification Options to Improve Biomass Specifications for Co-Firing High Percentages with Coal’, </w:t>
      </w:r>
      <w:r w:rsidRPr="00F81026">
        <w:rPr>
          <w:rFonts w:ascii="Calibri" w:hAnsi="Calibri" w:cs="Calibri"/>
          <w:i/>
          <w:iCs/>
        </w:rPr>
        <w:t>Industrial Biotechnology</w:t>
      </w:r>
      <w:r w:rsidRPr="00F81026">
        <w:rPr>
          <w:rFonts w:ascii="Calibri" w:hAnsi="Calibri" w:cs="Calibri"/>
        </w:rPr>
        <w:t>, 8(3), pp. 113–132. Available at: https://doi.org/10.1089/ind.2012.0004.</w:t>
      </w:r>
    </w:p>
    <w:p w14:paraId="0FF269EA" w14:textId="77777777" w:rsidR="00F81026" w:rsidRPr="00F81026" w:rsidRDefault="00F81026" w:rsidP="00F81026">
      <w:pPr>
        <w:pStyle w:val="Bibliography"/>
        <w:rPr>
          <w:rFonts w:ascii="Calibri" w:hAnsi="Calibri" w:cs="Calibri"/>
        </w:rPr>
      </w:pPr>
      <w:r w:rsidRPr="00F81026">
        <w:rPr>
          <w:rFonts w:ascii="Calibri" w:hAnsi="Calibri" w:cs="Calibri"/>
          <w:i/>
          <w:iCs/>
        </w:rPr>
        <w:t>UK enshrines new target in law to slash emissions by 78% by 2035</w:t>
      </w:r>
      <w:r w:rsidRPr="00F81026">
        <w:rPr>
          <w:rFonts w:ascii="Calibri" w:hAnsi="Calibri" w:cs="Calibri"/>
        </w:rPr>
        <w:t xml:space="preserve"> (2021) </w:t>
      </w:r>
      <w:r w:rsidRPr="00F81026">
        <w:rPr>
          <w:rFonts w:ascii="Calibri" w:hAnsi="Calibri" w:cs="Calibri"/>
          <w:i/>
          <w:iCs/>
        </w:rPr>
        <w:t>GOV.UK</w:t>
      </w:r>
      <w:r w:rsidRPr="00F81026">
        <w:rPr>
          <w:rFonts w:ascii="Calibri" w:hAnsi="Calibri" w:cs="Calibri"/>
        </w:rPr>
        <w:t>. Available at: https://www.gov.uk/government/news/uk-enshrines-new-target-in-law-to-slash-emissions-by-78-by-2035 (Accessed: 6 July 2022).</w:t>
      </w:r>
    </w:p>
    <w:p w14:paraId="61D5E91B" w14:textId="77777777" w:rsidR="00F81026" w:rsidRPr="00F81026" w:rsidRDefault="00F81026" w:rsidP="00F81026">
      <w:pPr>
        <w:pStyle w:val="Bibliography"/>
        <w:rPr>
          <w:rFonts w:ascii="Calibri" w:hAnsi="Calibri" w:cs="Calibri"/>
        </w:rPr>
      </w:pPr>
      <w:r w:rsidRPr="00F81026">
        <w:rPr>
          <w:rFonts w:ascii="Calibri" w:hAnsi="Calibri" w:cs="Calibri"/>
        </w:rPr>
        <w:t xml:space="preserve">Wang, C. </w:t>
      </w:r>
      <w:r w:rsidRPr="00F81026">
        <w:rPr>
          <w:rFonts w:ascii="Calibri" w:hAnsi="Calibri" w:cs="Calibri"/>
          <w:i/>
          <w:iCs/>
        </w:rPr>
        <w:t>et al.</w:t>
      </w:r>
      <w:r w:rsidRPr="00F81026">
        <w:rPr>
          <w:rFonts w:ascii="Calibri" w:hAnsi="Calibri" w:cs="Calibri"/>
        </w:rPr>
        <w:t xml:space="preserve"> (2014) ‘Injection of Solid Biomass Products into the Blast Furnace and its Potential Effects on an Integrated Steel Plant’, </w:t>
      </w:r>
      <w:r w:rsidRPr="00F81026">
        <w:rPr>
          <w:rFonts w:ascii="Calibri" w:hAnsi="Calibri" w:cs="Calibri"/>
          <w:i/>
          <w:iCs/>
        </w:rPr>
        <w:t>Energy Procedia</w:t>
      </w:r>
      <w:r w:rsidRPr="00F81026">
        <w:rPr>
          <w:rFonts w:ascii="Calibri" w:hAnsi="Calibri" w:cs="Calibri"/>
        </w:rPr>
        <w:t>, 61, pp. 2184–2187. Available at: https://doi.org/10.1016/j.egypro.2014.12.105.</w:t>
      </w:r>
    </w:p>
    <w:p w14:paraId="665CAC5D" w14:textId="77777777" w:rsidR="00F81026" w:rsidRPr="00F81026" w:rsidRDefault="00F81026" w:rsidP="00F81026">
      <w:pPr>
        <w:pStyle w:val="Bibliography"/>
        <w:rPr>
          <w:rFonts w:ascii="Calibri" w:hAnsi="Calibri" w:cs="Calibri"/>
        </w:rPr>
      </w:pPr>
      <w:r w:rsidRPr="00F81026">
        <w:rPr>
          <w:rFonts w:ascii="Calibri" w:hAnsi="Calibri" w:cs="Calibri"/>
        </w:rPr>
        <w:t xml:space="preserve">Wang, C., </w:t>
      </w:r>
      <w:proofErr w:type="spellStart"/>
      <w:r w:rsidRPr="00F81026">
        <w:rPr>
          <w:rFonts w:ascii="Calibri" w:hAnsi="Calibri" w:cs="Calibri"/>
        </w:rPr>
        <w:t>Mellin</w:t>
      </w:r>
      <w:proofErr w:type="spellEnd"/>
      <w:r w:rsidRPr="00F81026">
        <w:rPr>
          <w:rFonts w:ascii="Calibri" w:hAnsi="Calibri" w:cs="Calibri"/>
        </w:rPr>
        <w:t xml:space="preserve">, P., </w:t>
      </w:r>
      <w:r w:rsidRPr="00F81026">
        <w:rPr>
          <w:rFonts w:ascii="Calibri" w:hAnsi="Calibri" w:cs="Calibri"/>
          <w:i/>
          <w:iCs/>
        </w:rPr>
        <w:t>et al.</w:t>
      </w:r>
      <w:r w:rsidRPr="00F81026">
        <w:rPr>
          <w:rFonts w:ascii="Calibri" w:hAnsi="Calibri" w:cs="Calibri"/>
        </w:rPr>
        <w:t xml:space="preserve"> (2015) ‘Biomass as blast furnace injectant – Considering availability, </w:t>
      </w:r>
      <w:proofErr w:type="spellStart"/>
      <w:r w:rsidRPr="00F81026">
        <w:rPr>
          <w:rFonts w:ascii="Calibri" w:hAnsi="Calibri" w:cs="Calibri"/>
        </w:rPr>
        <w:t>pretreatment</w:t>
      </w:r>
      <w:proofErr w:type="spellEnd"/>
      <w:r w:rsidRPr="00F81026">
        <w:rPr>
          <w:rFonts w:ascii="Calibri" w:hAnsi="Calibri" w:cs="Calibri"/>
        </w:rPr>
        <w:t xml:space="preserve"> and deployment in the Swedish steel industry’, </w:t>
      </w:r>
      <w:r w:rsidRPr="00F81026">
        <w:rPr>
          <w:rFonts w:ascii="Calibri" w:hAnsi="Calibri" w:cs="Calibri"/>
          <w:i/>
          <w:iCs/>
        </w:rPr>
        <w:t>Energy Conversion and Management</w:t>
      </w:r>
      <w:r w:rsidRPr="00F81026">
        <w:rPr>
          <w:rFonts w:ascii="Calibri" w:hAnsi="Calibri" w:cs="Calibri"/>
        </w:rPr>
        <w:t>, 102, pp. 217–226. Available at: https://doi.org/10.1016/j.enconman.2015.04.013.</w:t>
      </w:r>
    </w:p>
    <w:p w14:paraId="0E7A1A03" w14:textId="77777777" w:rsidR="00F81026" w:rsidRPr="00F81026" w:rsidRDefault="00F81026" w:rsidP="00F81026">
      <w:pPr>
        <w:pStyle w:val="Bibliography"/>
        <w:rPr>
          <w:rFonts w:ascii="Calibri" w:hAnsi="Calibri" w:cs="Calibri"/>
        </w:rPr>
      </w:pPr>
      <w:r w:rsidRPr="00F81026">
        <w:rPr>
          <w:rFonts w:ascii="Calibri" w:hAnsi="Calibri" w:cs="Calibri"/>
        </w:rPr>
        <w:t xml:space="preserve">Wei, R. </w:t>
      </w:r>
      <w:r w:rsidRPr="00F81026">
        <w:rPr>
          <w:rFonts w:ascii="Calibri" w:hAnsi="Calibri" w:cs="Calibri"/>
          <w:i/>
          <w:iCs/>
        </w:rPr>
        <w:t>et al.</w:t>
      </w:r>
      <w:r w:rsidRPr="00F81026">
        <w:rPr>
          <w:rFonts w:ascii="Calibri" w:hAnsi="Calibri" w:cs="Calibri"/>
        </w:rPr>
        <w:t xml:space="preserve"> (2017) ‘Current status and potential of biomass utilization in ferrous metallurgical industry’, </w:t>
      </w:r>
      <w:r w:rsidRPr="00F81026">
        <w:rPr>
          <w:rFonts w:ascii="Calibri" w:hAnsi="Calibri" w:cs="Calibri"/>
          <w:i/>
          <w:iCs/>
        </w:rPr>
        <w:t>Renewable and Sustainable Energy Reviews</w:t>
      </w:r>
      <w:r w:rsidRPr="00F81026">
        <w:rPr>
          <w:rFonts w:ascii="Calibri" w:hAnsi="Calibri" w:cs="Calibri"/>
        </w:rPr>
        <w:t>, 68, pp. 511–524. Available at: https://doi.org/10.1016/j.rser.2016.10.013.</w:t>
      </w:r>
    </w:p>
    <w:p w14:paraId="7D449C15" w14:textId="77777777" w:rsidR="00F81026" w:rsidRPr="00F81026" w:rsidRDefault="00F81026" w:rsidP="00F81026">
      <w:pPr>
        <w:pStyle w:val="Bibliography"/>
        <w:rPr>
          <w:rFonts w:ascii="Calibri" w:hAnsi="Calibri" w:cs="Calibri"/>
        </w:rPr>
      </w:pPr>
      <w:r w:rsidRPr="00F81026">
        <w:rPr>
          <w:rFonts w:ascii="Calibri" w:hAnsi="Calibri" w:cs="Calibri"/>
          <w:i/>
          <w:iCs/>
        </w:rPr>
        <w:t>What is the Kyoto Protocol? | UNFCCC</w:t>
      </w:r>
      <w:r w:rsidRPr="00F81026">
        <w:rPr>
          <w:rFonts w:ascii="Calibri" w:hAnsi="Calibri" w:cs="Calibri"/>
        </w:rPr>
        <w:t xml:space="preserve"> (2022). Available at: https://unfccc.int/kyoto_protocol (Accessed: 6 July 2022).</w:t>
      </w:r>
    </w:p>
    <w:p w14:paraId="4C24DE45" w14:textId="77777777" w:rsidR="00F81026" w:rsidRPr="00F81026" w:rsidRDefault="00F81026" w:rsidP="00F81026">
      <w:pPr>
        <w:pStyle w:val="Bibliography"/>
        <w:rPr>
          <w:rFonts w:ascii="Calibri" w:hAnsi="Calibri" w:cs="Calibri"/>
        </w:rPr>
      </w:pPr>
      <w:r w:rsidRPr="00F81026">
        <w:rPr>
          <w:rFonts w:ascii="Calibri" w:hAnsi="Calibri" w:cs="Calibri"/>
        </w:rPr>
        <w:t xml:space="preserve">Ye, L. </w:t>
      </w:r>
      <w:r w:rsidRPr="00F81026">
        <w:rPr>
          <w:rFonts w:ascii="Calibri" w:hAnsi="Calibri" w:cs="Calibri"/>
          <w:i/>
          <w:iCs/>
        </w:rPr>
        <w:t>et al.</w:t>
      </w:r>
      <w:r w:rsidRPr="00F81026">
        <w:rPr>
          <w:rFonts w:ascii="Calibri" w:hAnsi="Calibri" w:cs="Calibri"/>
        </w:rPr>
        <w:t xml:space="preserve"> (2019) ‘Use of Biochar for Sustainable Ferrous Metallurgy’, </w:t>
      </w:r>
      <w:r w:rsidRPr="00F81026">
        <w:rPr>
          <w:rFonts w:ascii="Calibri" w:hAnsi="Calibri" w:cs="Calibri"/>
          <w:i/>
          <w:iCs/>
        </w:rPr>
        <w:t>JOM</w:t>
      </w:r>
      <w:r w:rsidRPr="00F81026">
        <w:rPr>
          <w:rFonts w:ascii="Calibri" w:hAnsi="Calibri" w:cs="Calibri"/>
        </w:rPr>
        <w:t>, 71(11), pp. 3931–3940. Available at: http://dx.doi.org.ezproxy.uwtsd.ac.uk/10.1007/s11837-019-03766-4.</w:t>
      </w:r>
    </w:p>
    <w:p w14:paraId="3D6FD4A8" w14:textId="77777777" w:rsidR="00F81026" w:rsidRPr="00F81026" w:rsidRDefault="00F81026" w:rsidP="00F81026">
      <w:pPr>
        <w:pStyle w:val="Bibliography"/>
        <w:rPr>
          <w:rFonts w:ascii="Calibri" w:hAnsi="Calibri" w:cs="Calibri"/>
        </w:rPr>
      </w:pPr>
      <w:proofErr w:type="spellStart"/>
      <w:r w:rsidRPr="00F81026">
        <w:rPr>
          <w:rFonts w:ascii="Calibri" w:hAnsi="Calibri" w:cs="Calibri"/>
        </w:rPr>
        <w:t>Yustanti</w:t>
      </w:r>
      <w:proofErr w:type="spellEnd"/>
      <w:r w:rsidRPr="00F81026">
        <w:rPr>
          <w:rFonts w:ascii="Calibri" w:hAnsi="Calibri" w:cs="Calibri"/>
        </w:rPr>
        <w:t xml:space="preserve">, E. </w:t>
      </w:r>
      <w:r w:rsidRPr="00F81026">
        <w:rPr>
          <w:rFonts w:ascii="Calibri" w:hAnsi="Calibri" w:cs="Calibri"/>
          <w:i/>
          <w:iCs/>
        </w:rPr>
        <w:t>et al.</w:t>
      </w:r>
      <w:r w:rsidRPr="00F81026">
        <w:rPr>
          <w:rFonts w:ascii="Calibri" w:hAnsi="Calibri" w:cs="Calibri"/>
        </w:rPr>
        <w:t xml:space="preserve"> (2021) ‘Types and Composition of Biomass in Biocoke Synthesis with the Coal Blending Method’, </w:t>
      </w:r>
      <w:r w:rsidRPr="00F81026">
        <w:rPr>
          <w:rFonts w:ascii="Calibri" w:hAnsi="Calibri" w:cs="Calibri"/>
          <w:i/>
          <w:iCs/>
        </w:rPr>
        <w:t>Energies</w:t>
      </w:r>
      <w:r w:rsidRPr="00F81026">
        <w:rPr>
          <w:rFonts w:ascii="Calibri" w:hAnsi="Calibri" w:cs="Calibri"/>
        </w:rPr>
        <w:t>, 14(20), p. 6570. Available at: https://doi.org/10.3390/en14206570.</w:t>
      </w:r>
    </w:p>
    <w:p w14:paraId="063E17D6" w14:textId="0DA86552" w:rsidR="00F81026" w:rsidRPr="00F81026" w:rsidRDefault="00F81026" w:rsidP="00F81026">
      <w:pPr>
        <w:pStyle w:val="Bibliography"/>
        <w:rPr>
          <w:rFonts w:ascii="Calibri" w:hAnsi="Calibri" w:cs="Calibri"/>
        </w:rPr>
      </w:pPr>
      <w:proofErr w:type="spellStart"/>
      <w:r w:rsidRPr="00F81026">
        <w:rPr>
          <w:rFonts w:ascii="Calibri" w:hAnsi="Calibri" w:cs="Calibri"/>
        </w:rPr>
        <w:t>Zandi</w:t>
      </w:r>
      <w:proofErr w:type="spellEnd"/>
      <w:r w:rsidRPr="00F81026">
        <w:rPr>
          <w:rFonts w:ascii="Calibri" w:hAnsi="Calibri" w:cs="Calibri"/>
        </w:rPr>
        <w:t xml:space="preserve">, M., Martinez-Pacheco, </w:t>
      </w:r>
      <w:r w:rsidR="007321EF" w:rsidRPr="00F81026">
        <w:rPr>
          <w:rFonts w:ascii="Calibri" w:hAnsi="Calibri" w:cs="Calibri"/>
        </w:rPr>
        <w:t>M.,</w:t>
      </w:r>
      <w:r w:rsidRPr="00F81026">
        <w:rPr>
          <w:rFonts w:ascii="Calibri" w:hAnsi="Calibri" w:cs="Calibri"/>
        </w:rPr>
        <w:t xml:space="preserve"> and Fray, T.A.T. (2010) ‘Biomass for iron ore sintering’, </w:t>
      </w:r>
      <w:r w:rsidRPr="00F81026">
        <w:rPr>
          <w:rFonts w:ascii="Calibri" w:hAnsi="Calibri" w:cs="Calibri"/>
          <w:i/>
          <w:iCs/>
        </w:rPr>
        <w:t>Minerals Engineering</w:t>
      </w:r>
      <w:r w:rsidRPr="00F81026">
        <w:rPr>
          <w:rFonts w:ascii="Calibri" w:hAnsi="Calibri" w:cs="Calibri"/>
        </w:rPr>
        <w:t>, 23(14), pp. 1139–1145. Available at: https://doi.org/10.1016/j.mineng.2010.07.010</w:t>
      </w:r>
      <w:r w:rsidR="005C2822">
        <w:rPr>
          <w:rFonts w:ascii="Calibri" w:hAnsi="Calibri" w:cs="Calibri"/>
        </w:rPr>
        <w:t>.</w:t>
      </w:r>
    </w:p>
    <w:p w14:paraId="42727CCB" w14:textId="4BB4118C" w:rsidR="009443AA" w:rsidRPr="009443AA" w:rsidRDefault="00DA3F2F" w:rsidP="009443AA">
      <w:r>
        <w:fldChar w:fldCharType="end"/>
      </w:r>
    </w:p>
    <w:sectPr w:rsidR="009443AA" w:rsidRPr="009443AA" w:rsidSect="00196715">
      <w:headerReference w:type="default" r:id="rId102"/>
      <w:footerReference w:type="default" r:id="rId103"/>
      <w:headerReference w:type="first" r:id="rId104"/>
      <w:footerReference w:type="first" r:id="rId1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52514" w14:textId="77777777" w:rsidR="00813FDF" w:rsidRDefault="00813FDF" w:rsidP="00225BF7">
      <w:pPr>
        <w:spacing w:after="0" w:line="240" w:lineRule="auto"/>
      </w:pPr>
      <w:r>
        <w:separator/>
      </w:r>
    </w:p>
  </w:endnote>
  <w:endnote w:type="continuationSeparator" w:id="0">
    <w:p w14:paraId="44E6A581" w14:textId="77777777" w:rsidR="00813FDF" w:rsidRDefault="00813FDF" w:rsidP="00225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15139"/>
      <w:docPartObj>
        <w:docPartGallery w:val="Page Numbers (Bottom of Page)"/>
        <w:docPartUnique/>
      </w:docPartObj>
    </w:sdtPr>
    <w:sdtEndPr>
      <w:rPr>
        <w:noProof/>
      </w:rPr>
    </w:sdtEndPr>
    <w:sdtContent>
      <w:p w14:paraId="59EFE8A5" w14:textId="5EDDFE1D" w:rsidR="00B778EE" w:rsidRDefault="00B778E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0A6DA63" w14:textId="3AFEB023" w:rsidR="00225BF7" w:rsidRDefault="00225B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72BE1" w14:textId="2768D2A6" w:rsidR="006553BA" w:rsidRDefault="00DB20AA">
    <w:pPr>
      <w:pStyle w:val="Footer"/>
    </w:pPr>
    <w:r>
      <w:rPr>
        <w:noProof/>
      </w:rPr>
      <mc:AlternateContent>
        <mc:Choice Requires="wpg">
          <w:drawing>
            <wp:anchor distT="0" distB="0" distL="114300" distR="114300" simplePos="0" relativeHeight="251659264" behindDoc="0" locked="0" layoutInCell="1" allowOverlap="1" wp14:anchorId="4F4B96F5" wp14:editId="37A3F132">
              <wp:simplePos x="0" y="0"/>
              <wp:positionH relativeFrom="page">
                <wp:align>left</wp:align>
              </wp:positionH>
              <wp:positionV relativeFrom="bottomMargin">
                <wp:align>center</wp:align>
              </wp:positionV>
              <wp:extent cx="5943600" cy="274320"/>
              <wp:effectExtent l="0" t="0" r="0" b="0"/>
              <wp:wrapNone/>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93555" w14:textId="566365DC" w:rsidR="006553BA" w:rsidRDefault="006553BA">
                            <w:pPr>
                              <w:pStyle w:val="Footer"/>
                              <w:rPr>
                                <w:caps/>
                                <w:color w:val="808080" w:themeColor="background1" w:themeShade="80"/>
                                <w:sz w:val="20"/>
                                <w:szCs w:val="20"/>
                              </w:rPr>
                            </w:pPr>
                            <w:r>
                              <w:rPr>
                                <w:color w:val="808080" w:themeColor="background1" w:themeShade="80"/>
                                <w:sz w:val="20"/>
                                <w:szCs w:val="20"/>
                              </w:rPr>
                              <w:t>Jamie Waters (1551425)</w:t>
                            </w:r>
                            <w:r>
                              <w:rPr>
                                <w:color w:val="808080" w:themeColor="background1" w:themeShade="80"/>
                                <w:sz w:val="20"/>
                                <w:szCs w:val="20"/>
                              </w:rPr>
                              <w:tab/>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4F4B96F5" id="Group 46" o:spid="_x0000_s1033"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cd1bgMAAKUKAAAOAAAAZHJzL2Uyb0RvYy54bWzEVtlu1DAUfUfiHyy/08zagagpKoVWSBVU&#10;tIhnj+MswrGN7WlSvp577STTZVRKQWUeIi938/E9Z3zwtmskuRLW1VpldLo3oUQorvNalRn9enny&#10;6jUlzjOVM6mVyOi1cPTt4csXB61JxUxXWubCEgiiXNqajFbemzRJHK9Ew9yeNkLBZqFtwzxMbZnk&#10;lrUQvZHJbDLZT1ptc2M1F87B6vu4SQ9D/KIQ3H8uCic8kRmF2nz42vBd4zc5PGBpaZmpat6XwZ5Q&#10;RcNqBUnHUO+ZZ2Rj63uhmppb7XTh97huEl0UNRfhDHCa6eTOaU6t3phwljJtSzPCBNDewenJYfmn&#10;q1NrLsy5jdXD8Ezz7w5wSVpTpjf3cV5ujbvCNugEhyBdQPR6RFR0nnBYXL5ZzPcnADyHvdlqMZ/1&#10;kPMK7uWeG68+POyYsDSmDcWNxbQGusdtAXJ/B9BFxYwIuDsE4NySOofmXu5TolgDXfwF+oqpUgqC&#10;i4AVFgCWiGM/cz2kf4HSeFiWGuv8qdANwUFGLeQP7cauzpzHu9qa4JU4Lev8pJYyTJBL4lhacsWA&#10;BetyGl2lqVhcCncCIQLr0DIEvBVEKgylNAaN+XAFbsGl8aRh5K+lQDupvogCQIMOmIVkY+SYkHEu&#10;lI91uIrlIi4vJ/BDOO/VEgJi5ALyj7H7ALfPN8SOYXp7dBVBDkbnyUOFRefRI2TWyo/OTa203RVA&#10;wqn6zNF+AClCgyitdX4NLWV1FCNn+EkNt3rGnD9nFtQH6AKK6j/Dp5C6zajuR5RU2v7ctY720POw&#10;S0kLapZR92PDrKBEflTAhjfTxQLlL0wWyxXQkNibO+ubO2rTHGtolSlot+FhiPZeDsPC6uYbCO8R&#10;ZoUtpjjkzij3dpgc+6iyIN1cHB0FM5A8w/yZujAcgyOq2M+X3TdmTd/aHqTjkx4YyNI7HR5t0VPp&#10;o43XRR3af4trjzeoQWTlM8jCapCFS5S9d7oDVVjdUQXiO9jAU0N3bFkzyNmoorPZ66CXO6R0vpxP&#10;lgB2kNLlbDUfqDJIzB+KxEhm5CuBNtufQ/gI7W2aD9zptWZbfhjtIP0juLWb0Y9wfG5G599/y2jf&#10;rbv+Wv8HuaEndhAbVv8Nqf2zUdoZpPTJQ5QO//vwFgr/Ef27DR9bN+dBAravy8Nf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I81x3VuAwAApQoAAA4AAAAAAAAAAAAAAAAALgIAAGRycy9lMm9Eb2MueG1sUEsBAi0AFAAGAAgA&#10;AAAhAFQQeSvbAAAABAEAAA8AAAAAAAAAAAAAAAAAyAUAAGRycy9kb3ducmV2LnhtbFBLBQYAAAAA&#10;BAAEAPMAAADQBgAAAAA=&#10;">
              <v:rect id="Rectangle 156" o:spid="_x0000_s1034"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35"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19693555" w14:textId="566365DC" w:rsidR="006553BA" w:rsidRDefault="006553BA">
                      <w:pPr>
                        <w:pStyle w:val="Footer"/>
                        <w:rPr>
                          <w:caps/>
                          <w:color w:val="808080" w:themeColor="background1" w:themeShade="80"/>
                          <w:sz w:val="20"/>
                          <w:szCs w:val="20"/>
                        </w:rPr>
                      </w:pPr>
                      <w:r>
                        <w:rPr>
                          <w:color w:val="808080" w:themeColor="background1" w:themeShade="80"/>
                          <w:sz w:val="20"/>
                          <w:szCs w:val="20"/>
                        </w:rPr>
                        <w:t>Jamie Waters (1551425)</w:t>
                      </w:r>
                      <w:r>
                        <w:rPr>
                          <w:color w:val="808080" w:themeColor="background1" w:themeShade="80"/>
                          <w:sz w:val="20"/>
                          <w:szCs w:val="20"/>
                        </w:rPr>
                        <w:tab/>
                      </w:r>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5F752" w14:textId="77777777" w:rsidR="00813FDF" w:rsidRDefault="00813FDF" w:rsidP="00225BF7">
      <w:pPr>
        <w:spacing w:after="0" w:line="240" w:lineRule="auto"/>
      </w:pPr>
      <w:r>
        <w:separator/>
      </w:r>
    </w:p>
  </w:footnote>
  <w:footnote w:type="continuationSeparator" w:id="0">
    <w:p w14:paraId="4A521161" w14:textId="77777777" w:rsidR="00813FDF" w:rsidRDefault="00813FDF" w:rsidP="00225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92E62" w14:textId="65CEE7FC" w:rsidR="00B778EE" w:rsidRDefault="00B778EE" w:rsidP="00B778EE">
    <w:pPr>
      <w:pStyle w:val="Header"/>
    </w:pPr>
    <w:r>
      <w:t>MSc. Thesis - Lean &amp; Agile Operations</w:t>
    </w:r>
    <w:r>
      <w:ptab w:relativeTo="margin" w:alignment="right" w:leader="none"/>
    </w:r>
    <w:r>
      <w:t xml:space="preserve">  University of Wales Trinity Saint David</w:t>
    </w:r>
  </w:p>
  <w:p w14:paraId="3DDDD7EA" w14:textId="4719F718" w:rsidR="00B778EE" w:rsidRPr="00B778EE" w:rsidRDefault="00B778EE" w:rsidP="00B778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AD2F7" w14:textId="25C3C186" w:rsidR="006553BA" w:rsidRDefault="006553BA">
    <w:pPr>
      <w:pStyle w:val="Header"/>
    </w:pPr>
    <w:r>
      <w:t>M.Sc. Thesis - Lean &amp; Agile Operations</w:t>
    </w:r>
    <w:r>
      <w:ptab w:relativeTo="margin" w:alignment="right" w:leader="none"/>
    </w:r>
    <w:r>
      <w:t xml:space="preserve">  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36B9D"/>
    <w:multiLevelType w:val="hybridMultilevel"/>
    <w:tmpl w:val="8C26371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1003767A"/>
    <w:multiLevelType w:val="hybridMultilevel"/>
    <w:tmpl w:val="D73A6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9073B"/>
    <w:multiLevelType w:val="hybridMultilevel"/>
    <w:tmpl w:val="47EC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5333F"/>
    <w:multiLevelType w:val="hybridMultilevel"/>
    <w:tmpl w:val="86DE772C"/>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4" w15:restartNumberingAfterBreak="0">
    <w:nsid w:val="23E96481"/>
    <w:multiLevelType w:val="hybridMultilevel"/>
    <w:tmpl w:val="D0A864C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25EE59F4"/>
    <w:multiLevelType w:val="hybridMultilevel"/>
    <w:tmpl w:val="4592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747046"/>
    <w:multiLevelType w:val="hybridMultilevel"/>
    <w:tmpl w:val="0470763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305E4BFD"/>
    <w:multiLevelType w:val="hybridMultilevel"/>
    <w:tmpl w:val="C784C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055BB5"/>
    <w:multiLevelType w:val="hybridMultilevel"/>
    <w:tmpl w:val="383012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6D0B49"/>
    <w:multiLevelType w:val="hybridMultilevel"/>
    <w:tmpl w:val="EC2037AC"/>
    <w:lvl w:ilvl="0" w:tplc="6D2CAC42">
      <w:start w:val="1"/>
      <w:numFmt w:val="upp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0" w15:restartNumberingAfterBreak="0">
    <w:nsid w:val="40460BE1"/>
    <w:multiLevelType w:val="hybridMultilevel"/>
    <w:tmpl w:val="847E6392"/>
    <w:lvl w:ilvl="0" w:tplc="FE64C5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724971"/>
    <w:multiLevelType w:val="hybridMultilevel"/>
    <w:tmpl w:val="4FC23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D468D0"/>
    <w:multiLevelType w:val="hybridMultilevel"/>
    <w:tmpl w:val="8D4E5EDA"/>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3" w15:restartNumberingAfterBreak="0">
    <w:nsid w:val="474A3533"/>
    <w:multiLevelType w:val="hybridMultilevel"/>
    <w:tmpl w:val="379CE182"/>
    <w:lvl w:ilvl="0" w:tplc="1C540A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512FB0"/>
    <w:multiLevelType w:val="hybridMultilevel"/>
    <w:tmpl w:val="3E7A1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69234F"/>
    <w:multiLevelType w:val="hybridMultilevel"/>
    <w:tmpl w:val="8528E256"/>
    <w:lvl w:ilvl="0" w:tplc="78CA47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11035D"/>
    <w:multiLevelType w:val="hybridMultilevel"/>
    <w:tmpl w:val="6C880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A61201"/>
    <w:multiLevelType w:val="hybridMultilevel"/>
    <w:tmpl w:val="E130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787EDC"/>
    <w:multiLevelType w:val="hybridMultilevel"/>
    <w:tmpl w:val="23CA5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FA7FE4"/>
    <w:multiLevelType w:val="hybridMultilevel"/>
    <w:tmpl w:val="379CE182"/>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2475A49"/>
    <w:multiLevelType w:val="hybridMultilevel"/>
    <w:tmpl w:val="8528E256"/>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33D3316"/>
    <w:multiLevelType w:val="hybridMultilevel"/>
    <w:tmpl w:val="19E8181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2" w15:restartNumberingAfterBreak="0">
    <w:nsid w:val="738B7CC5"/>
    <w:multiLevelType w:val="hybridMultilevel"/>
    <w:tmpl w:val="1CD8E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0467208">
    <w:abstractNumId w:val="13"/>
  </w:num>
  <w:num w:numId="2" w16cid:durableId="1501432480">
    <w:abstractNumId w:val="15"/>
  </w:num>
  <w:num w:numId="3" w16cid:durableId="1969388977">
    <w:abstractNumId w:val="20"/>
  </w:num>
  <w:num w:numId="4" w16cid:durableId="1761441288">
    <w:abstractNumId w:val="14"/>
  </w:num>
  <w:num w:numId="5" w16cid:durableId="550729345">
    <w:abstractNumId w:val="10"/>
  </w:num>
  <w:num w:numId="6" w16cid:durableId="372576724">
    <w:abstractNumId w:val="19"/>
  </w:num>
  <w:num w:numId="7" w16cid:durableId="512183431">
    <w:abstractNumId w:val="0"/>
  </w:num>
  <w:num w:numId="8" w16cid:durableId="1233084092">
    <w:abstractNumId w:val="6"/>
  </w:num>
  <w:num w:numId="9" w16cid:durableId="957301340">
    <w:abstractNumId w:val="22"/>
  </w:num>
  <w:num w:numId="10" w16cid:durableId="1190994778">
    <w:abstractNumId w:val="16"/>
  </w:num>
  <w:num w:numId="11" w16cid:durableId="473984154">
    <w:abstractNumId w:val="2"/>
  </w:num>
  <w:num w:numId="12" w16cid:durableId="1680153780">
    <w:abstractNumId w:val="7"/>
  </w:num>
  <w:num w:numId="13" w16cid:durableId="322122358">
    <w:abstractNumId w:val="8"/>
  </w:num>
  <w:num w:numId="14" w16cid:durableId="179130257">
    <w:abstractNumId w:val="9"/>
  </w:num>
  <w:num w:numId="15" w16cid:durableId="1823622490">
    <w:abstractNumId w:val="11"/>
  </w:num>
  <w:num w:numId="16" w16cid:durableId="1689674991">
    <w:abstractNumId w:val="17"/>
  </w:num>
  <w:num w:numId="17" w16cid:durableId="727458565">
    <w:abstractNumId w:val="4"/>
  </w:num>
  <w:num w:numId="18" w16cid:durableId="119150198">
    <w:abstractNumId w:val="21"/>
  </w:num>
  <w:num w:numId="19" w16cid:durableId="37819945">
    <w:abstractNumId w:val="12"/>
  </w:num>
  <w:num w:numId="20" w16cid:durableId="18774031">
    <w:abstractNumId w:val="3"/>
  </w:num>
  <w:num w:numId="21" w16cid:durableId="1424062185">
    <w:abstractNumId w:val="1"/>
  </w:num>
  <w:num w:numId="22" w16cid:durableId="834026964">
    <w:abstractNumId w:val="5"/>
  </w:num>
  <w:num w:numId="23" w16cid:durableId="4742256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715"/>
    <w:rsid w:val="000003CA"/>
    <w:rsid w:val="00001558"/>
    <w:rsid w:val="00002A16"/>
    <w:rsid w:val="000034FA"/>
    <w:rsid w:val="00003CCD"/>
    <w:rsid w:val="0000415D"/>
    <w:rsid w:val="000044CA"/>
    <w:rsid w:val="00005B89"/>
    <w:rsid w:val="000066E2"/>
    <w:rsid w:val="00007542"/>
    <w:rsid w:val="000076DE"/>
    <w:rsid w:val="000079F1"/>
    <w:rsid w:val="00010468"/>
    <w:rsid w:val="000105C9"/>
    <w:rsid w:val="00010982"/>
    <w:rsid w:val="000111FF"/>
    <w:rsid w:val="000115FC"/>
    <w:rsid w:val="0001187D"/>
    <w:rsid w:val="00011FCF"/>
    <w:rsid w:val="0001285E"/>
    <w:rsid w:val="00013239"/>
    <w:rsid w:val="00013B36"/>
    <w:rsid w:val="00014658"/>
    <w:rsid w:val="00014962"/>
    <w:rsid w:val="00015ADC"/>
    <w:rsid w:val="00015D27"/>
    <w:rsid w:val="00016933"/>
    <w:rsid w:val="00016ADF"/>
    <w:rsid w:val="00017125"/>
    <w:rsid w:val="000178D7"/>
    <w:rsid w:val="000203A6"/>
    <w:rsid w:val="0002055C"/>
    <w:rsid w:val="00020F96"/>
    <w:rsid w:val="0002109E"/>
    <w:rsid w:val="00021638"/>
    <w:rsid w:val="000216EF"/>
    <w:rsid w:val="0002170A"/>
    <w:rsid w:val="00021853"/>
    <w:rsid w:val="00021C1A"/>
    <w:rsid w:val="000231DD"/>
    <w:rsid w:val="000234DE"/>
    <w:rsid w:val="00023A15"/>
    <w:rsid w:val="00024818"/>
    <w:rsid w:val="00026B29"/>
    <w:rsid w:val="00026B32"/>
    <w:rsid w:val="00026B35"/>
    <w:rsid w:val="00026FE9"/>
    <w:rsid w:val="00027416"/>
    <w:rsid w:val="00030191"/>
    <w:rsid w:val="000307F5"/>
    <w:rsid w:val="0003083A"/>
    <w:rsid w:val="00031BF6"/>
    <w:rsid w:val="00031C29"/>
    <w:rsid w:val="00033480"/>
    <w:rsid w:val="00033EF8"/>
    <w:rsid w:val="000349BF"/>
    <w:rsid w:val="000350D6"/>
    <w:rsid w:val="00035933"/>
    <w:rsid w:val="00035CB2"/>
    <w:rsid w:val="000379C5"/>
    <w:rsid w:val="00037D36"/>
    <w:rsid w:val="000401B2"/>
    <w:rsid w:val="00040EFA"/>
    <w:rsid w:val="0004143B"/>
    <w:rsid w:val="00041D18"/>
    <w:rsid w:val="000421E1"/>
    <w:rsid w:val="00042B2B"/>
    <w:rsid w:val="00043DA2"/>
    <w:rsid w:val="00043E7E"/>
    <w:rsid w:val="00044722"/>
    <w:rsid w:val="0004521A"/>
    <w:rsid w:val="00045769"/>
    <w:rsid w:val="0004601A"/>
    <w:rsid w:val="00046072"/>
    <w:rsid w:val="00046456"/>
    <w:rsid w:val="000465D9"/>
    <w:rsid w:val="00047751"/>
    <w:rsid w:val="000478A1"/>
    <w:rsid w:val="00047A58"/>
    <w:rsid w:val="00047FF9"/>
    <w:rsid w:val="000515B9"/>
    <w:rsid w:val="000517A4"/>
    <w:rsid w:val="000519BA"/>
    <w:rsid w:val="00053275"/>
    <w:rsid w:val="00053383"/>
    <w:rsid w:val="000540C3"/>
    <w:rsid w:val="000547EC"/>
    <w:rsid w:val="00054C16"/>
    <w:rsid w:val="000551A9"/>
    <w:rsid w:val="00055329"/>
    <w:rsid w:val="0005552B"/>
    <w:rsid w:val="00055C10"/>
    <w:rsid w:val="000568ED"/>
    <w:rsid w:val="00056E66"/>
    <w:rsid w:val="0005719E"/>
    <w:rsid w:val="00057511"/>
    <w:rsid w:val="000601DB"/>
    <w:rsid w:val="000601E7"/>
    <w:rsid w:val="00060286"/>
    <w:rsid w:val="00060527"/>
    <w:rsid w:val="0006201C"/>
    <w:rsid w:val="000628D3"/>
    <w:rsid w:val="00062997"/>
    <w:rsid w:val="00062CF4"/>
    <w:rsid w:val="0006305F"/>
    <w:rsid w:val="00063923"/>
    <w:rsid w:val="00063AD2"/>
    <w:rsid w:val="00063BC2"/>
    <w:rsid w:val="00063E6F"/>
    <w:rsid w:val="000640EC"/>
    <w:rsid w:val="000653CF"/>
    <w:rsid w:val="00065D54"/>
    <w:rsid w:val="000662C9"/>
    <w:rsid w:val="00066814"/>
    <w:rsid w:val="000675D8"/>
    <w:rsid w:val="00067E0D"/>
    <w:rsid w:val="000701D5"/>
    <w:rsid w:val="00070558"/>
    <w:rsid w:val="0007122F"/>
    <w:rsid w:val="00071C96"/>
    <w:rsid w:val="00071EE3"/>
    <w:rsid w:val="00074087"/>
    <w:rsid w:val="00074CFB"/>
    <w:rsid w:val="00074EA4"/>
    <w:rsid w:val="000765AC"/>
    <w:rsid w:val="000768C3"/>
    <w:rsid w:val="00076930"/>
    <w:rsid w:val="00076F8A"/>
    <w:rsid w:val="00077AE1"/>
    <w:rsid w:val="00077B95"/>
    <w:rsid w:val="000819B3"/>
    <w:rsid w:val="000820C5"/>
    <w:rsid w:val="00083212"/>
    <w:rsid w:val="00083525"/>
    <w:rsid w:val="00083B88"/>
    <w:rsid w:val="00083D15"/>
    <w:rsid w:val="00084608"/>
    <w:rsid w:val="00085484"/>
    <w:rsid w:val="00085C00"/>
    <w:rsid w:val="000868C3"/>
    <w:rsid w:val="00086DD7"/>
    <w:rsid w:val="00086EBD"/>
    <w:rsid w:val="0008756D"/>
    <w:rsid w:val="0009044C"/>
    <w:rsid w:val="000908AA"/>
    <w:rsid w:val="0009090A"/>
    <w:rsid w:val="00090A93"/>
    <w:rsid w:val="0009107F"/>
    <w:rsid w:val="0009115B"/>
    <w:rsid w:val="00091697"/>
    <w:rsid w:val="0009261D"/>
    <w:rsid w:val="000929F4"/>
    <w:rsid w:val="00093130"/>
    <w:rsid w:val="00094FA9"/>
    <w:rsid w:val="0009542D"/>
    <w:rsid w:val="000967C5"/>
    <w:rsid w:val="00096C39"/>
    <w:rsid w:val="00097B87"/>
    <w:rsid w:val="00097DFA"/>
    <w:rsid w:val="000A0472"/>
    <w:rsid w:val="000A06EC"/>
    <w:rsid w:val="000A0B29"/>
    <w:rsid w:val="000A10E5"/>
    <w:rsid w:val="000A174C"/>
    <w:rsid w:val="000A1ADB"/>
    <w:rsid w:val="000A2216"/>
    <w:rsid w:val="000A2354"/>
    <w:rsid w:val="000A2649"/>
    <w:rsid w:val="000A2857"/>
    <w:rsid w:val="000A40AC"/>
    <w:rsid w:val="000A4426"/>
    <w:rsid w:val="000A4BA0"/>
    <w:rsid w:val="000A5002"/>
    <w:rsid w:val="000A516B"/>
    <w:rsid w:val="000A6358"/>
    <w:rsid w:val="000A6903"/>
    <w:rsid w:val="000A6AE5"/>
    <w:rsid w:val="000A6B4B"/>
    <w:rsid w:val="000B03D3"/>
    <w:rsid w:val="000B04C4"/>
    <w:rsid w:val="000B147B"/>
    <w:rsid w:val="000B16CD"/>
    <w:rsid w:val="000B20F6"/>
    <w:rsid w:val="000B26F1"/>
    <w:rsid w:val="000B2D04"/>
    <w:rsid w:val="000B38F1"/>
    <w:rsid w:val="000B4629"/>
    <w:rsid w:val="000B49E2"/>
    <w:rsid w:val="000B49F5"/>
    <w:rsid w:val="000B4A4A"/>
    <w:rsid w:val="000B4E74"/>
    <w:rsid w:val="000B5B1A"/>
    <w:rsid w:val="000B651A"/>
    <w:rsid w:val="000B6671"/>
    <w:rsid w:val="000B67D1"/>
    <w:rsid w:val="000B6A88"/>
    <w:rsid w:val="000B7328"/>
    <w:rsid w:val="000B734C"/>
    <w:rsid w:val="000B7711"/>
    <w:rsid w:val="000B7C6C"/>
    <w:rsid w:val="000C088B"/>
    <w:rsid w:val="000C0EC6"/>
    <w:rsid w:val="000C126B"/>
    <w:rsid w:val="000C1C4E"/>
    <w:rsid w:val="000C1CC8"/>
    <w:rsid w:val="000C1E16"/>
    <w:rsid w:val="000C2B27"/>
    <w:rsid w:val="000C2B9C"/>
    <w:rsid w:val="000C2F06"/>
    <w:rsid w:val="000C357E"/>
    <w:rsid w:val="000C443E"/>
    <w:rsid w:val="000C4831"/>
    <w:rsid w:val="000C48D3"/>
    <w:rsid w:val="000C4CFC"/>
    <w:rsid w:val="000C56D1"/>
    <w:rsid w:val="000C5EBB"/>
    <w:rsid w:val="000C6374"/>
    <w:rsid w:val="000C6487"/>
    <w:rsid w:val="000C6588"/>
    <w:rsid w:val="000C65DA"/>
    <w:rsid w:val="000C67EA"/>
    <w:rsid w:val="000C6916"/>
    <w:rsid w:val="000C771B"/>
    <w:rsid w:val="000D01F0"/>
    <w:rsid w:val="000D0BA6"/>
    <w:rsid w:val="000D0BE7"/>
    <w:rsid w:val="000D1D62"/>
    <w:rsid w:val="000D1D6D"/>
    <w:rsid w:val="000D1EDD"/>
    <w:rsid w:val="000D20E9"/>
    <w:rsid w:val="000D282F"/>
    <w:rsid w:val="000D2BC6"/>
    <w:rsid w:val="000D2C8E"/>
    <w:rsid w:val="000D2E82"/>
    <w:rsid w:val="000D30A1"/>
    <w:rsid w:val="000D3891"/>
    <w:rsid w:val="000D3D37"/>
    <w:rsid w:val="000D414F"/>
    <w:rsid w:val="000D4166"/>
    <w:rsid w:val="000D43D1"/>
    <w:rsid w:val="000D43DC"/>
    <w:rsid w:val="000D451B"/>
    <w:rsid w:val="000D6D63"/>
    <w:rsid w:val="000D7227"/>
    <w:rsid w:val="000D729B"/>
    <w:rsid w:val="000E0243"/>
    <w:rsid w:val="000E10C6"/>
    <w:rsid w:val="000E13C9"/>
    <w:rsid w:val="000E1E67"/>
    <w:rsid w:val="000E215B"/>
    <w:rsid w:val="000E288B"/>
    <w:rsid w:val="000E2953"/>
    <w:rsid w:val="000E3DD5"/>
    <w:rsid w:val="000E4158"/>
    <w:rsid w:val="000E4BD2"/>
    <w:rsid w:val="000E4DC1"/>
    <w:rsid w:val="000E4E31"/>
    <w:rsid w:val="000E562B"/>
    <w:rsid w:val="000E59FA"/>
    <w:rsid w:val="000E60F0"/>
    <w:rsid w:val="000E63FD"/>
    <w:rsid w:val="000E656B"/>
    <w:rsid w:val="000E6835"/>
    <w:rsid w:val="000E6D1B"/>
    <w:rsid w:val="000E722B"/>
    <w:rsid w:val="000F11AB"/>
    <w:rsid w:val="000F17A3"/>
    <w:rsid w:val="000F2F6F"/>
    <w:rsid w:val="000F3DD4"/>
    <w:rsid w:val="000F44DC"/>
    <w:rsid w:val="000F4BE9"/>
    <w:rsid w:val="000F4FD5"/>
    <w:rsid w:val="000F503A"/>
    <w:rsid w:val="000F5E4A"/>
    <w:rsid w:val="000F6453"/>
    <w:rsid w:val="000F6658"/>
    <w:rsid w:val="000F6C2C"/>
    <w:rsid w:val="000F7103"/>
    <w:rsid w:val="000F734F"/>
    <w:rsid w:val="000F7B9E"/>
    <w:rsid w:val="000F7CDF"/>
    <w:rsid w:val="000F7EBE"/>
    <w:rsid w:val="0010000A"/>
    <w:rsid w:val="0010010D"/>
    <w:rsid w:val="0010052A"/>
    <w:rsid w:val="0010063C"/>
    <w:rsid w:val="00100798"/>
    <w:rsid w:val="00100BE1"/>
    <w:rsid w:val="00101337"/>
    <w:rsid w:val="00101938"/>
    <w:rsid w:val="0010227F"/>
    <w:rsid w:val="001040EA"/>
    <w:rsid w:val="00105A39"/>
    <w:rsid w:val="00105F1A"/>
    <w:rsid w:val="001062A1"/>
    <w:rsid w:val="0010636B"/>
    <w:rsid w:val="0010754B"/>
    <w:rsid w:val="00107705"/>
    <w:rsid w:val="0010778F"/>
    <w:rsid w:val="00107DE8"/>
    <w:rsid w:val="0011049D"/>
    <w:rsid w:val="00110CEA"/>
    <w:rsid w:val="00111965"/>
    <w:rsid w:val="00111C5A"/>
    <w:rsid w:val="0011275F"/>
    <w:rsid w:val="00112CBA"/>
    <w:rsid w:val="00113187"/>
    <w:rsid w:val="00113AE5"/>
    <w:rsid w:val="00114680"/>
    <w:rsid w:val="00114D88"/>
    <w:rsid w:val="0011666F"/>
    <w:rsid w:val="00117DA4"/>
    <w:rsid w:val="0012022F"/>
    <w:rsid w:val="001202C5"/>
    <w:rsid w:val="00120A03"/>
    <w:rsid w:val="00120E49"/>
    <w:rsid w:val="001218A8"/>
    <w:rsid w:val="001226A1"/>
    <w:rsid w:val="00122AFF"/>
    <w:rsid w:val="00123224"/>
    <w:rsid w:val="0012330A"/>
    <w:rsid w:val="00123698"/>
    <w:rsid w:val="001238F1"/>
    <w:rsid w:val="001239C9"/>
    <w:rsid w:val="00123B4B"/>
    <w:rsid w:val="00123C07"/>
    <w:rsid w:val="001240A7"/>
    <w:rsid w:val="00124441"/>
    <w:rsid w:val="00124E06"/>
    <w:rsid w:val="00125C2E"/>
    <w:rsid w:val="00126ED0"/>
    <w:rsid w:val="00126F9E"/>
    <w:rsid w:val="00127DEC"/>
    <w:rsid w:val="00127E41"/>
    <w:rsid w:val="001306EC"/>
    <w:rsid w:val="001309DF"/>
    <w:rsid w:val="00130AA1"/>
    <w:rsid w:val="00130EA9"/>
    <w:rsid w:val="00130FBA"/>
    <w:rsid w:val="0013255A"/>
    <w:rsid w:val="00132B72"/>
    <w:rsid w:val="001330B8"/>
    <w:rsid w:val="00133213"/>
    <w:rsid w:val="00133287"/>
    <w:rsid w:val="001338CA"/>
    <w:rsid w:val="00133A12"/>
    <w:rsid w:val="00133CE9"/>
    <w:rsid w:val="00134841"/>
    <w:rsid w:val="00134E9B"/>
    <w:rsid w:val="001354C2"/>
    <w:rsid w:val="00135611"/>
    <w:rsid w:val="00135F9E"/>
    <w:rsid w:val="001367CE"/>
    <w:rsid w:val="00136E84"/>
    <w:rsid w:val="0013737A"/>
    <w:rsid w:val="00137758"/>
    <w:rsid w:val="00140FC1"/>
    <w:rsid w:val="001411DA"/>
    <w:rsid w:val="00141552"/>
    <w:rsid w:val="00141CBD"/>
    <w:rsid w:val="0014267E"/>
    <w:rsid w:val="00142E0D"/>
    <w:rsid w:val="00143238"/>
    <w:rsid w:val="0014412F"/>
    <w:rsid w:val="00144248"/>
    <w:rsid w:val="001443DB"/>
    <w:rsid w:val="00144455"/>
    <w:rsid w:val="00144670"/>
    <w:rsid w:val="00144C13"/>
    <w:rsid w:val="00145855"/>
    <w:rsid w:val="00145A76"/>
    <w:rsid w:val="00146439"/>
    <w:rsid w:val="00146AA0"/>
    <w:rsid w:val="001471CA"/>
    <w:rsid w:val="0014734F"/>
    <w:rsid w:val="00147A02"/>
    <w:rsid w:val="00147BB3"/>
    <w:rsid w:val="00147E84"/>
    <w:rsid w:val="00150501"/>
    <w:rsid w:val="001517CC"/>
    <w:rsid w:val="00151A13"/>
    <w:rsid w:val="00151DDE"/>
    <w:rsid w:val="00152293"/>
    <w:rsid w:val="00152510"/>
    <w:rsid w:val="00152573"/>
    <w:rsid w:val="00153050"/>
    <w:rsid w:val="001545A4"/>
    <w:rsid w:val="0015479E"/>
    <w:rsid w:val="0015504F"/>
    <w:rsid w:val="00155B89"/>
    <w:rsid w:val="00156154"/>
    <w:rsid w:val="00156805"/>
    <w:rsid w:val="00156992"/>
    <w:rsid w:val="00157135"/>
    <w:rsid w:val="001579E7"/>
    <w:rsid w:val="00157AEE"/>
    <w:rsid w:val="00157FC5"/>
    <w:rsid w:val="0016017B"/>
    <w:rsid w:val="00160B99"/>
    <w:rsid w:val="00161F67"/>
    <w:rsid w:val="001621E9"/>
    <w:rsid w:val="001629FC"/>
    <w:rsid w:val="00162F10"/>
    <w:rsid w:val="00163D83"/>
    <w:rsid w:val="001641C8"/>
    <w:rsid w:val="00164402"/>
    <w:rsid w:val="00164B14"/>
    <w:rsid w:val="00164F09"/>
    <w:rsid w:val="001651AF"/>
    <w:rsid w:val="001651D8"/>
    <w:rsid w:val="00165DEF"/>
    <w:rsid w:val="001669F8"/>
    <w:rsid w:val="00166E13"/>
    <w:rsid w:val="00167006"/>
    <w:rsid w:val="001678C3"/>
    <w:rsid w:val="00167F9C"/>
    <w:rsid w:val="00170628"/>
    <w:rsid w:val="001708C0"/>
    <w:rsid w:val="001719B3"/>
    <w:rsid w:val="00171B2F"/>
    <w:rsid w:val="00171F60"/>
    <w:rsid w:val="0017258A"/>
    <w:rsid w:val="0017473A"/>
    <w:rsid w:val="00174BC2"/>
    <w:rsid w:val="001755CC"/>
    <w:rsid w:val="00175C17"/>
    <w:rsid w:val="00176638"/>
    <w:rsid w:val="001767F7"/>
    <w:rsid w:val="00176A89"/>
    <w:rsid w:val="00180929"/>
    <w:rsid w:val="00180B9D"/>
    <w:rsid w:val="00180ECC"/>
    <w:rsid w:val="00181554"/>
    <w:rsid w:val="00181DC0"/>
    <w:rsid w:val="0018355D"/>
    <w:rsid w:val="00183E00"/>
    <w:rsid w:val="00184583"/>
    <w:rsid w:val="00184F4C"/>
    <w:rsid w:val="00185395"/>
    <w:rsid w:val="00185555"/>
    <w:rsid w:val="00186B7B"/>
    <w:rsid w:val="00186EA5"/>
    <w:rsid w:val="001873E1"/>
    <w:rsid w:val="00187F0A"/>
    <w:rsid w:val="00190156"/>
    <w:rsid w:val="001906CF"/>
    <w:rsid w:val="00190E8C"/>
    <w:rsid w:val="00191A30"/>
    <w:rsid w:val="00191EBD"/>
    <w:rsid w:val="00191F92"/>
    <w:rsid w:val="00191FA9"/>
    <w:rsid w:val="00192334"/>
    <w:rsid w:val="001937C2"/>
    <w:rsid w:val="00194350"/>
    <w:rsid w:val="001950A4"/>
    <w:rsid w:val="00195369"/>
    <w:rsid w:val="0019554B"/>
    <w:rsid w:val="0019563C"/>
    <w:rsid w:val="0019632C"/>
    <w:rsid w:val="00196715"/>
    <w:rsid w:val="001968C7"/>
    <w:rsid w:val="001970CB"/>
    <w:rsid w:val="00197469"/>
    <w:rsid w:val="00197A4C"/>
    <w:rsid w:val="001A11B7"/>
    <w:rsid w:val="001A1973"/>
    <w:rsid w:val="001A26E1"/>
    <w:rsid w:val="001A2744"/>
    <w:rsid w:val="001A2BEE"/>
    <w:rsid w:val="001A346C"/>
    <w:rsid w:val="001A3485"/>
    <w:rsid w:val="001A3A1D"/>
    <w:rsid w:val="001A3F2B"/>
    <w:rsid w:val="001A4B7D"/>
    <w:rsid w:val="001A4D93"/>
    <w:rsid w:val="001A5327"/>
    <w:rsid w:val="001A53A1"/>
    <w:rsid w:val="001A5923"/>
    <w:rsid w:val="001A5B82"/>
    <w:rsid w:val="001A5C33"/>
    <w:rsid w:val="001A5F5A"/>
    <w:rsid w:val="001A6D3E"/>
    <w:rsid w:val="001A7339"/>
    <w:rsid w:val="001A7E34"/>
    <w:rsid w:val="001A7FC9"/>
    <w:rsid w:val="001B0370"/>
    <w:rsid w:val="001B0C3C"/>
    <w:rsid w:val="001B0ED1"/>
    <w:rsid w:val="001B11ED"/>
    <w:rsid w:val="001B1A11"/>
    <w:rsid w:val="001B1E76"/>
    <w:rsid w:val="001B25D8"/>
    <w:rsid w:val="001B2E2D"/>
    <w:rsid w:val="001B3812"/>
    <w:rsid w:val="001B482D"/>
    <w:rsid w:val="001B4886"/>
    <w:rsid w:val="001B4B6D"/>
    <w:rsid w:val="001B51E3"/>
    <w:rsid w:val="001B5ACF"/>
    <w:rsid w:val="001B68BA"/>
    <w:rsid w:val="001C0C82"/>
    <w:rsid w:val="001C1291"/>
    <w:rsid w:val="001C133A"/>
    <w:rsid w:val="001C1763"/>
    <w:rsid w:val="001C1D27"/>
    <w:rsid w:val="001C28F8"/>
    <w:rsid w:val="001C2A1C"/>
    <w:rsid w:val="001C2B95"/>
    <w:rsid w:val="001C3676"/>
    <w:rsid w:val="001C3E00"/>
    <w:rsid w:val="001C432D"/>
    <w:rsid w:val="001C4E64"/>
    <w:rsid w:val="001C5559"/>
    <w:rsid w:val="001C55F8"/>
    <w:rsid w:val="001C5BC1"/>
    <w:rsid w:val="001C6466"/>
    <w:rsid w:val="001C6B95"/>
    <w:rsid w:val="001C713B"/>
    <w:rsid w:val="001C75D3"/>
    <w:rsid w:val="001D059C"/>
    <w:rsid w:val="001D09DC"/>
    <w:rsid w:val="001D0AC9"/>
    <w:rsid w:val="001D1846"/>
    <w:rsid w:val="001D1A4B"/>
    <w:rsid w:val="001D22BA"/>
    <w:rsid w:val="001D256A"/>
    <w:rsid w:val="001D3043"/>
    <w:rsid w:val="001D30D9"/>
    <w:rsid w:val="001D3235"/>
    <w:rsid w:val="001D334A"/>
    <w:rsid w:val="001D33EC"/>
    <w:rsid w:val="001D425D"/>
    <w:rsid w:val="001D4320"/>
    <w:rsid w:val="001D4324"/>
    <w:rsid w:val="001D45FD"/>
    <w:rsid w:val="001D4813"/>
    <w:rsid w:val="001D4DD9"/>
    <w:rsid w:val="001D53D6"/>
    <w:rsid w:val="001D5456"/>
    <w:rsid w:val="001D5C14"/>
    <w:rsid w:val="001D6378"/>
    <w:rsid w:val="001D66F0"/>
    <w:rsid w:val="001D715D"/>
    <w:rsid w:val="001D78A5"/>
    <w:rsid w:val="001D79F7"/>
    <w:rsid w:val="001E0BA6"/>
    <w:rsid w:val="001E1E80"/>
    <w:rsid w:val="001E2C4A"/>
    <w:rsid w:val="001E2CCD"/>
    <w:rsid w:val="001E3465"/>
    <w:rsid w:val="001E43C8"/>
    <w:rsid w:val="001E5675"/>
    <w:rsid w:val="001E76EA"/>
    <w:rsid w:val="001F1370"/>
    <w:rsid w:val="001F1434"/>
    <w:rsid w:val="001F1E77"/>
    <w:rsid w:val="001F2493"/>
    <w:rsid w:val="001F342F"/>
    <w:rsid w:val="001F3C75"/>
    <w:rsid w:val="001F3CC5"/>
    <w:rsid w:val="001F3E26"/>
    <w:rsid w:val="001F3FDA"/>
    <w:rsid w:val="001F4382"/>
    <w:rsid w:val="001F479E"/>
    <w:rsid w:val="001F51E4"/>
    <w:rsid w:val="001F679B"/>
    <w:rsid w:val="001F6FFD"/>
    <w:rsid w:val="001F71E0"/>
    <w:rsid w:val="001F77C7"/>
    <w:rsid w:val="0020019E"/>
    <w:rsid w:val="00200BCD"/>
    <w:rsid w:val="00202AEF"/>
    <w:rsid w:val="00203343"/>
    <w:rsid w:val="002037EA"/>
    <w:rsid w:val="00203C7F"/>
    <w:rsid w:val="002042DA"/>
    <w:rsid w:val="00204510"/>
    <w:rsid w:val="00204E67"/>
    <w:rsid w:val="002050E6"/>
    <w:rsid w:val="00205556"/>
    <w:rsid w:val="00205DCD"/>
    <w:rsid w:val="0020646B"/>
    <w:rsid w:val="002066BD"/>
    <w:rsid w:val="0020700A"/>
    <w:rsid w:val="00207379"/>
    <w:rsid w:val="00210D52"/>
    <w:rsid w:val="00211CE9"/>
    <w:rsid w:val="00211D70"/>
    <w:rsid w:val="0021218A"/>
    <w:rsid w:val="0021221B"/>
    <w:rsid w:val="00212569"/>
    <w:rsid w:val="002132BF"/>
    <w:rsid w:val="00213324"/>
    <w:rsid w:val="00213561"/>
    <w:rsid w:val="002137D6"/>
    <w:rsid w:val="002141EB"/>
    <w:rsid w:val="0021473E"/>
    <w:rsid w:val="00214A46"/>
    <w:rsid w:val="00214FE2"/>
    <w:rsid w:val="0021583F"/>
    <w:rsid w:val="00215E35"/>
    <w:rsid w:val="00215E95"/>
    <w:rsid w:val="002165E0"/>
    <w:rsid w:val="00216726"/>
    <w:rsid w:val="00216EDF"/>
    <w:rsid w:val="0022042C"/>
    <w:rsid w:val="002204F2"/>
    <w:rsid w:val="00221436"/>
    <w:rsid w:val="00221D7E"/>
    <w:rsid w:val="00221EB3"/>
    <w:rsid w:val="002234A4"/>
    <w:rsid w:val="00223790"/>
    <w:rsid w:val="00223B86"/>
    <w:rsid w:val="00223C33"/>
    <w:rsid w:val="00224783"/>
    <w:rsid w:val="00224908"/>
    <w:rsid w:val="00224B09"/>
    <w:rsid w:val="00224D8A"/>
    <w:rsid w:val="0022528A"/>
    <w:rsid w:val="002253E4"/>
    <w:rsid w:val="00225533"/>
    <w:rsid w:val="00225BAE"/>
    <w:rsid w:val="00225BF7"/>
    <w:rsid w:val="00225EF6"/>
    <w:rsid w:val="0022782C"/>
    <w:rsid w:val="00227875"/>
    <w:rsid w:val="002301B6"/>
    <w:rsid w:val="002302F0"/>
    <w:rsid w:val="00230BB3"/>
    <w:rsid w:val="0023140E"/>
    <w:rsid w:val="00232902"/>
    <w:rsid w:val="00233523"/>
    <w:rsid w:val="002336CB"/>
    <w:rsid w:val="0023439D"/>
    <w:rsid w:val="00234447"/>
    <w:rsid w:val="00234A7B"/>
    <w:rsid w:val="002350C9"/>
    <w:rsid w:val="002354B0"/>
    <w:rsid w:val="002359F8"/>
    <w:rsid w:val="00235CFB"/>
    <w:rsid w:val="00237D1E"/>
    <w:rsid w:val="00237F27"/>
    <w:rsid w:val="002402EA"/>
    <w:rsid w:val="00240D69"/>
    <w:rsid w:val="00240FF0"/>
    <w:rsid w:val="00241095"/>
    <w:rsid w:val="00241246"/>
    <w:rsid w:val="0024127E"/>
    <w:rsid w:val="00241C2D"/>
    <w:rsid w:val="00241E9D"/>
    <w:rsid w:val="00242192"/>
    <w:rsid w:val="002424B6"/>
    <w:rsid w:val="00242F56"/>
    <w:rsid w:val="0024337D"/>
    <w:rsid w:val="00243C77"/>
    <w:rsid w:val="002448F1"/>
    <w:rsid w:val="00245701"/>
    <w:rsid w:val="0024586A"/>
    <w:rsid w:val="00245A18"/>
    <w:rsid w:val="00245B6D"/>
    <w:rsid w:val="00245DBC"/>
    <w:rsid w:val="00246D38"/>
    <w:rsid w:val="00247C8D"/>
    <w:rsid w:val="0025043C"/>
    <w:rsid w:val="00252481"/>
    <w:rsid w:val="002524A7"/>
    <w:rsid w:val="00252655"/>
    <w:rsid w:val="00252C45"/>
    <w:rsid w:val="00252F6F"/>
    <w:rsid w:val="002532FD"/>
    <w:rsid w:val="00253DD9"/>
    <w:rsid w:val="0025454A"/>
    <w:rsid w:val="0025471C"/>
    <w:rsid w:val="002550B9"/>
    <w:rsid w:val="002555C1"/>
    <w:rsid w:val="00255D0E"/>
    <w:rsid w:val="00255F91"/>
    <w:rsid w:val="002561EF"/>
    <w:rsid w:val="002567A8"/>
    <w:rsid w:val="0025696B"/>
    <w:rsid w:val="0025792D"/>
    <w:rsid w:val="00257C8A"/>
    <w:rsid w:val="00257DAF"/>
    <w:rsid w:val="0026096C"/>
    <w:rsid w:val="002618CA"/>
    <w:rsid w:val="00261F93"/>
    <w:rsid w:val="002621F6"/>
    <w:rsid w:val="0026320E"/>
    <w:rsid w:val="00263273"/>
    <w:rsid w:val="00263283"/>
    <w:rsid w:val="0026336D"/>
    <w:rsid w:val="0026379F"/>
    <w:rsid w:val="0026393C"/>
    <w:rsid w:val="00263F88"/>
    <w:rsid w:val="00264115"/>
    <w:rsid w:val="0026554D"/>
    <w:rsid w:val="00266712"/>
    <w:rsid w:val="0026676A"/>
    <w:rsid w:val="002679F7"/>
    <w:rsid w:val="00267BFC"/>
    <w:rsid w:val="0027051A"/>
    <w:rsid w:val="00270648"/>
    <w:rsid w:val="002708EE"/>
    <w:rsid w:val="00270E94"/>
    <w:rsid w:val="00271DA4"/>
    <w:rsid w:val="0027226B"/>
    <w:rsid w:val="0027281A"/>
    <w:rsid w:val="00272FCF"/>
    <w:rsid w:val="00273860"/>
    <w:rsid w:val="0027475E"/>
    <w:rsid w:val="002749F8"/>
    <w:rsid w:val="00274C92"/>
    <w:rsid w:val="00274FE3"/>
    <w:rsid w:val="00275887"/>
    <w:rsid w:val="00276287"/>
    <w:rsid w:val="00276302"/>
    <w:rsid w:val="00276B9F"/>
    <w:rsid w:val="00277039"/>
    <w:rsid w:val="00277CEA"/>
    <w:rsid w:val="00280626"/>
    <w:rsid w:val="002807EF"/>
    <w:rsid w:val="00280D3B"/>
    <w:rsid w:val="00281028"/>
    <w:rsid w:val="00281276"/>
    <w:rsid w:val="002815FD"/>
    <w:rsid w:val="00282053"/>
    <w:rsid w:val="00282C22"/>
    <w:rsid w:val="00282E3B"/>
    <w:rsid w:val="002831DC"/>
    <w:rsid w:val="002833F2"/>
    <w:rsid w:val="002841D9"/>
    <w:rsid w:val="002842BA"/>
    <w:rsid w:val="0028590E"/>
    <w:rsid w:val="00286853"/>
    <w:rsid w:val="00286A66"/>
    <w:rsid w:val="00287016"/>
    <w:rsid w:val="002872EB"/>
    <w:rsid w:val="00290D1E"/>
    <w:rsid w:val="00290ECF"/>
    <w:rsid w:val="002912D0"/>
    <w:rsid w:val="00291A37"/>
    <w:rsid w:val="0029241E"/>
    <w:rsid w:val="00292842"/>
    <w:rsid w:val="00293F4B"/>
    <w:rsid w:val="002943E7"/>
    <w:rsid w:val="00294BFE"/>
    <w:rsid w:val="0029575E"/>
    <w:rsid w:val="00295827"/>
    <w:rsid w:val="0029586F"/>
    <w:rsid w:val="0029607C"/>
    <w:rsid w:val="0029636D"/>
    <w:rsid w:val="002963E4"/>
    <w:rsid w:val="002964EE"/>
    <w:rsid w:val="00296921"/>
    <w:rsid w:val="00296BA3"/>
    <w:rsid w:val="00297960"/>
    <w:rsid w:val="00297DC9"/>
    <w:rsid w:val="002A0479"/>
    <w:rsid w:val="002A0B20"/>
    <w:rsid w:val="002A0CA6"/>
    <w:rsid w:val="002A168D"/>
    <w:rsid w:val="002A1B46"/>
    <w:rsid w:val="002A1C4D"/>
    <w:rsid w:val="002A1DBC"/>
    <w:rsid w:val="002A1F2D"/>
    <w:rsid w:val="002A20F3"/>
    <w:rsid w:val="002A33AE"/>
    <w:rsid w:val="002A33EA"/>
    <w:rsid w:val="002A5837"/>
    <w:rsid w:val="002A5A27"/>
    <w:rsid w:val="002A5CD7"/>
    <w:rsid w:val="002A6426"/>
    <w:rsid w:val="002A6523"/>
    <w:rsid w:val="002A6DC6"/>
    <w:rsid w:val="002A75F7"/>
    <w:rsid w:val="002A7F68"/>
    <w:rsid w:val="002B02E0"/>
    <w:rsid w:val="002B034D"/>
    <w:rsid w:val="002B08E2"/>
    <w:rsid w:val="002B0BCE"/>
    <w:rsid w:val="002B170C"/>
    <w:rsid w:val="002B1DD1"/>
    <w:rsid w:val="002B205F"/>
    <w:rsid w:val="002B2614"/>
    <w:rsid w:val="002B4F4F"/>
    <w:rsid w:val="002B6185"/>
    <w:rsid w:val="002B6775"/>
    <w:rsid w:val="002B7419"/>
    <w:rsid w:val="002B760F"/>
    <w:rsid w:val="002C02EC"/>
    <w:rsid w:val="002C0B59"/>
    <w:rsid w:val="002C0B5F"/>
    <w:rsid w:val="002C1512"/>
    <w:rsid w:val="002C1F0D"/>
    <w:rsid w:val="002C327C"/>
    <w:rsid w:val="002C37F2"/>
    <w:rsid w:val="002C393E"/>
    <w:rsid w:val="002C3F27"/>
    <w:rsid w:val="002C4411"/>
    <w:rsid w:val="002C4A2C"/>
    <w:rsid w:val="002C5A42"/>
    <w:rsid w:val="002C5FFE"/>
    <w:rsid w:val="002C6097"/>
    <w:rsid w:val="002C7019"/>
    <w:rsid w:val="002C76A9"/>
    <w:rsid w:val="002C7E4E"/>
    <w:rsid w:val="002D0330"/>
    <w:rsid w:val="002D04C5"/>
    <w:rsid w:val="002D09F7"/>
    <w:rsid w:val="002D10A0"/>
    <w:rsid w:val="002D1E4B"/>
    <w:rsid w:val="002D213A"/>
    <w:rsid w:val="002D24DB"/>
    <w:rsid w:val="002D2989"/>
    <w:rsid w:val="002D3595"/>
    <w:rsid w:val="002D449C"/>
    <w:rsid w:val="002D4714"/>
    <w:rsid w:val="002D4E26"/>
    <w:rsid w:val="002D5D64"/>
    <w:rsid w:val="002D5DC4"/>
    <w:rsid w:val="002D72ED"/>
    <w:rsid w:val="002D7488"/>
    <w:rsid w:val="002D7671"/>
    <w:rsid w:val="002D79BA"/>
    <w:rsid w:val="002D7D91"/>
    <w:rsid w:val="002D7E18"/>
    <w:rsid w:val="002D7EDE"/>
    <w:rsid w:val="002E0115"/>
    <w:rsid w:val="002E0221"/>
    <w:rsid w:val="002E0D91"/>
    <w:rsid w:val="002E0F19"/>
    <w:rsid w:val="002E165E"/>
    <w:rsid w:val="002E1677"/>
    <w:rsid w:val="002E22F6"/>
    <w:rsid w:val="002E23F0"/>
    <w:rsid w:val="002E2A19"/>
    <w:rsid w:val="002E2B83"/>
    <w:rsid w:val="002E3465"/>
    <w:rsid w:val="002E34AE"/>
    <w:rsid w:val="002E3B17"/>
    <w:rsid w:val="002E4442"/>
    <w:rsid w:val="002E48B3"/>
    <w:rsid w:val="002E5314"/>
    <w:rsid w:val="002E54C6"/>
    <w:rsid w:val="002E5C7B"/>
    <w:rsid w:val="002E605F"/>
    <w:rsid w:val="002E6D38"/>
    <w:rsid w:val="002E6E56"/>
    <w:rsid w:val="002F07CD"/>
    <w:rsid w:val="002F0C0B"/>
    <w:rsid w:val="002F1B66"/>
    <w:rsid w:val="002F1C31"/>
    <w:rsid w:val="002F1CB4"/>
    <w:rsid w:val="002F27A3"/>
    <w:rsid w:val="002F2C33"/>
    <w:rsid w:val="002F2DA2"/>
    <w:rsid w:val="002F2FE6"/>
    <w:rsid w:val="002F357D"/>
    <w:rsid w:val="002F35E2"/>
    <w:rsid w:val="002F36D6"/>
    <w:rsid w:val="002F41B3"/>
    <w:rsid w:val="002F43AB"/>
    <w:rsid w:val="002F571F"/>
    <w:rsid w:val="002F5754"/>
    <w:rsid w:val="002F613C"/>
    <w:rsid w:val="002F647F"/>
    <w:rsid w:val="002F6CED"/>
    <w:rsid w:val="002F73BE"/>
    <w:rsid w:val="0030065C"/>
    <w:rsid w:val="00300984"/>
    <w:rsid w:val="00301850"/>
    <w:rsid w:val="00301A4F"/>
    <w:rsid w:val="003024DA"/>
    <w:rsid w:val="003038F5"/>
    <w:rsid w:val="00303A21"/>
    <w:rsid w:val="00304862"/>
    <w:rsid w:val="00304E2D"/>
    <w:rsid w:val="0030587E"/>
    <w:rsid w:val="00305E53"/>
    <w:rsid w:val="00306A79"/>
    <w:rsid w:val="00306ABA"/>
    <w:rsid w:val="00306EC4"/>
    <w:rsid w:val="003072C5"/>
    <w:rsid w:val="003079AF"/>
    <w:rsid w:val="00310616"/>
    <w:rsid w:val="00310692"/>
    <w:rsid w:val="00310B52"/>
    <w:rsid w:val="00311F30"/>
    <w:rsid w:val="003120B5"/>
    <w:rsid w:val="003120E7"/>
    <w:rsid w:val="003128A7"/>
    <w:rsid w:val="00312EB3"/>
    <w:rsid w:val="00312EBC"/>
    <w:rsid w:val="00313332"/>
    <w:rsid w:val="003133FC"/>
    <w:rsid w:val="00314AFE"/>
    <w:rsid w:val="00314D2D"/>
    <w:rsid w:val="003150C2"/>
    <w:rsid w:val="00315278"/>
    <w:rsid w:val="0031663D"/>
    <w:rsid w:val="003176A2"/>
    <w:rsid w:val="00317A14"/>
    <w:rsid w:val="00317A26"/>
    <w:rsid w:val="00317AF5"/>
    <w:rsid w:val="00317FCD"/>
    <w:rsid w:val="0032018E"/>
    <w:rsid w:val="00320917"/>
    <w:rsid w:val="00320C49"/>
    <w:rsid w:val="00320D9A"/>
    <w:rsid w:val="0032113B"/>
    <w:rsid w:val="003215F9"/>
    <w:rsid w:val="0032252B"/>
    <w:rsid w:val="003227D8"/>
    <w:rsid w:val="0032282B"/>
    <w:rsid w:val="0032282E"/>
    <w:rsid w:val="00322DEB"/>
    <w:rsid w:val="00323B6D"/>
    <w:rsid w:val="00323E7D"/>
    <w:rsid w:val="00324683"/>
    <w:rsid w:val="003249B0"/>
    <w:rsid w:val="00324BB6"/>
    <w:rsid w:val="003252C0"/>
    <w:rsid w:val="00325851"/>
    <w:rsid w:val="00326507"/>
    <w:rsid w:val="00326898"/>
    <w:rsid w:val="00326BCA"/>
    <w:rsid w:val="00326E85"/>
    <w:rsid w:val="00326EC8"/>
    <w:rsid w:val="0032705F"/>
    <w:rsid w:val="0032739C"/>
    <w:rsid w:val="00327631"/>
    <w:rsid w:val="00330784"/>
    <w:rsid w:val="00330FF8"/>
    <w:rsid w:val="00331854"/>
    <w:rsid w:val="003322C3"/>
    <w:rsid w:val="00332687"/>
    <w:rsid w:val="00332B30"/>
    <w:rsid w:val="00332E59"/>
    <w:rsid w:val="00333015"/>
    <w:rsid w:val="003333A0"/>
    <w:rsid w:val="00334227"/>
    <w:rsid w:val="00334524"/>
    <w:rsid w:val="00334616"/>
    <w:rsid w:val="00335444"/>
    <w:rsid w:val="00335B25"/>
    <w:rsid w:val="00336B19"/>
    <w:rsid w:val="00340408"/>
    <w:rsid w:val="003406A8"/>
    <w:rsid w:val="0034105E"/>
    <w:rsid w:val="00341429"/>
    <w:rsid w:val="0034217D"/>
    <w:rsid w:val="00342228"/>
    <w:rsid w:val="003436D3"/>
    <w:rsid w:val="00343DB4"/>
    <w:rsid w:val="003444F2"/>
    <w:rsid w:val="00344B49"/>
    <w:rsid w:val="0034554F"/>
    <w:rsid w:val="00345F6E"/>
    <w:rsid w:val="00345FD5"/>
    <w:rsid w:val="003460E3"/>
    <w:rsid w:val="00346975"/>
    <w:rsid w:val="00346F81"/>
    <w:rsid w:val="003503E7"/>
    <w:rsid w:val="00350870"/>
    <w:rsid w:val="00350AB6"/>
    <w:rsid w:val="00351023"/>
    <w:rsid w:val="003513EF"/>
    <w:rsid w:val="003514A6"/>
    <w:rsid w:val="003517EB"/>
    <w:rsid w:val="00351A20"/>
    <w:rsid w:val="00351D51"/>
    <w:rsid w:val="003522BB"/>
    <w:rsid w:val="00352688"/>
    <w:rsid w:val="003538F6"/>
    <w:rsid w:val="0035599F"/>
    <w:rsid w:val="00356248"/>
    <w:rsid w:val="0035664A"/>
    <w:rsid w:val="00356851"/>
    <w:rsid w:val="00356CEC"/>
    <w:rsid w:val="00357B35"/>
    <w:rsid w:val="0036056A"/>
    <w:rsid w:val="00360AE8"/>
    <w:rsid w:val="00360BD6"/>
    <w:rsid w:val="0036151B"/>
    <w:rsid w:val="0036156C"/>
    <w:rsid w:val="00361BC1"/>
    <w:rsid w:val="00361CE2"/>
    <w:rsid w:val="003625F1"/>
    <w:rsid w:val="00362BEC"/>
    <w:rsid w:val="003635B6"/>
    <w:rsid w:val="00364531"/>
    <w:rsid w:val="00364FAE"/>
    <w:rsid w:val="003657DF"/>
    <w:rsid w:val="003670EE"/>
    <w:rsid w:val="00367B61"/>
    <w:rsid w:val="00370B80"/>
    <w:rsid w:val="00371188"/>
    <w:rsid w:val="003725F7"/>
    <w:rsid w:val="00372A1D"/>
    <w:rsid w:val="0037379D"/>
    <w:rsid w:val="00373920"/>
    <w:rsid w:val="00373C34"/>
    <w:rsid w:val="00374133"/>
    <w:rsid w:val="003749A4"/>
    <w:rsid w:val="00375039"/>
    <w:rsid w:val="0037568F"/>
    <w:rsid w:val="00376591"/>
    <w:rsid w:val="003768AA"/>
    <w:rsid w:val="003769FE"/>
    <w:rsid w:val="00377142"/>
    <w:rsid w:val="00377F6C"/>
    <w:rsid w:val="003801AE"/>
    <w:rsid w:val="003801EE"/>
    <w:rsid w:val="003806CC"/>
    <w:rsid w:val="00380728"/>
    <w:rsid w:val="0038092D"/>
    <w:rsid w:val="00380BA1"/>
    <w:rsid w:val="00380C28"/>
    <w:rsid w:val="00381238"/>
    <w:rsid w:val="0038126F"/>
    <w:rsid w:val="00381473"/>
    <w:rsid w:val="00381481"/>
    <w:rsid w:val="003822D2"/>
    <w:rsid w:val="00382CE9"/>
    <w:rsid w:val="00383358"/>
    <w:rsid w:val="00383379"/>
    <w:rsid w:val="00383AD0"/>
    <w:rsid w:val="00383FEF"/>
    <w:rsid w:val="00384237"/>
    <w:rsid w:val="003847C3"/>
    <w:rsid w:val="00384958"/>
    <w:rsid w:val="00387E7C"/>
    <w:rsid w:val="0039017A"/>
    <w:rsid w:val="00390745"/>
    <w:rsid w:val="00390AAE"/>
    <w:rsid w:val="00390F02"/>
    <w:rsid w:val="00391731"/>
    <w:rsid w:val="0039221C"/>
    <w:rsid w:val="0039237F"/>
    <w:rsid w:val="00392A47"/>
    <w:rsid w:val="00392D5A"/>
    <w:rsid w:val="00392E31"/>
    <w:rsid w:val="00393D81"/>
    <w:rsid w:val="003942C1"/>
    <w:rsid w:val="0039433E"/>
    <w:rsid w:val="00397357"/>
    <w:rsid w:val="00397380"/>
    <w:rsid w:val="00397535"/>
    <w:rsid w:val="003977E2"/>
    <w:rsid w:val="0039786C"/>
    <w:rsid w:val="00397DB6"/>
    <w:rsid w:val="003A0DC2"/>
    <w:rsid w:val="003A1D5D"/>
    <w:rsid w:val="003A1EE9"/>
    <w:rsid w:val="003A20D9"/>
    <w:rsid w:val="003A2D82"/>
    <w:rsid w:val="003A3408"/>
    <w:rsid w:val="003A3431"/>
    <w:rsid w:val="003A3B5C"/>
    <w:rsid w:val="003A3BFE"/>
    <w:rsid w:val="003A3FE9"/>
    <w:rsid w:val="003A4C09"/>
    <w:rsid w:val="003A4EF5"/>
    <w:rsid w:val="003A517B"/>
    <w:rsid w:val="003A5490"/>
    <w:rsid w:val="003A5C32"/>
    <w:rsid w:val="003A5F80"/>
    <w:rsid w:val="003A6E89"/>
    <w:rsid w:val="003A71EF"/>
    <w:rsid w:val="003A7A43"/>
    <w:rsid w:val="003B026B"/>
    <w:rsid w:val="003B06F1"/>
    <w:rsid w:val="003B1EA9"/>
    <w:rsid w:val="003B221D"/>
    <w:rsid w:val="003B228B"/>
    <w:rsid w:val="003B32EF"/>
    <w:rsid w:val="003B37D9"/>
    <w:rsid w:val="003B4DC5"/>
    <w:rsid w:val="003B4FEF"/>
    <w:rsid w:val="003B5C56"/>
    <w:rsid w:val="003B5E92"/>
    <w:rsid w:val="003B5EAE"/>
    <w:rsid w:val="003B67E4"/>
    <w:rsid w:val="003B6C90"/>
    <w:rsid w:val="003B72AF"/>
    <w:rsid w:val="003B7DFA"/>
    <w:rsid w:val="003B7F6B"/>
    <w:rsid w:val="003C09F1"/>
    <w:rsid w:val="003C1227"/>
    <w:rsid w:val="003C1DCC"/>
    <w:rsid w:val="003C2443"/>
    <w:rsid w:val="003C24AF"/>
    <w:rsid w:val="003C37E6"/>
    <w:rsid w:val="003C3838"/>
    <w:rsid w:val="003C3C07"/>
    <w:rsid w:val="003C4372"/>
    <w:rsid w:val="003C5697"/>
    <w:rsid w:val="003C590C"/>
    <w:rsid w:val="003C59CF"/>
    <w:rsid w:val="003C5A40"/>
    <w:rsid w:val="003C64F1"/>
    <w:rsid w:val="003C6585"/>
    <w:rsid w:val="003C761E"/>
    <w:rsid w:val="003C7BF3"/>
    <w:rsid w:val="003C7E1C"/>
    <w:rsid w:val="003D061D"/>
    <w:rsid w:val="003D0970"/>
    <w:rsid w:val="003D0AFF"/>
    <w:rsid w:val="003D1877"/>
    <w:rsid w:val="003D1B49"/>
    <w:rsid w:val="003D1C23"/>
    <w:rsid w:val="003D205C"/>
    <w:rsid w:val="003D2122"/>
    <w:rsid w:val="003D29ED"/>
    <w:rsid w:val="003D340E"/>
    <w:rsid w:val="003D342E"/>
    <w:rsid w:val="003D3D03"/>
    <w:rsid w:val="003D4691"/>
    <w:rsid w:val="003D46B7"/>
    <w:rsid w:val="003D4DA4"/>
    <w:rsid w:val="003D4F09"/>
    <w:rsid w:val="003D534A"/>
    <w:rsid w:val="003D59BD"/>
    <w:rsid w:val="003D5C98"/>
    <w:rsid w:val="003D6188"/>
    <w:rsid w:val="003D6DC5"/>
    <w:rsid w:val="003D73E4"/>
    <w:rsid w:val="003E0587"/>
    <w:rsid w:val="003E0FED"/>
    <w:rsid w:val="003E1762"/>
    <w:rsid w:val="003E1B9C"/>
    <w:rsid w:val="003E256E"/>
    <w:rsid w:val="003E2760"/>
    <w:rsid w:val="003E294E"/>
    <w:rsid w:val="003E2D7A"/>
    <w:rsid w:val="003E3440"/>
    <w:rsid w:val="003E41D2"/>
    <w:rsid w:val="003E518B"/>
    <w:rsid w:val="003E5DEE"/>
    <w:rsid w:val="003E5E12"/>
    <w:rsid w:val="003E5FDE"/>
    <w:rsid w:val="003E60BC"/>
    <w:rsid w:val="003E6211"/>
    <w:rsid w:val="003E62B2"/>
    <w:rsid w:val="003E6824"/>
    <w:rsid w:val="003E6B6B"/>
    <w:rsid w:val="003E6DD6"/>
    <w:rsid w:val="003F036B"/>
    <w:rsid w:val="003F07BF"/>
    <w:rsid w:val="003F098E"/>
    <w:rsid w:val="003F0B14"/>
    <w:rsid w:val="003F1948"/>
    <w:rsid w:val="003F19E9"/>
    <w:rsid w:val="003F1C49"/>
    <w:rsid w:val="003F275E"/>
    <w:rsid w:val="003F29A9"/>
    <w:rsid w:val="003F2C98"/>
    <w:rsid w:val="003F31D3"/>
    <w:rsid w:val="003F37E0"/>
    <w:rsid w:val="003F38AB"/>
    <w:rsid w:val="003F426B"/>
    <w:rsid w:val="003F450B"/>
    <w:rsid w:val="003F591B"/>
    <w:rsid w:val="003F5D02"/>
    <w:rsid w:val="003F5EEC"/>
    <w:rsid w:val="003F602E"/>
    <w:rsid w:val="003F6149"/>
    <w:rsid w:val="003F684C"/>
    <w:rsid w:val="003F731E"/>
    <w:rsid w:val="004000CB"/>
    <w:rsid w:val="00400F38"/>
    <w:rsid w:val="00401834"/>
    <w:rsid w:val="0040248C"/>
    <w:rsid w:val="0040268F"/>
    <w:rsid w:val="00402E12"/>
    <w:rsid w:val="0040357B"/>
    <w:rsid w:val="004044CD"/>
    <w:rsid w:val="00404F8C"/>
    <w:rsid w:val="0040526F"/>
    <w:rsid w:val="00406142"/>
    <w:rsid w:val="0040656D"/>
    <w:rsid w:val="00406618"/>
    <w:rsid w:val="00406E24"/>
    <w:rsid w:val="00407402"/>
    <w:rsid w:val="004117CA"/>
    <w:rsid w:val="00411911"/>
    <w:rsid w:val="00411988"/>
    <w:rsid w:val="00411C1E"/>
    <w:rsid w:val="00411C61"/>
    <w:rsid w:val="00412716"/>
    <w:rsid w:val="004134A8"/>
    <w:rsid w:val="00413B0A"/>
    <w:rsid w:val="00413D40"/>
    <w:rsid w:val="00414253"/>
    <w:rsid w:val="00414580"/>
    <w:rsid w:val="004146B1"/>
    <w:rsid w:val="00415C6C"/>
    <w:rsid w:val="00415D72"/>
    <w:rsid w:val="00416EB8"/>
    <w:rsid w:val="004176F7"/>
    <w:rsid w:val="00417816"/>
    <w:rsid w:val="00417F5D"/>
    <w:rsid w:val="00420B82"/>
    <w:rsid w:val="0042106B"/>
    <w:rsid w:val="004210DA"/>
    <w:rsid w:val="00421C70"/>
    <w:rsid w:val="00421F3B"/>
    <w:rsid w:val="004225C8"/>
    <w:rsid w:val="00422F67"/>
    <w:rsid w:val="00423C8C"/>
    <w:rsid w:val="00423D2B"/>
    <w:rsid w:val="00424485"/>
    <w:rsid w:val="00425540"/>
    <w:rsid w:val="00425863"/>
    <w:rsid w:val="004258FC"/>
    <w:rsid w:val="004264F3"/>
    <w:rsid w:val="00426ABA"/>
    <w:rsid w:val="00427DDC"/>
    <w:rsid w:val="00430201"/>
    <w:rsid w:val="00430828"/>
    <w:rsid w:val="00430AAA"/>
    <w:rsid w:val="00431153"/>
    <w:rsid w:val="00431796"/>
    <w:rsid w:val="00431F86"/>
    <w:rsid w:val="0043233B"/>
    <w:rsid w:val="00432D60"/>
    <w:rsid w:val="00432D9B"/>
    <w:rsid w:val="004335A3"/>
    <w:rsid w:val="00434918"/>
    <w:rsid w:val="004350DB"/>
    <w:rsid w:val="004351B8"/>
    <w:rsid w:val="004353D3"/>
    <w:rsid w:val="00435785"/>
    <w:rsid w:val="00435833"/>
    <w:rsid w:val="00435861"/>
    <w:rsid w:val="00437106"/>
    <w:rsid w:val="00437998"/>
    <w:rsid w:val="00437B54"/>
    <w:rsid w:val="00441484"/>
    <w:rsid w:val="004416C6"/>
    <w:rsid w:val="00441C6B"/>
    <w:rsid w:val="00442080"/>
    <w:rsid w:val="004421D3"/>
    <w:rsid w:val="00442547"/>
    <w:rsid w:val="004429EB"/>
    <w:rsid w:val="00442DCE"/>
    <w:rsid w:val="00443539"/>
    <w:rsid w:val="00443C61"/>
    <w:rsid w:val="00443D0C"/>
    <w:rsid w:val="004446B2"/>
    <w:rsid w:val="0044506A"/>
    <w:rsid w:val="0044515D"/>
    <w:rsid w:val="0044595F"/>
    <w:rsid w:val="00445AF9"/>
    <w:rsid w:val="004465E6"/>
    <w:rsid w:val="00446E34"/>
    <w:rsid w:val="00446F45"/>
    <w:rsid w:val="004473DD"/>
    <w:rsid w:val="004479A1"/>
    <w:rsid w:val="00447A7D"/>
    <w:rsid w:val="0045027D"/>
    <w:rsid w:val="004503FE"/>
    <w:rsid w:val="00450725"/>
    <w:rsid w:val="004510DA"/>
    <w:rsid w:val="004511D9"/>
    <w:rsid w:val="00451378"/>
    <w:rsid w:val="00451ADF"/>
    <w:rsid w:val="00452084"/>
    <w:rsid w:val="00452787"/>
    <w:rsid w:val="004528CE"/>
    <w:rsid w:val="004529C8"/>
    <w:rsid w:val="00452F4A"/>
    <w:rsid w:val="0045366E"/>
    <w:rsid w:val="00453F9B"/>
    <w:rsid w:val="0045458D"/>
    <w:rsid w:val="00455ABF"/>
    <w:rsid w:val="00455C94"/>
    <w:rsid w:val="00456167"/>
    <w:rsid w:val="00457F6F"/>
    <w:rsid w:val="0046052A"/>
    <w:rsid w:val="0046094F"/>
    <w:rsid w:val="00460F74"/>
    <w:rsid w:val="004611FB"/>
    <w:rsid w:val="00461505"/>
    <w:rsid w:val="00461612"/>
    <w:rsid w:val="00461E9E"/>
    <w:rsid w:val="00463081"/>
    <w:rsid w:val="0046400F"/>
    <w:rsid w:val="0046421C"/>
    <w:rsid w:val="00465187"/>
    <w:rsid w:val="004651D1"/>
    <w:rsid w:val="0046537C"/>
    <w:rsid w:val="00466328"/>
    <w:rsid w:val="0046666D"/>
    <w:rsid w:val="004671BB"/>
    <w:rsid w:val="004671FD"/>
    <w:rsid w:val="00467746"/>
    <w:rsid w:val="00467CB8"/>
    <w:rsid w:val="004703A3"/>
    <w:rsid w:val="00470C47"/>
    <w:rsid w:val="00470C71"/>
    <w:rsid w:val="00470EA4"/>
    <w:rsid w:val="004716FD"/>
    <w:rsid w:val="00472328"/>
    <w:rsid w:val="004725E3"/>
    <w:rsid w:val="00472D78"/>
    <w:rsid w:val="00472F13"/>
    <w:rsid w:val="00473F41"/>
    <w:rsid w:val="004744FC"/>
    <w:rsid w:val="00475879"/>
    <w:rsid w:val="00475967"/>
    <w:rsid w:val="00475A13"/>
    <w:rsid w:val="00475B4E"/>
    <w:rsid w:val="00475CB6"/>
    <w:rsid w:val="0047645D"/>
    <w:rsid w:val="00476AD2"/>
    <w:rsid w:val="00476ADB"/>
    <w:rsid w:val="00476EA7"/>
    <w:rsid w:val="00477054"/>
    <w:rsid w:val="004812FD"/>
    <w:rsid w:val="00481C24"/>
    <w:rsid w:val="004822C3"/>
    <w:rsid w:val="00482476"/>
    <w:rsid w:val="00482973"/>
    <w:rsid w:val="00483B39"/>
    <w:rsid w:val="0048452B"/>
    <w:rsid w:val="004846AD"/>
    <w:rsid w:val="00484887"/>
    <w:rsid w:val="00484DE3"/>
    <w:rsid w:val="004852FC"/>
    <w:rsid w:val="0048537C"/>
    <w:rsid w:val="004857E8"/>
    <w:rsid w:val="00486388"/>
    <w:rsid w:val="00486C3B"/>
    <w:rsid w:val="00486C4E"/>
    <w:rsid w:val="00486F38"/>
    <w:rsid w:val="00487119"/>
    <w:rsid w:val="00487511"/>
    <w:rsid w:val="004875DD"/>
    <w:rsid w:val="004879BF"/>
    <w:rsid w:val="00487B13"/>
    <w:rsid w:val="00490296"/>
    <w:rsid w:val="004912A3"/>
    <w:rsid w:val="00491533"/>
    <w:rsid w:val="00491549"/>
    <w:rsid w:val="00491C34"/>
    <w:rsid w:val="00491FE4"/>
    <w:rsid w:val="004924E2"/>
    <w:rsid w:val="00492633"/>
    <w:rsid w:val="00493872"/>
    <w:rsid w:val="0049391E"/>
    <w:rsid w:val="0049492B"/>
    <w:rsid w:val="00494C69"/>
    <w:rsid w:val="0049524D"/>
    <w:rsid w:val="004952A9"/>
    <w:rsid w:val="004952AC"/>
    <w:rsid w:val="00495582"/>
    <w:rsid w:val="00495B39"/>
    <w:rsid w:val="004963DD"/>
    <w:rsid w:val="00496B89"/>
    <w:rsid w:val="0049720C"/>
    <w:rsid w:val="0049721F"/>
    <w:rsid w:val="00497AD0"/>
    <w:rsid w:val="00497B74"/>
    <w:rsid w:val="004A0117"/>
    <w:rsid w:val="004A02D2"/>
    <w:rsid w:val="004A12D1"/>
    <w:rsid w:val="004A12F8"/>
    <w:rsid w:val="004A1385"/>
    <w:rsid w:val="004A1CC0"/>
    <w:rsid w:val="004A1CEE"/>
    <w:rsid w:val="004A1DCF"/>
    <w:rsid w:val="004A2566"/>
    <w:rsid w:val="004A40B9"/>
    <w:rsid w:val="004A44EC"/>
    <w:rsid w:val="004A509C"/>
    <w:rsid w:val="004A5636"/>
    <w:rsid w:val="004A5647"/>
    <w:rsid w:val="004A58D0"/>
    <w:rsid w:val="004A6272"/>
    <w:rsid w:val="004A6531"/>
    <w:rsid w:val="004A6DDB"/>
    <w:rsid w:val="004B04C3"/>
    <w:rsid w:val="004B1410"/>
    <w:rsid w:val="004B1777"/>
    <w:rsid w:val="004B261E"/>
    <w:rsid w:val="004B2B5E"/>
    <w:rsid w:val="004B2CA2"/>
    <w:rsid w:val="004B2EC1"/>
    <w:rsid w:val="004B5296"/>
    <w:rsid w:val="004B58B6"/>
    <w:rsid w:val="004B5CBF"/>
    <w:rsid w:val="004B6126"/>
    <w:rsid w:val="004B6475"/>
    <w:rsid w:val="004B66FF"/>
    <w:rsid w:val="004B67E4"/>
    <w:rsid w:val="004B6C82"/>
    <w:rsid w:val="004B7326"/>
    <w:rsid w:val="004B7B17"/>
    <w:rsid w:val="004B7BF8"/>
    <w:rsid w:val="004C1247"/>
    <w:rsid w:val="004C29C4"/>
    <w:rsid w:val="004C2EB1"/>
    <w:rsid w:val="004C3642"/>
    <w:rsid w:val="004C38A7"/>
    <w:rsid w:val="004C3A7A"/>
    <w:rsid w:val="004C4033"/>
    <w:rsid w:val="004C44A4"/>
    <w:rsid w:val="004C4539"/>
    <w:rsid w:val="004C4842"/>
    <w:rsid w:val="004C4D87"/>
    <w:rsid w:val="004C587D"/>
    <w:rsid w:val="004C5F11"/>
    <w:rsid w:val="004C5F31"/>
    <w:rsid w:val="004C63D8"/>
    <w:rsid w:val="004C6815"/>
    <w:rsid w:val="004C69CB"/>
    <w:rsid w:val="004C7052"/>
    <w:rsid w:val="004C705F"/>
    <w:rsid w:val="004C73B8"/>
    <w:rsid w:val="004C74D9"/>
    <w:rsid w:val="004C778E"/>
    <w:rsid w:val="004C7CFB"/>
    <w:rsid w:val="004D029D"/>
    <w:rsid w:val="004D0667"/>
    <w:rsid w:val="004D0BBA"/>
    <w:rsid w:val="004D0D73"/>
    <w:rsid w:val="004D0DC3"/>
    <w:rsid w:val="004D172C"/>
    <w:rsid w:val="004D25D9"/>
    <w:rsid w:val="004D26EB"/>
    <w:rsid w:val="004D298A"/>
    <w:rsid w:val="004D2A9D"/>
    <w:rsid w:val="004D32D2"/>
    <w:rsid w:val="004D3302"/>
    <w:rsid w:val="004D3340"/>
    <w:rsid w:val="004D3DCC"/>
    <w:rsid w:val="004D4456"/>
    <w:rsid w:val="004D4703"/>
    <w:rsid w:val="004D4AD7"/>
    <w:rsid w:val="004D4C4D"/>
    <w:rsid w:val="004D607F"/>
    <w:rsid w:val="004D66C0"/>
    <w:rsid w:val="004D68DB"/>
    <w:rsid w:val="004D73D3"/>
    <w:rsid w:val="004D75E4"/>
    <w:rsid w:val="004D7FCA"/>
    <w:rsid w:val="004E046A"/>
    <w:rsid w:val="004E0841"/>
    <w:rsid w:val="004E0A8F"/>
    <w:rsid w:val="004E2395"/>
    <w:rsid w:val="004E2A61"/>
    <w:rsid w:val="004E2ED0"/>
    <w:rsid w:val="004E3667"/>
    <w:rsid w:val="004E38FA"/>
    <w:rsid w:val="004E3C50"/>
    <w:rsid w:val="004E3E18"/>
    <w:rsid w:val="004E43D7"/>
    <w:rsid w:val="004E45AD"/>
    <w:rsid w:val="004E47E7"/>
    <w:rsid w:val="004E4ACE"/>
    <w:rsid w:val="004E4B63"/>
    <w:rsid w:val="004E543F"/>
    <w:rsid w:val="004E6467"/>
    <w:rsid w:val="004E6707"/>
    <w:rsid w:val="004E6827"/>
    <w:rsid w:val="004E6E9D"/>
    <w:rsid w:val="004F074E"/>
    <w:rsid w:val="004F09D7"/>
    <w:rsid w:val="004F0C3D"/>
    <w:rsid w:val="004F0D86"/>
    <w:rsid w:val="004F1494"/>
    <w:rsid w:val="004F1C9B"/>
    <w:rsid w:val="004F1DC7"/>
    <w:rsid w:val="004F1F0E"/>
    <w:rsid w:val="004F1F39"/>
    <w:rsid w:val="004F245C"/>
    <w:rsid w:val="004F25EE"/>
    <w:rsid w:val="004F266D"/>
    <w:rsid w:val="004F2D0A"/>
    <w:rsid w:val="004F3024"/>
    <w:rsid w:val="004F32FF"/>
    <w:rsid w:val="004F467B"/>
    <w:rsid w:val="004F51AA"/>
    <w:rsid w:val="004F5E8B"/>
    <w:rsid w:val="004F738D"/>
    <w:rsid w:val="004F7511"/>
    <w:rsid w:val="004F75B3"/>
    <w:rsid w:val="00500F92"/>
    <w:rsid w:val="005010C6"/>
    <w:rsid w:val="00501445"/>
    <w:rsid w:val="00501612"/>
    <w:rsid w:val="00502A9B"/>
    <w:rsid w:val="00502ABE"/>
    <w:rsid w:val="00502F16"/>
    <w:rsid w:val="005031CC"/>
    <w:rsid w:val="00503F4F"/>
    <w:rsid w:val="005042B3"/>
    <w:rsid w:val="005043E5"/>
    <w:rsid w:val="00504842"/>
    <w:rsid w:val="0050490E"/>
    <w:rsid w:val="005056C4"/>
    <w:rsid w:val="00505B8B"/>
    <w:rsid w:val="00506703"/>
    <w:rsid w:val="0050739B"/>
    <w:rsid w:val="00507AEA"/>
    <w:rsid w:val="00507C46"/>
    <w:rsid w:val="00507CD2"/>
    <w:rsid w:val="00507DFB"/>
    <w:rsid w:val="005105E4"/>
    <w:rsid w:val="00510DBF"/>
    <w:rsid w:val="00510FEA"/>
    <w:rsid w:val="0051232D"/>
    <w:rsid w:val="005124F7"/>
    <w:rsid w:val="00512908"/>
    <w:rsid w:val="00513D2A"/>
    <w:rsid w:val="005140F8"/>
    <w:rsid w:val="00514945"/>
    <w:rsid w:val="00514A04"/>
    <w:rsid w:val="00515F9F"/>
    <w:rsid w:val="005161BF"/>
    <w:rsid w:val="00517A5A"/>
    <w:rsid w:val="00517B84"/>
    <w:rsid w:val="005213F3"/>
    <w:rsid w:val="0052145F"/>
    <w:rsid w:val="0052187A"/>
    <w:rsid w:val="00521D23"/>
    <w:rsid w:val="00522785"/>
    <w:rsid w:val="00522C1F"/>
    <w:rsid w:val="005237F0"/>
    <w:rsid w:val="005242DD"/>
    <w:rsid w:val="00524538"/>
    <w:rsid w:val="0052487A"/>
    <w:rsid w:val="0052498E"/>
    <w:rsid w:val="00524DF8"/>
    <w:rsid w:val="00525F99"/>
    <w:rsid w:val="0052678A"/>
    <w:rsid w:val="0052761D"/>
    <w:rsid w:val="00527944"/>
    <w:rsid w:val="005279AA"/>
    <w:rsid w:val="00527AF7"/>
    <w:rsid w:val="0053044A"/>
    <w:rsid w:val="00530917"/>
    <w:rsid w:val="00530CCA"/>
    <w:rsid w:val="00530F09"/>
    <w:rsid w:val="00531078"/>
    <w:rsid w:val="005319A1"/>
    <w:rsid w:val="0053212E"/>
    <w:rsid w:val="00532342"/>
    <w:rsid w:val="00532775"/>
    <w:rsid w:val="00532846"/>
    <w:rsid w:val="005329FD"/>
    <w:rsid w:val="00532C54"/>
    <w:rsid w:val="005335CA"/>
    <w:rsid w:val="0053410E"/>
    <w:rsid w:val="005345AC"/>
    <w:rsid w:val="0053496F"/>
    <w:rsid w:val="00534F3F"/>
    <w:rsid w:val="00535340"/>
    <w:rsid w:val="00537527"/>
    <w:rsid w:val="005379EE"/>
    <w:rsid w:val="005405C4"/>
    <w:rsid w:val="0054067A"/>
    <w:rsid w:val="005408BF"/>
    <w:rsid w:val="00540B64"/>
    <w:rsid w:val="00540DEE"/>
    <w:rsid w:val="00540E5F"/>
    <w:rsid w:val="00541003"/>
    <w:rsid w:val="005415BC"/>
    <w:rsid w:val="00541D5A"/>
    <w:rsid w:val="00542208"/>
    <w:rsid w:val="0054293F"/>
    <w:rsid w:val="00543A69"/>
    <w:rsid w:val="00543D70"/>
    <w:rsid w:val="00544E02"/>
    <w:rsid w:val="005453EA"/>
    <w:rsid w:val="005456E9"/>
    <w:rsid w:val="00545C63"/>
    <w:rsid w:val="00545FAE"/>
    <w:rsid w:val="005460A6"/>
    <w:rsid w:val="00546A28"/>
    <w:rsid w:val="00546CD5"/>
    <w:rsid w:val="00546F20"/>
    <w:rsid w:val="0054789E"/>
    <w:rsid w:val="00550B57"/>
    <w:rsid w:val="0055115F"/>
    <w:rsid w:val="0055177B"/>
    <w:rsid w:val="005520FA"/>
    <w:rsid w:val="005531DC"/>
    <w:rsid w:val="00553246"/>
    <w:rsid w:val="00553506"/>
    <w:rsid w:val="00553824"/>
    <w:rsid w:val="00553BC4"/>
    <w:rsid w:val="00553FBB"/>
    <w:rsid w:val="00554F73"/>
    <w:rsid w:val="005558B0"/>
    <w:rsid w:val="00555DB3"/>
    <w:rsid w:val="0055703B"/>
    <w:rsid w:val="0055763E"/>
    <w:rsid w:val="00557904"/>
    <w:rsid w:val="00557CC8"/>
    <w:rsid w:val="005609FC"/>
    <w:rsid w:val="00560D39"/>
    <w:rsid w:val="00561018"/>
    <w:rsid w:val="00561052"/>
    <w:rsid w:val="00561B82"/>
    <w:rsid w:val="0056207E"/>
    <w:rsid w:val="00562F64"/>
    <w:rsid w:val="005648CF"/>
    <w:rsid w:val="00564D2E"/>
    <w:rsid w:val="005651C7"/>
    <w:rsid w:val="00565314"/>
    <w:rsid w:val="005654A4"/>
    <w:rsid w:val="00565ADD"/>
    <w:rsid w:val="005662F8"/>
    <w:rsid w:val="00566370"/>
    <w:rsid w:val="00567BE1"/>
    <w:rsid w:val="00567ECF"/>
    <w:rsid w:val="00570F4D"/>
    <w:rsid w:val="0057142C"/>
    <w:rsid w:val="0057200E"/>
    <w:rsid w:val="005721DD"/>
    <w:rsid w:val="00572D55"/>
    <w:rsid w:val="00573435"/>
    <w:rsid w:val="00573525"/>
    <w:rsid w:val="00573674"/>
    <w:rsid w:val="005742D9"/>
    <w:rsid w:val="00574DE6"/>
    <w:rsid w:val="0057558B"/>
    <w:rsid w:val="00575729"/>
    <w:rsid w:val="00575990"/>
    <w:rsid w:val="00575D8E"/>
    <w:rsid w:val="0057601B"/>
    <w:rsid w:val="00576DD3"/>
    <w:rsid w:val="00576ECB"/>
    <w:rsid w:val="00576F0A"/>
    <w:rsid w:val="005778DF"/>
    <w:rsid w:val="00577DC0"/>
    <w:rsid w:val="005802D3"/>
    <w:rsid w:val="005813CA"/>
    <w:rsid w:val="0058146A"/>
    <w:rsid w:val="0058164D"/>
    <w:rsid w:val="0058196D"/>
    <w:rsid w:val="00581B09"/>
    <w:rsid w:val="0058246F"/>
    <w:rsid w:val="00582DED"/>
    <w:rsid w:val="005831C5"/>
    <w:rsid w:val="005838B0"/>
    <w:rsid w:val="00583931"/>
    <w:rsid w:val="00583E0C"/>
    <w:rsid w:val="00584037"/>
    <w:rsid w:val="005849D3"/>
    <w:rsid w:val="00584C34"/>
    <w:rsid w:val="00584C8E"/>
    <w:rsid w:val="0058592D"/>
    <w:rsid w:val="00585E21"/>
    <w:rsid w:val="00586176"/>
    <w:rsid w:val="00586630"/>
    <w:rsid w:val="00586DBA"/>
    <w:rsid w:val="00590646"/>
    <w:rsid w:val="00591600"/>
    <w:rsid w:val="0059162A"/>
    <w:rsid w:val="00591B0F"/>
    <w:rsid w:val="00591FF8"/>
    <w:rsid w:val="005926E3"/>
    <w:rsid w:val="005927BA"/>
    <w:rsid w:val="00592CFA"/>
    <w:rsid w:val="005940F1"/>
    <w:rsid w:val="0059425F"/>
    <w:rsid w:val="005954B6"/>
    <w:rsid w:val="00596383"/>
    <w:rsid w:val="005968AB"/>
    <w:rsid w:val="00596CDF"/>
    <w:rsid w:val="00597391"/>
    <w:rsid w:val="00597C83"/>
    <w:rsid w:val="005A03CC"/>
    <w:rsid w:val="005A0626"/>
    <w:rsid w:val="005A12DE"/>
    <w:rsid w:val="005A1444"/>
    <w:rsid w:val="005A1A28"/>
    <w:rsid w:val="005A3510"/>
    <w:rsid w:val="005A3C04"/>
    <w:rsid w:val="005A4505"/>
    <w:rsid w:val="005A53EA"/>
    <w:rsid w:val="005A5DCE"/>
    <w:rsid w:val="005A5DD0"/>
    <w:rsid w:val="005A5E74"/>
    <w:rsid w:val="005A5FEB"/>
    <w:rsid w:val="005A67DD"/>
    <w:rsid w:val="005A7217"/>
    <w:rsid w:val="005A7987"/>
    <w:rsid w:val="005B0C79"/>
    <w:rsid w:val="005B1433"/>
    <w:rsid w:val="005B1A9A"/>
    <w:rsid w:val="005B2726"/>
    <w:rsid w:val="005B30D7"/>
    <w:rsid w:val="005B32D0"/>
    <w:rsid w:val="005B466E"/>
    <w:rsid w:val="005B4B50"/>
    <w:rsid w:val="005B517F"/>
    <w:rsid w:val="005B5773"/>
    <w:rsid w:val="005B5BC5"/>
    <w:rsid w:val="005B62BF"/>
    <w:rsid w:val="005B702F"/>
    <w:rsid w:val="005B757A"/>
    <w:rsid w:val="005B7CBE"/>
    <w:rsid w:val="005C005B"/>
    <w:rsid w:val="005C12B9"/>
    <w:rsid w:val="005C1419"/>
    <w:rsid w:val="005C1883"/>
    <w:rsid w:val="005C210D"/>
    <w:rsid w:val="005C2240"/>
    <w:rsid w:val="005C2822"/>
    <w:rsid w:val="005C30AF"/>
    <w:rsid w:val="005C358B"/>
    <w:rsid w:val="005C3C75"/>
    <w:rsid w:val="005C3DAC"/>
    <w:rsid w:val="005C42FA"/>
    <w:rsid w:val="005C4939"/>
    <w:rsid w:val="005C4E90"/>
    <w:rsid w:val="005C53E2"/>
    <w:rsid w:val="005C555D"/>
    <w:rsid w:val="005C631F"/>
    <w:rsid w:val="005C6353"/>
    <w:rsid w:val="005C64C2"/>
    <w:rsid w:val="005C6816"/>
    <w:rsid w:val="005C6D5E"/>
    <w:rsid w:val="005C77FA"/>
    <w:rsid w:val="005C7CC4"/>
    <w:rsid w:val="005D107A"/>
    <w:rsid w:val="005D185D"/>
    <w:rsid w:val="005D1F8A"/>
    <w:rsid w:val="005D20B7"/>
    <w:rsid w:val="005D2361"/>
    <w:rsid w:val="005D2C82"/>
    <w:rsid w:val="005D2D5B"/>
    <w:rsid w:val="005D3289"/>
    <w:rsid w:val="005D3629"/>
    <w:rsid w:val="005D39FB"/>
    <w:rsid w:val="005D5436"/>
    <w:rsid w:val="005D57D2"/>
    <w:rsid w:val="005D5CEE"/>
    <w:rsid w:val="005D5F7C"/>
    <w:rsid w:val="005D651D"/>
    <w:rsid w:val="005D6DD5"/>
    <w:rsid w:val="005D798F"/>
    <w:rsid w:val="005D7EDE"/>
    <w:rsid w:val="005E07D9"/>
    <w:rsid w:val="005E07E6"/>
    <w:rsid w:val="005E0FB7"/>
    <w:rsid w:val="005E111B"/>
    <w:rsid w:val="005E1AAB"/>
    <w:rsid w:val="005E1E33"/>
    <w:rsid w:val="005E2CEC"/>
    <w:rsid w:val="005E320C"/>
    <w:rsid w:val="005E38A6"/>
    <w:rsid w:val="005E3EBB"/>
    <w:rsid w:val="005E4053"/>
    <w:rsid w:val="005E4510"/>
    <w:rsid w:val="005E487F"/>
    <w:rsid w:val="005E4F06"/>
    <w:rsid w:val="005E4F40"/>
    <w:rsid w:val="005E52E1"/>
    <w:rsid w:val="005E5D30"/>
    <w:rsid w:val="005E623A"/>
    <w:rsid w:val="005E6848"/>
    <w:rsid w:val="005E6A37"/>
    <w:rsid w:val="005E6BB7"/>
    <w:rsid w:val="005E72CE"/>
    <w:rsid w:val="005E78C4"/>
    <w:rsid w:val="005E7EC9"/>
    <w:rsid w:val="005F09DD"/>
    <w:rsid w:val="005F0BBB"/>
    <w:rsid w:val="005F11EB"/>
    <w:rsid w:val="005F1519"/>
    <w:rsid w:val="005F2003"/>
    <w:rsid w:val="005F314C"/>
    <w:rsid w:val="005F332E"/>
    <w:rsid w:val="005F387B"/>
    <w:rsid w:val="005F3C66"/>
    <w:rsid w:val="005F3D1D"/>
    <w:rsid w:val="005F3F76"/>
    <w:rsid w:val="005F4431"/>
    <w:rsid w:val="005F44D9"/>
    <w:rsid w:val="005F4ECC"/>
    <w:rsid w:val="005F4F16"/>
    <w:rsid w:val="005F5042"/>
    <w:rsid w:val="005F5238"/>
    <w:rsid w:val="005F55CB"/>
    <w:rsid w:val="005F5D6C"/>
    <w:rsid w:val="005F6186"/>
    <w:rsid w:val="005F6D72"/>
    <w:rsid w:val="005F7882"/>
    <w:rsid w:val="005F79F2"/>
    <w:rsid w:val="005F7ADF"/>
    <w:rsid w:val="0060043A"/>
    <w:rsid w:val="00600F1B"/>
    <w:rsid w:val="006017DA"/>
    <w:rsid w:val="00602B9E"/>
    <w:rsid w:val="00602D73"/>
    <w:rsid w:val="0060324E"/>
    <w:rsid w:val="00603322"/>
    <w:rsid w:val="00603DE2"/>
    <w:rsid w:val="0060465D"/>
    <w:rsid w:val="00604683"/>
    <w:rsid w:val="006046A8"/>
    <w:rsid w:val="00604972"/>
    <w:rsid w:val="00604B25"/>
    <w:rsid w:val="006054A8"/>
    <w:rsid w:val="006056A0"/>
    <w:rsid w:val="006057AD"/>
    <w:rsid w:val="006058F3"/>
    <w:rsid w:val="0060660A"/>
    <w:rsid w:val="00606EBB"/>
    <w:rsid w:val="00606EE2"/>
    <w:rsid w:val="00607B48"/>
    <w:rsid w:val="00610845"/>
    <w:rsid w:val="00610B9A"/>
    <w:rsid w:val="00610E34"/>
    <w:rsid w:val="0061132C"/>
    <w:rsid w:val="0061339F"/>
    <w:rsid w:val="00613797"/>
    <w:rsid w:val="006140F6"/>
    <w:rsid w:val="00615BD7"/>
    <w:rsid w:val="00617504"/>
    <w:rsid w:val="006176C3"/>
    <w:rsid w:val="0062002D"/>
    <w:rsid w:val="00620964"/>
    <w:rsid w:val="0062153A"/>
    <w:rsid w:val="00621D40"/>
    <w:rsid w:val="006220C6"/>
    <w:rsid w:val="006228A5"/>
    <w:rsid w:val="00622A0F"/>
    <w:rsid w:val="00622D35"/>
    <w:rsid w:val="006238A1"/>
    <w:rsid w:val="00623C1D"/>
    <w:rsid w:val="00623FA8"/>
    <w:rsid w:val="00624011"/>
    <w:rsid w:val="0062484A"/>
    <w:rsid w:val="00624F51"/>
    <w:rsid w:val="00625C5C"/>
    <w:rsid w:val="00626522"/>
    <w:rsid w:val="0062723B"/>
    <w:rsid w:val="00627371"/>
    <w:rsid w:val="006279E6"/>
    <w:rsid w:val="00627C40"/>
    <w:rsid w:val="0063015E"/>
    <w:rsid w:val="0063053C"/>
    <w:rsid w:val="00630969"/>
    <w:rsid w:val="00631035"/>
    <w:rsid w:val="00631885"/>
    <w:rsid w:val="00631910"/>
    <w:rsid w:val="00631FEB"/>
    <w:rsid w:val="00634096"/>
    <w:rsid w:val="00634386"/>
    <w:rsid w:val="0063450F"/>
    <w:rsid w:val="00635983"/>
    <w:rsid w:val="00636172"/>
    <w:rsid w:val="006369CD"/>
    <w:rsid w:val="00637698"/>
    <w:rsid w:val="00637C96"/>
    <w:rsid w:val="00637D8E"/>
    <w:rsid w:val="0064013E"/>
    <w:rsid w:val="00640637"/>
    <w:rsid w:val="0064165D"/>
    <w:rsid w:val="0064298B"/>
    <w:rsid w:val="00642DC7"/>
    <w:rsid w:val="00643BC3"/>
    <w:rsid w:val="006446CC"/>
    <w:rsid w:val="006452BA"/>
    <w:rsid w:val="006459CB"/>
    <w:rsid w:val="00646351"/>
    <w:rsid w:val="00646836"/>
    <w:rsid w:val="00646A57"/>
    <w:rsid w:val="006502D7"/>
    <w:rsid w:val="00650A3B"/>
    <w:rsid w:val="00651896"/>
    <w:rsid w:val="00651F67"/>
    <w:rsid w:val="00652466"/>
    <w:rsid w:val="00653322"/>
    <w:rsid w:val="00653698"/>
    <w:rsid w:val="00653E9D"/>
    <w:rsid w:val="00654600"/>
    <w:rsid w:val="00654D21"/>
    <w:rsid w:val="006553BA"/>
    <w:rsid w:val="0065541E"/>
    <w:rsid w:val="006557BE"/>
    <w:rsid w:val="00655BAC"/>
    <w:rsid w:val="00655DD1"/>
    <w:rsid w:val="00656507"/>
    <w:rsid w:val="00656AAF"/>
    <w:rsid w:val="0065744C"/>
    <w:rsid w:val="00657794"/>
    <w:rsid w:val="006577B7"/>
    <w:rsid w:val="00661876"/>
    <w:rsid w:val="00661ACA"/>
    <w:rsid w:val="006623BC"/>
    <w:rsid w:val="006626CC"/>
    <w:rsid w:val="00662B85"/>
    <w:rsid w:val="00662BC1"/>
    <w:rsid w:val="00662D43"/>
    <w:rsid w:val="006633EF"/>
    <w:rsid w:val="006635F7"/>
    <w:rsid w:val="006641FD"/>
    <w:rsid w:val="00664DE8"/>
    <w:rsid w:val="0066553A"/>
    <w:rsid w:val="00665605"/>
    <w:rsid w:val="00665931"/>
    <w:rsid w:val="00665F0C"/>
    <w:rsid w:val="006664B8"/>
    <w:rsid w:val="00666BCA"/>
    <w:rsid w:val="00667716"/>
    <w:rsid w:val="00667BF0"/>
    <w:rsid w:val="00670447"/>
    <w:rsid w:val="0067050C"/>
    <w:rsid w:val="006707C2"/>
    <w:rsid w:val="006725D3"/>
    <w:rsid w:val="006727EE"/>
    <w:rsid w:val="00672B11"/>
    <w:rsid w:val="00674647"/>
    <w:rsid w:val="00674BF0"/>
    <w:rsid w:val="006753D1"/>
    <w:rsid w:val="006769D4"/>
    <w:rsid w:val="0067733C"/>
    <w:rsid w:val="00677DAC"/>
    <w:rsid w:val="0068001F"/>
    <w:rsid w:val="006802DE"/>
    <w:rsid w:val="00680DF9"/>
    <w:rsid w:val="006812A1"/>
    <w:rsid w:val="00681348"/>
    <w:rsid w:val="00681587"/>
    <w:rsid w:val="006817B1"/>
    <w:rsid w:val="00681DFD"/>
    <w:rsid w:val="006823CF"/>
    <w:rsid w:val="006829F5"/>
    <w:rsid w:val="00682B58"/>
    <w:rsid w:val="006832C5"/>
    <w:rsid w:val="006833D2"/>
    <w:rsid w:val="00683A40"/>
    <w:rsid w:val="006843E4"/>
    <w:rsid w:val="006844C6"/>
    <w:rsid w:val="00684707"/>
    <w:rsid w:val="00684B53"/>
    <w:rsid w:val="00684D87"/>
    <w:rsid w:val="00685568"/>
    <w:rsid w:val="006858FD"/>
    <w:rsid w:val="00686197"/>
    <w:rsid w:val="006870D7"/>
    <w:rsid w:val="006900E0"/>
    <w:rsid w:val="00690947"/>
    <w:rsid w:val="0069098A"/>
    <w:rsid w:val="00691705"/>
    <w:rsid w:val="0069195F"/>
    <w:rsid w:val="00691B45"/>
    <w:rsid w:val="00692775"/>
    <w:rsid w:val="00692900"/>
    <w:rsid w:val="006929B4"/>
    <w:rsid w:val="00692E61"/>
    <w:rsid w:val="0069404C"/>
    <w:rsid w:val="0069423E"/>
    <w:rsid w:val="00694273"/>
    <w:rsid w:val="00694655"/>
    <w:rsid w:val="00694786"/>
    <w:rsid w:val="006949BC"/>
    <w:rsid w:val="0069541F"/>
    <w:rsid w:val="006959B1"/>
    <w:rsid w:val="0069618B"/>
    <w:rsid w:val="006965E6"/>
    <w:rsid w:val="006973D6"/>
    <w:rsid w:val="00697C39"/>
    <w:rsid w:val="00697E9D"/>
    <w:rsid w:val="006A01C9"/>
    <w:rsid w:val="006A0BA1"/>
    <w:rsid w:val="006A13B0"/>
    <w:rsid w:val="006A1C09"/>
    <w:rsid w:val="006A3C57"/>
    <w:rsid w:val="006A3EE8"/>
    <w:rsid w:val="006A3F2E"/>
    <w:rsid w:val="006A4104"/>
    <w:rsid w:val="006A4AA5"/>
    <w:rsid w:val="006A5038"/>
    <w:rsid w:val="006A50F8"/>
    <w:rsid w:val="006A5117"/>
    <w:rsid w:val="006A51CC"/>
    <w:rsid w:val="006A5410"/>
    <w:rsid w:val="006A5418"/>
    <w:rsid w:val="006A6C37"/>
    <w:rsid w:val="006A730B"/>
    <w:rsid w:val="006B0227"/>
    <w:rsid w:val="006B0787"/>
    <w:rsid w:val="006B1F47"/>
    <w:rsid w:val="006B1FF8"/>
    <w:rsid w:val="006B2020"/>
    <w:rsid w:val="006B2159"/>
    <w:rsid w:val="006B21E6"/>
    <w:rsid w:val="006B233D"/>
    <w:rsid w:val="006B24A8"/>
    <w:rsid w:val="006B2D03"/>
    <w:rsid w:val="006B33EF"/>
    <w:rsid w:val="006B5615"/>
    <w:rsid w:val="006B5F4A"/>
    <w:rsid w:val="006B5FE0"/>
    <w:rsid w:val="006B69D1"/>
    <w:rsid w:val="006B6E69"/>
    <w:rsid w:val="006B7191"/>
    <w:rsid w:val="006C0937"/>
    <w:rsid w:val="006C10CD"/>
    <w:rsid w:val="006C1370"/>
    <w:rsid w:val="006C18D7"/>
    <w:rsid w:val="006C2072"/>
    <w:rsid w:val="006C2468"/>
    <w:rsid w:val="006C2676"/>
    <w:rsid w:val="006C2845"/>
    <w:rsid w:val="006C30CF"/>
    <w:rsid w:val="006C32A9"/>
    <w:rsid w:val="006C3634"/>
    <w:rsid w:val="006C3A48"/>
    <w:rsid w:val="006C458F"/>
    <w:rsid w:val="006C4F36"/>
    <w:rsid w:val="006C5777"/>
    <w:rsid w:val="006C5CA8"/>
    <w:rsid w:val="006C5EC6"/>
    <w:rsid w:val="006C620D"/>
    <w:rsid w:val="006C64DF"/>
    <w:rsid w:val="006C6621"/>
    <w:rsid w:val="006C73EB"/>
    <w:rsid w:val="006C7611"/>
    <w:rsid w:val="006C76B5"/>
    <w:rsid w:val="006C775D"/>
    <w:rsid w:val="006D02C3"/>
    <w:rsid w:val="006D0AD2"/>
    <w:rsid w:val="006D1115"/>
    <w:rsid w:val="006D1555"/>
    <w:rsid w:val="006D1690"/>
    <w:rsid w:val="006D21A2"/>
    <w:rsid w:val="006D2636"/>
    <w:rsid w:val="006D33F9"/>
    <w:rsid w:val="006D3814"/>
    <w:rsid w:val="006D3C10"/>
    <w:rsid w:val="006D4180"/>
    <w:rsid w:val="006D432E"/>
    <w:rsid w:val="006D46EA"/>
    <w:rsid w:val="006D4C65"/>
    <w:rsid w:val="006D51DC"/>
    <w:rsid w:val="006D548C"/>
    <w:rsid w:val="006D6840"/>
    <w:rsid w:val="006D697D"/>
    <w:rsid w:val="006D6F51"/>
    <w:rsid w:val="006D70B9"/>
    <w:rsid w:val="006D7615"/>
    <w:rsid w:val="006E0333"/>
    <w:rsid w:val="006E05A5"/>
    <w:rsid w:val="006E0BBC"/>
    <w:rsid w:val="006E10C6"/>
    <w:rsid w:val="006E1A43"/>
    <w:rsid w:val="006E1ECB"/>
    <w:rsid w:val="006E2AB7"/>
    <w:rsid w:val="006E3B91"/>
    <w:rsid w:val="006E4416"/>
    <w:rsid w:val="006E480F"/>
    <w:rsid w:val="006E4BAD"/>
    <w:rsid w:val="006E55BC"/>
    <w:rsid w:val="006E58AE"/>
    <w:rsid w:val="006E6A91"/>
    <w:rsid w:val="006E7039"/>
    <w:rsid w:val="006E7420"/>
    <w:rsid w:val="006E79FE"/>
    <w:rsid w:val="006F0613"/>
    <w:rsid w:val="006F14A7"/>
    <w:rsid w:val="006F17CF"/>
    <w:rsid w:val="006F17EE"/>
    <w:rsid w:val="006F2A5E"/>
    <w:rsid w:val="006F2E5C"/>
    <w:rsid w:val="006F31B2"/>
    <w:rsid w:val="006F38EB"/>
    <w:rsid w:val="006F415F"/>
    <w:rsid w:val="006F62A8"/>
    <w:rsid w:val="006F709C"/>
    <w:rsid w:val="006F7684"/>
    <w:rsid w:val="006F7BEA"/>
    <w:rsid w:val="006F7E05"/>
    <w:rsid w:val="0070004F"/>
    <w:rsid w:val="00700616"/>
    <w:rsid w:val="00700E38"/>
    <w:rsid w:val="0070207D"/>
    <w:rsid w:val="0070209C"/>
    <w:rsid w:val="007023A1"/>
    <w:rsid w:val="0070271A"/>
    <w:rsid w:val="007039F3"/>
    <w:rsid w:val="007046B5"/>
    <w:rsid w:val="00704B25"/>
    <w:rsid w:val="00704BE6"/>
    <w:rsid w:val="00704D00"/>
    <w:rsid w:val="007063BE"/>
    <w:rsid w:val="00706694"/>
    <w:rsid w:val="0070750C"/>
    <w:rsid w:val="00707AEC"/>
    <w:rsid w:val="00710BD2"/>
    <w:rsid w:val="007110BC"/>
    <w:rsid w:val="00711C73"/>
    <w:rsid w:val="00712097"/>
    <w:rsid w:val="007121C9"/>
    <w:rsid w:val="00712399"/>
    <w:rsid w:val="007123AC"/>
    <w:rsid w:val="00712531"/>
    <w:rsid w:val="00715441"/>
    <w:rsid w:val="00715B4D"/>
    <w:rsid w:val="0071652E"/>
    <w:rsid w:val="0071657D"/>
    <w:rsid w:val="00716668"/>
    <w:rsid w:val="00717A5D"/>
    <w:rsid w:val="0072037B"/>
    <w:rsid w:val="007205A2"/>
    <w:rsid w:val="00720956"/>
    <w:rsid w:val="00721948"/>
    <w:rsid w:val="00721A34"/>
    <w:rsid w:val="00721BCC"/>
    <w:rsid w:val="00721C29"/>
    <w:rsid w:val="00721D6E"/>
    <w:rsid w:val="007224CD"/>
    <w:rsid w:val="007227D4"/>
    <w:rsid w:val="007229A1"/>
    <w:rsid w:val="00722D0D"/>
    <w:rsid w:val="00723F8F"/>
    <w:rsid w:val="00725730"/>
    <w:rsid w:val="00727017"/>
    <w:rsid w:val="00730D90"/>
    <w:rsid w:val="00731071"/>
    <w:rsid w:val="00731326"/>
    <w:rsid w:val="0073181E"/>
    <w:rsid w:val="007321EF"/>
    <w:rsid w:val="00732ACB"/>
    <w:rsid w:val="00732C4E"/>
    <w:rsid w:val="007332FC"/>
    <w:rsid w:val="00733397"/>
    <w:rsid w:val="007353C1"/>
    <w:rsid w:val="00736F10"/>
    <w:rsid w:val="0073704C"/>
    <w:rsid w:val="0073714B"/>
    <w:rsid w:val="0073757A"/>
    <w:rsid w:val="007405C8"/>
    <w:rsid w:val="0074103C"/>
    <w:rsid w:val="00742049"/>
    <w:rsid w:val="00742263"/>
    <w:rsid w:val="00742D3B"/>
    <w:rsid w:val="00742E19"/>
    <w:rsid w:val="0074333B"/>
    <w:rsid w:val="007436EA"/>
    <w:rsid w:val="00744514"/>
    <w:rsid w:val="00744D1A"/>
    <w:rsid w:val="00745957"/>
    <w:rsid w:val="00745AD7"/>
    <w:rsid w:val="00745E55"/>
    <w:rsid w:val="0074637A"/>
    <w:rsid w:val="0074648B"/>
    <w:rsid w:val="00746BFB"/>
    <w:rsid w:val="007476E4"/>
    <w:rsid w:val="00747F72"/>
    <w:rsid w:val="00750844"/>
    <w:rsid w:val="007508FB"/>
    <w:rsid w:val="00750F35"/>
    <w:rsid w:val="00751684"/>
    <w:rsid w:val="00753C9A"/>
    <w:rsid w:val="00754533"/>
    <w:rsid w:val="00754AB4"/>
    <w:rsid w:val="00755124"/>
    <w:rsid w:val="00755D6D"/>
    <w:rsid w:val="00756388"/>
    <w:rsid w:val="00756598"/>
    <w:rsid w:val="00756608"/>
    <w:rsid w:val="00757963"/>
    <w:rsid w:val="00757D59"/>
    <w:rsid w:val="00757DA4"/>
    <w:rsid w:val="00760428"/>
    <w:rsid w:val="00760635"/>
    <w:rsid w:val="0076148B"/>
    <w:rsid w:val="00761FE4"/>
    <w:rsid w:val="0076202D"/>
    <w:rsid w:val="00762B9A"/>
    <w:rsid w:val="00763783"/>
    <w:rsid w:val="00763D00"/>
    <w:rsid w:val="0076426F"/>
    <w:rsid w:val="00765378"/>
    <w:rsid w:val="007654D0"/>
    <w:rsid w:val="007655F8"/>
    <w:rsid w:val="007658DD"/>
    <w:rsid w:val="00765BE2"/>
    <w:rsid w:val="00767562"/>
    <w:rsid w:val="007677DD"/>
    <w:rsid w:val="00767E04"/>
    <w:rsid w:val="00767F30"/>
    <w:rsid w:val="007705E7"/>
    <w:rsid w:val="0077078A"/>
    <w:rsid w:val="007710EA"/>
    <w:rsid w:val="00771155"/>
    <w:rsid w:val="0077135F"/>
    <w:rsid w:val="00772254"/>
    <w:rsid w:val="00773EF9"/>
    <w:rsid w:val="007755A8"/>
    <w:rsid w:val="00776070"/>
    <w:rsid w:val="007767E0"/>
    <w:rsid w:val="00776BF5"/>
    <w:rsid w:val="00777B4B"/>
    <w:rsid w:val="00780141"/>
    <w:rsid w:val="00780165"/>
    <w:rsid w:val="0078077E"/>
    <w:rsid w:val="007807CF"/>
    <w:rsid w:val="00780CDF"/>
    <w:rsid w:val="00780E7F"/>
    <w:rsid w:val="00780F49"/>
    <w:rsid w:val="00780FA1"/>
    <w:rsid w:val="007818CB"/>
    <w:rsid w:val="00781B5E"/>
    <w:rsid w:val="00782BC6"/>
    <w:rsid w:val="00782C12"/>
    <w:rsid w:val="00782FCD"/>
    <w:rsid w:val="00783231"/>
    <w:rsid w:val="007837EA"/>
    <w:rsid w:val="00783D54"/>
    <w:rsid w:val="00784093"/>
    <w:rsid w:val="00784CE8"/>
    <w:rsid w:val="00784F59"/>
    <w:rsid w:val="0078562B"/>
    <w:rsid w:val="00785CFD"/>
    <w:rsid w:val="00785D9A"/>
    <w:rsid w:val="00786355"/>
    <w:rsid w:val="00786410"/>
    <w:rsid w:val="00786A9D"/>
    <w:rsid w:val="00786F79"/>
    <w:rsid w:val="00787C75"/>
    <w:rsid w:val="00790785"/>
    <w:rsid w:val="007909AD"/>
    <w:rsid w:val="00790FE3"/>
    <w:rsid w:val="00791876"/>
    <w:rsid w:val="00791B28"/>
    <w:rsid w:val="00792274"/>
    <w:rsid w:val="007924D9"/>
    <w:rsid w:val="0079271A"/>
    <w:rsid w:val="00792D9C"/>
    <w:rsid w:val="0079300D"/>
    <w:rsid w:val="007933C1"/>
    <w:rsid w:val="007934BD"/>
    <w:rsid w:val="00793619"/>
    <w:rsid w:val="0079369E"/>
    <w:rsid w:val="007947E6"/>
    <w:rsid w:val="00794CAE"/>
    <w:rsid w:val="00795641"/>
    <w:rsid w:val="00795FB2"/>
    <w:rsid w:val="007965D9"/>
    <w:rsid w:val="007966CA"/>
    <w:rsid w:val="00796C28"/>
    <w:rsid w:val="007973F5"/>
    <w:rsid w:val="0079766D"/>
    <w:rsid w:val="00797E69"/>
    <w:rsid w:val="007A0064"/>
    <w:rsid w:val="007A0754"/>
    <w:rsid w:val="007A0C14"/>
    <w:rsid w:val="007A11C1"/>
    <w:rsid w:val="007A167C"/>
    <w:rsid w:val="007A16F3"/>
    <w:rsid w:val="007A1FEC"/>
    <w:rsid w:val="007A261A"/>
    <w:rsid w:val="007A26E3"/>
    <w:rsid w:val="007A2D3E"/>
    <w:rsid w:val="007A36DE"/>
    <w:rsid w:val="007A3B0B"/>
    <w:rsid w:val="007A4148"/>
    <w:rsid w:val="007A42C4"/>
    <w:rsid w:val="007A4B15"/>
    <w:rsid w:val="007A4F75"/>
    <w:rsid w:val="007A6299"/>
    <w:rsid w:val="007A6CFA"/>
    <w:rsid w:val="007A7686"/>
    <w:rsid w:val="007A7E59"/>
    <w:rsid w:val="007B1247"/>
    <w:rsid w:val="007B16AC"/>
    <w:rsid w:val="007B2853"/>
    <w:rsid w:val="007B29E1"/>
    <w:rsid w:val="007B2F0C"/>
    <w:rsid w:val="007B2FAA"/>
    <w:rsid w:val="007B30A6"/>
    <w:rsid w:val="007B3542"/>
    <w:rsid w:val="007B3A42"/>
    <w:rsid w:val="007B4455"/>
    <w:rsid w:val="007B4671"/>
    <w:rsid w:val="007B475A"/>
    <w:rsid w:val="007B4CB2"/>
    <w:rsid w:val="007B52FA"/>
    <w:rsid w:val="007B6077"/>
    <w:rsid w:val="007B68AD"/>
    <w:rsid w:val="007B6C26"/>
    <w:rsid w:val="007B6C88"/>
    <w:rsid w:val="007B7125"/>
    <w:rsid w:val="007B768F"/>
    <w:rsid w:val="007C00B4"/>
    <w:rsid w:val="007C0900"/>
    <w:rsid w:val="007C10CA"/>
    <w:rsid w:val="007C185C"/>
    <w:rsid w:val="007C1FA6"/>
    <w:rsid w:val="007C238C"/>
    <w:rsid w:val="007C2B87"/>
    <w:rsid w:val="007C3AA0"/>
    <w:rsid w:val="007C3DE5"/>
    <w:rsid w:val="007C441B"/>
    <w:rsid w:val="007C568D"/>
    <w:rsid w:val="007C58F8"/>
    <w:rsid w:val="007C5F20"/>
    <w:rsid w:val="007C6406"/>
    <w:rsid w:val="007C6BC0"/>
    <w:rsid w:val="007C6C11"/>
    <w:rsid w:val="007C6D32"/>
    <w:rsid w:val="007C6F7F"/>
    <w:rsid w:val="007C7580"/>
    <w:rsid w:val="007C7F91"/>
    <w:rsid w:val="007D0970"/>
    <w:rsid w:val="007D0D46"/>
    <w:rsid w:val="007D1204"/>
    <w:rsid w:val="007D2039"/>
    <w:rsid w:val="007D2141"/>
    <w:rsid w:val="007D2B49"/>
    <w:rsid w:val="007D34CB"/>
    <w:rsid w:val="007D3C70"/>
    <w:rsid w:val="007D3D51"/>
    <w:rsid w:val="007D3D82"/>
    <w:rsid w:val="007D44D0"/>
    <w:rsid w:val="007D4A84"/>
    <w:rsid w:val="007D5042"/>
    <w:rsid w:val="007D57C2"/>
    <w:rsid w:val="007D64F3"/>
    <w:rsid w:val="007D7855"/>
    <w:rsid w:val="007D7856"/>
    <w:rsid w:val="007E0AC8"/>
    <w:rsid w:val="007E0FC2"/>
    <w:rsid w:val="007E1B97"/>
    <w:rsid w:val="007E24A7"/>
    <w:rsid w:val="007E2DA3"/>
    <w:rsid w:val="007E3254"/>
    <w:rsid w:val="007E34C6"/>
    <w:rsid w:val="007E3CFF"/>
    <w:rsid w:val="007E48CE"/>
    <w:rsid w:val="007E4C8B"/>
    <w:rsid w:val="007E6065"/>
    <w:rsid w:val="007E61DA"/>
    <w:rsid w:val="007E7A3D"/>
    <w:rsid w:val="007E7CEF"/>
    <w:rsid w:val="007E7E24"/>
    <w:rsid w:val="007F0120"/>
    <w:rsid w:val="007F0B2E"/>
    <w:rsid w:val="007F0E45"/>
    <w:rsid w:val="007F0FAC"/>
    <w:rsid w:val="007F1019"/>
    <w:rsid w:val="007F12D6"/>
    <w:rsid w:val="007F18D1"/>
    <w:rsid w:val="007F2092"/>
    <w:rsid w:val="007F2F21"/>
    <w:rsid w:val="007F3229"/>
    <w:rsid w:val="007F4D21"/>
    <w:rsid w:val="007F5AF0"/>
    <w:rsid w:val="007F5C5E"/>
    <w:rsid w:val="007F703B"/>
    <w:rsid w:val="007F7116"/>
    <w:rsid w:val="007F76E6"/>
    <w:rsid w:val="007F7828"/>
    <w:rsid w:val="007F7A43"/>
    <w:rsid w:val="00800985"/>
    <w:rsid w:val="008014C2"/>
    <w:rsid w:val="008024E1"/>
    <w:rsid w:val="0080265A"/>
    <w:rsid w:val="00802FE7"/>
    <w:rsid w:val="00803022"/>
    <w:rsid w:val="008037D7"/>
    <w:rsid w:val="00803A10"/>
    <w:rsid w:val="00804D4D"/>
    <w:rsid w:val="00805437"/>
    <w:rsid w:val="008056CA"/>
    <w:rsid w:val="00805DF7"/>
    <w:rsid w:val="00806BCB"/>
    <w:rsid w:val="00806E10"/>
    <w:rsid w:val="00806E7D"/>
    <w:rsid w:val="00807323"/>
    <w:rsid w:val="008076D2"/>
    <w:rsid w:val="00807F82"/>
    <w:rsid w:val="00810B3E"/>
    <w:rsid w:val="00810CC5"/>
    <w:rsid w:val="00811364"/>
    <w:rsid w:val="008113C0"/>
    <w:rsid w:val="00811575"/>
    <w:rsid w:val="008118A2"/>
    <w:rsid w:val="008122C1"/>
    <w:rsid w:val="008127AE"/>
    <w:rsid w:val="0081285D"/>
    <w:rsid w:val="0081291B"/>
    <w:rsid w:val="00812A91"/>
    <w:rsid w:val="00812FE8"/>
    <w:rsid w:val="0081306F"/>
    <w:rsid w:val="00813315"/>
    <w:rsid w:val="00813719"/>
    <w:rsid w:val="00813B30"/>
    <w:rsid w:val="00813DDB"/>
    <w:rsid w:val="00813F48"/>
    <w:rsid w:val="00813FDF"/>
    <w:rsid w:val="00814C8C"/>
    <w:rsid w:val="00815140"/>
    <w:rsid w:val="00815702"/>
    <w:rsid w:val="0081571D"/>
    <w:rsid w:val="008159FC"/>
    <w:rsid w:val="00815C0F"/>
    <w:rsid w:val="0081605D"/>
    <w:rsid w:val="00816982"/>
    <w:rsid w:val="00816C25"/>
    <w:rsid w:val="008174FD"/>
    <w:rsid w:val="008179E0"/>
    <w:rsid w:val="00817C88"/>
    <w:rsid w:val="00820772"/>
    <w:rsid w:val="00820C4E"/>
    <w:rsid w:val="00820F79"/>
    <w:rsid w:val="008211B3"/>
    <w:rsid w:val="008211CA"/>
    <w:rsid w:val="00821B82"/>
    <w:rsid w:val="00821BE5"/>
    <w:rsid w:val="00822024"/>
    <w:rsid w:val="00822F9F"/>
    <w:rsid w:val="008235FC"/>
    <w:rsid w:val="008238C8"/>
    <w:rsid w:val="00823B90"/>
    <w:rsid w:val="00823C82"/>
    <w:rsid w:val="00824312"/>
    <w:rsid w:val="008245DC"/>
    <w:rsid w:val="00824705"/>
    <w:rsid w:val="00825658"/>
    <w:rsid w:val="008257BC"/>
    <w:rsid w:val="00825896"/>
    <w:rsid w:val="00825A1A"/>
    <w:rsid w:val="00825EA1"/>
    <w:rsid w:val="00825EFD"/>
    <w:rsid w:val="008262C3"/>
    <w:rsid w:val="00826643"/>
    <w:rsid w:val="008266F7"/>
    <w:rsid w:val="008275C2"/>
    <w:rsid w:val="00827ACD"/>
    <w:rsid w:val="0083035C"/>
    <w:rsid w:val="0083052E"/>
    <w:rsid w:val="00831A13"/>
    <w:rsid w:val="00831B69"/>
    <w:rsid w:val="00832828"/>
    <w:rsid w:val="00832E9C"/>
    <w:rsid w:val="00833731"/>
    <w:rsid w:val="00833A21"/>
    <w:rsid w:val="008340B1"/>
    <w:rsid w:val="008345A5"/>
    <w:rsid w:val="00834C70"/>
    <w:rsid w:val="008359AF"/>
    <w:rsid w:val="00836209"/>
    <w:rsid w:val="00836DBD"/>
    <w:rsid w:val="00836FB8"/>
    <w:rsid w:val="008379A6"/>
    <w:rsid w:val="00837A4C"/>
    <w:rsid w:val="00837A97"/>
    <w:rsid w:val="00837D41"/>
    <w:rsid w:val="00840164"/>
    <w:rsid w:val="00840953"/>
    <w:rsid w:val="00840A13"/>
    <w:rsid w:val="00840B05"/>
    <w:rsid w:val="00841397"/>
    <w:rsid w:val="00841D6A"/>
    <w:rsid w:val="00842C45"/>
    <w:rsid w:val="00844321"/>
    <w:rsid w:val="008447C8"/>
    <w:rsid w:val="00845CD9"/>
    <w:rsid w:val="00846634"/>
    <w:rsid w:val="0084674E"/>
    <w:rsid w:val="008502F1"/>
    <w:rsid w:val="00851293"/>
    <w:rsid w:val="00851AB3"/>
    <w:rsid w:val="00851D1B"/>
    <w:rsid w:val="00852868"/>
    <w:rsid w:val="00852B83"/>
    <w:rsid w:val="008533F5"/>
    <w:rsid w:val="00853509"/>
    <w:rsid w:val="00853BE5"/>
    <w:rsid w:val="00853DE4"/>
    <w:rsid w:val="0085471C"/>
    <w:rsid w:val="00854CD8"/>
    <w:rsid w:val="00855568"/>
    <w:rsid w:val="0085621F"/>
    <w:rsid w:val="00856990"/>
    <w:rsid w:val="008575CB"/>
    <w:rsid w:val="008602DE"/>
    <w:rsid w:val="008620E6"/>
    <w:rsid w:val="00862D45"/>
    <w:rsid w:val="00863B15"/>
    <w:rsid w:val="008643FB"/>
    <w:rsid w:val="00865BFD"/>
    <w:rsid w:val="00865CA7"/>
    <w:rsid w:val="00865E68"/>
    <w:rsid w:val="00865F85"/>
    <w:rsid w:val="008668E3"/>
    <w:rsid w:val="0086711E"/>
    <w:rsid w:val="00867359"/>
    <w:rsid w:val="00867FA6"/>
    <w:rsid w:val="00870666"/>
    <w:rsid w:val="00870E7C"/>
    <w:rsid w:val="00871ABA"/>
    <w:rsid w:val="00871CFB"/>
    <w:rsid w:val="008722BB"/>
    <w:rsid w:val="00872743"/>
    <w:rsid w:val="00873937"/>
    <w:rsid w:val="00873961"/>
    <w:rsid w:val="008743DF"/>
    <w:rsid w:val="008744C8"/>
    <w:rsid w:val="00874C45"/>
    <w:rsid w:val="00875012"/>
    <w:rsid w:val="008757D5"/>
    <w:rsid w:val="00875A61"/>
    <w:rsid w:val="00876121"/>
    <w:rsid w:val="008762D9"/>
    <w:rsid w:val="0087633E"/>
    <w:rsid w:val="008764B9"/>
    <w:rsid w:val="00876949"/>
    <w:rsid w:val="00876B84"/>
    <w:rsid w:val="00877444"/>
    <w:rsid w:val="00877FFA"/>
    <w:rsid w:val="00880012"/>
    <w:rsid w:val="0088005A"/>
    <w:rsid w:val="00880DB2"/>
    <w:rsid w:val="008821D8"/>
    <w:rsid w:val="00882D17"/>
    <w:rsid w:val="00882F1A"/>
    <w:rsid w:val="008836BC"/>
    <w:rsid w:val="0088412E"/>
    <w:rsid w:val="008845FB"/>
    <w:rsid w:val="00884EFD"/>
    <w:rsid w:val="008855A3"/>
    <w:rsid w:val="00885A6D"/>
    <w:rsid w:val="008865ED"/>
    <w:rsid w:val="00890B25"/>
    <w:rsid w:val="00891389"/>
    <w:rsid w:val="0089166A"/>
    <w:rsid w:val="00891904"/>
    <w:rsid w:val="00891A16"/>
    <w:rsid w:val="00891A2E"/>
    <w:rsid w:val="00891C46"/>
    <w:rsid w:val="00891C54"/>
    <w:rsid w:val="00891D6F"/>
    <w:rsid w:val="0089298A"/>
    <w:rsid w:val="0089351C"/>
    <w:rsid w:val="00893B20"/>
    <w:rsid w:val="00893BDE"/>
    <w:rsid w:val="008940F4"/>
    <w:rsid w:val="008957E5"/>
    <w:rsid w:val="00895F08"/>
    <w:rsid w:val="00896306"/>
    <w:rsid w:val="00896ED1"/>
    <w:rsid w:val="008A0523"/>
    <w:rsid w:val="008A0BB8"/>
    <w:rsid w:val="008A0CA5"/>
    <w:rsid w:val="008A13A8"/>
    <w:rsid w:val="008A1927"/>
    <w:rsid w:val="008A22F3"/>
    <w:rsid w:val="008A28C6"/>
    <w:rsid w:val="008A28DF"/>
    <w:rsid w:val="008A2E3A"/>
    <w:rsid w:val="008A3161"/>
    <w:rsid w:val="008A3C0E"/>
    <w:rsid w:val="008A3D2D"/>
    <w:rsid w:val="008A3DFE"/>
    <w:rsid w:val="008A416C"/>
    <w:rsid w:val="008A4AA9"/>
    <w:rsid w:val="008A509F"/>
    <w:rsid w:val="008A524F"/>
    <w:rsid w:val="008A553C"/>
    <w:rsid w:val="008A5C72"/>
    <w:rsid w:val="008A6D8D"/>
    <w:rsid w:val="008A7A69"/>
    <w:rsid w:val="008A7B9D"/>
    <w:rsid w:val="008B01FF"/>
    <w:rsid w:val="008B04DF"/>
    <w:rsid w:val="008B0E9B"/>
    <w:rsid w:val="008B1168"/>
    <w:rsid w:val="008B19BA"/>
    <w:rsid w:val="008B1B18"/>
    <w:rsid w:val="008B1E61"/>
    <w:rsid w:val="008B2A8C"/>
    <w:rsid w:val="008B2C36"/>
    <w:rsid w:val="008B2F47"/>
    <w:rsid w:val="008B3133"/>
    <w:rsid w:val="008B3923"/>
    <w:rsid w:val="008B4491"/>
    <w:rsid w:val="008B4914"/>
    <w:rsid w:val="008B4B2B"/>
    <w:rsid w:val="008B506C"/>
    <w:rsid w:val="008B50A3"/>
    <w:rsid w:val="008B550F"/>
    <w:rsid w:val="008B5516"/>
    <w:rsid w:val="008B5EB0"/>
    <w:rsid w:val="008B5F65"/>
    <w:rsid w:val="008B62C3"/>
    <w:rsid w:val="008B7260"/>
    <w:rsid w:val="008B761B"/>
    <w:rsid w:val="008C138F"/>
    <w:rsid w:val="008C190E"/>
    <w:rsid w:val="008C1A93"/>
    <w:rsid w:val="008C2D34"/>
    <w:rsid w:val="008C2DBB"/>
    <w:rsid w:val="008C2EB8"/>
    <w:rsid w:val="008C3B0C"/>
    <w:rsid w:val="008C3EC4"/>
    <w:rsid w:val="008C4298"/>
    <w:rsid w:val="008C45B0"/>
    <w:rsid w:val="008C4DBA"/>
    <w:rsid w:val="008C5F3E"/>
    <w:rsid w:val="008C643E"/>
    <w:rsid w:val="008C705B"/>
    <w:rsid w:val="008C75E9"/>
    <w:rsid w:val="008C7F1A"/>
    <w:rsid w:val="008D0362"/>
    <w:rsid w:val="008D05AC"/>
    <w:rsid w:val="008D09CA"/>
    <w:rsid w:val="008D09D2"/>
    <w:rsid w:val="008D1B06"/>
    <w:rsid w:val="008D1DEE"/>
    <w:rsid w:val="008D290C"/>
    <w:rsid w:val="008D2F53"/>
    <w:rsid w:val="008D33E5"/>
    <w:rsid w:val="008D3589"/>
    <w:rsid w:val="008D47A8"/>
    <w:rsid w:val="008D4AA5"/>
    <w:rsid w:val="008D4D13"/>
    <w:rsid w:val="008D5A59"/>
    <w:rsid w:val="008D5E0E"/>
    <w:rsid w:val="008D6245"/>
    <w:rsid w:val="008D62A5"/>
    <w:rsid w:val="008D63B0"/>
    <w:rsid w:val="008D685D"/>
    <w:rsid w:val="008D6A48"/>
    <w:rsid w:val="008D6D16"/>
    <w:rsid w:val="008D723B"/>
    <w:rsid w:val="008E0B4B"/>
    <w:rsid w:val="008E1C91"/>
    <w:rsid w:val="008E1FF5"/>
    <w:rsid w:val="008E2092"/>
    <w:rsid w:val="008E2C29"/>
    <w:rsid w:val="008E2D94"/>
    <w:rsid w:val="008E4122"/>
    <w:rsid w:val="008E4BEC"/>
    <w:rsid w:val="008E4C8B"/>
    <w:rsid w:val="008E5066"/>
    <w:rsid w:val="008E5D23"/>
    <w:rsid w:val="008E6161"/>
    <w:rsid w:val="008E72B8"/>
    <w:rsid w:val="008E74EE"/>
    <w:rsid w:val="008F0217"/>
    <w:rsid w:val="008F045F"/>
    <w:rsid w:val="008F04D7"/>
    <w:rsid w:val="008F062B"/>
    <w:rsid w:val="008F064E"/>
    <w:rsid w:val="008F081B"/>
    <w:rsid w:val="008F0C72"/>
    <w:rsid w:val="008F2495"/>
    <w:rsid w:val="008F2CC3"/>
    <w:rsid w:val="008F2D05"/>
    <w:rsid w:val="008F2E95"/>
    <w:rsid w:val="008F432D"/>
    <w:rsid w:val="008F4331"/>
    <w:rsid w:val="008F43C0"/>
    <w:rsid w:val="008F4A0F"/>
    <w:rsid w:val="008F4BA5"/>
    <w:rsid w:val="008F5C12"/>
    <w:rsid w:val="008F5D67"/>
    <w:rsid w:val="008F5E39"/>
    <w:rsid w:val="008F60E9"/>
    <w:rsid w:val="008F65D4"/>
    <w:rsid w:val="008F6F0B"/>
    <w:rsid w:val="008F7762"/>
    <w:rsid w:val="0090021C"/>
    <w:rsid w:val="009007DF"/>
    <w:rsid w:val="009007F8"/>
    <w:rsid w:val="00900CC1"/>
    <w:rsid w:val="009019F8"/>
    <w:rsid w:val="00901DF1"/>
    <w:rsid w:val="00902018"/>
    <w:rsid w:val="0090208D"/>
    <w:rsid w:val="0090224D"/>
    <w:rsid w:val="00902834"/>
    <w:rsid w:val="0090290B"/>
    <w:rsid w:val="009029BA"/>
    <w:rsid w:val="00902E7C"/>
    <w:rsid w:val="00903670"/>
    <w:rsid w:val="00903D52"/>
    <w:rsid w:val="00904281"/>
    <w:rsid w:val="00904810"/>
    <w:rsid w:val="00904DC1"/>
    <w:rsid w:val="00904F8C"/>
    <w:rsid w:val="00905352"/>
    <w:rsid w:val="00905BCF"/>
    <w:rsid w:val="0090600D"/>
    <w:rsid w:val="0090656D"/>
    <w:rsid w:val="00906A88"/>
    <w:rsid w:val="009100F1"/>
    <w:rsid w:val="0091168C"/>
    <w:rsid w:val="00911834"/>
    <w:rsid w:val="00911955"/>
    <w:rsid w:val="00912797"/>
    <w:rsid w:val="00912AD5"/>
    <w:rsid w:val="00913250"/>
    <w:rsid w:val="0091350E"/>
    <w:rsid w:val="00913BA1"/>
    <w:rsid w:val="00913CB3"/>
    <w:rsid w:val="00913DAF"/>
    <w:rsid w:val="00913EF8"/>
    <w:rsid w:val="00914552"/>
    <w:rsid w:val="00915DFB"/>
    <w:rsid w:val="009160B5"/>
    <w:rsid w:val="009176C3"/>
    <w:rsid w:val="009176E2"/>
    <w:rsid w:val="009202E7"/>
    <w:rsid w:val="0092156C"/>
    <w:rsid w:val="009220FA"/>
    <w:rsid w:val="009227CE"/>
    <w:rsid w:val="00922BA3"/>
    <w:rsid w:val="00922CF9"/>
    <w:rsid w:val="00923388"/>
    <w:rsid w:val="0092452B"/>
    <w:rsid w:val="009246D3"/>
    <w:rsid w:val="0092551E"/>
    <w:rsid w:val="009261DE"/>
    <w:rsid w:val="009264A3"/>
    <w:rsid w:val="009264FE"/>
    <w:rsid w:val="00926E28"/>
    <w:rsid w:val="009270AA"/>
    <w:rsid w:val="00927218"/>
    <w:rsid w:val="009279EE"/>
    <w:rsid w:val="00927EF3"/>
    <w:rsid w:val="009300BE"/>
    <w:rsid w:val="0093214F"/>
    <w:rsid w:val="0093217A"/>
    <w:rsid w:val="009323CA"/>
    <w:rsid w:val="00932652"/>
    <w:rsid w:val="00932E61"/>
    <w:rsid w:val="00933092"/>
    <w:rsid w:val="009332F6"/>
    <w:rsid w:val="009335A7"/>
    <w:rsid w:val="00933C6F"/>
    <w:rsid w:val="00933D85"/>
    <w:rsid w:val="0093578F"/>
    <w:rsid w:val="0093666D"/>
    <w:rsid w:val="009366B1"/>
    <w:rsid w:val="00936E37"/>
    <w:rsid w:val="0093716A"/>
    <w:rsid w:val="009371C6"/>
    <w:rsid w:val="009376C1"/>
    <w:rsid w:val="00937BE7"/>
    <w:rsid w:val="00937D26"/>
    <w:rsid w:val="00940FA3"/>
    <w:rsid w:val="00941132"/>
    <w:rsid w:val="0094129C"/>
    <w:rsid w:val="00941D8A"/>
    <w:rsid w:val="009425C3"/>
    <w:rsid w:val="00942A72"/>
    <w:rsid w:val="00943760"/>
    <w:rsid w:val="00943C72"/>
    <w:rsid w:val="0094408F"/>
    <w:rsid w:val="009440AF"/>
    <w:rsid w:val="009443AA"/>
    <w:rsid w:val="00944E8A"/>
    <w:rsid w:val="00944ECA"/>
    <w:rsid w:val="0094546C"/>
    <w:rsid w:val="009456D1"/>
    <w:rsid w:val="0094592B"/>
    <w:rsid w:val="00945DBB"/>
    <w:rsid w:val="00946DD6"/>
    <w:rsid w:val="00950805"/>
    <w:rsid w:val="0095101B"/>
    <w:rsid w:val="0095121A"/>
    <w:rsid w:val="009513FA"/>
    <w:rsid w:val="009517F3"/>
    <w:rsid w:val="00951AF0"/>
    <w:rsid w:val="009521E4"/>
    <w:rsid w:val="009525F5"/>
    <w:rsid w:val="0095262A"/>
    <w:rsid w:val="00954848"/>
    <w:rsid w:val="009548C8"/>
    <w:rsid w:val="00954D71"/>
    <w:rsid w:val="0095561F"/>
    <w:rsid w:val="009567C6"/>
    <w:rsid w:val="00956886"/>
    <w:rsid w:val="009569A7"/>
    <w:rsid w:val="00957C21"/>
    <w:rsid w:val="00960035"/>
    <w:rsid w:val="009605DF"/>
    <w:rsid w:val="009605F5"/>
    <w:rsid w:val="00960D46"/>
    <w:rsid w:val="00961560"/>
    <w:rsid w:val="00961B8C"/>
    <w:rsid w:val="00962421"/>
    <w:rsid w:val="009625B5"/>
    <w:rsid w:val="00962A1B"/>
    <w:rsid w:val="0096361C"/>
    <w:rsid w:val="009636CA"/>
    <w:rsid w:val="009653F5"/>
    <w:rsid w:val="009657ED"/>
    <w:rsid w:val="009658A0"/>
    <w:rsid w:val="00965F69"/>
    <w:rsid w:val="009662AB"/>
    <w:rsid w:val="009662DE"/>
    <w:rsid w:val="009663B3"/>
    <w:rsid w:val="009664EA"/>
    <w:rsid w:val="00966DDB"/>
    <w:rsid w:val="00966F57"/>
    <w:rsid w:val="00967BF7"/>
    <w:rsid w:val="00967E0A"/>
    <w:rsid w:val="00967F97"/>
    <w:rsid w:val="009706FC"/>
    <w:rsid w:val="009709A1"/>
    <w:rsid w:val="00970AA6"/>
    <w:rsid w:val="00970B51"/>
    <w:rsid w:val="00970D0E"/>
    <w:rsid w:val="00970F40"/>
    <w:rsid w:val="009712B1"/>
    <w:rsid w:val="00971613"/>
    <w:rsid w:val="0097183C"/>
    <w:rsid w:val="00971C9C"/>
    <w:rsid w:val="0097226C"/>
    <w:rsid w:val="00973441"/>
    <w:rsid w:val="00973D7B"/>
    <w:rsid w:val="00973EF3"/>
    <w:rsid w:val="009742DA"/>
    <w:rsid w:val="00974588"/>
    <w:rsid w:val="009745A5"/>
    <w:rsid w:val="00974ED2"/>
    <w:rsid w:val="009751D4"/>
    <w:rsid w:val="009755D2"/>
    <w:rsid w:val="009757CE"/>
    <w:rsid w:val="00975C19"/>
    <w:rsid w:val="00976934"/>
    <w:rsid w:val="00976ECE"/>
    <w:rsid w:val="00977216"/>
    <w:rsid w:val="00977A12"/>
    <w:rsid w:val="00977CAD"/>
    <w:rsid w:val="00980208"/>
    <w:rsid w:val="00980F74"/>
    <w:rsid w:val="0098116E"/>
    <w:rsid w:val="0098124F"/>
    <w:rsid w:val="00981813"/>
    <w:rsid w:val="009823F6"/>
    <w:rsid w:val="00982FDA"/>
    <w:rsid w:val="009830B6"/>
    <w:rsid w:val="009832CC"/>
    <w:rsid w:val="009832FD"/>
    <w:rsid w:val="00983968"/>
    <w:rsid w:val="009839A9"/>
    <w:rsid w:val="00983B8F"/>
    <w:rsid w:val="00984468"/>
    <w:rsid w:val="00984D1F"/>
    <w:rsid w:val="0098505F"/>
    <w:rsid w:val="0098528C"/>
    <w:rsid w:val="00985541"/>
    <w:rsid w:val="009857DB"/>
    <w:rsid w:val="00985B7A"/>
    <w:rsid w:val="009862EF"/>
    <w:rsid w:val="00986765"/>
    <w:rsid w:val="00986D25"/>
    <w:rsid w:val="009879BA"/>
    <w:rsid w:val="00991556"/>
    <w:rsid w:val="00991953"/>
    <w:rsid w:val="0099230D"/>
    <w:rsid w:val="0099293D"/>
    <w:rsid w:val="009930DE"/>
    <w:rsid w:val="009931DF"/>
    <w:rsid w:val="009937A8"/>
    <w:rsid w:val="009939BB"/>
    <w:rsid w:val="00993A85"/>
    <w:rsid w:val="00993C66"/>
    <w:rsid w:val="00993E9D"/>
    <w:rsid w:val="009941BA"/>
    <w:rsid w:val="009942D6"/>
    <w:rsid w:val="00994C7E"/>
    <w:rsid w:val="00994CEB"/>
    <w:rsid w:val="00994E13"/>
    <w:rsid w:val="009952C8"/>
    <w:rsid w:val="0099563E"/>
    <w:rsid w:val="00995E1A"/>
    <w:rsid w:val="009961FE"/>
    <w:rsid w:val="009967D7"/>
    <w:rsid w:val="00996CC7"/>
    <w:rsid w:val="0099718A"/>
    <w:rsid w:val="00997196"/>
    <w:rsid w:val="009A02E0"/>
    <w:rsid w:val="009A05C6"/>
    <w:rsid w:val="009A05CF"/>
    <w:rsid w:val="009A13B4"/>
    <w:rsid w:val="009A15CE"/>
    <w:rsid w:val="009A22FD"/>
    <w:rsid w:val="009A2532"/>
    <w:rsid w:val="009A29D7"/>
    <w:rsid w:val="009A3018"/>
    <w:rsid w:val="009A328C"/>
    <w:rsid w:val="009A368F"/>
    <w:rsid w:val="009A40E1"/>
    <w:rsid w:val="009A480F"/>
    <w:rsid w:val="009A598F"/>
    <w:rsid w:val="009A5A9C"/>
    <w:rsid w:val="009A634B"/>
    <w:rsid w:val="009A6BA5"/>
    <w:rsid w:val="009A743F"/>
    <w:rsid w:val="009A77AA"/>
    <w:rsid w:val="009A78CB"/>
    <w:rsid w:val="009A7D31"/>
    <w:rsid w:val="009A7DC5"/>
    <w:rsid w:val="009B0AA7"/>
    <w:rsid w:val="009B0B15"/>
    <w:rsid w:val="009B2321"/>
    <w:rsid w:val="009B24EB"/>
    <w:rsid w:val="009B2BEE"/>
    <w:rsid w:val="009B2D6C"/>
    <w:rsid w:val="009B3A9B"/>
    <w:rsid w:val="009B40EB"/>
    <w:rsid w:val="009B42D2"/>
    <w:rsid w:val="009B46F4"/>
    <w:rsid w:val="009B4C4A"/>
    <w:rsid w:val="009B53B1"/>
    <w:rsid w:val="009B53C7"/>
    <w:rsid w:val="009B590D"/>
    <w:rsid w:val="009B5E0A"/>
    <w:rsid w:val="009B6698"/>
    <w:rsid w:val="009B72C6"/>
    <w:rsid w:val="009B7904"/>
    <w:rsid w:val="009B7CEB"/>
    <w:rsid w:val="009C0E03"/>
    <w:rsid w:val="009C11C3"/>
    <w:rsid w:val="009C1B7D"/>
    <w:rsid w:val="009C2C64"/>
    <w:rsid w:val="009C2ED6"/>
    <w:rsid w:val="009C3C4E"/>
    <w:rsid w:val="009C3CBF"/>
    <w:rsid w:val="009C3EFF"/>
    <w:rsid w:val="009C4659"/>
    <w:rsid w:val="009C4799"/>
    <w:rsid w:val="009C54DA"/>
    <w:rsid w:val="009C5694"/>
    <w:rsid w:val="009C5923"/>
    <w:rsid w:val="009C59F6"/>
    <w:rsid w:val="009C5B26"/>
    <w:rsid w:val="009C621F"/>
    <w:rsid w:val="009C65A8"/>
    <w:rsid w:val="009C6B2A"/>
    <w:rsid w:val="009C6B7A"/>
    <w:rsid w:val="009C704A"/>
    <w:rsid w:val="009C7898"/>
    <w:rsid w:val="009C78A8"/>
    <w:rsid w:val="009C7CE3"/>
    <w:rsid w:val="009C7D09"/>
    <w:rsid w:val="009C7EA4"/>
    <w:rsid w:val="009D058C"/>
    <w:rsid w:val="009D0985"/>
    <w:rsid w:val="009D141E"/>
    <w:rsid w:val="009D182D"/>
    <w:rsid w:val="009D1EA2"/>
    <w:rsid w:val="009D2248"/>
    <w:rsid w:val="009D2C83"/>
    <w:rsid w:val="009D2E59"/>
    <w:rsid w:val="009D2EC4"/>
    <w:rsid w:val="009D2EC5"/>
    <w:rsid w:val="009D426F"/>
    <w:rsid w:val="009D43EC"/>
    <w:rsid w:val="009D5BAD"/>
    <w:rsid w:val="009D6733"/>
    <w:rsid w:val="009D7182"/>
    <w:rsid w:val="009D7375"/>
    <w:rsid w:val="009D752C"/>
    <w:rsid w:val="009D78B7"/>
    <w:rsid w:val="009D7E3D"/>
    <w:rsid w:val="009E027C"/>
    <w:rsid w:val="009E0339"/>
    <w:rsid w:val="009E03E9"/>
    <w:rsid w:val="009E0AD5"/>
    <w:rsid w:val="009E184E"/>
    <w:rsid w:val="009E1A65"/>
    <w:rsid w:val="009E3B86"/>
    <w:rsid w:val="009E4B2B"/>
    <w:rsid w:val="009E4BA5"/>
    <w:rsid w:val="009E4CCD"/>
    <w:rsid w:val="009E4D67"/>
    <w:rsid w:val="009E569D"/>
    <w:rsid w:val="009E56D4"/>
    <w:rsid w:val="009E5F74"/>
    <w:rsid w:val="009E5FD4"/>
    <w:rsid w:val="009E63E9"/>
    <w:rsid w:val="009E65E1"/>
    <w:rsid w:val="009F0144"/>
    <w:rsid w:val="009F04E4"/>
    <w:rsid w:val="009F0586"/>
    <w:rsid w:val="009F0E73"/>
    <w:rsid w:val="009F156C"/>
    <w:rsid w:val="009F16F9"/>
    <w:rsid w:val="009F1FEB"/>
    <w:rsid w:val="009F29ED"/>
    <w:rsid w:val="009F2B65"/>
    <w:rsid w:val="009F2C4A"/>
    <w:rsid w:val="009F3114"/>
    <w:rsid w:val="009F42A2"/>
    <w:rsid w:val="009F484A"/>
    <w:rsid w:val="009F4D71"/>
    <w:rsid w:val="009F5524"/>
    <w:rsid w:val="009F60F0"/>
    <w:rsid w:val="009F6174"/>
    <w:rsid w:val="009F6D49"/>
    <w:rsid w:val="009F73F1"/>
    <w:rsid w:val="009F78AE"/>
    <w:rsid w:val="009F7A51"/>
    <w:rsid w:val="009F7B5D"/>
    <w:rsid w:val="009F7EC6"/>
    <w:rsid w:val="00A00469"/>
    <w:rsid w:val="00A005CB"/>
    <w:rsid w:val="00A005FF"/>
    <w:rsid w:val="00A00668"/>
    <w:rsid w:val="00A00CBD"/>
    <w:rsid w:val="00A00F22"/>
    <w:rsid w:val="00A0110F"/>
    <w:rsid w:val="00A017BA"/>
    <w:rsid w:val="00A01C12"/>
    <w:rsid w:val="00A01C59"/>
    <w:rsid w:val="00A0212F"/>
    <w:rsid w:val="00A03A1A"/>
    <w:rsid w:val="00A03C1E"/>
    <w:rsid w:val="00A03D4B"/>
    <w:rsid w:val="00A04869"/>
    <w:rsid w:val="00A04A92"/>
    <w:rsid w:val="00A04CD4"/>
    <w:rsid w:val="00A04DD9"/>
    <w:rsid w:val="00A051DF"/>
    <w:rsid w:val="00A05769"/>
    <w:rsid w:val="00A05896"/>
    <w:rsid w:val="00A05E1C"/>
    <w:rsid w:val="00A05FC6"/>
    <w:rsid w:val="00A0636B"/>
    <w:rsid w:val="00A07DC2"/>
    <w:rsid w:val="00A101A6"/>
    <w:rsid w:val="00A10408"/>
    <w:rsid w:val="00A10551"/>
    <w:rsid w:val="00A10E86"/>
    <w:rsid w:val="00A117F4"/>
    <w:rsid w:val="00A12258"/>
    <w:rsid w:val="00A129DA"/>
    <w:rsid w:val="00A1319D"/>
    <w:rsid w:val="00A1335D"/>
    <w:rsid w:val="00A13454"/>
    <w:rsid w:val="00A134E3"/>
    <w:rsid w:val="00A136D4"/>
    <w:rsid w:val="00A13B9E"/>
    <w:rsid w:val="00A13D13"/>
    <w:rsid w:val="00A14AD7"/>
    <w:rsid w:val="00A14D8F"/>
    <w:rsid w:val="00A14EB3"/>
    <w:rsid w:val="00A15F7E"/>
    <w:rsid w:val="00A16097"/>
    <w:rsid w:val="00A16FB4"/>
    <w:rsid w:val="00A17357"/>
    <w:rsid w:val="00A174B4"/>
    <w:rsid w:val="00A174F1"/>
    <w:rsid w:val="00A204D4"/>
    <w:rsid w:val="00A2051C"/>
    <w:rsid w:val="00A2174F"/>
    <w:rsid w:val="00A21995"/>
    <w:rsid w:val="00A21BCB"/>
    <w:rsid w:val="00A224E8"/>
    <w:rsid w:val="00A23665"/>
    <w:rsid w:val="00A23FBC"/>
    <w:rsid w:val="00A24943"/>
    <w:rsid w:val="00A25547"/>
    <w:rsid w:val="00A262A4"/>
    <w:rsid w:val="00A269A6"/>
    <w:rsid w:val="00A26BD5"/>
    <w:rsid w:val="00A271B9"/>
    <w:rsid w:val="00A27364"/>
    <w:rsid w:val="00A3004A"/>
    <w:rsid w:val="00A30BCE"/>
    <w:rsid w:val="00A30F1F"/>
    <w:rsid w:val="00A31101"/>
    <w:rsid w:val="00A3135F"/>
    <w:rsid w:val="00A32808"/>
    <w:rsid w:val="00A332F3"/>
    <w:rsid w:val="00A3347E"/>
    <w:rsid w:val="00A33799"/>
    <w:rsid w:val="00A33EA2"/>
    <w:rsid w:val="00A34005"/>
    <w:rsid w:val="00A34C6F"/>
    <w:rsid w:val="00A35543"/>
    <w:rsid w:val="00A35C62"/>
    <w:rsid w:val="00A35EE0"/>
    <w:rsid w:val="00A363A6"/>
    <w:rsid w:val="00A366A7"/>
    <w:rsid w:val="00A37240"/>
    <w:rsid w:val="00A373B5"/>
    <w:rsid w:val="00A37568"/>
    <w:rsid w:val="00A40960"/>
    <w:rsid w:val="00A40E67"/>
    <w:rsid w:val="00A41961"/>
    <w:rsid w:val="00A421D8"/>
    <w:rsid w:val="00A42840"/>
    <w:rsid w:val="00A429C8"/>
    <w:rsid w:val="00A439E5"/>
    <w:rsid w:val="00A43EE7"/>
    <w:rsid w:val="00A4439D"/>
    <w:rsid w:val="00A44950"/>
    <w:rsid w:val="00A45500"/>
    <w:rsid w:val="00A45D71"/>
    <w:rsid w:val="00A4617A"/>
    <w:rsid w:val="00A4711F"/>
    <w:rsid w:val="00A47285"/>
    <w:rsid w:val="00A475A9"/>
    <w:rsid w:val="00A50FA9"/>
    <w:rsid w:val="00A5145C"/>
    <w:rsid w:val="00A51F41"/>
    <w:rsid w:val="00A522D0"/>
    <w:rsid w:val="00A529BB"/>
    <w:rsid w:val="00A52DDC"/>
    <w:rsid w:val="00A5308E"/>
    <w:rsid w:val="00A53452"/>
    <w:rsid w:val="00A53F3D"/>
    <w:rsid w:val="00A54038"/>
    <w:rsid w:val="00A5501B"/>
    <w:rsid w:val="00A5505B"/>
    <w:rsid w:val="00A553F9"/>
    <w:rsid w:val="00A55980"/>
    <w:rsid w:val="00A55D6F"/>
    <w:rsid w:val="00A55FDA"/>
    <w:rsid w:val="00A561E9"/>
    <w:rsid w:val="00A564C9"/>
    <w:rsid w:val="00A56593"/>
    <w:rsid w:val="00A568DE"/>
    <w:rsid w:val="00A56905"/>
    <w:rsid w:val="00A56990"/>
    <w:rsid w:val="00A56AD8"/>
    <w:rsid w:val="00A56BAF"/>
    <w:rsid w:val="00A57057"/>
    <w:rsid w:val="00A57FB5"/>
    <w:rsid w:val="00A60BF5"/>
    <w:rsid w:val="00A60EC1"/>
    <w:rsid w:val="00A6124F"/>
    <w:rsid w:val="00A6197B"/>
    <w:rsid w:val="00A62F4B"/>
    <w:rsid w:val="00A63F96"/>
    <w:rsid w:val="00A642DF"/>
    <w:rsid w:val="00A65C7C"/>
    <w:rsid w:val="00A66A1D"/>
    <w:rsid w:val="00A67191"/>
    <w:rsid w:val="00A67F6A"/>
    <w:rsid w:val="00A707E2"/>
    <w:rsid w:val="00A70B29"/>
    <w:rsid w:val="00A71F8F"/>
    <w:rsid w:val="00A7203B"/>
    <w:rsid w:val="00A72CE7"/>
    <w:rsid w:val="00A730BE"/>
    <w:rsid w:val="00A736AF"/>
    <w:rsid w:val="00A7440E"/>
    <w:rsid w:val="00A74466"/>
    <w:rsid w:val="00A74548"/>
    <w:rsid w:val="00A75314"/>
    <w:rsid w:val="00A75B37"/>
    <w:rsid w:val="00A75E17"/>
    <w:rsid w:val="00A75EF6"/>
    <w:rsid w:val="00A75F63"/>
    <w:rsid w:val="00A76869"/>
    <w:rsid w:val="00A768FD"/>
    <w:rsid w:val="00A769ED"/>
    <w:rsid w:val="00A778ED"/>
    <w:rsid w:val="00A77BC9"/>
    <w:rsid w:val="00A800BF"/>
    <w:rsid w:val="00A80DBC"/>
    <w:rsid w:val="00A81B07"/>
    <w:rsid w:val="00A82293"/>
    <w:rsid w:val="00A831DD"/>
    <w:rsid w:val="00A83243"/>
    <w:rsid w:val="00A83A68"/>
    <w:rsid w:val="00A8404C"/>
    <w:rsid w:val="00A85021"/>
    <w:rsid w:val="00A85417"/>
    <w:rsid w:val="00A85EC2"/>
    <w:rsid w:val="00A86D09"/>
    <w:rsid w:val="00A87609"/>
    <w:rsid w:val="00A909CA"/>
    <w:rsid w:val="00A9199A"/>
    <w:rsid w:val="00A92F61"/>
    <w:rsid w:val="00A9300C"/>
    <w:rsid w:val="00A93B88"/>
    <w:rsid w:val="00A950D6"/>
    <w:rsid w:val="00A9533D"/>
    <w:rsid w:val="00A959F2"/>
    <w:rsid w:val="00A95A8C"/>
    <w:rsid w:val="00A95B5A"/>
    <w:rsid w:val="00A96406"/>
    <w:rsid w:val="00A967C6"/>
    <w:rsid w:val="00A96810"/>
    <w:rsid w:val="00A96DD9"/>
    <w:rsid w:val="00A96FC3"/>
    <w:rsid w:val="00A97364"/>
    <w:rsid w:val="00A9743B"/>
    <w:rsid w:val="00A97876"/>
    <w:rsid w:val="00AA078E"/>
    <w:rsid w:val="00AA0B10"/>
    <w:rsid w:val="00AA12A8"/>
    <w:rsid w:val="00AA1602"/>
    <w:rsid w:val="00AA1C02"/>
    <w:rsid w:val="00AA23B1"/>
    <w:rsid w:val="00AA29A6"/>
    <w:rsid w:val="00AA2D13"/>
    <w:rsid w:val="00AA31F2"/>
    <w:rsid w:val="00AA37A0"/>
    <w:rsid w:val="00AA3FCA"/>
    <w:rsid w:val="00AA7B4F"/>
    <w:rsid w:val="00AB0817"/>
    <w:rsid w:val="00AB2019"/>
    <w:rsid w:val="00AB2A78"/>
    <w:rsid w:val="00AB2C33"/>
    <w:rsid w:val="00AB441A"/>
    <w:rsid w:val="00AB4945"/>
    <w:rsid w:val="00AB4FD8"/>
    <w:rsid w:val="00AB5FBF"/>
    <w:rsid w:val="00AB6090"/>
    <w:rsid w:val="00AB6829"/>
    <w:rsid w:val="00AB6B62"/>
    <w:rsid w:val="00AB6ED7"/>
    <w:rsid w:val="00AB710F"/>
    <w:rsid w:val="00AB7925"/>
    <w:rsid w:val="00AB7E18"/>
    <w:rsid w:val="00AC036F"/>
    <w:rsid w:val="00AC0ABD"/>
    <w:rsid w:val="00AC32E9"/>
    <w:rsid w:val="00AC3415"/>
    <w:rsid w:val="00AC4010"/>
    <w:rsid w:val="00AC554C"/>
    <w:rsid w:val="00AC688D"/>
    <w:rsid w:val="00AC6944"/>
    <w:rsid w:val="00AC6B13"/>
    <w:rsid w:val="00AC7719"/>
    <w:rsid w:val="00AC781F"/>
    <w:rsid w:val="00AD1974"/>
    <w:rsid w:val="00AD1C72"/>
    <w:rsid w:val="00AD1EF7"/>
    <w:rsid w:val="00AD224F"/>
    <w:rsid w:val="00AD2629"/>
    <w:rsid w:val="00AD2886"/>
    <w:rsid w:val="00AD28EE"/>
    <w:rsid w:val="00AD3116"/>
    <w:rsid w:val="00AD31FD"/>
    <w:rsid w:val="00AD35A7"/>
    <w:rsid w:val="00AD3D91"/>
    <w:rsid w:val="00AD3F18"/>
    <w:rsid w:val="00AD4397"/>
    <w:rsid w:val="00AD4644"/>
    <w:rsid w:val="00AD51B0"/>
    <w:rsid w:val="00AD5249"/>
    <w:rsid w:val="00AD5DCD"/>
    <w:rsid w:val="00AD6121"/>
    <w:rsid w:val="00AD7204"/>
    <w:rsid w:val="00AD7474"/>
    <w:rsid w:val="00AD7603"/>
    <w:rsid w:val="00AD780C"/>
    <w:rsid w:val="00AD7C9E"/>
    <w:rsid w:val="00AE042D"/>
    <w:rsid w:val="00AE12D3"/>
    <w:rsid w:val="00AE16C1"/>
    <w:rsid w:val="00AE1AB2"/>
    <w:rsid w:val="00AE1C80"/>
    <w:rsid w:val="00AE1E09"/>
    <w:rsid w:val="00AE274C"/>
    <w:rsid w:val="00AE3160"/>
    <w:rsid w:val="00AE3708"/>
    <w:rsid w:val="00AE3893"/>
    <w:rsid w:val="00AE3F2F"/>
    <w:rsid w:val="00AE3F4D"/>
    <w:rsid w:val="00AE4C90"/>
    <w:rsid w:val="00AE4F14"/>
    <w:rsid w:val="00AE53F1"/>
    <w:rsid w:val="00AE53F7"/>
    <w:rsid w:val="00AE60B2"/>
    <w:rsid w:val="00AE622C"/>
    <w:rsid w:val="00AE63FA"/>
    <w:rsid w:val="00AE6583"/>
    <w:rsid w:val="00AE6726"/>
    <w:rsid w:val="00AE6F09"/>
    <w:rsid w:val="00AE7BAD"/>
    <w:rsid w:val="00AE7EC3"/>
    <w:rsid w:val="00AF0599"/>
    <w:rsid w:val="00AF0750"/>
    <w:rsid w:val="00AF08D6"/>
    <w:rsid w:val="00AF0D09"/>
    <w:rsid w:val="00AF1961"/>
    <w:rsid w:val="00AF209E"/>
    <w:rsid w:val="00AF219B"/>
    <w:rsid w:val="00AF2490"/>
    <w:rsid w:val="00AF2744"/>
    <w:rsid w:val="00AF3466"/>
    <w:rsid w:val="00AF4DBB"/>
    <w:rsid w:val="00AF5CA4"/>
    <w:rsid w:val="00AF600C"/>
    <w:rsid w:val="00AF6048"/>
    <w:rsid w:val="00AF6491"/>
    <w:rsid w:val="00AF6FC8"/>
    <w:rsid w:val="00B00637"/>
    <w:rsid w:val="00B009E4"/>
    <w:rsid w:val="00B01834"/>
    <w:rsid w:val="00B01890"/>
    <w:rsid w:val="00B01BBF"/>
    <w:rsid w:val="00B01F40"/>
    <w:rsid w:val="00B023BA"/>
    <w:rsid w:val="00B02D7E"/>
    <w:rsid w:val="00B02EE4"/>
    <w:rsid w:val="00B031B2"/>
    <w:rsid w:val="00B03EA1"/>
    <w:rsid w:val="00B0491F"/>
    <w:rsid w:val="00B04BCF"/>
    <w:rsid w:val="00B04F05"/>
    <w:rsid w:val="00B04F3E"/>
    <w:rsid w:val="00B05908"/>
    <w:rsid w:val="00B05DE6"/>
    <w:rsid w:val="00B06C72"/>
    <w:rsid w:val="00B0787B"/>
    <w:rsid w:val="00B07C6E"/>
    <w:rsid w:val="00B101E5"/>
    <w:rsid w:val="00B10A39"/>
    <w:rsid w:val="00B10FF1"/>
    <w:rsid w:val="00B1100E"/>
    <w:rsid w:val="00B11135"/>
    <w:rsid w:val="00B12305"/>
    <w:rsid w:val="00B12A6B"/>
    <w:rsid w:val="00B12B2C"/>
    <w:rsid w:val="00B12C9A"/>
    <w:rsid w:val="00B13532"/>
    <w:rsid w:val="00B1373C"/>
    <w:rsid w:val="00B13A58"/>
    <w:rsid w:val="00B13D69"/>
    <w:rsid w:val="00B14101"/>
    <w:rsid w:val="00B15303"/>
    <w:rsid w:val="00B154E4"/>
    <w:rsid w:val="00B16473"/>
    <w:rsid w:val="00B164FD"/>
    <w:rsid w:val="00B166BC"/>
    <w:rsid w:val="00B16B6E"/>
    <w:rsid w:val="00B1768A"/>
    <w:rsid w:val="00B17E1D"/>
    <w:rsid w:val="00B17EED"/>
    <w:rsid w:val="00B20206"/>
    <w:rsid w:val="00B2058F"/>
    <w:rsid w:val="00B205A9"/>
    <w:rsid w:val="00B20B69"/>
    <w:rsid w:val="00B21620"/>
    <w:rsid w:val="00B21756"/>
    <w:rsid w:val="00B21BAB"/>
    <w:rsid w:val="00B228A5"/>
    <w:rsid w:val="00B236EE"/>
    <w:rsid w:val="00B2416D"/>
    <w:rsid w:val="00B2494F"/>
    <w:rsid w:val="00B24AA5"/>
    <w:rsid w:val="00B254B9"/>
    <w:rsid w:val="00B25525"/>
    <w:rsid w:val="00B25883"/>
    <w:rsid w:val="00B26120"/>
    <w:rsid w:val="00B2678B"/>
    <w:rsid w:val="00B27096"/>
    <w:rsid w:val="00B27E2B"/>
    <w:rsid w:val="00B302D0"/>
    <w:rsid w:val="00B3126C"/>
    <w:rsid w:val="00B31753"/>
    <w:rsid w:val="00B32F24"/>
    <w:rsid w:val="00B33A34"/>
    <w:rsid w:val="00B33FF2"/>
    <w:rsid w:val="00B340F3"/>
    <w:rsid w:val="00B3424C"/>
    <w:rsid w:val="00B347E0"/>
    <w:rsid w:val="00B34960"/>
    <w:rsid w:val="00B34E3C"/>
    <w:rsid w:val="00B352C3"/>
    <w:rsid w:val="00B35A9D"/>
    <w:rsid w:val="00B35EB3"/>
    <w:rsid w:val="00B3664D"/>
    <w:rsid w:val="00B36EB0"/>
    <w:rsid w:val="00B37598"/>
    <w:rsid w:val="00B37B60"/>
    <w:rsid w:val="00B40114"/>
    <w:rsid w:val="00B406D8"/>
    <w:rsid w:val="00B40893"/>
    <w:rsid w:val="00B409D8"/>
    <w:rsid w:val="00B4151E"/>
    <w:rsid w:val="00B41728"/>
    <w:rsid w:val="00B417BF"/>
    <w:rsid w:val="00B41E3A"/>
    <w:rsid w:val="00B41FE9"/>
    <w:rsid w:val="00B4279C"/>
    <w:rsid w:val="00B428A1"/>
    <w:rsid w:val="00B42EC1"/>
    <w:rsid w:val="00B43128"/>
    <w:rsid w:val="00B4396F"/>
    <w:rsid w:val="00B43BC9"/>
    <w:rsid w:val="00B440FA"/>
    <w:rsid w:val="00B4470F"/>
    <w:rsid w:val="00B447F0"/>
    <w:rsid w:val="00B44B04"/>
    <w:rsid w:val="00B451A8"/>
    <w:rsid w:val="00B45599"/>
    <w:rsid w:val="00B457F2"/>
    <w:rsid w:val="00B45A47"/>
    <w:rsid w:val="00B4626C"/>
    <w:rsid w:val="00B46874"/>
    <w:rsid w:val="00B46B29"/>
    <w:rsid w:val="00B46B59"/>
    <w:rsid w:val="00B4717D"/>
    <w:rsid w:val="00B473DD"/>
    <w:rsid w:val="00B4782F"/>
    <w:rsid w:val="00B50800"/>
    <w:rsid w:val="00B5189E"/>
    <w:rsid w:val="00B525ED"/>
    <w:rsid w:val="00B527F0"/>
    <w:rsid w:val="00B52870"/>
    <w:rsid w:val="00B52B66"/>
    <w:rsid w:val="00B52F70"/>
    <w:rsid w:val="00B52FAA"/>
    <w:rsid w:val="00B53131"/>
    <w:rsid w:val="00B531A4"/>
    <w:rsid w:val="00B540E5"/>
    <w:rsid w:val="00B5464F"/>
    <w:rsid w:val="00B555F9"/>
    <w:rsid w:val="00B55F2B"/>
    <w:rsid w:val="00B5683D"/>
    <w:rsid w:val="00B57D81"/>
    <w:rsid w:val="00B57EFC"/>
    <w:rsid w:val="00B6026C"/>
    <w:rsid w:val="00B606EF"/>
    <w:rsid w:val="00B616B5"/>
    <w:rsid w:val="00B6198F"/>
    <w:rsid w:val="00B61CCF"/>
    <w:rsid w:val="00B62E3E"/>
    <w:rsid w:val="00B635AF"/>
    <w:rsid w:val="00B63868"/>
    <w:rsid w:val="00B6409A"/>
    <w:rsid w:val="00B641FA"/>
    <w:rsid w:val="00B64291"/>
    <w:rsid w:val="00B646CC"/>
    <w:rsid w:val="00B6501E"/>
    <w:rsid w:val="00B6519B"/>
    <w:rsid w:val="00B65761"/>
    <w:rsid w:val="00B6584F"/>
    <w:rsid w:val="00B65C7C"/>
    <w:rsid w:val="00B66082"/>
    <w:rsid w:val="00B666AD"/>
    <w:rsid w:val="00B667A3"/>
    <w:rsid w:val="00B66B18"/>
    <w:rsid w:val="00B6753A"/>
    <w:rsid w:val="00B67DEB"/>
    <w:rsid w:val="00B703FC"/>
    <w:rsid w:val="00B704C5"/>
    <w:rsid w:val="00B71FF2"/>
    <w:rsid w:val="00B72108"/>
    <w:rsid w:val="00B72433"/>
    <w:rsid w:val="00B72529"/>
    <w:rsid w:val="00B72A96"/>
    <w:rsid w:val="00B72EDD"/>
    <w:rsid w:val="00B7367B"/>
    <w:rsid w:val="00B73FB9"/>
    <w:rsid w:val="00B7470A"/>
    <w:rsid w:val="00B74DFD"/>
    <w:rsid w:val="00B755D0"/>
    <w:rsid w:val="00B7657A"/>
    <w:rsid w:val="00B778EE"/>
    <w:rsid w:val="00B80322"/>
    <w:rsid w:val="00B80EA6"/>
    <w:rsid w:val="00B81094"/>
    <w:rsid w:val="00B811F0"/>
    <w:rsid w:val="00B818E6"/>
    <w:rsid w:val="00B81E7A"/>
    <w:rsid w:val="00B8229F"/>
    <w:rsid w:val="00B82D46"/>
    <w:rsid w:val="00B83568"/>
    <w:rsid w:val="00B83DB8"/>
    <w:rsid w:val="00B846A6"/>
    <w:rsid w:val="00B847AB"/>
    <w:rsid w:val="00B84D74"/>
    <w:rsid w:val="00B85E7A"/>
    <w:rsid w:val="00B8604A"/>
    <w:rsid w:val="00B873F6"/>
    <w:rsid w:val="00B87D9E"/>
    <w:rsid w:val="00B9022B"/>
    <w:rsid w:val="00B906D7"/>
    <w:rsid w:val="00B91348"/>
    <w:rsid w:val="00B921F5"/>
    <w:rsid w:val="00B92925"/>
    <w:rsid w:val="00B939A4"/>
    <w:rsid w:val="00B9483C"/>
    <w:rsid w:val="00B95995"/>
    <w:rsid w:val="00B95E25"/>
    <w:rsid w:val="00B9678C"/>
    <w:rsid w:val="00B96D46"/>
    <w:rsid w:val="00B975A7"/>
    <w:rsid w:val="00B97C37"/>
    <w:rsid w:val="00BA0493"/>
    <w:rsid w:val="00BA07C5"/>
    <w:rsid w:val="00BA08AD"/>
    <w:rsid w:val="00BA0C23"/>
    <w:rsid w:val="00BA0CC1"/>
    <w:rsid w:val="00BA12C2"/>
    <w:rsid w:val="00BA12D9"/>
    <w:rsid w:val="00BA199C"/>
    <w:rsid w:val="00BA1BBB"/>
    <w:rsid w:val="00BA4C53"/>
    <w:rsid w:val="00BA5460"/>
    <w:rsid w:val="00BA573E"/>
    <w:rsid w:val="00BA58BD"/>
    <w:rsid w:val="00BA5CDC"/>
    <w:rsid w:val="00BA5DFC"/>
    <w:rsid w:val="00BA606A"/>
    <w:rsid w:val="00BA62AD"/>
    <w:rsid w:val="00BA64D2"/>
    <w:rsid w:val="00BA672E"/>
    <w:rsid w:val="00BA6A37"/>
    <w:rsid w:val="00BB016B"/>
    <w:rsid w:val="00BB0BDE"/>
    <w:rsid w:val="00BB0DD5"/>
    <w:rsid w:val="00BB0EE8"/>
    <w:rsid w:val="00BB0FCA"/>
    <w:rsid w:val="00BB3489"/>
    <w:rsid w:val="00BB3C03"/>
    <w:rsid w:val="00BB3FBF"/>
    <w:rsid w:val="00BB4846"/>
    <w:rsid w:val="00BB5269"/>
    <w:rsid w:val="00BB534F"/>
    <w:rsid w:val="00BB54AB"/>
    <w:rsid w:val="00BB5963"/>
    <w:rsid w:val="00BB5EBA"/>
    <w:rsid w:val="00BB634F"/>
    <w:rsid w:val="00BB64E0"/>
    <w:rsid w:val="00BB6E68"/>
    <w:rsid w:val="00BB6F7A"/>
    <w:rsid w:val="00BC0104"/>
    <w:rsid w:val="00BC01AF"/>
    <w:rsid w:val="00BC048B"/>
    <w:rsid w:val="00BC074A"/>
    <w:rsid w:val="00BC0E3F"/>
    <w:rsid w:val="00BC142C"/>
    <w:rsid w:val="00BC1EC0"/>
    <w:rsid w:val="00BC1F7D"/>
    <w:rsid w:val="00BC21D0"/>
    <w:rsid w:val="00BC283B"/>
    <w:rsid w:val="00BC298C"/>
    <w:rsid w:val="00BC30AC"/>
    <w:rsid w:val="00BC32BE"/>
    <w:rsid w:val="00BC32FC"/>
    <w:rsid w:val="00BC3324"/>
    <w:rsid w:val="00BC3521"/>
    <w:rsid w:val="00BC473C"/>
    <w:rsid w:val="00BC4AB6"/>
    <w:rsid w:val="00BC5BDE"/>
    <w:rsid w:val="00BC6312"/>
    <w:rsid w:val="00BC6784"/>
    <w:rsid w:val="00BC6E3A"/>
    <w:rsid w:val="00BC71BD"/>
    <w:rsid w:val="00BC779C"/>
    <w:rsid w:val="00BC7D5B"/>
    <w:rsid w:val="00BD0664"/>
    <w:rsid w:val="00BD0855"/>
    <w:rsid w:val="00BD18F3"/>
    <w:rsid w:val="00BD229F"/>
    <w:rsid w:val="00BD25B9"/>
    <w:rsid w:val="00BD2658"/>
    <w:rsid w:val="00BD2DBB"/>
    <w:rsid w:val="00BD313C"/>
    <w:rsid w:val="00BD34CE"/>
    <w:rsid w:val="00BD38E2"/>
    <w:rsid w:val="00BD3BA2"/>
    <w:rsid w:val="00BD3F7D"/>
    <w:rsid w:val="00BD4E59"/>
    <w:rsid w:val="00BD59D9"/>
    <w:rsid w:val="00BD5A32"/>
    <w:rsid w:val="00BD5C1B"/>
    <w:rsid w:val="00BD5DB8"/>
    <w:rsid w:val="00BD5DF0"/>
    <w:rsid w:val="00BD636F"/>
    <w:rsid w:val="00BD68FA"/>
    <w:rsid w:val="00BD6FE8"/>
    <w:rsid w:val="00BD7803"/>
    <w:rsid w:val="00BE0C5F"/>
    <w:rsid w:val="00BE166A"/>
    <w:rsid w:val="00BE1D98"/>
    <w:rsid w:val="00BE2BD1"/>
    <w:rsid w:val="00BE3995"/>
    <w:rsid w:val="00BE3BEE"/>
    <w:rsid w:val="00BE3C29"/>
    <w:rsid w:val="00BE4083"/>
    <w:rsid w:val="00BE530A"/>
    <w:rsid w:val="00BE58D4"/>
    <w:rsid w:val="00BE6822"/>
    <w:rsid w:val="00BE6A2B"/>
    <w:rsid w:val="00BE7515"/>
    <w:rsid w:val="00BF0B78"/>
    <w:rsid w:val="00BF12EA"/>
    <w:rsid w:val="00BF131B"/>
    <w:rsid w:val="00BF1844"/>
    <w:rsid w:val="00BF188B"/>
    <w:rsid w:val="00BF1896"/>
    <w:rsid w:val="00BF1C28"/>
    <w:rsid w:val="00BF2707"/>
    <w:rsid w:val="00BF435C"/>
    <w:rsid w:val="00BF49D1"/>
    <w:rsid w:val="00BF4CDD"/>
    <w:rsid w:val="00BF620B"/>
    <w:rsid w:val="00BF6B87"/>
    <w:rsid w:val="00BF72CE"/>
    <w:rsid w:val="00C00570"/>
    <w:rsid w:val="00C00922"/>
    <w:rsid w:val="00C00A49"/>
    <w:rsid w:val="00C0194C"/>
    <w:rsid w:val="00C01B1A"/>
    <w:rsid w:val="00C027A6"/>
    <w:rsid w:val="00C02810"/>
    <w:rsid w:val="00C03387"/>
    <w:rsid w:val="00C0441C"/>
    <w:rsid w:val="00C044F0"/>
    <w:rsid w:val="00C045F0"/>
    <w:rsid w:val="00C04B43"/>
    <w:rsid w:val="00C05516"/>
    <w:rsid w:val="00C05914"/>
    <w:rsid w:val="00C05CF0"/>
    <w:rsid w:val="00C062FE"/>
    <w:rsid w:val="00C065FA"/>
    <w:rsid w:val="00C067F3"/>
    <w:rsid w:val="00C06A29"/>
    <w:rsid w:val="00C06C22"/>
    <w:rsid w:val="00C07508"/>
    <w:rsid w:val="00C0775A"/>
    <w:rsid w:val="00C10C56"/>
    <w:rsid w:val="00C10D35"/>
    <w:rsid w:val="00C10DAE"/>
    <w:rsid w:val="00C11068"/>
    <w:rsid w:val="00C1234B"/>
    <w:rsid w:val="00C12C4E"/>
    <w:rsid w:val="00C12C86"/>
    <w:rsid w:val="00C12F81"/>
    <w:rsid w:val="00C135D3"/>
    <w:rsid w:val="00C1371E"/>
    <w:rsid w:val="00C13ED5"/>
    <w:rsid w:val="00C14070"/>
    <w:rsid w:val="00C14694"/>
    <w:rsid w:val="00C14D14"/>
    <w:rsid w:val="00C15B39"/>
    <w:rsid w:val="00C16023"/>
    <w:rsid w:val="00C16360"/>
    <w:rsid w:val="00C16B5C"/>
    <w:rsid w:val="00C16C46"/>
    <w:rsid w:val="00C16C9F"/>
    <w:rsid w:val="00C170A5"/>
    <w:rsid w:val="00C17146"/>
    <w:rsid w:val="00C17A81"/>
    <w:rsid w:val="00C17F33"/>
    <w:rsid w:val="00C20102"/>
    <w:rsid w:val="00C2013A"/>
    <w:rsid w:val="00C20227"/>
    <w:rsid w:val="00C20791"/>
    <w:rsid w:val="00C207F0"/>
    <w:rsid w:val="00C2129D"/>
    <w:rsid w:val="00C21C52"/>
    <w:rsid w:val="00C220B2"/>
    <w:rsid w:val="00C2280D"/>
    <w:rsid w:val="00C22E77"/>
    <w:rsid w:val="00C23C6C"/>
    <w:rsid w:val="00C23DB2"/>
    <w:rsid w:val="00C24C29"/>
    <w:rsid w:val="00C24CA4"/>
    <w:rsid w:val="00C24E59"/>
    <w:rsid w:val="00C2500D"/>
    <w:rsid w:val="00C2643E"/>
    <w:rsid w:val="00C264F1"/>
    <w:rsid w:val="00C27DD5"/>
    <w:rsid w:val="00C30171"/>
    <w:rsid w:val="00C304A6"/>
    <w:rsid w:val="00C307E9"/>
    <w:rsid w:val="00C30809"/>
    <w:rsid w:val="00C30BE5"/>
    <w:rsid w:val="00C30D8F"/>
    <w:rsid w:val="00C317FC"/>
    <w:rsid w:val="00C32434"/>
    <w:rsid w:val="00C32653"/>
    <w:rsid w:val="00C327DE"/>
    <w:rsid w:val="00C34085"/>
    <w:rsid w:val="00C349E9"/>
    <w:rsid w:val="00C34EBC"/>
    <w:rsid w:val="00C35F0E"/>
    <w:rsid w:val="00C3721C"/>
    <w:rsid w:val="00C3766F"/>
    <w:rsid w:val="00C40509"/>
    <w:rsid w:val="00C4054E"/>
    <w:rsid w:val="00C40B19"/>
    <w:rsid w:val="00C40FD4"/>
    <w:rsid w:val="00C410DA"/>
    <w:rsid w:val="00C41277"/>
    <w:rsid w:val="00C42174"/>
    <w:rsid w:val="00C427B2"/>
    <w:rsid w:val="00C42F48"/>
    <w:rsid w:val="00C42F76"/>
    <w:rsid w:val="00C43695"/>
    <w:rsid w:val="00C437F6"/>
    <w:rsid w:val="00C44553"/>
    <w:rsid w:val="00C450CC"/>
    <w:rsid w:val="00C4569E"/>
    <w:rsid w:val="00C456DF"/>
    <w:rsid w:val="00C45933"/>
    <w:rsid w:val="00C45F08"/>
    <w:rsid w:val="00C463AC"/>
    <w:rsid w:val="00C472B1"/>
    <w:rsid w:val="00C475FB"/>
    <w:rsid w:val="00C47999"/>
    <w:rsid w:val="00C50286"/>
    <w:rsid w:val="00C507FA"/>
    <w:rsid w:val="00C50B6A"/>
    <w:rsid w:val="00C5153C"/>
    <w:rsid w:val="00C518A4"/>
    <w:rsid w:val="00C51BD6"/>
    <w:rsid w:val="00C51C3F"/>
    <w:rsid w:val="00C51EE6"/>
    <w:rsid w:val="00C522A6"/>
    <w:rsid w:val="00C52918"/>
    <w:rsid w:val="00C52EC4"/>
    <w:rsid w:val="00C5352E"/>
    <w:rsid w:val="00C54167"/>
    <w:rsid w:val="00C544C3"/>
    <w:rsid w:val="00C544EC"/>
    <w:rsid w:val="00C54615"/>
    <w:rsid w:val="00C54E19"/>
    <w:rsid w:val="00C55080"/>
    <w:rsid w:val="00C5520B"/>
    <w:rsid w:val="00C5565E"/>
    <w:rsid w:val="00C55877"/>
    <w:rsid w:val="00C55896"/>
    <w:rsid w:val="00C55B59"/>
    <w:rsid w:val="00C56203"/>
    <w:rsid w:val="00C57704"/>
    <w:rsid w:val="00C57B0F"/>
    <w:rsid w:val="00C57D84"/>
    <w:rsid w:val="00C609F0"/>
    <w:rsid w:val="00C61391"/>
    <w:rsid w:val="00C61C14"/>
    <w:rsid w:val="00C630E1"/>
    <w:rsid w:val="00C63A42"/>
    <w:rsid w:val="00C64462"/>
    <w:rsid w:val="00C64482"/>
    <w:rsid w:val="00C64837"/>
    <w:rsid w:val="00C64974"/>
    <w:rsid w:val="00C64A2C"/>
    <w:rsid w:val="00C64BEF"/>
    <w:rsid w:val="00C6522C"/>
    <w:rsid w:val="00C659E3"/>
    <w:rsid w:val="00C65F11"/>
    <w:rsid w:val="00C65F23"/>
    <w:rsid w:val="00C67381"/>
    <w:rsid w:val="00C67FDB"/>
    <w:rsid w:val="00C705C9"/>
    <w:rsid w:val="00C70655"/>
    <w:rsid w:val="00C7077C"/>
    <w:rsid w:val="00C70A66"/>
    <w:rsid w:val="00C70E65"/>
    <w:rsid w:val="00C712B0"/>
    <w:rsid w:val="00C7311D"/>
    <w:rsid w:val="00C732BD"/>
    <w:rsid w:val="00C734DF"/>
    <w:rsid w:val="00C73BA5"/>
    <w:rsid w:val="00C73EBF"/>
    <w:rsid w:val="00C74A90"/>
    <w:rsid w:val="00C74DEF"/>
    <w:rsid w:val="00C74DFD"/>
    <w:rsid w:val="00C750A0"/>
    <w:rsid w:val="00C754B5"/>
    <w:rsid w:val="00C75942"/>
    <w:rsid w:val="00C760B0"/>
    <w:rsid w:val="00C76AE9"/>
    <w:rsid w:val="00C7713C"/>
    <w:rsid w:val="00C77518"/>
    <w:rsid w:val="00C7760C"/>
    <w:rsid w:val="00C77A84"/>
    <w:rsid w:val="00C77CC1"/>
    <w:rsid w:val="00C80683"/>
    <w:rsid w:val="00C808CD"/>
    <w:rsid w:val="00C81128"/>
    <w:rsid w:val="00C817AD"/>
    <w:rsid w:val="00C81870"/>
    <w:rsid w:val="00C81CCC"/>
    <w:rsid w:val="00C82DCF"/>
    <w:rsid w:val="00C83DEC"/>
    <w:rsid w:val="00C840A8"/>
    <w:rsid w:val="00C85397"/>
    <w:rsid w:val="00C8604B"/>
    <w:rsid w:val="00C861F2"/>
    <w:rsid w:val="00C86529"/>
    <w:rsid w:val="00C86D01"/>
    <w:rsid w:val="00C86FD2"/>
    <w:rsid w:val="00C87972"/>
    <w:rsid w:val="00C87DCE"/>
    <w:rsid w:val="00C904B5"/>
    <w:rsid w:val="00C909FB"/>
    <w:rsid w:val="00C90A49"/>
    <w:rsid w:val="00C91389"/>
    <w:rsid w:val="00C9178B"/>
    <w:rsid w:val="00C91DF1"/>
    <w:rsid w:val="00C922C4"/>
    <w:rsid w:val="00C92E32"/>
    <w:rsid w:val="00C92EC7"/>
    <w:rsid w:val="00C92F9A"/>
    <w:rsid w:val="00C9371E"/>
    <w:rsid w:val="00C945A1"/>
    <w:rsid w:val="00C950BD"/>
    <w:rsid w:val="00C954AD"/>
    <w:rsid w:val="00C95884"/>
    <w:rsid w:val="00C95E06"/>
    <w:rsid w:val="00C95EF3"/>
    <w:rsid w:val="00C95F10"/>
    <w:rsid w:val="00C96D02"/>
    <w:rsid w:val="00C96E5A"/>
    <w:rsid w:val="00CA0347"/>
    <w:rsid w:val="00CA058D"/>
    <w:rsid w:val="00CA06DA"/>
    <w:rsid w:val="00CA15EA"/>
    <w:rsid w:val="00CA19C0"/>
    <w:rsid w:val="00CA1E39"/>
    <w:rsid w:val="00CA2124"/>
    <w:rsid w:val="00CA2D82"/>
    <w:rsid w:val="00CA3164"/>
    <w:rsid w:val="00CA3481"/>
    <w:rsid w:val="00CA3B14"/>
    <w:rsid w:val="00CA3BEC"/>
    <w:rsid w:val="00CA4EE7"/>
    <w:rsid w:val="00CA5437"/>
    <w:rsid w:val="00CA5B1B"/>
    <w:rsid w:val="00CA5C83"/>
    <w:rsid w:val="00CA62C2"/>
    <w:rsid w:val="00CA64F0"/>
    <w:rsid w:val="00CA6509"/>
    <w:rsid w:val="00CA65F4"/>
    <w:rsid w:val="00CA6755"/>
    <w:rsid w:val="00CA6BDA"/>
    <w:rsid w:val="00CA6DB4"/>
    <w:rsid w:val="00CA7C6F"/>
    <w:rsid w:val="00CB0153"/>
    <w:rsid w:val="00CB0AE4"/>
    <w:rsid w:val="00CB0D93"/>
    <w:rsid w:val="00CB1024"/>
    <w:rsid w:val="00CB17EF"/>
    <w:rsid w:val="00CB196F"/>
    <w:rsid w:val="00CB2055"/>
    <w:rsid w:val="00CB23B6"/>
    <w:rsid w:val="00CB24AC"/>
    <w:rsid w:val="00CB27A2"/>
    <w:rsid w:val="00CB29E3"/>
    <w:rsid w:val="00CB3040"/>
    <w:rsid w:val="00CB3209"/>
    <w:rsid w:val="00CB33E6"/>
    <w:rsid w:val="00CB3682"/>
    <w:rsid w:val="00CB3A8D"/>
    <w:rsid w:val="00CB3E4A"/>
    <w:rsid w:val="00CB3E75"/>
    <w:rsid w:val="00CB3EFE"/>
    <w:rsid w:val="00CB47B4"/>
    <w:rsid w:val="00CB4A89"/>
    <w:rsid w:val="00CB4AB6"/>
    <w:rsid w:val="00CB4F7B"/>
    <w:rsid w:val="00CB5482"/>
    <w:rsid w:val="00CB59EE"/>
    <w:rsid w:val="00CB6226"/>
    <w:rsid w:val="00CB63E2"/>
    <w:rsid w:val="00CB6490"/>
    <w:rsid w:val="00CB7190"/>
    <w:rsid w:val="00CB7A87"/>
    <w:rsid w:val="00CB7DBA"/>
    <w:rsid w:val="00CC0424"/>
    <w:rsid w:val="00CC05DF"/>
    <w:rsid w:val="00CC0979"/>
    <w:rsid w:val="00CC0C82"/>
    <w:rsid w:val="00CC15D0"/>
    <w:rsid w:val="00CC1AE9"/>
    <w:rsid w:val="00CC1C9B"/>
    <w:rsid w:val="00CC2196"/>
    <w:rsid w:val="00CC2D98"/>
    <w:rsid w:val="00CC2DAC"/>
    <w:rsid w:val="00CC391C"/>
    <w:rsid w:val="00CC3A73"/>
    <w:rsid w:val="00CC49C3"/>
    <w:rsid w:val="00CC4C86"/>
    <w:rsid w:val="00CC4CD1"/>
    <w:rsid w:val="00CC4E04"/>
    <w:rsid w:val="00CC5DD5"/>
    <w:rsid w:val="00CC628B"/>
    <w:rsid w:val="00CC64CA"/>
    <w:rsid w:val="00CC66DB"/>
    <w:rsid w:val="00CC6CBD"/>
    <w:rsid w:val="00CC7547"/>
    <w:rsid w:val="00CC79C0"/>
    <w:rsid w:val="00CC7C91"/>
    <w:rsid w:val="00CC7E4C"/>
    <w:rsid w:val="00CD0348"/>
    <w:rsid w:val="00CD0718"/>
    <w:rsid w:val="00CD1F9A"/>
    <w:rsid w:val="00CD1FCF"/>
    <w:rsid w:val="00CD2627"/>
    <w:rsid w:val="00CD27CB"/>
    <w:rsid w:val="00CD2A4F"/>
    <w:rsid w:val="00CD2DE7"/>
    <w:rsid w:val="00CD38AF"/>
    <w:rsid w:val="00CD4008"/>
    <w:rsid w:val="00CD4ACF"/>
    <w:rsid w:val="00CD539B"/>
    <w:rsid w:val="00CD5621"/>
    <w:rsid w:val="00CD5D0E"/>
    <w:rsid w:val="00CD7F50"/>
    <w:rsid w:val="00CD7F65"/>
    <w:rsid w:val="00CE0181"/>
    <w:rsid w:val="00CE04F8"/>
    <w:rsid w:val="00CE0797"/>
    <w:rsid w:val="00CE082B"/>
    <w:rsid w:val="00CE0C0D"/>
    <w:rsid w:val="00CE1151"/>
    <w:rsid w:val="00CE1314"/>
    <w:rsid w:val="00CE1B05"/>
    <w:rsid w:val="00CE229D"/>
    <w:rsid w:val="00CE2EEC"/>
    <w:rsid w:val="00CE302A"/>
    <w:rsid w:val="00CE33CF"/>
    <w:rsid w:val="00CE35DD"/>
    <w:rsid w:val="00CE3862"/>
    <w:rsid w:val="00CE38D5"/>
    <w:rsid w:val="00CE4411"/>
    <w:rsid w:val="00CE448C"/>
    <w:rsid w:val="00CE4AD4"/>
    <w:rsid w:val="00CE4BBF"/>
    <w:rsid w:val="00CE508A"/>
    <w:rsid w:val="00CE6178"/>
    <w:rsid w:val="00CE65CA"/>
    <w:rsid w:val="00CE6EC8"/>
    <w:rsid w:val="00CE71FC"/>
    <w:rsid w:val="00CE7474"/>
    <w:rsid w:val="00CE768B"/>
    <w:rsid w:val="00CE792D"/>
    <w:rsid w:val="00CF00C2"/>
    <w:rsid w:val="00CF0248"/>
    <w:rsid w:val="00CF0811"/>
    <w:rsid w:val="00CF1A1A"/>
    <w:rsid w:val="00CF20EC"/>
    <w:rsid w:val="00CF276A"/>
    <w:rsid w:val="00CF2A74"/>
    <w:rsid w:val="00CF3318"/>
    <w:rsid w:val="00CF3CFA"/>
    <w:rsid w:val="00CF3FEB"/>
    <w:rsid w:val="00CF423D"/>
    <w:rsid w:val="00CF4865"/>
    <w:rsid w:val="00CF5427"/>
    <w:rsid w:val="00CF6408"/>
    <w:rsid w:val="00CF7F28"/>
    <w:rsid w:val="00D00216"/>
    <w:rsid w:val="00D0342B"/>
    <w:rsid w:val="00D03511"/>
    <w:rsid w:val="00D038B2"/>
    <w:rsid w:val="00D04CD0"/>
    <w:rsid w:val="00D04E02"/>
    <w:rsid w:val="00D05170"/>
    <w:rsid w:val="00D051E4"/>
    <w:rsid w:val="00D05285"/>
    <w:rsid w:val="00D05C49"/>
    <w:rsid w:val="00D06C79"/>
    <w:rsid w:val="00D06E3D"/>
    <w:rsid w:val="00D06E9D"/>
    <w:rsid w:val="00D07971"/>
    <w:rsid w:val="00D07BAF"/>
    <w:rsid w:val="00D07CCB"/>
    <w:rsid w:val="00D101AB"/>
    <w:rsid w:val="00D1057E"/>
    <w:rsid w:val="00D10A48"/>
    <w:rsid w:val="00D11628"/>
    <w:rsid w:val="00D1197D"/>
    <w:rsid w:val="00D11EC5"/>
    <w:rsid w:val="00D11F7F"/>
    <w:rsid w:val="00D12027"/>
    <w:rsid w:val="00D12776"/>
    <w:rsid w:val="00D12785"/>
    <w:rsid w:val="00D128E6"/>
    <w:rsid w:val="00D12917"/>
    <w:rsid w:val="00D12E0B"/>
    <w:rsid w:val="00D1371B"/>
    <w:rsid w:val="00D138F4"/>
    <w:rsid w:val="00D140D6"/>
    <w:rsid w:val="00D14E53"/>
    <w:rsid w:val="00D1512F"/>
    <w:rsid w:val="00D15281"/>
    <w:rsid w:val="00D156C0"/>
    <w:rsid w:val="00D157BB"/>
    <w:rsid w:val="00D159E1"/>
    <w:rsid w:val="00D15A0A"/>
    <w:rsid w:val="00D15AD4"/>
    <w:rsid w:val="00D1618E"/>
    <w:rsid w:val="00D16D67"/>
    <w:rsid w:val="00D17A75"/>
    <w:rsid w:val="00D206DB"/>
    <w:rsid w:val="00D20BFC"/>
    <w:rsid w:val="00D20F78"/>
    <w:rsid w:val="00D215D0"/>
    <w:rsid w:val="00D21B7D"/>
    <w:rsid w:val="00D22445"/>
    <w:rsid w:val="00D25BC1"/>
    <w:rsid w:val="00D25D02"/>
    <w:rsid w:val="00D267DA"/>
    <w:rsid w:val="00D26848"/>
    <w:rsid w:val="00D26BDC"/>
    <w:rsid w:val="00D26FC5"/>
    <w:rsid w:val="00D27C55"/>
    <w:rsid w:val="00D303FA"/>
    <w:rsid w:val="00D305FB"/>
    <w:rsid w:val="00D310BC"/>
    <w:rsid w:val="00D3117C"/>
    <w:rsid w:val="00D315C9"/>
    <w:rsid w:val="00D325D3"/>
    <w:rsid w:val="00D32E9A"/>
    <w:rsid w:val="00D32FF6"/>
    <w:rsid w:val="00D33078"/>
    <w:rsid w:val="00D33BCE"/>
    <w:rsid w:val="00D33CE8"/>
    <w:rsid w:val="00D34647"/>
    <w:rsid w:val="00D346C1"/>
    <w:rsid w:val="00D35C71"/>
    <w:rsid w:val="00D36400"/>
    <w:rsid w:val="00D36D5F"/>
    <w:rsid w:val="00D3745F"/>
    <w:rsid w:val="00D3747E"/>
    <w:rsid w:val="00D374EC"/>
    <w:rsid w:val="00D41137"/>
    <w:rsid w:val="00D42427"/>
    <w:rsid w:val="00D42A7C"/>
    <w:rsid w:val="00D42D8C"/>
    <w:rsid w:val="00D42F5A"/>
    <w:rsid w:val="00D43075"/>
    <w:rsid w:val="00D43C42"/>
    <w:rsid w:val="00D44139"/>
    <w:rsid w:val="00D44525"/>
    <w:rsid w:val="00D4452F"/>
    <w:rsid w:val="00D4470B"/>
    <w:rsid w:val="00D448CE"/>
    <w:rsid w:val="00D459CC"/>
    <w:rsid w:val="00D462C8"/>
    <w:rsid w:val="00D47483"/>
    <w:rsid w:val="00D47C17"/>
    <w:rsid w:val="00D5115D"/>
    <w:rsid w:val="00D51664"/>
    <w:rsid w:val="00D5186A"/>
    <w:rsid w:val="00D51CB5"/>
    <w:rsid w:val="00D52C07"/>
    <w:rsid w:val="00D531A4"/>
    <w:rsid w:val="00D546D5"/>
    <w:rsid w:val="00D554B7"/>
    <w:rsid w:val="00D55A11"/>
    <w:rsid w:val="00D55A4F"/>
    <w:rsid w:val="00D55AF4"/>
    <w:rsid w:val="00D5699A"/>
    <w:rsid w:val="00D571E8"/>
    <w:rsid w:val="00D5748F"/>
    <w:rsid w:val="00D600CC"/>
    <w:rsid w:val="00D60418"/>
    <w:rsid w:val="00D60470"/>
    <w:rsid w:val="00D606D4"/>
    <w:rsid w:val="00D61A98"/>
    <w:rsid w:val="00D6253E"/>
    <w:rsid w:val="00D63123"/>
    <w:rsid w:val="00D63F91"/>
    <w:rsid w:val="00D64167"/>
    <w:rsid w:val="00D64278"/>
    <w:rsid w:val="00D647DA"/>
    <w:rsid w:val="00D6536E"/>
    <w:rsid w:val="00D65F80"/>
    <w:rsid w:val="00D66E2A"/>
    <w:rsid w:val="00D6750B"/>
    <w:rsid w:val="00D67A61"/>
    <w:rsid w:val="00D67AE3"/>
    <w:rsid w:val="00D67DBE"/>
    <w:rsid w:val="00D71635"/>
    <w:rsid w:val="00D7169C"/>
    <w:rsid w:val="00D717C2"/>
    <w:rsid w:val="00D718C9"/>
    <w:rsid w:val="00D719D7"/>
    <w:rsid w:val="00D71A90"/>
    <w:rsid w:val="00D73D3B"/>
    <w:rsid w:val="00D73DC8"/>
    <w:rsid w:val="00D73F25"/>
    <w:rsid w:val="00D7452C"/>
    <w:rsid w:val="00D74B97"/>
    <w:rsid w:val="00D75893"/>
    <w:rsid w:val="00D75B00"/>
    <w:rsid w:val="00D75C27"/>
    <w:rsid w:val="00D75F95"/>
    <w:rsid w:val="00D76096"/>
    <w:rsid w:val="00D7627C"/>
    <w:rsid w:val="00D762DF"/>
    <w:rsid w:val="00D76A86"/>
    <w:rsid w:val="00D772E9"/>
    <w:rsid w:val="00D7776C"/>
    <w:rsid w:val="00D77788"/>
    <w:rsid w:val="00D77D04"/>
    <w:rsid w:val="00D81505"/>
    <w:rsid w:val="00D8179F"/>
    <w:rsid w:val="00D81BE2"/>
    <w:rsid w:val="00D8243D"/>
    <w:rsid w:val="00D828C9"/>
    <w:rsid w:val="00D82D9A"/>
    <w:rsid w:val="00D83029"/>
    <w:rsid w:val="00D83D33"/>
    <w:rsid w:val="00D84085"/>
    <w:rsid w:val="00D84308"/>
    <w:rsid w:val="00D8455A"/>
    <w:rsid w:val="00D8473F"/>
    <w:rsid w:val="00D84B32"/>
    <w:rsid w:val="00D84B3C"/>
    <w:rsid w:val="00D857A4"/>
    <w:rsid w:val="00D85DA7"/>
    <w:rsid w:val="00D85EB9"/>
    <w:rsid w:val="00D8654A"/>
    <w:rsid w:val="00D86601"/>
    <w:rsid w:val="00D86766"/>
    <w:rsid w:val="00D86D1D"/>
    <w:rsid w:val="00D872C7"/>
    <w:rsid w:val="00D8745D"/>
    <w:rsid w:val="00D874D1"/>
    <w:rsid w:val="00D900BA"/>
    <w:rsid w:val="00D903F9"/>
    <w:rsid w:val="00D90708"/>
    <w:rsid w:val="00D9074D"/>
    <w:rsid w:val="00D90805"/>
    <w:rsid w:val="00D912AC"/>
    <w:rsid w:val="00D91A52"/>
    <w:rsid w:val="00D91BAE"/>
    <w:rsid w:val="00D927D4"/>
    <w:rsid w:val="00D92E5C"/>
    <w:rsid w:val="00D931E1"/>
    <w:rsid w:val="00D93ED7"/>
    <w:rsid w:val="00D943C6"/>
    <w:rsid w:val="00D947F9"/>
    <w:rsid w:val="00D94920"/>
    <w:rsid w:val="00D950DC"/>
    <w:rsid w:val="00D954AC"/>
    <w:rsid w:val="00D96197"/>
    <w:rsid w:val="00D96312"/>
    <w:rsid w:val="00D97232"/>
    <w:rsid w:val="00D9745A"/>
    <w:rsid w:val="00D97688"/>
    <w:rsid w:val="00DA02F9"/>
    <w:rsid w:val="00DA0678"/>
    <w:rsid w:val="00DA0B2C"/>
    <w:rsid w:val="00DA1817"/>
    <w:rsid w:val="00DA1A37"/>
    <w:rsid w:val="00DA1BAF"/>
    <w:rsid w:val="00DA2639"/>
    <w:rsid w:val="00DA2772"/>
    <w:rsid w:val="00DA3208"/>
    <w:rsid w:val="00DA3329"/>
    <w:rsid w:val="00DA3813"/>
    <w:rsid w:val="00DA38CC"/>
    <w:rsid w:val="00DA3BF9"/>
    <w:rsid w:val="00DA3F2F"/>
    <w:rsid w:val="00DA4573"/>
    <w:rsid w:val="00DA5485"/>
    <w:rsid w:val="00DA59E3"/>
    <w:rsid w:val="00DA6848"/>
    <w:rsid w:val="00DA6971"/>
    <w:rsid w:val="00DA7928"/>
    <w:rsid w:val="00DB050F"/>
    <w:rsid w:val="00DB06BD"/>
    <w:rsid w:val="00DB0781"/>
    <w:rsid w:val="00DB0CDF"/>
    <w:rsid w:val="00DB15CB"/>
    <w:rsid w:val="00DB1E6C"/>
    <w:rsid w:val="00DB1FF6"/>
    <w:rsid w:val="00DB20AA"/>
    <w:rsid w:val="00DB273C"/>
    <w:rsid w:val="00DB2B6D"/>
    <w:rsid w:val="00DB2CE3"/>
    <w:rsid w:val="00DB2EB5"/>
    <w:rsid w:val="00DB2EC1"/>
    <w:rsid w:val="00DB2F47"/>
    <w:rsid w:val="00DB3691"/>
    <w:rsid w:val="00DB381B"/>
    <w:rsid w:val="00DB3952"/>
    <w:rsid w:val="00DB3A60"/>
    <w:rsid w:val="00DB3DCC"/>
    <w:rsid w:val="00DB3EC7"/>
    <w:rsid w:val="00DB416B"/>
    <w:rsid w:val="00DB427D"/>
    <w:rsid w:val="00DB49D4"/>
    <w:rsid w:val="00DB4F68"/>
    <w:rsid w:val="00DB55F6"/>
    <w:rsid w:val="00DB5BE8"/>
    <w:rsid w:val="00DB6BA0"/>
    <w:rsid w:val="00DB6E85"/>
    <w:rsid w:val="00DB7142"/>
    <w:rsid w:val="00DB7828"/>
    <w:rsid w:val="00DB7DDF"/>
    <w:rsid w:val="00DB7F86"/>
    <w:rsid w:val="00DC0A48"/>
    <w:rsid w:val="00DC0D1E"/>
    <w:rsid w:val="00DC1127"/>
    <w:rsid w:val="00DC1469"/>
    <w:rsid w:val="00DC1489"/>
    <w:rsid w:val="00DC1502"/>
    <w:rsid w:val="00DC173B"/>
    <w:rsid w:val="00DC1A1A"/>
    <w:rsid w:val="00DC1BB5"/>
    <w:rsid w:val="00DC1FDE"/>
    <w:rsid w:val="00DC2A76"/>
    <w:rsid w:val="00DC2CCF"/>
    <w:rsid w:val="00DC3441"/>
    <w:rsid w:val="00DC4B51"/>
    <w:rsid w:val="00DC5000"/>
    <w:rsid w:val="00DC5050"/>
    <w:rsid w:val="00DC5AF5"/>
    <w:rsid w:val="00DC5DCE"/>
    <w:rsid w:val="00DC74E1"/>
    <w:rsid w:val="00DC7C8C"/>
    <w:rsid w:val="00DD0385"/>
    <w:rsid w:val="00DD0541"/>
    <w:rsid w:val="00DD19BC"/>
    <w:rsid w:val="00DD1E45"/>
    <w:rsid w:val="00DD25CA"/>
    <w:rsid w:val="00DD27E4"/>
    <w:rsid w:val="00DD2D06"/>
    <w:rsid w:val="00DD2D35"/>
    <w:rsid w:val="00DD30BD"/>
    <w:rsid w:val="00DD43CE"/>
    <w:rsid w:val="00DD4BFC"/>
    <w:rsid w:val="00DD55CA"/>
    <w:rsid w:val="00DD5CBF"/>
    <w:rsid w:val="00DD75FA"/>
    <w:rsid w:val="00DD77F8"/>
    <w:rsid w:val="00DE061E"/>
    <w:rsid w:val="00DE06D3"/>
    <w:rsid w:val="00DE07B3"/>
    <w:rsid w:val="00DE1A99"/>
    <w:rsid w:val="00DE2262"/>
    <w:rsid w:val="00DE2440"/>
    <w:rsid w:val="00DE2AB6"/>
    <w:rsid w:val="00DE2D85"/>
    <w:rsid w:val="00DE33CF"/>
    <w:rsid w:val="00DE370D"/>
    <w:rsid w:val="00DE3ABD"/>
    <w:rsid w:val="00DE3B3F"/>
    <w:rsid w:val="00DE4D1F"/>
    <w:rsid w:val="00DE52FC"/>
    <w:rsid w:val="00DE5575"/>
    <w:rsid w:val="00DE5736"/>
    <w:rsid w:val="00DE58CA"/>
    <w:rsid w:val="00DE5C7F"/>
    <w:rsid w:val="00DE5F57"/>
    <w:rsid w:val="00DE66D9"/>
    <w:rsid w:val="00DE6DEE"/>
    <w:rsid w:val="00DE706A"/>
    <w:rsid w:val="00DE7474"/>
    <w:rsid w:val="00DE7D25"/>
    <w:rsid w:val="00DE7D71"/>
    <w:rsid w:val="00DE7E8E"/>
    <w:rsid w:val="00DF00CA"/>
    <w:rsid w:val="00DF0261"/>
    <w:rsid w:val="00DF0555"/>
    <w:rsid w:val="00DF1D24"/>
    <w:rsid w:val="00DF3969"/>
    <w:rsid w:val="00DF4A81"/>
    <w:rsid w:val="00DF4D9D"/>
    <w:rsid w:val="00DF4E4C"/>
    <w:rsid w:val="00DF564F"/>
    <w:rsid w:val="00DF5FF2"/>
    <w:rsid w:val="00DF6D71"/>
    <w:rsid w:val="00DF7385"/>
    <w:rsid w:val="00DF7514"/>
    <w:rsid w:val="00DF7E76"/>
    <w:rsid w:val="00E005D8"/>
    <w:rsid w:val="00E00822"/>
    <w:rsid w:val="00E00C97"/>
    <w:rsid w:val="00E00FAF"/>
    <w:rsid w:val="00E01217"/>
    <w:rsid w:val="00E01345"/>
    <w:rsid w:val="00E015A3"/>
    <w:rsid w:val="00E01A35"/>
    <w:rsid w:val="00E01A48"/>
    <w:rsid w:val="00E02BB2"/>
    <w:rsid w:val="00E03373"/>
    <w:rsid w:val="00E03F90"/>
    <w:rsid w:val="00E04302"/>
    <w:rsid w:val="00E0453E"/>
    <w:rsid w:val="00E0463D"/>
    <w:rsid w:val="00E04E90"/>
    <w:rsid w:val="00E05696"/>
    <w:rsid w:val="00E057D2"/>
    <w:rsid w:val="00E05DE7"/>
    <w:rsid w:val="00E06C53"/>
    <w:rsid w:val="00E06D50"/>
    <w:rsid w:val="00E07616"/>
    <w:rsid w:val="00E076CC"/>
    <w:rsid w:val="00E076CE"/>
    <w:rsid w:val="00E07A7A"/>
    <w:rsid w:val="00E10346"/>
    <w:rsid w:val="00E10387"/>
    <w:rsid w:val="00E10504"/>
    <w:rsid w:val="00E1061D"/>
    <w:rsid w:val="00E11104"/>
    <w:rsid w:val="00E11938"/>
    <w:rsid w:val="00E11A27"/>
    <w:rsid w:val="00E11B26"/>
    <w:rsid w:val="00E12739"/>
    <w:rsid w:val="00E12AAB"/>
    <w:rsid w:val="00E12EBE"/>
    <w:rsid w:val="00E13191"/>
    <w:rsid w:val="00E133F6"/>
    <w:rsid w:val="00E13926"/>
    <w:rsid w:val="00E13E35"/>
    <w:rsid w:val="00E1406A"/>
    <w:rsid w:val="00E1409E"/>
    <w:rsid w:val="00E14654"/>
    <w:rsid w:val="00E14F40"/>
    <w:rsid w:val="00E154BA"/>
    <w:rsid w:val="00E2048C"/>
    <w:rsid w:val="00E204B4"/>
    <w:rsid w:val="00E20868"/>
    <w:rsid w:val="00E20ECE"/>
    <w:rsid w:val="00E21343"/>
    <w:rsid w:val="00E21D64"/>
    <w:rsid w:val="00E21F49"/>
    <w:rsid w:val="00E22DD7"/>
    <w:rsid w:val="00E22EC4"/>
    <w:rsid w:val="00E22FB4"/>
    <w:rsid w:val="00E24369"/>
    <w:rsid w:val="00E245B3"/>
    <w:rsid w:val="00E24920"/>
    <w:rsid w:val="00E24F3A"/>
    <w:rsid w:val="00E25218"/>
    <w:rsid w:val="00E258D0"/>
    <w:rsid w:val="00E25935"/>
    <w:rsid w:val="00E2667B"/>
    <w:rsid w:val="00E2668C"/>
    <w:rsid w:val="00E268A3"/>
    <w:rsid w:val="00E26B95"/>
    <w:rsid w:val="00E27CF8"/>
    <w:rsid w:val="00E30262"/>
    <w:rsid w:val="00E30B02"/>
    <w:rsid w:val="00E31B20"/>
    <w:rsid w:val="00E31C53"/>
    <w:rsid w:val="00E32428"/>
    <w:rsid w:val="00E3251F"/>
    <w:rsid w:val="00E33924"/>
    <w:rsid w:val="00E33A8D"/>
    <w:rsid w:val="00E343E3"/>
    <w:rsid w:val="00E35268"/>
    <w:rsid w:val="00E3585A"/>
    <w:rsid w:val="00E35A38"/>
    <w:rsid w:val="00E35D72"/>
    <w:rsid w:val="00E36283"/>
    <w:rsid w:val="00E367CB"/>
    <w:rsid w:val="00E36F52"/>
    <w:rsid w:val="00E37093"/>
    <w:rsid w:val="00E3732E"/>
    <w:rsid w:val="00E37B5B"/>
    <w:rsid w:val="00E37E51"/>
    <w:rsid w:val="00E37FE6"/>
    <w:rsid w:val="00E40832"/>
    <w:rsid w:val="00E40AB7"/>
    <w:rsid w:val="00E41657"/>
    <w:rsid w:val="00E418AF"/>
    <w:rsid w:val="00E41C43"/>
    <w:rsid w:val="00E426C8"/>
    <w:rsid w:val="00E42ACE"/>
    <w:rsid w:val="00E42B1F"/>
    <w:rsid w:val="00E42F17"/>
    <w:rsid w:val="00E433C7"/>
    <w:rsid w:val="00E43B8F"/>
    <w:rsid w:val="00E441AA"/>
    <w:rsid w:val="00E44A94"/>
    <w:rsid w:val="00E44DBC"/>
    <w:rsid w:val="00E44E2C"/>
    <w:rsid w:val="00E45B6E"/>
    <w:rsid w:val="00E46121"/>
    <w:rsid w:val="00E4662C"/>
    <w:rsid w:val="00E46FED"/>
    <w:rsid w:val="00E47AC0"/>
    <w:rsid w:val="00E47E8B"/>
    <w:rsid w:val="00E515C9"/>
    <w:rsid w:val="00E51C82"/>
    <w:rsid w:val="00E5248E"/>
    <w:rsid w:val="00E53FBB"/>
    <w:rsid w:val="00E54493"/>
    <w:rsid w:val="00E547C0"/>
    <w:rsid w:val="00E551BC"/>
    <w:rsid w:val="00E555A6"/>
    <w:rsid w:val="00E56B91"/>
    <w:rsid w:val="00E56CCC"/>
    <w:rsid w:val="00E57364"/>
    <w:rsid w:val="00E57F7A"/>
    <w:rsid w:val="00E57FEA"/>
    <w:rsid w:val="00E6067A"/>
    <w:rsid w:val="00E606EB"/>
    <w:rsid w:val="00E61024"/>
    <w:rsid w:val="00E61228"/>
    <w:rsid w:val="00E6356C"/>
    <w:rsid w:val="00E6489B"/>
    <w:rsid w:val="00E64B18"/>
    <w:rsid w:val="00E64C9D"/>
    <w:rsid w:val="00E65161"/>
    <w:rsid w:val="00E65811"/>
    <w:rsid w:val="00E659BD"/>
    <w:rsid w:val="00E66A18"/>
    <w:rsid w:val="00E67076"/>
    <w:rsid w:val="00E67391"/>
    <w:rsid w:val="00E67C46"/>
    <w:rsid w:val="00E70A4B"/>
    <w:rsid w:val="00E7142A"/>
    <w:rsid w:val="00E719A3"/>
    <w:rsid w:val="00E71D8B"/>
    <w:rsid w:val="00E71E33"/>
    <w:rsid w:val="00E71EAC"/>
    <w:rsid w:val="00E720D8"/>
    <w:rsid w:val="00E73143"/>
    <w:rsid w:val="00E73E7F"/>
    <w:rsid w:val="00E755E1"/>
    <w:rsid w:val="00E75C88"/>
    <w:rsid w:val="00E76D17"/>
    <w:rsid w:val="00E77511"/>
    <w:rsid w:val="00E77545"/>
    <w:rsid w:val="00E77B18"/>
    <w:rsid w:val="00E80083"/>
    <w:rsid w:val="00E802B4"/>
    <w:rsid w:val="00E80534"/>
    <w:rsid w:val="00E8090C"/>
    <w:rsid w:val="00E80A21"/>
    <w:rsid w:val="00E810C9"/>
    <w:rsid w:val="00E81D96"/>
    <w:rsid w:val="00E81EB2"/>
    <w:rsid w:val="00E83175"/>
    <w:rsid w:val="00E83612"/>
    <w:rsid w:val="00E84A82"/>
    <w:rsid w:val="00E84F9C"/>
    <w:rsid w:val="00E8513E"/>
    <w:rsid w:val="00E85618"/>
    <w:rsid w:val="00E86DF6"/>
    <w:rsid w:val="00E86F1D"/>
    <w:rsid w:val="00E8723C"/>
    <w:rsid w:val="00E87B91"/>
    <w:rsid w:val="00E87E07"/>
    <w:rsid w:val="00E87F84"/>
    <w:rsid w:val="00E90D2E"/>
    <w:rsid w:val="00E90E31"/>
    <w:rsid w:val="00E91A2D"/>
    <w:rsid w:val="00E91EC4"/>
    <w:rsid w:val="00E920E6"/>
    <w:rsid w:val="00E92C0A"/>
    <w:rsid w:val="00E9415D"/>
    <w:rsid w:val="00E94D74"/>
    <w:rsid w:val="00E9558E"/>
    <w:rsid w:val="00E956DB"/>
    <w:rsid w:val="00E95820"/>
    <w:rsid w:val="00E95DA4"/>
    <w:rsid w:val="00E95FB8"/>
    <w:rsid w:val="00E96F35"/>
    <w:rsid w:val="00E97240"/>
    <w:rsid w:val="00E9736C"/>
    <w:rsid w:val="00E97891"/>
    <w:rsid w:val="00EA0782"/>
    <w:rsid w:val="00EA12AD"/>
    <w:rsid w:val="00EA1BB7"/>
    <w:rsid w:val="00EA1D5F"/>
    <w:rsid w:val="00EA2334"/>
    <w:rsid w:val="00EA3197"/>
    <w:rsid w:val="00EA3D79"/>
    <w:rsid w:val="00EA4720"/>
    <w:rsid w:val="00EA5FA1"/>
    <w:rsid w:val="00EA610D"/>
    <w:rsid w:val="00EA68A6"/>
    <w:rsid w:val="00EA6CAF"/>
    <w:rsid w:val="00EB028C"/>
    <w:rsid w:val="00EB0B0A"/>
    <w:rsid w:val="00EB155E"/>
    <w:rsid w:val="00EB2200"/>
    <w:rsid w:val="00EB416E"/>
    <w:rsid w:val="00EB454C"/>
    <w:rsid w:val="00EB4EEF"/>
    <w:rsid w:val="00EB5435"/>
    <w:rsid w:val="00EB5CE8"/>
    <w:rsid w:val="00EB6C90"/>
    <w:rsid w:val="00EB6D3A"/>
    <w:rsid w:val="00EB70ED"/>
    <w:rsid w:val="00EC158F"/>
    <w:rsid w:val="00EC1772"/>
    <w:rsid w:val="00EC1C96"/>
    <w:rsid w:val="00EC1D4D"/>
    <w:rsid w:val="00EC250C"/>
    <w:rsid w:val="00EC2799"/>
    <w:rsid w:val="00EC325B"/>
    <w:rsid w:val="00EC337F"/>
    <w:rsid w:val="00EC4264"/>
    <w:rsid w:val="00EC433A"/>
    <w:rsid w:val="00EC43D3"/>
    <w:rsid w:val="00EC45F2"/>
    <w:rsid w:val="00EC4FF6"/>
    <w:rsid w:val="00EC52C0"/>
    <w:rsid w:val="00EC5642"/>
    <w:rsid w:val="00EC6237"/>
    <w:rsid w:val="00EC71A2"/>
    <w:rsid w:val="00EC74AD"/>
    <w:rsid w:val="00EC786A"/>
    <w:rsid w:val="00ED0F8C"/>
    <w:rsid w:val="00ED14A2"/>
    <w:rsid w:val="00ED1A00"/>
    <w:rsid w:val="00ED24ED"/>
    <w:rsid w:val="00ED2598"/>
    <w:rsid w:val="00ED2DB4"/>
    <w:rsid w:val="00ED35A8"/>
    <w:rsid w:val="00ED3D0E"/>
    <w:rsid w:val="00ED3DA2"/>
    <w:rsid w:val="00ED4808"/>
    <w:rsid w:val="00ED4FA9"/>
    <w:rsid w:val="00ED4FEC"/>
    <w:rsid w:val="00ED557D"/>
    <w:rsid w:val="00ED5BE3"/>
    <w:rsid w:val="00ED5E88"/>
    <w:rsid w:val="00ED6768"/>
    <w:rsid w:val="00ED6E12"/>
    <w:rsid w:val="00ED7B33"/>
    <w:rsid w:val="00EE0F87"/>
    <w:rsid w:val="00EE0F9B"/>
    <w:rsid w:val="00EE244B"/>
    <w:rsid w:val="00EE2B00"/>
    <w:rsid w:val="00EE3E66"/>
    <w:rsid w:val="00EE4244"/>
    <w:rsid w:val="00EE4CB9"/>
    <w:rsid w:val="00EE4E51"/>
    <w:rsid w:val="00EE50AF"/>
    <w:rsid w:val="00EE5210"/>
    <w:rsid w:val="00EE5BB4"/>
    <w:rsid w:val="00EE608D"/>
    <w:rsid w:val="00EE6313"/>
    <w:rsid w:val="00EE682E"/>
    <w:rsid w:val="00EE6E83"/>
    <w:rsid w:val="00EE71DB"/>
    <w:rsid w:val="00EE7358"/>
    <w:rsid w:val="00EE7573"/>
    <w:rsid w:val="00EE7E8C"/>
    <w:rsid w:val="00EF0510"/>
    <w:rsid w:val="00EF114F"/>
    <w:rsid w:val="00EF125A"/>
    <w:rsid w:val="00EF17FC"/>
    <w:rsid w:val="00EF1F17"/>
    <w:rsid w:val="00EF23AF"/>
    <w:rsid w:val="00EF24DA"/>
    <w:rsid w:val="00EF2FC6"/>
    <w:rsid w:val="00EF34DF"/>
    <w:rsid w:val="00EF4103"/>
    <w:rsid w:val="00EF43B1"/>
    <w:rsid w:val="00EF46A5"/>
    <w:rsid w:val="00EF5B75"/>
    <w:rsid w:val="00EF61FD"/>
    <w:rsid w:val="00EF645B"/>
    <w:rsid w:val="00EF704A"/>
    <w:rsid w:val="00EF71F7"/>
    <w:rsid w:val="00F0066D"/>
    <w:rsid w:val="00F01B47"/>
    <w:rsid w:val="00F02127"/>
    <w:rsid w:val="00F028FF"/>
    <w:rsid w:val="00F03522"/>
    <w:rsid w:val="00F039EB"/>
    <w:rsid w:val="00F041D9"/>
    <w:rsid w:val="00F04B97"/>
    <w:rsid w:val="00F04D7C"/>
    <w:rsid w:val="00F0583B"/>
    <w:rsid w:val="00F05952"/>
    <w:rsid w:val="00F0607A"/>
    <w:rsid w:val="00F0671F"/>
    <w:rsid w:val="00F068ED"/>
    <w:rsid w:val="00F06AB2"/>
    <w:rsid w:val="00F06C1C"/>
    <w:rsid w:val="00F06FB8"/>
    <w:rsid w:val="00F07D03"/>
    <w:rsid w:val="00F104D1"/>
    <w:rsid w:val="00F10547"/>
    <w:rsid w:val="00F10B28"/>
    <w:rsid w:val="00F10FAF"/>
    <w:rsid w:val="00F11103"/>
    <w:rsid w:val="00F11347"/>
    <w:rsid w:val="00F1161F"/>
    <w:rsid w:val="00F117F9"/>
    <w:rsid w:val="00F11CD9"/>
    <w:rsid w:val="00F11D87"/>
    <w:rsid w:val="00F120F2"/>
    <w:rsid w:val="00F13469"/>
    <w:rsid w:val="00F13AF1"/>
    <w:rsid w:val="00F13E2F"/>
    <w:rsid w:val="00F145D9"/>
    <w:rsid w:val="00F14B54"/>
    <w:rsid w:val="00F15501"/>
    <w:rsid w:val="00F15821"/>
    <w:rsid w:val="00F15FCC"/>
    <w:rsid w:val="00F15FD9"/>
    <w:rsid w:val="00F161D1"/>
    <w:rsid w:val="00F1663A"/>
    <w:rsid w:val="00F16BA0"/>
    <w:rsid w:val="00F16F40"/>
    <w:rsid w:val="00F17DB6"/>
    <w:rsid w:val="00F17F3A"/>
    <w:rsid w:val="00F205A4"/>
    <w:rsid w:val="00F20AFF"/>
    <w:rsid w:val="00F210F2"/>
    <w:rsid w:val="00F21587"/>
    <w:rsid w:val="00F21A4D"/>
    <w:rsid w:val="00F21C30"/>
    <w:rsid w:val="00F21D3E"/>
    <w:rsid w:val="00F22780"/>
    <w:rsid w:val="00F22C5A"/>
    <w:rsid w:val="00F23722"/>
    <w:rsid w:val="00F23F49"/>
    <w:rsid w:val="00F246CE"/>
    <w:rsid w:val="00F24C4E"/>
    <w:rsid w:val="00F25DF7"/>
    <w:rsid w:val="00F25F39"/>
    <w:rsid w:val="00F25F3A"/>
    <w:rsid w:val="00F2669C"/>
    <w:rsid w:val="00F266D7"/>
    <w:rsid w:val="00F2782D"/>
    <w:rsid w:val="00F27BDD"/>
    <w:rsid w:val="00F3036A"/>
    <w:rsid w:val="00F304A6"/>
    <w:rsid w:val="00F30DBE"/>
    <w:rsid w:val="00F310DF"/>
    <w:rsid w:val="00F31124"/>
    <w:rsid w:val="00F329CB"/>
    <w:rsid w:val="00F33688"/>
    <w:rsid w:val="00F33A08"/>
    <w:rsid w:val="00F33B59"/>
    <w:rsid w:val="00F34056"/>
    <w:rsid w:val="00F347D1"/>
    <w:rsid w:val="00F35600"/>
    <w:rsid w:val="00F3579D"/>
    <w:rsid w:val="00F35B6E"/>
    <w:rsid w:val="00F36A16"/>
    <w:rsid w:val="00F370F5"/>
    <w:rsid w:val="00F37930"/>
    <w:rsid w:val="00F37B6E"/>
    <w:rsid w:val="00F405B0"/>
    <w:rsid w:val="00F4086B"/>
    <w:rsid w:val="00F40E11"/>
    <w:rsid w:val="00F40F9A"/>
    <w:rsid w:val="00F41397"/>
    <w:rsid w:val="00F413CC"/>
    <w:rsid w:val="00F420B7"/>
    <w:rsid w:val="00F4215D"/>
    <w:rsid w:val="00F425C9"/>
    <w:rsid w:val="00F43E69"/>
    <w:rsid w:val="00F44B0E"/>
    <w:rsid w:val="00F44D09"/>
    <w:rsid w:val="00F453ED"/>
    <w:rsid w:val="00F45617"/>
    <w:rsid w:val="00F460BF"/>
    <w:rsid w:val="00F46BFF"/>
    <w:rsid w:val="00F46E56"/>
    <w:rsid w:val="00F472DC"/>
    <w:rsid w:val="00F4787A"/>
    <w:rsid w:val="00F47F3F"/>
    <w:rsid w:val="00F503AF"/>
    <w:rsid w:val="00F5070A"/>
    <w:rsid w:val="00F50EB5"/>
    <w:rsid w:val="00F517B0"/>
    <w:rsid w:val="00F51AFD"/>
    <w:rsid w:val="00F51D0B"/>
    <w:rsid w:val="00F522C6"/>
    <w:rsid w:val="00F528F6"/>
    <w:rsid w:val="00F52F9C"/>
    <w:rsid w:val="00F5346E"/>
    <w:rsid w:val="00F537B1"/>
    <w:rsid w:val="00F5409C"/>
    <w:rsid w:val="00F542EC"/>
    <w:rsid w:val="00F554C9"/>
    <w:rsid w:val="00F5557F"/>
    <w:rsid w:val="00F55993"/>
    <w:rsid w:val="00F559F2"/>
    <w:rsid w:val="00F573C2"/>
    <w:rsid w:val="00F6096B"/>
    <w:rsid w:val="00F60A50"/>
    <w:rsid w:val="00F6144E"/>
    <w:rsid w:val="00F6197D"/>
    <w:rsid w:val="00F6199B"/>
    <w:rsid w:val="00F6204B"/>
    <w:rsid w:val="00F62E25"/>
    <w:rsid w:val="00F631BC"/>
    <w:rsid w:val="00F64CDC"/>
    <w:rsid w:val="00F65225"/>
    <w:rsid w:val="00F656A6"/>
    <w:rsid w:val="00F664BE"/>
    <w:rsid w:val="00F677A0"/>
    <w:rsid w:val="00F67C65"/>
    <w:rsid w:val="00F7015B"/>
    <w:rsid w:val="00F704C6"/>
    <w:rsid w:val="00F70530"/>
    <w:rsid w:val="00F716E8"/>
    <w:rsid w:val="00F7193C"/>
    <w:rsid w:val="00F725B1"/>
    <w:rsid w:val="00F72682"/>
    <w:rsid w:val="00F734FD"/>
    <w:rsid w:val="00F735E7"/>
    <w:rsid w:val="00F73FB6"/>
    <w:rsid w:val="00F74036"/>
    <w:rsid w:val="00F74416"/>
    <w:rsid w:val="00F745B2"/>
    <w:rsid w:val="00F753AE"/>
    <w:rsid w:val="00F75935"/>
    <w:rsid w:val="00F7593E"/>
    <w:rsid w:val="00F75F5E"/>
    <w:rsid w:val="00F76378"/>
    <w:rsid w:val="00F7643F"/>
    <w:rsid w:val="00F76682"/>
    <w:rsid w:val="00F767C7"/>
    <w:rsid w:val="00F7689A"/>
    <w:rsid w:val="00F7773C"/>
    <w:rsid w:val="00F77978"/>
    <w:rsid w:val="00F77B7E"/>
    <w:rsid w:val="00F77E45"/>
    <w:rsid w:val="00F77FE7"/>
    <w:rsid w:val="00F8055E"/>
    <w:rsid w:val="00F80884"/>
    <w:rsid w:val="00F80DC1"/>
    <w:rsid w:val="00F81026"/>
    <w:rsid w:val="00F813F6"/>
    <w:rsid w:val="00F823F3"/>
    <w:rsid w:val="00F829BC"/>
    <w:rsid w:val="00F82CB9"/>
    <w:rsid w:val="00F8306E"/>
    <w:rsid w:val="00F83695"/>
    <w:rsid w:val="00F8468C"/>
    <w:rsid w:val="00F84F7F"/>
    <w:rsid w:val="00F862B6"/>
    <w:rsid w:val="00F86438"/>
    <w:rsid w:val="00F873CC"/>
    <w:rsid w:val="00F8741B"/>
    <w:rsid w:val="00F9079B"/>
    <w:rsid w:val="00F91BDC"/>
    <w:rsid w:val="00F91F10"/>
    <w:rsid w:val="00F92934"/>
    <w:rsid w:val="00F92E64"/>
    <w:rsid w:val="00F938B5"/>
    <w:rsid w:val="00F939D5"/>
    <w:rsid w:val="00F93E91"/>
    <w:rsid w:val="00F941AD"/>
    <w:rsid w:val="00F95848"/>
    <w:rsid w:val="00F96138"/>
    <w:rsid w:val="00F96C05"/>
    <w:rsid w:val="00F97258"/>
    <w:rsid w:val="00F97378"/>
    <w:rsid w:val="00F97945"/>
    <w:rsid w:val="00F97B70"/>
    <w:rsid w:val="00F97F63"/>
    <w:rsid w:val="00FA00DC"/>
    <w:rsid w:val="00FA079F"/>
    <w:rsid w:val="00FA0E6F"/>
    <w:rsid w:val="00FA2042"/>
    <w:rsid w:val="00FA20BB"/>
    <w:rsid w:val="00FA323F"/>
    <w:rsid w:val="00FA3481"/>
    <w:rsid w:val="00FA34BD"/>
    <w:rsid w:val="00FA3EFF"/>
    <w:rsid w:val="00FA3F28"/>
    <w:rsid w:val="00FA440F"/>
    <w:rsid w:val="00FA4835"/>
    <w:rsid w:val="00FA48D3"/>
    <w:rsid w:val="00FA6176"/>
    <w:rsid w:val="00FA6183"/>
    <w:rsid w:val="00FA6489"/>
    <w:rsid w:val="00FA677A"/>
    <w:rsid w:val="00FA6C9A"/>
    <w:rsid w:val="00FA7463"/>
    <w:rsid w:val="00FA7C5A"/>
    <w:rsid w:val="00FA7FB2"/>
    <w:rsid w:val="00FB0501"/>
    <w:rsid w:val="00FB0EFA"/>
    <w:rsid w:val="00FB12B3"/>
    <w:rsid w:val="00FB192B"/>
    <w:rsid w:val="00FB19E0"/>
    <w:rsid w:val="00FB2126"/>
    <w:rsid w:val="00FB29B4"/>
    <w:rsid w:val="00FB313D"/>
    <w:rsid w:val="00FB378F"/>
    <w:rsid w:val="00FB3E93"/>
    <w:rsid w:val="00FB410A"/>
    <w:rsid w:val="00FB47E0"/>
    <w:rsid w:val="00FB4A36"/>
    <w:rsid w:val="00FB541B"/>
    <w:rsid w:val="00FB58A2"/>
    <w:rsid w:val="00FB59F4"/>
    <w:rsid w:val="00FB6211"/>
    <w:rsid w:val="00FB6228"/>
    <w:rsid w:val="00FB634B"/>
    <w:rsid w:val="00FB6910"/>
    <w:rsid w:val="00FB7C05"/>
    <w:rsid w:val="00FC0A35"/>
    <w:rsid w:val="00FC0BC9"/>
    <w:rsid w:val="00FC0CF8"/>
    <w:rsid w:val="00FC1C5D"/>
    <w:rsid w:val="00FC24B6"/>
    <w:rsid w:val="00FC3D9C"/>
    <w:rsid w:val="00FC519F"/>
    <w:rsid w:val="00FC5362"/>
    <w:rsid w:val="00FC541D"/>
    <w:rsid w:val="00FC576D"/>
    <w:rsid w:val="00FC5E8A"/>
    <w:rsid w:val="00FC65EC"/>
    <w:rsid w:val="00FC6F4C"/>
    <w:rsid w:val="00FC772E"/>
    <w:rsid w:val="00FC7E7C"/>
    <w:rsid w:val="00FD0CA2"/>
    <w:rsid w:val="00FD15E8"/>
    <w:rsid w:val="00FD176D"/>
    <w:rsid w:val="00FD1B7E"/>
    <w:rsid w:val="00FD2213"/>
    <w:rsid w:val="00FD25E2"/>
    <w:rsid w:val="00FD2AD7"/>
    <w:rsid w:val="00FD3700"/>
    <w:rsid w:val="00FD4D81"/>
    <w:rsid w:val="00FD506C"/>
    <w:rsid w:val="00FD5338"/>
    <w:rsid w:val="00FD5C1D"/>
    <w:rsid w:val="00FD65C7"/>
    <w:rsid w:val="00FD7028"/>
    <w:rsid w:val="00FD7A4A"/>
    <w:rsid w:val="00FE04F5"/>
    <w:rsid w:val="00FE06CA"/>
    <w:rsid w:val="00FE0BB2"/>
    <w:rsid w:val="00FE114A"/>
    <w:rsid w:val="00FE1197"/>
    <w:rsid w:val="00FE165C"/>
    <w:rsid w:val="00FE166F"/>
    <w:rsid w:val="00FE2DEA"/>
    <w:rsid w:val="00FE3EF8"/>
    <w:rsid w:val="00FE40AC"/>
    <w:rsid w:val="00FE4D0C"/>
    <w:rsid w:val="00FE5F23"/>
    <w:rsid w:val="00FE64FE"/>
    <w:rsid w:val="00FE65EF"/>
    <w:rsid w:val="00FE6EC9"/>
    <w:rsid w:val="00FE7CB6"/>
    <w:rsid w:val="00FF0242"/>
    <w:rsid w:val="00FF02BC"/>
    <w:rsid w:val="00FF02C2"/>
    <w:rsid w:val="00FF068F"/>
    <w:rsid w:val="00FF19A5"/>
    <w:rsid w:val="00FF2C41"/>
    <w:rsid w:val="00FF3BFC"/>
    <w:rsid w:val="00FF3C68"/>
    <w:rsid w:val="00FF3D2D"/>
    <w:rsid w:val="00FF3E66"/>
    <w:rsid w:val="00FF4430"/>
    <w:rsid w:val="00FF46CA"/>
    <w:rsid w:val="00FF4B5B"/>
    <w:rsid w:val="00FF5238"/>
    <w:rsid w:val="00FF530F"/>
    <w:rsid w:val="00FF5BB4"/>
    <w:rsid w:val="00FF5C7C"/>
    <w:rsid w:val="00FF6829"/>
    <w:rsid w:val="00FF6872"/>
    <w:rsid w:val="00FF6E0F"/>
    <w:rsid w:val="00FF751C"/>
    <w:rsid w:val="00FF7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727CA9"/>
  <w15:docId w15:val="{177414AA-0A36-4A58-8C6B-EEFA24090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EBB"/>
  </w:style>
  <w:style w:type="paragraph" w:styleId="Heading1">
    <w:name w:val="heading 1"/>
    <w:basedOn w:val="Normal"/>
    <w:next w:val="Normal"/>
    <w:link w:val="Heading1Char"/>
    <w:uiPriority w:val="9"/>
    <w:qFormat/>
    <w:rsid w:val="001967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43A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A316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937C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67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6715"/>
    <w:rPr>
      <w:rFonts w:eastAsiaTheme="minorEastAsia"/>
      <w:lang w:val="en-US"/>
    </w:rPr>
  </w:style>
  <w:style w:type="character" w:customStyle="1" w:styleId="Heading1Char">
    <w:name w:val="Heading 1 Char"/>
    <w:basedOn w:val="DefaultParagraphFont"/>
    <w:link w:val="Heading1"/>
    <w:uiPriority w:val="9"/>
    <w:rsid w:val="0019671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96715"/>
    <w:pPr>
      <w:outlineLvl w:val="9"/>
    </w:pPr>
    <w:rPr>
      <w:lang w:val="en-US"/>
    </w:rPr>
  </w:style>
  <w:style w:type="paragraph" w:styleId="TOC1">
    <w:name w:val="toc 1"/>
    <w:basedOn w:val="Normal"/>
    <w:next w:val="Normal"/>
    <w:autoRedefine/>
    <w:uiPriority w:val="39"/>
    <w:unhideWhenUsed/>
    <w:rsid w:val="00196715"/>
    <w:pPr>
      <w:spacing w:after="100"/>
    </w:pPr>
  </w:style>
  <w:style w:type="character" w:styleId="Hyperlink">
    <w:name w:val="Hyperlink"/>
    <w:basedOn w:val="DefaultParagraphFont"/>
    <w:uiPriority w:val="99"/>
    <w:unhideWhenUsed/>
    <w:rsid w:val="00196715"/>
    <w:rPr>
      <w:color w:val="0563C1" w:themeColor="hyperlink"/>
      <w:u w:val="single"/>
    </w:rPr>
  </w:style>
  <w:style w:type="character" w:customStyle="1" w:styleId="Heading2Char">
    <w:name w:val="Heading 2 Char"/>
    <w:basedOn w:val="DefaultParagraphFont"/>
    <w:link w:val="Heading2"/>
    <w:uiPriority w:val="9"/>
    <w:rsid w:val="009443AA"/>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75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533"/>
    <w:rPr>
      <w:rFonts w:ascii="Tahoma" w:hAnsi="Tahoma" w:cs="Tahoma"/>
      <w:sz w:val="16"/>
      <w:szCs w:val="16"/>
    </w:rPr>
  </w:style>
  <w:style w:type="paragraph" w:styleId="Header">
    <w:name w:val="header"/>
    <w:basedOn w:val="Normal"/>
    <w:link w:val="HeaderChar"/>
    <w:uiPriority w:val="99"/>
    <w:unhideWhenUsed/>
    <w:rsid w:val="00225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BF7"/>
  </w:style>
  <w:style w:type="paragraph" w:styleId="Footer">
    <w:name w:val="footer"/>
    <w:basedOn w:val="Normal"/>
    <w:link w:val="FooterChar"/>
    <w:uiPriority w:val="99"/>
    <w:unhideWhenUsed/>
    <w:rsid w:val="00225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BF7"/>
  </w:style>
  <w:style w:type="paragraph" w:styleId="TOC2">
    <w:name w:val="toc 2"/>
    <w:basedOn w:val="Normal"/>
    <w:next w:val="Normal"/>
    <w:autoRedefine/>
    <w:uiPriority w:val="39"/>
    <w:unhideWhenUsed/>
    <w:rsid w:val="003B72AF"/>
    <w:pPr>
      <w:spacing w:after="100"/>
      <w:ind w:left="220"/>
    </w:pPr>
  </w:style>
  <w:style w:type="paragraph" w:styleId="Caption">
    <w:name w:val="caption"/>
    <w:basedOn w:val="Normal"/>
    <w:next w:val="Normal"/>
    <w:uiPriority w:val="35"/>
    <w:unhideWhenUsed/>
    <w:qFormat/>
    <w:rsid w:val="006B1F4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86D09"/>
    <w:pPr>
      <w:spacing w:after="240" w:line="240" w:lineRule="auto"/>
    </w:pPr>
  </w:style>
  <w:style w:type="paragraph" w:styleId="ListParagraph">
    <w:name w:val="List Paragraph"/>
    <w:basedOn w:val="Normal"/>
    <w:uiPriority w:val="34"/>
    <w:qFormat/>
    <w:rsid w:val="00553FBB"/>
    <w:pPr>
      <w:ind w:left="720"/>
      <w:contextualSpacing/>
    </w:pPr>
  </w:style>
  <w:style w:type="character" w:customStyle="1" w:styleId="Heading3Char">
    <w:name w:val="Heading 3 Char"/>
    <w:basedOn w:val="DefaultParagraphFont"/>
    <w:link w:val="Heading3"/>
    <w:uiPriority w:val="9"/>
    <w:rsid w:val="00CA316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37C96"/>
    <w:pPr>
      <w:spacing w:after="100"/>
      <w:ind w:left="440"/>
    </w:pPr>
  </w:style>
  <w:style w:type="character" w:customStyle="1" w:styleId="Heading4Char">
    <w:name w:val="Heading 4 Char"/>
    <w:basedOn w:val="DefaultParagraphFont"/>
    <w:link w:val="Heading4"/>
    <w:uiPriority w:val="9"/>
    <w:rsid w:val="001937C2"/>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3C2443"/>
    <w:rPr>
      <w:color w:val="808080"/>
    </w:rPr>
  </w:style>
  <w:style w:type="character" w:styleId="UnresolvedMention">
    <w:name w:val="Unresolved Mention"/>
    <w:basedOn w:val="DefaultParagraphFont"/>
    <w:uiPriority w:val="99"/>
    <w:semiHidden/>
    <w:unhideWhenUsed/>
    <w:rsid w:val="00097B87"/>
    <w:rPr>
      <w:color w:val="605E5C"/>
      <w:shd w:val="clear" w:color="auto" w:fill="E1DFDD"/>
    </w:rPr>
  </w:style>
  <w:style w:type="paragraph" w:styleId="TableofFigures">
    <w:name w:val="table of figures"/>
    <w:basedOn w:val="Normal"/>
    <w:next w:val="Normal"/>
    <w:uiPriority w:val="99"/>
    <w:unhideWhenUsed/>
    <w:rsid w:val="00EA0782"/>
    <w:pPr>
      <w:spacing w:after="0"/>
    </w:pPr>
  </w:style>
  <w:style w:type="paragraph" w:styleId="NormalWeb">
    <w:name w:val="Normal (Web)"/>
    <w:basedOn w:val="Normal"/>
    <w:uiPriority w:val="99"/>
    <w:unhideWhenUsed/>
    <w:rsid w:val="003D34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3D340E"/>
  </w:style>
  <w:style w:type="character" w:customStyle="1" w:styleId="mjxassistivemathml">
    <w:name w:val="mjx_assistive_mathml"/>
    <w:basedOn w:val="DefaultParagraphFont"/>
    <w:rsid w:val="003D3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5056">
      <w:bodyDiv w:val="1"/>
      <w:marLeft w:val="0"/>
      <w:marRight w:val="0"/>
      <w:marTop w:val="0"/>
      <w:marBottom w:val="0"/>
      <w:divBdr>
        <w:top w:val="none" w:sz="0" w:space="0" w:color="auto"/>
        <w:left w:val="none" w:sz="0" w:space="0" w:color="auto"/>
        <w:bottom w:val="none" w:sz="0" w:space="0" w:color="auto"/>
        <w:right w:val="none" w:sz="0" w:space="0" w:color="auto"/>
      </w:divBdr>
    </w:div>
    <w:div w:id="33699286">
      <w:bodyDiv w:val="1"/>
      <w:marLeft w:val="0"/>
      <w:marRight w:val="0"/>
      <w:marTop w:val="0"/>
      <w:marBottom w:val="0"/>
      <w:divBdr>
        <w:top w:val="none" w:sz="0" w:space="0" w:color="auto"/>
        <w:left w:val="none" w:sz="0" w:space="0" w:color="auto"/>
        <w:bottom w:val="none" w:sz="0" w:space="0" w:color="auto"/>
        <w:right w:val="none" w:sz="0" w:space="0" w:color="auto"/>
      </w:divBdr>
    </w:div>
    <w:div w:id="83915938">
      <w:bodyDiv w:val="1"/>
      <w:marLeft w:val="0"/>
      <w:marRight w:val="0"/>
      <w:marTop w:val="0"/>
      <w:marBottom w:val="0"/>
      <w:divBdr>
        <w:top w:val="none" w:sz="0" w:space="0" w:color="auto"/>
        <w:left w:val="none" w:sz="0" w:space="0" w:color="auto"/>
        <w:bottom w:val="none" w:sz="0" w:space="0" w:color="auto"/>
        <w:right w:val="none" w:sz="0" w:space="0" w:color="auto"/>
      </w:divBdr>
    </w:div>
    <w:div w:id="142089213">
      <w:bodyDiv w:val="1"/>
      <w:marLeft w:val="0"/>
      <w:marRight w:val="0"/>
      <w:marTop w:val="0"/>
      <w:marBottom w:val="0"/>
      <w:divBdr>
        <w:top w:val="none" w:sz="0" w:space="0" w:color="auto"/>
        <w:left w:val="none" w:sz="0" w:space="0" w:color="auto"/>
        <w:bottom w:val="none" w:sz="0" w:space="0" w:color="auto"/>
        <w:right w:val="none" w:sz="0" w:space="0" w:color="auto"/>
      </w:divBdr>
    </w:div>
    <w:div w:id="230122312">
      <w:bodyDiv w:val="1"/>
      <w:marLeft w:val="0"/>
      <w:marRight w:val="0"/>
      <w:marTop w:val="0"/>
      <w:marBottom w:val="0"/>
      <w:divBdr>
        <w:top w:val="none" w:sz="0" w:space="0" w:color="auto"/>
        <w:left w:val="none" w:sz="0" w:space="0" w:color="auto"/>
        <w:bottom w:val="none" w:sz="0" w:space="0" w:color="auto"/>
        <w:right w:val="none" w:sz="0" w:space="0" w:color="auto"/>
      </w:divBdr>
    </w:div>
    <w:div w:id="263458369">
      <w:bodyDiv w:val="1"/>
      <w:marLeft w:val="0"/>
      <w:marRight w:val="0"/>
      <w:marTop w:val="0"/>
      <w:marBottom w:val="0"/>
      <w:divBdr>
        <w:top w:val="none" w:sz="0" w:space="0" w:color="auto"/>
        <w:left w:val="none" w:sz="0" w:space="0" w:color="auto"/>
        <w:bottom w:val="none" w:sz="0" w:space="0" w:color="auto"/>
        <w:right w:val="none" w:sz="0" w:space="0" w:color="auto"/>
      </w:divBdr>
    </w:div>
    <w:div w:id="422530420">
      <w:bodyDiv w:val="1"/>
      <w:marLeft w:val="0"/>
      <w:marRight w:val="0"/>
      <w:marTop w:val="0"/>
      <w:marBottom w:val="0"/>
      <w:divBdr>
        <w:top w:val="none" w:sz="0" w:space="0" w:color="auto"/>
        <w:left w:val="none" w:sz="0" w:space="0" w:color="auto"/>
        <w:bottom w:val="none" w:sz="0" w:space="0" w:color="auto"/>
        <w:right w:val="none" w:sz="0" w:space="0" w:color="auto"/>
      </w:divBdr>
    </w:div>
    <w:div w:id="442071414">
      <w:bodyDiv w:val="1"/>
      <w:marLeft w:val="0"/>
      <w:marRight w:val="0"/>
      <w:marTop w:val="0"/>
      <w:marBottom w:val="0"/>
      <w:divBdr>
        <w:top w:val="none" w:sz="0" w:space="0" w:color="auto"/>
        <w:left w:val="none" w:sz="0" w:space="0" w:color="auto"/>
        <w:bottom w:val="none" w:sz="0" w:space="0" w:color="auto"/>
        <w:right w:val="none" w:sz="0" w:space="0" w:color="auto"/>
      </w:divBdr>
    </w:div>
    <w:div w:id="447743385">
      <w:bodyDiv w:val="1"/>
      <w:marLeft w:val="0"/>
      <w:marRight w:val="0"/>
      <w:marTop w:val="0"/>
      <w:marBottom w:val="0"/>
      <w:divBdr>
        <w:top w:val="none" w:sz="0" w:space="0" w:color="auto"/>
        <w:left w:val="none" w:sz="0" w:space="0" w:color="auto"/>
        <w:bottom w:val="none" w:sz="0" w:space="0" w:color="auto"/>
        <w:right w:val="none" w:sz="0" w:space="0" w:color="auto"/>
      </w:divBdr>
    </w:div>
    <w:div w:id="497843375">
      <w:bodyDiv w:val="1"/>
      <w:marLeft w:val="0"/>
      <w:marRight w:val="0"/>
      <w:marTop w:val="0"/>
      <w:marBottom w:val="0"/>
      <w:divBdr>
        <w:top w:val="none" w:sz="0" w:space="0" w:color="auto"/>
        <w:left w:val="none" w:sz="0" w:space="0" w:color="auto"/>
        <w:bottom w:val="none" w:sz="0" w:space="0" w:color="auto"/>
        <w:right w:val="none" w:sz="0" w:space="0" w:color="auto"/>
      </w:divBdr>
    </w:div>
    <w:div w:id="533351000">
      <w:bodyDiv w:val="1"/>
      <w:marLeft w:val="0"/>
      <w:marRight w:val="0"/>
      <w:marTop w:val="0"/>
      <w:marBottom w:val="0"/>
      <w:divBdr>
        <w:top w:val="none" w:sz="0" w:space="0" w:color="auto"/>
        <w:left w:val="none" w:sz="0" w:space="0" w:color="auto"/>
        <w:bottom w:val="none" w:sz="0" w:space="0" w:color="auto"/>
        <w:right w:val="none" w:sz="0" w:space="0" w:color="auto"/>
      </w:divBdr>
    </w:div>
    <w:div w:id="577251465">
      <w:bodyDiv w:val="1"/>
      <w:marLeft w:val="0"/>
      <w:marRight w:val="0"/>
      <w:marTop w:val="0"/>
      <w:marBottom w:val="0"/>
      <w:divBdr>
        <w:top w:val="none" w:sz="0" w:space="0" w:color="auto"/>
        <w:left w:val="none" w:sz="0" w:space="0" w:color="auto"/>
        <w:bottom w:val="none" w:sz="0" w:space="0" w:color="auto"/>
        <w:right w:val="none" w:sz="0" w:space="0" w:color="auto"/>
      </w:divBdr>
    </w:div>
    <w:div w:id="607197010">
      <w:bodyDiv w:val="1"/>
      <w:marLeft w:val="0"/>
      <w:marRight w:val="0"/>
      <w:marTop w:val="0"/>
      <w:marBottom w:val="0"/>
      <w:divBdr>
        <w:top w:val="none" w:sz="0" w:space="0" w:color="auto"/>
        <w:left w:val="none" w:sz="0" w:space="0" w:color="auto"/>
        <w:bottom w:val="none" w:sz="0" w:space="0" w:color="auto"/>
        <w:right w:val="none" w:sz="0" w:space="0" w:color="auto"/>
      </w:divBdr>
    </w:div>
    <w:div w:id="640233958">
      <w:bodyDiv w:val="1"/>
      <w:marLeft w:val="0"/>
      <w:marRight w:val="0"/>
      <w:marTop w:val="0"/>
      <w:marBottom w:val="0"/>
      <w:divBdr>
        <w:top w:val="none" w:sz="0" w:space="0" w:color="auto"/>
        <w:left w:val="none" w:sz="0" w:space="0" w:color="auto"/>
        <w:bottom w:val="none" w:sz="0" w:space="0" w:color="auto"/>
        <w:right w:val="none" w:sz="0" w:space="0" w:color="auto"/>
      </w:divBdr>
    </w:div>
    <w:div w:id="826476454">
      <w:bodyDiv w:val="1"/>
      <w:marLeft w:val="0"/>
      <w:marRight w:val="0"/>
      <w:marTop w:val="0"/>
      <w:marBottom w:val="0"/>
      <w:divBdr>
        <w:top w:val="none" w:sz="0" w:space="0" w:color="auto"/>
        <w:left w:val="none" w:sz="0" w:space="0" w:color="auto"/>
        <w:bottom w:val="none" w:sz="0" w:space="0" w:color="auto"/>
        <w:right w:val="none" w:sz="0" w:space="0" w:color="auto"/>
      </w:divBdr>
    </w:div>
    <w:div w:id="864100518">
      <w:bodyDiv w:val="1"/>
      <w:marLeft w:val="0"/>
      <w:marRight w:val="0"/>
      <w:marTop w:val="0"/>
      <w:marBottom w:val="0"/>
      <w:divBdr>
        <w:top w:val="none" w:sz="0" w:space="0" w:color="auto"/>
        <w:left w:val="none" w:sz="0" w:space="0" w:color="auto"/>
        <w:bottom w:val="none" w:sz="0" w:space="0" w:color="auto"/>
        <w:right w:val="none" w:sz="0" w:space="0" w:color="auto"/>
      </w:divBdr>
    </w:div>
    <w:div w:id="882445875">
      <w:bodyDiv w:val="1"/>
      <w:marLeft w:val="0"/>
      <w:marRight w:val="0"/>
      <w:marTop w:val="0"/>
      <w:marBottom w:val="0"/>
      <w:divBdr>
        <w:top w:val="none" w:sz="0" w:space="0" w:color="auto"/>
        <w:left w:val="none" w:sz="0" w:space="0" w:color="auto"/>
        <w:bottom w:val="none" w:sz="0" w:space="0" w:color="auto"/>
        <w:right w:val="none" w:sz="0" w:space="0" w:color="auto"/>
      </w:divBdr>
    </w:div>
    <w:div w:id="889153167">
      <w:bodyDiv w:val="1"/>
      <w:marLeft w:val="0"/>
      <w:marRight w:val="0"/>
      <w:marTop w:val="0"/>
      <w:marBottom w:val="0"/>
      <w:divBdr>
        <w:top w:val="none" w:sz="0" w:space="0" w:color="auto"/>
        <w:left w:val="none" w:sz="0" w:space="0" w:color="auto"/>
        <w:bottom w:val="none" w:sz="0" w:space="0" w:color="auto"/>
        <w:right w:val="none" w:sz="0" w:space="0" w:color="auto"/>
      </w:divBdr>
    </w:div>
    <w:div w:id="928847950">
      <w:bodyDiv w:val="1"/>
      <w:marLeft w:val="0"/>
      <w:marRight w:val="0"/>
      <w:marTop w:val="0"/>
      <w:marBottom w:val="0"/>
      <w:divBdr>
        <w:top w:val="none" w:sz="0" w:space="0" w:color="auto"/>
        <w:left w:val="none" w:sz="0" w:space="0" w:color="auto"/>
        <w:bottom w:val="none" w:sz="0" w:space="0" w:color="auto"/>
        <w:right w:val="none" w:sz="0" w:space="0" w:color="auto"/>
      </w:divBdr>
    </w:div>
    <w:div w:id="929922598">
      <w:bodyDiv w:val="1"/>
      <w:marLeft w:val="0"/>
      <w:marRight w:val="0"/>
      <w:marTop w:val="0"/>
      <w:marBottom w:val="0"/>
      <w:divBdr>
        <w:top w:val="none" w:sz="0" w:space="0" w:color="auto"/>
        <w:left w:val="none" w:sz="0" w:space="0" w:color="auto"/>
        <w:bottom w:val="none" w:sz="0" w:space="0" w:color="auto"/>
        <w:right w:val="none" w:sz="0" w:space="0" w:color="auto"/>
      </w:divBdr>
    </w:div>
    <w:div w:id="959264464">
      <w:bodyDiv w:val="1"/>
      <w:marLeft w:val="0"/>
      <w:marRight w:val="0"/>
      <w:marTop w:val="0"/>
      <w:marBottom w:val="0"/>
      <w:divBdr>
        <w:top w:val="none" w:sz="0" w:space="0" w:color="auto"/>
        <w:left w:val="none" w:sz="0" w:space="0" w:color="auto"/>
        <w:bottom w:val="none" w:sz="0" w:space="0" w:color="auto"/>
        <w:right w:val="none" w:sz="0" w:space="0" w:color="auto"/>
      </w:divBdr>
    </w:div>
    <w:div w:id="1032534101">
      <w:bodyDiv w:val="1"/>
      <w:marLeft w:val="0"/>
      <w:marRight w:val="0"/>
      <w:marTop w:val="0"/>
      <w:marBottom w:val="0"/>
      <w:divBdr>
        <w:top w:val="none" w:sz="0" w:space="0" w:color="auto"/>
        <w:left w:val="none" w:sz="0" w:space="0" w:color="auto"/>
        <w:bottom w:val="none" w:sz="0" w:space="0" w:color="auto"/>
        <w:right w:val="none" w:sz="0" w:space="0" w:color="auto"/>
      </w:divBdr>
    </w:div>
    <w:div w:id="1166938411">
      <w:bodyDiv w:val="1"/>
      <w:marLeft w:val="0"/>
      <w:marRight w:val="0"/>
      <w:marTop w:val="0"/>
      <w:marBottom w:val="0"/>
      <w:divBdr>
        <w:top w:val="none" w:sz="0" w:space="0" w:color="auto"/>
        <w:left w:val="none" w:sz="0" w:space="0" w:color="auto"/>
        <w:bottom w:val="none" w:sz="0" w:space="0" w:color="auto"/>
        <w:right w:val="none" w:sz="0" w:space="0" w:color="auto"/>
      </w:divBdr>
      <w:divsChild>
        <w:div w:id="1997151759">
          <w:marLeft w:val="480"/>
          <w:marRight w:val="0"/>
          <w:marTop w:val="0"/>
          <w:marBottom w:val="0"/>
          <w:divBdr>
            <w:top w:val="none" w:sz="0" w:space="0" w:color="auto"/>
            <w:left w:val="none" w:sz="0" w:space="0" w:color="auto"/>
            <w:bottom w:val="none" w:sz="0" w:space="0" w:color="auto"/>
            <w:right w:val="none" w:sz="0" w:space="0" w:color="auto"/>
          </w:divBdr>
          <w:divsChild>
            <w:div w:id="102455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901747">
      <w:bodyDiv w:val="1"/>
      <w:marLeft w:val="0"/>
      <w:marRight w:val="0"/>
      <w:marTop w:val="0"/>
      <w:marBottom w:val="0"/>
      <w:divBdr>
        <w:top w:val="none" w:sz="0" w:space="0" w:color="auto"/>
        <w:left w:val="none" w:sz="0" w:space="0" w:color="auto"/>
        <w:bottom w:val="none" w:sz="0" w:space="0" w:color="auto"/>
        <w:right w:val="none" w:sz="0" w:space="0" w:color="auto"/>
      </w:divBdr>
    </w:div>
    <w:div w:id="1234200672">
      <w:bodyDiv w:val="1"/>
      <w:marLeft w:val="0"/>
      <w:marRight w:val="0"/>
      <w:marTop w:val="0"/>
      <w:marBottom w:val="0"/>
      <w:divBdr>
        <w:top w:val="none" w:sz="0" w:space="0" w:color="auto"/>
        <w:left w:val="none" w:sz="0" w:space="0" w:color="auto"/>
        <w:bottom w:val="none" w:sz="0" w:space="0" w:color="auto"/>
        <w:right w:val="none" w:sz="0" w:space="0" w:color="auto"/>
      </w:divBdr>
    </w:div>
    <w:div w:id="1341270925">
      <w:bodyDiv w:val="1"/>
      <w:marLeft w:val="0"/>
      <w:marRight w:val="0"/>
      <w:marTop w:val="0"/>
      <w:marBottom w:val="0"/>
      <w:divBdr>
        <w:top w:val="none" w:sz="0" w:space="0" w:color="auto"/>
        <w:left w:val="none" w:sz="0" w:space="0" w:color="auto"/>
        <w:bottom w:val="none" w:sz="0" w:space="0" w:color="auto"/>
        <w:right w:val="none" w:sz="0" w:space="0" w:color="auto"/>
      </w:divBdr>
    </w:div>
    <w:div w:id="1356030718">
      <w:bodyDiv w:val="1"/>
      <w:marLeft w:val="0"/>
      <w:marRight w:val="0"/>
      <w:marTop w:val="0"/>
      <w:marBottom w:val="0"/>
      <w:divBdr>
        <w:top w:val="none" w:sz="0" w:space="0" w:color="auto"/>
        <w:left w:val="none" w:sz="0" w:space="0" w:color="auto"/>
        <w:bottom w:val="none" w:sz="0" w:space="0" w:color="auto"/>
        <w:right w:val="none" w:sz="0" w:space="0" w:color="auto"/>
      </w:divBdr>
    </w:div>
    <w:div w:id="1381826883">
      <w:bodyDiv w:val="1"/>
      <w:marLeft w:val="0"/>
      <w:marRight w:val="0"/>
      <w:marTop w:val="0"/>
      <w:marBottom w:val="0"/>
      <w:divBdr>
        <w:top w:val="none" w:sz="0" w:space="0" w:color="auto"/>
        <w:left w:val="none" w:sz="0" w:space="0" w:color="auto"/>
        <w:bottom w:val="none" w:sz="0" w:space="0" w:color="auto"/>
        <w:right w:val="none" w:sz="0" w:space="0" w:color="auto"/>
      </w:divBdr>
    </w:div>
    <w:div w:id="1386443810">
      <w:bodyDiv w:val="1"/>
      <w:marLeft w:val="0"/>
      <w:marRight w:val="0"/>
      <w:marTop w:val="0"/>
      <w:marBottom w:val="0"/>
      <w:divBdr>
        <w:top w:val="none" w:sz="0" w:space="0" w:color="auto"/>
        <w:left w:val="none" w:sz="0" w:space="0" w:color="auto"/>
        <w:bottom w:val="none" w:sz="0" w:space="0" w:color="auto"/>
        <w:right w:val="none" w:sz="0" w:space="0" w:color="auto"/>
      </w:divBdr>
    </w:div>
    <w:div w:id="1396466959">
      <w:bodyDiv w:val="1"/>
      <w:marLeft w:val="0"/>
      <w:marRight w:val="0"/>
      <w:marTop w:val="0"/>
      <w:marBottom w:val="0"/>
      <w:divBdr>
        <w:top w:val="none" w:sz="0" w:space="0" w:color="auto"/>
        <w:left w:val="none" w:sz="0" w:space="0" w:color="auto"/>
        <w:bottom w:val="none" w:sz="0" w:space="0" w:color="auto"/>
        <w:right w:val="none" w:sz="0" w:space="0" w:color="auto"/>
      </w:divBdr>
    </w:div>
    <w:div w:id="1405302888">
      <w:bodyDiv w:val="1"/>
      <w:marLeft w:val="0"/>
      <w:marRight w:val="0"/>
      <w:marTop w:val="0"/>
      <w:marBottom w:val="0"/>
      <w:divBdr>
        <w:top w:val="none" w:sz="0" w:space="0" w:color="auto"/>
        <w:left w:val="none" w:sz="0" w:space="0" w:color="auto"/>
        <w:bottom w:val="none" w:sz="0" w:space="0" w:color="auto"/>
        <w:right w:val="none" w:sz="0" w:space="0" w:color="auto"/>
      </w:divBdr>
    </w:div>
    <w:div w:id="1414160523">
      <w:bodyDiv w:val="1"/>
      <w:marLeft w:val="0"/>
      <w:marRight w:val="0"/>
      <w:marTop w:val="0"/>
      <w:marBottom w:val="0"/>
      <w:divBdr>
        <w:top w:val="none" w:sz="0" w:space="0" w:color="auto"/>
        <w:left w:val="none" w:sz="0" w:space="0" w:color="auto"/>
        <w:bottom w:val="none" w:sz="0" w:space="0" w:color="auto"/>
        <w:right w:val="none" w:sz="0" w:space="0" w:color="auto"/>
      </w:divBdr>
    </w:div>
    <w:div w:id="1468545084">
      <w:bodyDiv w:val="1"/>
      <w:marLeft w:val="0"/>
      <w:marRight w:val="0"/>
      <w:marTop w:val="0"/>
      <w:marBottom w:val="0"/>
      <w:divBdr>
        <w:top w:val="none" w:sz="0" w:space="0" w:color="auto"/>
        <w:left w:val="none" w:sz="0" w:space="0" w:color="auto"/>
        <w:bottom w:val="none" w:sz="0" w:space="0" w:color="auto"/>
        <w:right w:val="none" w:sz="0" w:space="0" w:color="auto"/>
      </w:divBdr>
    </w:div>
    <w:div w:id="1502692934">
      <w:bodyDiv w:val="1"/>
      <w:marLeft w:val="0"/>
      <w:marRight w:val="0"/>
      <w:marTop w:val="0"/>
      <w:marBottom w:val="0"/>
      <w:divBdr>
        <w:top w:val="none" w:sz="0" w:space="0" w:color="auto"/>
        <w:left w:val="none" w:sz="0" w:space="0" w:color="auto"/>
        <w:bottom w:val="none" w:sz="0" w:space="0" w:color="auto"/>
        <w:right w:val="none" w:sz="0" w:space="0" w:color="auto"/>
      </w:divBdr>
    </w:div>
    <w:div w:id="1515195216">
      <w:bodyDiv w:val="1"/>
      <w:marLeft w:val="0"/>
      <w:marRight w:val="0"/>
      <w:marTop w:val="0"/>
      <w:marBottom w:val="0"/>
      <w:divBdr>
        <w:top w:val="none" w:sz="0" w:space="0" w:color="auto"/>
        <w:left w:val="none" w:sz="0" w:space="0" w:color="auto"/>
        <w:bottom w:val="none" w:sz="0" w:space="0" w:color="auto"/>
        <w:right w:val="none" w:sz="0" w:space="0" w:color="auto"/>
      </w:divBdr>
    </w:div>
    <w:div w:id="1613123323">
      <w:bodyDiv w:val="1"/>
      <w:marLeft w:val="0"/>
      <w:marRight w:val="0"/>
      <w:marTop w:val="0"/>
      <w:marBottom w:val="0"/>
      <w:divBdr>
        <w:top w:val="none" w:sz="0" w:space="0" w:color="auto"/>
        <w:left w:val="none" w:sz="0" w:space="0" w:color="auto"/>
        <w:bottom w:val="none" w:sz="0" w:space="0" w:color="auto"/>
        <w:right w:val="none" w:sz="0" w:space="0" w:color="auto"/>
      </w:divBdr>
    </w:div>
    <w:div w:id="1626427042">
      <w:bodyDiv w:val="1"/>
      <w:marLeft w:val="0"/>
      <w:marRight w:val="0"/>
      <w:marTop w:val="0"/>
      <w:marBottom w:val="0"/>
      <w:divBdr>
        <w:top w:val="none" w:sz="0" w:space="0" w:color="auto"/>
        <w:left w:val="none" w:sz="0" w:space="0" w:color="auto"/>
        <w:bottom w:val="none" w:sz="0" w:space="0" w:color="auto"/>
        <w:right w:val="none" w:sz="0" w:space="0" w:color="auto"/>
      </w:divBdr>
    </w:div>
    <w:div w:id="1644657752">
      <w:bodyDiv w:val="1"/>
      <w:marLeft w:val="0"/>
      <w:marRight w:val="0"/>
      <w:marTop w:val="0"/>
      <w:marBottom w:val="0"/>
      <w:divBdr>
        <w:top w:val="none" w:sz="0" w:space="0" w:color="auto"/>
        <w:left w:val="none" w:sz="0" w:space="0" w:color="auto"/>
        <w:bottom w:val="none" w:sz="0" w:space="0" w:color="auto"/>
        <w:right w:val="none" w:sz="0" w:space="0" w:color="auto"/>
      </w:divBdr>
    </w:div>
    <w:div w:id="1689066328">
      <w:bodyDiv w:val="1"/>
      <w:marLeft w:val="0"/>
      <w:marRight w:val="0"/>
      <w:marTop w:val="0"/>
      <w:marBottom w:val="0"/>
      <w:divBdr>
        <w:top w:val="none" w:sz="0" w:space="0" w:color="auto"/>
        <w:left w:val="none" w:sz="0" w:space="0" w:color="auto"/>
        <w:bottom w:val="none" w:sz="0" w:space="0" w:color="auto"/>
        <w:right w:val="none" w:sz="0" w:space="0" w:color="auto"/>
      </w:divBdr>
    </w:div>
    <w:div w:id="1699888214">
      <w:bodyDiv w:val="1"/>
      <w:marLeft w:val="0"/>
      <w:marRight w:val="0"/>
      <w:marTop w:val="0"/>
      <w:marBottom w:val="0"/>
      <w:divBdr>
        <w:top w:val="none" w:sz="0" w:space="0" w:color="auto"/>
        <w:left w:val="none" w:sz="0" w:space="0" w:color="auto"/>
        <w:bottom w:val="none" w:sz="0" w:space="0" w:color="auto"/>
        <w:right w:val="none" w:sz="0" w:space="0" w:color="auto"/>
      </w:divBdr>
    </w:div>
    <w:div w:id="1786577810">
      <w:bodyDiv w:val="1"/>
      <w:marLeft w:val="0"/>
      <w:marRight w:val="0"/>
      <w:marTop w:val="0"/>
      <w:marBottom w:val="0"/>
      <w:divBdr>
        <w:top w:val="none" w:sz="0" w:space="0" w:color="auto"/>
        <w:left w:val="none" w:sz="0" w:space="0" w:color="auto"/>
        <w:bottom w:val="none" w:sz="0" w:space="0" w:color="auto"/>
        <w:right w:val="none" w:sz="0" w:space="0" w:color="auto"/>
      </w:divBdr>
    </w:div>
    <w:div w:id="1870334047">
      <w:bodyDiv w:val="1"/>
      <w:marLeft w:val="0"/>
      <w:marRight w:val="0"/>
      <w:marTop w:val="0"/>
      <w:marBottom w:val="0"/>
      <w:divBdr>
        <w:top w:val="none" w:sz="0" w:space="0" w:color="auto"/>
        <w:left w:val="none" w:sz="0" w:space="0" w:color="auto"/>
        <w:bottom w:val="none" w:sz="0" w:space="0" w:color="auto"/>
        <w:right w:val="none" w:sz="0" w:space="0" w:color="auto"/>
      </w:divBdr>
    </w:div>
    <w:div w:id="1885602831">
      <w:bodyDiv w:val="1"/>
      <w:marLeft w:val="0"/>
      <w:marRight w:val="0"/>
      <w:marTop w:val="0"/>
      <w:marBottom w:val="0"/>
      <w:divBdr>
        <w:top w:val="none" w:sz="0" w:space="0" w:color="auto"/>
        <w:left w:val="none" w:sz="0" w:space="0" w:color="auto"/>
        <w:bottom w:val="none" w:sz="0" w:space="0" w:color="auto"/>
        <w:right w:val="none" w:sz="0" w:space="0" w:color="auto"/>
      </w:divBdr>
    </w:div>
    <w:div w:id="1901936498">
      <w:bodyDiv w:val="1"/>
      <w:marLeft w:val="0"/>
      <w:marRight w:val="0"/>
      <w:marTop w:val="0"/>
      <w:marBottom w:val="0"/>
      <w:divBdr>
        <w:top w:val="none" w:sz="0" w:space="0" w:color="auto"/>
        <w:left w:val="none" w:sz="0" w:space="0" w:color="auto"/>
        <w:bottom w:val="none" w:sz="0" w:space="0" w:color="auto"/>
        <w:right w:val="none" w:sz="0" w:space="0" w:color="auto"/>
      </w:divBdr>
    </w:div>
    <w:div w:id="1904178947">
      <w:bodyDiv w:val="1"/>
      <w:marLeft w:val="0"/>
      <w:marRight w:val="0"/>
      <w:marTop w:val="0"/>
      <w:marBottom w:val="0"/>
      <w:divBdr>
        <w:top w:val="none" w:sz="0" w:space="0" w:color="auto"/>
        <w:left w:val="none" w:sz="0" w:space="0" w:color="auto"/>
        <w:bottom w:val="none" w:sz="0" w:space="0" w:color="auto"/>
        <w:right w:val="none" w:sz="0" w:space="0" w:color="auto"/>
      </w:divBdr>
    </w:div>
    <w:div w:id="1917473380">
      <w:bodyDiv w:val="1"/>
      <w:marLeft w:val="0"/>
      <w:marRight w:val="0"/>
      <w:marTop w:val="0"/>
      <w:marBottom w:val="0"/>
      <w:divBdr>
        <w:top w:val="none" w:sz="0" w:space="0" w:color="auto"/>
        <w:left w:val="none" w:sz="0" w:space="0" w:color="auto"/>
        <w:bottom w:val="none" w:sz="0" w:space="0" w:color="auto"/>
        <w:right w:val="none" w:sz="0" w:space="0" w:color="auto"/>
      </w:divBdr>
    </w:div>
    <w:div w:id="1931815651">
      <w:bodyDiv w:val="1"/>
      <w:marLeft w:val="0"/>
      <w:marRight w:val="0"/>
      <w:marTop w:val="0"/>
      <w:marBottom w:val="0"/>
      <w:divBdr>
        <w:top w:val="none" w:sz="0" w:space="0" w:color="auto"/>
        <w:left w:val="none" w:sz="0" w:space="0" w:color="auto"/>
        <w:bottom w:val="none" w:sz="0" w:space="0" w:color="auto"/>
        <w:right w:val="none" w:sz="0" w:space="0" w:color="auto"/>
      </w:divBdr>
    </w:div>
    <w:div w:id="1953366420">
      <w:bodyDiv w:val="1"/>
      <w:marLeft w:val="0"/>
      <w:marRight w:val="0"/>
      <w:marTop w:val="0"/>
      <w:marBottom w:val="0"/>
      <w:divBdr>
        <w:top w:val="none" w:sz="0" w:space="0" w:color="auto"/>
        <w:left w:val="none" w:sz="0" w:space="0" w:color="auto"/>
        <w:bottom w:val="none" w:sz="0" w:space="0" w:color="auto"/>
        <w:right w:val="none" w:sz="0" w:space="0" w:color="auto"/>
      </w:divBdr>
    </w:div>
    <w:div w:id="1968077118">
      <w:bodyDiv w:val="1"/>
      <w:marLeft w:val="0"/>
      <w:marRight w:val="0"/>
      <w:marTop w:val="0"/>
      <w:marBottom w:val="0"/>
      <w:divBdr>
        <w:top w:val="none" w:sz="0" w:space="0" w:color="auto"/>
        <w:left w:val="none" w:sz="0" w:space="0" w:color="auto"/>
        <w:bottom w:val="none" w:sz="0" w:space="0" w:color="auto"/>
        <w:right w:val="none" w:sz="0" w:space="0" w:color="auto"/>
      </w:divBdr>
    </w:div>
    <w:div w:id="1996259019">
      <w:bodyDiv w:val="1"/>
      <w:marLeft w:val="0"/>
      <w:marRight w:val="0"/>
      <w:marTop w:val="0"/>
      <w:marBottom w:val="0"/>
      <w:divBdr>
        <w:top w:val="none" w:sz="0" w:space="0" w:color="auto"/>
        <w:left w:val="none" w:sz="0" w:space="0" w:color="auto"/>
        <w:bottom w:val="none" w:sz="0" w:space="0" w:color="auto"/>
        <w:right w:val="none" w:sz="0" w:space="0" w:color="auto"/>
      </w:divBdr>
    </w:div>
    <w:div w:id="2003116882">
      <w:bodyDiv w:val="1"/>
      <w:marLeft w:val="0"/>
      <w:marRight w:val="0"/>
      <w:marTop w:val="0"/>
      <w:marBottom w:val="0"/>
      <w:divBdr>
        <w:top w:val="none" w:sz="0" w:space="0" w:color="auto"/>
        <w:left w:val="none" w:sz="0" w:space="0" w:color="auto"/>
        <w:bottom w:val="none" w:sz="0" w:space="0" w:color="auto"/>
        <w:right w:val="none" w:sz="0" w:space="0" w:color="auto"/>
      </w:divBdr>
    </w:div>
    <w:div w:id="2011365645">
      <w:bodyDiv w:val="1"/>
      <w:marLeft w:val="0"/>
      <w:marRight w:val="0"/>
      <w:marTop w:val="0"/>
      <w:marBottom w:val="0"/>
      <w:divBdr>
        <w:top w:val="none" w:sz="0" w:space="0" w:color="auto"/>
        <w:left w:val="none" w:sz="0" w:space="0" w:color="auto"/>
        <w:bottom w:val="none" w:sz="0" w:space="0" w:color="auto"/>
        <w:right w:val="none" w:sz="0" w:space="0" w:color="auto"/>
      </w:divBdr>
    </w:div>
    <w:div w:id="2039305751">
      <w:bodyDiv w:val="1"/>
      <w:marLeft w:val="0"/>
      <w:marRight w:val="0"/>
      <w:marTop w:val="0"/>
      <w:marBottom w:val="0"/>
      <w:divBdr>
        <w:top w:val="none" w:sz="0" w:space="0" w:color="auto"/>
        <w:left w:val="none" w:sz="0" w:space="0" w:color="auto"/>
        <w:bottom w:val="none" w:sz="0" w:space="0" w:color="auto"/>
        <w:right w:val="none" w:sz="0" w:space="0" w:color="auto"/>
      </w:divBdr>
    </w:div>
    <w:div w:id="2073117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7.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6.png"/><Relationship Id="rId68" Type="http://schemas.openxmlformats.org/officeDocument/2006/relationships/image" Target="media/image51.png"/><Relationship Id="rId84" Type="http://schemas.openxmlformats.org/officeDocument/2006/relationships/image" Target="media/image62.png"/><Relationship Id="rId89" Type="http://schemas.openxmlformats.org/officeDocument/2006/relationships/image" Target="media/image67.png"/><Relationship Id="rId16" Type="http://schemas.openxmlformats.org/officeDocument/2006/relationships/customXml" Target="ink/ink4.xml"/><Relationship Id="rId107" Type="http://schemas.openxmlformats.org/officeDocument/2006/relationships/glossaryDocument" Target="glossary/document.xml"/><Relationship Id="rId11" Type="http://schemas.openxmlformats.org/officeDocument/2006/relationships/image" Target="media/image2.png"/><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1.png"/><Relationship Id="rId74" Type="http://schemas.openxmlformats.org/officeDocument/2006/relationships/chart" Target="charts/chart5.xml"/><Relationship Id="rId79" Type="http://schemas.openxmlformats.org/officeDocument/2006/relationships/image" Target="media/image57.png"/><Relationship Id="rId102" Type="http://schemas.openxmlformats.org/officeDocument/2006/relationships/header" Target="header1.xml"/><Relationship Id="rId5" Type="http://schemas.openxmlformats.org/officeDocument/2006/relationships/settings" Target="settings.xml"/><Relationship Id="rId90" Type="http://schemas.openxmlformats.org/officeDocument/2006/relationships/chart" Target="charts/chart6.xml"/><Relationship Id="rId95" Type="http://schemas.openxmlformats.org/officeDocument/2006/relationships/image" Target="media/image71.png"/><Relationship Id="rId22" Type="http://schemas.openxmlformats.org/officeDocument/2006/relationships/customXml" Target="ink/ink7.xml"/><Relationship Id="rId27" Type="http://schemas.openxmlformats.org/officeDocument/2006/relationships/image" Target="media/image12.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7.png"/><Relationship Id="rId69" Type="http://schemas.openxmlformats.org/officeDocument/2006/relationships/image" Target="media/image52.png"/><Relationship Id="rId80" Type="http://schemas.openxmlformats.org/officeDocument/2006/relationships/image" Target="media/image58.png"/><Relationship Id="rId85" Type="http://schemas.openxmlformats.org/officeDocument/2006/relationships/image" Target="media/image63.png"/><Relationship Id="rId12" Type="http://schemas.openxmlformats.org/officeDocument/2006/relationships/customXml" Target="ink/ink2.xml"/><Relationship Id="rId17" Type="http://schemas.openxmlformats.org/officeDocument/2006/relationships/image" Target="media/image5.png"/><Relationship Id="rId33" Type="http://schemas.openxmlformats.org/officeDocument/2006/relationships/image" Target="media/image17.png"/><Relationship Id="rId38" Type="http://schemas.openxmlformats.org/officeDocument/2006/relationships/image" Target="media/image22.png"/><Relationship Id="rId59" Type="http://schemas.openxmlformats.org/officeDocument/2006/relationships/image" Target="media/image42.png"/><Relationship Id="rId103" Type="http://schemas.openxmlformats.org/officeDocument/2006/relationships/footer" Target="footer1.xml"/><Relationship Id="rId108" Type="http://schemas.openxmlformats.org/officeDocument/2006/relationships/theme" Target="theme/theme1.xml"/><Relationship Id="rId20" Type="http://schemas.openxmlformats.org/officeDocument/2006/relationships/customXml" Target="ink/ink6.xml"/><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5.jpeg"/><Relationship Id="rId70" Type="http://schemas.openxmlformats.org/officeDocument/2006/relationships/chart" Target="charts/chart1.xml"/><Relationship Id="rId75" Type="http://schemas.openxmlformats.org/officeDocument/2006/relationships/image" Target="media/image53.png"/><Relationship Id="rId83" Type="http://schemas.openxmlformats.org/officeDocument/2006/relationships/image" Target="media/image61.png"/><Relationship Id="rId88" Type="http://schemas.openxmlformats.org/officeDocument/2006/relationships/image" Target="media/image66.png"/><Relationship Id="rId91" Type="http://schemas.openxmlformats.org/officeDocument/2006/relationships/chart" Target="charts/chart7.xml"/><Relationship Id="rId96" Type="http://schemas.openxmlformats.org/officeDocument/2006/relationships/image" Target="media/image7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0.png"/><Relationship Id="rId106" Type="http://schemas.openxmlformats.org/officeDocument/2006/relationships/fontTable" Target="fontTable.xml"/><Relationship Id="rId10" Type="http://schemas.openxmlformats.org/officeDocument/2006/relationships/customXml" Target="ink/ink1.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3.png"/><Relationship Id="rId65" Type="http://schemas.openxmlformats.org/officeDocument/2006/relationships/image" Target="media/image48.png"/><Relationship Id="rId73" Type="http://schemas.openxmlformats.org/officeDocument/2006/relationships/chart" Target="charts/chart4.xml"/><Relationship Id="rId78" Type="http://schemas.openxmlformats.org/officeDocument/2006/relationships/image" Target="media/image56.png"/><Relationship Id="rId81" Type="http://schemas.openxmlformats.org/officeDocument/2006/relationships/image" Target="media/image59.png"/><Relationship Id="rId86" Type="http://schemas.openxmlformats.org/officeDocument/2006/relationships/image" Target="media/image64.png"/><Relationship Id="rId94" Type="http://schemas.openxmlformats.org/officeDocument/2006/relationships/image" Target="media/image70.png"/><Relationship Id="rId99" Type="http://schemas.openxmlformats.org/officeDocument/2006/relationships/image" Target="media/image75.png"/><Relationship Id="rId101" Type="http://schemas.openxmlformats.org/officeDocument/2006/relationships/image" Target="media/image77.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5.xml"/><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cid:image001.png@01D8C68F.1CDC1D00" TargetMode="External"/><Relationship Id="rId76" Type="http://schemas.openxmlformats.org/officeDocument/2006/relationships/image" Target="media/image54.png"/><Relationship Id="rId97" Type="http://schemas.openxmlformats.org/officeDocument/2006/relationships/image" Target="media/image73.png"/><Relationship Id="rId104" Type="http://schemas.openxmlformats.org/officeDocument/2006/relationships/header" Target="header2.xml"/><Relationship Id="rId7" Type="http://schemas.openxmlformats.org/officeDocument/2006/relationships/footnotes" Target="footnotes.xml"/><Relationship Id="rId71" Type="http://schemas.openxmlformats.org/officeDocument/2006/relationships/chart" Target="charts/chart2.xml"/><Relationship Id="rId92" Type="http://schemas.openxmlformats.org/officeDocument/2006/relationships/image" Target="media/image68.png"/><Relationship Id="rId2" Type="http://schemas.openxmlformats.org/officeDocument/2006/relationships/customXml" Target="../customXml/item2.xml"/><Relationship Id="rId29" Type="http://schemas.openxmlformats.org/officeDocument/2006/relationships/customXml" Target="ink/ink8.xml"/><Relationship Id="rId24" Type="http://schemas.openxmlformats.org/officeDocument/2006/relationships/image" Target="media/image9.jpe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49.png"/><Relationship Id="rId87" Type="http://schemas.openxmlformats.org/officeDocument/2006/relationships/image" Target="media/image65.png"/><Relationship Id="rId61" Type="http://schemas.openxmlformats.org/officeDocument/2006/relationships/image" Target="media/image44.png"/><Relationship Id="rId82" Type="http://schemas.openxmlformats.org/officeDocument/2006/relationships/image" Target="media/image60.png"/><Relationship Id="rId19" Type="http://schemas.openxmlformats.org/officeDocument/2006/relationships/image" Target="media/image6.png"/><Relationship Id="rId14" Type="http://schemas.openxmlformats.org/officeDocument/2006/relationships/customXml" Target="ink/ink3.xm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39.png"/><Relationship Id="rId77" Type="http://schemas.openxmlformats.org/officeDocument/2006/relationships/image" Target="media/image55.png"/><Relationship Id="rId100" Type="http://schemas.openxmlformats.org/officeDocument/2006/relationships/image" Target="media/image76.png"/><Relationship Id="rId105"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image" Target="media/image35.png"/><Relationship Id="rId72" Type="http://schemas.openxmlformats.org/officeDocument/2006/relationships/chart" Target="charts/chart3.xml"/><Relationship Id="rId93" Type="http://schemas.openxmlformats.org/officeDocument/2006/relationships/image" Target="media/image69.png"/><Relationship Id="rId98" Type="http://schemas.openxmlformats.org/officeDocument/2006/relationships/image" Target="media/image74.png"/><Relationship Id="rId3" Type="http://schemas.openxmlformats.org/officeDocument/2006/relationships/numbering" Target="numbering.xml"/><Relationship Id="rId25" Type="http://schemas.openxmlformats.org/officeDocument/2006/relationships/image" Target="media/image10.jpeg"/><Relationship Id="rId46" Type="http://schemas.openxmlformats.org/officeDocument/2006/relationships/image" Target="media/image30.png"/><Relationship Id="rId67" Type="http://schemas.openxmlformats.org/officeDocument/2006/relationships/image" Target="media/image50.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a0dd0e7ac25d7b2/Desktop/University/Masters%20final%20project/Biochar%20analysis/Biochar%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6a0dd0e7ac25d7b2/Desktop/University/Masters%20final%20project/Biochar%20analysis/Biochar%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6a0dd0e7ac25d7b2/Desktop/University/Masters%20final%20project/Biochar%20analysis/Biochar%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6a0dd0e7ac25d7b2/Desktop/University/Masters%20final%20project/Biochar%20analysis/Biochar%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6a0dd0e7ac25d7b2/Desktop/University/Masters%20final%20project/Biochar%20analysis/Biochar%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1" Type="http://schemas.openxmlformats.org/officeDocument/2006/relationships/oleObject" Target="https://d.docs.live.net/6a0dd0e7ac25d7b2/Desktop/University/Masters%20final%20project/Biochar%20analysis/Biochar%20analysi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https://d.docs.live.net/6a0dd0e7ac25d7b2/Desktop/University/Masters%20final%20project/Biochar%20analysis/Biochar%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Burnout efficiency</a:t>
            </a:r>
          </a:p>
        </c:rich>
      </c:tx>
      <c:layout>
        <c:manualLayout>
          <c:xMode val="edge"/>
          <c:yMode val="edge"/>
          <c:x val="0.27159011373578307"/>
          <c:y val="2.7777777777777776E-2"/>
        </c:manualLayout>
      </c:layout>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1"/>
          <c:order val="0"/>
          <c:tx>
            <c:strRef>
              <c:f>'[Biochar analysis.xlsx]GCI'!$O$3</c:f>
              <c:strCache>
                <c:ptCount val="1"/>
                <c:pt idx="0">
                  <c:v>T - Coal</c:v>
                </c:pt>
              </c:strCache>
            </c:strRef>
          </c:tx>
          <c:spPr>
            <a:ln w="38100" cap="rnd">
              <a:solidFill>
                <a:schemeClr val="accent2"/>
              </a:solidFill>
              <a:round/>
            </a:ln>
            <a:effectLst/>
          </c:spPr>
          <c:marker>
            <c:symbol val="none"/>
          </c:marker>
          <c:cat>
            <c:strRef>
              <c:f>'[Biochar analysis.xlsx]GCI'!$N$4:$N$5</c:f>
              <c:strCache>
                <c:ptCount val="2"/>
                <c:pt idx="0">
                  <c:v>35ms</c:v>
                </c:pt>
                <c:pt idx="1">
                  <c:v>700ms</c:v>
                </c:pt>
              </c:strCache>
            </c:strRef>
          </c:cat>
          <c:val>
            <c:numRef>
              <c:f>'[Biochar analysis.xlsx]GCI'!$O$4:$O$5</c:f>
              <c:numCache>
                <c:formatCode>General</c:formatCode>
                <c:ptCount val="2"/>
                <c:pt idx="0">
                  <c:v>13.3</c:v>
                </c:pt>
                <c:pt idx="1">
                  <c:v>58.7</c:v>
                </c:pt>
              </c:numCache>
            </c:numRef>
          </c:val>
          <c:smooth val="0"/>
          <c:extLst>
            <c:ext xmlns:c16="http://schemas.microsoft.com/office/drawing/2014/chart" uri="{C3380CC4-5D6E-409C-BE32-E72D297353CC}">
              <c16:uniqueId val="{00000000-444D-42F5-9080-2BBCB41BA72C}"/>
            </c:ext>
          </c:extLst>
        </c:ser>
        <c:ser>
          <c:idx val="2"/>
          <c:order val="1"/>
          <c:tx>
            <c:strRef>
              <c:f>'[Biochar analysis.xlsx]GCI'!$P$3</c:f>
              <c:strCache>
                <c:ptCount val="1"/>
                <c:pt idx="0">
                  <c:v>Biochar 1</c:v>
                </c:pt>
              </c:strCache>
            </c:strRef>
          </c:tx>
          <c:spPr>
            <a:ln w="38100" cap="rnd">
              <a:solidFill>
                <a:schemeClr val="accent3"/>
              </a:solidFill>
              <a:round/>
            </a:ln>
            <a:effectLst/>
          </c:spPr>
          <c:marker>
            <c:symbol val="none"/>
          </c:marker>
          <c:cat>
            <c:strRef>
              <c:f>'[Biochar analysis.xlsx]GCI'!$N$4:$N$5</c:f>
              <c:strCache>
                <c:ptCount val="2"/>
                <c:pt idx="0">
                  <c:v>35ms</c:v>
                </c:pt>
                <c:pt idx="1">
                  <c:v>700ms</c:v>
                </c:pt>
              </c:strCache>
            </c:strRef>
          </c:cat>
          <c:val>
            <c:numRef>
              <c:f>'[Biochar analysis.xlsx]GCI'!$P$4:$P$5</c:f>
              <c:numCache>
                <c:formatCode>General</c:formatCode>
                <c:ptCount val="2"/>
                <c:pt idx="0">
                  <c:v>46.09</c:v>
                </c:pt>
                <c:pt idx="1">
                  <c:v>86.01</c:v>
                </c:pt>
              </c:numCache>
            </c:numRef>
          </c:val>
          <c:smooth val="0"/>
          <c:extLst>
            <c:ext xmlns:c16="http://schemas.microsoft.com/office/drawing/2014/chart" uri="{C3380CC4-5D6E-409C-BE32-E72D297353CC}">
              <c16:uniqueId val="{00000001-444D-42F5-9080-2BBCB41BA72C}"/>
            </c:ext>
          </c:extLst>
        </c:ser>
        <c:ser>
          <c:idx val="0"/>
          <c:order val="2"/>
          <c:tx>
            <c:strRef>
              <c:f>'[Biochar analysis.xlsx]GCI'!$Q$3</c:f>
              <c:strCache>
                <c:ptCount val="1"/>
                <c:pt idx="0">
                  <c:v>Biochar 2</c:v>
                </c:pt>
              </c:strCache>
            </c:strRef>
          </c:tx>
          <c:spPr>
            <a:ln w="38100" cap="rnd">
              <a:solidFill>
                <a:schemeClr val="accent1"/>
              </a:solidFill>
              <a:round/>
            </a:ln>
            <a:effectLst/>
          </c:spPr>
          <c:marker>
            <c:symbol val="none"/>
          </c:marker>
          <c:cat>
            <c:strRef>
              <c:f>'[Biochar analysis.xlsx]GCI'!$N$4:$N$5</c:f>
              <c:strCache>
                <c:ptCount val="2"/>
                <c:pt idx="0">
                  <c:v>35ms</c:v>
                </c:pt>
                <c:pt idx="1">
                  <c:v>700ms</c:v>
                </c:pt>
              </c:strCache>
            </c:strRef>
          </c:cat>
          <c:val>
            <c:numRef>
              <c:f>'[Biochar analysis.xlsx]GCI'!$Q$4:$Q$5</c:f>
              <c:numCache>
                <c:formatCode>General</c:formatCode>
                <c:ptCount val="2"/>
                <c:pt idx="0">
                  <c:v>71.97</c:v>
                </c:pt>
                <c:pt idx="1">
                  <c:v>91.47</c:v>
                </c:pt>
              </c:numCache>
            </c:numRef>
          </c:val>
          <c:smooth val="0"/>
          <c:extLst>
            <c:ext xmlns:c16="http://schemas.microsoft.com/office/drawing/2014/chart" uri="{C3380CC4-5D6E-409C-BE32-E72D297353CC}">
              <c16:uniqueId val="{00000002-444D-42F5-9080-2BBCB41BA72C}"/>
            </c:ext>
          </c:extLst>
        </c:ser>
        <c:dLbls>
          <c:showLegendKey val="0"/>
          <c:showVal val="0"/>
          <c:showCatName val="0"/>
          <c:showSerName val="0"/>
          <c:showPercent val="0"/>
          <c:showBubbleSize val="0"/>
        </c:dLbls>
        <c:smooth val="0"/>
        <c:axId val="1713679216"/>
        <c:axId val="1713676720"/>
      </c:lineChart>
      <c:catAx>
        <c:axId val="171367921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Residence time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713676720"/>
        <c:crosses val="autoZero"/>
        <c:auto val="1"/>
        <c:lblAlgn val="ctr"/>
        <c:lblOffset val="100"/>
        <c:noMultiLvlLbl val="0"/>
      </c:catAx>
      <c:valAx>
        <c:axId val="171367672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Burnout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36792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Cold</a:t>
            </a:r>
            <a:r>
              <a:rPr lang="en-GB" baseline="0"/>
              <a:t> strength and abrasion index - Biochar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'[Biochar analysis.xlsx]Pilot oven'!$B$36</c:f>
              <c:strCache>
                <c:ptCount val="1"/>
                <c:pt idx="0">
                  <c:v>M10</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'[Biochar analysis.xlsx]Pilot oven'!$C$34:$F$34</c:f>
              <c:strCache>
                <c:ptCount val="4"/>
                <c:pt idx="0">
                  <c:v>Riverside 100%</c:v>
                </c:pt>
                <c:pt idx="1">
                  <c:v>Biochar 3%</c:v>
                </c:pt>
                <c:pt idx="2">
                  <c:v>Biochar 5%</c:v>
                </c:pt>
                <c:pt idx="3">
                  <c:v>Biochar 7.5%</c:v>
                </c:pt>
              </c:strCache>
            </c:strRef>
          </c:cat>
          <c:val>
            <c:numRef>
              <c:f>'[Biochar analysis.xlsx]Pilot oven'!$C$36:$F$36</c:f>
              <c:numCache>
                <c:formatCode>General</c:formatCode>
                <c:ptCount val="4"/>
                <c:pt idx="0">
                  <c:v>7</c:v>
                </c:pt>
                <c:pt idx="1">
                  <c:v>7.06</c:v>
                </c:pt>
                <c:pt idx="2">
                  <c:v>7.38</c:v>
                </c:pt>
                <c:pt idx="3">
                  <c:v>8.34</c:v>
                </c:pt>
              </c:numCache>
            </c:numRef>
          </c:val>
          <c:smooth val="0"/>
          <c:extLst>
            <c:ext xmlns:c16="http://schemas.microsoft.com/office/drawing/2014/chart" uri="{C3380CC4-5D6E-409C-BE32-E72D297353CC}">
              <c16:uniqueId val="{00000000-0EB7-40C2-BF36-D4CEAA34AE89}"/>
            </c:ext>
          </c:extLst>
        </c:ser>
        <c:dLbls>
          <c:showLegendKey val="0"/>
          <c:showVal val="0"/>
          <c:showCatName val="0"/>
          <c:showSerName val="0"/>
          <c:showPercent val="0"/>
          <c:showBubbleSize val="0"/>
        </c:dLbls>
        <c:marker val="1"/>
        <c:smooth val="0"/>
        <c:axId val="1719927503"/>
        <c:axId val="1719927919"/>
      </c:lineChart>
      <c:lineChart>
        <c:grouping val="standard"/>
        <c:varyColors val="0"/>
        <c:ser>
          <c:idx val="0"/>
          <c:order val="0"/>
          <c:tx>
            <c:strRef>
              <c:f>'[Biochar analysis.xlsx]Pilot oven'!$B$35</c:f>
              <c:strCache>
                <c:ptCount val="1"/>
                <c:pt idx="0">
                  <c:v>M40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'[Biochar analysis.xlsx]Pilot oven'!$C$34:$F$34</c:f>
              <c:strCache>
                <c:ptCount val="4"/>
                <c:pt idx="0">
                  <c:v>Riverside 100%</c:v>
                </c:pt>
                <c:pt idx="1">
                  <c:v>Biochar 3%</c:v>
                </c:pt>
                <c:pt idx="2">
                  <c:v>Biochar 5%</c:v>
                </c:pt>
                <c:pt idx="3">
                  <c:v>Biochar 7.5%</c:v>
                </c:pt>
              </c:strCache>
            </c:strRef>
          </c:cat>
          <c:val>
            <c:numRef>
              <c:f>'[Biochar analysis.xlsx]Pilot oven'!$C$35:$F$35</c:f>
              <c:numCache>
                <c:formatCode>General</c:formatCode>
                <c:ptCount val="4"/>
                <c:pt idx="0">
                  <c:v>77.75</c:v>
                </c:pt>
                <c:pt idx="1">
                  <c:v>76.2</c:v>
                </c:pt>
                <c:pt idx="2">
                  <c:v>76.760000000000005</c:v>
                </c:pt>
                <c:pt idx="3">
                  <c:v>72.599999999999994</c:v>
                </c:pt>
              </c:numCache>
            </c:numRef>
          </c:val>
          <c:smooth val="0"/>
          <c:extLst>
            <c:ext xmlns:c16="http://schemas.microsoft.com/office/drawing/2014/chart" uri="{C3380CC4-5D6E-409C-BE32-E72D297353CC}">
              <c16:uniqueId val="{00000001-0EB7-40C2-BF36-D4CEAA34AE89}"/>
            </c:ext>
          </c:extLst>
        </c:ser>
        <c:dLbls>
          <c:showLegendKey val="0"/>
          <c:showVal val="0"/>
          <c:showCatName val="0"/>
          <c:showSerName val="0"/>
          <c:showPercent val="0"/>
          <c:showBubbleSize val="0"/>
        </c:dLbls>
        <c:marker val="1"/>
        <c:smooth val="0"/>
        <c:axId val="1719930831"/>
        <c:axId val="1719922927"/>
      </c:lineChart>
      <c:catAx>
        <c:axId val="17199275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Coke</a:t>
                </a:r>
                <a:r>
                  <a:rPr lang="en-GB" baseline="0"/>
                  <a:t> quality indices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9927919"/>
        <c:crosses val="autoZero"/>
        <c:auto val="1"/>
        <c:lblAlgn val="ctr"/>
        <c:lblOffset val="100"/>
        <c:noMultiLvlLbl val="0"/>
      </c:catAx>
      <c:valAx>
        <c:axId val="1719927919"/>
        <c:scaling>
          <c:orientation val="minMax"/>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M10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9927503"/>
        <c:crosses val="autoZero"/>
        <c:crossBetween val="between"/>
      </c:valAx>
      <c:valAx>
        <c:axId val="1719922927"/>
        <c:scaling>
          <c:orientation val="minMax"/>
          <c:min val="71"/>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M40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9930831"/>
        <c:crosses val="max"/>
        <c:crossBetween val="between"/>
      </c:valAx>
      <c:catAx>
        <c:axId val="1719930831"/>
        <c:scaling>
          <c:orientation val="minMax"/>
        </c:scaling>
        <c:delete val="1"/>
        <c:axPos val="b"/>
        <c:numFmt formatCode="General" sourceLinked="1"/>
        <c:majorTickMark val="out"/>
        <c:minorTickMark val="none"/>
        <c:tickLblPos val="nextTo"/>
        <c:crossAx val="1719922927"/>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Cold strength</a:t>
            </a:r>
            <a:r>
              <a:rPr lang="en-GB" baseline="0"/>
              <a:t> and abrasion index - Biochar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'[Biochar analysis.xlsx]Pilot oven'!$H$36</c:f>
              <c:strCache>
                <c:ptCount val="1"/>
                <c:pt idx="0">
                  <c:v>M10</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'[Biochar analysis.xlsx]Pilot oven'!$I$34:$L$34</c:f>
              <c:strCache>
                <c:ptCount val="4"/>
                <c:pt idx="0">
                  <c:v>Riverside 100%</c:v>
                </c:pt>
                <c:pt idx="1">
                  <c:v>Biochar 3%</c:v>
                </c:pt>
                <c:pt idx="2">
                  <c:v>Biochar 5%</c:v>
                </c:pt>
                <c:pt idx="3">
                  <c:v>Biochar 7.5%</c:v>
                </c:pt>
              </c:strCache>
            </c:strRef>
          </c:cat>
          <c:val>
            <c:numRef>
              <c:f>'[Biochar analysis.xlsx]Pilot oven'!$I$36:$L$36</c:f>
              <c:numCache>
                <c:formatCode>General</c:formatCode>
                <c:ptCount val="4"/>
                <c:pt idx="0">
                  <c:v>7</c:v>
                </c:pt>
                <c:pt idx="1">
                  <c:v>7.28</c:v>
                </c:pt>
                <c:pt idx="2">
                  <c:v>8.64</c:v>
                </c:pt>
                <c:pt idx="3">
                  <c:v>19.989999999999998</c:v>
                </c:pt>
              </c:numCache>
            </c:numRef>
          </c:val>
          <c:smooth val="0"/>
          <c:extLst>
            <c:ext xmlns:c16="http://schemas.microsoft.com/office/drawing/2014/chart" uri="{C3380CC4-5D6E-409C-BE32-E72D297353CC}">
              <c16:uniqueId val="{00000000-D42C-4583-B6EA-D3A4F60DFF9E}"/>
            </c:ext>
          </c:extLst>
        </c:ser>
        <c:dLbls>
          <c:showLegendKey val="0"/>
          <c:showVal val="0"/>
          <c:showCatName val="0"/>
          <c:showSerName val="0"/>
          <c:showPercent val="0"/>
          <c:showBubbleSize val="0"/>
        </c:dLbls>
        <c:marker val="1"/>
        <c:smooth val="0"/>
        <c:axId val="1686159759"/>
        <c:axId val="1686161423"/>
      </c:lineChart>
      <c:lineChart>
        <c:grouping val="standard"/>
        <c:varyColors val="0"/>
        <c:ser>
          <c:idx val="0"/>
          <c:order val="0"/>
          <c:tx>
            <c:strRef>
              <c:f>'[Biochar analysis.xlsx]Pilot oven'!$H$35</c:f>
              <c:strCache>
                <c:ptCount val="1"/>
                <c:pt idx="0">
                  <c:v>M40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'[Biochar analysis.xlsx]Pilot oven'!$I$34:$L$34</c:f>
              <c:strCache>
                <c:ptCount val="4"/>
                <c:pt idx="0">
                  <c:v>Riverside 100%</c:v>
                </c:pt>
                <c:pt idx="1">
                  <c:v>Biochar 3%</c:v>
                </c:pt>
                <c:pt idx="2">
                  <c:v>Biochar 5%</c:v>
                </c:pt>
                <c:pt idx="3">
                  <c:v>Biochar 7.5%</c:v>
                </c:pt>
              </c:strCache>
            </c:strRef>
          </c:cat>
          <c:val>
            <c:numRef>
              <c:f>'[Biochar analysis.xlsx]Pilot oven'!$I$35:$L$35</c:f>
              <c:numCache>
                <c:formatCode>General</c:formatCode>
                <c:ptCount val="4"/>
                <c:pt idx="0">
                  <c:v>77.75</c:v>
                </c:pt>
                <c:pt idx="1">
                  <c:v>78.180000000000007</c:v>
                </c:pt>
                <c:pt idx="2">
                  <c:v>73.099999999999994</c:v>
                </c:pt>
                <c:pt idx="3">
                  <c:v>61.8</c:v>
                </c:pt>
              </c:numCache>
            </c:numRef>
          </c:val>
          <c:smooth val="0"/>
          <c:extLst>
            <c:ext xmlns:c16="http://schemas.microsoft.com/office/drawing/2014/chart" uri="{C3380CC4-5D6E-409C-BE32-E72D297353CC}">
              <c16:uniqueId val="{00000001-D42C-4583-B6EA-D3A4F60DFF9E}"/>
            </c:ext>
          </c:extLst>
        </c:ser>
        <c:dLbls>
          <c:showLegendKey val="0"/>
          <c:showVal val="0"/>
          <c:showCatName val="0"/>
          <c:showSerName val="0"/>
          <c:showPercent val="0"/>
          <c:showBubbleSize val="0"/>
        </c:dLbls>
        <c:marker val="1"/>
        <c:smooth val="0"/>
        <c:axId val="1705886047"/>
        <c:axId val="1705891871"/>
      </c:lineChart>
      <c:catAx>
        <c:axId val="16861597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Coke quality indices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161423"/>
        <c:crosses val="autoZero"/>
        <c:auto val="1"/>
        <c:lblAlgn val="ctr"/>
        <c:lblOffset val="100"/>
        <c:noMultiLvlLbl val="0"/>
      </c:catAx>
      <c:valAx>
        <c:axId val="1686161423"/>
        <c:scaling>
          <c:orientation val="minMax"/>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M10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159759"/>
        <c:crosses val="autoZero"/>
        <c:crossBetween val="between"/>
      </c:valAx>
      <c:valAx>
        <c:axId val="1705891871"/>
        <c:scaling>
          <c:orientation val="minMax"/>
          <c:min val="55"/>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M40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5886047"/>
        <c:crosses val="max"/>
        <c:crossBetween val="between"/>
      </c:valAx>
      <c:catAx>
        <c:axId val="1705886047"/>
        <c:scaling>
          <c:orientation val="minMax"/>
        </c:scaling>
        <c:delete val="1"/>
        <c:axPos val="b"/>
        <c:numFmt formatCode="General" sourceLinked="1"/>
        <c:majorTickMark val="out"/>
        <c:minorTickMark val="none"/>
        <c:tickLblPos val="nextTo"/>
        <c:crossAx val="1705891871"/>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Hot strength and reactivity - Biochar</a:t>
            </a:r>
            <a:r>
              <a:rPr lang="en-GB" baseline="0"/>
              <a:t>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'[Biochar analysis.xlsx]Pilot oven'!$B$17</c:f>
              <c:strCache>
                <c:ptCount val="1"/>
                <c:pt idx="0">
                  <c:v>CRI</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'[Biochar analysis.xlsx]Pilot oven'!$C$15:$F$15</c:f>
              <c:strCache>
                <c:ptCount val="4"/>
                <c:pt idx="0">
                  <c:v>Riverside 100%</c:v>
                </c:pt>
                <c:pt idx="1">
                  <c:v>Biochar 3%</c:v>
                </c:pt>
                <c:pt idx="2">
                  <c:v>Biochar 5%</c:v>
                </c:pt>
                <c:pt idx="3">
                  <c:v>Biochar 7.5%</c:v>
                </c:pt>
              </c:strCache>
            </c:strRef>
          </c:cat>
          <c:val>
            <c:numRef>
              <c:f>'[Biochar analysis.xlsx]Pilot oven'!$C$17:$F$17</c:f>
              <c:numCache>
                <c:formatCode>General</c:formatCode>
                <c:ptCount val="4"/>
                <c:pt idx="0">
                  <c:v>29.1</c:v>
                </c:pt>
                <c:pt idx="1">
                  <c:v>30.2</c:v>
                </c:pt>
                <c:pt idx="2">
                  <c:v>32.5</c:v>
                </c:pt>
                <c:pt idx="3">
                  <c:v>39.9</c:v>
                </c:pt>
              </c:numCache>
            </c:numRef>
          </c:val>
          <c:smooth val="0"/>
          <c:extLst>
            <c:ext xmlns:c16="http://schemas.microsoft.com/office/drawing/2014/chart" uri="{C3380CC4-5D6E-409C-BE32-E72D297353CC}">
              <c16:uniqueId val="{00000000-696F-47A5-9AD7-126992231081}"/>
            </c:ext>
          </c:extLst>
        </c:ser>
        <c:dLbls>
          <c:showLegendKey val="0"/>
          <c:showVal val="0"/>
          <c:showCatName val="0"/>
          <c:showSerName val="0"/>
          <c:showPercent val="0"/>
          <c:showBubbleSize val="0"/>
        </c:dLbls>
        <c:marker val="1"/>
        <c:smooth val="0"/>
        <c:axId val="1666797391"/>
        <c:axId val="1666799471"/>
      </c:lineChart>
      <c:lineChart>
        <c:grouping val="standard"/>
        <c:varyColors val="0"/>
        <c:ser>
          <c:idx val="0"/>
          <c:order val="0"/>
          <c:tx>
            <c:strRef>
              <c:f>'[Biochar analysis.xlsx]Pilot oven'!$B$16</c:f>
              <c:strCache>
                <c:ptCount val="1"/>
                <c:pt idx="0">
                  <c:v>CSR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'[Biochar analysis.xlsx]Pilot oven'!$C$15:$F$15</c:f>
              <c:strCache>
                <c:ptCount val="4"/>
                <c:pt idx="0">
                  <c:v>Riverside 100%</c:v>
                </c:pt>
                <c:pt idx="1">
                  <c:v>Biochar 3%</c:v>
                </c:pt>
                <c:pt idx="2">
                  <c:v>Biochar 5%</c:v>
                </c:pt>
                <c:pt idx="3">
                  <c:v>Biochar 7.5%</c:v>
                </c:pt>
              </c:strCache>
            </c:strRef>
          </c:cat>
          <c:val>
            <c:numRef>
              <c:f>'[Biochar analysis.xlsx]Pilot oven'!$C$16:$F$16</c:f>
              <c:numCache>
                <c:formatCode>General</c:formatCode>
                <c:ptCount val="4"/>
                <c:pt idx="0">
                  <c:v>62.2</c:v>
                </c:pt>
                <c:pt idx="1">
                  <c:v>60.5</c:v>
                </c:pt>
                <c:pt idx="2">
                  <c:v>59.1</c:v>
                </c:pt>
                <c:pt idx="3">
                  <c:v>40.9</c:v>
                </c:pt>
              </c:numCache>
            </c:numRef>
          </c:val>
          <c:smooth val="0"/>
          <c:extLst>
            <c:ext xmlns:c16="http://schemas.microsoft.com/office/drawing/2014/chart" uri="{C3380CC4-5D6E-409C-BE32-E72D297353CC}">
              <c16:uniqueId val="{00000001-696F-47A5-9AD7-126992231081}"/>
            </c:ext>
          </c:extLst>
        </c:ser>
        <c:dLbls>
          <c:showLegendKey val="0"/>
          <c:showVal val="0"/>
          <c:showCatName val="0"/>
          <c:showSerName val="0"/>
          <c:showPercent val="0"/>
          <c:showBubbleSize val="0"/>
        </c:dLbls>
        <c:marker val="1"/>
        <c:smooth val="0"/>
        <c:axId val="1550593439"/>
        <c:axId val="1550579295"/>
      </c:lineChart>
      <c:catAx>
        <c:axId val="1666797391"/>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6799471"/>
        <c:crosses val="autoZero"/>
        <c:auto val="1"/>
        <c:lblAlgn val="ctr"/>
        <c:lblOffset val="100"/>
        <c:noMultiLvlLbl val="0"/>
      </c:catAx>
      <c:valAx>
        <c:axId val="1666799471"/>
        <c:scaling>
          <c:orientation val="minMax"/>
          <c:min val="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6797391"/>
        <c:crosses val="autoZero"/>
        <c:crossBetween val="between"/>
      </c:valAx>
      <c:valAx>
        <c:axId val="1550579295"/>
        <c:scaling>
          <c:orientation val="minMax"/>
          <c:min val="3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CSR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593439"/>
        <c:crosses val="max"/>
        <c:crossBetween val="between"/>
      </c:valAx>
      <c:catAx>
        <c:axId val="1550593439"/>
        <c:scaling>
          <c:orientation val="minMax"/>
        </c:scaling>
        <c:delete val="1"/>
        <c:axPos val="b"/>
        <c:numFmt formatCode="General" sourceLinked="1"/>
        <c:majorTickMark val="out"/>
        <c:minorTickMark val="none"/>
        <c:tickLblPos val="nextTo"/>
        <c:crossAx val="1550579295"/>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Hot strength and reactivity - Biochar 2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'[Biochar analysis.xlsx]Pilot oven'!$H$20</c:f>
              <c:strCache>
                <c:ptCount val="1"/>
                <c:pt idx="0">
                  <c:v>CRI</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'[Biochar analysis.xlsx]Pilot oven'!$I$18:$L$18</c:f>
              <c:strCache>
                <c:ptCount val="4"/>
                <c:pt idx="0">
                  <c:v>Riverside 100%</c:v>
                </c:pt>
                <c:pt idx="1">
                  <c:v>Biochar 3%</c:v>
                </c:pt>
                <c:pt idx="2">
                  <c:v>Biochar 5%</c:v>
                </c:pt>
                <c:pt idx="3">
                  <c:v>Biochar 7.5%</c:v>
                </c:pt>
              </c:strCache>
            </c:strRef>
          </c:cat>
          <c:val>
            <c:numRef>
              <c:f>'[Biochar analysis.xlsx]Pilot oven'!$I$20:$L$20</c:f>
              <c:numCache>
                <c:formatCode>General</c:formatCode>
                <c:ptCount val="4"/>
                <c:pt idx="0">
                  <c:v>29.1</c:v>
                </c:pt>
                <c:pt idx="1">
                  <c:v>29.9</c:v>
                </c:pt>
                <c:pt idx="2">
                  <c:v>39.799999999999997</c:v>
                </c:pt>
                <c:pt idx="3">
                  <c:v>38.5</c:v>
                </c:pt>
              </c:numCache>
            </c:numRef>
          </c:val>
          <c:smooth val="0"/>
          <c:extLst>
            <c:ext xmlns:c16="http://schemas.microsoft.com/office/drawing/2014/chart" uri="{C3380CC4-5D6E-409C-BE32-E72D297353CC}">
              <c16:uniqueId val="{00000000-E426-45A8-854F-1BF40EF905F2}"/>
            </c:ext>
          </c:extLst>
        </c:ser>
        <c:dLbls>
          <c:showLegendKey val="0"/>
          <c:showVal val="0"/>
          <c:showCatName val="0"/>
          <c:showSerName val="0"/>
          <c:showPercent val="0"/>
          <c:showBubbleSize val="0"/>
        </c:dLbls>
        <c:marker val="1"/>
        <c:smooth val="0"/>
        <c:axId val="1711313007"/>
        <c:axId val="1711312591"/>
      </c:lineChart>
      <c:lineChart>
        <c:grouping val="standard"/>
        <c:varyColors val="0"/>
        <c:ser>
          <c:idx val="0"/>
          <c:order val="0"/>
          <c:tx>
            <c:strRef>
              <c:f>'[Biochar analysis.xlsx]Pilot oven'!$H$19</c:f>
              <c:strCache>
                <c:ptCount val="1"/>
                <c:pt idx="0">
                  <c:v>CSR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'[Biochar analysis.xlsx]Pilot oven'!$I$18:$L$18</c:f>
              <c:strCache>
                <c:ptCount val="4"/>
                <c:pt idx="0">
                  <c:v>Riverside 100%</c:v>
                </c:pt>
                <c:pt idx="1">
                  <c:v>Biochar 3%</c:v>
                </c:pt>
                <c:pt idx="2">
                  <c:v>Biochar 5%</c:v>
                </c:pt>
                <c:pt idx="3">
                  <c:v>Biochar 7.5%</c:v>
                </c:pt>
              </c:strCache>
            </c:strRef>
          </c:cat>
          <c:val>
            <c:numRef>
              <c:f>'[Biochar analysis.xlsx]Pilot oven'!$I$19:$L$19</c:f>
              <c:numCache>
                <c:formatCode>General</c:formatCode>
                <c:ptCount val="4"/>
                <c:pt idx="0">
                  <c:v>62.2</c:v>
                </c:pt>
                <c:pt idx="1">
                  <c:v>62.3</c:v>
                </c:pt>
                <c:pt idx="2">
                  <c:v>39.1</c:v>
                </c:pt>
                <c:pt idx="3">
                  <c:v>41.2</c:v>
                </c:pt>
              </c:numCache>
            </c:numRef>
          </c:val>
          <c:smooth val="0"/>
          <c:extLst>
            <c:ext xmlns:c16="http://schemas.microsoft.com/office/drawing/2014/chart" uri="{C3380CC4-5D6E-409C-BE32-E72D297353CC}">
              <c16:uniqueId val="{00000001-E426-45A8-854F-1BF40EF905F2}"/>
            </c:ext>
          </c:extLst>
        </c:ser>
        <c:dLbls>
          <c:showLegendKey val="0"/>
          <c:showVal val="0"/>
          <c:showCatName val="0"/>
          <c:showSerName val="0"/>
          <c:showPercent val="0"/>
          <c:showBubbleSize val="0"/>
        </c:dLbls>
        <c:marker val="1"/>
        <c:smooth val="0"/>
        <c:axId val="1706942607"/>
        <c:axId val="1711209711"/>
      </c:lineChart>
      <c:catAx>
        <c:axId val="1711313007"/>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1312591"/>
        <c:crosses val="autoZero"/>
        <c:auto val="1"/>
        <c:lblAlgn val="ctr"/>
        <c:lblOffset val="100"/>
        <c:noMultiLvlLbl val="0"/>
      </c:catAx>
      <c:valAx>
        <c:axId val="1711312591"/>
        <c:scaling>
          <c:orientation val="minMax"/>
          <c:min val="2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1313007"/>
        <c:crosses val="autoZero"/>
        <c:crossBetween val="between"/>
      </c:valAx>
      <c:valAx>
        <c:axId val="1711209711"/>
        <c:scaling>
          <c:orientation val="minMax"/>
          <c:min val="3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CSR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6942607"/>
        <c:crosses val="max"/>
        <c:crossBetween val="between"/>
      </c:valAx>
      <c:catAx>
        <c:axId val="1706942607"/>
        <c:scaling>
          <c:orientation val="minMax"/>
        </c:scaling>
        <c:delete val="1"/>
        <c:axPos val="b"/>
        <c:numFmt formatCode="General" sourceLinked="1"/>
        <c:majorTickMark val="out"/>
        <c:minorTickMark val="none"/>
        <c:tickLblPos val="nextTo"/>
        <c:crossAx val="1711209711"/>
        <c:crosses val="autoZero"/>
        <c:auto val="1"/>
        <c:lblAlgn val="ctr"/>
        <c:lblOffset val="100"/>
        <c:noMultiLvlLbl val="0"/>
      </c:cat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Sinter indices Biochar 1</a:t>
            </a:r>
          </a:p>
        </c:rich>
      </c:tx>
      <c:overlay val="0"/>
      <c:spPr>
        <a:noFill/>
        <a:ln>
          <a:noFill/>
        </a:ln>
        <a:effectLst/>
      </c:spPr>
    </c:title>
    <c:autoTitleDeleted val="0"/>
    <c:plotArea>
      <c:layout>
        <c:manualLayout>
          <c:layoutTarget val="inner"/>
          <c:xMode val="edge"/>
          <c:yMode val="edge"/>
          <c:x val="0.25452014554893088"/>
          <c:y val="0.1274790106648514"/>
          <c:w val="0.74547985445106912"/>
          <c:h val="0.49277723878796975"/>
        </c:manualLayout>
      </c:layout>
      <c:lineChart>
        <c:grouping val="standard"/>
        <c:varyColors val="0"/>
        <c:ser>
          <c:idx val="2"/>
          <c:order val="0"/>
          <c:tx>
            <c:strRef>
              <c:f>'[Biochar analysis.xlsx]Sinter pot'!$J$19</c:f>
              <c:strCache>
                <c:ptCount val="1"/>
                <c:pt idx="0">
                  <c:v>Tumble index (%)</c:v>
                </c:pt>
              </c:strCache>
            </c:strRef>
          </c:tx>
          <c:cat>
            <c:strRef>
              <c:f>'[Biochar analysis.xlsx]Sinter pot'!$K$18:$L$18,'[Biochar analysis.xlsx]Sinter pot'!$N$18,'[Biochar analysis.xlsx]Sinter pot'!$P$18</c:f>
              <c:strCache>
                <c:ptCount val="4"/>
                <c:pt idx="0">
                  <c:v>Baseblend</c:v>
                </c:pt>
                <c:pt idx="1">
                  <c:v>Biochar 1 25%</c:v>
                </c:pt>
                <c:pt idx="2">
                  <c:v>Biochar 1 50%</c:v>
                </c:pt>
                <c:pt idx="3">
                  <c:v>Biochar 1 75%</c:v>
                </c:pt>
              </c:strCache>
            </c:strRef>
          </c:cat>
          <c:val>
            <c:numRef>
              <c:f>'[Biochar analysis.xlsx]Sinter pot'!$K$19:$L$19,'[Biochar analysis.xlsx]Sinter pot'!$N$19,'[Biochar analysis.xlsx]Sinter pot'!$P$19</c:f>
              <c:numCache>
                <c:formatCode>General</c:formatCode>
                <c:ptCount val="4"/>
                <c:pt idx="0">
                  <c:v>44.4</c:v>
                </c:pt>
                <c:pt idx="1">
                  <c:v>41.8</c:v>
                </c:pt>
                <c:pt idx="2">
                  <c:v>44.7</c:v>
                </c:pt>
                <c:pt idx="3">
                  <c:v>37.1</c:v>
                </c:pt>
              </c:numCache>
            </c:numRef>
          </c:val>
          <c:smooth val="0"/>
          <c:extLst>
            <c:ext xmlns:c16="http://schemas.microsoft.com/office/drawing/2014/chart" uri="{C3380CC4-5D6E-409C-BE32-E72D297353CC}">
              <c16:uniqueId val="{00000000-D427-43B2-8712-5D54D3CC9DF0}"/>
            </c:ext>
          </c:extLst>
        </c:ser>
        <c:ser>
          <c:idx val="3"/>
          <c:order val="1"/>
          <c:tx>
            <c:strRef>
              <c:f>'[Biochar analysis.xlsx]Sinter pot'!$J$20</c:f>
              <c:strCache>
                <c:ptCount val="1"/>
                <c:pt idx="0">
                  <c:v>Abrasion index (%)</c:v>
                </c:pt>
              </c:strCache>
            </c:strRef>
          </c:tx>
          <c:cat>
            <c:strRef>
              <c:f>'[Biochar analysis.xlsx]Sinter pot'!$K$18:$L$18,'[Biochar analysis.xlsx]Sinter pot'!$N$18,'[Biochar analysis.xlsx]Sinter pot'!$P$18</c:f>
              <c:strCache>
                <c:ptCount val="4"/>
                <c:pt idx="0">
                  <c:v>Baseblend</c:v>
                </c:pt>
                <c:pt idx="1">
                  <c:v>Biochar 1 25%</c:v>
                </c:pt>
                <c:pt idx="2">
                  <c:v>Biochar 1 50%</c:v>
                </c:pt>
                <c:pt idx="3">
                  <c:v>Biochar 1 75%</c:v>
                </c:pt>
              </c:strCache>
            </c:strRef>
          </c:cat>
          <c:val>
            <c:numRef>
              <c:f>'[Biochar analysis.xlsx]Sinter pot'!$K$20:$L$20,'[Biochar analysis.xlsx]Sinter pot'!$N$20,'[Biochar analysis.xlsx]Sinter pot'!$P$20</c:f>
              <c:numCache>
                <c:formatCode>General</c:formatCode>
                <c:ptCount val="4"/>
                <c:pt idx="0">
                  <c:v>5.68</c:v>
                </c:pt>
                <c:pt idx="1">
                  <c:v>6.71</c:v>
                </c:pt>
                <c:pt idx="2">
                  <c:v>5.01</c:v>
                </c:pt>
                <c:pt idx="3">
                  <c:v>8.7899999999999991</c:v>
                </c:pt>
              </c:numCache>
            </c:numRef>
          </c:val>
          <c:smooth val="0"/>
          <c:extLst>
            <c:ext xmlns:c16="http://schemas.microsoft.com/office/drawing/2014/chart" uri="{C3380CC4-5D6E-409C-BE32-E72D297353CC}">
              <c16:uniqueId val="{00000001-D427-43B2-8712-5D54D3CC9DF0}"/>
            </c:ext>
          </c:extLst>
        </c:ser>
        <c:ser>
          <c:idx val="0"/>
          <c:order val="2"/>
          <c:tx>
            <c:strRef>
              <c:f>'[Biochar analysis.xlsx]Sinter pot'!$J$23</c:f>
              <c:strCache>
                <c:ptCount val="1"/>
                <c:pt idx="0">
                  <c:v>RDI -2.8 mm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'[Biochar analysis.xlsx]Sinter pot'!$K$22:$L$22,'[Biochar analysis.xlsx]Sinter pot'!$N$22,'[Biochar analysis.xlsx]Sinter pot'!$P$22</c:f>
              <c:strCache>
                <c:ptCount val="4"/>
                <c:pt idx="0">
                  <c:v>Baseblend</c:v>
                </c:pt>
                <c:pt idx="1">
                  <c:v>Biochar 1 25%</c:v>
                </c:pt>
                <c:pt idx="2">
                  <c:v>Biochar 1 50%</c:v>
                </c:pt>
                <c:pt idx="3">
                  <c:v>Biochar 1 75%</c:v>
                </c:pt>
              </c:strCache>
            </c:strRef>
          </c:cat>
          <c:val>
            <c:numRef>
              <c:f>'[Biochar analysis.xlsx]Sinter pot'!$K$23:$L$23,'[Biochar analysis.xlsx]Sinter pot'!$N$23,'[Biochar analysis.xlsx]Sinter pot'!$P$23</c:f>
              <c:numCache>
                <c:formatCode>General</c:formatCode>
                <c:ptCount val="4"/>
                <c:pt idx="0">
                  <c:v>33.61</c:v>
                </c:pt>
                <c:pt idx="1">
                  <c:v>34.94</c:v>
                </c:pt>
                <c:pt idx="2">
                  <c:v>27.86</c:v>
                </c:pt>
                <c:pt idx="3">
                  <c:v>44.32</c:v>
                </c:pt>
              </c:numCache>
            </c:numRef>
          </c:val>
          <c:smooth val="0"/>
          <c:extLst>
            <c:ext xmlns:c16="http://schemas.microsoft.com/office/drawing/2014/chart" uri="{C3380CC4-5D6E-409C-BE32-E72D297353CC}">
              <c16:uniqueId val="{00000002-D427-43B2-8712-5D54D3CC9DF0}"/>
            </c:ext>
          </c:extLst>
        </c:ser>
        <c:dLbls>
          <c:showLegendKey val="0"/>
          <c:showVal val="0"/>
          <c:showCatName val="0"/>
          <c:showSerName val="0"/>
          <c:showPercent val="0"/>
          <c:showBubbleSize val="0"/>
        </c:dLbls>
        <c:marker val="1"/>
        <c:smooth val="0"/>
        <c:axId val="1275474639"/>
        <c:axId val="1275481295"/>
      </c:lineChart>
      <c:catAx>
        <c:axId val="1275474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5481295"/>
        <c:crosses val="autoZero"/>
        <c:auto val="1"/>
        <c:lblAlgn val="ctr"/>
        <c:lblOffset val="100"/>
        <c:noMultiLvlLbl val="0"/>
      </c:catAx>
      <c:valAx>
        <c:axId val="12754812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5474639"/>
        <c:crosses val="autoZero"/>
        <c:crossBetween val="between"/>
      </c:valAx>
      <c:dTable>
        <c:showHorzBorder val="1"/>
        <c:showVertBorder val="1"/>
        <c:showOutline val="1"/>
        <c:showKeys val="1"/>
      </c:dTable>
    </c:plotArea>
    <c:plotVisOnly val="1"/>
    <c:dispBlanksAs val="gap"/>
    <c:showDLblsOverMax val="0"/>
    <c:extLst/>
  </c:chart>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Sinter indices Biochar</a:t>
            </a:r>
            <a:r>
              <a:rPr lang="en-GB" baseline="0"/>
              <a:t> 2</a:t>
            </a:r>
            <a:endParaRPr lang="en-GB"/>
          </a:p>
        </c:rich>
      </c:tx>
      <c:overlay val="0"/>
      <c:spPr>
        <a:noFill/>
        <a:ln>
          <a:noFill/>
        </a:ln>
        <a:effectLst/>
      </c:spPr>
    </c:title>
    <c:autoTitleDeleted val="0"/>
    <c:plotArea>
      <c:layout>
        <c:manualLayout>
          <c:layoutTarget val="inner"/>
          <c:xMode val="edge"/>
          <c:yMode val="edge"/>
          <c:x val="0.25278414455618792"/>
          <c:y val="9.2126147173875142E-2"/>
          <c:w val="0.74721585544381208"/>
          <c:h val="0.5759413220461036"/>
        </c:manualLayout>
      </c:layout>
      <c:lineChart>
        <c:grouping val="standard"/>
        <c:varyColors val="0"/>
        <c:ser>
          <c:idx val="2"/>
          <c:order val="0"/>
          <c:tx>
            <c:strRef>
              <c:f>'[Biochar analysis.xlsx]Sinter pot'!$J$19</c:f>
              <c:strCache>
                <c:ptCount val="1"/>
                <c:pt idx="0">
                  <c:v>Tumble index (%)</c:v>
                </c:pt>
              </c:strCache>
            </c:strRef>
          </c:tx>
          <c:cat>
            <c:strRef>
              <c:f>'[Biochar analysis.xlsx]Sinter pot'!$K$18,'[Biochar analysis.xlsx]Sinter pot'!$M$18,'[Biochar analysis.xlsx]Sinter pot'!$O$18,'[Biochar analysis.xlsx]Sinter pot'!$Q$18</c:f>
              <c:strCache>
                <c:ptCount val="4"/>
                <c:pt idx="0">
                  <c:v>Baseblend</c:v>
                </c:pt>
                <c:pt idx="1">
                  <c:v>Biochar 2 25%</c:v>
                </c:pt>
                <c:pt idx="2">
                  <c:v>Biochar 2 50%</c:v>
                </c:pt>
                <c:pt idx="3">
                  <c:v>Biochar 2 75%</c:v>
                </c:pt>
              </c:strCache>
            </c:strRef>
          </c:cat>
          <c:val>
            <c:numRef>
              <c:f>'[Biochar analysis.xlsx]Sinter pot'!$K$19,'[Biochar analysis.xlsx]Sinter pot'!$M$19,'[Biochar analysis.xlsx]Sinter pot'!$O$19,'[Biochar analysis.xlsx]Sinter pot'!$Q$19</c:f>
              <c:numCache>
                <c:formatCode>General</c:formatCode>
                <c:ptCount val="4"/>
                <c:pt idx="0">
                  <c:v>44.4</c:v>
                </c:pt>
                <c:pt idx="1">
                  <c:v>43.2</c:v>
                </c:pt>
                <c:pt idx="2">
                  <c:v>37.200000000000003</c:v>
                </c:pt>
              </c:numCache>
            </c:numRef>
          </c:val>
          <c:smooth val="0"/>
          <c:extLst>
            <c:ext xmlns:c16="http://schemas.microsoft.com/office/drawing/2014/chart" uri="{C3380CC4-5D6E-409C-BE32-E72D297353CC}">
              <c16:uniqueId val="{00000000-D507-4B7E-AFAE-A674998061FA}"/>
            </c:ext>
          </c:extLst>
        </c:ser>
        <c:ser>
          <c:idx val="3"/>
          <c:order val="1"/>
          <c:tx>
            <c:strRef>
              <c:f>'[Biochar analysis.xlsx]Sinter pot'!$J$20</c:f>
              <c:strCache>
                <c:ptCount val="1"/>
                <c:pt idx="0">
                  <c:v>Abrasion index (%)</c:v>
                </c:pt>
              </c:strCache>
            </c:strRef>
          </c:tx>
          <c:cat>
            <c:strRef>
              <c:f>'[Biochar analysis.xlsx]Sinter pot'!$K$18,'[Biochar analysis.xlsx]Sinter pot'!$M$18,'[Biochar analysis.xlsx]Sinter pot'!$O$18,'[Biochar analysis.xlsx]Sinter pot'!$Q$18</c:f>
              <c:strCache>
                <c:ptCount val="4"/>
                <c:pt idx="0">
                  <c:v>Baseblend</c:v>
                </c:pt>
                <c:pt idx="1">
                  <c:v>Biochar 2 25%</c:v>
                </c:pt>
                <c:pt idx="2">
                  <c:v>Biochar 2 50%</c:v>
                </c:pt>
                <c:pt idx="3">
                  <c:v>Biochar 2 75%</c:v>
                </c:pt>
              </c:strCache>
            </c:strRef>
          </c:cat>
          <c:val>
            <c:numRef>
              <c:f>'[Biochar analysis.xlsx]Sinter pot'!$K$20,'[Biochar analysis.xlsx]Sinter pot'!$M$20,'[Biochar analysis.xlsx]Sinter pot'!$O$20,'[Biochar analysis.xlsx]Sinter pot'!$Q$20</c:f>
              <c:numCache>
                <c:formatCode>General</c:formatCode>
                <c:ptCount val="4"/>
                <c:pt idx="0">
                  <c:v>5.68</c:v>
                </c:pt>
                <c:pt idx="1">
                  <c:v>5.21</c:v>
                </c:pt>
                <c:pt idx="2">
                  <c:v>7.86</c:v>
                </c:pt>
              </c:numCache>
            </c:numRef>
          </c:val>
          <c:smooth val="0"/>
          <c:extLst>
            <c:ext xmlns:c16="http://schemas.microsoft.com/office/drawing/2014/chart" uri="{C3380CC4-5D6E-409C-BE32-E72D297353CC}">
              <c16:uniqueId val="{00000001-D507-4B7E-AFAE-A674998061FA}"/>
            </c:ext>
          </c:extLst>
        </c:ser>
        <c:ser>
          <c:idx val="0"/>
          <c:order val="2"/>
          <c:tx>
            <c:strRef>
              <c:f>'[Biochar analysis.xlsx]Sinter pot'!$J$23</c:f>
              <c:strCache>
                <c:ptCount val="1"/>
                <c:pt idx="0">
                  <c:v>RDI -2.8 mm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'[Biochar analysis.xlsx]Sinter pot'!$K$22,'[Biochar analysis.xlsx]Sinter pot'!$M$22,'[Biochar analysis.xlsx]Sinter pot'!$O$22,'[Biochar analysis.xlsx]Sinter pot'!$Q$22</c:f>
              <c:strCache>
                <c:ptCount val="4"/>
                <c:pt idx="0">
                  <c:v>Baseblend</c:v>
                </c:pt>
                <c:pt idx="1">
                  <c:v>Biochar 2 25%</c:v>
                </c:pt>
                <c:pt idx="2">
                  <c:v>Biochar 2 50%</c:v>
                </c:pt>
                <c:pt idx="3">
                  <c:v>Biochar 2 75%</c:v>
                </c:pt>
              </c:strCache>
            </c:strRef>
          </c:cat>
          <c:val>
            <c:numRef>
              <c:f>'[Biochar analysis.xlsx]Sinter pot'!$K$23,'[Biochar analysis.xlsx]Sinter pot'!$M$23,'[Biochar analysis.xlsx]Sinter pot'!$O$23,'[Biochar analysis.xlsx]Sinter pot'!$Q$23</c:f>
              <c:numCache>
                <c:formatCode>General</c:formatCode>
                <c:ptCount val="4"/>
                <c:pt idx="0">
                  <c:v>33.61</c:v>
                </c:pt>
                <c:pt idx="1">
                  <c:v>33.35</c:v>
                </c:pt>
                <c:pt idx="2">
                  <c:v>42.33</c:v>
                </c:pt>
                <c:pt idx="3">
                  <c:v>52.48</c:v>
                </c:pt>
              </c:numCache>
            </c:numRef>
          </c:val>
          <c:smooth val="0"/>
          <c:extLst>
            <c:ext xmlns:c16="http://schemas.microsoft.com/office/drawing/2014/chart" uri="{C3380CC4-5D6E-409C-BE32-E72D297353CC}">
              <c16:uniqueId val="{00000002-D507-4B7E-AFAE-A674998061FA}"/>
            </c:ext>
          </c:extLst>
        </c:ser>
        <c:dLbls>
          <c:showLegendKey val="0"/>
          <c:showVal val="0"/>
          <c:showCatName val="0"/>
          <c:showSerName val="0"/>
          <c:showPercent val="0"/>
          <c:showBubbleSize val="0"/>
        </c:dLbls>
        <c:marker val="1"/>
        <c:smooth val="0"/>
        <c:axId val="1275473391"/>
        <c:axId val="1275464655"/>
      </c:lineChart>
      <c:catAx>
        <c:axId val="1275473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5464655"/>
        <c:crosses val="autoZero"/>
        <c:auto val="1"/>
        <c:lblAlgn val="ctr"/>
        <c:lblOffset val="100"/>
        <c:noMultiLvlLbl val="0"/>
      </c:catAx>
      <c:valAx>
        <c:axId val="12754646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5473391"/>
        <c:crosses val="autoZero"/>
        <c:crossBetween val="between"/>
      </c:valAx>
      <c:dTable>
        <c:showHorzBorder val="1"/>
        <c:showVertBorder val="1"/>
        <c:showOutline val="1"/>
        <c:showKeys val="1"/>
      </c:dTable>
    </c:plotArea>
    <c:plotVisOnly val="1"/>
    <c:dispBlanksAs val="gap"/>
    <c:showDLblsOverMax val="0"/>
    <c:extLst/>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F1E639146D4490966658BBC1828E96"/>
        <w:category>
          <w:name w:val="General"/>
          <w:gallery w:val="placeholder"/>
        </w:category>
        <w:types>
          <w:type w:val="bbPlcHdr"/>
        </w:types>
        <w:behaviors>
          <w:behavior w:val="content"/>
        </w:behaviors>
        <w:guid w:val="{A4E0F055-D30D-4CDA-9141-B27ED9EDD897}"/>
      </w:docPartPr>
      <w:docPartBody>
        <w:p w:rsidR="005941D2" w:rsidRDefault="00943136" w:rsidP="00943136">
          <w:pPr>
            <w:pStyle w:val="3EF1E639146D4490966658BBC1828E96"/>
          </w:pPr>
          <w:r>
            <w:rPr>
              <w:rFonts w:asciiTheme="majorHAnsi" w:hAnsiTheme="majorHAnsi"/>
              <w:color w:val="FFFFFF" w:themeColor="background1"/>
              <w:sz w:val="96"/>
              <w:szCs w:val="96"/>
            </w:rPr>
            <w:t>[Document title]</w:t>
          </w:r>
        </w:p>
      </w:docPartBody>
    </w:docPart>
    <w:docPart>
      <w:docPartPr>
        <w:name w:val="CA9335657DAF49679A17106271C7812F"/>
        <w:category>
          <w:name w:val="General"/>
          <w:gallery w:val="placeholder"/>
        </w:category>
        <w:types>
          <w:type w:val="bbPlcHdr"/>
        </w:types>
        <w:behaviors>
          <w:behavior w:val="content"/>
        </w:behaviors>
        <w:guid w:val="{A245C040-1ED2-4545-BF2E-B2F8E646AF37}"/>
      </w:docPartPr>
      <w:docPartBody>
        <w:p w:rsidR="005941D2" w:rsidRDefault="00943136" w:rsidP="00943136">
          <w:pPr>
            <w:pStyle w:val="CA9335657DAF49679A17106271C7812F"/>
          </w:pPr>
          <w:r>
            <w:rPr>
              <w:color w:val="FFFFFF" w:themeColor="background1"/>
              <w:sz w:val="32"/>
              <w:szCs w:val="32"/>
            </w:rPr>
            <w:t>[Document subtitle]</w:t>
          </w:r>
        </w:p>
      </w:docPartBody>
    </w:docPart>
    <w:docPart>
      <w:docPartPr>
        <w:name w:val="E199B85B042C479FBF10073968473063"/>
        <w:category>
          <w:name w:val="General"/>
          <w:gallery w:val="placeholder"/>
        </w:category>
        <w:types>
          <w:type w:val="bbPlcHdr"/>
        </w:types>
        <w:behaviors>
          <w:behavior w:val="content"/>
        </w:behaviors>
        <w:guid w:val="{3C6FDC75-B62C-430F-B39F-5BD28FD520C0}"/>
      </w:docPartPr>
      <w:docPartBody>
        <w:p w:rsidR="005941D2" w:rsidRDefault="00943136" w:rsidP="00943136">
          <w:pPr>
            <w:pStyle w:val="E199B85B042C479FBF10073968473063"/>
          </w:pPr>
          <w:r>
            <w:rPr>
              <w:color w:val="FFFFFF" w:themeColor="background1"/>
            </w:rPr>
            <w:t>[Author name]</w:t>
          </w:r>
        </w:p>
      </w:docPartBody>
    </w:docPart>
    <w:docPart>
      <w:docPartPr>
        <w:name w:val="784B233B45F647E5B84CA2948984A770"/>
        <w:category>
          <w:name w:val="General"/>
          <w:gallery w:val="placeholder"/>
        </w:category>
        <w:types>
          <w:type w:val="bbPlcHdr"/>
        </w:types>
        <w:behaviors>
          <w:behavior w:val="content"/>
        </w:behaviors>
        <w:guid w:val="{13AEAE57-2B73-4144-93D3-A46CBFD59E2F}"/>
      </w:docPartPr>
      <w:docPartBody>
        <w:p w:rsidR="005941D2" w:rsidRDefault="00943136" w:rsidP="00943136">
          <w:pPr>
            <w:pStyle w:val="784B233B45F647E5B84CA2948984A770"/>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136"/>
    <w:rsid w:val="001122AD"/>
    <w:rsid w:val="00193F98"/>
    <w:rsid w:val="001D7A7B"/>
    <w:rsid w:val="002024DE"/>
    <w:rsid w:val="002265B0"/>
    <w:rsid w:val="002A2964"/>
    <w:rsid w:val="002C4AAC"/>
    <w:rsid w:val="002F7F9B"/>
    <w:rsid w:val="00341678"/>
    <w:rsid w:val="0034579E"/>
    <w:rsid w:val="00377330"/>
    <w:rsid w:val="00385777"/>
    <w:rsid w:val="0039421F"/>
    <w:rsid w:val="00441C8B"/>
    <w:rsid w:val="004427A3"/>
    <w:rsid w:val="00497FC5"/>
    <w:rsid w:val="004C1055"/>
    <w:rsid w:val="004C172B"/>
    <w:rsid w:val="004C70DA"/>
    <w:rsid w:val="00525B7D"/>
    <w:rsid w:val="00530929"/>
    <w:rsid w:val="0053763D"/>
    <w:rsid w:val="005941D2"/>
    <w:rsid w:val="005C3EB0"/>
    <w:rsid w:val="005E0844"/>
    <w:rsid w:val="0062067E"/>
    <w:rsid w:val="006E5AEF"/>
    <w:rsid w:val="00716FA5"/>
    <w:rsid w:val="00746D3C"/>
    <w:rsid w:val="00755955"/>
    <w:rsid w:val="00764931"/>
    <w:rsid w:val="008A4FC0"/>
    <w:rsid w:val="008C3FED"/>
    <w:rsid w:val="008D2832"/>
    <w:rsid w:val="008E4FB4"/>
    <w:rsid w:val="008F2E0D"/>
    <w:rsid w:val="009034F2"/>
    <w:rsid w:val="0091250F"/>
    <w:rsid w:val="00915495"/>
    <w:rsid w:val="009244F1"/>
    <w:rsid w:val="00943136"/>
    <w:rsid w:val="009736D2"/>
    <w:rsid w:val="00983B87"/>
    <w:rsid w:val="00A21D6E"/>
    <w:rsid w:val="00A27637"/>
    <w:rsid w:val="00A744CA"/>
    <w:rsid w:val="00A86E42"/>
    <w:rsid w:val="00AC590F"/>
    <w:rsid w:val="00AF27B2"/>
    <w:rsid w:val="00B10447"/>
    <w:rsid w:val="00B3076A"/>
    <w:rsid w:val="00B32A32"/>
    <w:rsid w:val="00BB21AC"/>
    <w:rsid w:val="00BE6940"/>
    <w:rsid w:val="00C647C0"/>
    <w:rsid w:val="00C65347"/>
    <w:rsid w:val="00D40664"/>
    <w:rsid w:val="00DC1ABB"/>
    <w:rsid w:val="00DE54CF"/>
    <w:rsid w:val="00E053B4"/>
    <w:rsid w:val="00E1165C"/>
    <w:rsid w:val="00E51CB7"/>
    <w:rsid w:val="00EA256B"/>
    <w:rsid w:val="00F47919"/>
    <w:rsid w:val="00F901B6"/>
    <w:rsid w:val="00F9476E"/>
    <w:rsid w:val="00FD1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F1E639146D4490966658BBC1828E96">
    <w:name w:val="3EF1E639146D4490966658BBC1828E96"/>
    <w:rsid w:val="00943136"/>
  </w:style>
  <w:style w:type="paragraph" w:customStyle="1" w:styleId="CA9335657DAF49679A17106271C7812F">
    <w:name w:val="CA9335657DAF49679A17106271C7812F"/>
    <w:rsid w:val="00943136"/>
  </w:style>
  <w:style w:type="paragraph" w:customStyle="1" w:styleId="E199B85B042C479FBF10073968473063">
    <w:name w:val="E199B85B042C479FBF10073968473063"/>
    <w:rsid w:val="00943136"/>
  </w:style>
  <w:style w:type="paragraph" w:customStyle="1" w:styleId="784B233B45F647E5B84CA2948984A770">
    <w:name w:val="784B233B45F647E5B84CA2948984A770"/>
    <w:rsid w:val="00943136"/>
  </w:style>
  <w:style w:type="character" w:styleId="PlaceholderText">
    <w:name w:val="Placeholder Text"/>
    <w:basedOn w:val="DefaultParagraphFont"/>
    <w:uiPriority w:val="99"/>
    <w:semiHidden/>
    <w:rsid w:val="00AF27B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02.167"/>
    </inkml:context>
    <inkml:brush xml:id="br0">
      <inkml:brushProperty name="width" value="0.025" units="cm"/>
      <inkml:brushProperty name="height" value="0.025" units="cm"/>
    </inkml:brush>
  </inkml:definitions>
  <inkml:trace contextRef="#ctx0" brushRef="#br0">1 63 24575,'92'1'0,"102"-3"0,-169-1 0,1-2 0,-1-1 0,28-10 0,-32 9 0,0 0 0,0 2 0,0 1 0,0 0 0,29 0 0,-31 4-1365,-1 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24.597"/>
    </inkml:context>
    <inkml:brush xml:id="br0">
      <inkml:brushProperty name="width" value="0.025" units="cm"/>
      <inkml:brushProperty name="height" value="0.025" units="cm"/>
    </inkml:brush>
  </inkml:definitions>
  <inkml:trace contextRef="#ctx0" brushRef="#br0">67 517 24575,'4'-4'0,"0"0"0,0 0 0,0 1 0,1 0 0,0-1 0,-1 2 0,1-1 0,1 0 0,-1 1 0,0 0 0,0 1 0,1-1 0,9-1 0,-9 2 0,-6 1 0,1 0 0,-1 0 0,0 0 0,0 0 0,0 0 0,1 0 0,-1 0 0,0 0 0,0 0 0,0 0 0,1 0 0,-1 0 0,0 0 0,0 0 0,0 0 0,1 0 0,-1 0 0,0 0 0,0 0 0,0 0 0,1 0 0,-1 0 0,0 0 0,0 0 0,0 0 0,1 0 0,-1 0 0,0-1 0,0 1 0,0 0 0,1 0 0,-1 0 0,0 0 0,0-1 0,0 1 0,0 0 0,0 0 0,0 0 0,1 0 0,-1-1 0,0 1 0,0 0 0,0 0 0,0 0 0,0-1 0,0 1 0,0 0 0,0 0 0,0-1 0,0 1 0,0 0 0,0 0 0,0 0 0,0-1 0,0 1 0,0 0 0,0 0 0,-1-1 0,-16-4 0,-26-1 0,39 6 0,0 0 0,0 0 0,0 0 0,0 0 0,0 1 0,1 0 0,-1 0 0,0 0 0,0 0 0,1 1 0,-1-1 0,1 1 0,-1 0 0,1 0 0,0 0 0,0 0 0,0 1 0,0-1 0,0 1 0,0 0 0,1 0 0,0 0 0,-1 0 0,1 0 0,0 1 0,0-1 0,1 0 0,-1 1 0,1 0 0,-1-1 0,1 1 0,1 0 0,-1 0 0,0-1 0,1 1 0,0 0 0,0 8 0,0-3 0,1 0 0,0 0 0,0 1 0,1-1 0,0 0 0,1 0 0,0 0 0,0-1 0,1 1 0,0-1 0,0 1 0,1-1 0,0-1 0,1 1 0,7 7 0,-12-13 0,1 0 0,0 0 0,0 0 0,0 0 0,-1-1 0,2 1 0,-1-1 0,0 1 0,0-1 0,0 0 0,1 0 0,-1 0 0,1 0 0,-1 0 0,1-1 0,-1 1 0,1-1 0,-1 1 0,1-1 0,-1 0 0,1 0 0,-1 0 0,1 0 0,0-1 0,-1 1 0,1-1 0,-1 1 0,1-1 0,-1 0 0,0 0 0,1 0 0,-1-1 0,0 1 0,0 0 0,0-1 0,0 1 0,0-1 0,0 0 0,0 0 0,2-2 0,0-2 0,1 0 0,-1 0 0,0 0 0,-1 0 0,1-1 0,-1 0 0,0 0 0,-1 1 0,0-2 0,0 1 0,-1 0 0,2-14 0,-6-43 0,2 59 0,0 8 0,2 33 0,0-31 0,-1 0 0,1-1 0,-1 1 0,1-1 0,0 0 0,1 1 0,-1-1 0,1 0 0,0 1 0,0-1 0,0 0 0,1-1 0,-1 1 0,1 0 0,0-1 0,0 1 0,0-1 0,1 0 0,4 4 0,-6-6 0,1 0 0,0 1 0,0-1 0,0 0 0,0-1 0,0 1 0,0 0 0,0-1 0,0 0 0,0 1 0,1-1 0,-1-1 0,0 1 0,0 0 0,0-1 0,0 1 0,0-1 0,0 0 0,0 0 0,0 0 0,0-1 0,-1 1 0,1-1 0,0 1 0,-1-1 0,1 0 0,-1 0 0,1 0 0,1-3 0,2-1 0,0 0 0,-1-1 0,0 1 0,-1-1 0,0 0 0,0 0 0,0-1 0,-1 1 0,0-1 0,0 0 0,-1 0 0,0 0 0,0 0 0,1-15 0,-1-14 0,-2 1 0,-4-42 0,1 12 0,4 19 0,9-50 0,-5 55 0,0-70 0,-4 480 0,-3-174 0,-6-137 0,6-49 0,0 0 0,1 0 0,0 0 0,0 1 0,0-1 0,1 1 0,2 13 0,-1-20 0,0 0 0,-1-1 0,1 1 0,0-1 0,0 1 0,1-1 0,-1 0 0,0 1 0,0-1 0,1 0 0,-1 0 0,1 0 0,-1 0 0,1 0 0,-1 0 0,1 0 0,-1 0 0,1-1 0,0 1 0,0-1 0,-1 1 0,1-1 0,0 1 0,0-1 0,3 0 0,54-1 0,-44 0 0,-8 0 0,-1 0 0,1 0 0,-1 0 0,1-1 0,-1 0 0,0-1 0,0 1 0,0-1 0,0 0 0,0-1 0,-1 1 0,1-1 0,-1 0 0,0-1 0,5-4 0,-2-1 0,1 0 0,-1 0 0,-1 0 0,0-1 0,0 0 0,-1 0 0,4-13 0,-9 22 0,0-1 0,0 1 0,0 0 0,-1-1 0,1 1 0,-1-1 0,1 1 0,-1 0 0,0-1 0,0 1 0,0-1 0,-1 1 0,1-1 0,0 1 0,-1-1 0,0 1 0,1 0 0,-1-1 0,0 1 0,0 0 0,-1 0 0,1-1 0,0 1 0,-1 0 0,1 0 0,-1 0 0,1 1 0,-1-1 0,0 0 0,0 1 0,0-1 0,0 1 0,0 0 0,0-1 0,-1 1 0,1 0 0,0 0 0,0 0 0,-1 1 0,1-1 0,-1 1 0,-2-1 0,1 0 0,0 0 0,0 0 0,0 1 0,0-1 0,-1 1 0,1 0 0,0 0 0,0 1 0,0-1 0,0 1 0,0 0 0,0 0 0,0 0 0,0 1 0,1-1 0,-1 1 0,0 0 0,1 0 0,-1 0 0,1 1 0,0-1 0,0 1 0,0-1 0,0 1 0,-5 7 0,5-5 0,0 0 0,1 1 0,-1 0 0,1-1 0,1 1 0,-1 0 0,1 0 0,0 0 0,0 0 0,1 0 0,-1 0 0,1 0 0,1 0 0,-1 0 0,1 0 0,0 0 0,1 0 0,-1 0 0,1-1 0,0 1 0,1 0 0,-1-1 0,1 0 0,0 1 0,0-1 0,1 0 0,0-1 0,0 1 0,0-1 0,0 1 0,0-1 0,1 0 0,0-1 0,5 4 0,1-1 0,0 0 0,0 0 0,0-1 0,1-1 0,0 0 0,-1-1 0,1 0 0,0-1 0,1 0 0,-1-1 0,0 0 0,1-1 0,-1 0 0,0-1 0,25-5 0,-35 5 0,0 0 0,0 0 0,0 0 0,0 0 0,0-1 0,0 1 0,0 0 0,0-1 0,0 0 0,0 1 0,-1-1 0,1 0 0,-1 0 0,0 0 0,1 0 0,-1 0 0,0 0 0,0 0 0,0-1 0,0 1 0,-1 0 0,1-1 0,0 1 0,-1 0 0,0-1 0,0 1 0,0-1 0,0-3 0,-1-8 0,0-1 0,-1 1 0,-8-26 0,1 0 0,9 19 0,0 16 0,1 1 0,-1-1 0,0 1 0,0-1 0,-1 1 0,0-1 0,1 1 0,-1-1 0,-1 1 0,1 0 0,-1-1 0,-2-5 0,2 12 0,1 0 0,0 0 0,0 1 0,0-1 0,0 0 0,0 1 0,1-1 0,-1 1 0,1-1 0,-1 1 0,1-1 0,0 3 0,-3 18 0,1-16 0,1 0 0,0 1 0,0-1 0,1 1 0,-1-1 0,2 0 0,-1 1 0,1-1 0,3 14 0,-3-21 0,-1 1 0,0-1 0,0 0 0,1 1 0,-1-1 0,0 0 0,0 1 0,1-1 0,-1 0 0,0 1 0,1-1 0,-1 0 0,0 0 0,1 1 0,-1-1 0,1 0 0,-1 0 0,0 0 0,1 0 0,-1 1 0,1-1 0,-1 0 0,1 0 0,-1 0 0,0 0 0,1 0 0,-1 0 0,1 0 0,-1 0 0,1 0 0,-1 0 0,1-1 0,-1 1 0,0 0 0,1 0 0,-1 0 0,1-1 0,18-16 0,10-25 0,-26 36 0,0 0 0,0 1 0,1-1 0,-1 1 0,1 0 0,1 0 0,-1 0 0,1 0 0,-1 1 0,1-1 0,1 1 0,-1 0 0,1 1 0,6-4 0,0 0 0,-1-1 0,0 0 0,-1 0 0,1-1 0,15-19 0,20-17 0,-41 42 0,0 0 0,0 0 0,0 1 0,1-1 0,-1 1 0,1 1 0,0-1 0,-1 1 0,1 0 0,0 0 0,0 0 0,8 1 0,72 6 0,-84-6 0,1 0 0,-1 1 0,1 0 0,-1-1 0,1 1 0,-1 0 0,1 0 0,-1 0 0,0 1 0,0-1 0,0 1 0,0-1 0,0 1 0,0 0 0,0-1 0,0 1 0,0 0 0,2 4 0,-1-1 0,-1 0 0,1 1 0,-1-1 0,0 1 0,0 0 0,-1-1 0,2 12 0,-1 5 0,-1 0 0,-1-1 0,-3 31 0,2-46 0,0 1 0,0-1 0,0 1 0,-1-1 0,0 0 0,0 0 0,0 1 0,-1-1 0,0-1 0,0 1 0,-1 0 0,1-1 0,-1 0 0,0 0 0,-1 0 0,1 0 0,-1 0 0,0-1 0,-7 5 0,3-4 0,-1 0 0,1-1 0,0 0 0,-1-1 0,0 0 0,0-1 0,0 1 0,0-2 0,0 0 0,0 0 0,-16-1 0,-7-1 0,55-1 0,56 2-1365,-68 0-5461</inkml:trace>
  <inkml:trace contextRef="#ctx0" brushRef="#br0" timeOffset="993.58">249 109 24575,'8'5'0,"-1"1"0,1-1 0,-1 0 0,2 0 0,-1-1 0,16 6 0,13 7 0,-24-12 0,-1 0 0,1-1 0,0 0 0,-1-1 0,2 0 0,-1-1 0,0-1 0,0 0 0,1-1 0,-1 0 0,21-4 0,-21 1-1365,-4-2-5461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16.753"/>
    </inkml:context>
    <inkml:brush xml:id="br0">
      <inkml:brushProperty name="width" value="0.025" units="cm"/>
      <inkml:brushProperty name="height" value="0.025" units="cm"/>
    </inkml:brush>
  </inkml:definitions>
  <inkml:trace contextRef="#ctx0" brushRef="#br0">1 61 24575,'0'531'0,"0"-524"0,1 1 0,1-1 0,-1 0 0,1 1 0,0-1 0,1 0 0,0 0 0,0 0 0,1-1 0,-1 1 0,9 10 0,8 9 0,33 32 0,-32-35 0,-16-17 0,1-1 0,0 1 0,0-1 0,1-1 0,-1 1 0,1-1 0,0 0 0,0 0 0,0-1 0,1 0 0,-1 0 0,1-1 0,0 0 0,-1 0 0,1-1 0,15 1 0,-18-2 0,0-1 0,0 1 0,0-1 0,0 0 0,0 0 0,0-1 0,0 1 0,0-1 0,0 0 0,-1-1 0,1 1 0,-1-1 0,0 0 0,0 0 0,0 0 0,0 0 0,0-1 0,-1 1 0,1-1 0,-1 0 0,0 0 0,0-1 0,-1 1 0,1-1 0,-1 1 0,0-1 0,2-5 0,0-8 0,0-1 0,-1 1 0,0-1 0,-2 0 0,0 0 0,-1 0 0,-5-34 0,-3 30 0,8 23 0,-1-1 0,1 1 0,0 0 0,-1 0 0,1 0 0,0-1 0,-1 1 0,1 0 0,-1 0 0,1 0 0,0 0 0,-1 0 0,1 0 0,0 0 0,-1 0 0,1 0 0,-1 0 0,1 0 0,0 0 0,-1 0 0,1 0 0,0 0 0,-1 0 0,1 1 0,-1-1 0,1 0 0,0 0 0,-1 0 0,1 1 0,0-1 0,0 0 0,-1 0 0,1 1 0,-2 1 0,0 0 0,0 1 0,0-1 0,0 1 0,1-1 0,-1 1 0,1 0 0,0 0 0,0-1 0,0 1 0,0 0 0,0 5 0,0 3 0,1-1 0,0 0 0,0 1 0,1-1 0,1 0 0,-1 0 0,2 0 0,0 0 0,0 0 0,0 0 0,1-1 0,1 1 0,0-1 0,0 0 0,7 8 0,-8-12 0,-1 0 0,1 0 0,0 0 0,1-1 0,-1 0 0,1 0 0,0 0 0,0 0 0,0-1 0,0 0 0,1 0 0,0 0 0,-1-1 0,1 0 0,0 0 0,0 0 0,0-1 0,0 0 0,0 0 0,0-1 0,0 1 0,1-1 0,-1 0 0,0-1 0,0 0 0,10-2 0,-11 2 0,0-1 0,0 0 0,0 0 0,0 0 0,-1 0 0,1-1 0,-1 0 0,1 0 0,-1 0 0,0-1 0,0 1 0,-1-1 0,1 0 0,-1 0 0,1 0 0,-1 0 0,-1-1 0,1 1 0,-1-1 0,1 1 0,1-9 0,1-6 0,0 0 0,-2 0 0,0-1 0,-1-30 0,-1 31 0,0-1 0,2 1 0,6-30 0,-1 20 0,-1 0 0,-2 0 0,0-1 0,-1-30 0,-5-123 0,-2 68 0,3 94-1365,0 3-5461</inkml:trace>
  <inkml:trace contextRef="#ctx0" brushRef="#br0" timeOffset="7843.57">734 649 24575,'4'-4'0,"0"0"0,0 0 0,0 1 0,1 0 0,0-1 0,-1 2 0,1-1 0,1 0 0,-1 1 0,0 0 0,0 1 0,1-1 0,9-1 0,-9 2 0,-6 1 0,1 0 0,-1 0 0,0 0 0,0 0 0,0 0 0,1 0 0,-1 0 0,0 0 0,0 0 0,0 0 0,1 0 0,-1 0 0,0 0 0,0 0 0,0 0 0,1 0 0,-1 0 0,0 0 0,0 0 0,0 0 0,1 0 0,-1 0 0,0 0 0,0 0 0,0 0 0,1 0 0,-1 0 0,0-1 0,0 1 0,0 0 0,1 0 0,-1 0 0,0 0 0,0-1 0,0 1 0,0 0 0,0 0 0,0 0 0,1 0 0,-1-1 0,0 1 0,0 0 0,0 0 0,0 0 0,0-1 0,0 1 0,0 0 0,0 0 0,0-1 0,0 1 0,0 0 0,0 0 0,0 0 0,0-1 0,0 1 0,0 0 0,0 0 0,-1-1 0,-16-4 0,-26-1 0,39 6 0,0 0 0,0 0 0,0 0 0,0 0 0,0 1 0,1 0 0,-1 0 0,0 0 0,0 0 0,1 1 0,-1-1 0,1 1 0,-1 0 0,1 0 0,0 0 0,0 0 0,0 1 0,0-1 0,0 1 0,0 0 0,1 0 0,0 0 0,-1 0 0,1 0 0,0 1 0,0-1 0,1 0 0,-1 1 0,1 0 0,-1-1 0,1 1 0,1 0 0,-1 0 0,0-1 0,1 1 0,0 0 0,0 8 0,0-3 0,1 0 0,0 0 0,0 1 0,1-1 0,0 0 0,1 0 0,0 0 0,0-1 0,1 1 0,0-1 0,0 1 0,1-1 0,0-1 0,1 1 0,7 7 0,-12-13 0,1 0 0,0 0 0,0 0 0,0 0 0,-1-1 0,2 1 0,-1-1 0,0 1 0,0-1 0,0 0 0,1 0 0,-1 0 0,1 0 0,-1 0 0,1-1 0,-1 1 0,1-1 0,-1 1 0,1-1 0,-1 0 0,1 0 0,-1 0 0,1 0 0,0-1 0,-1 1 0,1-1 0,-1 1 0,1-1 0,-1 0 0,0 0 0,1 0 0,-1-1 0,0 1 0,0 0 0,0-1 0,0 1 0,0-1 0,0 0 0,0 0 0,2-2 0,0-2 0,1 0 0,-1 0 0,0 0 0,-1 0 0,1-1 0,-1 0 0,0 0 0,-1 1 0,0-2 0,0 1 0,-1 0 0,2-14 0,-6-43 0,2 59 0,0 8 0,2 33 0,0-31 0,-1 0 0,1-1 0,-1 1 0,1-1 0,0 0 0,1 1 0,-1-1 0,1 0 0,0 1 0,0-1 0,0 0 0,1-1 0,-1 1 0,1 0 0,0-1 0,0 1 0,0-1 0,1 0 0,4 4 0,-6-6 0,1 0 0,0 1 0,0-1 0,0 0 0,0-1 0,0 1 0,0 0 0,0-1 0,0 0 0,0 1 0,1-1 0,-1-1 0,0 1 0,0 0 0,0-1 0,0 1 0,0-1 0,0 0 0,0 0 0,0 0 0,0-1 0,-1 1 0,1-1 0,0 1 0,-1-1 0,1 0 0,-1 0 0,1 0 0,1-3 0,2-1 0,0 0 0,-1-1 0,0 1 0,-1-1 0,0 0 0,0 0 0,0-1 0,-1 1 0,0-1 0,0 0 0,-1 0 0,0 0 0,0 0 0,1-15 0,-1-14 0,-2 1 0,-4-42 0,1 12 0,4 19 0,9-50 0,-5 55 0,0-70 0,-4 480 0,-3-174 0,-6-137 0,6-49 0,0 0 0,1 0 0,0 0 0,0 1 0,0-1 0,1 1 0,2 13 0,-1-20 0,0 0 0,-1-1 0,1 1 0,0-1 0,0 1 0,1-1 0,-1 0 0,0 1 0,0-1 0,1 0 0,-1 0 0,1 0 0,-1 0 0,1 0 0,-1 0 0,1 0 0,-1 0 0,1-1 0,0 1 0,0-1 0,-1 1 0,1-1 0,0 1 0,0-1 0,3 0 0,54-1 0,-44 0 0,-8 0 0,-1 0 0,1 0 0,-1 0 0,1-1 0,-1 0 0,0-1 0,0 1 0,0-1 0,0 0 0,0-1 0,-1 1 0,1-1 0,-1 0 0,0-1 0,5-4 0,-2-1 0,1 0 0,-1 0 0,-1 0 0,0-1 0,0 0 0,-1 0 0,4-13 0,-9 22 0,0-1 0,0 1 0,0 0 0,-1-1 0,1 1 0,-1-1 0,1 1 0,-1 0 0,0-1 0,0 1 0,0-1 0,-1 1 0,1-1 0,0 1 0,-1-1 0,0 1 0,1 0 0,-1-1 0,0 1 0,0 0 0,-1 0 0,1-1 0,0 1 0,-1 0 0,1 0 0,-1 0 0,1 1 0,-1-1 0,0 0 0,0 1 0,0-1 0,0 1 0,0 0 0,0-1 0,-1 1 0,1 0 0,0 0 0,0 0 0,-1 1 0,1-1 0,-1 1 0,-2-1 0,1 0 0,0 0 0,0 0 0,0 1 0,0-1 0,-1 1 0,1 0 0,0 0 0,0 1 0,0-1 0,0 1 0,0 0 0,0 0 0,0 0 0,0 1 0,1-1 0,-1 1 0,0 0 0,1 0 0,-1 0 0,1 1 0,0-1 0,0 1 0,0-1 0,0 1 0,-5 7 0,5-5 0,0 0 0,1 1 0,-1 0 0,1-1 0,1 1 0,-1 0 0,1 0 0,0 0 0,0 0 0,1 0 0,-1 0 0,1 0 0,1 0 0,-1 0 0,1 0 0,0 0 0,1 0 0,-1 0 0,1-1 0,0 1 0,1 0 0,-1-1 0,1 0 0,0 1 0,0-1 0,1 0 0,0-1 0,0 1 0,0-1 0,0 1 0,0-1 0,1 0 0,0-1 0,5 4 0,1-1 0,0 0 0,0 0 0,0-1 0,1-1 0,0 0 0,-1-1 0,1 0 0,0-1 0,1 0 0,-1-1 0,0 0 0,1-1 0,-1 0 0,0-1 0,25-5 0,-35 5 0,0 0 0,0 0 0,0 0 0,0 0 0,0-1 0,0 1 0,0 0 0,0-1 0,0 0 0,0 1 0,-1-1 0,1 0 0,-1 0 0,0 0 0,1 0 0,-1 0 0,0 0 0,0 0 0,0-1 0,0 1 0,-1 0 0,1-1 0,0 1 0,-1 0 0,0-1 0,0 1 0,0-1 0,0-3 0,-1-8 0,0-1 0,-1 1 0,-8-26 0,1 0 0,9 19 0,0 16 0,1 1 0,-1-1 0,0 1 0,0-1 0,-1 1 0,0-1 0,1 1 0,-1-1 0,-1 1 0,1 0 0,-1-1 0,-2-5 0,2 12 0,1 0 0,0 0 0,0 1 0,0-1 0,0 0 0,0 1 0,1-1 0,-1 1 0,1-1 0,-1 1 0,1-1 0,0 3 0,-3 18 0,1-16 0,1 0 0,0 1 0,0-1 0,1 1 0,-1-1 0,2 0 0,-1 1 0,1-1 0,3 14 0,-3-21 0,-1 1 0,0-1 0,0 0 0,1 1 0,-1-1 0,0 0 0,0 1 0,1-1 0,-1 0 0,0 1 0,1-1 0,-1 0 0,0 0 0,1 1 0,-1-1 0,1 0 0,-1 0 0,0 0 0,1 0 0,-1 1 0,1-1 0,-1 0 0,1 0 0,-1 0 0,0 0 0,1 0 0,-1 0 0,1 0 0,-1 0 0,1 0 0,-1 0 0,1-1 0,-1 1 0,0 0 0,1 0 0,-1 0 0,1-1 0,18-16 0,10-25 0,-26 36 0,0 0 0,0 1 0,1-1 0,-1 1 0,1 0 0,1 0 0,-1 0 0,1 0 0,-1 1 0,1-1 0,1 1 0,-1 0 0,1 1 0,6-4 0,0 0 0,-1-1 0,0 0 0,-1 0 0,1-1 0,15-19 0,20-17 0,-41 42 0,0 0 0,0 0 0,0 1 0,1-1 0,-1 1 0,1 1 0,0-1 0,-1 1 0,1 0 0,0 0 0,0 0 0,8 1 0,72 6 0,-84-6 0,1 0 0,-1 1 0,1 0 0,-1-1 0,1 1 0,-1 0 0,1 0 0,-1 0 0,0 1 0,0-1 0,0 1 0,0-1 0,0 1 0,0 0 0,0-1 0,0 1 0,0 0 0,2 4 0,-1-1 0,-1 0 0,1 1 0,-1-1 0,0 1 0,0 0 0,-1-1 0,2 12 0,-1 5 0,-1 0 0,-1-1 0,-3 31 0,2-46 0,0 1 0,0-1 0,0 1 0,-1-1 0,0 0 0,0 0 0,0 1 0,-1-1 0,0-1 0,0 1 0,-1 0 0,1-1 0,-1 0 0,0 0 0,-1 0 0,1 0 0,-1 0 0,0-1 0,-7 5 0,3-4 0,-1 0 0,1-1 0,0 0 0,-1-1 0,0 0 0,0-1 0,0 1 0,0-2 0,0 0 0,0 0 0,-16-1 0,-7-1 0,55-1 0,56 2-1365,-68 0-5461</inkml:trace>
  <inkml:trace contextRef="#ctx0" brushRef="#br0" timeOffset="8837.16">915 241 24575,'8'5'0,"-1"1"0,1-1 0,-1 0 0,2 0 0,-1-1 0,16 6 0,13 7 0,-24-12 0,-1 0 0,1-1 0,0 0 0,-1-1 0,2 0 0,-1-1 0,0-1 0,0 0 0,1-1 0,-1 0 0,21-4 0,-21 1-1365,-4-2-5461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13.723"/>
    </inkml:context>
    <inkml:brush xml:id="br0">
      <inkml:brushProperty name="width" value="0.025" units="cm"/>
      <inkml:brushProperty name="height" value="0.025" units="cm"/>
    </inkml:brush>
  </inkml:definitions>
  <inkml:trace contextRef="#ctx0" brushRef="#br0">0 1 24575,'0'3'0,"0"5"0,0 1-8191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13.255"/>
    </inkml:context>
    <inkml:brush xml:id="br0">
      <inkml:brushProperty name="width" value="0.025" units="cm"/>
      <inkml:brushProperty name="height" value="0.025" units="cm"/>
    </inkml:brush>
  </inkml:definitions>
  <inkml:trace contextRef="#ctx0" brushRef="#br0">9 166 24575,'1'-1'0,"-1"-1"0,0 1 0,0-1 0,1 1 0,-1-1 0,0 1 0,1 0 0,0-1 0,-1 1 0,1 0 0,0-1 0,0 1 0,0 0 0,-1 0 0,1 0 0,0-1 0,1 1 0,-1 0 0,0 0 0,0 1 0,0-1 0,1 0 0,-1 0 0,0 1 0,1-1 0,-1 0 0,0 1 0,3-1 0,51-8 0,-21 4 0,-18-6 0,-20 1 0,3 9 0,-1 0 0,0 0 0,0 0 0,0 1 0,1-1 0,-1 0 0,0 1 0,0 0 0,0-1 0,0 1 0,0 0 0,0 0 0,0 0 0,0 0 0,-3 1 0,-1 0 0,0 1 0,1 0 0,-1 0 0,1 0 0,0 1 0,0 0 0,0 0 0,0 0 0,0 0 0,0 1 0,1 0 0,0 0 0,0 0 0,0 1 0,0-1 0,1 1 0,-6 9 0,7-10 0,0-1 0,0 1 0,0 0 0,1 0 0,0 0 0,-1 0 0,2 0 0,-1 0 0,0 0 0,1 0 0,-1 0 0,1 0 0,1 0 0,-1 1 0,0-1 0,1 0 0,0 0 0,0 0 0,0 0 0,0 0 0,1-1 0,0 1 0,-1 0 0,1 0 0,4 5 0,-4-7 0,-1 0 0,1 0 0,-1 0 0,1 0 0,0 0 0,-1 0 0,1-1 0,0 1 0,0 0 0,1-1 0,-1 0 0,0 1 0,0-1 0,1 0 0,-1 0 0,0 0 0,1-1 0,-1 1 0,1-1 0,-1 1 0,1-1 0,-1 0 0,1 0 0,0 0 0,-1 0 0,1 0 0,-1 0 0,3-1 0,1-2 0,-1 0 0,1 0 0,-1 0 0,0-1 0,0 0 0,0 0 0,-1 0 0,1 0 0,-1-1 0,7-9 0,30-50 0,-38 59 0,0-1 0,-1 1 0,0-1 0,0 0 0,0 0 0,0 0 0,-1 0 0,0 0 0,-1 0 0,1-7 0,-1 12 0,0 0 0,0 1 0,0-1 0,0 0 0,0 0 0,0 1 0,0-1 0,0 0 0,0 0 0,-1 1 0,1-1 0,0 0 0,0 0 0,-1 1 0,1-1 0,0 0 0,-1 1 0,1-1 0,-1 1 0,1-1 0,-1 0 0,1 1 0,-1-1 0,0 1 0,1-1 0,-1 1 0,0 0 0,1-1 0,-1 1 0,-1-1 0,1 1 0,-1 0 0,1 1 0,0-1 0,-1 0 0,1 1 0,-1-1 0,1 1 0,0-1 0,0 1 0,-1 0 0,1-1 0,0 1 0,0 0 0,0 0 0,-2 1 0,-1 1 0,0 1 0,0 0 0,0 1 0,0-1 0,1 1 0,0-1 0,-6 10 0,7-6 0,0 0 0,0-1 0,1 1 0,0 0 0,0 0 0,1 0 0,0 0 0,1 0 0,-1-1 0,1 1 0,1 0 0,-1 0 0,4 8 0,-4-13 0,1 0 0,-1 0 0,0 0 0,1 0 0,0 0 0,0-1 0,0 1 0,0-1 0,0 1 0,0-1 0,1 1 0,-1-1 0,1 0 0,-1 0 0,1 0 0,0-1 0,0 1 0,0-1 0,0 1 0,0-1 0,0 0 0,0 0 0,1-1 0,-1 1 0,0-1 0,1 1 0,-1-1 0,0 0 0,0 0 0,1 0 0,-1-1 0,7-1 0,-8 1 0,1 0 0,0 0 0,-1 0 0,1 0 0,-1-1 0,0 1 0,1-1 0,-1 0 0,0 1 0,0-1 0,0 0 0,0 0 0,0 0 0,0-1 0,-1 1 0,1 0 0,-1-1 0,0 1 0,1-1 0,-1 0 0,0 1 0,-1-1 0,1 0 0,0 1 0,-1-1 0,1 0 0,-1-5 0,2-11 0,-2 0 0,0-1 0,-2-19 0,0 12 0,1 16 0,1-22 0,8 56 0,5 78 0,-13-122 0,-1 10 0,1 1 0,0-1 0,1 0 0,0 0 0,0 1 0,4-12 0,-5 21 0,0 1 0,0 0 0,0 0 0,1-1 0,-1 1 0,0 0 0,0 0 0,0-1 0,0 1 0,0 0 0,0 0 0,0 0 0,1-1 0,-1 1 0,0 0 0,0 0 0,0 0 0,0-1 0,1 1 0,-1 0 0,0 0 0,0 0 0,0 0 0,1 0 0,-1-1 0,0 1 0,0 0 0,1 0 0,-1 0 0,0 0 0,0 0 0,1 0 0,-1 0 0,0 0 0,0 0 0,1 0 0,-1 0 0,0 0 0,0 0 0,1 0 0,-1 0 0,0 0 0,0 0 0,1 1 0,10 11 0,6 19 0,-9-3 0,0-6 0,-6-53 0,-3 12 0,1-48 0,1 64 0,-1 0 0,0 0 0,1 0 0,0-1 0,0 1 0,0 1 0,0-1 0,0 0 0,0 0 0,1 0 0,-1 1 0,1-1 0,0 0 0,0 1 0,0 0 0,0-1 0,4-2 0,-5 4 0,-1 1 0,1-1 0,0 0 0,0 1 0,0-1 0,0 1 0,0-1 0,0 1 0,0 0 0,0-1 0,0 1 0,0 0 0,0 0 0,0 0 0,0 0 0,0-1 0,0 2 0,1-1 0,-1 0 0,0 0 0,0 0 0,0 0 0,0 1 0,0-1 0,0 0 0,0 1 0,0-1 0,0 1 0,1 0 0,0 1 0,0 1 0,0-1 0,-1 0 0,1 0 0,-1 1 0,1-1 0,-1 1 0,0-1 0,0 1 0,0 0 0,0 3 0,2 8 0,-1 0 0,0 0 0,-1 21 0,-1-27 0,0 0 0,1 0 0,0 0 0,0-1 0,1 1 0,3 12 0,-4-19 0,-1 1 0,1-1 0,-1 0 0,1 0 0,0 0 0,-1 1 0,1-1 0,0 0 0,0 0 0,0 0 0,0 0 0,0-1 0,0 1 0,0 0 0,0 0 0,0 0 0,0-1 0,0 1 0,1-1 0,-1 1 0,0-1 0,0 1 0,1-1 0,-1 0 0,0 1 0,1-1 0,-1 0 0,0 0 0,1 0 0,-1 0 0,0 0 0,1-1 0,-1 1 0,0 0 0,0 0 0,1-1 0,-1 1 0,0-1 0,0 1 0,1-1 0,-1 0 0,0 1 0,0-1 0,0 0 0,0 0 0,0 0 0,0 0 0,1-2 0,2-1 0,0 0 0,0 0 0,0 0 0,-1-1 0,0 0 0,0 0 0,3-6 0,2-11 0,-13 29 0,1 1 0,0-1 0,0 0 0,0 1 0,1 0 0,1 0 0,-1 0 0,1 0 0,1 0 0,-1 1 0,1 10 0,1-16 0,0 0 0,0 0 0,0 0 0,1 0 0,0 0 0,-1 0 0,1 0 0,0 0 0,0-1 0,1 1 0,-1 0 0,1-1 0,-1 1 0,1-1 0,0 1 0,0-1 0,0 0 0,0 0 0,0 0 0,1 0 0,-1 0 0,0 0 0,1 0 0,0-1 0,-1 0 0,1 1 0,0-1 0,0 0 0,-1 0 0,1-1 0,0 1 0,0 0 0,0-1 0,0 0 0,4 0 0,-2 0 0,-1 0 0,1-1 0,-1 1 0,1-1 0,-1-1 0,1 1 0,-1 0 0,0-1 0,0 0 0,0 0 0,0 0 0,0-1 0,0 1 0,0-1 0,-1 0 0,1 0 0,-1 0 0,0-1 0,0 1 0,4-6 0,7-10 0,-2 0 0,19-34 0,0-19 0,-30 67 0,1 0 0,0 0 0,-1 0 0,0 0 0,0 0 0,-1 0 0,1-1 0,-1 1 0,0 0 0,-1 0 0,1 0 0,-3-8 0,3 11 0,-1 1 0,1-1 0,-1 1 0,0 0 0,0-1 0,0 1 0,0 0 0,0-1 0,0 1 0,0 0 0,0 0 0,0 0 0,0 0 0,-1 0 0,1 0 0,0 0 0,-1 0 0,1 1 0,-1-1 0,1 0 0,-1 1 0,1-1 0,-1 1 0,0 0 0,1 0 0,-1-1 0,1 1 0,-1 0 0,0 0 0,1 0 0,-1 1 0,1-1 0,-1 0 0,1 0 0,-1 1 0,0-1 0,1 1 0,-1 0 0,1-1 0,0 1 0,-2 1 0,-2 0 0,1 1 0,-1 0 0,1 0 0,0 0 0,0 0 0,0 1 0,0 0 0,1-1 0,-1 1 0,1 1 0,-4 6 0,3-2 0,1 1 0,0-1 0,0 1 0,1 0 0,1 0 0,-1 0 0,2 0 0,-1 0 0,2 15 0,0-17 0,-1-1 0,1 0 0,1 1 0,-1-1 0,1 0 0,0 0 0,1 0 0,0 0 0,0 0 0,0 0 0,1-1 0,0 1 0,6 7 0,-3-9 7,-1 1 0,0-1-1,1 0 1,0-1 0,0 0-1,1 0 1,-1 0-1,1-1 1,0 0 0,0 0-1,0-1 1,0 0 0,0-1-1,0 0 1,0 0 0,1 0-1,10-2 1,-14 1-55,0-1 0,-1 1 0,1-1 0,0 0 0,-1-1 1,1 1-1,0-1 0,-1 0 0,0 0 0,1 0 0,-1-1 0,0 1 0,0-1 0,-1 0 0,1 0 1,0-1-1,-1 1 0,0-1 0,0 1 0,0-1 0,0 0 0,-1 0 0,1 0 0,-1-1 0,0 1 0,0-1 1,-1 1-1,0-1 0,1 0 0,0-6 0,0-7-6778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05.363"/>
    </inkml:context>
    <inkml:brush xml:id="br0">
      <inkml:brushProperty name="width" value="0.025" units="cm"/>
      <inkml:brushProperty name="height" value="0.025" units="cm"/>
    </inkml:brush>
  </inkml:definitions>
  <inkml:trace contextRef="#ctx0" brushRef="#br0">227 1 24575,'2'139'0,"-5"150"0,2-280 0,0 0 0,-1-1 0,0 1 0,0-1 0,-1 1 0,0-1 0,-1 0 0,0 0 0,0 0 0,-1 0 0,-10 13 0,12-18 0,1 0 0,-1 0 0,0-1 0,0 1 0,0-1 0,0 1 0,-1-1 0,1 0 0,-1 0 0,1 0 0,-1-1 0,0 1 0,0-1 0,1 0 0,-1 0 0,0 0 0,0-1 0,0 1 0,0-1 0,0 0 0,0 0 0,0-1 0,0 1 0,0-1 0,0 1 0,0-1 0,0-1 0,-6-2 0,6 3 6,0-1 0,0 0 0,1 0 0,-1 0 0,0-1 0,1 1 0,-1-1 0,1 0 0,0 0 0,0 0 0,0 0 0,1-1 0,-1 1 0,1-1 0,0 0 0,-1 0 0,2 1 0,-1-1 0,-2-8 0,1-1-303,1 0 0,1 0 0,0-1 0,1-26 0,1 23-6529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27:31.307"/>
    </inkml:context>
    <inkml:brush xml:id="br0">
      <inkml:brushProperty name="width" value="0.025" units="cm"/>
      <inkml:brushProperty name="height" value="0.025" units="cm"/>
    </inkml:brush>
  </inkml:definitions>
  <inkml:trace contextRef="#ctx0" brushRef="#br0">1 103 24575,'3'-1'0,"0"-1"0,1 1 0,-1-1 0,0 1 0,0-1 0,0 0 0,0 0 0,0 0 0,0-1 0,-1 1 0,5-5 0,17-13 0,-15 16 0,2 0 0,-1 0 0,0 1 0,0 1 0,1 0 0,0 0 0,-1 1 0,1 0 0,0 1 0,-1 0 0,21 4 0,-24-4 0,-1 1 0,1 0 0,-1 1 0,0 0 0,0 0 0,0 0 0,0 1 0,0 0 0,-1 0 0,1 0 0,-1 1 0,1-1 0,-1 1 0,0 1 0,-1-1 0,1 1 0,-1 0 0,0 0 0,0 0 0,4 8 0,-4-5 0,-1 0 0,0 0 0,0 0 0,-1 0 0,0 0 0,-1 1 0,0-1 0,0 1 0,0-1 0,-1 1 0,-1-1 0,1 1 0,-1-1 0,-1 1 0,0-1 0,0 0 0,0 0 0,-1 0 0,0 0 0,-1 0 0,0 0 0,-7 10 0,-1-3 0,0 0 0,-1 0 0,-1-1 0,0-1 0,-1-1 0,-1 0 0,0 0 0,-30 15 0,39-23 0,1 0 0,0 0 0,0 0 0,0 1 0,0 0 0,1 0 0,-6 7 0,11-11 0,-1 0 0,0 0 0,0 0 0,1 1 0,-1-1 0,1 0 0,-1 0 0,1 0 0,-1 0 0,1 1 0,0-1 0,0 0 0,0 0 0,-1 1 0,1-1 0,0 0 0,0 1 0,1-1 0,-1 2 0,1-1 0,0-1 0,0 1 0,0-1 0,0 0 0,0 1 0,0-1 0,1 0 0,-1 1 0,0-1 0,1 0 0,-1 0 0,1 0 0,-1 0 0,1-1 0,-1 1 0,1 0 0,0-1 0,2 2 0,22 4 0,0-1 0,0-1 0,0-1 0,0-2 0,1 0 0,39-5 0,5 1 0,-51 3-170,1-1-1,0-1 0,-1-1 1,1-1-1,-1-1 0,0-1 1,24-9-1,-20 4-6655</inkml:trace>
  <inkml:trace contextRef="#ctx0" brushRef="#br0" timeOffset="2936.9">773 0 24575,'-1'1'0,"-1"0"0,1-1 0,-1 1 0,1 0 0,0 0 0,-1 0 0,1 0 0,0 0 0,0 0 0,0 0 0,0 0 0,0 0 0,0 1 0,0-1 0,0 0 0,0 1 0,1-1 0,-1 1 0,0 2 0,-13 31 0,14-34 0,-11 31 0,2 0 0,1 1 0,1 0 0,2 0 0,2 0 0,0 37 0,3-57 0,0 1 0,0 0 0,1 0 0,0 0 0,1 0 0,8 27 0,-9-37 0,1-1 0,0 1 0,0-1 0,0 1 0,0-1 0,1 0 0,-1 0 0,1 0 0,0 0 0,0 0 0,0 0 0,0-1 0,1 0 0,-1 1 0,1-1 0,-1-1 0,1 1 0,0 0 0,-1-1 0,1 0 0,0 0 0,0 0 0,0 0 0,0-1 0,6 1 0,-2 0 0,0 0 0,0-1 0,0 0 0,0 0 0,0 0 0,0-1 0,-1 0 0,1-1 0,9-3 0,-14 4 0,0-1 0,0 0 0,-1 0 0,1 0 0,-1 0 0,1 0 0,-1-1 0,0 1 0,0 0 0,0-1 0,0 0 0,-1 1 0,1-1 0,-1 0 0,1 0 0,-1 0 0,0 0 0,0 0 0,-1 0 0,1-1 0,0 1 0,-1 0 0,0 0 0,0 0 0,0-4 0,0 0 0,0 0 0,0-1 0,-1 1 0,0 0 0,0 0 0,0 0 0,-1 0 0,0 0 0,-1 0 0,1 0 0,-8-12 0,7 16 0,1-1 0,-1 0 0,0 0 0,-1 1 0,1 0 0,0 0 0,-1 0 0,0 0 0,0 0 0,0 1 0,0-1 0,0 1 0,0 0 0,-1 1 0,1-1 0,-1 1 0,1-1 0,-1 2 0,-6-2 0,3 1-114,4 1-11,1 0 0,0 0 0,0-1 0,0 1 0,-1-1-1,1 0 1,0 0 0,0 0 0,-4-2 0,3-1-6701</inkml:trace>
  <inkml:trace contextRef="#ctx0" brushRef="#br0" timeOffset="4011.6">1097 489 24575,'0'0'-8191</inkml:trace>
  <inkml:trace contextRef="#ctx0" brushRef="#br0" timeOffset="7275.3">1280 21 24575,'2'0'0,"1"0"0,-1 0 0,0 1 0,1-1 0,-1 1 0,0-1 0,0 1 0,1-1 0,-1 1 0,0 0 0,0 0 0,0 0 0,0 1 0,0-1 0,0 0 0,0 1 0,0-1 0,-1 1 0,1 0 0,0-1 0,-1 1 0,1 0 0,-1 0 0,0 0 0,0 0 0,0 0 0,0 1 0,0-1 0,0 0 0,0 0 0,-1 0 0,1 1 0,-1 3 0,1-2 0,-1 1 0,0-1 0,0 0 0,0 0 0,-1 1 0,1-1 0,-1 0 0,0 0 0,0 0 0,0 0 0,-1 0 0,0 0 0,0 0 0,0 0 0,0-1 0,0 1 0,-1-1 0,-3 4 0,-25 20 0,25-23 0,-1 1 0,1 0 0,0 0 0,0 1 0,1 0 0,0 0 0,0 0 0,0 0 0,-4 9 0,9-14 0,0 0 0,-1 0 0,1 0 0,0 0 0,0-1 0,0 1 0,0 0 0,0 0 0,1 0 0,-1 0 0,0-1 0,0 1 0,0 0 0,1 0 0,-1 0 0,1-1 0,-1 1 0,0 0 0,1 0 0,-1-1 0,1 1 0,-1 0 0,1-1 0,0 1 0,-1-1 0,1 1 0,0-1 0,-1 1 0,1-1 0,0 1 0,0-1 0,-1 1 0,1-1 0,0 0 0,0 0 0,0 1 0,0-1 0,-1 0 0,1 0 0,0 0 0,0 0 0,0 0 0,1 0 0,46 2 0,-42-3 0,-2 1 0,0 0 0,0 1 0,0-1 0,0 1 0,0 0 0,0 0 0,0 0 0,0 0 0,0 1 0,0-1 0,0 1 0,-1 0 0,1 0 0,-1 1 0,1-1 0,-1 1 0,0-1 0,0 1 0,0 0 0,3 5 0,0 1 0,0 0 0,-1 1 0,0 0 0,0 0 0,-1 0 0,5 21 0,-7-22 0,0 0 0,-1 0 0,1 0 0,-2 0 0,1 1 0,-1-1 0,-1 0 0,0 0 0,0 1 0,-1-1 0,0 0 0,0 0 0,-5 10 0,5-14 0,-1 0 0,1-1 0,-1 1 0,0 0 0,0-1 0,-1 1 0,1-1 0,-1 0 0,0-1 0,0 1 0,0 0 0,-1-1 0,1 0 0,-1 0 0,0-1 0,0 1 0,0-1 0,0 0 0,0 0 0,0 0 0,0-1 0,-1 0 0,-6 1 0,-50-1-1365,44-2-5461</inkml:trace>
  <inkml:trace contextRef="#ctx0" brushRef="#br0" timeOffset="9125.75">1281 21 24575,'-4'0'0,"-4"0"0,-4 0 0,-4 0 0,-2 0 0,-3 0 0,4 0-8191</inkml:trace>
  <inkml:trace contextRef="#ctx0" brushRef="#br0" timeOffset="10102.72">1605 589 24575,'0'0'-8191</inkml:trace>
  <inkml:trace contextRef="#ctx0" brushRef="#br0" timeOffset="12345.76">1728 244 24575,'44'-60'0,"-36"46"0,1 0 0,1 1 0,0 0 0,17-15 0,-25 25 0,0 1 0,1 0 0,0 0 0,0 0 0,-1 1 0,1-1 0,0 0 0,0 1 0,1 0 0,-1 0 0,0 0 0,0 0 0,0 0 0,1 1 0,-1 0 0,0-1 0,1 1 0,-1 0 0,0 1 0,1-1 0,-1 0 0,0 1 0,1 0 0,-1 0 0,0 0 0,3 2 0,-2-1 0,0 0 0,0 1 0,0 0 0,-1 0 0,0 0 0,1 0 0,-1 1 0,0-1 0,-1 1 0,1 0 0,0 0 0,-1-1 0,3 8 0,21 60 0,-21-55 0,-1-5 0,-1 0 0,0 0 0,-1 0 0,0 0 0,-1 1 0,0-1 0,-1 1 0,-1-1 0,-2 18 0,2-21 0,-2 1 0,1-1 0,-1 0 0,0 0 0,-1-1 0,1 1 0,-2-1 0,1 1 0,-1-1 0,0 0 0,0-1 0,-1 0 0,-8 8 0,5-6 0,-16 15 0,-31 35 0,55-57 0,0-1 0,1 1 0,-1-1 0,1 1 0,-1-1 0,1 1 0,0 0 0,-1-1 0,1 1 0,-1 0 0,1-1 0,0 1 0,0 0 0,-1-1 0,1 1 0,0 0 0,0 0 0,0 0 0,0-1 0,0 1 0,0 0 0,0 0 0,0-1 0,0 1 0,0 0 0,1 0 0,-1-1 0,0 1 0,1 1 0,0-1 0,0 0 0,0 0 0,1 0 0,-1 0 0,0 0 0,1-1 0,-1 1 0,0 0 0,1-1 0,-1 1 0,1-1 0,-1 1 0,4 0 0,57 2 0,-56-3 0,124-2-1365,-113 2-5461</inkml:trace>
  <inkml:trace contextRef="#ctx0" brushRef="#br0" timeOffset="15629">2175 204 24575,'0'-16'0,"-1"9"0,1 0 0,0 1 0,1-1 0,-1 0 0,4-10 0,-4 15 0,1-1 0,0 1 0,0 0 0,1 0 0,-1 0 0,0 0 0,1 0 0,-1 1 0,1-1 0,-1 0 0,1 1 0,0-1 0,0 1 0,0-1 0,0 1 0,0 0 0,0 0 0,0 0 0,0 0 0,3-1 0,13-4 0,1 0 0,32-5 0,-46 10 0,1 0 0,-1 1 0,1-1 0,-1 1 0,1 0 0,-1 1 0,1-1 0,-1 1 0,1 0 0,-1 0 0,0 1 0,0 0 0,1 0 0,6 3 0,-10-2 0,1 0 0,0-1 0,-1 1 0,1 0 0,-1 1 0,0-1 0,0 0 0,0 0 0,-1 1 0,1 0 0,-1-1 0,0 1 0,0 0 0,0-1 0,0 1 0,0 6 0,0 68 0,-1-62 0,0-9 0,0-1 0,-1 1 0,0 0 0,0-1 0,0 1 0,-1-1 0,0 1 0,0-1 0,0 0 0,-1 0 0,0 0 0,0 0 0,-1 0 0,1-1 0,-8 8 0,7-9 0,-1 0 0,0-1 0,0 1 0,0-1 0,0 0 0,-1-1 0,1 1 0,-1-1 0,0 0 0,0 0 0,1-1 0,-1 1 0,0-1 0,0-1 0,-1 1 0,-11-2 0,-11 0 0,27-1 0,18 1 0,4 1 0,-6-1 0,-1 1 0,0 0 0,26 4 0,-34-3 0,0 1 0,-1-1 0,0 1 0,1 0 0,-1 0 0,0 0 0,0 1 0,0-1 0,0 1 0,0 0 0,-1 0 0,1 0 0,-1 1 0,6 7 0,-2-2 0,-1 0 0,0 0 0,0 1 0,-1 0 0,0 0 0,-1 0 0,6 21 0,-9-26 0,0 0 0,-1 0 0,1 0 0,-1 0 0,0 0 0,-1-1 0,1 1 0,-1 0 0,0 0 0,0 0 0,-1 0 0,1 0 0,-1-1 0,0 1 0,-1-1 0,1 1 0,-1-1 0,1 0 0,-7 7 0,3-4 0,-1 1 0,0-1 0,0 0 0,-1 0 0,0-1 0,0 0 0,0-1 0,-1 0 0,1 0 0,-12 4 0,15-7 0,-1-1 0,1 0 0,-1 0 0,1 0 0,-1 0 0,0-1 0,1 0 0,-1 0 0,0-1 0,1 1 0,-1-1 0,1-1 0,-1 1 0,1-1 0,0 0 0,-1 0 0,1 0 0,0-1 0,-6-3 0,-9-4 18,17 8-171,-1 1-1,1-1 0,0 1 0,0-1 1,0 0-1,0 0 0,0-1 1,-4-2-1,0-5-6672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8:30:07.406"/>
    </inkml:context>
    <inkml:brush xml:id="br0">
      <inkml:brushProperty name="width" value="0.025" units="cm"/>
      <inkml:brushProperty name="height" value="0.02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/23/23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Hil05</b:Tag>
    <b:SourceType>Misc</b:SourceType>
    <b:Guid>{47A0F3AD-5077-4A83-AA70-775CB6765129}</b:Guid>
    <b:Author>
      <b:Author>
        <b:NameList>
          <b:Person>
            <b:Last>Hilding</b:Last>
            <b:First>Tobias</b:First>
          </b:Person>
        </b:NameList>
      </b:Author>
    </b:Author>
    <b:Title>Evolution of Coke Properties while Descending through a Blast Furnace</b:Title>
    <b:Year>2005</b:Year>
    <b:Publisher>Luleå University of Technology Department of Chemical Engineering and Geosciences Division of Process Metallurgy </b:Publisher>
    <b:CountryRegion>Sweden</b:CountryRegion>
    <b:RefOrder>15</b:RefOrder>
  </b:Source>
  <b:Source>
    <b:Tag>Lun10</b:Tag>
    <b:SourceType>JournalArticle</b:SourceType>
    <b:Guid>{23E8BCF1-99F7-4606-A2A9-B3C7E472AB5C}</b:Guid>
    <b:Author>
      <b:Author>
        <b:NameList>
          <b:Person>
            <b:Last>Lundgren</b:Last>
            <b:First>M.</b:First>
          </b:Person>
        </b:NameList>
      </b:Author>
    </b:Author>
    <b:Title>Blast Furnace Coke Properties and the Influence on Off-gas Dust</b:Title>
    <b:JournalName>Licentiate Thesis</b:JournalName>
    <b:Year>2010</b:Year>
    <b:Publisher>Luleå University of Technology </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8ACD3C-CB22-4126-BDED-6882A078E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9673</TotalTime>
  <Pages>94</Pages>
  <Words>84240</Words>
  <Characters>480174</Characters>
  <Application>Microsoft Office Word</Application>
  <DocSecurity>0</DocSecurity>
  <Lines>4001</Lines>
  <Paragraphs>1126</Paragraphs>
  <ScaleCrop>false</ScaleCrop>
  <HeadingPairs>
    <vt:vector size="2" baseType="variant">
      <vt:variant>
        <vt:lpstr>Title</vt:lpstr>
      </vt:variant>
      <vt:variant>
        <vt:i4>1</vt:i4>
      </vt:variant>
    </vt:vector>
  </HeadingPairs>
  <TitlesOfParts>
    <vt:vector size="1" baseType="lpstr">
      <vt:lpstr>Reducing net CO2 emissions in steelmaking using Biochar</vt:lpstr>
    </vt:vector>
  </TitlesOfParts>
  <Company>148170</Company>
  <LinksUpToDate>false</LinksUpToDate>
  <CharactersWithSpaces>563288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Reducing net CO2 emissions in steelmaking using Biochar</dc:title>
  <dc:subject>Jamie Waters</dc:subject>
  <dc:creator>Jamie Waters (1551425)</dc:creator>
  <cp:keywords/>
  <dc:description/>
  <cp:lastModifiedBy>Jamie Waters</cp:lastModifiedBy>
  <cp:revision>508</cp:revision>
  <dcterms:created xsi:type="dcterms:W3CDTF">2023-02-18T17:24:00Z</dcterms:created>
  <dcterms:modified xsi:type="dcterms:W3CDTF">2023-03-26T19:56:00Z</dcterms:modified>
  <cp:category>Lean &amp; Agile Operations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id="58ReDItt"/&gt;&lt;style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 name="delayCitationUpdates" value="true"/&gt;&lt;pref name="dontAskDelayCitationUpdates" value="true"/&gt;&lt;/prefs&gt;&lt;/data&gt;</vt:lpwstr>
  </property>
</Properties>
</file>