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ECAA0" w14:textId="77777777" w:rsidR="00A5730C" w:rsidRDefault="00A5730C">
      <w:pPr>
        <w:spacing w:before="80" w:after="80"/>
      </w:pPr>
    </w:p>
    <w:p w14:paraId="5BD04420" w14:textId="77777777" w:rsidR="00A5730C" w:rsidRDefault="00A5730C">
      <w:pPr>
        <w:spacing w:before="80" w:after="80"/>
      </w:pPr>
    </w:p>
    <w:p w14:paraId="5FD25DF5" w14:textId="77777777" w:rsidR="00A5730C" w:rsidRDefault="00A5730C">
      <w:pPr>
        <w:spacing w:before="80" w:after="80"/>
      </w:pPr>
    </w:p>
    <w:p w14:paraId="246B7425" w14:textId="77777777" w:rsidR="00A5730C" w:rsidRDefault="00000000">
      <w:pPr>
        <w:spacing w:before="200" w:after="200"/>
        <w:jc w:val="center"/>
      </w:pPr>
      <w:r>
        <w:rPr>
          <w:b/>
          <w:bCs/>
          <w:color w:val="1F3864"/>
          <w:sz w:val="28"/>
          <w:szCs w:val="28"/>
        </w:rPr>
        <w:t>UNIVERSITY OF WALES TRINITY SAINT DAVID</w:t>
      </w:r>
    </w:p>
    <w:p w14:paraId="495377BF" w14:textId="77777777" w:rsidR="00A5730C" w:rsidRDefault="00A5730C">
      <w:pPr>
        <w:spacing w:before="80" w:after="80"/>
      </w:pPr>
    </w:p>
    <w:p w14:paraId="2225BF18" w14:textId="77777777" w:rsidR="00A5730C" w:rsidRDefault="00A5730C">
      <w:pPr>
        <w:pBdr>
          <w:bottom w:val="single" w:sz="6" w:space="1" w:color="CC0000"/>
        </w:pBdr>
        <w:spacing w:before="160" w:after="160"/>
      </w:pPr>
    </w:p>
    <w:p w14:paraId="1D20B3FE" w14:textId="77777777" w:rsidR="00A5730C" w:rsidRDefault="00A5730C">
      <w:pPr>
        <w:spacing w:before="80" w:after="80"/>
      </w:pPr>
    </w:p>
    <w:p w14:paraId="0AA5DA90" w14:textId="77777777" w:rsidR="00A5730C" w:rsidRDefault="00000000">
      <w:pPr>
        <w:spacing w:before="160" w:after="160"/>
        <w:jc w:val="center"/>
      </w:pPr>
      <w:r>
        <w:rPr>
          <w:b/>
          <w:bCs/>
          <w:color w:val="CC0000"/>
          <w:sz w:val="36"/>
          <w:szCs w:val="36"/>
        </w:rPr>
        <w:t>PORTFOLIO: BRAND DEVELOPMENT</w:t>
      </w:r>
    </w:p>
    <w:p w14:paraId="17BE7E23" w14:textId="77777777" w:rsidR="00A5730C" w:rsidRDefault="00000000">
      <w:pPr>
        <w:spacing w:before="80" w:after="80"/>
        <w:jc w:val="center"/>
      </w:pPr>
      <w:r>
        <w:rPr>
          <w:b/>
          <w:bCs/>
          <w:color w:val="1F3864"/>
          <w:sz w:val="28"/>
          <w:szCs w:val="28"/>
        </w:rPr>
        <w:t>Tesla – Smart Home Energy Hub</w:t>
      </w:r>
    </w:p>
    <w:p w14:paraId="01F9C48F" w14:textId="77777777" w:rsidR="00A5730C" w:rsidRDefault="00A5730C">
      <w:pPr>
        <w:spacing w:before="80" w:after="80"/>
      </w:pPr>
    </w:p>
    <w:p w14:paraId="65F64C22" w14:textId="77777777" w:rsidR="00A5730C" w:rsidRDefault="00A5730C">
      <w:pPr>
        <w:spacing w:before="80" w:after="80"/>
      </w:pPr>
    </w:p>
    <w:p w14:paraId="34D3984F" w14:textId="77777777" w:rsidR="00A5730C" w:rsidRDefault="00000000">
      <w:pPr>
        <w:spacing w:before="80" w:after="80"/>
        <w:jc w:val="center"/>
      </w:pPr>
      <w:r>
        <w:rPr>
          <w:b/>
          <w:bCs/>
        </w:rPr>
        <w:t>Student Name: MD SAMSOJJAMAN SIYAM</w:t>
      </w:r>
    </w:p>
    <w:p w14:paraId="3486E505" w14:textId="77777777" w:rsidR="00A5730C" w:rsidRDefault="00000000">
      <w:pPr>
        <w:spacing w:before="80" w:after="80"/>
        <w:jc w:val="center"/>
      </w:pPr>
      <w:r>
        <w:rPr>
          <w:b/>
          <w:bCs/>
        </w:rPr>
        <w:t>Student ID: 2520477</w:t>
      </w:r>
    </w:p>
    <w:p w14:paraId="360CADE2" w14:textId="77777777" w:rsidR="00A5730C" w:rsidRDefault="00000000">
      <w:pPr>
        <w:spacing w:before="80" w:after="80"/>
        <w:jc w:val="center"/>
      </w:pPr>
      <w:r>
        <w:rPr>
          <w:b/>
          <w:bCs/>
        </w:rPr>
        <w:t>Module Name: Marketing Management</w:t>
      </w:r>
    </w:p>
    <w:p w14:paraId="1F77925E" w14:textId="77777777" w:rsidR="00A5730C" w:rsidRDefault="00000000">
      <w:pPr>
        <w:spacing w:before="80" w:after="80"/>
        <w:jc w:val="center"/>
      </w:pPr>
      <w:r>
        <w:rPr>
          <w:b/>
          <w:bCs/>
        </w:rPr>
        <w:t>Module Code: LCMB7024</w:t>
      </w:r>
    </w:p>
    <w:p w14:paraId="4936DCC4" w14:textId="77777777" w:rsidR="00A5730C" w:rsidRDefault="00000000">
      <w:pPr>
        <w:spacing w:before="80" w:after="80"/>
        <w:jc w:val="center"/>
      </w:pPr>
      <w:r>
        <w:rPr>
          <w:b/>
          <w:bCs/>
        </w:rPr>
        <w:t xml:space="preserve">Lecturer's Name: Taonga Kaonga </w:t>
      </w:r>
      <w:proofErr w:type="spellStart"/>
      <w:r>
        <w:rPr>
          <w:b/>
          <w:bCs/>
        </w:rPr>
        <w:t>Sobere</w:t>
      </w:r>
      <w:proofErr w:type="spellEnd"/>
      <w:r>
        <w:rPr>
          <w:b/>
          <w:bCs/>
        </w:rPr>
        <w:t xml:space="preserve"> </w:t>
      </w:r>
      <w:proofErr w:type="spellStart"/>
      <w:r>
        <w:rPr>
          <w:b/>
          <w:bCs/>
        </w:rPr>
        <w:t>Snithers</w:t>
      </w:r>
      <w:proofErr w:type="spellEnd"/>
    </w:p>
    <w:p w14:paraId="5E0C4C29" w14:textId="77777777" w:rsidR="00A5730C" w:rsidRDefault="00A5730C">
      <w:pPr>
        <w:spacing w:before="80" w:after="80"/>
      </w:pPr>
    </w:p>
    <w:p w14:paraId="18D29677" w14:textId="77777777" w:rsidR="00A5730C" w:rsidRDefault="00A5730C">
      <w:pPr>
        <w:pBdr>
          <w:bottom w:val="single" w:sz="6" w:space="1" w:color="CC0000"/>
        </w:pBdr>
        <w:spacing w:before="160" w:after="160"/>
      </w:pPr>
    </w:p>
    <w:p w14:paraId="61E31757" w14:textId="77777777" w:rsidR="00A5730C" w:rsidRDefault="00000000">
      <w:pPr>
        <w:spacing w:before="160" w:after="80"/>
        <w:jc w:val="center"/>
      </w:pPr>
      <w:r>
        <w:rPr>
          <w:i/>
          <w:iCs/>
          <w:color w:val="555555"/>
          <w:sz w:val="22"/>
          <w:szCs w:val="22"/>
        </w:rPr>
        <w:t>University of Wales Trinity Saint David</w:t>
      </w:r>
    </w:p>
    <w:p w14:paraId="600342B7" w14:textId="041E1696" w:rsidR="00A5730C" w:rsidRDefault="00A5730C">
      <w:pPr>
        <w:spacing w:before="80" w:after="80"/>
        <w:jc w:val="center"/>
      </w:pPr>
    </w:p>
    <w:p w14:paraId="17B9EEFC" w14:textId="75F7A039" w:rsidR="00D11CA8" w:rsidRDefault="00D11CA8"/>
    <w:p w14:paraId="72BB5908" w14:textId="77777777" w:rsidR="00D11CA8" w:rsidRDefault="00D11CA8"/>
    <w:p w14:paraId="53917A45" w14:textId="77777777" w:rsidR="00D11CA8" w:rsidRDefault="00D11CA8"/>
    <w:p w14:paraId="0095F2E4" w14:textId="77777777" w:rsidR="00D43F87" w:rsidRDefault="00D43F87"/>
    <w:p w14:paraId="27194E47" w14:textId="77777777" w:rsidR="00D43F87" w:rsidRDefault="00D43F87"/>
    <w:p w14:paraId="01B9FA96" w14:textId="77777777" w:rsidR="00D43F87" w:rsidRDefault="00D43F87"/>
    <w:p w14:paraId="5C5D246E" w14:textId="77777777" w:rsidR="00D43F87" w:rsidRDefault="00D43F87"/>
    <w:p w14:paraId="749C89D7" w14:textId="77777777" w:rsidR="00D43F87" w:rsidRDefault="00D43F87"/>
    <w:p w14:paraId="05812CDE" w14:textId="77777777" w:rsidR="00D43F87" w:rsidRDefault="00D43F87"/>
    <w:p w14:paraId="5128E50C" w14:textId="77777777" w:rsidR="00D43F87" w:rsidRDefault="00D43F87"/>
    <w:p w14:paraId="61CFEA58" w14:textId="77777777" w:rsidR="00D43F87" w:rsidRDefault="00D43F87"/>
    <w:p w14:paraId="34A9E258" w14:textId="77777777" w:rsidR="00D43F87" w:rsidRDefault="00D43F87"/>
    <w:p w14:paraId="32DD8BA6" w14:textId="77777777" w:rsidR="00D43F87" w:rsidRDefault="00D43F87"/>
    <w:p w14:paraId="43EEA964" w14:textId="77777777" w:rsidR="00D43F87" w:rsidRDefault="00D43F87"/>
    <w:p w14:paraId="37FE9C91" w14:textId="77777777" w:rsidR="00D43F87" w:rsidRDefault="00D43F87"/>
    <w:p w14:paraId="6C669D81" w14:textId="77777777" w:rsidR="00D43F87" w:rsidRDefault="00D43F87"/>
    <w:p w14:paraId="3F5D382C" w14:textId="77777777" w:rsidR="00D43F87" w:rsidRDefault="00D43F87"/>
    <w:p w14:paraId="2C1031E8" w14:textId="77777777" w:rsidR="00D43F87" w:rsidRDefault="00D43F87"/>
    <w:p w14:paraId="2728A7C8" w14:textId="77777777" w:rsidR="00D43F87" w:rsidRDefault="00D43F87"/>
    <w:p w14:paraId="2EFC4F3A" w14:textId="77777777" w:rsidR="00D43F87" w:rsidRDefault="00D43F87"/>
    <w:p w14:paraId="3BE6D39E" w14:textId="77777777" w:rsidR="00D43F87" w:rsidRDefault="00D43F87"/>
    <w:p w14:paraId="71344B5A" w14:textId="10526B39" w:rsidR="00D11CA8" w:rsidRDefault="00D43F87">
      <w:r>
        <w:t xml:space="preserve">Table of content </w:t>
      </w:r>
    </w:p>
    <w:p w14:paraId="5245B383" w14:textId="77777777" w:rsidR="00D11CA8" w:rsidRDefault="00D11CA8"/>
    <w:p w14:paraId="66D25C2D" w14:textId="77777777" w:rsidR="00D11CA8" w:rsidRDefault="00D11CA8"/>
    <w:p w14:paraId="0BFCFBE2" w14:textId="77777777" w:rsidR="00D11CA8" w:rsidRDefault="00D11CA8"/>
    <w:tbl>
      <w:tblPr>
        <w:tblW w:w="9807" w:type="dxa"/>
        <w:tblCellSpacing w:w="15" w:type="dxa"/>
        <w:tblInd w:w="95" w:type="dxa"/>
        <w:tblCellMar>
          <w:top w:w="15" w:type="dxa"/>
          <w:left w:w="15" w:type="dxa"/>
          <w:bottom w:w="15" w:type="dxa"/>
          <w:right w:w="15" w:type="dxa"/>
        </w:tblCellMar>
        <w:tblLook w:val="04A0" w:firstRow="1" w:lastRow="0" w:firstColumn="1" w:lastColumn="0" w:noHBand="0" w:noVBand="1"/>
      </w:tblPr>
      <w:tblGrid>
        <w:gridCol w:w="95"/>
        <w:gridCol w:w="7855"/>
        <w:gridCol w:w="95"/>
        <w:gridCol w:w="539"/>
        <w:gridCol w:w="1223"/>
      </w:tblGrid>
      <w:tr w:rsidR="00D43F87" w:rsidRPr="00D43F87" w14:paraId="0BBA56F5" w14:textId="77777777" w:rsidTr="000F7A86">
        <w:trPr>
          <w:gridAfter w:val="1"/>
          <w:wAfter w:w="1178" w:type="dxa"/>
          <w:trHeight w:val="590"/>
          <w:tblHeader/>
          <w:tblCellSpacing w:w="15" w:type="dxa"/>
        </w:trPr>
        <w:tc>
          <w:tcPr>
            <w:tcW w:w="7905" w:type="dxa"/>
            <w:gridSpan w:val="2"/>
            <w:vAlign w:val="center"/>
            <w:hideMark/>
          </w:tcPr>
          <w:p w14:paraId="5627AF78" w14:textId="77777777" w:rsidR="00D43F87" w:rsidRPr="00D43F87" w:rsidRDefault="00D43F87" w:rsidP="00D43F87">
            <w:pPr>
              <w:rPr>
                <w:b/>
                <w:bCs/>
              </w:rPr>
            </w:pPr>
            <w:r w:rsidRPr="00D43F87">
              <w:rPr>
                <w:b/>
                <w:bCs/>
              </w:rPr>
              <w:t>Title</w:t>
            </w:r>
          </w:p>
        </w:tc>
        <w:tc>
          <w:tcPr>
            <w:tcW w:w="604" w:type="dxa"/>
            <w:gridSpan w:val="2"/>
            <w:vAlign w:val="center"/>
            <w:hideMark/>
          </w:tcPr>
          <w:p w14:paraId="4B836B5B" w14:textId="77777777" w:rsidR="00D43F87" w:rsidRPr="00D43F87" w:rsidRDefault="00D43F87" w:rsidP="00D43F87">
            <w:pPr>
              <w:rPr>
                <w:b/>
                <w:bCs/>
              </w:rPr>
            </w:pPr>
            <w:r w:rsidRPr="00D43F87">
              <w:rPr>
                <w:b/>
                <w:bCs/>
              </w:rPr>
              <w:t>Page No.</w:t>
            </w:r>
          </w:p>
        </w:tc>
      </w:tr>
      <w:tr w:rsidR="00D43F87" w:rsidRPr="00D43F87" w14:paraId="78BB591D" w14:textId="77777777" w:rsidTr="000F7A86">
        <w:trPr>
          <w:trHeight w:hRule="exact" w:val="21"/>
          <w:tblCellSpacing w:w="15" w:type="dxa"/>
        </w:trPr>
        <w:tc>
          <w:tcPr>
            <w:tcW w:w="50" w:type="dxa"/>
            <w:vAlign w:val="center"/>
            <w:hideMark/>
          </w:tcPr>
          <w:p w14:paraId="06A6A0C4" w14:textId="1C484815" w:rsidR="00D43F87" w:rsidRPr="00D43F87" w:rsidRDefault="00D43F87" w:rsidP="00D43F87"/>
        </w:tc>
        <w:tc>
          <w:tcPr>
            <w:tcW w:w="7920" w:type="dxa"/>
            <w:gridSpan w:val="2"/>
            <w:vAlign w:val="center"/>
            <w:hideMark/>
          </w:tcPr>
          <w:p w14:paraId="417235AD" w14:textId="4AFE63D2" w:rsidR="00D43F87" w:rsidRPr="00D43F87" w:rsidRDefault="00D43F87" w:rsidP="00D43F87"/>
        </w:tc>
        <w:tc>
          <w:tcPr>
            <w:tcW w:w="1717" w:type="dxa"/>
            <w:gridSpan w:val="2"/>
            <w:vAlign w:val="center"/>
            <w:hideMark/>
          </w:tcPr>
          <w:p w14:paraId="558209B5" w14:textId="1C020A79" w:rsidR="00D43F87" w:rsidRPr="00D43F87" w:rsidRDefault="00D43F87" w:rsidP="00D43F87"/>
        </w:tc>
      </w:tr>
      <w:tr w:rsidR="00D43F87" w:rsidRPr="00D43F87" w14:paraId="10CB616B" w14:textId="77777777" w:rsidTr="000F7A86">
        <w:trPr>
          <w:trHeight w:val="896"/>
          <w:tblCellSpacing w:w="15" w:type="dxa"/>
        </w:trPr>
        <w:tc>
          <w:tcPr>
            <w:tcW w:w="50" w:type="dxa"/>
            <w:vAlign w:val="center"/>
            <w:hideMark/>
          </w:tcPr>
          <w:p w14:paraId="4656B11C" w14:textId="15588A51" w:rsidR="00D43F87" w:rsidRPr="00D43F87" w:rsidRDefault="00D43F87" w:rsidP="00D43F87"/>
        </w:tc>
        <w:tc>
          <w:tcPr>
            <w:tcW w:w="7920" w:type="dxa"/>
            <w:gridSpan w:val="2"/>
            <w:vAlign w:val="center"/>
            <w:hideMark/>
          </w:tcPr>
          <w:p w14:paraId="7998E615" w14:textId="51B53906" w:rsidR="00D43F87" w:rsidRPr="00D43F87" w:rsidRDefault="00D43F87" w:rsidP="00D43F87">
            <w:pPr>
              <w:rPr>
                <w:b/>
                <w:bCs/>
              </w:rPr>
            </w:pPr>
            <w:r w:rsidRPr="00D43F87">
              <w:rPr>
                <w:b/>
                <w:bCs/>
              </w:rPr>
              <w:t>Element 1: Brand Extension Poster Presentation</w:t>
            </w:r>
          </w:p>
          <w:p w14:paraId="4716A2C5" w14:textId="77777777" w:rsidR="00D43F87" w:rsidRDefault="00D43F87" w:rsidP="00D43F87">
            <w:r w:rsidRPr="00D43F87">
              <w:t>Introduction to Tesla</w:t>
            </w:r>
          </w:p>
          <w:p w14:paraId="06D55784" w14:textId="1312C257" w:rsidR="00D43F87" w:rsidRPr="00D43F87" w:rsidRDefault="00D43F87" w:rsidP="00D43F87"/>
        </w:tc>
        <w:tc>
          <w:tcPr>
            <w:tcW w:w="1717" w:type="dxa"/>
            <w:gridSpan w:val="2"/>
            <w:vAlign w:val="center"/>
            <w:hideMark/>
          </w:tcPr>
          <w:p w14:paraId="418B1C59" w14:textId="79BFBA92" w:rsidR="00D43F87" w:rsidRPr="00D43F87" w:rsidRDefault="00D43F87" w:rsidP="00D43F87">
            <w:r>
              <w:t>3</w:t>
            </w:r>
          </w:p>
        </w:tc>
      </w:tr>
      <w:tr w:rsidR="00D43F87" w:rsidRPr="00D43F87" w14:paraId="33EB269A" w14:textId="77777777" w:rsidTr="000F7A86">
        <w:trPr>
          <w:gridAfter w:val="1"/>
          <w:wAfter w:w="1178" w:type="dxa"/>
          <w:trHeight w:val="568"/>
          <w:tblCellSpacing w:w="15" w:type="dxa"/>
        </w:trPr>
        <w:tc>
          <w:tcPr>
            <w:tcW w:w="7905" w:type="dxa"/>
            <w:gridSpan w:val="2"/>
            <w:vAlign w:val="center"/>
            <w:hideMark/>
          </w:tcPr>
          <w:p w14:paraId="298C8A59" w14:textId="3AD22AF7" w:rsidR="00D43F87" w:rsidRDefault="00D43F87" w:rsidP="00D43F87">
            <w:pPr>
              <w:rPr>
                <w:b/>
                <w:bCs/>
              </w:rPr>
            </w:pPr>
            <w:r w:rsidRPr="00D43F87">
              <w:rPr>
                <w:b/>
                <w:bCs/>
              </w:rPr>
              <w:t>Element 2: Segmentation, Targeting, Differentiation, and Positioning (STDP) Analysis</w:t>
            </w:r>
          </w:p>
          <w:p w14:paraId="70A15BC4" w14:textId="77777777" w:rsidR="00D43F87" w:rsidRPr="00D43F87" w:rsidRDefault="00D43F87" w:rsidP="00D43F87"/>
        </w:tc>
        <w:tc>
          <w:tcPr>
            <w:tcW w:w="604" w:type="dxa"/>
            <w:gridSpan w:val="2"/>
            <w:vAlign w:val="center"/>
            <w:hideMark/>
          </w:tcPr>
          <w:p w14:paraId="794A56A6" w14:textId="76662A65" w:rsidR="00D43F87" w:rsidRPr="00D43F87" w:rsidRDefault="00D43F87" w:rsidP="00D43F87">
            <w:r>
              <w:t>4</w:t>
            </w:r>
          </w:p>
        </w:tc>
      </w:tr>
      <w:tr w:rsidR="00D43F87" w:rsidRPr="00D43F87" w14:paraId="2CF5B0E4" w14:textId="77777777" w:rsidTr="000F7A86">
        <w:trPr>
          <w:gridAfter w:val="1"/>
          <w:wAfter w:w="1178" w:type="dxa"/>
          <w:trHeight w:val="70"/>
          <w:tblCellSpacing w:w="15" w:type="dxa"/>
        </w:trPr>
        <w:tc>
          <w:tcPr>
            <w:tcW w:w="7905" w:type="dxa"/>
            <w:gridSpan w:val="2"/>
            <w:vAlign w:val="center"/>
            <w:hideMark/>
          </w:tcPr>
          <w:p w14:paraId="01AB0703" w14:textId="77777777" w:rsidR="00D43F87" w:rsidRPr="00D43F87" w:rsidRDefault="00D43F87" w:rsidP="00D43F87">
            <w:r w:rsidRPr="00D43F87">
              <w:t>Market Segmentation</w:t>
            </w:r>
          </w:p>
        </w:tc>
        <w:tc>
          <w:tcPr>
            <w:tcW w:w="604" w:type="dxa"/>
            <w:gridSpan w:val="2"/>
            <w:vAlign w:val="center"/>
            <w:hideMark/>
          </w:tcPr>
          <w:p w14:paraId="1938A3EE" w14:textId="3A9E6586" w:rsidR="00D43F87" w:rsidRPr="00D43F87" w:rsidRDefault="00D43F87" w:rsidP="00D43F87">
            <w:r>
              <w:t>4</w:t>
            </w:r>
          </w:p>
        </w:tc>
      </w:tr>
      <w:tr w:rsidR="00D43F87" w:rsidRPr="00D43F87" w14:paraId="758EF577" w14:textId="77777777" w:rsidTr="000F7A86">
        <w:trPr>
          <w:gridAfter w:val="1"/>
          <w:wAfter w:w="1178" w:type="dxa"/>
          <w:trHeight w:val="284"/>
          <w:tblCellSpacing w:w="15" w:type="dxa"/>
        </w:trPr>
        <w:tc>
          <w:tcPr>
            <w:tcW w:w="7905" w:type="dxa"/>
            <w:gridSpan w:val="2"/>
            <w:vAlign w:val="center"/>
            <w:hideMark/>
          </w:tcPr>
          <w:p w14:paraId="5DAFC9D6" w14:textId="77777777" w:rsidR="00D43F87" w:rsidRPr="00D43F87" w:rsidRDefault="00D43F87" w:rsidP="00D43F87">
            <w:r w:rsidRPr="00D43F87">
              <w:t>Targeting Strategy</w:t>
            </w:r>
          </w:p>
        </w:tc>
        <w:tc>
          <w:tcPr>
            <w:tcW w:w="604" w:type="dxa"/>
            <w:gridSpan w:val="2"/>
            <w:vAlign w:val="center"/>
            <w:hideMark/>
          </w:tcPr>
          <w:p w14:paraId="3BDF0350" w14:textId="24D686F5" w:rsidR="00D43F87" w:rsidRPr="00D43F87" w:rsidRDefault="000F7A86" w:rsidP="00D43F87">
            <w:r>
              <w:t>5</w:t>
            </w:r>
          </w:p>
        </w:tc>
      </w:tr>
      <w:tr w:rsidR="00D43F87" w:rsidRPr="00D43F87" w14:paraId="7FD7DB71" w14:textId="77777777" w:rsidTr="000F7A86">
        <w:trPr>
          <w:gridAfter w:val="1"/>
          <w:wAfter w:w="1178" w:type="dxa"/>
          <w:trHeight w:val="284"/>
          <w:tblCellSpacing w:w="15" w:type="dxa"/>
        </w:trPr>
        <w:tc>
          <w:tcPr>
            <w:tcW w:w="7905" w:type="dxa"/>
            <w:gridSpan w:val="2"/>
            <w:vAlign w:val="center"/>
            <w:hideMark/>
          </w:tcPr>
          <w:p w14:paraId="7954DCE7" w14:textId="77777777" w:rsidR="00D43F87" w:rsidRDefault="00D43F87" w:rsidP="00D43F87">
            <w:r w:rsidRPr="00D43F87">
              <w:t>Differentiation Strategy</w:t>
            </w:r>
          </w:p>
          <w:p w14:paraId="018452CA" w14:textId="77777777" w:rsidR="000F7A86" w:rsidRDefault="000F7A86" w:rsidP="00D43F87"/>
          <w:p w14:paraId="2CD1A947" w14:textId="77777777" w:rsidR="000F7A86" w:rsidRPr="00D43F87" w:rsidRDefault="000F7A86" w:rsidP="00D43F87"/>
        </w:tc>
        <w:tc>
          <w:tcPr>
            <w:tcW w:w="604" w:type="dxa"/>
            <w:gridSpan w:val="2"/>
            <w:vAlign w:val="center"/>
            <w:hideMark/>
          </w:tcPr>
          <w:p w14:paraId="6FBF583F" w14:textId="77777777" w:rsidR="00D43F87" w:rsidRDefault="000F7A86" w:rsidP="00D43F87">
            <w:r>
              <w:t>6</w:t>
            </w:r>
          </w:p>
          <w:p w14:paraId="68A3D3A1" w14:textId="77777777" w:rsidR="000F7A86" w:rsidRDefault="000F7A86" w:rsidP="00D43F87"/>
          <w:p w14:paraId="0257DD77" w14:textId="0311728F" w:rsidR="000F7A86" w:rsidRPr="00D43F87" w:rsidRDefault="000F7A86" w:rsidP="00D43F87"/>
        </w:tc>
      </w:tr>
      <w:tr w:rsidR="00D43F87" w:rsidRPr="00D43F87" w14:paraId="381390C0" w14:textId="77777777" w:rsidTr="000F7A86">
        <w:trPr>
          <w:gridAfter w:val="1"/>
          <w:wAfter w:w="1178" w:type="dxa"/>
          <w:trHeight w:val="284"/>
          <w:tblCellSpacing w:w="15" w:type="dxa"/>
        </w:trPr>
        <w:tc>
          <w:tcPr>
            <w:tcW w:w="7905" w:type="dxa"/>
            <w:gridSpan w:val="2"/>
            <w:vAlign w:val="center"/>
            <w:hideMark/>
          </w:tcPr>
          <w:p w14:paraId="2B622486" w14:textId="77777777" w:rsidR="00D43F87" w:rsidRPr="00D43F87" w:rsidRDefault="00D43F87" w:rsidP="00D43F87">
            <w:r w:rsidRPr="00D43F87">
              <w:rPr>
                <w:b/>
                <w:bCs/>
              </w:rPr>
              <w:t>Element 3: Marketing Mix (7Ps)</w:t>
            </w:r>
          </w:p>
        </w:tc>
        <w:tc>
          <w:tcPr>
            <w:tcW w:w="604" w:type="dxa"/>
            <w:gridSpan w:val="2"/>
            <w:vAlign w:val="center"/>
            <w:hideMark/>
          </w:tcPr>
          <w:p w14:paraId="6F1FF554" w14:textId="0089DCF9" w:rsidR="00D43F87" w:rsidRPr="00D43F87" w:rsidRDefault="000F7A86" w:rsidP="00D43F87">
            <w:r>
              <w:t>7</w:t>
            </w:r>
          </w:p>
        </w:tc>
      </w:tr>
      <w:tr w:rsidR="00130365" w:rsidRPr="00D43F87" w14:paraId="4310CB6C" w14:textId="77777777" w:rsidTr="000F7A86">
        <w:trPr>
          <w:gridAfter w:val="1"/>
          <w:wAfter w:w="1178" w:type="dxa"/>
          <w:trHeight w:val="284"/>
          <w:tblCellSpacing w:w="15" w:type="dxa"/>
        </w:trPr>
        <w:tc>
          <w:tcPr>
            <w:tcW w:w="7905" w:type="dxa"/>
            <w:gridSpan w:val="2"/>
            <w:vAlign w:val="center"/>
          </w:tcPr>
          <w:p w14:paraId="2404B8DA" w14:textId="7658CAD8" w:rsidR="00130365" w:rsidRPr="00D43F87" w:rsidRDefault="00130365" w:rsidP="00D43F87">
            <w:pPr>
              <w:rPr>
                <w:b/>
                <w:bCs/>
              </w:rPr>
            </w:pPr>
            <w:r w:rsidRPr="00F71701">
              <w:t>Marketing Mix Analysis for the Tesla Home Energy Hub</w:t>
            </w:r>
          </w:p>
        </w:tc>
        <w:tc>
          <w:tcPr>
            <w:tcW w:w="604" w:type="dxa"/>
            <w:gridSpan w:val="2"/>
            <w:vAlign w:val="center"/>
          </w:tcPr>
          <w:p w14:paraId="64343CE3" w14:textId="476AADCA" w:rsidR="00130365" w:rsidRDefault="00130365" w:rsidP="00D43F87">
            <w:r>
              <w:t>7</w:t>
            </w:r>
          </w:p>
        </w:tc>
      </w:tr>
      <w:tr w:rsidR="00D43F87" w:rsidRPr="00D43F87" w14:paraId="7B889701" w14:textId="77777777" w:rsidTr="000F7A86">
        <w:trPr>
          <w:gridAfter w:val="1"/>
          <w:wAfter w:w="1178" w:type="dxa"/>
          <w:trHeight w:val="262"/>
          <w:tblCellSpacing w:w="15" w:type="dxa"/>
        </w:trPr>
        <w:tc>
          <w:tcPr>
            <w:tcW w:w="7905" w:type="dxa"/>
            <w:gridSpan w:val="2"/>
            <w:vAlign w:val="center"/>
            <w:hideMark/>
          </w:tcPr>
          <w:p w14:paraId="0EF2CC41" w14:textId="77777777" w:rsidR="00D43F87" w:rsidRPr="00D43F87" w:rsidRDefault="00D43F87" w:rsidP="00D43F87">
            <w:r w:rsidRPr="00D43F87">
              <w:t>Product</w:t>
            </w:r>
          </w:p>
        </w:tc>
        <w:tc>
          <w:tcPr>
            <w:tcW w:w="604" w:type="dxa"/>
            <w:gridSpan w:val="2"/>
            <w:vAlign w:val="center"/>
            <w:hideMark/>
          </w:tcPr>
          <w:p w14:paraId="1392A31F" w14:textId="73F09A1F" w:rsidR="000F7A86" w:rsidRPr="00D43F87" w:rsidRDefault="000F7A86" w:rsidP="00D43F87">
            <w:r>
              <w:t>7</w:t>
            </w:r>
          </w:p>
        </w:tc>
      </w:tr>
      <w:tr w:rsidR="00D43F87" w:rsidRPr="00D43F87" w14:paraId="6BFEB7AE" w14:textId="77777777" w:rsidTr="000F7A86">
        <w:trPr>
          <w:gridAfter w:val="1"/>
          <w:wAfter w:w="1178" w:type="dxa"/>
          <w:trHeight w:val="284"/>
          <w:tblCellSpacing w:w="15" w:type="dxa"/>
        </w:trPr>
        <w:tc>
          <w:tcPr>
            <w:tcW w:w="7905" w:type="dxa"/>
            <w:gridSpan w:val="2"/>
            <w:vAlign w:val="center"/>
            <w:hideMark/>
          </w:tcPr>
          <w:p w14:paraId="5DDD10BC" w14:textId="77777777" w:rsidR="00D43F87" w:rsidRPr="00D43F87" w:rsidRDefault="00D43F87" w:rsidP="00D43F87">
            <w:r w:rsidRPr="00D43F87">
              <w:t>Price</w:t>
            </w:r>
          </w:p>
        </w:tc>
        <w:tc>
          <w:tcPr>
            <w:tcW w:w="604" w:type="dxa"/>
            <w:gridSpan w:val="2"/>
            <w:vAlign w:val="center"/>
            <w:hideMark/>
          </w:tcPr>
          <w:p w14:paraId="04D7F5D6" w14:textId="1F0DBD11" w:rsidR="00D43F87" w:rsidRPr="00D43F87" w:rsidRDefault="000F7A86" w:rsidP="00D43F87">
            <w:r>
              <w:t>8</w:t>
            </w:r>
          </w:p>
        </w:tc>
      </w:tr>
      <w:tr w:rsidR="00D43F87" w:rsidRPr="00D43F87" w14:paraId="6A3174D4" w14:textId="77777777" w:rsidTr="000F7A86">
        <w:trPr>
          <w:gridAfter w:val="1"/>
          <w:wAfter w:w="1178" w:type="dxa"/>
          <w:trHeight w:val="284"/>
          <w:tblCellSpacing w:w="15" w:type="dxa"/>
        </w:trPr>
        <w:tc>
          <w:tcPr>
            <w:tcW w:w="7905" w:type="dxa"/>
            <w:gridSpan w:val="2"/>
            <w:vAlign w:val="center"/>
            <w:hideMark/>
          </w:tcPr>
          <w:p w14:paraId="23A1480E" w14:textId="77777777" w:rsidR="00D43F87" w:rsidRPr="00D43F87" w:rsidRDefault="00D43F87" w:rsidP="00D43F87">
            <w:r w:rsidRPr="00D43F87">
              <w:t>Place</w:t>
            </w:r>
          </w:p>
        </w:tc>
        <w:tc>
          <w:tcPr>
            <w:tcW w:w="604" w:type="dxa"/>
            <w:gridSpan w:val="2"/>
            <w:vAlign w:val="center"/>
            <w:hideMark/>
          </w:tcPr>
          <w:p w14:paraId="7D56135B" w14:textId="3CE05A64" w:rsidR="00D43F87" w:rsidRPr="00D43F87" w:rsidRDefault="000F7A86" w:rsidP="00D43F87">
            <w:r>
              <w:t>8</w:t>
            </w:r>
          </w:p>
        </w:tc>
      </w:tr>
      <w:tr w:rsidR="00D43F87" w:rsidRPr="00D43F87" w14:paraId="0EE2D912" w14:textId="77777777" w:rsidTr="000F7A86">
        <w:trPr>
          <w:gridAfter w:val="1"/>
          <w:wAfter w:w="1178" w:type="dxa"/>
          <w:trHeight w:val="284"/>
          <w:tblCellSpacing w:w="15" w:type="dxa"/>
        </w:trPr>
        <w:tc>
          <w:tcPr>
            <w:tcW w:w="7905" w:type="dxa"/>
            <w:gridSpan w:val="2"/>
            <w:vAlign w:val="center"/>
            <w:hideMark/>
          </w:tcPr>
          <w:p w14:paraId="0E2325A0" w14:textId="77777777" w:rsidR="00D43F87" w:rsidRPr="00D43F87" w:rsidRDefault="00D43F87" w:rsidP="00D43F87">
            <w:r w:rsidRPr="00D43F87">
              <w:t>Promotion</w:t>
            </w:r>
          </w:p>
        </w:tc>
        <w:tc>
          <w:tcPr>
            <w:tcW w:w="604" w:type="dxa"/>
            <w:gridSpan w:val="2"/>
            <w:vAlign w:val="center"/>
            <w:hideMark/>
          </w:tcPr>
          <w:p w14:paraId="756716CE" w14:textId="77777777" w:rsidR="00D43F87" w:rsidRPr="00D43F87" w:rsidRDefault="00D43F87" w:rsidP="00D43F87">
            <w:r w:rsidRPr="00D43F87">
              <w:t>7</w:t>
            </w:r>
          </w:p>
        </w:tc>
      </w:tr>
      <w:tr w:rsidR="00D43F87" w:rsidRPr="00D43F87" w14:paraId="4C05D3B6" w14:textId="77777777" w:rsidTr="000F7A86">
        <w:trPr>
          <w:gridAfter w:val="1"/>
          <w:wAfter w:w="1178" w:type="dxa"/>
          <w:trHeight w:val="284"/>
          <w:tblCellSpacing w:w="15" w:type="dxa"/>
        </w:trPr>
        <w:tc>
          <w:tcPr>
            <w:tcW w:w="7905" w:type="dxa"/>
            <w:gridSpan w:val="2"/>
            <w:vAlign w:val="center"/>
            <w:hideMark/>
          </w:tcPr>
          <w:p w14:paraId="4B0C4F43" w14:textId="77777777" w:rsidR="00D43F87" w:rsidRPr="00D43F87" w:rsidRDefault="00D43F87" w:rsidP="00D43F87">
            <w:r w:rsidRPr="00D43F87">
              <w:t>People</w:t>
            </w:r>
          </w:p>
        </w:tc>
        <w:tc>
          <w:tcPr>
            <w:tcW w:w="604" w:type="dxa"/>
            <w:gridSpan w:val="2"/>
            <w:vAlign w:val="center"/>
            <w:hideMark/>
          </w:tcPr>
          <w:p w14:paraId="324995D5" w14:textId="2AD1A831" w:rsidR="00D43F87" w:rsidRPr="00D43F87" w:rsidRDefault="000F7A86" w:rsidP="00D43F87">
            <w:r>
              <w:t>9</w:t>
            </w:r>
          </w:p>
        </w:tc>
      </w:tr>
      <w:tr w:rsidR="00D43F87" w:rsidRPr="00D43F87" w14:paraId="4E95FE46" w14:textId="77777777" w:rsidTr="000F7A86">
        <w:trPr>
          <w:gridAfter w:val="1"/>
          <w:wAfter w:w="1178" w:type="dxa"/>
          <w:trHeight w:val="262"/>
          <w:tblCellSpacing w:w="15" w:type="dxa"/>
        </w:trPr>
        <w:tc>
          <w:tcPr>
            <w:tcW w:w="7905" w:type="dxa"/>
            <w:gridSpan w:val="2"/>
            <w:vAlign w:val="center"/>
            <w:hideMark/>
          </w:tcPr>
          <w:p w14:paraId="57457BD9" w14:textId="77777777" w:rsidR="00D43F87" w:rsidRPr="00D43F87" w:rsidRDefault="00D43F87" w:rsidP="00D43F87">
            <w:r w:rsidRPr="00D43F87">
              <w:t>Process</w:t>
            </w:r>
          </w:p>
        </w:tc>
        <w:tc>
          <w:tcPr>
            <w:tcW w:w="604" w:type="dxa"/>
            <w:gridSpan w:val="2"/>
            <w:vAlign w:val="center"/>
            <w:hideMark/>
          </w:tcPr>
          <w:p w14:paraId="1FAD189D" w14:textId="3DCE9FB8" w:rsidR="00D43F87" w:rsidRPr="00D43F87" w:rsidRDefault="00130365" w:rsidP="00D43F87">
            <w:r>
              <w:t>10</w:t>
            </w:r>
          </w:p>
        </w:tc>
      </w:tr>
      <w:tr w:rsidR="00D43F87" w:rsidRPr="00D43F87" w14:paraId="07DBD553" w14:textId="77777777" w:rsidTr="000F7A86">
        <w:trPr>
          <w:gridAfter w:val="1"/>
          <w:wAfter w:w="1178" w:type="dxa"/>
          <w:trHeight w:val="284"/>
          <w:tblCellSpacing w:w="15" w:type="dxa"/>
        </w:trPr>
        <w:tc>
          <w:tcPr>
            <w:tcW w:w="7905" w:type="dxa"/>
            <w:gridSpan w:val="2"/>
            <w:vAlign w:val="center"/>
            <w:hideMark/>
          </w:tcPr>
          <w:p w14:paraId="7919112F" w14:textId="77777777" w:rsidR="00D43F87" w:rsidRDefault="00D43F87" w:rsidP="00D43F87">
            <w:r w:rsidRPr="00D43F87">
              <w:t>Physical Evidence</w:t>
            </w:r>
          </w:p>
          <w:p w14:paraId="0595C9AA" w14:textId="77777777" w:rsidR="000F7A86" w:rsidRDefault="000F7A86" w:rsidP="00D43F87"/>
          <w:p w14:paraId="5D869D90" w14:textId="77777777" w:rsidR="00D43F87" w:rsidRPr="00D43F87" w:rsidRDefault="00D43F87" w:rsidP="00D43F87"/>
        </w:tc>
        <w:tc>
          <w:tcPr>
            <w:tcW w:w="604" w:type="dxa"/>
            <w:gridSpan w:val="2"/>
            <w:vAlign w:val="center"/>
            <w:hideMark/>
          </w:tcPr>
          <w:p w14:paraId="10578025" w14:textId="3C044827" w:rsidR="00D43F87" w:rsidRPr="00D43F87" w:rsidRDefault="000F7A86" w:rsidP="00D43F87">
            <w:r>
              <w:t>10</w:t>
            </w:r>
          </w:p>
        </w:tc>
      </w:tr>
      <w:tr w:rsidR="00D43F87" w:rsidRPr="00D43F87" w14:paraId="0D4744E3" w14:textId="77777777" w:rsidTr="000F7A86">
        <w:trPr>
          <w:gridAfter w:val="1"/>
          <w:wAfter w:w="1178" w:type="dxa"/>
          <w:trHeight w:val="284"/>
          <w:tblCellSpacing w:w="15" w:type="dxa"/>
        </w:trPr>
        <w:tc>
          <w:tcPr>
            <w:tcW w:w="7905" w:type="dxa"/>
            <w:gridSpan w:val="2"/>
            <w:vAlign w:val="center"/>
            <w:hideMark/>
          </w:tcPr>
          <w:p w14:paraId="11BBD84F" w14:textId="77777777" w:rsidR="00D43F87" w:rsidRDefault="00D43F87" w:rsidP="00D43F87">
            <w:pPr>
              <w:rPr>
                <w:b/>
                <w:bCs/>
              </w:rPr>
            </w:pPr>
            <w:r w:rsidRPr="00D43F87">
              <w:rPr>
                <w:b/>
                <w:bCs/>
              </w:rPr>
              <w:t>Element 4: Reflection</w:t>
            </w:r>
          </w:p>
          <w:p w14:paraId="3B3FC095" w14:textId="77777777" w:rsidR="000F7A86" w:rsidRDefault="000F7A86" w:rsidP="00D43F87">
            <w:pPr>
              <w:rPr>
                <w:b/>
                <w:bCs/>
              </w:rPr>
            </w:pPr>
          </w:p>
          <w:p w14:paraId="11E39FB2" w14:textId="77777777" w:rsidR="000F7A86" w:rsidRPr="00D43F87" w:rsidRDefault="000F7A86" w:rsidP="00D43F87"/>
        </w:tc>
        <w:tc>
          <w:tcPr>
            <w:tcW w:w="604" w:type="dxa"/>
            <w:gridSpan w:val="2"/>
            <w:vAlign w:val="center"/>
            <w:hideMark/>
          </w:tcPr>
          <w:p w14:paraId="64723AD1" w14:textId="36E53A9E" w:rsidR="00D43F87" w:rsidRPr="00D43F87" w:rsidRDefault="00D43F87" w:rsidP="00D43F87">
            <w:r w:rsidRPr="00D43F87">
              <w:t>1</w:t>
            </w:r>
            <w:r w:rsidR="000F7A86">
              <w:t>1</w:t>
            </w:r>
          </w:p>
        </w:tc>
      </w:tr>
      <w:tr w:rsidR="00D43F87" w:rsidRPr="00D43F87" w14:paraId="11879AC6" w14:textId="77777777" w:rsidTr="000F7A86">
        <w:trPr>
          <w:gridAfter w:val="1"/>
          <w:wAfter w:w="1178" w:type="dxa"/>
          <w:trHeight w:val="284"/>
          <w:tblCellSpacing w:w="15" w:type="dxa"/>
        </w:trPr>
        <w:tc>
          <w:tcPr>
            <w:tcW w:w="7905" w:type="dxa"/>
            <w:gridSpan w:val="2"/>
            <w:vAlign w:val="center"/>
            <w:hideMark/>
          </w:tcPr>
          <w:p w14:paraId="5A8DE898" w14:textId="77777777" w:rsidR="00D43F87" w:rsidRDefault="00D43F87" w:rsidP="00D43F87">
            <w:pPr>
              <w:rPr>
                <w:b/>
                <w:bCs/>
              </w:rPr>
            </w:pPr>
            <w:r w:rsidRPr="00D43F87">
              <w:rPr>
                <w:b/>
                <w:bCs/>
              </w:rPr>
              <w:t>References</w:t>
            </w:r>
          </w:p>
          <w:p w14:paraId="30BB0B61" w14:textId="77777777" w:rsidR="000F7A86" w:rsidRPr="00D43F87" w:rsidRDefault="000F7A86" w:rsidP="00D43F87"/>
        </w:tc>
        <w:tc>
          <w:tcPr>
            <w:tcW w:w="604" w:type="dxa"/>
            <w:gridSpan w:val="2"/>
            <w:vAlign w:val="center"/>
            <w:hideMark/>
          </w:tcPr>
          <w:p w14:paraId="12B053B2" w14:textId="7C2C4D9E" w:rsidR="00D43F87" w:rsidRPr="00D43F87" w:rsidRDefault="00D43F87" w:rsidP="00D43F87">
            <w:r w:rsidRPr="00D43F87">
              <w:t>1</w:t>
            </w:r>
            <w:r w:rsidR="000F7A86">
              <w:t>3</w:t>
            </w:r>
          </w:p>
        </w:tc>
      </w:tr>
      <w:tr w:rsidR="00D43F87" w:rsidRPr="00D43F87" w14:paraId="167589C5" w14:textId="77777777" w:rsidTr="000F7A86">
        <w:trPr>
          <w:gridAfter w:val="1"/>
          <w:wAfter w:w="1178" w:type="dxa"/>
          <w:trHeight w:val="478"/>
          <w:tblCellSpacing w:w="15" w:type="dxa"/>
        </w:trPr>
        <w:tc>
          <w:tcPr>
            <w:tcW w:w="7905" w:type="dxa"/>
            <w:gridSpan w:val="2"/>
            <w:vAlign w:val="center"/>
            <w:hideMark/>
          </w:tcPr>
          <w:p w14:paraId="0BEF9B7F" w14:textId="77777777" w:rsidR="00D43F87" w:rsidRPr="00D43F87" w:rsidRDefault="00D43F87" w:rsidP="00D43F87">
            <w:r w:rsidRPr="00D43F87">
              <w:rPr>
                <w:b/>
                <w:bCs/>
              </w:rPr>
              <w:t>Appendix: Brand Extension Poster</w:t>
            </w:r>
          </w:p>
        </w:tc>
        <w:tc>
          <w:tcPr>
            <w:tcW w:w="604" w:type="dxa"/>
            <w:gridSpan w:val="2"/>
            <w:vAlign w:val="center"/>
            <w:hideMark/>
          </w:tcPr>
          <w:p w14:paraId="022D146F" w14:textId="640250A5" w:rsidR="00D43F87" w:rsidRPr="00D43F87" w:rsidRDefault="000F7A86" w:rsidP="00D43F87">
            <w:r>
              <w:t>16</w:t>
            </w:r>
          </w:p>
        </w:tc>
      </w:tr>
    </w:tbl>
    <w:p w14:paraId="574D4D67" w14:textId="77777777" w:rsidR="00D11CA8" w:rsidRPr="00D43F87" w:rsidRDefault="00D11CA8"/>
    <w:p w14:paraId="3B21C898" w14:textId="77777777" w:rsidR="00D11CA8" w:rsidRPr="00D43F87" w:rsidRDefault="00D11CA8"/>
    <w:p w14:paraId="5479B420" w14:textId="77777777" w:rsidR="00D11CA8" w:rsidRPr="00D43F87" w:rsidRDefault="00D11CA8"/>
    <w:p w14:paraId="07F3B1DB" w14:textId="77777777" w:rsidR="00D11CA8" w:rsidRPr="00D43F87" w:rsidRDefault="00D11CA8"/>
    <w:p w14:paraId="72F0F998" w14:textId="77777777" w:rsidR="00D11CA8" w:rsidRPr="00D43F87" w:rsidRDefault="00D11CA8"/>
    <w:p w14:paraId="24D20499" w14:textId="77777777" w:rsidR="00D11CA8" w:rsidRPr="00D43F87" w:rsidRDefault="00D11CA8"/>
    <w:p w14:paraId="6CA6ACF7" w14:textId="77777777" w:rsidR="00D11CA8" w:rsidRDefault="00D11CA8"/>
    <w:p w14:paraId="188726EC" w14:textId="77777777" w:rsidR="00D11CA8" w:rsidRDefault="00D11CA8"/>
    <w:p w14:paraId="0236010B" w14:textId="77777777" w:rsidR="00D11CA8" w:rsidRDefault="00D11CA8"/>
    <w:p w14:paraId="68A1094C" w14:textId="77777777" w:rsidR="00D11CA8" w:rsidRDefault="00D11CA8"/>
    <w:p w14:paraId="4E797727" w14:textId="77777777" w:rsidR="00D11CA8" w:rsidRDefault="00D11CA8"/>
    <w:p w14:paraId="71F97A26" w14:textId="77777777" w:rsidR="00D11CA8" w:rsidRDefault="00D11CA8"/>
    <w:p w14:paraId="7E2CECEA" w14:textId="77777777" w:rsidR="00D11CA8" w:rsidRDefault="00D11CA8"/>
    <w:p w14:paraId="7C365225" w14:textId="77777777" w:rsidR="00A5730C" w:rsidRDefault="00000000">
      <w:pPr>
        <w:pStyle w:val="Heading1"/>
      </w:pPr>
      <w:r>
        <w:lastRenderedPageBreak/>
        <w:t>Element 1: Brand Extension Poster Presentation</w:t>
      </w:r>
    </w:p>
    <w:p w14:paraId="4AFA5F89" w14:textId="77777777" w:rsidR="00A5730C" w:rsidRDefault="00A5730C">
      <w:pPr>
        <w:pBdr>
          <w:bottom w:val="single" w:sz="6" w:space="1" w:color="CC0000"/>
        </w:pBdr>
        <w:spacing w:before="160" w:after="160"/>
      </w:pPr>
    </w:p>
    <w:p w14:paraId="022FDB9F" w14:textId="77777777" w:rsidR="00A5730C" w:rsidRDefault="00A5730C">
      <w:pPr>
        <w:spacing w:before="80" w:after="80"/>
      </w:pPr>
    </w:p>
    <w:p w14:paraId="010915DE" w14:textId="77777777" w:rsidR="00A5730C" w:rsidRDefault="00000000">
      <w:pPr>
        <w:pStyle w:val="Heading2"/>
      </w:pPr>
      <w:r>
        <w:t>Introduction to Tesla</w:t>
      </w:r>
    </w:p>
    <w:p w14:paraId="45A622E7" w14:textId="77777777" w:rsidR="00086789" w:rsidRPr="00086789" w:rsidRDefault="00086789" w:rsidP="00086789">
      <w:pPr>
        <w:spacing w:before="80" w:after="80" w:line="360" w:lineRule="auto"/>
        <w:jc w:val="both"/>
      </w:pPr>
      <w:r w:rsidRPr="00086789">
        <w:t xml:space="preserve">Motivated by its mission to accelerate the global transition to sustainable energy (Tesla, 2023), Tesla has established itself as a market leader in electric vehicles, solar technology, and energy storage. Through products such as the Model S, Powerwall, and Solar Roof, the company has built strong brand equity centred on innovation, performance, and environmental responsibility (Kotler, Keller and Chernev, 2024; </w:t>
      </w:r>
      <w:proofErr w:type="spellStart"/>
      <w:r w:rsidRPr="00086789">
        <w:t>Maradin</w:t>
      </w:r>
      <w:proofErr w:type="spellEnd"/>
      <w:r w:rsidRPr="00086789">
        <w:t>, 2022).</w:t>
      </w:r>
    </w:p>
    <w:p w14:paraId="1195E072" w14:textId="77777777" w:rsidR="00086789" w:rsidRPr="00086789" w:rsidRDefault="00086789" w:rsidP="00086789">
      <w:pPr>
        <w:spacing w:before="80" w:after="80" w:line="360" w:lineRule="auto"/>
        <w:jc w:val="both"/>
      </w:pPr>
      <w:r w:rsidRPr="00086789">
        <w:t>The proposed Tesla Home Energy Hub represents a strategic brand extension, integrating solar generation, battery storage, and EV charging into a unified, AI-driven home energy ecosystem. By optimising energy production, storage, and consumption in real time, the system enhances efficiency, provides user control via a mobile interface, and reduces reliance on the national grid (International Energy Agency, 2023). This positions Tesla to capitalise on the rapidly expanding smart home market, projected to reach $537 billion by 2030 (Grand View Research, 2023), while deepening customer engagement within its existing ecosystem.</w:t>
      </w:r>
    </w:p>
    <w:p w14:paraId="3DD037CD" w14:textId="4D944F1C" w:rsidR="00086789" w:rsidRPr="00086789" w:rsidRDefault="00086789" w:rsidP="00086789">
      <w:pPr>
        <w:spacing w:before="80" w:after="80" w:line="360" w:lineRule="auto"/>
        <w:jc w:val="both"/>
      </w:pPr>
      <w:r w:rsidRPr="00086789">
        <w:t>The extension is further supported by strong market demand. In the UK, rising energy price volatility</w:t>
      </w:r>
      <w:r>
        <w:t xml:space="preserve">, </w:t>
      </w:r>
      <w:r w:rsidRPr="00086789">
        <w:t>reflected in Ofgem’s projected increase in average annual household bills to £1,900–£2,000 in 2026</w:t>
      </w:r>
      <w:r>
        <w:t xml:space="preserve">, </w:t>
      </w:r>
      <w:r w:rsidRPr="00086789">
        <w:t>has intensified consumer demand for cost-efficient and autonomous energy solutions (Ofgem, 2025). While the system’s financial returns may be more immediate in the United States due to higher solar irradiance and greater generation efficiency (</w:t>
      </w:r>
      <w:proofErr w:type="spellStart"/>
      <w:r w:rsidRPr="00086789">
        <w:t>Mctigue</w:t>
      </w:r>
      <w:proofErr w:type="spellEnd"/>
      <w:r w:rsidRPr="00086789">
        <w:t xml:space="preserve"> et al., 2018), the UK market remains viable despite climatic constraints, as rising costs and advancements in battery storage improve long-term value (GOV.UK, 2025).</w:t>
      </w:r>
    </w:p>
    <w:p w14:paraId="77F98AC3" w14:textId="77777777" w:rsidR="00086789" w:rsidRPr="00086789" w:rsidRDefault="00086789" w:rsidP="00086789">
      <w:pPr>
        <w:spacing w:before="80" w:after="80" w:line="360" w:lineRule="auto"/>
        <w:jc w:val="both"/>
      </w:pPr>
      <w:r w:rsidRPr="00086789">
        <w:t>Importantly, the Tesla Home Energy Hub aligns with global sustainability objectives, directly supporting the United Nations Sustainable Development Goals for Affordable and Clean Energy (SDG 7) and Climate Action (SDG 13). By enabling households to generate and manage clean energy more effectively, it contributes to reducing fossil fuel dependence while reinforcing Tesla’s core mission</w:t>
      </w:r>
    </w:p>
    <w:p w14:paraId="5D42A9D3" w14:textId="51D06A83" w:rsidR="005B603D" w:rsidRDefault="005B603D" w:rsidP="00BC36D1">
      <w:pPr>
        <w:spacing w:before="80" w:after="80" w:line="360" w:lineRule="auto"/>
        <w:jc w:val="both"/>
      </w:pPr>
    </w:p>
    <w:p w14:paraId="69522559" w14:textId="77777777" w:rsidR="00A5730C" w:rsidRDefault="00000000">
      <w:pPr>
        <w:pStyle w:val="Heading1"/>
      </w:pPr>
      <w:r>
        <w:lastRenderedPageBreak/>
        <w:t>Element 2: Segmentation, Targeting, Differentiation, and Positioning (STDP) Analysis</w:t>
      </w:r>
    </w:p>
    <w:p w14:paraId="0F6FA9CB" w14:textId="77777777" w:rsidR="00A5730C" w:rsidRDefault="00A5730C">
      <w:pPr>
        <w:pBdr>
          <w:bottom w:val="single" w:sz="6" w:space="1" w:color="CC0000"/>
        </w:pBdr>
        <w:spacing w:before="160" w:after="160"/>
      </w:pPr>
    </w:p>
    <w:p w14:paraId="554CFE79" w14:textId="77777777" w:rsidR="009049E9" w:rsidRPr="009049E9" w:rsidRDefault="009049E9" w:rsidP="00157E85">
      <w:pPr>
        <w:pStyle w:val="Heading2"/>
      </w:pPr>
      <w:r w:rsidRPr="009049E9">
        <w:t>2.0 Segmentation, Targeting, Differentiation, and Positioning (STDP) Analysis</w:t>
      </w:r>
    </w:p>
    <w:p w14:paraId="05CB3955" w14:textId="77777777" w:rsidR="009049E9" w:rsidRPr="009049E9" w:rsidRDefault="009049E9" w:rsidP="00157E85">
      <w:pPr>
        <w:spacing w:before="80" w:after="80" w:line="360" w:lineRule="auto"/>
        <w:jc w:val="both"/>
      </w:pPr>
      <w:r w:rsidRPr="009049E9">
        <w:t>This STDP analysis outlines the strategic marketing approach for the Tesla Home Energy Hub, a brand extension that integrates solar, storage, and EV charging into a unified ecosystem. The strategy focuses on identifying high-potential consumer groups, selecting a viable target market, and establishing a defensible competitive position.</w:t>
      </w:r>
    </w:p>
    <w:p w14:paraId="60632F65" w14:textId="77777777" w:rsidR="009049E9" w:rsidRPr="009049E9" w:rsidRDefault="009049E9" w:rsidP="00157E85">
      <w:pPr>
        <w:pStyle w:val="Heading2"/>
      </w:pPr>
      <w:r w:rsidRPr="009049E9">
        <w:t>2.1 Market Segmentation</w:t>
      </w:r>
    </w:p>
    <w:p w14:paraId="581E1466" w14:textId="77777777" w:rsidR="009049E9" w:rsidRPr="009049E9" w:rsidRDefault="009049E9" w:rsidP="00157E85">
      <w:pPr>
        <w:spacing w:before="80" w:after="80" w:line="360" w:lineRule="auto"/>
        <w:jc w:val="both"/>
      </w:pPr>
      <w:r w:rsidRPr="009049E9">
        <w:t>Efficient market segmentation is crucial for identifying consumer groups most inclined to adopt a brand extension and for allocating marketing resources effectively (Kotler and Armstrong, 2021). The Tesla Home Energy Hub is analysed across four key variables.</w:t>
      </w:r>
    </w:p>
    <w:p w14:paraId="15017DAD" w14:textId="4DABBCC3" w:rsidR="009049E9" w:rsidRPr="009049E9" w:rsidRDefault="009049E9" w:rsidP="00157E85">
      <w:pPr>
        <w:spacing w:before="80" w:after="80" w:line="360" w:lineRule="auto"/>
        <w:jc w:val="both"/>
      </w:pPr>
      <w:r w:rsidRPr="009049E9">
        <w:t>Geographic Segmentation</w:t>
      </w:r>
      <w:r w:rsidRPr="009049E9">
        <w:br/>
        <w:t xml:space="preserve">The primary geographic focus is on high-income, developed markets with supportive renewable energy infrastructure and government incentives. Key regions include the United States, the United Kingdom, Germany, Australia, and Scandinavia, where solar potential and smart home adoption are high (Statista, 2024). Within these countries, the strategy concentrates on suburban and semi-rural areas dominated by single-family, owner-occupied homes, which provide the ideal conditions for rooftop solar and battery installation. This aligns with Tesla’s existing Powerwall and Solar Roof installation base, offering a foundation of proven demand. </w:t>
      </w:r>
    </w:p>
    <w:p w14:paraId="753F098C" w14:textId="77777777" w:rsidR="009049E9" w:rsidRPr="009049E9" w:rsidRDefault="009049E9" w:rsidP="00157E85">
      <w:pPr>
        <w:spacing w:before="80" w:after="80" w:line="360" w:lineRule="auto"/>
        <w:jc w:val="both"/>
      </w:pPr>
      <w:r w:rsidRPr="009049E9">
        <w:t>Demographic Segmentation</w:t>
      </w:r>
      <w:r w:rsidRPr="009049E9">
        <w:br/>
        <w:t>The primary demographic target comprises homeowners aged 30-55 with an annual household income exceeding £100,000. This group has the financial capacity to absorb the initial expenditure (£5,000-£10,000) and views energy storage as a long-term investment. Three key subgroups offer high-value opportunities:</w:t>
      </w:r>
    </w:p>
    <w:p w14:paraId="0E5E2671" w14:textId="77777777" w:rsidR="009049E9" w:rsidRPr="009049E9" w:rsidRDefault="009049E9" w:rsidP="00157E85">
      <w:pPr>
        <w:tabs>
          <w:tab w:val="num" w:pos="720"/>
        </w:tabs>
        <w:spacing w:before="80" w:after="80" w:line="360" w:lineRule="auto"/>
        <w:jc w:val="both"/>
      </w:pPr>
      <w:r w:rsidRPr="009049E9">
        <w:t>Existing Tesla Owners: The 9 million Tesla vehicles on the road represent a massive base of brand-loyal consumers already integrated into the Tesla ecosystem, making them the most probable adopters (</w:t>
      </w:r>
      <w:proofErr w:type="spellStart"/>
      <w:r w:rsidRPr="009049E9">
        <w:t>Tesery</w:t>
      </w:r>
      <w:proofErr w:type="spellEnd"/>
      <w:r w:rsidRPr="009049E9">
        <w:t>, 2026; Kotler, Keller, and Chernev, 2024).</w:t>
      </w:r>
    </w:p>
    <w:p w14:paraId="4CF563CA" w14:textId="77777777" w:rsidR="009049E9" w:rsidRPr="009049E9" w:rsidRDefault="009049E9" w:rsidP="00157E85">
      <w:pPr>
        <w:tabs>
          <w:tab w:val="num" w:pos="720"/>
        </w:tabs>
        <w:spacing w:before="80" w:after="80" w:line="360" w:lineRule="auto"/>
        <w:jc w:val="both"/>
      </w:pPr>
      <w:r w:rsidRPr="009049E9">
        <w:lastRenderedPageBreak/>
        <w:t>Dual-Income Professionals: Individuals in technology, finance, and engineering possess both the financial means and the technical aptitude to appreciate the product’s value proposition.</w:t>
      </w:r>
    </w:p>
    <w:p w14:paraId="7D0212B2" w14:textId="77777777" w:rsidR="009049E9" w:rsidRPr="009049E9" w:rsidRDefault="009049E9" w:rsidP="00157E85">
      <w:pPr>
        <w:tabs>
          <w:tab w:val="num" w:pos="720"/>
        </w:tabs>
        <w:spacing w:before="80" w:after="80" w:line="360" w:lineRule="auto"/>
        <w:jc w:val="both"/>
      </w:pPr>
      <w:r w:rsidRPr="009049E9">
        <w:t>Affluent Retirees (55-70): This segment prioritises energy security and autonomy, exhibiting low price sensitivity and a preference for premium, dependable solutions (Solomon, 2020).</w:t>
      </w:r>
    </w:p>
    <w:p w14:paraId="53944075" w14:textId="672081E5" w:rsidR="009049E9" w:rsidRPr="009049E9" w:rsidRDefault="009049E9" w:rsidP="00157E85">
      <w:pPr>
        <w:spacing w:before="80" w:after="80" w:line="360" w:lineRule="auto"/>
        <w:jc w:val="both"/>
      </w:pPr>
      <w:r w:rsidRPr="009049E9">
        <w:t>Psychographic</w:t>
      </w:r>
      <w:r w:rsidR="00157E85">
        <w:t xml:space="preserve"> </w:t>
      </w:r>
      <w:r w:rsidRPr="009049E9">
        <w:t>Segmentation</w:t>
      </w:r>
      <w:r w:rsidRPr="009049E9">
        <w:br/>
        <w:t>Psychographic segmentation reveals three distinct consumer mindsets that align with the Hub’s value proposition:</w:t>
      </w:r>
    </w:p>
    <w:p w14:paraId="7979A3D7" w14:textId="77777777" w:rsidR="009049E9" w:rsidRPr="009049E9" w:rsidRDefault="009049E9" w:rsidP="00157E85">
      <w:pPr>
        <w:spacing w:before="80" w:after="80" w:line="360" w:lineRule="auto"/>
        <w:jc w:val="both"/>
      </w:pPr>
      <w:r w:rsidRPr="009049E9">
        <w:t>The Environmental Steward: Motivated by sustainability and a commitment to reducing their carbon footprint, this segment views the Hub as a tangible tool for decarbonisation.</w:t>
      </w:r>
    </w:p>
    <w:p w14:paraId="4A8F590E" w14:textId="77777777" w:rsidR="009049E9" w:rsidRPr="009049E9" w:rsidRDefault="009049E9" w:rsidP="00157E85">
      <w:pPr>
        <w:spacing w:before="80" w:after="80" w:line="360" w:lineRule="auto"/>
        <w:jc w:val="both"/>
      </w:pPr>
      <w:r w:rsidRPr="009049E9">
        <w:t>The Technology Optimiser: As early adopters of AI and smart home tech, they are drawn to the Hub’s ability to automate energy management and provide real-time, data-driven insights (Park et al., 2020).</w:t>
      </w:r>
    </w:p>
    <w:p w14:paraId="785841ED" w14:textId="77777777" w:rsidR="009049E9" w:rsidRPr="009049E9" w:rsidRDefault="009049E9" w:rsidP="00157E85">
      <w:pPr>
        <w:spacing w:before="80" w:after="80" w:line="360" w:lineRule="auto"/>
        <w:jc w:val="both"/>
      </w:pPr>
      <w:r w:rsidRPr="009049E9">
        <w:t>The Security Seeker: This segment values autonomy and resilience against grid instability and fluctuating energy prices. The Hub’s backup functionality and the prestige of the Tesla brand are key motivators (Kapferer, 2012).</w:t>
      </w:r>
    </w:p>
    <w:p w14:paraId="6CE62B1D" w14:textId="77777777" w:rsidR="009049E9" w:rsidRPr="009049E9" w:rsidRDefault="009049E9" w:rsidP="00157E85">
      <w:pPr>
        <w:spacing w:before="80" w:after="80" w:line="360" w:lineRule="auto"/>
        <w:jc w:val="both"/>
      </w:pPr>
      <w:r w:rsidRPr="009049E9">
        <w:t>Behavioural Segmentation</w:t>
      </w:r>
      <w:r w:rsidRPr="009049E9">
        <w:br/>
        <w:t>Observable behaviours provide strong indicators of purchase intent:</w:t>
      </w:r>
    </w:p>
    <w:p w14:paraId="5510E7DA" w14:textId="77777777" w:rsidR="009049E9" w:rsidRPr="009049E9" w:rsidRDefault="009049E9" w:rsidP="00157E85">
      <w:pPr>
        <w:tabs>
          <w:tab w:val="num" w:pos="720"/>
        </w:tabs>
        <w:spacing w:before="80" w:after="80" w:line="360" w:lineRule="auto"/>
        <w:jc w:val="both"/>
      </w:pPr>
      <w:r w:rsidRPr="009049E9">
        <w:t>Purchase Timing: Consumers currently installing solar, purchasing EVs, or recovering from a power outage demonstrate high readiness.</w:t>
      </w:r>
    </w:p>
    <w:p w14:paraId="049B7AD4" w14:textId="77777777" w:rsidR="009049E9" w:rsidRPr="009049E9" w:rsidRDefault="009049E9" w:rsidP="00157E85">
      <w:pPr>
        <w:tabs>
          <w:tab w:val="num" w:pos="720"/>
        </w:tabs>
        <w:spacing w:before="80" w:after="80" w:line="360" w:lineRule="auto"/>
        <w:jc w:val="both"/>
      </w:pPr>
      <w:r w:rsidRPr="009049E9">
        <w:t>User Status: Existing Tesla customers are a high-value segment, as prior brand engagement reduces perceived risk and accelerates decision-making (Herrmann et al., 2022).</w:t>
      </w:r>
    </w:p>
    <w:p w14:paraId="5BC3C851" w14:textId="77777777" w:rsidR="009049E9" w:rsidRPr="009049E9" w:rsidRDefault="009049E9" w:rsidP="00157E85">
      <w:pPr>
        <w:tabs>
          <w:tab w:val="num" w:pos="720"/>
        </w:tabs>
        <w:spacing w:before="80" w:after="80" w:line="360" w:lineRule="auto"/>
        <w:jc w:val="both"/>
      </w:pPr>
      <w:r w:rsidRPr="009049E9">
        <w:t>Usage Behaviour: Consumers already using energy monitoring or smart home tech are primed for an integrated, AI-powered solution.</w:t>
      </w:r>
    </w:p>
    <w:p w14:paraId="00E8B933" w14:textId="77777777" w:rsidR="009049E9" w:rsidRPr="009049E9" w:rsidRDefault="009049E9" w:rsidP="00157E85">
      <w:pPr>
        <w:tabs>
          <w:tab w:val="num" w:pos="720"/>
        </w:tabs>
        <w:spacing w:before="80" w:after="80" w:line="360" w:lineRule="auto"/>
        <w:jc w:val="both"/>
      </w:pPr>
      <w:r w:rsidRPr="009049E9">
        <w:t>Benefit-Seeking: Motivations vary from cost efficiency and energy independence to the emerging "prosumer" opportunity to generate revenue through participation in virtual power plants (VPPs) (Energy Information Administration, 2024).</w:t>
      </w:r>
    </w:p>
    <w:p w14:paraId="7B1590F9" w14:textId="77777777" w:rsidR="009049E9" w:rsidRPr="009049E9" w:rsidRDefault="009049E9" w:rsidP="00157E85">
      <w:pPr>
        <w:pStyle w:val="Heading2"/>
      </w:pPr>
      <w:r w:rsidRPr="009049E9">
        <w:t>2.2 Targeting Strategy</w:t>
      </w:r>
    </w:p>
    <w:p w14:paraId="05678A30" w14:textId="77777777" w:rsidR="009049E9" w:rsidRPr="009049E9" w:rsidRDefault="009049E9" w:rsidP="00157E85">
      <w:pPr>
        <w:spacing w:before="80" w:after="80" w:line="360" w:lineRule="auto"/>
        <w:jc w:val="both"/>
      </w:pPr>
      <w:r w:rsidRPr="009049E9">
        <w:lastRenderedPageBreak/>
        <w:t>Tesla employs a concentrated targeting strategy, focusing resources on a distinctly defined premium segment rather than dispersing efforts across the broader market (Kotler and Armstrong, 2021). The primary target is defined as:</w:t>
      </w:r>
    </w:p>
    <w:p w14:paraId="702CF77A" w14:textId="77777777" w:rsidR="009049E9" w:rsidRPr="009049E9" w:rsidRDefault="009049E9" w:rsidP="00157E85">
      <w:pPr>
        <w:spacing w:before="80" w:after="80" w:line="360" w:lineRule="auto"/>
        <w:jc w:val="both"/>
      </w:pPr>
      <w:r w:rsidRPr="009049E9">
        <w:t>Wealthy, eco-aware, technology-oriented homeowners, particularly current Tesla owners, who prioritise energy autonomy, desire cohesive system integration, and possess the financial means to invest in premium sustainable solutions.</w:t>
      </w:r>
    </w:p>
    <w:p w14:paraId="081EEB53" w14:textId="77777777" w:rsidR="009049E9" w:rsidRPr="009049E9" w:rsidRDefault="009049E9" w:rsidP="00157E85">
      <w:pPr>
        <w:spacing w:before="80" w:after="80" w:line="360" w:lineRule="auto"/>
        <w:jc w:val="both"/>
      </w:pPr>
      <w:r w:rsidRPr="009049E9">
        <w:t>This strategy is justified for several reasons. First, it leverages established brand equity; with over 750,000 Powerwall units installed (Tesla, 2023), this customer base is validated and requires minimal category education. Second, it aligns with premium positioning; targeting high-income homeowners maintains the brand’s price premium and focuses on customers who value ecosystem benefits over upfront cost (</w:t>
      </w:r>
      <w:proofErr w:type="spellStart"/>
      <w:r w:rsidRPr="009049E9">
        <w:t>BloombergNEF</w:t>
      </w:r>
      <w:proofErr w:type="spellEnd"/>
      <w:r w:rsidRPr="009049E9">
        <w:t>, 2024). Third, it serves as a risk mitigation strategy; research suggests consumers with positive brand experiences are resilient to reputational risks, insulating the launch from external volatility (Kübler, 2024). Finally, it enables resource optimisation by utilising established direct-to-consumer channels like the Tesla app and vehicle touchscreens to reach the most probable segment with minimal incremental cost.</w:t>
      </w:r>
    </w:p>
    <w:p w14:paraId="25368720" w14:textId="77777777" w:rsidR="009049E9" w:rsidRPr="009049E9" w:rsidRDefault="009049E9" w:rsidP="00157E85">
      <w:pPr>
        <w:pStyle w:val="Heading2"/>
      </w:pPr>
      <w:r w:rsidRPr="009049E9">
        <w:t>2.3 Differentiation Strategy</w:t>
      </w:r>
    </w:p>
    <w:p w14:paraId="37EAA467" w14:textId="77777777" w:rsidR="009049E9" w:rsidRPr="009049E9" w:rsidRDefault="009049E9" w:rsidP="00157E85">
      <w:pPr>
        <w:spacing w:before="80" w:after="80" w:line="360" w:lineRule="auto"/>
        <w:jc w:val="both"/>
      </w:pPr>
      <w:r w:rsidRPr="009049E9">
        <w:t>The Tesla Home Energy Hub differentiates itself from competitors (e.g., Sonnen, Enphase, BYD) through three core, defensible advantages:</w:t>
      </w:r>
    </w:p>
    <w:p w14:paraId="3FB1CBB9" w14:textId="2C0FC942" w:rsidR="009049E9" w:rsidRPr="009049E9" w:rsidRDefault="009049E9" w:rsidP="00157E85">
      <w:pPr>
        <w:spacing w:before="80" w:after="80" w:line="360" w:lineRule="auto"/>
        <w:jc w:val="both"/>
      </w:pPr>
      <w:r w:rsidRPr="009049E9">
        <w:t>Seamless Ecosystem Integration: Unlike competitors offering independent components, Tesla provides a fully integrated system linking solar, storage, EV charging, and the Tesla app. This enables unique features like automatic coordination of EV charging with solar forecasts and proactive storm readiness</w:t>
      </w:r>
      <w:r>
        <w:t xml:space="preserve">, </w:t>
      </w:r>
      <w:r w:rsidRPr="009049E9">
        <w:t>capabilities fragmented competitor solutions cannot replicate (Tesla, 2023; Wood Mackenzie, 2024).</w:t>
      </w:r>
    </w:p>
    <w:p w14:paraId="22E15CEA" w14:textId="77777777" w:rsidR="009049E9" w:rsidRPr="009049E9" w:rsidRDefault="009049E9" w:rsidP="00157E85">
      <w:pPr>
        <w:tabs>
          <w:tab w:val="num" w:pos="720"/>
        </w:tabs>
        <w:spacing w:before="80" w:after="80" w:line="360" w:lineRule="auto"/>
        <w:jc w:val="both"/>
      </w:pPr>
      <w:r w:rsidRPr="009049E9">
        <w:t>AI-Driven Optimisation: The Hub employs machine learning to autonomously optimise energy flows based on household patterns, weather data, and tariffs. Tesla’s algorithms, refined through data from its vast installed base, achieve superior prediction accuracy (Park et al., 2020), resulting in lower costs and a maintenance-free experience compared to rule-based competitors.</w:t>
      </w:r>
    </w:p>
    <w:p w14:paraId="3AB63548" w14:textId="17026F86" w:rsidR="009049E9" w:rsidRPr="009049E9" w:rsidRDefault="009049E9" w:rsidP="00157E85">
      <w:pPr>
        <w:spacing w:before="80" w:after="80" w:line="360" w:lineRule="auto"/>
        <w:jc w:val="both"/>
      </w:pPr>
      <w:r w:rsidRPr="009049E9">
        <w:lastRenderedPageBreak/>
        <w:t>Network Effects from Virtual Power Plants (VPPs): Tesla’s market-leading 61% share in US residential storage enables it to aggregate residential batteries into a VPP that competes in wholesale energy markets (Wood Mackenzie, 2024). This creates a virtuous cycle: more participants enhance VPP returns, which in turn drives further adoption</w:t>
      </w:r>
      <w:r>
        <w:t xml:space="preserve">, </w:t>
      </w:r>
      <w:r w:rsidRPr="009049E9">
        <w:t>a network effect that creates a formidable barrier for competitors (Energy Information Administration, 2024).</w:t>
      </w:r>
    </w:p>
    <w:p w14:paraId="7B26CE70" w14:textId="77777777" w:rsidR="009049E9" w:rsidRPr="009049E9" w:rsidRDefault="009049E9" w:rsidP="00157E85">
      <w:pPr>
        <w:spacing w:before="80" w:after="80" w:line="360" w:lineRule="auto"/>
        <w:jc w:val="both"/>
      </w:pPr>
      <w:r w:rsidRPr="009049E9">
        <w:t>2.4 Positioning Statement</w:t>
      </w:r>
    </w:p>
    <w:p w14:paraId="1ACAA33D" w14:textId="77777777" w:rsidR="009049E9" w:rsidRPr="009049E9" w:rsidRDefault="009049E9" w:rsidP="00157E85">
      <w:pPr>
        <w:spacing w:before="80" w:after="80" w:line="360" w:lineRule="auto"/>
        <w:jc w:val="both"/>
      </w:pPr>
      <w:r w:rsidRPr="009049E9">
        <w:t>The positioning strategy reinforces Tesla’s brand equity in innovation, sustainability, and performance. The positioning statement for the Home Energy Hub is:</w:t>
      </w:r>
    </w:p>
    <w:p w14:paraId="6AE51B12" w14:textId="77777777" w:rsidR="009049E9" w:rsidRPr="009049E9" w:rsidRDefault="009049E9" w:rsidP="00157E85">
      <w:pPr>
        <w:spacing w:before="80" w:after="80" w:line="360" w:lineRule="auto"/>
        <w:jc w:val="both"/>
      </w:pPr>
      <w:r w:rsidRPr="009049E9">
        <w:t>For affluent, tech-savvy homeowners who value energy independence and sustainability, the Tesla Home Energy Hub is the premium, integrated energy management system that provides seamless control of solar, storage, and EV charging, differentiating itself through AI-driven optimisation and the unique financial benefit of participation in a leading Virtual Power Plant network</w:t>
      </w:r>
    </w:p>
    <w:p w14:paraId="49D18EC9" w14:textId="77777777" w:rsidR="00A5730C" w:rsidRDefault="00A5730C" w:rsidP="00157E85">
      <w:pPr>
        <w:spacing w:before="80" w:after="80" w:line="360" w:lineRule="auto"/>
        <w:jc w:val="both"/>
      </w:pPr>
    </w:p>
    <w:p w14:paraId="4749FB0B" w14:textId="77777777" w:rsidR="00A5730C" w:rsidRDefault="00000000" w:rsidP="00157E85">
      <w:pPr>
        <w:pStyle w:val="Heading1"/>
      </w:pPr>
      <w:r>
        <w:t>Element 3: Marketing Mix (7Ps)</w:t>
      </w:r>
    </w:p>
    <w:p w14:paraId="7214E065" w14:textId="77777777" w:rsidR="00A5730C" w:rsidRDefault="00A5730C" w:rsidP="00157E85">
      <w:pPr>
        <w:spacing w:before="80" w:after="80" w:line="360" w:lineRule="auto"/>
        <w:jc w:val="both"/>
      </w:pPr>
    </w:p>
    <w:p w14:paraId="1031ED68" w14:textId="53EF6C03" w:rsidR="00F71701" w:rsidRDefault="00F71701" w:rsidP="00157E85">
      <w:pPr>
        <w:pStyle w:val="Heading2"/>
      </w:pPr>
      <w:r w:rsidRPr="00F71701">
        <w:t>3. Marketing Mix Analysis for the Tesla Home Energy Hub</w:t>
      </w:r>
    </w:p>
    <w:p w14:paraId="3C00EAE8" w14:textId="390A1C60" w:rsidR="00A5730C" w:rsidRDefault="00F71701" w:rsidP="00F71701">
      <w:pPr>
        <w:spacing w:before="80" w:after="80" w:line="360" w:lineRule="auto"/>
        <w:jc w:val="both"/>
      </w:pPr>
      <w:r>
        <w:t>T</w:t>
      </w:r>
      <w:r w:rsidRPr="00F71701">
        <w:t>he 7Ps framework provides a holistic lens for operationalising a brand extension strategy, ensuring coherence between tactical execution and strategic objectives (Lovelock &amp; Wirtz, 2016). For the Tesla Home Energy Hub, a critical analysis of each element reveals how the mix is configured to reinforce premium positioning, leverage ecosystem lock-in, and mitigate the inherent risks of category extension.</w:t>
      </w:r>
    </w:p>
    <w:p w14:paraId="0A40975B" w14:textId="77777777" w:rsidR="00A5730C" w:rsidRDefault="00000000" w:rsidP="00157E85">
      <w:pPr>
        <w:pStyle w:val="Heading2"/>
      </w:pPr>
      <w:r>
        <w:t>3.1 Product</w:t>
      </w:r>
    </w:p>
    <w:p w14:paraId="7234EC7B" w14:textId="15B18DCA" w:rsidR="00A5730C" w:rsidRDefault="00774051" w:rsidP="00774051">
      <w:pPr>
        <w:spacing w:before="80" w:after="80" w:line="360" w:lineRule="auto"/>
        <w:jc w:val="both"/>
      </w:pPr>
      <w:r w:rsidRPr="00774051">
        <w:t>The product strategy positions the Home Energy Hub as a complex, integrated system rather than a standalone hardware offering. The core product comprises an AI-driven energy management platform unifying solar generation, Powerwall storage, and EV charging. The augmented product</w:t>
      </w:r>
      <w:r>
        <w:t xml:space="preserve">, </w:t>
      </w:r>
      <w:r w:rsidRPr="00774051">
        <w:t>including a real-time monitoring app, automated energy scheduling, and participation in Virtual Power Plants (VPPs</w:t>
      </w:r>
      <w:r>
        <w:t xml:space="preserve">), </w:t>
      </w:r>
      <w:r w:rsidRPr="00774051">
        <w:t xml:space="preserve">transforms the offering into a continuous energy service. This strategy reflects a deliberate move from </w:t>
      </w:r>
      <w:r w:rsidRPr="00774051">
        <w:lastRenderedPageBreak/>
        <w:t>transactional hardware sales to a relational service model, a critical factor for sustaining long-term customer lifetime value (Keller, 2013</w:t>
      </w:r>
      <w:r>
        <w:t>)</w:t>
      </w:r>
    </w:p>
    <w:p w14:paraId="7EE6D68B" w14:textId="3DC83292" w:rsidR="00130365" w:rsidRDefault="00130365" w:rsidP="00130365">
      <w:pPr>
        <w:pStyle w:val="Heading2"/>
      </w:pPr>
      <w:r>
        <w:t>3.</w:t>
      </w:r>
      <w:r>
        <w:t>2</w:t>
      </w:r>
      <w:r>
        <w:t xml:space="preserve"> P</w:t>
      </w:r>
      <w:r>
        <w:t>rice</w:t>
      </w:r>
    </w:p>
    <w:p w14:paraId="172B7609" w14:textId="77777777" w:rsidR="00774051" w:rsidRPr="00774051" w:rsidRDefault="00774051" w:rsidP="00157E85">
      <w:pPr>
        <w:spacing w:before="80" w:after="80" w:line="360" w:lineRule="auto"/>
        <w:jc w:val="both"/>
      </w:pPr>
      <w:r w:rsidRPr="00774051">
        <w:t>A value-based pricing strategy is adopted for the Tesla Home Energy Hub, reflecting its advanced functionality, ecosystem integration, and appeal to a relatively price-insensitive, affluent segment (Chernev, 2020). Priced between £12,000–£18,000, the system signals premium quality while capturing both hardware and software value, including AI-driven optimisation and Virtual Power Plant (VPP) participation.</w:t>
      </w:r>
    </w:p>
    <w:p w14:paraId="795BF648" w14:textId="77777777" w:rsidR="00774051" w:rsidRPr="00774051" w:rsidRDefault="00774051" w:rsidP="00157E85">
      <w:pPr>
        <w:spacing w:before="80" w:after="80" w:line="360" w:lineRule="auto"/>
        <w:jc w:val="both"/>
      </w:pPr>
      <w:r w:rsidRPr="00774051">
        <w:t>Strategically, this approach supports high margins and positions the product as a long-term investment. The inclusion of financing options and subscription-based services reduces perceived cost barriers while enabling recurring revenue streams (Kotler, Keller &amp; Chernev, 2024).</w:t>
      </w:r>
    </w:p>
    <w:p w14:paraId="58042D82" w14:textId="43AF5482" w:rsidR="00774051" w:rsidRPr="00774051" w:rsidRDefault="00774051" w:rsidP="00157E85">
      <w:pPr>
        <w:spacing w:before="80" w:after="80" w:line="360" w:lineRule="auto"/>
        <w:jc w:val="both"/>
      </w:pPr>
      <w:r w:rsidRPr="00774051">
        <w:t>However, high upfront costs may limit accessibility and slow adoption, particularly in price-sensitive segments, while long payback periods could deter some consumers in lower solar-yield markets such as the UK</w:t>
      </w:r>
      <w:r w:rsidR="00086789">
        <w:t>.</w:t>
      </w:r>
    </w:p>
    <w:p w14:paraId="378C8CAC" w14:textId="77777777" w:rsidR="00A5730C" w:rsidRDefault="00A5730C">
      <w:pPr>
        <w:spacing w:before="80" w:after="80"/>
      </w:pPr>
    </w:p>
    <w:p w14:paraId="25FD83BE" w14:textId="77777777" w:rsidR="00A5730C" w:rsidRDefault="00000000">
      <w:pPr>
        <w:pStyle w:val="Heading2"/>
      </w:pPr>
      <w:r>
        <w:t>3.3 Place</w:t>
      </w:r>
    </w:p>
    <w:p w14:paraId="79A1B97D" w14:textId="77777777" w:rsidR="00774051" w:rsidRPr="00774051" w:rsidRDefault="00774051" w:rsidP="00157E85">
      <w:pPr>
        <w:spacing w:before="80" w:after="80" w:line="360" w:lineRule="auto"/>
        <w:jc w:val="both"/>
      </w:pPr>
      <w:r w:rsidRPr="00774051">
        <w:t xml:space="preserve">Tesla's vertically integrated, direct-to-consumer (DTC) distribution model constitutes a strategic advantage for the Home Energy Hub. By skipping third-party intermediaries, Tesla maintains complete control over brand experience, pricing integrity, and, crucially, installation quality, a pivotal factor in the energy storage sector (Porter, 2008). The main channels, Tesla’s website, Experience Centres, and specialised Energy Showrooms, function as curated spaces that promote the premium brand narrative and enable consultative selling. </w:t>
      </w:r>
      <w:r w:rsidRPr="00774051">
        <w:br/>
      </w:r>
      <w:r w:rsidRPr="00774051">
        <w:br/>
        <w:t xml:space="preserve">The strategic rationale of this DTC model is dual-faceted. Initially, it corresponds with the brand's fundamental identity of disruption and efficiency. Intermediaries would create friction and undermine the technological narrative. Secondly, it establishes a direct, first-party data relationship between Tesla and the customer, facilitating personalised cross-selling and lifecycle marketing. Expanding into B2B channels via partnerships with sustainable home builders is a secondary, meticulously managed endeavour. This strategy must be implemented carefully to avoid channel conflict and </w:t>
      </w:r>
      <w:r w:rsidRPr="00774051">
        <w:lastRenderedPageBreak/>
        <w:t>to ensure that the B2B channel does not undermine the premium, experiential standards of the direct sales model (Armstrong et al., 2020).</w:t>
      </w:r>
    </w:p>
    <w:p w14:paraId="402D854C" w14:textId="77777777" w:rsidR="00A5730C" w:rsidRDefault="00A5730C">
      <w:pPr>
        <w:spacing w:before="80" w:after="80"/>
      </w:pPr>
    </w:p>
    <w:p w14:paraId="2D5F7CFE" w14:textId="77777777" w:rsidR="00A5730C" w:rsidRDefault="00000000">
      <w:pPr>
        <w:pStyle w:val="Heading2"/>
      </w:pPr>
      <w:r>
        <w:t>3.4 Promotion</w:t>
      </w:r>
    </w:p>
    <w:p w14:paraId="434AE195" w14:textId="77777777" w:rsidR="00A5730C" w:rsidRPr="00157E85" w:rsidRDefault="00000000">
      <w:pPr>
        <w:spacing w:before="80" w:after="80" w:line="360" w:lineRule="auto"/>
        <w:jc w:val="both"/>
      </w:pPr>
      <w:r>
        <w:t xml:space="preserve">Tesla's promotional strategy has historically been characterised by a deliberate avoidance of traditional advertising in favour of earned media, influencer partnerships, and </w:t>
      </w:r>
      <w:r w:rsidRPr="00157E85">
        <w:t>direct digital engagement (Kotler and Armstrong, 2021). This approach would be continued and expanded for the Home Energy Hub. Content marketing through Tesla's social media channels, YouTube platform, and official website would be central to the promotional strategy, featuring educational content about home energy management, sustainability, and the financial benefits of the system.</w:t>
      </w:r>
    </w:p>
    <w:p w14:paraId="2ABCEBA5" w14:textId="77777777" w:rsidR="00A5730C" w:rsidRDefault="00000000">
      <w:pPr>
        <w:spacing w:before="80" w:after="80" w:line="360" w:lineRule="auto"/>
        <w:jc w:val="both"/>
      </w:pPr>
      <w:r w:rsidRPr="00157E85">
        <w:t>Public relations activities would focus on securing coverage</w:t>
      </w:r>
      <w:r>
        <w:t xml:space="preserve"> in technology, sustainability, and lifestyle media, targeting publications such as Wired, The Guardian's environment section, and Forbes. Tesla's established global community of brand advocates and influencers would also be leveraged to generate organic word-of-mouth promotion (Blythe, 2014). Product demonstration events at Tesla Experience Centres and sustainability expos would provide experiential marketing opportunities, allowing potential customers to interact with the system first-hand. Email marketing campaigns targeting existing Tesla vehicle owners and Powerwall customers would support targeted cross-selling, capitalising on the brand loyalty already established within the Tesla ecosystem (Keller, 2013).</w:t>
      </w:r>
    </w:p>
    <w:p w14:paraId="2CA8DC9A" w14:textId="77777777" w:rsidR="00A5730C" w:rsidRDefault="00A5730C">
      <w:pPr>
        <w:spacing w:before="80" w:after="80"/>
      </w:pPr>
    </w:p>
    <w:p w14:paraId="6523DA9B" w14:textId="77777777" w:rsidR="00A5730C" w:rsidRDefault="00000000">
      <w:pPr>
        <w:pStyle w:val="Heading2"/>
      </w:pPr>
      <w:r>
        <w:t>3.5 People</w:t>
      </w:r>
    </w:p>
    <w:p w14:paraId="2B866445" w14:textId="77777777" w:rsidR="00A5730C" w:rsidRDefault="00000000">
      <w:pPr>
        <w:spacing w:before="80" w:after="80" w:line="360" w:lineRule="auto"/>
        <w:jc w:val="both"/>
      </w:pPr>
      <w:r>
        <w:t xml:space="preserve">In the context of the 7Ps framework, people </w:t>
      </w:r>
      <w:proofErr w:type="gramStart"/>
      <w:r>
        <w:t>refers</w:t>
      </w:r>
      <w:proofErr w:type="gramEnd"/>
      <w:r>
        <w:t xml:space="preserve"> to the employees and service personnel who interact with customers across all touchpoints (Lovelock and Wirtz, 2016). For the Tesla Home Energy Hub, the quality of customer-facing staff is critical to delivering the brand promise. Tesla's sales consultants at Experience Centres must possess deep product knowledge about the Home Energy Hub's technical specifications, financial benefits, and installation process. Training programmes would be developed to ensure that all customer-facing staff can effectively communicate the value proposition and address technical queries with confidence.</w:t>
      </w:r>
    </w:p>
    <w:p w14:paraId="5DC17D7C" w14:textId="77777777" w:rsidR="00A5730C" w:rsidRDefault="00000000">
      <w:pPr>
        <w:spacing w:before="80" w:after="80" w:line="360" w:lineRule="auto"/>
        <w:jc w:val="both"/>
      </w:pPr>
      <w:r>
        <w:lastRenderedPageBreak/>
        <w:t>Post-installation, the customer support team plays a vital role in ensuring long-term satisfaction and retention. Tesla's existing 24/7 digital support infrastructure, combined with the dedicated Tesla app, enables responsive and efficient service delivery. The people element therefore reinforces both the functional and emotional aspects of the customer experience, contributing to higher satisfaction levels and strengthening brand loyalty over time (Solomon, 2020).</w:t>
      </w:r>
    </w:p>
    <w:p w14:paraId="62F7F6C1" w14:textId="77777777" w:rsidR="00A5730C" w:rsidRDefault="00A5730C">
      <w:pPr>
        <w:spacing w:before="80" w:after="80"/>
      </w:pPr>
    </w:p>
    <w:p w14:paraId="5DC23BDA" w14:textId="77777777" w:rsidR="00A5730C" w:rsidRDefault="00000000">
      <w:pPr>
        <w:pStyle w:val="Heading2"/>
      </w:pPr>
      <w:r>
        <w:t>3.6 Process</w:t>
      </w:r>
    </w:p>
    <w:p w14:paraId="3C5B6F85" w14:textId="25686740" w:rsidR="00774051" w:rsidRPr="00774051" w:rsidRDefault="00947E29" w:rsidP="00157E85">
      <w:pPr>
        <w:pStyle w:val="Heading1"/>
        <w:spacing w:line="360" w:lineRule="auto"/>
        <w:jc w:val="both"/>
        <w:rPr>
          <w:b w:val="0"/>
          <w:bCs w:val="0"/>
          <w:color w:val="auto"/>
          <w:sz w:val="24"/>
          <w:szCs w:val="24"/>
        </w:rPr>
      </w:pPr>
      <w:r w:rsidRPr="00157E85">
        <w:rPr>
          <w:b w:val="0"/>
          <w:bCs w:val="0"/>
          <w:color w:val="auto"/>
          <w:sz w:val="24"/>
          <w:szCs w:val="24"/>
        </w:rPr>
        <w:t>For the Tesla Home Energy Hub, staff competence directly influences brand trust. Tesla invests in specialised training for Energy Advisors and technicians, transforming them into trusted consultants. Post-purchase support, integrated with the Tesla app, is proactive and digitally native, minimising customer effort. Research shows service quality drives retention and word-of-mouth in this sector (Solomon, 2020).”</w:t>
      </w:r>
    </w:p>
    <w:p w14:paraId="0542800D" w14:textId="77777777" w:rsidR="00A5730C" w:rsidRDefault="00A5730C">
      <w:pPr>
        <w:spacing w:before="80" w:after="80"/>
      </w:pPr>
    </w:p>
    <w:p w14:paraId="6337339C" w14:textId="77777777" w:rsidR="00A5730C" w:rsidRDefault="00000000">
      <w:pPr>
        <w:pStyle w:val="Heading2"/>
      </w:pPr>
      <w:r>
        <w:t>3.7 Physical Evidence</w:t>
      </w:r>
    </w:p>
    <w:p w14:paraId="57C3CD0C" w14:textId="77777777" w:rsidR="00A5730C" w:rsidRDefault="00000000">
      <w:pPr>
        <w:spacing w:before="80" w:after="80" w:line="360" w:lineRule="auto"/>
        <w:jc w:val="both"/>
      </w:pPr>
      <w:r>
        <w:t>Physical evidence encompasses the tangible and visual cues that reinforce the quality and credibility of a service offering (Lovelock and Wirtz, 2016). For the Tesla Home Energy Hub, physical evidence includes the premium hardware design of the Powerwall and energy management units, the Tesla Experience Centres where consumers can view live demonstrations of the integrated system, and the high-quality packaging and installation materials. The Tesla app itself serves as a form of digital physical evidence, providing customers with ongoing visual confirmation of their system's performance and energy savings.</w:t>
      </w:r>
    </w:p>
    <w:p w14:paraId="0D9E3C59" w14:textId="3F3EB0C6" w:rsidR="00A5730C" w:rsidRDefault="00000000">
      <w:pPr>
        <w:spacing w:before="80" w:after="80" w:line="360" w:lineRule="auto"/>
        <w:jc w:val="both"/>
      </w:pPr>
      <w:r>
        <w:t>Brand consistency across all physical touchpoints</w:t>
      </w:r>
      <w:r w:rsidR="00774051">
        <w:t xml:space="preserve">, </w:t>
      </w:r>
      <w:r>
        <w:t>from product aesthetics to website design and promotional materials</w:t>
      </w:r>
      <w:r w:rsidR="00774051">
        <w:t xml:space="preserve">, </w:t>
      </w:r>
      <w:r>
        <w:t xml:space="preserve">reinforces Tesla's premium brand identity and builds consumer confidence in the quality and reliability of the Home Energy Hub (Kapferer, 2012). </w:t>
      </w:r>
    </w:p>
    <w:p w14:paraId="0A7DE6E5" w14:textId="77777777" w:rsidR="00A5730C" w:rsidRDefault="00000000">
      <w:r>
        <w:br w:type="page"/>
      </w:r>
    </w:p>
    <w:p w14:paraId="0D900F9B" w14:textId="77777777" w:rsidR="00762245" w:rsidRDefault="00000000" w:rsidP="00762245">
      <w:pPr>
        <w:pStyle w:val="Heading1"/>
      </w:pPr>
      <w:r>
        <w:lastRenderedPageBreak/>
        <w:t>Element 4: Reflection</w:t>
      </w:r>
    </w:p>
    <w:p w14:paraId="0CD33711" w14:textId="77777777" w:rsidR="00947E29" w:rsidRDefault="00947E29" w:rsidP="00762245">
      <w:pPr>
        <w:pStyle w:val="Heading1"/>
        <w:spacing w:line="360" w:lineRule="auto"/>
        <w:jc w:val="both"/>
        <w:rPr>
          <w:b w:val="0"/>
          <w:bCs w:val="0"/>
          <w:color w:val="auto"/>
          <w:sz w:val="24"/>
          <w:szCs w:val="24"/>
        </w:rPr>
      </w:pPr>
      <w:r w:rsidRPr="00947E29">
        <w:rPr>
          <w:b w:val="0"/>
          <w:bCs w:val="0"/>
          <w:color w:val="auto"/>
          <w:sz w:val="24"/>
          <w:szCs w:val="24"/>
        </w:rPr>
        <w:t>Working on this brand development portfolio enhanced my academic and professional experience by applying theoretical marketing concepts to a real-world commercial context</w:t>
      </w:r>
      <w:r w:rsidR="00762245" w:rsidRPr="00762245">
        <w:rPr>
          <w:b w:val="0"/>
          <w:bCs w:val="0"/>
          <w:color w:val="auto"/>
          <w:sz w:val="24"/>
          <w:szCs w:val="24"/>
        </w:rPr>
        <w:t xml:space="preserve">, which was challenging but rewarding. </w:t>
      </w:r>
      <w:r w:rsidR="00762245" w:rsidRPr="00762245">
        <w:rPr>
          <w:b w:val="0"/>
          <w:bCs w:val="0"/>
          <w:color w:val="auto"/>
          <w:sz w:val="24"/>
          <w:szCs w:val="24"/>
        </w:rPr>
        <w:br/>
      </w:r>
      <w:r w:rsidR="00762245" w:rsidRPr="00762245">
        <w:rPr>
          <w:b w:val="0"/>
          <w:bCs w:val="0"/>
          <w:color w:val="auto"/>
          <w:sz w:val="24"/>
          <w:szCs w:val="24"/>
        </w:rPr>
        <w:br/>
        <w:t xml:space="preserve">Understanding the relationship between brand equity and brand extension viability was one of my biggest learnings. </w:t>
      </w:r>
      <w:r w:rsidRPr="00947E29">
        <w:rPr>
          <w:b w:val="0"/>
          <w:bCs w:val="0"/>
          <w:color w:val="auto"/>
          <w:sz w:val="24"/>
          <w:szCs w:val="24"/>
        </w:rPr>
        <w:t>I learned that successful brand extension must leverage existing brand associations coherently (Aaker, 1991; Keller, 2013), which led me to choose the Smart Home Energy Hub</w:t>
      </w:r>
      <w:r w:rsidR="00762245" w:rsidRPr="00762245">
        <w:rPr>
          <w:b w:val="0"/>
          <w:bCs w:val="0"/>
          <w:color w:val="auto"/>
          <w:sz w:val="24"/>
          <w:szCs w:val="24"/>
        </w:rPr>
        <w:br/>
      </w:r>
      <w:r w:rsidR="00762245" w:rsidRPr="00762245">
        <w:rPr>
          <w:b w:val="0"/>
          <w:bCs w:val="0"/>
          <w:color w:val="auto"/>
          <w:sz w:val="24"/>
          <w:szCs w:val="24"/>
        </w:rPr>
        <w:br/>
      </w:r>
      <w:r w:rsidRPr="00947E29">
        <w:rPr>
          <w:b w:val="0"/>
          <w:bCs w:val="0"/>
          <w:color w:val="auto"/>
          <w:sz w:val="24"/>
          <w:szCs w:val="24"/>
        </w:rPr>
        <w:t>Element 2 taught me that effective targeting requires understanding deeper motivations and values, not just financial capacity (Solomon, 2020).</w:t>
      </w:r>
    </w:p>
    <w:p w14:paraId="4B64F865" w14:textId="3BA93F4B" w:rsidR="00762245" w:rsidRPr="00762245" w:rsidRDefault="00762245" w:rsidP="00762245">
      <w:pPr>
        <w:pStyle w:val="Heading1"/>
        <w:spacing w:line="360" w:lineRule="auto"/>
        <w:jc w:val="both"/>
        <w:rPr>
          <w:b w:val="0"/>
          <w:bCs w:val="0"/>
          <w:color w:val="auto"/>
          <w:sz w:val="24"/>
          <w:szCs w:val="24"/>
        </w:rPr>
      </w:pPr>
      <w:r w:rsidRPr="00762245">
        <w:rPr>
          <w:b w:val="0"/>
          <w:bCs w:val="0"/>
          <w:color w:val="auto"/>
          <w:sz w:val="24"/>
          <w:szCs w:val="24"/>
        </w:rPr>
        <w:br/>
        <w:t xml:space="preserve">Element 3's marketing mix analysis helped me think strategically about how the 7Ps must work together to create a consistent and compelling brand experience. I liked justifying each marketing decision with academic sources because it forced me to think critically about the literature. Value-based pricing versus cost-based pricing was something I understood conceptually but now appreciate more in practise (Chernev, 2020). </w:t>
      </w:r>
      <w:r w:rsidRPr="00762245">
        <w:rPr>
          <w:b w:val="0"/>
          <w:bCs w:val="0"/>
          <w:color w:val="auto"/>
          <w:sz w:val="24"/>
          <w:szCs w:val="24"/>
        </w:rPr>
        <w:br/>
      </w:r>
      <w:r w:rsidRPr="00762245">
        <w:rPr>
          <w:b w:val="0"/>
          <w:bCs w:val="0"/>
          <w:color w:val="auto"/>
          <w:sz w:val="24"/>
          <w:szCs w:val="24"/>
        </w:rPr>
        <w:br/>
        <w:t xml:space="preserve">Element 1's poster presentation challenged me in a new but important way. Synthesis and visual communication skills were needed to condense the brand extension into a compelling poster. I initially struggled to present complex strategic arguments in such a small space, but this constraint helped me identify and communicate key ideas clearly and persuasively. The presentation feedback stressed visual hierarchy and the need to use design elements to direct the audience's attention. </w:t>
      </w:r>
      <w:r w:rsidRPr="00762245">
        <w:rPr>
          <w:b w:val="0"/>
          <w:bCs w:val="0"/>
          <w:color w:val="auto"/>
          <w:sz w:val="24"/>
          <w:szCs w:val="24"/>
        </w:rPr>
        <w:br/>
      </w:r>
      <w:r w:rsidRPr="00762245">
        <w:rPr>
          <w:b w:val="0"/>
          <w:bCs w:val="0"/>
          <w:color w:val="auto"/>
          <w:sz w:val="24"/>
          <w:szCs w:val="24"/>
        </w:rPr>
        <w:br/>
        <w:t xml:space="preserve">Personal growth has been enhanced by this project's emphasis on research discipline, time management, and academic synthesis. The 7Ps and STDP analysis have given me a structured approach to marketing problems I can use professionally. In future projects, I think I could improve my performance by spending more time on primary research, such as consumer surveys or interviews, which would add real-world data </w:t>
      </w:r>
      <w:r w:rsidRPr="00762245">
        <w:rPr>
          <w:b w:val="0"/>
          <w:bCs w:val="0"/>
          <w:color w:val="auto"/>
          <w:sz w:val="24"/>
          <w:szCs w:val="24"/>
        </w:rPr>
        <w:lastRenderedPageBreak/>
        <w:t>to the analysis</w:t>
      </w:r>
      <w:r w:rsidR="00947E29">
        <w:rPr>
          <w:b w:val="0"/>
          <w:bCs w:val="0"/>
          <w:color w:val="auto"/>
          <w:sz w:val="24"/>
          <w:szCs w:val="24"/>
        </w:rPr>
        <w:t>.</w:t>
      </w:r>
      <w:r w:rsidRPr="00762245">
        <w:rPr>
          <w:b w:val="0"/>
          <w:bCs w:val="0"/>
          <w:color w:val="auto"/>
          <w:sz w:val="24"/>
          <w:szCs w:val="24"/>
        </w:rPr>
        <w:br/>
      </w:r>
      <w:r w:rsidRPr="00762245">
        <w:rPr>
          <w:b w:val="0"/>
          <w:bCs w:val="0"/>
          <w:color w:val="auto"/>
          <w:sz w:val="24"/>
          <w:szCs w:val="24"/>
        </w:rPr>
        <w:br/>
        <w:t>This portfolio has greatly deepened my understanding of brand development as a strategic discipline and given me a variety of practical and academic skills that will benefit me in future academic study and marketing practice.</w:t>
      </w:r>
    </w:p>
    <w:p w14:paraId="3FAD5324" w14:textId="6AB37191" w:rsidR="00A5730C" w:rsidRDefault="00000000" w:rsidP="00762245">
      <w:pPr>
        <w:pStyle w:val="Heading1"/>
      </w:pPr>
      <w:r>
        <w:br w:type="page"/>
      </w:r>
    </w:p>
    <w:p w14:paraId="775B56C7" w14:textId="77777777" w:rsidR="00A5730C" w:rsidRDefault="00000000">
      <w:pPr>
        <w:pStyle w:val="Heading1"/>
      </w:pPr>
      <w:r>
        <w:lastRenderedPageBreak/>
        <w:t>References</w:t>
      </w:r>
    </w:p>
    <w:p w14:paraId="061D142C" w14:textId="77777777" w:rsidR="00A5730C" w:rsidRDefault="00A5730C">
      <w:pPr>
        <w:pBdr>
          <w:bottom w:val="single" w:sz="6" w:space="1" w:color="CC0000"/>
        </w:pBdr>
        <w:spacing w:before="160" w:after="160"/>
      </w:pPr>
    </w:p>
    <w:p w14:paraId="249B8379" w14:textId="77777777" w:rsidR="00A5730C" w:rsidRDefault="00A5730C">
      <w:pPr>
        <w:spacing w:before="80" w:after="80"/>
      </w:pPr>
    </w:p>
    <w:p w14:paraId="101CC713" w14:textId="77777777" w:rsidR="00157E85" w:rsidRPr="00157E85" w:rsidRDefault="00157E85" w:rsidP="00157E85">
      <w:pPr>
        <w:spacing w:before="80" w:after="80" w:line="360" w:lineRule="auto"/>
        <w:jc w:val="both"/>
      </w:pPr>
      <w:r w:rsidRPr="00157E85">
        <w:rPr>
          <w:b/>
          <w:bCs/>
        </w:rPr>
        <w:t>Aaker, D.A.</w:t>
      </w:r>
      <w:r w:rsidRPr="00157E85">
        <w:t> (1991) </w:t>
      </w:r>
      <w:r w:rsidRPr="00157E85">
        <w:rPr>
          <w:i/>
          <w:iCs/>
        </w:rPr>
        <w:t>Managing brand equity: capitalising on the value of a brand name</w:t>
      </w:r>
      <w:r w:rsidRPr="00157E85">
        <w:t>. New York: Free Press.</w:t>
      </w:r>
    </w:p>
    <w:p w14:paraId="3B0DEEE8" w14:textId="77777777" w:rsidR="00157E85" w:rsidRPr="00157E85" w:rsidRDefault="00157E85" w:rsidP="00157E85">
      <w:pPr>
        <w:spacing w:before="80" w:after="80" w:line="360" w:lineRule="auto"/>
        <w:jc w:val="both"/>
      </w:pPr>
      <w:r w:rsidRPr="00157E85">
        <w:rPr>
          <w:b/>
          <w:bCs/>
        </w:rPr>
        <w:t xml:space="preserve">Armstrong, G., Kotler, P., </w:t>
      </w:r>
      <w:proofErr w:type="spellStart"/>
      <w:r w:rsidRPr="00157E85">
        <w:rPr>
          <w:b/>
          <w:bCs/>
        </w:rPr>
        <w:t>Opresnik</w:t>
      </w:r>
      <w:proofErr w:type="spellEnd"/>
      <w:r w:rsidRPr="00157E85">
        <w:rPr>
          <w:b/>
          <w:bCs/>
        </w:rPr>
        <w:t>, M.O. and Brodie, R.</w:t>
      </w:r>
      <w:r w:rsidRPr="00157E85">
        <w:t> (2020) </w:t>
      </w:r>
      <w:r w:rsidRPr="00157E85">
        <w:rPr>
          <w:i/>
          <w:iCs/>
        </w:rPr>
        <w:t>Marketing: an introduction</w:t>
      </w:r>
      <w:r w:rsidRPr="00157E85">
        <w:t xml:space="preserve">. 14th </w:t>
      </w:r>
      <w:proofErr w:type="spellStart"/>
      <w:r w:rsidRPr="00157E85">
        <w:t>edn</w:t>
      </w:r>
      <w:proofErr w:type="spellEnd"/>
      <w:r w:rsidRPr="00157E85">
        <w:t>. Harlow: Pearson.</w:t>
      </w:r>
    </w:p>
    <w:p w14:paraId="20930D4E" w14:textId="77777777" w:rsidR="00157E85" w:rsidRPr="00157E85" w:rsidRDefault="00157E85" w:rsidP="00157E85">
      <w:pPr>
        <w:spacing w:before="80" w:after="80" w:line="360" w:lineRule="auto"/>
        <w:jc w:val="both"/>
      </w:pPr>
      <w:proofErr w:type="spellStart"/>
      <w:r w:rsidRPr="00157E85">
        <w:rPr>
          <w:b/>
          <w:bCs/>
        </w:rPr>
        <w:t>BloombergNEF</w:t>
      </w:r>
      <w:proofErr w:type="spellEnd"/>
      <w:r w:rsidRPr="00157E85">
        <w:t> (2024) </w:t>
      </w:r>
      <w:r w:rsidRPr="00157E85">
        <w:rPr>
          <w:i/>
          <w:iCs/>
        </w:rPr>
        <w:t>Global energy storage market outlook</w:t>
      </w:r>
      <w:r w:rsidRPr="00157E85">
        <w:t>. New York: Bloomberg Finance.</w:t>
      </w:r>
    </w:p>
    <w:p w14:paraId="447226B4" w14:textId="77777777" w:rsidR="00157E85" w:rsidRPr="00157E85" w:rsidRDefault="00157E85" w:rsidP="00157E85">
      <w:pPr>
        <w:spacing w:before="80" w:after="80" w:line="360" w:lineRule="auto"/>
        <w:jc w:val="both"/>
      </w:pPr>
      <w:r w:rsidRPr="00157E85">
        <w:rPr>
          <w:b/>
          <w:bCs/>
        </w:rPr>
        <w:t>Blythe, J.</w:t>
      </w:r>
      <w:r w:rsidRPr="00157E85">
        <w:t> (2014) </w:t>
      </w:r>
      <w:r w:rsidRPr="00157E85">
        <w:rPr>
          <w:i/>
          <w:iCs/>
        </w:rPr>
        <w:t>Principles and practice of marketing</w:t>
      </w:r>
      <w:r w:rsidRPr="00157E85">
        <w:t xml:space="preserve">. 3rd </w:t>
      </w:r>
      <w:proofErr w:type="spellStart"/>
      <w:r w:rsidRPr="00157E85">
        <w:t>edn</w:t>
      </w:r>
      <w:proofErr w:type="spellEnd"/>
      <w:r w:rsidRPr="00157E85">
        <w:t>. London: Sage.</w:t>
      </w:r>
    </w:p>
    <w:p w14:paraId="6A439829" w14:textId="77777777" w:rsidR="00157E85" w:rsidRPr="00157E85" w:rsidRDefault="00157E85" w:rsidP="00157E85">
      <w:pPr>
        <w:spacing w:before="80" w:after="80" w:line="360" w:lineRule="auto"/>
        <w:jc w:val="both"/>
      </w:pPr>
      <w:r w:rsidRPr="00157E85">
        <w:rPr>
          <w:b/>
          <w:bCs/>
        </w:rPr>
        <w:t>Butcher, J., et al.</w:t>
      </w:r>
      <w:r w:rsidRPr="00157E85">
        <w:t> (2018) 'Brand extension authenticity: the role of parent brand authenticity', </w:t>
      </w:r>
      <w:r w:rsidRPr="00157E85">
        <w:rPr>
          <w:i/>
          <w:iCs/>
        </w:rPr>
        <w:t>Journal of Brand Management</w:t>
      </w:r>
      <w:r w:rsidRPr="00157E85">
        <w:t>, 25(4), pp. 325–340.</w:t>
      </w:r>
    </w:p>
    <w:p w14:paraId="3E3155C1" w14:textId="77777777" w:rsidR="00157E85" w:rsidRPr="00157E85" w:rsidRDefault="00157E85" w:rsidP="00157E85">
      <w:pPr>
        <w:spacing w:before="80" w:after="80" w:line="360" w:lineRule="auto"/>
        <w:jc w:val="both"/>
      </w:pPr>
      <w:r w:rsidRPr="00157E85">
        <w:rPr>
          <w:b/>
          <w:bCs/>
        </w:rPr>
        <w:t>CESC International Energy Storage Conference</w:t>
      </w:r>
      <w:r w:rsidRPr="00157E85">
        <w:t> (2026) </w:t>
      </w:r>
      <w:r w:rsidRPr="00157E85">
        <w:rPr>
          <w:i/>
          <w:iCs/>
        </w:rPr>
        <w:t>Global top 10 innovative home energy storage products: business secrets</w:t>
      </w:r>
      <w:r w:rsidRPr="00157E85">
        <w:t>. Available at: </w:t>
      </w:r>
      <w:hyperlink r:id="rId7" w:tgtFrame="_blank" w:history="1">
        <w:r w:rsidRPr="00157E85">
          <w:rPr>
            <w:rStyle w:val="Hyperlink"/>
          </w:rPr>
          <w:t>https://www.cescexpo.com</w:t>
        </w:r>
      </w:hyperlink>
      <w:r w:rsidRPr="00157E85">
        <w:t> (Accessed: 30 March 2026).</w:t>
      </w:r>
    </w:p>
    <w:p w14:paraId="05B3A66F" w14:textId="77777777" w:rsidR="00157E85" w:rsidRPr="00157E85" w:rsidRDefault="00157E85" w:rsidP="00157E85">
      <w:pPr>
        <w:spacing w:before="80" w:after="80" w:line="360" w:lineRule="auto"/>
        <w:jc w:val="both"/>
      </w:pPr>
      <w:r w:rsidRPr="00157E85">
        <w:rPr>
          <w:b/>
          <w:bCs/>
        </w:rPr>
        <w:t>Chernev, A.</w:t>
      </w:r>
      <w:r w:rsidRPr="00157E85">
        <w:t> (2020) </w:t>
      </w:r>
      <w:r w:rsidRPr="00157E85">
        <w:rPr>
          <w:i/>
          <w:iCs/>
        </w:rPr>
        <w:t>Strategic marketing management</w:t>
      </w:r>
      <w:r w:rsidRPr="00157E85">
        <w:t xml:space="preserve">. 9th </w:t>
      </w:r>
      <w:proofErr w:type="spellStart"/>
      <w:r w:rsidRPr="00157E85">
        <w:t>edn</w:t>
      </w:r>
      <w:proofErr w:type="spellEnd"/>
      <w:r w:rsidRPr="00157E85">
        <w:t>. Chicago: Cerebellum Press.</w:t>
      </w:r>
    </w:p>
    <w:p w14:paraId="58049137" w14:textId="77777777" w:rsidR="00157E85" w:rsidRPr="00157E85" w:rsidRDefault="00157E85" w:rsidP="00157E85">
      <w:pPr>
        <w:spacing w:before="80" w:after="80" w:line="360" w:lineRule="auto"/>
        <w:jc w:val="both"/>
      </w:pPr>
      <w:r w:rsidRPr="00157E85">
        <w:rPr>
          <w:b/>
          <w:bCs/>
        </w:rPr>
        <w:t>Energy Information Administration</w:t>
      </w:r>
      <w:r w:rsidRPr="00157E85">
        <w:t> (2024) </w:t>
      </w:r>
      <w:r w:rsidRPr="00157E85">
        <w:rPr>
          <w:i/>
          <w:iCs/>
        </w:rPr>
        <w:t>Battery storage in the United States: an update on market trends</w:t>
      </w:r>
      <w:r w:rsidRPr="00157E85">
        <w:t>. Washington, DC: U.S. Department of Energy.</w:t>
      </w:r>
    </w:p>
    <w:p w14:paraId="4243E138" w14:textId="77777777" w:rsidR="00157E85" w:rsidRPr="00157E85" w:rsidRDefault="00157E85" w:rsidP="00157E85">
      <w:pPr>
        <w:spacing w:before="80" w:after="80" w:line="360" w:lineRule="auto"/>
        <w:jc w:val="both"/>
      </w:pPr>
      <w:hyperlink r:id="rId8" w:tgtFrame="_blank" w:history="1">
        <w:r w:rsidRPr="00157E85">
          <w:rPr>
            <w:rStyle w:val="Hyperlink"/>
            <w:b/>
            <w:bCs/>
          </w:rPr>
          <w:t>GOV.UK</w:t>
        </w:r>
      </w:hyperlink>
      <w:r w:rsidRPr="00157E85">
        <w:t> (2025) </w:t>
      </w:r>
      <w:r w:rsidRPr="00157E85">
        <w:rPr>
          <w:i/>
          <w:iCs/>
        </w:rPr>
        <w:t>Solar roadmap: United Kingdom powered by solar (accessible webpage)</w:t>
      </w:r>
      <w:r w:rsidRPr="00157E85">
        <w:t>. Available at: </w:t>
      </w:r>
      <w:hyperlink r:id="rId9" w:tgtFrame="_blank" w:history="1">
        <w:r w:rsidRPr="00157E85">
          <w:rPr>
            <w:rStyle w:val="Hyperlink"/>
          </w:rPr>
          <w:t>https://www.gov.uk/government/publications/solar-roadmap/solar-roadmap-united-kingdom-powered-by-solar-accessible-webpage</w:t>
        </w:r>
      </w:hyperlink>
      <w:r w:rsidRPr="00157E85">
        <w:t> (Accessed: 15 March 2025).</w:t>
      </w:r>
    </w:p>
    <w:p w14:paraId="4123ECF2" w14:textId="77777777" w:rsidR="00157E85" w:rsidRPr="00157E85" w:rsidRDefault="00157E85" w:rsidP="00157E85">
      <w:pPr>
        <w:spacing w:before="80" w:after="80" w:line="360" w:lineRule="auto"/>
        <w:jc w:val="both"/>
      </w:pPr>
      <w:r w:rsidRPr="00157E85">
        <w:rPr>
          <w:b/>
          <w:bCs/>
        </w:rPr>
        <w:t>Grand View Research</w:t>
      </w:r>
      <w:r w:rsidRPr="00157E85">
        <w:t> (2023) </w:t>
      </w:r>
      <w:r w:rsidRPr="00157E85">
        <w:rPr>
          <w:i/>
          <w:iCs/>
        </w:rPr>
        <w:t>Smart home market size, share and trends analysis report, 2023–2030</w:t>
      </w:r>
      <w:r w:rsidRPr="00157E85">
        <w:t>. San Francisco: Grand View Research.</w:t>
      </w:r>
    </w:p>
    <w:p w14:paraId="1A45E452" w14:textId="77777777" w:rsidR="00157E85" w:rsidRPr="00157E85" w:rsidRDefault="00157E85" w:rsidP="00157E85">
      <w:pPr>
        <w:spacing w:before="80" w:after="80" w:line="360" w:lineRule="auto"/>
        <w:jc w:val="both"/>
      </w:pPr>
      <w:r w:rsidRPr="00157E85">
        <w:rPr>
          <w:b/>
          <w:bCs/>
        </w:rPr>
        <w:t>Herrmann, A., et al.</w:t>
      </w:r>
      <w:r w:rsidRPr="00157E85">
        <w:t> (2022) 'Drivers of autonomous vehicles—</w:t>
      </w:r>
      <w:proofErr w:type="spellStart"/>
      <w:r w:rsidRPr="00157E85">
        <w:t>analyzing</w:t>
      </w:r>
      <w:proofErr w:type="spellEnd"/>
      <w:r w:rsidRPr="00157E85">
        <w:t xml:space="preserve"> consumer preferences for self-driving car brand extensions', </w:t>
      </w:r>
      <w:r w:rsidRPr="00157E85">
        <w:rPr>
          <w:i/>
          <w:iCs/>
        </w:rPr>
        <w:t>Marketing Letters</w:t>
      </w:r>
      <w:r w:rsidRPr="00157E85">
        <w:t>, 33, pp. 89–112.</w:t>
      </w:r>
    </w:p>
    <w:p w14:paraId="0654E08E" w14:textId="77777777" w:rsidR="00157E85" w:rsidRPr="00157E85" w:rsidRDefault="00157E85" w:rsidP="00157E85">
      <w:pPr>
        <w:spacing w:before="80" w:after="80" w:line="360" w:lineRule="auto"/>
        <w:jc w:val="both"/>
      </w:pPr>
      <w:r w:rsidRPr="00157E85">
        <w:rPr>
          <w:b/>
          <w:bCs/>
        </w:rPr>
        <w:t>International Energy Agency</w:t>
      </w:r>
      <w:r w:rsidRPr="00157E85">
        <w:t> (2023) </w:t>
      </w:r>
      <w:r w:rsidRPr="00157E85">
        <w:rPr>
          <w:i/>
          <w:iCs/>
        </w:rPr>
        <w:t>World energy outlook 2023</w:t>
      </w:r>
      <w:r w:rsidRPr="00157E85">
        <w:t>. Paris: IEA. Available at: </w:t>
      </w:r>
      <w:hyperlink r:id="rId10" w:tgtFrame="_blank" w:history="1">
        <w:r w:rsidRPr="00157E85">
          <w:rPr>
            <w:rStyle w:val="Hyperlink"/>
          </w:rPr>
          <w:t>https://www.iea.org/reports/world-energy-outlook-2023</w:t>
        </w:r>
      </w:hyperlink>
      <w:r w:rsidRPr="00157E85">
        <w:t> (Accessed: 15 March 2025).</w:t>
      </w:r>
    </w:p>
    <w:p w14:paraId="013754FF" w14:textId="77777777" w:rsidR="00157E85" w:rsidRPr="00157E85" w:rsidRDefault="00157E85" w:rsidP="00157E85">
      <w:pPr>
        <w:spacing w:before="80" w:after="80" w:line="360" w:lineRule="auto"/>
        <w:jc w:val="both"/>
      </w:pPr>
      <w:r w:rsidRPr="00157E85">
        <w:rPr>
          <w:b/>
          <w:bCs/>
        </w:rPr>
        <w:lastRenderedPageBreak/>
        <w:t>Kapferer, J.N.</w:t>
      </w:r>
      <w:r w:rsidRPr="00157E85">
        <w:t> (2012) </w:t>
      </w:r>
      <w:r w:rsidRPr="00157E85">
        <w:rPr>
          <w:i/>
          <w:iCs/>
        </w:rPr>
        <w:t>The new strategic brand management: advanced insights and strategic thinking</w:t>
      </w:r>
      <w:r w:rsidRPr="00157E85">
        <w:t xml:space="preserve">. 5th </w:t>
      </w:r>
      <w:proofErr w:type="spellStart"/>
      <w:r w:rsidRPr="00157E85">
        <w:t>edn</w:t>
      </w:r>
      <w:proofErr w:type="spellEnd"/>
      <w:r w:rsidRPr="00157E85">
        <w:t>. London: Kogan Page.</w:t>
      </w:r>
    </w:p>
    <w:p w14:paraId="42C470F6" w14:textId="77777777" w:rsidR="00157E85" w:rsidRPr="00157E85" w:rsidRDefault="00157E85" w:rsidP="00157E85">
      <w:pPr>
        <w:spacing w:before="80" w:after="80" w:line="360" w:lineRule="auto"/>
        <w:jc w:val="both"/>
      </w:pPr>
      <w:r w:rsidRPr="00157E85">
        <w:rPr>
          <w:b/>
          <w:bCs/>
        </w:rPr>
        <w:t>Keller, K.L.</w:t>
      </w:r>
      <w:r w:rsidRPr="00157E85">
        <w:t> (2013) </w:t>
      </w:r>
      <w:r w:rsidRPr="00157E85">
        <w:rPr>
          <w:i/>
          <w:iCs/>
        </w:rPr>
        <w:t>Strategic brand management: building, measuring, and managing brand equity</w:t>
      </w:r>
      <w:r w:rsidRPr="00157E85">
        <w:t xml:space="preserve">. 4th </w:t>
      </w:r>
      <w:proofErr w:type="spellStart"/>
      <w:r w:rsidRPr="00157E85">
        <w:t>edn</w:t>
      </w:r>
      <w:proofErr w:type="spellEnd"/>
      <w:r w:rsidRPr="00157E85">
        <w:t>. Harlow: Pearson.</w:t>
      </w:r>
    </w:p>
    <w:p w14:paraId="052E5B4C" w14:textId="77777777" w:rsidR="00157E85" w:rsidRPr="00157E85" w:rsidRDefault="00157E85" w:rsidP="00157E85">
      <w:pPr>
        <w:spacing w:before="80" w:after="80" w:line="360" w:lineRule="auto"/>
        <w:jc w:val="both"/>
      </w:pPr>
      <w:r w:rsidRPr="00157E85">
        <w:rPr>
          <w:b/>
          <w:bCs/>
        </w:rPr>
        <w:t>Kotler, P. and Armstrong, G.</w:t>
      </w:r>
      <w:r w:rsidRPr="00157E85">
        <w:t> (2021) </w:t>
      </w:r>
      <w:r w:rsidRPr="00157E85">
        <w:rPr>
          <w:i/>
          <w:iCs/>
        </w:rPr>
        <w:t>Principles of marketing</w:t>
      </w:r>
      <w:r w:rsidRPr="00157E85">
        <w:t xml:space="preserve">. 18th </w:t>
      </w:r>
      <w:proofErr w:type="spellStart"/>
      <w:r w:rsidRPr="00157E85">
        <w:t>edn</w:t>
      </w:r>
      <w:proofErr w:type="spellEnd"/>
      <w:r w:rsidRPr="00157E85">
        <w:t>. Harlow: Pearson.</w:t>
      </w:r>
    </w:p>
    <w:p w14:paraId="5E712DF3" w14:textId="77777777" w:rsidR="00157E85" w:rsidRPr="00157E85" w:rsidRDefault="00157E85" w:rsidP="00157E85">
      <w:pPr>
        <w:spacing w:before="80" w:after="80" w:line="360" w:lineRule="auto"/>
        <w:jc w:val="both"/>
      </w:pPr>
      <w:r w:rsidRPr="00157E85">
        <w:rPr>
          <w:b/>
          <w:bCs/>
        </w:rPr>
        <w:t>Kotler, P., Keller, K.L. and Chernev, A.</w:t>
      </w:r>
      <w:r w:rsidRPr="00157E85">
        <w:t> (2024) </w:t>
      </w:r>
      <w:r w:rsidRPr="00157E85">
        <w:rPr>
          <w:i/>
          <w:iCs/>
        </w:rPr>
        <w:t>Marketing management</w:t>
      </w:r>
      <w:r w:rsidRPr="00157E85">
        <w:t xml:space="preserve">. 16th </w:t>
      </w:r>
      <w:proofErr w:type="spellStart"/>
      <w:r w:rsidRPr="00157E85">
        <w:t>edn</w:t>
      </w:r>
      <w:proofErr w:type="spellEnd"/>
      <w:r w:rsidRPr="00157E85">
        <w:t>. Harlow: Pearson.</w:t>
      </w:r>
    </w:p>
    <w:p w14:paraId="36FCBE16" w14:textId="77777777" w:rsidR="00157E85" w:rsidRPr="00157E85" w:rsidRDefault="00157E85" w:rsidP="00157E85">
      <w:pPr>
        <w:spacing w:before="80" w:after="80" w:line="360" w:lineRule="auto"/>
        <w:jc w:val="both"/>
      </w:pPr>
      <w:r w:rsidRPr="00157E85">
        <w:rPr>
          <w:b/>
          <w:bCs/>
        </w:rPr>
        <w:t>Lovelock, C. and Wirtz, J.</w:t>
      </w:r>
      <w:r w:rsidRPr="00157E85">
        <w:t> (2016) </w:t>
      </w:r>
      <w:r w:rsidRPr="00157E85">
        <w:rPr>
          <w:i/>
          <w:iCs/>
        </w:rPr>
        <w:t>Services marketing: people, technology, strategy</w:t>
      </w:r>
      <w:r w:rsidRPr="00157E85">
        <w:t xml:space="preserve">. 8th </w:t>
      </w:r>
      <w:proofErr w:type="spellStart"/>
      <w:r w:rsidRPr="00157E85">
        <w:t>edn</w:t>
      </w:r>
      <w:proofErr w:type="spellEnd"/>
      <w:r w:rsidRPr="00157E85">
        <w:t>. New Jersey: World Scientific.</w:t>
      </w:r>
    </w:p>
    <w:p w14:paraId="191520AB" w14:textId="77777777" w:rsidR="00157E85" w:rsidRPr="00157E85" w:rsidRDefault="00157E85" w:rsidP="00157E85">
      <w:pPr>
        <w:spacing w:before="80" w:after="80" w:line="360" w:lineRule="auto"/>
        <w:jc w:val="both"/>
      </w:pPr>
      <w:proofErr w:type="spellStart"/>
      <w:r w:rsidRPr="00157E85">
        <w:rPr>
          <w:b/>
          <w:bCs/>
        </w:rPr>
        <w:t>Maradin</w:t>
      </w:r>
      <w:proofErr w:type="spellEnd"/>
      <w:r w:rsidRPr="00157E85">
        <w:rPr>
          <w:b/>
          <w:bCs/>
        </w:rPr>
        <w:t>, D.</w:t>
      </w:r>
      <w:r w:rsidRPr="00157E85">
        <w:t> (2022) 'Sustainable and clean energy: the case of Tesla Company', </w:t>
      </w:r>
      <w:r w:rsidRPr="00157E85">
        <w:rPr>
          <w:i/>
          <w:iCs/>
        </w:rPr>
        <w:t>Energies</w:t>
      </w:r>
      <w:r w:rsidRPr="00157E85">
        <w:t>, 15(23), p. 9023. Available at: </w:t>
      </w:r>
      <w:hyperlink r:id="rId11" w:tgtFrame="_blank" w:history="1">
        <w:r w:rsidRPr="00157E85">
          <w:rPr>
            <w:rStyle w:val="Hyperlink"/>
          </w:rPr>
          <w:t>https://www.researchgate.net/publication/366057251</w:t>
        </w:r>
      </w:hyperlink>
      <w:r w:rsidRPr="00157E85">
        <w:t> (Accessed: 20 March 2025).</w:t>
      </w:r>
    </w:p>
    <w:p w14:paraId="5A930F52" w14:textId="77777777" w:rsidR="00157E85" w:rsidRPr="00157E85" w:rsidRDefault="00157E85" w:rsidP="00157E85">
      <w:pPr>
        <w:spacing w:before="80" w:after="80" w:line="360" w:lineRule="auto"/>
        <w:jc w:val="both"/>
      </w:pPr>
      <w:proofErr w:type="spellStart"/>
      <w:r w:rsidRPr="00157E85">
        <w:rPr>
          <w:b/>
          <w:bCs/>
        </w:rPr>
        <w:t>Mctigue</w:t>
      </w:r>
      <w:proofErr w:type="spellEnd"/>
      <w:r w:rsidRPr="00157E85">
        <w:rPr>
          <w:b/>
          <w:bCs/>
        </w:rPr>
        <w:t xml:space="preserve">, J.D., Zhu, G., Turchi, C., </w:t>
      </w:r>
      <w:proofErr w:type="spellStart"/>
      <w:r w:rsidRPr="00157E85">
        <w:rPr>
          <w:b/>
          <w:bCs/>
        </w:rPr>
        <w:t>Mungas</w:t>
      </w:r>
      <w:proofErr w:type="spellEnd"/>
      <w:r w:rsidRPr="00157E85">
        <w:rPr>
          <w:b/>
          <w:bCs/>
        </w:rPr>
        <w:t>, G. and S, G.M.</w:t>
      </w:r>
      <w:r w:rsidRPr="00157E85">
        <w:t> (2018) 'Hybridizing a geothermal plant with solar and thermal energy storage to enhance power generation', </w:t>
      </w:r>
      <w:r w:rsidRPr="00157E85">
        <w:rPr>
          <w:i/>
          <w:iCs/>
        </w:rPr>
        <w:t>Proceedings of the ASME 2018 Power Conference</w:t>
      </w:r>
      <w:r w:rsidRPr="00157E85">
        <w:t>, Lake Buena Vista, FL, June 2018. New York: ASME.</w:t>
      </w:r>
    </w:p>
    <w:p w14:paraId="56BF9667" w14:textId="77777777" w:rsidR="00157E85" w:rsidRPr="00157E85" w:rsidRDefault="00157E85" w:rsidP="00157E85">
      <w:pPr>
        <w:spacing w:before="80" w:after="80" w:line="360" w:lineRule="auto"/>
        <w:jc w:val="both"/>
      </w:pPr>
      <w:r w:rsidRPr="00157E85">
        <w:rPr>
          <w:b/>
          <w:bCs/>
        </w:rPr>
        <w:t>Moon, Y.</w:t>
      </w:r>
      <w:r w:rsidRPr="00157E85">
        <w:t> (2010) 'Break free from the product life cycle', </w:t>
      </w:r>
      <w:r w:rsidRPr="00157E85">
        <w:rPr>
          <w:i/>
          <w:iCs/>
        </w:rPr>
        <w:t>Harvard Business Review</w:t>
      </w:r>
      <w:r w:rsidRPr="00157E85">
        <w:t>, 83(5), pp. 86–94.</w:t>
      </w:r>
    </w:p>
    <w:p w14:paraId="0EF9D08D" w14:textId="77777777" w:rsidR="00157E85" w:rsidRPr="00157E85" w:rsidRDefault="00157E85" w:rsidP="00157E85">
      <w:pPr>
        <w:spacing w:before="80" w:after="80" w:line="360" w:lineRule="auto"/>
        <w:jc w:val="both"/>
      </w:pPr>
      <w:r w:rsidRPr="00157E85">
        <w:rPr>
          <w:b/>
          <w:bCs/>
        </w:rPr>
        <w:t>Moorman, C. and Lehmann, D.R.</w:t>
      </w:r>
      <w:r w:rsidRPr="00157E85">
        <w:t> (2004) </w:t>
      </w:r>
      <w:r w:rsidRPr="00157E85">
        <w:rPr>
          <w:i/>
          <w:iCs/>
        </w:rPr>
        <w:t>Assessing marketing strategy performance</w:t>
      </w:r>
      <w:r w:rsidRPr="00157E85">
        <w:t>. Cambridge: Marketing Science Institute.</w:t>
      </w:r>
    </w:p>
    <w:p w14:paraId="20C2709D" w14:textId="77777777" w:rsidR="00157E85" w:rsidRPr="00157E85" w:rsidRDefault="00157E85" w:rsidP="00157E85">
      <w:pPr>
        <w:spacing w:before="80" w:after="80" w:line="360" w:lineRule="auto"/>
        <w:jc w:val="both"/>
      </w:pPr>
      <w:r w:rsidRPr="00157E85">
        <w:rPr>
          <w:b/>
          <w:bCs/>
        </w:rPr>
        <w:t>Ofgem</w:t>
      </w:r>
      <w:r w:rsidRPr="00157E85">
        <w:t> (2025) </w:t>
      </w:r>
      <w:r w:rsidRPr="00157E85">
        <w:rPr>
          <w:i/>
          <w:iCs/>
        </w:rPr>
        <w:t>Energy price cap explained</w:t>
      </w:r>
      <w:r w:rsidRPr="00157E85">
        <w:t>. Available at: </w:t>
      </w:r>
      <w:hyperlink r:id="rId12" w:tgtFrame="_blank" w:history="1">
        <w:r w:rsidRPr="00157E85">
          <w:rPr>
            <w:rStyle w:val="Hyperlink"/>
          </w:rPr>
          <w:t>https://www.ofgem.gov.uk/information-consumers/energy-advice-households/energy-price-cap-explained</w:t>
        </w:r>
      </w:hyperlink>
      <w:r w:rsidRPr="00157E85">
        <w:t> (Accessed: 10 March 2025).</w:t>
      </w:r>
    </w:p>
    <w:p w14:paraId="5E670423" w14:textId="77777777" w:rsidR="00157E85" w:rsidRPr="00157E85" w:rsidRDefault="00157E85" w:rsidP="00157E85">
      <w:pPr>
        <w:spacing w:before="80" w:after="80" w:line="360" w:lineRule="auto"/>
        <w:jc w:val="both"/>
      </w:pPr>
      <w:proofErr w:type="spellStart"/>
      <w:r w:rsidRPr="00157E85">
        <w:rPr>
          <w:b/>
          <w:bCs/>
        </w:rPr>
        <w:t>Pahud</w:t>
      </w:r>
      <w:proofErr w:type="spellEnd"/>
      <w:r w:rsidRPr="00157E85">
        <w:rPr>
          <w:b/>
          <w:bCs/>
        </w:rPr>
        <w:t xml:space="preserve"> de </w:t>
      </w:r>
      <w:proofErr w:type="spellStart"/>
      <w:r w:rsidRPr="00157E85">
        <w:rPr>
          <w:b/>
          <w:bCs/>
        </w:rPr>
        <w:t>Mortanges</w:t>
      </w:r>
      <w:proofErr w:type="spellEnd"/>
      <w:r w:rsidRPr="00157E85">
        <w:rPr>
          <w:b/>
          <w:bCs/>
        </w:rPr>
        <w:t>, C.</w:t>
      </w:r>
      <w:r w:rsidRPr="00157E85">
        <w:t> (2025) </w:t>
      </w:r>
      <w:r w:rsidRPr="00157E85">
        <w:rPr>
          <w:i/>
          <w:iCs/>
        </w:rPr>
        <w:t>The CEO as brand risk: assessing and restoring Tesla’s brand image</w:t>
      </w:r>
      <w:r w:rsidRPr="00157E85">
        <w:t xml:space="preserve">. Liège: </w:t>
      </w:r>
      <w:proofErr w:type="spellStart"/>
      <w:r w:rsidRPr="00157E85">
        <w:t>ORBi</w:t>
      </w:r>
      <w:proofErr w:type="spellEnd"/>
      <w:r w:rsidRPr="00157E85">
        <w:t>, University of Liège.</w:t>
      </w:r>
    </w:p>
    <w:p w14:paraId="31168909" w14:textId="77777777" w:rsidR="00157E85" w:rsidRPr="00157E85" w:rsidRDefault="00157E85" w:rsidP="00157E85">
      <w:pPr>
        <w:spacing w:before="80" w:after="80" w:line="360" w:lineRule="auto"/>
        <w:jc w:val="both"/>
      </w:pPr>
      <w:r w:rsidRPr="00157E85">
        <w:rPr>
          <w:b/>
          <w:bCs/>
        </w:rPr>
        <w:t>Park, S., et al.</w:t>
      </w:r>
      <w:r w:rsidRPr="00157E85">
        <w:t> (2020) 'Artificial intelligence in smart home energy management systems: a review', </w:t>
      </w:r>
      <w:r w:rsidRPr="00157E85">
        <w:rPr>
          <w:i/>
          <w:iCs/>
        </w:rPr>
        <w:t>IEEE Access</w:t>
      </w:r>
      <w:r w:rsidRPr="00157E85">
        <w:t>, 8, pp. 132456–132472.</w:t>
      </w:r>
    </w:p>
    <w:p w14:paraId="4893DB56" w14:textId="77777777" w:rsidR="00157E85" w:rsidRPr="00157E85" w:rsidRDefault="00157E85" w:rsidP="00157E85">
      <w:pPr>
        <w:spacing w:before="80" w:after="80" w:line="360" w:lineRule="auto"/>
        <w:jc w:val="both"/>
      </w:pPr>
      <w:r w:rsidRPr="00157E85">
        <w:rPr>
          <w:b/>
          <w:bCs/>
        </w:rPr>
        <w:t>Porter, M.E.</w:t>
      </w:r>
      <w:r w:rsidRPr="00157E85">
        <w:t> (2008) </w:t>
      </w:r>
      <w:r w:rsidRPr="00157E85">
        <w:rPr>
          <w:i/>
          <w:iCs/>
        </w:rPr>
        <w:t>Competitive advantage: creating and sustaining superior performance</w:t>
      </w:r>
      <w:r w:rsidRPr="00157E85">
        <w:t>. New York: Free Press.</w:t>
      </w:r>
    </w:p>
    <w:p w14:paraId="6B524D81" w14:textId="77777777" w:rsidR="00157E85" w:rsidRPr="00157E85" w:rsidRDefault="00157E85" w:rsidP="00157E85">
      <w:pPr>
        <w:spacing w:before="80" w:after="80" w:line="360" w:lineRule="auto"/>
        <w:jc w:val="both"/>
      </w:pPr>
      <w:r w:rsidRPr="00157E85">
        <w:rPr>
          <w:b/>
          <w:bCs/>
        </w:rPr>
        <w:lastRenderedPageBreak/>
        <w:t>Ries, A. and Trout, J.</w:t>
      </w:r>
      <w:r w:rsidRPr="00157E85">
        <w:t> (2001) </w:t>
      </w:r>
      <w:r w:rsidRPr="00157E85">
        <w:rPr>
          <w:i/>
          <w:iCs/>
        </w:rPr>
        <w:t>Positioning: the battle for your mind</w:t>
      </w:r>
      <w:r w:rsidRPr="00157E85">
        <w:t>. New York: McGraw-Hill.</w:t>
      </w:r>
    </w:p>
    <w:p w14:paraId="4F7430D8" w14:textId="77777777" w:rsidR="00157E85" w:rsidRPr="00157E85" w:rsidRDefault="00157E85" w:rsidP="00157E85">
      <w:pPr>
        <w:spacing w:before="80" w:after="80" w:line="360" w:lineRule="auto"/>
        <w:jc w:val="both"/>
      </w:pPr>
      <w:r w:rsidRPr="00157E85">
        <w:rPr>
          <w:b/>
          <w:bCs/>
        </w:rPr>
        <w:t>Solomon, M.R.</w:t>
      </w:r>
      <w:r w:rsidRPr="00157E85">
        <w:t> (2020) </w:t>
      </w:r>
      <w:r w:rsidRPr="00157E85">
        <w:rPr>
          <w:i/>
          <w:iCs/>
        </w:rPr>
        <w:t>Consumer behaviour: buying, having, and being</w:t>
      </w:r>
      <w:r w:rsidRPr="00157E85">
        <w:t xml:space="preserve">. 13th </w:t>
      </w:r>
      <w:proofErr w:type="spellStart"/>
      <w:r w:rsidRPr="00157E85">
        <w:t>edn</w:t>
      </w:r>
      <w:proofErr w:type="spellEnd"/>
      <w:r w:rsidRPr="00157E85">
        <w:t>. Harlow: Pearson.</w:t>
      </w:r>
    </w:p>
    <w:p w14:paraId="3782A65C" w14:textId="77777777" w:rsidR="00157E85" w:rsidRPr="00157E85" w:rsidRDefault="00157E85" w:rsidP="00157E85">
      <w:pPr>
        <w:spacing w:before="80" w:after="80" w:line="360" w:lineRule="auto"/>
        <w:jc w:val="both"/>
      </w:pPr>
      <w:r w:rsidRPr="00157E85">
        <w:rPr>
          <w:b/>
          <w:bCs/>
        </w:rPr>
        <w:t>Statista</w:t>
      </w:r>
      <w:r w:rsidRPr="00157E85">
        <w:t> (2024) </w:t>
      </w:r>
      <w:r w:rsidRPr="00157E85">
        <w:rPr>
          <w:i/>
          <w:iCs/>
        </w:rPr>
        <w:t>Smart home – worldwide: market data and analysis</w:t>
      </w:r>
      <w:r w:rsidRPr="00157E85">
        <w:t>. Hamburg: Statista. Available at: </w:t>
      </w:r>
      <w:hyperlink r:id="rId13" w:tgtFrame="_blank" w:history="1">
        <w:r w:rsidRPr="00157E85">
          <w:rPr>
            <w:rStyle w:val="Hyperlink"/>
          </w:rPr>
          <w:t>https://www.statista.com/outlook/cmo/smart-home/worldwide</w:t>
        </w:r>
      </w:hyperlink>
      <w:r w:rsidRPr="00157E85">
        <w:t> (Accessed: 12 March 2025).</w:t>
      </w:r>
    </w:p>
    <w:p w14:paraId="2A34F3BC" w14:textId="77777777" w:rsidR="00157E85" w:rsidRPr="00157E85" w:rsidRDefault="00157E85" w:rsidP="00157E85">
      <w:pPr>
        <w:spacing w:before="80" w:after="80" w:line="360" w:lineRule="auto"/>
        <w:jc w:val="both"/>
      </w:pPr>
      <w:proofErr w:type="spellStart"/>
      <w:r w:rsidRPr="00157E85">
        <w:rPr>
          <w:b/>
          <w:bCs/>
        </w:rPr>
        <w:t>Tesery</w:t>
      </w:r>
      <w:proofErr w:type="spellEnd"/>
      <w:r w:rsidRPr="00157E85">
        <w:t> (2026) 'Tesla global fleet surpasses 9 million vehicles marking major EV miles', </w:t>
      </w:r>
      <w:proofErr w:type="spellStart"/>
      <w:r w:rsidRPr="00157E85">
        <w:rPr>
          <w:i/>
          <w:iCs/>
        </w:rPr>
        <w:t>Tesery</w:t>
      </w:r>
      <w:proofErr w:type="spellEnd"/>
      <w:r w:rsidRPr="00157E85">
        <w:rPr>
          <w:i/>
          <w:iCs/>
        </w:rPr>
        <w:t xml:space="preserve"> Official Store</w:t>
      </w:r>
      <w:r w:rsidRPr="00157E85">
        <w:t>. Available at: </w:t>
      </w:r>
      <w:hyperlink r:id="rId14" w:tgtFrame="_blank" w:history="1">
        <w:r w:rsidRPr="00157E85">
          <w:rPr>
            <w:rStyle w:val="Hyperlink"/>
          </w:rPr>
          <w:t>https://www.tesery.com/en-gb/blogs/news/tesla-global-fleet-surpasses-9-million-vehicles-marking-major-ev-milestone</w:t>
        </w:r>
      </w:hyperlink>
      <w:r w:rsidRPr="00157E85">
        <w:t> (Accessed: 31 March 2026).</w:t>
      </w:r>
    </w:p>
    <w:p w14:paraId="4C7744BE" w14:textId="77777777" w:rsidR="00157E85" w:rsidRPr="00157E85" w:rsidRDefault="00157E85" w:rsidP="00157E85">
      <w:pPr>
        <w:spacing w:before="80" w:after="80" w:line="360" w:lineRule="auto"/>
        <w:jc w:val="both"/>
      </w:pPr>
      <w:r w:rsidRPr="00157E85">
        <w:rPr>
          <w:b/>
          <w:bCs/>
        </w:rPr>
        <w:t>Tesla, Inc.</w:t>
      </w:r>
      <w:r w:rsidRPr="00157E85">
        <w:t> (2023) </w:t>
      </w:r>
      <w:r w:rsidRPr="00157E85">
        <w:rPr>
          <w:i/>
          <w:iCs/>
        </w:rPr>
        <w:t>Impact report 2023</w:t>
      </w:r>
      <w:r w:rsidRPr="00157E85">
        <w:t>. Austin, TX: Tesla, Inc. Available at: </w:t>
      </w:r>
      <w:hyperlink r:id="rId15" w:tgtFrame="_blank" w:history="1">
        <w:r w:rsidRPr="00157E85">
          <w:rPr>
            <w:rStyle w:val="Hyperlink"/>
          </w:rPr>
          <w:t>https://www.tesla.com/impact-report-2023</w:t>
        </w:r>
      </w:hyperlink>
      <w:r w:rsidRPr="00157E85">
        <w:t> (Accessed: 10 March 2025).</w:t>
      </w:r>
    </w:p>
    <w:p w14:paraId="169517E0" w14:textId="77777777" w:rsidR="00157E85" w:rsidRPr="00157E85" w:rsidRDefault="00157E85" w:rsidP="00157E85">
      <w:pPr>
        <w:spacing w:before="80" w:after="80" w:line="360" w:lineRule="auto"/>
        <w:jc w:val="both"/>
      </w:pPr>
      <w:r w:rsidRPr="00157E85">
        <w:rPr>
          <w:b/>
          <w:bCs/>
        </w:rPr>
        <w:t>The Battery Magazine</w:t>
      </w:r>
      <w:r w:rsidRPr="00157E85">
        <w:t> (2025) </w:t>
      </w:r>
      <w:r w:rsidRPr="00157E85">
        <w:rPr>
          <w:i/>
          <w:iCs/>
        </w:rPr>
        <w:t>Best 2025 home energy storage systems for solar</w:t>
      </w:r>
      <w:r w:rsidRPr="00157E85">
        <w:t>. Available at: </w:t>
      </w:r>
      <w:hyperlink r:id="rId16" w:tgtFrame="_blank" w:history="1">
        <w:r w:rsidRPr="00157E85">
          <w:rPr>
            <w:rStyle w:val="Hyperlink"/>
          </w:rPr>
          <w:t>https://www.thebatterymagazine.com</w:t>
        </w:r>
      </w:hyperlink>
      <w:r w:rsidRPr="00157E85">
        <w:t> (Accessed: 30 March 2026).</w:t>
      </w:r>
    </w:p>
    <w:p w14:paraId="70C1A099" w14:textId="77777777" w:rsidR="00157E85" w:rsidRPr="00157E85" w:rsidRDefault="00157E85" w:rsidP="00157E85">
      <w:pPr>
        <w:spacing w:before="80" w:after="80" w:line="360" w:lineRule="auto"/>
        <w:jc w:val="both"/>
      </w:pPr>
      <w:r w:rsidRPr="00157E85">
        <w:rPr>
          <w:b/>
          <w:bCs/>
        </w:rPr>
        <w:t>Umer, S., Tan, Y. and Lim, A.O.</w:t>
      </w:r>
      <w:r w:rsidRPr="00157E85">
        <w:t> (2013) 'Evaluating power assignment criteria of energy management system for smart homes', </w:t>
      </w:r>
      <w:r w:rsidRPr="00157E85">
        <w:rPr>
          <w:i/>
          <w:iCs/>
        </w:rPr>
        <w:t>IEICE Society Conference Proceedings</w:t>
      </w:r>
      <w:r w:rsidRPr="00157E85">
        <w:t>, 2013(2), pp. S-45–S-46.</w:t>
      </w:r>
    </w:p>
    <w:p w14:paraId="4F3AFE93" w14:textId="77777777" w:rsidR="00157E85" w:rsidRPr="00157E85" w:rsidRDefault="00157E85" w:rsidP="00157E85">
      <w:pPr>
        <w:spacing w:before="80" w:after="80" w:line="360" w:lineRule="auto"/>
        <w:jc w:val="both"/>
      </w:pPr>
      <w:r w:rsidRPr="00157E85">
        <w:rPr>
          <w:b/>
          <w:bCs/>
        </w:rPr>
        <w:t>Wood, M.B.</w:t>
      </w:r>
      <w:r w:rsidRPr="00157E85">
        <w:t> (2017) </w:t>
      </w:r>
      <w:r w:rsidRPr="00157E85">
        <w:rPr>
          <w:i/>
          <w:iCs/>
        </w:rPr>
        <w:t>The marketing plan handbook</w:t>
      </w:r>
      <w:r w:rsidRPr="00157E85">
        <w:t xml:space="preserve">. 6th </w:t>
      </w:r>
      <w:proofErr w:type="spellStart"/>
      <w:r w:rsidRPr="00157E85">
        <w:t>edn</w:t>
      </w:r>
      <w:proofErr w:type="spellEnd"/>
      <w:r w:rsidRPr="00157E85">
        <w:t>. Harlow: Pearson.</w:t>
      </w:r>
    </w:p>
    <w:p w14:paraId="254523F2" w14:textId="77777777" w:rsidR="00157E85" w:rsidRPr="00157E85" w:rsidRDefault="00157E85" w:rsidP="00157E85">
      <w:pPr>
        <w:spacing w:before="80" w:after="80" w:line="360" w:lineRule="auto"/>
        <w:jc w:val="both"/>
      </w:pPr>
      <w:r w:rsidRPr="00157E85">
        <w:rPr>
          <w:b/>
          <w:bCs/>
        </w:rPr>
        <w:t>Wood Mackenzie</w:t>
      </w:r>
      <w:r w:rsidRPr="00157E85">
        <w:t> (2024) </w:t>
      </w:r>
      <w:r w:rsidRPr="00157E85">
        <w:rPr>
          <w:i/>
          <w:iCs/>
        </w:rPr>
        <w:t>US residential energy storage market leaderboard</w:t>
      </w:r>
      <w:r w:rsidRPr="00157E85">
        <w:t>. Edinburgh: Wood Mackenzie.</w:t>
      </w:r>
    </w:p>
    <w:p w14:paraId="6880CCE2" w14:textId="77777777" w:rsidR="00157E85" w:rsidRPr="00157E85" w:rsidRDefault="00157E85" w:rsidP="00157E85">
      <w:pPr>
        <w:spacing w:before="80" w:after="80" w:line="360" w:lineRule="auto"/>
        <w:jc w:val="both"/>
      </w:pPr>
      <w:r w:rsidRPr="00157E85">
        <w:rPr>
          <w:b/>
          <w:bCs/>
        </w:rPr>
        <w:t>Zhang, L.</w:t>
      </w:r>
      <w:r w:rsidRPr="00157E85">
        <w:t> (2025) 'The path of Tesla innovation and global expansion from the perspective of 4P analysis', </w:t>
      </w:r>
      <w:r w:rsidRPr="00157E85">
        <w:rPr>
          <w:i/>
          <w:iCs/>
        </w:rPr>
        <w:t>Proceedings of the 2nd International Conference on Applied Psychology and Marketing Management</w:t>
      </w:r>
      <w:r w:rsidRPr="00157E85">
        <w:t>, pp. 346–350.</w:t>
      </w:r>
    </w:p>
    <w:p w14:paraId="12963602" w14:textId="15CB8E88" w:rsidR="009049E9" w:rsidRPr="009049E9" w:rsidRDefault="009049E9" w:rsidP="009049E9">
      <w:pPr>
        <w:spacing w:before="80" w:after="80" w:line="360" w:lineRule="auto"/>
        <w:jc w:val="both"/>
      </w:pPr>
    </w:p>
    <w:p w14:paraId="71EAD209" w14:textId="77777777" w:rsidR="009049E9" w:rsidRDefault="009049E9">
      <w:pPr>
        <w:spacing w:before="80" w:after="80" w:line="360" w:lineRule="auto"/>
        <w:jc w:val="both"/>
      </w:pPr>
    </w:p>
    <w:p w14:paraId="0F766089" w14:textId="7221CD3D" w:rsidR="007107DD" w:rsidRPr="007107DD" w:rsidRDefault="00000000" w:rsidP="00157E85">
      <w:r>
        <w:br w:type="page"/>
      </w:r>
    </w:p>
    <w:p w14:paraId="6F28CEDA" w14:textId="77777777" w:rsidR="007107DD" w:rsidRPr="00F47970" w:rsidRDefault="007107DD" w:rsidP="00F47970"/>
    <w:p w14:paraId="710B33D9" w14:textId="1A6133F5" w:rsidR="00A5730C" w:rsidRDefault="00A5730C"/>
    <w:p w14:paraId="55D0F362" w14:textId="77777777" w:rsidR="00A5730C" w:rsidRDefault="00000000">
      <w:pPr>
        <w:pStyle w:val="Heading1"/>
      </w:pPr>
      <w:r>
        <w:t>Appendix: Brand Extension Poster</w:t>
      </w:r>
    </w:p>
    <w:p w14:paraId="4C15D1A4" w14:textId="77777777" w:rsidR="00A5730C" w:rsidRDefault="00A5730C">
      <w:pPr>
        <w:pBdr>
          <w:bottom w:val="single" w:sz="6" w:space="1" w:color="CC0000"/>
        </w:pBdr>
        <w:spacing w:before="160" w:after="160"/>
      </w:pPr>
    </w:p>
    <w:p w14:paraId="7C184EA6" w14:textId="77777777" w:rsidR="00A5730C" w:rsidRDefault="00A5730C">
      <w:pPr>
        <w:spacing w:before="80" w:after="80"/>
      </w:pPr>
    </w:p>
    <w:p w14:paraId="4B8E40D9" w14:textId="77777777" w:rsidR="00A5730C" w:rsidRDefault="00000000">
      <w:pPr>
        <w:spacing w:before="80" w:after="80" w:line="360" w:lineRule="auto"/>
        <w:jc w:val="both"/>
      </w:pPr>
      <w:r>
        <w:t>The following poster was created for the Element 1 presentation and submitted separately as required by the assessment brief. It provides a visual summary of the Tesla Home Energy Hub brand extension, including the company overview, market rationale, sustainability alignment, target audience, and key benefits for customers and investors.</w:t>
      </w:r>
    </w:p>
    <w:p w14:paraId="2B5A9921" w14:textId="77777777" w:rsidR="00A5730C" w:rsidRDefault="00A5730C">
      <w:pPr>
        <w:spacing w:before="80" w:after="80"/>
      </w:pPr>
    </w:p>
    <w:p w14:paraId="4DB147BA" w14:textId="77777777" w:rsidR="00A5730C" w:rsidRDefault="00000000">
      <w:pPr>
        <w:pBdr>
          <w:top w:val="single" w:sz="1" w:space="0" w:color="AAAAAA"/>
          <w:bottom w:val="single" w:sz="1" w:space="0" w:color="AAAAAA"/>
        </w:pBdr>
        <w:spacing w:before="160" w:after="160"/>
        <w:jc w:val="center"/>
      </w:pPr>
      <w:r>
        <w:rPr>
          <w:i/>
          <w:iCs/>
          <w:color w:val="555555"/>
        </w:rPr>
        <w:t>[Poster Image – See Separate Submission]</w:t>
      </w:r>
    </w:p>
    <w:p w14:paraId="25198203" w14:textId="77777777" w:rsidR="00A5730C" w:rsidRDefault="00A5730C">
      <w:pPr>
        <w:spacing w:before="80" w:after="80"/>
      </w:pPr>
    </w:p>
    <w:p w14:paraId="5E9D85F4" w14:textId="77777777" w:rsidR="00A5730C" w:rsidRDefault="00000000">
      <w:pPr>
        <w:spacing w:before="80" w:after="80" w:line="360" w:lineRule="auto"/>
        <w:jc w:val="center"/>
      </w:pPr>
      <w:r>
        <w:t>Figure A1: Tesla Home Energy Hub – Brand Extension Poster (Element 1)</w:t>
      </w:r>
    </w:p>
    <w:p w14:paraId="5EA72AE0" w14:textId="74BED2FB" w:rsidR="00157E85" w:rsidRDefault="00157E85">
      <w:pPr>
        <w:spacing w:before="80" w:after="80" w:line="360" w:lineRule="auto"/>
        <w:jc w:val="center"/>
      </w:pPr>
      <w:r>
        <w:rPr>
          <w:noProof/>
        </w:rPr>
        <w:drawing>
          <wp:inline distT="0" distB="0" distL="0" distR="0" wp14:anchorId="57B0D0AE" wp14:editId="2D4FAF02">
            <wp:extent cx="5731510" cy="4051935"/>
            <wp:effectExtent l="0" t="0" r="2540" b="5715"/>
            <wp:docPr id="1288512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12075" name="Picture 12885120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sectPr w:rsidR="00157E85">
      <w:footerReference w:type="defaul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70062" w14:textId="77777777" w:rsidR="001F6478" w:rsidRDefault="001F6478">
      <w:r>
        <w:separator/>
      </w:r>
    </w:p>
  </w:endnote>
  <w:endnote w:type="continuationSeparator" w:id="0">
    <w:p w14:paraId="59034B8F" w14:textId="77777777" w:rsidR="001F6478" w:rsidRDefault="001F6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37623" w14:textId="77777777" w:rsidR="00A5730C" w:rsidRDefault="00000000">
    <w:pPr>
      <w:pBdr>
        <w:top w:val="single" w:sz="4" w:space="1" w:color="CC0000"/>
      </w:pBdr>
      <w:jc w:val="center"/>
    </w:pPr>
    <w:r>
      <w:rPr>
        <w:color w:val="777777"/>
        <w:sz w:val="18"/>
        <w:szCs w:val="18"/>
      </w:rPr>
      <w:t xml:space="preserve">Page </w:t>
    </w:r>
    <w:r>
      <w:rPr>
        <w:color w:val="777777"/>
        <w:sz w:val="18"/>
        <w:szCs w:val="18"/>
      </w:rPr>
      <w:fldChar w:fldCharType="begin"/>
    </w:r>
    <w:r>
      <w:rPr>
        <w:color w:val="777777"/>
        <w:sz w:val="18"/>
        <w:szCs w:val="18"/>
      </w:rPr>
      <w:instrText>PAGE</w:instrText>
    </w:r>
    <w:r>
      <w:rPr>
        <w:color w:val="777777"/>
        <w:sz w:val="18"/>
        <w:szCs w:val="18"/>
      </w:rPr>
      <w:fldChar w:fldCharType="separate"/>
    </w:r>
    <w:r w:rsidR="00AA57C8">
      <w:rPr>
        <w:noProof/>
        <w:color w:val="777777"/>
        <w:sz w:val="18"/>
        <w:szCs w:val="18"/>
      </w:rPr>
      <w:t>1</w:t>
    </w:r>
    <w:r>
      <w:rPr>
        <w:color w:val="777777"/>
        <w:sz w:val="18"/>
        <w:szCs w:val="18"/>
      </w:rPr>
      <w:fldChar w:fldCharType="end"/>
    </w:r>
    <w:r>
      <w:rPr>
        <w:color w:val="777777"/>
        <w:sz w:val="18"/>
        <w:szCs w:val="18"/>
      </w:rPr>
      <w:t xml:space="preserve"> | 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321E2" w14:textId="77777777" w:rsidR="001F6478" w:rsidRDefault="001F6478">
      <w:r>
        <w:separator/>
      </w:r>
    </w:p>
  </w:footnote>
  <w:footnote w:type="continuationSeparator" w:id="0">
    <w:p w14:paraId="3DDDA81E" w14:textId="77777777" w:rsidR="001F6478" w:rsidRDefault="001F64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74583"/>
    <w:multiLevelType w:val="multilevel"/>
    <w:tmpl w:val="41FE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5482E"/>
    <w:multiLevelType w:val="multilevel"/>
    <w:tmpl w:val="BE60F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333C7"/>
    <w:multiLevelType w:val="hybridMultilevel"/>
    <w:tmpl w:val="3C08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D5DBF"/>
    <w:multiLevelType w:val="multilevel"/>
    <w:tmpl w:val="41FE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DD5E61"/>
    <w:multiLevelType w:val="hybridMultilevel"/>
    <w:tmpl w:val="CE3A0D88"/>
    <w:lvl w:ilvl="0" w:tplc="63263D50">
      <w:start w:val="1"/>
      <w:numFmt w:val="bullet"/>
      <w:lvlText w:val="●"/>
      <w:lvlJc w:val="left"/>
      <w:pPr>
        <w:ind w:left="720" w:hanging="360"/>
      </w:pPr>
    </w:lvl>
    <w:lvl w:ilvl="1" w:tplc="A9F829B4">
      <w:start w:val="1"/>
      <w:numFmt w:val="bullet"/>
      <w:lvlText w:val="○"/>
      <w:lvlJc w:val="left"/>
      <w:pPr>
        <w:ind w:left="1440" w:hanging="360"/>
      </w:pPr>
    </w:lvl>
    <w:lvl w:ilvl="2" w:tplc="47782F6E">
      <w:start w:val="1"/>
      <w:numFmt w:val="bullet"/>
      <w:lvlText w:val="■"/>
      <w:lvlJc w:val="left"/>
      <w:pPr>
        <w:ind w:left="2160" w:hanging="360"/>
      </w:pPr>
    </w:lvl>
    <w:lvl w:ilvl="3" w:tplc="F33E546C">
      <w:start w:val="1"/>
      <w:numFmt w:val="bullet"/>
      <w:lvlText w:val="●"/>
      <w:lvlJc w:val="left"/>
      <w:pPr>
        <w:ind w:left="2880" w:hanging="360"/>
      </w:pPr>
    </w:lvl>
    <w:lvl w:ilvl="4" w:tplc="3CBE9F86">
      <w:start w:val="1"/>
      <w:numFmt w:val="bullet"/>
      <w:lvlText w:val="○"/>
      <w:lvlJc w:val="left"/>
      <w:pPr>
        <w:ind w:left="3600" w:hanging="360"/>
      </w:pPr>
    </w:lvl>
    <w:lvl w:ilvl="5" w:tplc="8612C62C">
      <w:start w:val="1"/>
      <w:numFmt w:val="bullet"/>
      <w:lvlText w:val="■"/>
      <w:lvlJc w:val="left"/>
      <w:pPr>
        <w:ind w:left="4320" w:hanging="360"/>
      </w:pPr>
    </w:lvl>
    <w:lvl w:ilvl="6" w:tplc="3A2E6230">
      <w:start w:val="1"/>
      <w:numFmt w:val="bullet"/>
      <w:lvlText w:val="●"/>
      <w:lvlJc w:val="left"/>
      <w:pPr>
        <w:ind w:left="5040" w:hanging="360"/>
      </w:pPr>
    </w:lvl>
    <w:lvl w:ilvl="7" w:tplc="42924C96">
      <w:start w:val="1"/>
      <w:numFmt w:val="bullet"/>
      <w:lvlText w:val="●"/>
      <w:lvlJc w:val="left"/>
      <w:pPr>
        <w:ind w:left="5760" w:hanging="360"/>
      </w:pPr>
    </w:lvl>
    <w:lvl w:ilvl="8" w:tplc="8D129008">
      <w:start w:val="1"/>
      <w:numFmt w:val="bullet"/>
      <w:lvlText w:val="●"/>
      <w:lvlJc w:val="left"/>
      <w:pPr>
        <w:ind w:left="6480" w:hanging="360"/>
      </w:pPr>
    </w:lvl>
  </w:abstractNum>
  <w:abstractNum w:abstractNumId="5" w15:restartNumberingAfterBreak="0">
    <w:nsid w:val="39134280"/>
    <w:multiLevelType w:val="multilevel"/>
    <w:tmpl w:val="AFD6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674F2D"/>
    <w:multiLevelType w:val="hybridMultilevel"/>
    <w:tmpl w:val="7F28B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56F01"/>
    <w:multiLevelType w:val="multilevel"/>
    <w:tmpl w:val="8F36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393DA9"/>
    <w:multiLevelType w:val="hybridMultilevel"/>
    <w:tmpl w:val="8012BD4E"/>
    <w:lvl w:ilvl="0" w:tplc="E6F6E718">
      <w:start w:val="1"/>
      <w:numFmt w:val="bullet"/>
      <w:lvlText w:val="•"/>
      <w:lvlJc w:val="left"/>
      <w:pPr>
        <w:ind w:left="720" w:hanging="360"/>
      </w:pPr>
    </w:lvl>
    <w:lvl w:ilvl="1" w:tplc="3DD8197E">
      <w:numFmt w:val="decimal"/>
      <w:lvlText w:val=""/>
      <w:lvlJc w:val="left"/>
    </w:lvl>
    <w:lvl w:ilvl="2" w:tplc="4F6EA07C">
      <w:numFmt w:val="decimal"/>
      <w:lvlText w:val=""/>
      <w:lvlJc w:val="left"/>
    </w:lvl>
    <w:lvl w:ilvl="3" w:tplc="2A58F660">
      <w:numFmt w:val="decimal"/>
      <w:lvlText w:val=""/>
      <w:lvlJc w:val="left"/>
    </w:lvl>
    <w:lvl w:ilvl="4" w:tplc="7592C73C">
      <w:numFmt w:val="decimal"/>
      <w:lvlText w:val=""/>
      <w:lvlJc w:val="left"/>
    </w:lvl>
    <w:lvl w:ilvl="5" w:tplc="FD8A3D90">
      <w:numFmt w:val="decimal"/>
      <w:lvlText w:val=""/>
      <w:lvlJc w:val="left"/>
    </w:lvl>
    <w:lvl w:ilvl="6" w:tplc="0C7E9580">
      <w:numFmt w:val="decimal"/>
      <w:lvlText w:val=""/>
      <w:lvlJc w:val="left"/>
    </w:lvl>
    <w:lvl w:ilvl="7" w:tplc="B85670E4">
      <w:numFmt w:val="decimal"/>
      <w:lvlText w:val=""/>
      <w:lvlJc w:val="left"/>
    </w:lvl>
    <w:lvl w:ilvl="8" w:tplc="679E834C">
      <w:numFmt w:val="decimal"/>
      <w:lvlText w:val=""/>
      <w:lvlJc w:val="left"/>
    </w:lvl>
  </w:abstractNum>
  <w:abstractNum w:abstractNumId="9" w15:restartNumberingAfterBreak="0">
    <w:nsid w:val="6FCA757D"/>
    <w:multiLevelType w:val="multilevel"/>
    <w:tmpl w:val="FB08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026929">
    <w:abstractNumId w:val="4"/>
    <w:lvlOverride w:ilvl="0">
      <w:startOverride w:val="1"/>
    </w:lvlOverride>
  </w:num>
  <w:num w:numId="2" w16cid:durableId="1273782874">
    <w:abstractNumId w:val="7"/>
  </w:num>
  <w:num w:numId="3" w16cid:durableId="810055763">
    <w:abstractNumId w:val="6"/>
  </w:num>
  <w:num w:numId="4" w16cid:durableId="1492790058">
    <w:abstractNumId w:val="2"/>
  </w:num>
  <w:num w:numId="5" w16cid:durableId="1579437600">
    <w:abstractNumId w:val="3"/>
  </w:num>
  <w:num w:numId="6" w16cid:durableId="1035694265">
    <w:abstractNumId w:val="9"/>
  </w:num>
  <w:num w:numId="7" w16cid:durableId="811362968">
    <w:abstractNumId w:val="5"/>
  </w:num>
  <w:num w:numId="8" w16cid:durableId="1449856120">
    <w:abstractNumId w:val="1"/>
  </w:num>
  <w:num w:numId="9" w16cid:durableId="1425220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0C"/>
    <w:rsid w:val="00086789"/>
    <w:rsid w:val="00095F21"/>
    <w:rsid w:val="000F7A86"/>
    <w:rsid w:val="00122D2D"/>
    <w:rsid w:val="00130365"/>
    <w:rsid w:val="00157E85"/>
    <w:rsid w:val="001F6478"/>
    <w:rsid w:val="00287C01"/>
    <w:rsid w:val="002D129F"/>
    <w:rsid w:val="00400433"/>
    <w:rsid w:val="00525E90"/>
    <w:rsid w:val="005B603D"/>
    <w:rsid w:val="007107DD"/>
    <w:rsid w:val="00756ECF"/>
    <w:rsid w:val="00762245"/>
    <w:rsid w:val="00774051"/>
    <w:rsid w:val="007B1B64"/>
    <w:rsid w:val="007E7073"/>
    <w:rsid w:val="008332EE"/>
    <w:rsid w:val="009049E9"/>
    <w:rsid w:val="00947E29"/>
    <w:rsid w:val="00961D6A"/>
    <w:rsid w:val="00A5730C"/>
    <w:rsid w:val="00A77E3E"/>
    <w:rsid w:val="00AA3DFA"/>
    <w:rsid w:val="00AA57C8"/>
    <w:rsid w:val="00B00806"/>
    <w:rsid w:val="00BC36D1"/>
    <w:rsid w:val="00CA130A"/>
    <w:rsid w:val="00D11CA8"/>
    <w:rsid w:val="00D43F87"/>
    <w:rsid w:val="00D45382"/>
    <w:rsid w:val="00E877A6"/>
    <w:rsid w:val="00E9105B"/>
    <w:rsid w:val="00F47970"/>
    <w:rsid w:val="00F71701"/>
    <w:rsid w:val="00FD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0B1FB"/>
  <w15:docId w15:val="{A051EA05-7C69-4F20-993F-90BF03F7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CC0000"/>
      <w:sz w:val="32"/>
      <w:szCs w:val="32"/>
    </w:rPr>
  </w:style>
  <w:style w:type="paragraph" w:styleId="Heading2">
    <w:name w:val="heading 2"/>
    <w:uiPriority w:val="9"/>
    <w:unhideWhenUsed/>
    <w:qFormat/>
    <w:pPr>
      <w:spacing w:before="240" w:after="120"/>
      <w:outlineLvl w:val="1"/>
    </w:pPr>
    <w:rPr>
      <w:b/>
      <w:bCs/>
      <w:color w:val="1F3864"/>
      <w:sz w:val="28"/>
      <w:szCs w:val="28"/>
    </w:rPr>
  </w:style>
  <w:style w:type="paragraph" w:styleId="Heading3">
    <w:name w:val="heading 3"/>
    <w:uiPriority w:val="9"/>
    <w:unhideWhenUsed/>
    <w:qFormat/>
    <w:pPr>
      <w:spacing w:before="180" w:after="80"/>
      <w:outlineLvl w:val="2"/>
    </w:pPr>
    <w:rPr>
      <w:b/>
      <w:bCs/>
      <w:color w:val="33333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CommentReference">
    <w:name w:val="annotation reference"/>
    <w:basedOn w:val="DefaultParagraphFont"/>
    <w:uiPriority w:val="99"/>
    <w:semiHidden/>
    <w:unhideWhenUsed/>
    <w:rsid w:val="00AA57C8"/>
    <w:rPr>
      <w:sz w:val="16"/>
      <w:szCs w:val="16"/>
    </w:rPr>
  </w:style>
  <w:style w:type="paragraph" w:styleId="CommentText">
    <w:name w:val="annotation text"/>
    <w:basedOn w:val="Normal"/>
    <w:link w:val="CommentTextChar"/>
    <w:uiPriority w:val="99"/>
    <w:unhideWhenUsed/>
    <w:rsid w:val="00AA57C8"/>
    <w:rPr>
      <w:sz w:val="20"/>
      <w:szCs w:val="20"/>
    </w:rPr>
  </w:style>
  <w:style w:type="character" w:customStyle="1" w:styleId="CommentTextChar">
    <w:name w:val="Comment Text Char"/>
    <w:basedOn w:val="DefaultParagraphFont"/>
    <w:link w:val="CommentText"/>
    <w:uiPriority w:val="99"/>
    <w:rsid w:val="00AA57C8"/>
    <w:rPr>
      <w:sz w:val="20"/>
      <w:szCs w:val="20"/>
    </w:rPr>
  </w:style>
  <w:style w:type="paragraph" w:styleId="CommentSubject">
    <w:name w:val="annotation subject"/>
    <w:basedOn w:val="CommentText"/>
    <w:next w:val="CommentText"/>
    <w:link w:val="CommentSubjectChar"/>
    <w:uiPriority w:val="99"/>
    <w:semiHidden/>
    <w:unhideWhenUsed/>
    <w:rsid w:val="00AA57C8"/>
    <w:rPr>
      <w:b/>
      <w:bCs/>
    </w:rPr>
  </w:style>
  <w:style w:type="character" w:customStyle="1" w:styleId="CommentSubjectChar">
    <w:name w:val="Comment Subject Char"/>
    <w:basedOn w:val="CommentTextChar"/>
    <w:link w:val="CommentSubject"/>
    <w:uiPriority w:val="99"/>
    <w:semiHidden/>
    <w:rsid w:val="00AA57C8"/>
    <w:rPr>
      <w:b/>
      <w:bCs/>
      <w:sz w:val="20"/>
      <w:szCs w:val="20"/>
    </w:rPr>
  </w:style>
  <w:style w:type="paragraph" w:styleId="NormalWeb">
    <w:name w:val="Normal (Web)"/>
    <w:basedOn w:val="Normal"/>
    <w:uiPriority w:val="99"/>
    <w:semiHidden/>
    <w:unhideWhenUsed/>
    <w:rsid w:val="00CA130A"/>
    <w:rPr>
      <w:rFonts w:ascii="Times New Roman" w:hAnsi="Times New Roman" w:cs="Times New Roman"/>
    </w:rPr>
  </w:style>
  <w:style w:type="character" w:styleId="UnresolvedMention">
    <w:name w:val="Unresolved Mention"/>
    <w:basedOn w:val="DefaultParagraphFont"/>
    <w:uiPriority w:val="99"/>
    <w:semiHidden/>
    <w:unhideWhenUsed/>
    <w:rsid w:val="00CA130A"/>
    <w:rPr>
      <w:color w:val="605E5C"/>
      <w:shd w:val="clear" w:color="auto" w:fill="E1DFDD"/>
    </w:rPr>
  </w:style>
  <w:style w:type="paragraph" w:styleId="Header">
    <w:name w:val="header"/>
    <w:basedOn w:val="Normal"/>
    <w:link w:val="HeaderChar"/>
    <w:uiPriority w:val="99"/>
    <w:unhideWhenUsed/>
    <w:rsid w:val="00D11CA8"/>
    <w:pPr>
      <w:tabs>
        <w:tab w:val="center" w:pos="4513"/>
        <w:tab w:val="right" w:pos="9026"/>
      </w:tabs>
    </w:pPr>
  </w:style>
  <w:style w:type="character" w:customStyle="1" w:styleId="HeaderChar">
    <w:name w:val="Header Char"/>
    <w:basedOn w:val="DefaultParagraphFont"/>
    <w:link w:val="Header"/>
    <w:uiPriority w:val="99"/>
    <w:rsid w:val="00D11CA8"/>
  </w:style>
  <w:style w:type="paragraph" w:styleId="Footer">
    <w:name w:val="footer"/>
    <w:basedOn w:val="Normal"/>
    <w:link w:val="FooterChar"/>
    <w:uiPriority w:val="99"/>
    <w:unhideWhenUsed/>
    <w:rsid w:val="00D11CA8"/>
    <w:pPr>
      <w:tabs>
        <w:tab w:val="center" w:pos="4513"/>
        <w:tab w:val="right" w:pos="9026"/>
      </w:tabs>
    </w:pPr>
  </w:style>
  <w:style w:type="character" w:customStyle="1" w:styleId="FooterChar">
    <w:name w:val="Footer Char"/>
    <w:basedOn w:val="DefaultParagraphFont"/>
    <w:link w:val="Footer"/>
    <w:uiPriority w:val="99"/>
    <w:rsid w:val="00D11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ov.uk/" TargetMode="External"/><Relationship Id="rId13" Type="http://schemas.openxmlformats.org/officeDocument/2006/relationships/hyperlink" Target="https://www.statista.com/outlook/cmo/smart-home/worldwid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escexpo.com/" TargetMode="External"/><Relationship Id="rId12" Type="http://schemas.openxmlformats.org/officeDocument/2006/relationships/hyperlink" Target="https://www.ofgem.gov.uk/information-consumers/energy-advice-households/energy-price-cap-explained"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hebatterymagazine.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66057251" TargetMode="External"/><Relationship Id="rId5" Type="http://schemas.openxmlformats.org/officeDocument/2006/relationships/footnotes" Target="footnotes.xml"/><Relationship Id="rId15" Type="http://schemas.openxmlformats.org/officeDocument/2006/relationships/hyperlink" Target="https://www.tesla.com/impact-report-2023" TargetMode="External"/><Relationship Id="rId10" Type="http://schemas.openxmlformats.org/officeDocument/2006/relationships/hyperlink" Target="https://www.iea.org/reports/world-energy-outlook-20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solar-roadmap/solar-roadmap-united-kingdom-powered-by-solar-accessible-webpage" TargetMode="External"/><Relationship Id="rId14" Type="http://schemas.openxmlformats.org/officeDocument/2006/relationships/hyperlink" Target="https://www.tesery.com/en-gb/blogs/news/tesla-global-fleet-surpasses-9-million-vehicles-marking-major-ev-milest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3880</Words>
  <Characters>22120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Md Samsojjaman Siyam (2520477)</cp:lastModifiedBy>
  <cp:revision>2</cp:revision>
  <dcterms:created xsi:type="dcterms:W3CDTF">2026-04-01T00:51:00Z</dcterms:created>
  <dcterms:modified xsi:type="dcterms:W3CDTF">2026-04-01T00:51:00Z</dcterms:modified>
</cp:coreProperties>
</file>