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151BD8" w14:textId="66F6AC71" w:rsidR="00CA2ABD" w:rsidRDefault="00384CB9" w:rsidP="00CA2ABD">
      <w:pPr>
        <w:jc w:val="center"/>
        <w:rPr>
          <w:b/>
          <w:bCs/>
          <w:sz w:val="28"/>
          <w:szCs w:val="28"/>
        </w:rPr>
      </w:pPr>
      <w:r>
        <w:rPr>
          <w:b/>
          <w:bCs/>
          <w:sz w:val="28"/>
          <w:szCs w:val="28"/>
        </w:rPr>
        <w:t xml:space="preserve"> </w:t>
      </w:r>
      <w:r w:rsidR="000C2C2A" w:rsidRPr="000C2C2A">
        <w:rPr>
          <w:b/>
          <w:bCs/>
          <w:noProof/>
          <w:sz w:val="28"/>
          <w:szCs w:val="28"/>
        </w:rPr>
        <w:drawing>
          <wp:inline distT="0" distB="0" distL="0" distR="0" wp14:anchorId="24C3FE0D" wp14:editId="0DF60E85">
            <wp:extent cx="3877216" cy="1724266"/>
            <wp:effectExtent l="0" t="0" r="0" b="9525"/>
            <wp:docPr id="16878905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890578" name=""/>
                    <pic:cNvPicPr/>
                  </pic:nvPicPr>
                  <pic:blipFill>
                    <a:blip r:embed="rId8"/>
                    <a:stretch>
                      <a:fillRect/>
                    </a:stretch>
                  </pic:blipFill>
                  <pic:spPr>
                    <a:xfrm>
                      <a:off x="0" y="0"/>
                      <a:ext cx="3877216" cy="1724266"/>
                    </a:xfrm>
                    <a:prstGeom prst="rect">
                      <a:avLst/>
                    </a:prstGeom>
                  </pic:spPr>
                </pic:pic>
              </a:graphicData>
            </a:graphic>
          </wp:inline>
        </w:drawing>
      </w:r>
    </w:p>
    <w:p w14:paraId="00DBC472" w14:textId="77777777" w:rsidR="00CA2ABD" w:rsidRDefault="00CA2ABD" w:rsidP="00CA2ABD">
      <w:pPr>
        <w:jc w:val="center"/>
        <w:rPr>
          <w:b/>
          <w:bCs/>
          <w:sz w:val="28"/>
          <w:szCs w:val="28"/>
        </w:rPr>
      </w:pPr>
    </w:p>
    <w:p w14:paraId="09EE7D20" w14:textId="77777777" w:rsidR="00CA2ABD" w:rsidRDefault="00CA2ABD" w:rsidP="00CA2ABD">
      <w:pPr>
        <w:jc w:val="center"/>
        <w:rPr>
          <w:b/>
          <w:bCs/>
          <w:sz w:val="28"/>
          <w:szCs w:val="28"/>
        </w:rPr>
      </w:pPr>
    </w:p>
    <w:p w14:paraId="0CAC476B" w14:textId="539D7364" w:rsidR="00CA2ABD" w:rsidRPr="000C2C2A" w:rsidRDefault="000C2C2A" w:rsidP="00CA2ABD">
      <w:pPr>
        <w:jc w:val="center"/>
        <w:rPr>
          <w:b/>
          <w:bCs/>
          <w:sz w:val="40"/>
          <w:szCs w:val="40"/>
        </w:rPr>
      </w:pPr>
      <w:r w:rsidRPr="000C2C2A">
        <w:rPr>
          <w:b/>
          <w:bCs/>
          <w:sz w:val="40"/>
          <w:szCs w:val="40"/>
        </w:rPr>
        <w:t>Digital Skills and Research Methods</w:t>
      </w:r>
    </w:p>
    <w:p w14:paraId="5806D1A3" w14:textId="77777777" w:rsidR="00CA2ABD" w:rsidRDefault="00CA2ABD" w:rsidP="00CA2ABD">
      <w:pPr>
        <w:jc w:val="center"/>
        <w:rPr>
          <w:b/>
          <w:bCs/>
          <w:sz w:val="28"/>
          <w:szCs w:val="28"/>
        </w:rPr>
      </w:pPr>
    </w:p>
    <w:p w14:paraId="22CD9837" w14:textId="77777777" w:rsidR="00CA2ABD" w:rsidRDefault="00CA2ABD" w:rsidP="00CA2ABD">
      <w:pPr>
        <w:jc w:val="center"/>
        <w:rPr>
          <w:b/>
          <w:bCs/>
          <w:sz w:val="28"/>
          <w:szCs w:val="28"/>
        </w:rPr>
      </w:pPr>
      <w:r w:rsidRPr="00CA2ABD">
        <w:rPr>
          <w:b/>
          <w:bCs/>
          <w:sz w:val="28"/>
          <w:szCs w:val="28"/>
        </w:rPr>
        <w:t xml:space="preserve">Component 2 – Research Report </w:t>
      </w:r>
    </w:p>
    <w:p w14:paraId="4885A044" w14:textId="77777777" w:rsidR="000C2C2A" w:rsidRDefault="000C2C2A" w:rsidP="00CA2ABD">
      <w:pPr>
        <w:jc w:val="center"/>
        <w:rPr>
          <w:b/>
          <w:bCs/>
          <w:sz w:val="28"/>
          <w:szCs w:val="28"/>
        </w:rPr>
      </w:pPr>
    </w:p>
    <w:p w14:paraId="57C76411" w14:textId="77777777" w:rsidR="000C2C2A" w:rsidRPr="002A64BF" w:rsidRDefault="000C2C2A" w:rsidP="000C2C2A">
      <w:pPr>
        <w:jc w:val="center"/>
        <w:rPr>
          <w:b/>
          <w:bCs/>
        </w:rPr>
      </w:pPr>
      <w:r w:rsidRPr="002A64BF">
        <w:rPr>
          <w:b/>
          <w:bCs/>
        </w:rPr>
        <w:t>Title: How Childhood Dyslexia Shapes Adult Life Outcomes: A Current Issue in the UK Health and Social Care Sector</w:t>
      </w:r>
    </w:p>
    <w:p w14:paraId="636F74A3" w14:textId="77777777" w:rsidR="000C2C2A" w:rsidRDefault="000C2C2A" w:rsidP="00CA2ABD">
      <w:pPr>
        <w:jc w:val="center"/>
        <w:rPr>
          <w:b/>
          <w:bCs/>
          <w:sz w:val="28"/>
          <w:szCs w:val="28"/>
        </w:rPr>
      </w:pPr>
    </w:p>
    <w:p w14:paraId="672A2B2E" w14:textId="77777777" w:rsidR="000C2C2A" w:rsidRDefault="000C2C2A" w:rsidP="00CA2ABD">
      <w:pPr>
        <w:jc w:val="center"/>
        <w:rPr>
          <w:b/>
          <w:bCs/>
          <w:sz w:val="28"/>
          <w:szCs w:val="28"/>
        </w:rPr>
      </w:pPr>
    </w:p>
    <w:p w14:paraId="5604084C" w14:textId="45DA6A3B" w:rsidR="000C2C2A" w:rsidRDefault="000C2C2A" w:rsidP="00CA2ABD">
      <w:pPr>
        <w:jc w:val="center"/>
        <w:rPr>
          <w:b/>
          <w:bCs/>
          <w:sz w:val="28"/>
          <w:szCs w:val="28"/>
        </w:rPr>
      </w:pPr>
      <w:r>
        <w:rPr>
          <w:b/>
          <w:bCs/>
          <w:sz w:val="28"/>
          <w:szCs w:val="28"/>
        </w:rPr>
        <w:t>Submitted by</w:t>
      </w:r>
    </w:p>
    <w:p w14:paraId="71FD9DDE" w14:textId="77777777" w:rsidR="000C2C2A" w:rsidRDefault="000C2C2A" w:rsidP="00CA2ABD">
      <w:pPr>
        <w:jc w:val="center"/>
        <w:rPr>
          <w:b/>
          <w:bCs/>
          <w:sz w:val="28"/>
          <w:szCs w:val="28"/>
        </w:rPr>
      </w:pPr>
    </w:p>
    <w:p w14:paraId="3609D961" w14:textId="23A7E294" w:rsidR="000C2C2A" w:rsidRDefault="000C2C2A" w:rsidP="00CA2ABD">
      <w:pPr>
        <w:jc w:val="center"/>
        <w:rPr>
          <w:b/>
          <w:bCs/>
          <w:sz w:val="28"/>
          <w:szCs w:val="28"/>
        </w:rPr>
      </w:pPr>
      <w:r>
        <w:rPr>
          <w:b/>
          <w:bCs/>
          <w:sz w:val="28"/>
          <w:szCs w:val="28"/>
        </w:rPr>
        <w:t>Name</w:t>
      </w:r>
      <w:r w:rsidR="00384CB9">
        <w:rPr>
          <w:b/>
          <w:bCs/>
          <w:sz w:val="28"/>
          <w:szCs w:val="28"/>
        </w:rPr>
        <w:t xml:space="preserve"> Cindy Berko</w:t>
      </w:r>
    </w:p>
    <w:p w14:paraId="19408184" w14:textId="7BA76668" w:rsidR="000C2C2A" w:rsidRDefault="000C2C2A" w:rsidP="00CA2ABD">
      <w:pPr>
        <w:jc w:val="center"/>
        <w:rPr>
          <w:b/>
          <w:bCs/>
          <w:sz w:val="28"/>
          <w:szCs w:val="28"/>
        </w:rPr>
      </w:pPr>
      <w:r>
        <w:rPr>
          <w:b/>
          <w:bCs/>
          <w:sz w:val="28"/>
          <w:szCs w:val="28"/>
        </w:rPr>
        <w:t>ID</w:t>
      </w:r>
      <w:r w:rsidR="00384CB9">
        <w:rPr>
          <w:b/>
          <w:bCs/>
          <w:sz w:val="28"/>
          <w:szCs w:val="28"/>
        </w:rPr>
        <w:t xml:space="preserve"> 2517419</w:t>
      </w:r>
    </w:p>
    <w:p w14:paraId="169F2B94" w14:textId="77777777" w:rsidR="00CA2ABD" w:rsidRDefault="00CA2ABD" w:rsidP="00CA2ABD">
      <w:pPr>
        <w:jc w:val="center"/>
        <w:rPr>
          <w:b/>
          <w:bCs/>
          <w:sz w:val="28"/>
          <w:szCs w:val="28"/>
        </w:rPr>
      </w:pPr>
    </w:p>
    <w:p w14:paraId="7F9A73C9" w14:textId="77777777" w:rsidR="00CA2ABD" w:rsidRDefault="00CA2ABD" w:rsidP="00CA2ABD">
      <w:pPr>
        <w:jc w:val="center"/>
        <w:rPr>
          <w:b/>
          <w:bCs/>
          <w:sz w:val="28"/>
          <w:szCs w:val="28"/>
        </w:rPr>
      </w:pPr>
    </w:p>
    <w:p w14:paraId="649069EF" w14:textId="77777777" w:rsidR="00CA2ABD" w:rsidRDefault="00CA2ABD">
      <w:pPr>
        <w:jc w:val="left"/>
      </w:pPr>
      <w:r>
        <w:br w:type="page"/>
      </w:r>
    </w:p>
    <w:sdt>
      <w:sdtPr>
        <w:rPr>
          <w:rFonts w:ascii="Arial" w:eastAsiaTheme="minorHAnsi" w:hAnsi="Arial" w:cstheme="minorBidi"/>
          <w:color w:val="auto"/>
          <w:sz w:val="22"/>
          <w:szCs w:val="22"/>
        </w:rPr>
        <w:id w:val="-348873434"/>
        <w:docPartObj>
          <w:docPartGallery w:val="Table of Contents"/>
          <w:docPartUnique/>
        </w:docPartObj>
      </w:sdtPr>
      <w:sdtEndPr>
        <w:rPr>
          <w:b/>
          <w:bCs/>
          <w:noProof/>
        </w:rPr>
      </w:sdtEndPr>
      <w:sdtContent>
        <w:p w14:paraId="39570264" w14:textId="3F6F2030" w:rsidR="00E55419" w:rsidRPr="00E55419" w:rsidRDefault="00E55419" w:rsidP="00E55419">
          <w:pPr>
            <w:pStyle w:val="TOCHeading"/>
            <w:jc w:val="center"/>
            <w:rPr>
              <w:rFonts w:ascii="Arial" w:hAnsi="Arial" w:cs="Arial"/>
              <w:b/>
              <w:bCs/>
              <w:color w:val="000000" w:themeColor="text1"/>
            </w:rPr>
          </w:pPr>
          <w:r w:rsidRPr="00E55419">
            <w:rPr>
              <w:rFonts w:ascii="Arial" w:hAnsi="Arial" w:cs="Arial"/>
              <w:b/>
              <w:bCs/>
              <w:color w:val="000000" w:themeColor="text1"/>
            </w:rPr>
            <w:t>Table of Contents</w:t>
          </w:r>
        </w:p>
        <w:p w14:paraId="69C69A2B" w14:textId="79D775BA" w:rsidR="002A64BF" w:rsidRDefault="00E55419">
          <w:pPr>
            <w:pStyle w:val="TOC1"/>
            <w:tabs>
              <w:tab w:val="right" w:leader="dot" w:pos="9350"/>
            </w:tabs>
            <w:rPr>
              <w:rFonts w:asciiTheme="minorHAnsi" w:eastAsiaTheme="minorEastAsia" w:hAnsiTheme="minorHAnsi" w:cs="Vrinda"/>
              <w:noProof/>
              <w:szCs w:val="28"/>
              <w:lang w:bidi="bn-BD"/>
            </w:rPr>
          </w:pPr>
          <w:r>
            <w:fldChar w:fldCharType="begin"/>
          </w:r>
          <w:r>
            <w:instrText xml:space="preserve"> TOC \o "1-3" \h \z \u </w:instrText>
          </w:r>
          <w:r>
            <w:fldChar w:fldCharType="separate"/>
          </w:r>
          <w:hyperlink w:anchor="_Toc216040488" w:history="1">
            <w:r w:rsidR="002A64BF" w:rsidRPr="00A922E5">
              <w:rPr>
                <w:rStyle w:val="Hyperlink"/>
                <w:noProof/>
              </w:rPr>
              <w:t>Introduction</w:t>
            </w:r>
            <w:r w:rsidR="002A64BF">
              <w:rPr>
                <w:noProof/>
                <w:webHidden/>
              </w:rPr>
              <w:tab/>
            </w:r>
            <w:r w:rsidR="002A64BF">
              <w:rPr>
                <w:noProof/>
                <w:webHidden/>
              </w:rPr>
              <w:fldChar w:fldCharType="begin"/>
            </w:r>
            <w:r w:rsidR="002A64BF">
              <w:rPr>
                <w:noProof/>
                <w:webHidden/>
              </w:rPr>
              <w:instrText xml:space="preserve"> PAGEREF _Toc216040488 \h </w:instrText>
            </w:r>
            <w:r w:rsidR="002A64BF">
              <w:rPr>
                <w:noProof/>
                <w:webHidden/>
              </w:rPr>
            </w:r>
            <w:r w:rsidR="002A64BF">
              <w:rPr>
                <w:noProof/>
                <w:webHidden/>
              </w:rPr>
              <w:fldChar w:fldCharType="separate"/>
            </w:r>
            <w:r w:rsidR="002A64BF">
              <w:rPr>
                <w:noProof/>
                <w:webHidden/>
              </w:rPr>
              <w:t>3</w:t>
            </w:r>
            <w:r w:rsidR="002A64BF">
              <w:rPr>
                <w:noProof/>
                <w:webHidden/>
              </w:rPr>
              <w:fldChar w:fldCharType="end"/>
            </w:r>
          </w:hyperlink>
        </w:p>
        <w:p w14:paraId="0315634E" w14:textId="7E75D932" w:rsidR="002A64BF" w:rsidRDefault="002A64BF">
          <w:pPr>
            <w:pStyle w:val="TOC2"/>
            <w:tabs>
              <w:tab w:val="right" w:leader="dot" w:pos="9350"/>
            </w:tabs>
            <w:rPr>
              <w:rFonts w:asciiTheme="minorHAnsi" w:eastAsiaTheme="minorEastAsia" w:hAnsiTheme="minorHAnsi" w:cs="Vrinda"/>
              <w:noProof/>
              <w:szCs w:val="28"/>
              <w:lang w:bidi="bn-BD"/>
            </w:rPr>
          </w:pPr>
          <w:hyperlink w:anchor="_Toc216040489" w:history="1">
            <w:r w:rsidRPr="00A922E5">
              <w:rPr>
                <w:rStyle w:val="Hyperlink"/>
                <w:noProof/>
              </w:rPr>
              <w:t>Research Topic Identification</w:t>
            </w:r>
            <w:r>
              <w:rPr>
                <w:noProof/>
                <w:webHidden/>
              </w:rPr>
              <w:tab/>
            </w:r>
            <w:r>
              <w:rPr>
                <w:noProof/>
                <w:webHidden/>
              </w:rPr>
              <w:fldChar w:fldCharType="begin"/>
            </w:r>
            <w:r>
              <w:rPr>
                <w:noProof/>
                <w:webHidden/>
              </w:rPr>
              <w:instrText xml:space="preserve"> PAGEREF _Toc216040489 \h </w:instrText>
            </w:r>
            <w:r>
              <w:rPr>
                <w:noProof/>
                <w:webHidden/>
              </w:rPr>
            </w:r>
            <w:r>
              <w:rPr>
                <w:noProof/>
                <w:webHidden/>
              </w:rPr>
              <w:fldChar w:fldCharType="separate"/>
            </w:r>
            <w:r>
              <w:rPr>
                <w:noProof/>
                <w:webHidden/>
              </w:rPr>
              <w:t>4</w:t>
            </w:r>
            <w:r>
              <w:rPr>
                <w:noProof/>
                <w:webHidden/>
              </w:rPr>
              <w:fldChar w:fldCharType="end"/>
            </w:r>
          </w:hyperlink>
        </w:p>
        <w:p w14:paraId="668F483A" w14:textId="61BA4411" w:rsidR="002A64BF" w:rsidRDefault="002A64BF">
          <w:pPr>
            <w:pStyle w:val="TOC2"/>
            <w:tabs>
              <w:tab w:val="right" w:leader="dot" w:pos="9350"/>
            </w:tabs>
            <w:rPr>
              <w:rFonts w:asciiTheme="minorHAnsi" w:eastAsiaTheme="minorEastAsia" w:hAnsiTheme="minorHAnsi" w:cs="Vrinda"/>
              <w:noProof/>
              <w:szCs w:val="28"/>
              <w:lang w:bidi="bn-BD"/>
            </w:rPr>
          </w:pPr>
          <w:hyperlink w:anchor="_Toc216040490" w:history="1">
            <w:r w:rsidRPr="00A922E5">
              <w:rPr>
                <w:rStyle w:val="Hyperlink"/>
                <w:noProof/>
              </w:rPr>
              <w:t>Research Methodologies</w:t>
            </w:r>
            <w:r>
              <w:rPr>
                <w:noProof/>
                <w:webHidden/>
              </w:rPr>
              <w:tab/>
            </w:r>
            <w:r>
              <w:rPr>
                <w:noProof/>
                <w:webHidden/>
              </w:rPr>
              <w:fldChar w:fldCharType="begin"/>
            </w:r>
            <w:r>
              <w:rPr>
                <w:noProof/>
                <w:webHidden/>
              </w:rPr>
              <w:instrText xml:space="preserve"> PAGEREF _Toc216040490 \h </w:instrText>
            </w:r>
            <w:r>
              <w:rPr>
                <w:noProof/>
                <w:webHidden/>
              </w:rPr>
            </w:r>
            <w:r>
              <w:rPr>
                <w:noProof/>
                <w:webHidden/>
              </w:rPr>
              <w:fldChar w:fldCharType="separate"/>
            </w:r>
            <w:r>
              <w:rPr>
                <w:noProof/>
                <w:webHidden/>
              </w:rPr>
              <w:t>7</w:t>
            </w:r>
            <w:r>
              <w:rPr>
                <w:noProof/>
                <w:webHidden/>
              </w:rPr>
              <w:fldChar w:fldCharType="end"/>
            </w:r>
          </w:hyperlink>
        </w:p>
        <w:p w14:paraId="21D2CF50" w14:textId="52CC6D03" w:rsidR="002A64BF" w:rsidRDefault="002A64BF">
          <w:pPr>
            <w:pStyle w:val="TOC2"/>
            <w:tabs>
              <w:tab w:val="right" w:leader="dot" w:pos="9350"/>
            </w:tabs>
            <w:rPr>
              <w:rFonts w:asciiTheme="minorHAnsi" w:eastAsiaTheme="minorEastAsia" w:hAnsiTheme="minorHAnsi" w:cs="Vrinda"/>
              <w:noProof/>
              <w:szCs w:val="28"/>
              <w:lang w:bidi="bn-BD"/>
            </w:rPr>
          </w:pPr>
          <w:hyperlink w:anchor="_Toc216040491" w:history="1">
            <w:r w:rsidRPr="00A922E5">
              <w:rPr>
                <w:rStyle w:val="Hyperlink"/>
                <w:noProof/>
              </w:rPr>
              <w:t>Data Collection</w:t>
            </w:r>
            <w:r>
              <w:rPr>
                <w:noProof/>
                <w:webHidden/>
              </w:rPr>
              <w:tab/>
            </w:r>
            <w:r>
              <w:rPr>
                <w:noProof/>
                <w:webHidden/>
              </w:rPr>
              <w:fldChar w:fldCharType="begin"/>
            </w:r>
            <w:r>
              <w:rPr>
                <w:noProof/>
                <w:webHidden/>
              </w:rPr>
              <w:instrText xml:space="preserve"> PAGEREF _Toc216040491 \h </w:instrText>
            </w:r>
            <w:r>
              <w:rPr>
                <w:noProof/>
                <w:webHidden/>
              </w:rPr>
            </w:r>
            <w:r>
              <w:rPr>
                <w:noProof/>
                <w:webHidden/>
              </w:rPr>
              <w:fldChar w:fldCharType="separate"/>
            </w:r>
            <w:r>
              <w:rPr>
                <w:noProof/>
                <w:webHidden/>
              </w:rPr>
              <w:t>7</w:t>
            </w:r>
            <w:r>
              <w:rPr>
                <w:noProof/>
                <w:webHidden/>
              </w:rPr>
              <w:fldChar w:fldCharType="end"/>
            </w:r>
          </w:hyperlink>
        </w:p>
        <w:p w14:paraId="2F67EC4E" w14:textId="777504D3" w:rsidR="002A64BF" w:rsidRDefault="002A64BF">
          <w:pPr>
            <w:pStyle w:val="TOC1"/>
            <w:tabs>
              <w:tab w:val="right" w:leader="dot" w:pos="9350"/>
            </w:tabs>
            <w:rPr>
              <w:rFonts w:asciiTheme="minorHAnsi" w:eastAsiaTheme="minorEastAsia" w:hAnsiTheme="minorHAnsi" w:cs="Vrinda"/>
              <w:noProof/>
              <w:szCs w:val="28"/>
              <w:lang w:bidi="bn-BD"/>
            </w:rPr>
          </w:pPr>
          <w:hyperlink w:anchor="_Toc216040492" w:history="1">
            <w:r w:rsidRPr="00A922E5">
              <w:rPr>
                <w:rStyle w:val="Hyperlink"/>
                <w:noProof/>
              </w:rPr>
              <w:t>Conclusion</w:t>
            </w:r>
            <w:r>
              <w:rPr>
                <w:noProof/>
                <w:webHidden/>
              </w:rPr>
              <w:tab/>
            </w:r>
            <w:r>
              <w:rPr>
                <w:noProof/>
                <w:webHidden/>
              </w:rPr>
              <w:fldChar w:fldCharType="begin"/>
            </w:r>
            <w:r>
              <w:rPr>
                <w:noProof/>
                <w:webHidden/>
              </w:rPr>
              <w:instrText xml:space="preserve"> PAGEREF _Toc216040492 \h </w:instrText>
            </w:r>
            <w:r>
              <w:rPr>
                <w:noProof/>
                <w:webHidden/>
              </w:rPr>
            </w:r>
            <w:r>
              <w:rPr>
                <w:noProof/>
                <w:webHidden/>
              </w:rPr>
              <w:fldChar w:fldCharType="separate"/>
            </w:r>
            <w:r>
              <w:rPr>
                <w:noProof/>
                <w:webHidden/>
              </w:rPr>
              <w:t>9</w:t>
            </w:r>
            <w:r>
              <w:rPr>
                <w:noProof/>
                <w:webHidden/>
              </w:rPr>
              <w:fldChar w:fldCharType="end"/>
            </w:r>
          </w:hyperlink>
        </w:p>
        <w:p w14:paraId="40E147AC" w14:textId="654ADE66" w:rsidR="002A64BF" w:rsidRDefault="002A64BF">
          <w:pPr>
            <w:pStyle w:val="TOC1"/>
            <w:tabs>
              <w:tab w:val="right" w:leader="dot" w:pos="9350"/>
            </w:tabs>
            <w:rPr>
              <w:rFonts w:asciiTheme="minorHAnsi" w:eastAsiaTheme="minorEastAsia" w:hAnsiTheme="minorHAnsi" w:cs="Vrinda"/>
              <w:noProof/>
              <w:szCs w:val="28"/>
              <w:lang w:bidi="bn-BD"/>
            </w:rPr>
          </w:pPr>
          <w:hyperlink w:anchor="_Toc216040493" w:history="1">
            <w:r w:rsidRPr="00A922E5">
              <w:rPr>
                <w:rStyle w:val="Hyperlink"/>
                <w:noProof/>
              </w:rPr>
              <w:t>References</w:t>
            </w:r>
            <w:r>
              <w:rPr>
                <w:noProof/>
                <w:webHidden/>
              </w:rPr>
              <w:tab/>
            </w:r>
            <w:r>
              <w:rPr>
                <w:noProof/>
                <w:webHidden/>
              </w:rPr>
              <w:fldChar w:fldCharType="begin"/>
            </w:r>
            <w:r>
              <w:rPr>
                <w:noProof/>
                <w:webHidden/>
              </w:rPr>
              <w:instrText xml:space="preserve"> PAGEREF _Toc216040493 \h </w:instrText>
            </w:r>
            <w:r>
              <w:rPr>
                <w:noProof/>
                <w:webHidden/>
              </w:rPr>
            </w:r>
            <w:r>
              <w:rPr>
                <w:noProof/>
                <w:webHidden/>
              </w:rPr>
              <w:fldChar w:fldCharType="separate"/>
            </w:r>
            <w:r>
              <w:rPr>
                <w:noProof/>
                <w:webHidden/>
              </w:rPr>
              <w:t>10</w:t>
            </w:r>
            <w:r>
              <w:rPr>
                <w:noProof/>
                <w:webHidden/>
              </w:rPr>
              <w:fldChar w:fldCharType="end"/>
            </w:r>
          </w:hyperlink>
        </w:p>
        <w:p w14:paraId="5A0376B1" w14:textId="1D877B6F" w:rsidR="00E55419" w:rsidRDefault="00E55419">
          <w:r>
            <w:rPr>
              <w:b/>
              <w:bCs/>
              <w:noProof/>
            </w:rPr>
            <w:fldChar w:fldCharType="end"/>
          </w:r>
        </w:p>
      </w:sdtContent>
    </w:sdt>
    <w:p w14:paraId="2338ED6B" w14:textId="77777777" w:rsidR="00CA2ABD" w:rsidRDefault="00CA2ABD">
      <w:pPr>
        <w:jc w:val="left"/>
      </w:pPr>
      <w:r>
        <w:br w:type="page"/>
      </w:r>
    </w:p>
    <w:p w14:paraId="08D7173B" w14:textId="7ECA923C" w:rsidR="00D9316F" w:rsidRDefault="00D9316F" w:rsidP="00D9316F">
      <w:pPr>
        <w:pStyle w:val="Heading1"/>
      </w:pPr>
      <w:bookmarkStart w:id="0" w:name="_Toc216040488"/>
      <w:r>
        <w:lastRenderedPageBreak/>
        <w:t>Introduction</w:t>
      </w:r>
      <w:bookmarkEnd w:id="0"/>
    </w:p>
    <w:p w14:paraId="3EA2D952" w14:textId="77777777" w:rsidR="00D9316F" w:rsidRDefault="00D9316F" w:rsidP="00D9316F">
      <w:pPr>
        <w:spacing w:line="360" w:lineRule="auto"/>
      </w:pPr>
    </w:p>
    <w:p w14:paraId="0878030C" w14:textId="77777777" w:rsidR="00D9316F" w:rsidRDefault="00D9316F" w:rsidP="00D9316F">
      <w:pPr>
        <w:spacing w:line="360" w:lineRule="auto"/>
      </w:pPr>
      <w:r>
        <w:t xml:space="preserve">This research report discusses the impact of dyslexia at childhood on the adulthood of an individual in UK health and social care sector. Dyslexia is a prevalent specific learning difficulty in the UK, which impairs literacy, communication, emotional wellbeing and social participation in the long term. The report discusses the reasons why this problem needs to be investigated, who it benefits and how the current research is helpful in terms of knowing the problem. It also tests the suitable research </w:t>
      </w:r>
      <w:proofErr w:type="gramStart"/>
      <w:r>
        <w:t>methodologies</w:t>
      </w:r>
      <w:proofErr w:type="gramEnd"/>
      <w:r>
        <w:t xml:space="preserve"> and it explains why secondary data was selected in this research. It is hoped that a structured evidence-based analysis, applicable to health and social care practice in the United Kingdom, will be generated.</w:t>
      </w:r>
    </w:p>
    <w:p w14:paraId="7F19982E" w14:textId="77777777" w:rsidR="00D9316F" w:rsidRDefault="00D9316F" w:rsidP="00D9316F">
      <w:pPr>
        <w:spacing w:line="360" w:lineRule="auto"/>
      </w:pPr>
    </w:p>
    <w:p w14:paraId="31E7B4FD" w14:textId="77777777" w:rsidR="002E495E" w:rsidRDefault="002E495E">
      <w:pPr>
        <w:jc w:val="left"/>
        <w:rPr>
          <w:rFonts w:eastAsiaTheme="majorEastAsia" w:cstheme="majorBidi"/>
          <w:b/>
          <w:color w:val="000000" w:themeColor="text1"/>
          <w:sz w:val="28"/>
          <w:szCs w:val="26"/>
        </w:rPr>
      </w:pPr>
      <w:r>
        <w:br w:type="page"/>
      </w:r>
    </w:p>
    <w:p w14:paraId="13F01F17" w14:textId="7D940098" w:rsidR="00D9316F" w:rsidRDefault="00D9316F" w:rsidP="00D9316F">
      <w:pPr>
        <w:pStyle w:val="Heading2"/>
      </w:pPr>
      <w:bookmarkStart w:id="1" w:name="_Toc216040489"/>
      <w:r w:rsidRPr="00D9316F">
        <w:lastRenderedPageBreak/>
        <w:t>Research Topic Identification</w:t>
      </w:r>
      <w:bookmarkEnd w:id="1"/>
    </w:p>
    <w:p w14:paraId="3DC08FCD" w14:textId="77777777" w:rsidR="00D9316F" w:rsidRPr="00D9316F" w:rsidRDefault="00D9316F" w:rsidP="00D9316F"/>
    <w:p w14:paraId="6544016D" w14:textId="4A252B2C" w:rsidR="00D9316F" w:rsidRPr="00D9316F" w:rsidRDefault="00D9316F" w:rsidP="00D9316F">
      <w:pPr>
        <w:spacing w:line="360" w:lineRule="auto"/>
        <w:rPr>
          <w:b/>
          <w:bCs/>
        </w:rPr>
      </w:pPr>
      <w:r w:rsidRPr="00D9316F">
        <w:rPr>
          <w:b/>
          <w:bCs/>
        </w:rPr>
        <w:t>Description of the Issue</w:t>
      </w:r>
    </w:p>
    <w:p w14:paraId="457C352E" w14:textId="0EF60D4E" w:rsidR="00D9316F" w:rsidRDefault="00D9316F" w:rsidP="00D9316F">
      <w:pPr>
        <w:spacing w:line="360" w:lineRule="auto"/>
      </w:pPr>
      <w:r>
        <w:t>Dyslexia is a neurodevelopmental disorder, which is marked by long-lasting problems with reading, spelling, phonological processing, and working memory (</w:t>
      </w:r>
      <w:proofErr w:type="spellStart"/>
      <w:r>
        <w:t>Snowling</w:t>
      </w:r>
      <w:proofErr w:type="spellEnd"/>
      <w:r>
        <w:t xml:space="preserve"> and Hulme, 2020). Although dyslexia is typically diagnosed during </w:t>
      </w:r>
      <w:proofErr w:type="gramStart"/>
      <w:r>
        <w:t>the childhood</w:t>
      </w:r>
      <w:proofErr w:type="gramEnd"/>
      <w:r>
        <w:t>, the studies have shown that the condition persists over a lifetime and its possible effects are long-term in nature, impacting education, employment, mental health, and social wellbeing (Elliott and Grigorenko, 2014). Dyslexia is a significant issue in the UK, with the prevalence rate of 10% of the population (British Dyslexia Association, 2023) making it an issue of significant concern to health, education and social care systems.</w:t>
      </w:r>
    </w:p>
    <w:p w14:paraId="4910F9DB" w14:textId="77777777" w:rsidR="00D9316F" w:rsidRDefault="00D9316F" w:rsidP="00D9316F">
      <w:pPr>
        <w:spacing w:line="360" w:lineRule="auto"/>
      </w:pPr>
      <w:r>
        <w:t>The problem is dramatically high in adulthood. Adults having untreated or unassisted dyslexia face more chances of poor education, joblessness, low revenue, increased anxiety, and loss of self-belief (Macdonald, 2019). Moreover, dyslexia is also associated with elevated anxiety, social isolation, and low self-esteem because of years of academic unhappiness or shame (Gomez-Grande et al., 2022). These consequences affect the service requirements in the UK systems of social care, mental health, employment services and adult education.</w:t>
      </w:r>
    </w:p>
    <w:p w14:paraId="4DB791F1" w14:textId="2CF318AF" w:rsidR="00D9316F" w:rsidRPr="00D9316F" w:rsidRDefault="00D9316F" w:rsidP="00D9316F">
      <w:pPr>
        <w:spacing w:line="360" w:lineRule="auto"/>
        <w:rPr>
          <w:b/>
          <w:bCs/>
        </w:rPr>
      </w:pPr>
      <w:r w:rsidRPr="00D9316F">
        <w:rPr>
          <w:b/>
          <w:bCs/>
        </w:rPr>
        <w:t>Who the Issue Affects</w:t>
      </w:r>
    </w:p>
    <w:p w14:paraId="7E3E39A6" w14:textId="21172BCC" w:rsidR="00D9316F" w:rsidRDefault="00D9316F" w:rsidP="00D9316F">
      <w:pPr>
        <w:spacing w:line="360" w:lineRule="auto"/>
      </w:pPr>
      <w:r>
        <w:t>The problem has impact on various groups in the UK health and social care sector:</w:t>
      </w:r>
    </w:p>
    <w:p w14:paraId="2A0A50E5" w14:textId="0506AE32" w:rsidR="00D9316F" w:rsidRDefault="00D9316F" w:rsidP="00D9316F">
      <w:pPr>
        <w:pStyle w:val="ListParagraph"/>
        <w:numPr>
          <w:ilvl w:val="0"/>
          <w:numId w:val="1"/>
        </w:numPr>
        <w:spacing w:line="360" w:lineRule="auto"/>
      </w:pPr>
      <w:r>
        <w:t>Children and youths: The identification of dyslexia among children in UK schools is inconsistent, thus leading to late diagnosis and increasing the gap in education (DfE, 2022).</w:t>
      </w:r>
    </w:p>
    <w:p w14:paraId="45FB8A48" w14:textId="6C55659D" w:rsidR="00D9316F" w:rsidRDefault="00D9316F" w:rsidP="00D9316F">
      <w:pPr>
        <w:pStyle w:val="ListParagraph"/>
        <w:numPr>
          <w:ilvl w:val="0"/>
          <w:numId w:val="1"/>
        </w:numPr>
        <w:spacing w:line="360" w:lineRule="auto"/>
      </w:pPr>
      <w:r>
        <w:t>Adult dyslexics: a good number of them lack the support to live in adulthood, which interferes with effective employment and services.</w:t>
      </w:r>
    </w:p>
    <w:p w14:paraId="14D21CFD" w14:textId="232833BE" w:rsidR="00D9316F" w:rsidRDefault="00D9316F" w:rsidP="00D9316F">
      <w:pPr>
        <w:pStyle w:val="ListParagraph"/>
        <w:numPr>
          <w:ilvl w:val="0"/>
          <w:numId w:val="1"/>
        </w:numPr>
        <w:spacing w:line="360" w:lineRule="auto"/>
      </w:pPr>
      <w:r>
        <w:t xml:space="preserve">Health and social care </w:t>
      </w:r>
      <w:proofErr w:type="spellStart"/>
      <w:r>
        <w:t>organisations</w:t>
      </w:r>
      <w:proofErr w:type="spellEnd"/>
      <w:r>
        <w:t xml:space="preserve">: Adult dyslexia poses a problem </w:t>
      </w:r>
      <w:proofErr w:type="gramStart"/>
      <w:r>
        <w:t>on</w:t>
      </w:r>
      <w:proofErr w:type="gramEnd"/>
      <w:r>
        <w:t xml:space="preserve"> service access, communication and personal care planning.</w:t>
      </w:r>
    </w:p>
    <w:p w14:paraId="5E19EDFC" w14:textId="125AE442" w:rsidR="00D9316F" w:rsidRDefault="00D9316F" w:rsidP="00D9316F">
      <w:pPr>
        <w:pStyle w:val="ListParagraph"/>
        <w:numPr>
          <w:ilvl w:val="0"/>
          <w:numId w:val="1"/>
        </w:numPr>
        <w:spacing w:line="360" w:lineRule="auto"/>
      </w:pPr>
      <w:r>
        <w:t xml:space="preserve">Care professionals: Social workers, mental health practitioners, and support workers should be aware of the lifelong effects to dyslexia </w:t>
      </w:r>
      <w:proofErr w:type="gramStart"/>
      <w:r>
        <w:t>in order to</w:t>
      </w:r>
      <w:proofErr w:type="gramEnd"/>
      <w:r>
        <w:t xml:space="preserve"> offer meaningful interventions.</w:t>
      </w:r>
    </w:p>
    <w:p w14:paraId="23CBCAB2" w14:textId="77777777" w:rsidR="00D9316F" w:rsidRDefault="00D9316F" w:rsidP="00D9316F">
      <w:pPr>
        <w:spacing w:line="360" w:lineRule="auto"/>
      </w:pPr>
      <w:r>
        <w:t xml:space="preserve">Due to the intersectoral nature of dyslexia that cuts across educational, psychological, and social frontiers, the effects of the condition are multisectoral. The increased focus on lifelong learning </w:t>
      </w:r>
      <w:r>
        <w:lastRenderedPageBreak/>
        <w:t>and employability in the UK policy also underscores the necessity to learn dyslexia beyond childhood.</w:t>
      </w:r>
    </w:p>
    <w:p w14:paraId="25070A7C" w14:textId="6ECC9786" w:rsidR="00D9316F" w:rsidRPr="00D9316F" w:rsidRDefault="00D9316F" w:rsidP="00D9316F">
      <w:pPr>
        <w:spacing w:line="360" w:lineRule="auto"/>
        <w:rPr>
          <w:b/>
          <w:bCs/>
        </w:rPr>
      </w:pPr>
      <w:r w:rsidRPr="00D9316F">
        <w:rPr>
          <w:b/>
          <w:bCs/>
        </w:rPr>
        <w:t>Justification for Research</w:t>
      </w:r>
    </w:p>
    <w:p w14:paraId="596F564D" w14:textId="39DDD5E2" w:rsidR="00D9316F" w:rsidRDefault="00D9316F" w:rsidP="00D9316F">
      <w:pPr>
        <w:spacing w:line="360" w:lineRule="auto"/>
      </w:pPr>
      <w:r>
        <w:t xml:space="preserve">The need to investigate this topic is due to </w:t>
      </w:r>
      <w:proofErr w:type="gramStart"/>
      <w:r>
        <w:t>a number of</w:t>
      </w:r>
      <w:proofErr w:type="gramEnd"/>
      <w:r>
        <w:t xml:space="preserve"> reasons:</w:t>
      </w:r>
    </w:p>
    <w:p w14:paraId="2906BEB1" w14:textId="0E630FA7" w:rsidR="00D9316F" w:rsidRDefault="00D9316F" w:rsidP="00D9316F">
      <w:pPr>
        <w:pStyle w:val="ListParagraph"/>
        <w:numPr>
          <w:ilvl w:val="0"/>
          <w:numId w:val="2"/>
        </w:numPr>
        <w:spacing w:line="360" w:lineRule="auto"/>
      </w:pPr>
      <w:r>
        <w:t>Heightening awareness of adult dyslexia: Adult dyslexia is not well-researched and is misunderstood, even though it is well-known in children (Macdonald, 2019).</w:t>
      </w:r>
    </w:p>
    <w:p w14:paraId="3E0F9FDA" w14:textId="095C3743" w:rsidR="00D9316F" w:rsidRDefault="00D9316F" w:rsidP="00D9316F">
      <w:pPr>
        <w:pStyle w:val="ListParagraph"/>
        <w:numPr>
          <w:ilvl w:val="0"/>
          <w:numId w:val="2"/>
        </w:numPr>
        <w:spacing w:line="360" w:lineRule="auto"/>
      </w:pPr>
      <w:r>
        <w:t>Implications on mental health: It has been established that adults with dyslexia have disproportionately experienced anxiety, depression and emotional stress (Gomez-Grande et al., 2022), which is applicable to the UK mental health services.</w:t>
      </w:r>
    </w:p>
    <w:p w14:paraId="207244A5" w14:textId="31C0C4A8" w:rsidR="00D9316F" w:rsidRDefault="00D9316F" w:rsidP="00D9316F">
      <w:pPr>
        <w:pStyle w:val="ListParagraph"/>
        <w:numPr>
          <w:ilvl w:val="0"/>
          <w:numId w:val="2"/>
        </w:numPr>
        <w:spacing w:line="360" w:lineRule="auto"/>
      </w:pPr>
      <w:r>
        <w:t xml:space="preserve">Labor and social inequalities: The adults with dyslexia have a higher tendency to be impeded in the </w:t>
      </w:r>
      <w:proofErr w:type="spellStart"/>
      <w:r>
        <w:t>labour</w:t>
      </w:r>
      <w:proofErr w:type="spellEnd"/>
      <w:r>
        <w:t xml:space="preserve"> market, which leads to socioeconomic </w:t>
      </w:r>
      <w:proofErr w:type="gramStart"/>
      <w:r>
        <w:t>disadvantage</w:t>
      </w:r>
      <w:proofErr w:type="gramEnd"/>
      <w:r>
        <w:t xml:space="preserve"> (Rice and Brooks, 2020). This is in line with health and social care issues of social determinant of health.</w:t>
      </w:r>
    </w:p>
    <w:p w14:paraId="19D44044" w14:textId="4B45272A" w:rsidR="00D9316F" w:rsidRDefault="00D9316F" w:rsidP="00D9316F">
      <w:pPr>
        <w:pStyle w:val="ListParagraph"/>
        <w:numPr>
          <w:ilvl w:val="0"/>
          <w:numId w:val="2"/>
        </w:numPr>
        <w:spacing w:line="360" w:lineRule="auto"/>
      </w:pPr>
      <w:r>
        <w:t>Relevance to legislation: The UK legislative frameworks, including the Equality Act 2010 and Code of Practice on SEND, focus on inclusive practice, whereby the professionals need to comprehend dyslexia as a lifelong condition.</w:t>
      </w:r>
    </w:p>
    <w:p w14:paraId="7EB23D34" w14:textId="77777777" w:rsidR="00D9316F" w:rsidRDefault="00D9316F" w:rsidP="00D9316F">
      <w:pPr>
        <w:pStyle w:val="ListParagraph"/>
        <w:numPr>
          <w:ilvl w:val="0"/>
          <w:numId w:val="2"/>
        </w:numPr>
        <w:spacing w:line="360" w:lineRule="auto"/>
      </w:pPr>
      <w:r>
        <w:t>Significance of early intervention: The studies indicate that early intervention has a great impact on long-term outcomes (</w:t>
      </w:r>
      <w:proofErr w:type="spellStart"/>
      <w:r>
        <w:t>Snowling</w:t>
      </w:r>
      <w:proofErr w:type="spellEnd"/>
      <w:r>
        <w:t xml:space="preserve"> and Hulme, 2020). The need to be identified consistently during childhood has been brought out through the understanding of adult implications.</w:t>
      </w:r>
    </w:p>
    <w:p w14:paraId="16E2DF31" w14:textId="77777777" w:rsidR="00D9316F" w:rsidRDefault="00D9316F" w:rsidP="00D9316F">
      <w:pPr>
        <w:spacing w:line="360" w:lineRule="auto"/>
      </w:pPr>
    </w:p>
    <w:p w14:paraId="43668439" w14:textId="4F4D7919" w:rsidR="00D9316F" w:rsidRDefault="00D9316F" w:rsidP="00D9316F">
      <w:pPr>
        <w:spacing w:line="360" w:lineRule="auto"/>
      </w:pPr>
      <w:r>
        <w:t>Hence, the proposed research subject is topical and directly relates to the existing priorities in health and social care in the UK, especially in the field of mental health and neurodiversity, its accessibility, and minimizing inequalities.</w:t>
      </w:r>
    </w:p>
    <w:p w14:paraId="35888658" w14:textId="36591B9E" w:rsidR="00D9316F" w:rsidRPr="00D9316F" w:rsidRDefault="00D9316F" w:rsidP="00D9316F">
      <w:pPr>
        <w:spacing w:line="360" w:lineRule="auto"/>
        <w:rPr>
          <w:b/>
          <w:bCs/>
        </w:rPr>
      </w:pPr>
      <w:r w:rsidRPr="00D9316F">
        <w:rPr>
          <w:b/>
          <w:bCs/>
        </w:rPr>
        <w:t>Selection of Information Sources</w:t>
      </w:r>
    </w:p>
    <w:p w14:paraId="1B2AF380" w14:textId="6A2B9B42" w:rsidR="00D9316F" w:rsidRDefault="00D9316F" w:rsidP="00D9316F">
      <w:pPr>
        <w:spacing w:line="360" w:lineRule="auto"/>
      </w:pPr>
      <w:r>
        <w:t xml:space="preserve">To support this research topic three academic and </w:t>
      </w:r>
      <w:proofErr w:type="spellStart"/>
      <w:r>
        <w:t>organisational</w:t>
      </w:r>
      <w:proofErr w:type="spellEnd"/>
      <w:r>
        <w:t xml:space="preserve"> sources that are credible have been selected. The sources are explained and argued out below.</w:t>
      </w:r>
    </w:p>
    <w:p w14:paraId="07D415ED" w14:textId="25F01163" w:rsidR="00D9316F" w:rsidRPr="00D9316F" w:rsidRDefault="00D9316F" w:rsidP="00D9316F">
      <w:pPr>
        <w:spacing w:line="360" w:lineRule="auto"/>
        <w:rPr>
          <w:b/>
          <w:bCs/>
        </w:rPr>
      </w:pPr>
      <w:r w:rsidRPr="00D9316F">
        <w:rPr>
          <w:b/>
          <w:bCs/>
        </w:rPr>
        <w:t xml:space="preserve">Source 1: </w:t>
      </w:r>
      <w:proofErr w:type="spellStart"/>
      <w:r w:rsidRPr="00D9316F">
        <w:rPr>
          <w:b/>
          <w:bCs/>
        </w:rPr>
        <w:t>Snowling</w:t>
      </w:r>
      <w:proofErr w:type="spellEnd"/>
      <w:r w:rsidRPr="00D9316F">
        <w:rPr>
          <w:b/>
          <w:bCs/>
        </w:rPr>
        <w:t xml:space="preserve"> &amp; Hulme (2020)</w:t>
      </w:r>
    </w:p>
    <w:p w14:paraId="6E59EBC1" w14:textId="77777777" w:rsidR="00D9316F" w:rsidRPr="00D9316F" w:rsidRDefault="00D9316F" w:rsidP="00D9316F">
      <w:pPr>
        <w:spacing w:line="360" w:lineRule="auto"/>
        <w:rPr>
          <w:b/>
          <w:bCs/>
        </w:rPr>
      </w:pPr>
      <w:r w:rsidRPr="00D9316F">
        <w:rPr>
          <w:b/>
          <w:bCs/>
        </w:rPr>
        <w:t>Content and relevance:</w:t>
      </w:r>
    </w:p>
    <w:p w14:paraId="0A5B0374" w14:textId="05D7D7B6" w:rsidR="00D9316F" w:rsidRDefault="00D9316F" w:rsidP="00D9316F">
      <w:pPr>
        <w:spacing w:line="360" w:lineRule="auto"/>
      </w:pPr>
      <w:r>
        <w:lastRenderedPageBreak/>
        <w:t xml:space="preserve">This scholarly article gives a deep insight into dyslexia as a developmental disorder with focus on cognitive mechanisms including phonological awareness and working memory. It describes </w:t>
      </w:r>
      <w:proofErr w:type="gramStart"/>
      <w:r>
        <w:t>the lifelong</w:t>
      </w:r>
      <w:proofErr w:type="gramEnd"/>
      <w:r>
        <w:t xml:space="preserve"> dyslexia and the way the development of early problems can be varied in adulthood.</w:t>
      </w:r>
    </w:p>
    <w:p w14:paraId="2F0C505C" w14:textId="77777777" w:rsidR="00D9316F" w:rsidRPr="00D9316F" w:rsidRDefault="00D9316F" w:rsidP="00D9316F">
      <w:pPr>
        <w:spacing w:line="360" w:lineRule="auto"/>
        <w:rPr>
          <w:b/>
          <w:bCs/>
        </w:rPr>
      </w:pPr>
      <w:r w:rsidRPr="00D9316F">
        <w:rPr>
          <w:b/>
          <w:bCs/>
        </w:rPr>
        <w:t>Justification for selection:</w:t>
      </w:r>
    </w:p>
    <w:p w14:paraId="755AF18C" w14:textId="0355D298" w:rsidR="00D9316F" w:rsidRDefault="00D9316F" w:rsidP="00D9316F">
      <w:pPr>
        <w:spacing w:line="360" w:lineRule="auto"/>
      </w:pPr>
      <w:r>
        <w:t>This source is critical in creating background information on dyslexia, which will make the research be able to describe the condition and its developmental process in childhood up to adulthood. It was chosen as it is highly referred to, new and released by reputable researchers in the area.</w:t>
      </w:r>
    </w:p>
    <w:p w14:paraId="161DC0AB" w14:textId="792F7F7C" w:rsidR="00D9316F" w:rsidRPr="00D9316F" w:rsidRDefault="00D9316F" w:rsidP="00D9316F">
      <w:pPr>
        <w:spacing w:line="360" w:lineRule="auto"/>
        <w:rPr>
          <w:b/>
          <w:bCs/>
        </w:rPr>
      </w:pPr>
      <w:r w:rsidRPr="00D9316F">
        <w:rPr>
          <w:b/>
          <w:bCs/>
        </w:rPr>
        <w:t xml:space="preserve">Source 2: </w:t>
      </w:r>
      <w:r w:rsidR="008C6F83" w:rsidRPr="008C6F83">
        <w:rPr>
          <w:b/>
          <w:bCs/>
        </w:rPr>
        <w:t>Tanner</w:t>
      </w:r>
      <w:r w:rsidR="008C6F83">
        <w:rPr>
          <w:b/>
          <w:bCs/>
        </w:rPr>
        <w:t xml:space="preserve"> </w:t>
      </w:r>
      <w:r w:rsidRPr="00D9316F">
        <w:rPr>
          <w:b/>
          <w:bCs/>
        </w:rPr>
        <w:t>(20</w:t>
      </w:r>
      <w:r w:rsidR="008C6F83">
        <w:rPr>
          <w:b/>
          <w:bCs/>
        </w:rPr>
        <w:t>0</w:t>
      </w:r>
      <w:r w:rsidRPr="00D9316F">
        <w:rPr>
          <w:b/>
          <w:bCs/>
        </w:rPr>
        <w:t>9)</w:t>
      </w:r>
    </w:p>
    <w:p w14:paraId="0E752D4D" w14:textId="77777777" w:rsidR="00D9316F" w:rsidRPr="00D9316F" w:rsidRDefault="00D9316F" w:rsidP="00D9316F">
      <w:pPr>
        <w:spacing w:line="360" w:lineRule="auto"/>
        <w:rPr>
          <w:b/>
          <w:bCs/>
        </w:rPr>
      </w:pPr>
      <w:r w:rsidRPr="00D9316F">
        <w:rPr>
          <w:b/>
          <w:bCs/>
        </w:rPr>
        <w:t>Content and relevance:</w:t>
      </w:r>
    </w:p>
    <w:p w14:paraId="7BB7C57F" w14:textId="655E9DA4" w:rsidR="00D9316F" w:rsidRDefault="00D9316F" w:rsidP="00D9316F">
      <w:pPr>
        <w:spacing w:line="360" w:lineRule="auto"/>
      </w:pPr>
      <w:r>
        <w:t>This study explores the lived experience of adults with dyslexia in terms of employment, social issues, identity, and psychological health. It deals with structural disadvantages and barriers that adults experience in the learning and working conditions.</w:t>
      </w:r>
    </w:p>
    <w:p w14:paraId="6F72AA0E" w14:textId="77777777" w:rsidR="00D9316F" w:rsidRPr="00D9316F" w:rsidRDefault="00D9316F" w:rsidP="00D9316F">
      <w:pPr>
        <w:spacing w:line="360" w:lineRule="auto"/>
        <w:rPr>
          <w:b/>
          <w:bCs/>
        </w:rPr>
      </w:pPr>
      <w:r w:rsidRPr="00D9316F">
        <w:rPr>
          <w:b/>
          <w:bCs/>
        </w:rPr>
        <w:t>Justification for selection:</w:t>
      </w:r>
    </w:p>
    <w:p w14:paraId="46CEE544" w14:textId="6BA3DF18" w:rsidR="00D9316F" w:rsidRDefault="00D9316F" w:rsidP="00D9316F">
      <w:pPr>
        <w:spacing w:line="360" w:lineRule="auto"/>
      </w:pPr>
      <w:r>
        <w:t>It is closely related to the knowledge of the way dyslexia affects adult life, which is the main concern of this report. Its qualitative analysis assists in explaining why dyslexia is an important problem to both health and social care service.</w:t>
      </w:r>
    </w:p>
    <w:p w14:paraId="0D6417CA" w14:textId="454F96BD" w:rsidR="00D9316F" w:rsidRPr="002E495E" w:rsidRDefault="00D9316F" w:rsidP="00D9316F">
      <w:pPr>
        <w:spacing w:line="360" w:lineRule="auto"/>
        <w:rPr>
          <w:b/>
          <w:bCs/>
        </w:rPr>
      </w:pPr>
      <w:r w:rsidRPr="00D9316F">
        <w:rPr>
          <w:b/>
          <w:bCs/>
        </w:rPr>
        <w:t>Source 3: British Dyslexia Association (2023)</w:t>
      </w:r>
    </w:p>
    <w:p w14:paraId="53F163F8" w14:textId="77777777" w:rsidR="00D9316F" w:rsidRPr="002E495E" w:rsidRDefault="00D9316F" w:rsidP="00D9316F">
      <w:pPr>
        <w:spacing w:line="360" w:lineRule="auto"/>
        <w:rPr>
          <w:b/>
          <w:bCs/>
        </w:rPr>
      </w:pPr>
      <w:r w:rsidRPr="002E495E">
        <w:rPr>
          <w:b/>
          <w:bCs/>
        </w:rPr>
        <w:t>Content and relevance:</w:t>
      </w:r>
    </w:p>
    <w:p w14:paraId="637FBF19" w14:textId="3C2728A8" w:rsidR="00D9316F" w:rsidRDefault="00D9316F" w:rsidP="00D9316F">
      <w:pPr>
        <w:spacing w:line="360" w:lineRule="auto"/>
      </w:pPr>
      <w:r>
        <w:t xml:space="preserve">The present </w:t>
      </w:r>
      <w:proofErr w:type="spellStart"/>
      <w:r>
        <w:t>organisational</w:t>
      </w:r>
      <w:proofErr w:type="spellEnd"/>
      <w:r>
        <w:t xml:space="preserve"> report presents statistical data on the prevalence of dyslexia, UK policy environment, and suggested practice support strategies in schools and workplaces.</w:t>
      </w:r>
    </w:p>
    <w:p w14:paraId="4DE743F7" w14:textId="77777777" w:rsidR="002E495E" w:rsidRPr="002E495E" w:rsidRDefault="002E495E" w:rsidP="00D9316F">
      <w:pPr>
        <w:spacing w:line="360" w:lineRule="auto"/>
        <w:rPr>
          <w:b/>
          <w:bCs/>
        </w:rPr>
      </w:pPr>
      <w:r w:rsidRPr="002E495E">
        <w:rPr>
          <w:b/>
          <w:bCs/>
        </w:rPr>
        <w:t>Justification for selection:</w:t>
      </w:r>
    </w:p>
    <w:p w14:paraId="5BAC29A4" w14:textId="08B29EEC" w:rsidR="00D9316F" w:rsidRDefault="00D9316F" w:rsidP="00D9316F">
      <w:pPr>
        <w:spacing w:line="360" w:lineRule="auto"/>
      </w:pPr>
      <w:r>
        <w:t>It provides the latest UK-specific data and helps to harmonize the subject with the frameworks of the national policies. This contributes to the discussion that dyslexia is an eminent issue that deserves attention in the UK health and social care sector.</w:t>
      </w:r>
    </w:p>
    <w:p w14:paraId="4787794F" w14:textId="77777777" w:rsidR="002E495E" w:rsidRDefault="002E495E" w:rsidP="00D9316F">
      <w:pPr>
        <w:spacing w:line="360" w:lineRule="auto"/>
      </w:pPr>
    </w:p>
    <w:p w14:paraId="76C6588F" w14:textId="77777777" w:rsidR="00D9316F" w:rsidRDefault="00D9316F" w:rsidP="00D9316F">
      <w:pPr>
        <w:spacing w:line="360" w:lineRule="auto"/>
      </w:pPr>
    </w:p>
    <w:p w14:paraId="324059F0" w14:textId="06049711" w:rsidR="00D9316F" w:rsidRDefault="00D9316F" w:rsidP="002E495E">
      <w:pPr>
        <w:pStyle w:val="Heading2"/>
      </w:pPr>
      <w:bookmarkStart w:id="2" w:name="_Toc216040490"/>
      <w:r>
        <w:lastRenderedPageBreak/>
        <w:t>Research Methodologies</w:t>
      </w:r>
      <w:bookmarkEnd w:id="2"/>
    </w:p>
    <w:p w14:paraId="792417A7" w14:textId="77777777" w:rsidR="002E495E" w:rsidRPr="002E495E" w:rsidRDefault="002E495E" w:rsidP="002E495E"/>
    <w:p w14:paraId="19132052" w14:textId="6C454F06" w:rsidR="00D9316F" w:rsidRPr="002E495E" w:rsidRDefault="002E495E" w:rsidP="00D9316F">
      <w:pPr>
        <w:spacing w:line="360" w:lineRule="auto"/>
        <w:rPr>
          <w:b/>
          <w:bCs/>
        </w:rPr>
      </w:pPr>
      <w:r w:rsidRPr="002E495E">
        <w:rPr>
          <w:b/>
          <w:bCs/>
        </w:rPr>
        <w:t>Overview of Quantitative and Qualitative Research</w:t>
      </w:r>
    </w:p>
    <w:p w14:paraId="57F84464" w14:textId="35C48636" w:rsidR="00D9316F" w:rsidRDefault="00D9316F" w:rsidP="00D9316F">
      <w:pPr>
        <w:spacing w:line="360" w:lineRule="auto"/>
      </w:pPr>
      <w:r>
        <w:t xml:space="preserve">Quantitative research entails gathering numerical information </w:t>
      </w:r>
      <w:proofErr w:type="gramStart"/>
      <w:r>
        <w:t>so as to</w:t>
      </w:r>
      <w:proofErr w:type="gramEnd"/>
      <w:r>
        <w:t xml:space="preserve"> quantify patterns, relationships, or statistical trends (Creswell and Creswell, 2018). It generally involves the use of structured instruments like surveys, examinations, or the already available statistical data. It has the strengths of </w:t>
      </w:r>
      <w:proofErr w:type="spellStart"/>
      <w:r>
        <w:t>generalisability</w:t>
      </w:r>
      <w:proofErr w:type="spellEnd"/>
      <w:r>
        <w:t>, precision and capability to derive measurable outcomes.</w:t>
      </w:r>
    </w:p>
    <w:p w14:paraId="2F2958E1" w14:textId="10540C11" w:rsidR="00D9316F" w:rsidRDefault="00D9316F" w:rsidP="00D9316F">
      <w:pPr>
        <w:spacing w:line="360" w:lineRule="auto"/>
      </w:pPr>
      <w:r>
        <w:t xml:space="preserve">Qualitative </w:t>
      </w:r>
      <w:proofErr w:type="gramStart"/>
      <w:r>
        <w:t>research</w:t>
      </w:r>
      <w:proofErr w:type="gramEnd"/>
      <w:r>
        <w:t xml:space="preserve"> on the contrary, investigates experiences, perceptions and meaning. </w:t>
      </w:r>
      <w:proofErr w:type="spellStart"/>
      <w:r>
        <w:t>Interviewe</w:t>
      </w:r>
      <w:proofErr w:type="spellEnd"/>
      <w:r>
        <w:t>, focus group, and thematic analysis are methods through which researchers get a better understanding of personal stories or social backgrounds (Braun and Clarke, 2021). Qualitative methods are especially useful in cases when the social issue or a lived experience is the subject of investigation.</w:t>
      </w:r>
    </w:p>
    <w:p w14:paraId="182499E9" w14:textId="2EDB26DA" w:rsidR="00D9316F" w:rsidRPr="002E495E" w:rsidRDefault="002E495E" w:rsidP="00D9316F">
      <w:pPr>
        <w:spacing w:line="360" w:lineRule="auto"/>
        <w:rPr>
          <w:b/>
          <w:bCs/>
        </w:rPr>
      </w:pPr>
      <w:r w:rsidRPr="002E495E">
        <w:rPr>
          <w:b/>
          <w:bCs/>
        </w:rPr>
        <w:t>Selected Methodology and Justification</w:t>
      </w:r>
    </w:p>
    <w:p w14:paraId="2C7A89D5" w14:textId="2B692A01" w:rsidR="00D9316F" w:rsidRDefault="00D9316F" w:rsidP="00D9316F">
      <w:pPr>
        <w:spacing w:line="360" w:lineRule="auto"/>
      </w:pPr>
      <w:r>
        <w:t xml:space="preserve">In this research report, qualitative methodology is assumed. This option is suitable since the issue under consideration is an understanding of the influence of dyslexia on adulthood, and it is necessary to investigate the aspects of emotional, psychological, and social life. The effects of dyslexia cannot be quantified using statistics alone: these aspects have subjective aspects </w:t>
      </w:r>
      <w:proofErr w:type="gramStart"/>
      <w:r>
        <w:t>with regard to</w:t>
      </w:r>
      <w:proofErr w:type="gramEnd"/>
      <w:r>
        <w:t xml:space="preserve"> confidence, identity, and mental health, thus being more appropriate to describe qualitatively.</w:t>
      </w:r>
    </w:p>
    <w:p w14:paraId="74068545" w14:textId="77777777" w:rsidR="00D9316F" w:rsidRDefault="00D9316F" w:rsidP="00D9316F">
      <w:pPr>
        <w:spacing w:line="360" w:lineRule="auto"/>
      </w:pPr>
      <w:r>
        <w:t xml:space="preserve">There are also qualitative </w:t>
      </w:r>
      <w:proofErr w:type="gramStart"/>
      <w:r>
        <w:t>researches</w:t>
      </w:r>
      <w:proofErr w:type="gramEnd"/>
      <w:r>
        <w:t xml:space="preserve"> that </w:t>
      </w:r>
      <w:proofErr w:type="gramStart"/>
      <w:r>
        <w:t>are</w:t>
      </w:r>
      <w:proofErr w:type="gramEnd"/>
      <w:r>
        <w:t xml:space="preserve"> already done (like Macdonald 2019) which give good secondary data on the real-life issues that adults encounter. Since the present report is based on secondary data, qualitative literature would be very appropriate, as it will allow the researcher to interpret and </w:t>
      </w:r>
      <w:proofErr w:type="spellStart"/>
      <w:r>
        <w:t>synthesise</w:t>
      </w:r>
      <w:proofErr w:type="spellEnd"/>
      <w:r>
        <w:t xml:space="preserve"> the results with existing sources. This is quite consistent with the </w:t>
      </w:r>
      <w:proofErr w:type="gramStart"/>
      <w:r>
        <w:t>research purpose</w:t>
      </w:r>
      <w:proofErr w:type="gramEnd"/>
      <w:r>
        <w:t>, which is the exploration of developmental effects, and not the prevalence.</w:t>
      </w:r>
    </w:p>
    <w:p w14:paraId="3933A08D" w14:textId="77777777" w:rsidR="00D9316F" w:rsidRDefault="00D9316F" w:rsidP="00D9316F">
      <w:pPr>
        <w:spacing w:line="360" w:lineRule="auto"/>
      </w:pPr>
    </w:p>
    <w:p w14:paraId="0CA31E10" w14:textId="56963BF4" w:rsidR="00D9316F" w:rsidRDefault="00D9316F" w:rsidP="002E495E">
      <w:pPr>
        <w:pStyle w:val="Heading2"/>
      </w:pPr>
      <w:bookmarkStart w:id="3" w:name="_Toc216040491"/>
      <w:r>
        <w:t>Data Collection</w:t>
      </w:r>
      <w:bookmarkEnd w:id="3"/>
    </w:p>
    <w:p w14:paraId="5C86E05F" w14:textId="77777777" w:rsidR="002E495E" w:rsidRPr="002E495E" w:rsidRDefault="002E495E" w:rsidP="002E495E"/>
    <w:p w14:paraId="68D02810" w14:textId="287EE82F" w:rsidR="00D9316F" w:rsidRPr="002E495E" w:rsidRDefault="002E495E" w:rsidP="00D9316F">
      <w:pPr>
        <w:spacing w:line="360" w:lineRule="auto"/>
        <w:rPr>
          <w:b/>
          <w:bCs/>
        </w:rPr>
      </w:pPr>
      <w:r w:rsidRPr="002E495E">
        <w:rPr>
          <w:b/>
          <w:bCs/>
        </w:rPr>
        <w:t>Overview of Primary and Secondary Data</w:t>
      </w:r>
    </w:p>
    <w:p w14:paraId="04827D86" w14:textId="5280585A" w:rsidR="00D9316F" w:rsidRDefault="00D9316F" w:rsidP="00D9316F">
      <w:pPr>
        <w:spacing w:line="360" w:lineRule="auto"/>
      </w:pPr>
      <w:r>
        <w:lastRenderedPageBreak/>
        <w:t>Primary data is the data that is gathered by the researcher himself through survey, interview, observation or experiment. It offers new knowledge but takes a lot of time, ethical permission, and access to participants (</w:t>
      </w:r>
      <w:proofErr w:type="spellStart"/>
      <w:r>
        <w:t>Walliman</w:t>
      </w:r>
      <w:proofErr w:type="spellEnd"/>
      <w:r>
        <w:t>, 2021).</w:t>
      </w:r>
    </w:p>
    <w:p w14:paraId="784BB2FC" w14:textId="0CB43C58" w:rsidR="00D9316F" w:rsidRDefault="00D9316F" w:rsidP="00D9316F">
      <w:pPr>
        <w:spacing w:line="360" w:lineRule="auto"/>
      </w:pPr>
      <w:r>
        <w:t xml:space="preserve">The secondary data is data that has already been gathered by other researchers or </w:t>
      </w:r>
      <w:proofErr w:type="spellStart"/>
      <w:r>
        <w:t>organisations</w:t>
      </w:r>
      <w:proofErr w:type="spellEnd"/>
      <w:r>
        <w:t xml:space="preserve">. These are academic articles, government reports, </w:t>
      </w:r>
      <w:proofErr w:type="spellStart"/>
      <w:r>
        <w:t>organisational</w:t>
      </w:r>
      <w:proofErr w:type="spellEnd"/>
      <w:r>
        <w:t xml:space="preserve"> documents, online statistical databases and </w:t>
      </w:r>
      <w:proofErr w:type="gramStart"/>
      <w:r>
        <w:t>text books</w:t>
      </w:r>
      <w:proofErr w:type="gramEnd"/>
      <w:r>
        <w:t>. Secondary data is effective, economical, and suitable in the examination of the available knowledge.</w:t>
      </w:r>
    </w:p>
    <w:p w14:paraId="26883167" w14:textId="2D2185AF" w:rsidR="00D9316F" w:rsidRPr="002E495E" w:rsidRDefault="002E495E" w:rsidP="00D9316F">
      <w:pPr>
        <w:spacing w:line="360" w:lineRule="auto"/>
        <w:rPr>
          <w:b/>
          <w:bCs/>
        </w:rPr>
      </w:pPr>
      <w:r w:rsidRPr="002E495E">
        <w:rPr>
          <w:b/>
          <w:bCs/>
        </w:rPr>
        <w:t>Selected Data Type and Justification</w:t>
      </w:r>
    </w:p>
    <w:p w14:paraId="7FBF7CA4" w14:textId="797BA4BA" w:rsidR="00D9316F" w:rsidRDefault="00D9316F" w:rsidP="00D9316F">
      <w:pPr>
        <w:spacing w:line="360" w:lineRule="auto"/>
      </w:pPr>
      <w:r>
        <w:t>The paper applies secondary data, which is appropriate in terms of module requirements and the selected methodology. The secondary data is suitable since:</w:t>
      </w:r>
    </w:p>
    <w:p w14:paraId="3BC3EA9D" w14:textId="176B6C95" w:rsidR="00D9316F" w:rsidRDefault="00D9316F" w:rsidP="002E495E">
      <w:pPr>
        <w:pStyle w:val="ListParagraph"/>
        <w:numPr>
          <w:ilvl w:val="0"/>
          <w:numId w:val="3"/>
        </w:numPr>
        <w:spacing w:line="360" w:lineRule="auto"/>
      </w:pPr>
      <w:r>
        <w:t>Dyslexia has a considerable body of existing literature (consisting of large-scale reviews, national statistics, and qualitative accounts).</w:t>
      </w:r>
    </w:p>
    <w:p w14:paraId="02B30EA4" w14:textId="0F315118" w:rsidR="00D9316F" w:rsidRDefault="00D9316F" w:rsidP="002E495E">
      <w:pPr>
        <w:pStyle w:val="ListParagraph"/>
        <w:numPr>
          <w:ilvl w:val="0"/>
          <w:numId w:val="3"/>
        </w:numPr>
        <w:spacing w:line="360" w:lineRule="auto"/>
      </w:pPr>
      <w:r>
        <w:t xml:space="preserve">The study process is conceptual and developmental and thus can be appropriate to </w:t>
      </w:r>
      <w:proofErr w:type="spellStart"/>
      <w:r>
        <w:t>synthesise</w:t>
      </w:r>
      <w:proofErr w:type="spellEnd"/>
      <w:r>
        <w:t xml:space="preserve"> the existing findings instead of gathering new personal information.</w:t>
      </w:r>
    </w:p>
    <w:p w14:paraId="3FBF8E67" w14:textId="7200CBB3" w:rsidR="00D9316F" w:rsidRDefault="00D9316F" w:rsidP="002E495E">
      <w:pPr>
        <w:pStyle w:val="ListParagraph"/>
        <w:numPr>
          <w:ilvl w:val="0"/>
          <w:numId w:val="3"/>
        </w:numPr>
        <w:spacing w:line="360" w:lineRule="auto"/>
      </w:pPr>
      <w:r>
        <w:t>Within the limits of this assignment, it would be difficult to find an ethical approval and recruit participants.</w:t>
      </w:r>
    </w:p>
    <w:p w14:paraId="10CEEB67" w14:textId="54827256" w:rsidR="00D9316F" w:rsidRDefault="00D9316F" w:rsidP="00D9316F">
      <w:pPr>
        <w:pStyle w:val="ListParagraph"/>
        <w:numPr>
          <w:ilvl w:val="0"/>
          <w:numId w:val="3"/>
        </w:numPr>
        <w:spacing w:line="360" w:lineRule="auto"/>
      </w:pPr>
      <w:r>
        <w:t xml:space="preserve">The UK data is considerably accessible on the </w:t>
      </w:r>
      <w:proofErr w:type="spellStart"/>
      <w:r>
        <w:t>organisations</w:t>
      </w:r>
      <w:proofErr w:type="spellEnd"/>
      <w:r>
        <w:t xml:space="preserve"> like the British Dyslexia Association, the Department of Education and peer-reviewed journals.</w:t>
      </w:r>
    </w:p>
    <w:p w14:paraId="6D29978C" w14:textId="77777777" w:rsidR="00D9316F" w:rsidRDefault="00D9316F" w:rsidP="00D9316F">
      <w:pPr>
        <w:spacing w:line="360" w:lineRule="auto"/>
      </w:pPr>
      <w:r>
        <w:t>Thus, secondary data will give a solid ground to discuss how dyslexia changes during childhood to adulthood and its outcomes on the practice of health and social care in the UK.</w:t>
      </w:r>
    </w:p>
    <w:p w14:paraId="6FA7BA7C" w14:textId="77777777" w:rsidR="00D9316F" w:rsidRDefault="00D9316F" w:rsidP="00D9316F">
      <w:pPr>
        <w:spacing w:line="360" w:lineRule="auto"/>
      </w:pPr>
    </w:p>
    <w:p w14:paraId="0F7CAB20" w14:textId="77777777" w:rsidR="002E495E" w:rsidRDefault="002E495E">
      <w:pPr>
        <w:jc w:val="left"/>
        <w:rPr>
          <w:rFonts w:eastAsiaTheme="majorEastAsia" w:cstheme="majorBidi"/>
          <w:b/>
          <w:sz w:val="32"/>
          <w:szCs w:val="32"/>
        </w:rPr>
      </w:pPr>
      <w:r>
        <w:br w:type="page"/>
      </w:r>
    </w:p>
    <w:p w14:paraId="10AA2528" w14:textId="15BD052F" w:rsidR="00D9316F" w:rsidRDefault="00D9316F" w:rsidP="002E495E">
      <w:pPr>
        <w:pStyle w:val="Heading1"/>
      </w:pPr>
      <w:bookmarkStart w:id="4" w:name="_Toc216040492"/>
      <w:r>
        <w:lastRenderedPageBreak/>
        <w:t>Conclusion</w:t>
      </w:r>
      <w:bookmarkEnd w:id="4"/>
    </w:p>
    <w:p w14:paraId="6A60179E" w14:textId="77777777" w:rsidR="00D9316F" w:rsidRDefault="00D9316F" w:rsidP="00D9316F">
      <w:pPr>
        <w:spacing w:line="360" w:lineRule="auto"/>
      </w:pPr>
    </w:p>
    <w:p w14:paraId="6137AE35" w14:textId="0376E90F" w:rsidR="00E55419" w:rsidRDefault="00D9316F" w:rsidP="00D9316F">
      <w:pPr>
        <w:spacing w:line="360" w:lineRule="auto"/>
      </w:pPr>
      <w:r>
        <w:t xml:space="preserve">This report has discussed childhood dyslexia as an on-going problem that has been defining the outcomes of adults in the UK health and social care sector. Dyslexia influences the education systems, job structure, emotional state, and social involvement in the long-term. Three reliable articles were examined to give a background </w:t>
      </w:r>
      <w:proofErr w:type="gramStart"/>
      <w:r>
        <w:t>on</w:t>
      </w:r>
      <w:proofErr w:type="gramEnd"/>
      <w:r>
        <w:t xml:space="preserve"> the condition and its overall </w:t>
      </w:r>
      <w:proofErr w:type="gramStart"/>
      <w:r>
        <w:t>impacts</w:t>
      </w:r>
      <w:proofErr w:type="gramEnd"/>
      <w:r>
        <w:t xml:space="preserve">. Qualitative research methodology was appropriate because it was necessary to understand the lived experiences and interpret the effect of development. As the most suitable type of evidence, secondary data was chosen, allowing </w:t>
      </w:r>
      <w:proofErr w:type="gramStart"/>
      <w:r>
        <w:t>the access</w:t>
      </w:r>
      <w:proofErr w:type="gramEnd"/>
      <w:r>
        <w:t xml:space="preserve"> to the available high-quality research and the information about UK policies. The concept of dyslexia as a lifelong experience brings the significance of early diagnosis, inclusive teaching, and special adult care services. It will make sure that health and social care professionals will be able to react properly to the needs of neurodiverse people throughout their life.</w:t>
      </w:r>
      <w:r w:rsidR="00E55419">
        <w:br w:type="page"/>
      </w:r>
    </w:p>
    <w:p w14:paraId="0AF00A42" w14:textId="2EB533A2" w:rsidR="00E55419" w:rsidRDefault="00E55419" w:rsidP="00E55419">
      <w:pPr>
        <w:pStyle w:val="Heading1"/>
      </w:pPr>
      <w:bookmarkStart w:id="5" w:name="_Toc216040493"/>
      <w:r>
        <w:lastRenderedPageBreak/>
        <w:t>References</w:t>
      </w:r>
      <w:bookmarkEnd w:id="5"/>
    </w:p>
    <w:p w14:paraId="788A9B8D" w14:textId="77777777" w:rsidR="00E55419" w:rsidRPr="00E55419" w:rsidRDefault="00E55419" w:rsidP="00E55419"/>
    <w:p w14:paraId="42C9D6C9" w14:textId="77777777" w:rsidR="000C2C2A" w:rsidRPr="00E55419" w:rsidRDefault="000C2C2A" w:rsidP="00E55419">
      <w:pPr>
        <w:spacing w:line="360" w:lineRule="auto"/>
        <w:rPr>
          <w:rFonts w:ascii="Times New Roman" w:hAnsi="Times New Roman"/>
        </w:rPr>
      </w:pPr>
      <w:r w:rsidRPr="00E55419">
        <w:t>Braun, V. and Clarke, V. (2021)</w:t>
      </w:r>
      <w:r>
        <w:t>.</w:t>
      </w:r>
      <w:r w:rsidRPr="00E55419">
        <w:t xml:space="preserve"> </w:t>
      </w:r>
      <w:r w:rsidRPr="00E55419">
        <w:rPr>
          <w:rStyle w:val="Emphasis"/>
        </w:rPr>
        <w:t>Thematic Analysis: A Practical Guide</w:t>
      </w:r>
      <w:r w:rsidRPr="00E55419">
        <w:t>. London: Sage.</w:t>
      </w:r>
    </w:p>
    <w:p w14:paraId="5441B1C3" w14:textId="77777777" w:rsidR="000C2C2A" w:rsidRPr="00E55419" w:rsidRDefault="000C2C2A" w:rsidP="00E55419">
      <w:pPr>
        <w:spacing w:line="360" w:lineRule="auto"/>
      </w:pPr>
      <w:r w:rsidRPr="00E55419">
        <w:t>British Dyslexia Association (2023)</w:t>
      </w:r>
      <w:r>
        <w:t>.</w:t>
      </w:r>
      <w:r w:rsidRPr="00E55419">
        <w:t xml:space="preserve"> </w:t>
      </w:r>
      <w:r w:rsidRPr="00E55419">
        <w:rPr>
          <w:rStyle w:val="Emphasis"/>
        </w:rPr>
        <w:t>What is Dyslexia?</w:t>
      </w:r>
      <w:r w:rsidRPr="00E55419">
        <w:t xml:space="preserve"> Available at: </w:t>
      </w:r>
      <w:hyperlink r:id="rId9" w:tgtFrame="_new" w:history="1">
        <w:r w:rsidRPr="00E55419">
          <w:rPr>
            <w:rStyle w:val="Hyperlink"/>
          </w:rPr>
          <w:t>https://www.bdadyslexia.org.uk</w:t>
        </w:r>
      </w:hyperlink>
      <w:r w:rsidRPr="00E55419">
        <w:t xml:space="preserve"> (Accessed: 6 December 2025).</w:t>
      </w:r>
    </w:p>
    <w:p w14:paraId="774D7063" w14:textId="77777777" w:rsidR="000C2C2A" w:rsidRDefault="000C2C2A" w:rsidP="002E495E">
      <w:pPr>
        <w:spacing w:line="360" w:lineRule="auto"/>
      </w:pPr>
      <w:r w:rsidRPr="00E55419">
        <w:rPr>
          <w:rFonts w:cs="Arial"/>
          <w:color w:val="222222"/>
          <w:shd w:val="clear" w:color="auto" w:fill="FFFFFF"/>
        </w:rPr>
        <w:t xml:space="preserve">Carawan, L.W., </w:t>
      </w:r>
      <w:proofErr w:type="spellStart"/>
      <w:r w:rsidRPr="00E55419">
        <w:rPr>
          <w:rFonts w:cs="Arial"/>
          <w:color w:val="222222"/>
          <w:shd w:val="clear" w:color="auto" w:fill="FFFFFF"/>
        </w:rPr>
        <w:t>Nalavany</w:t>
      </w:r>
      <w:proofErr w:type="spellEnd"/>
      <w:r w:rsidRPr="00E55419">
        <w:rPr>
          <w:rFonts w:cs="Arial"/>
          <w:color w:val="222222"/>
          <w:shd w:val="clear" w:color="auto" w:fill="FFFFFF"/>
        </w:rPr>
        <w:t>, B.A. and Jenkins, C.</w:t>
      </w:r>
      <w:r>
        <w:rPr>
          <w:rFonts w:cs="Arial"/>
          <w:color w:val="222222"/>
          <w:shd w:val="clear" w:color="auto" w:fill="FFFFFF"/>
        </w:rPr>
        <w:t xml:space="preserve"> (</w:t>
      </w:r>
      <w:r w:rsidRPr="00E55419">
        <w:rPr>
          <w:rFonts w:cs="Arial"/>
          <w:color w:val="222222"/>
          <w:shd w:val="clear" w:color="auto" w:fill="FFFFFF"/>
        </w:rPr>
        <w:t>2016</w:t>
      </w:r>
      <w:r>
        <w:rPr>
          <w:rFonts w:cs="Arial"/>
          <w:color w:val="222222"/>
          <w:shd w:val="clear" w:color="auto" w:fill="FFFFFF"/>
        </w:rPr>
        <w:t>)</w:t>
      </w:r>
      <w:r w:rsidRPr="00E55419">
        <w:rPr>
          <w:rFonts w:cs="Arial"/>
          <w:color w:val="222222"/>
          <w:shd w:val="clear" w:color="auto" w:fill="FFFFFF"/>
        </w:rPr>
        <w:t>. Emotional experience with dyslexia and self-esteem: the protective role of perceived family support in late adulthood. </w:t>
      </w:r>
      <w:r w:rsidRPr="00E55419">
        <w:rPr>
          <w:rFonts w:cs="Arial"/>
          <w:i/>
          <w:iCs/>
          <w:color w:val="222222"/>
          <w:shd w:val="clear" w:color="auto" w:fill="FFFFFF"/>
        </w:rPr>
        <w:t>Aging &amp; mental health</w:t>
      </w:r>
      <w:r w:rsidRPr="00E55419">
        <w:rPr>
          <w:rFonts w:cs="Arial"/>
          <w:color w:val="222222"/>
          <w:shd w:val="clear" w:color="auto" w:fill="FFFFFF"/>
        </w:rPr>
        <w:t>, </w:t>
      </w:r>
      <w:r w:rsidRPr="00E55419">
        <w:rPr>
          <w:rFonts w:cs="Arial"/>
          <w:i/>
          <w:iCs/>
          <w:color w:val="222222"/>
          <w:shd w:val="clear" w:color="auto" w:fill="FFFFFF"/>
        </w:rPr>
        <w:t>20</w:t>
      </w:r>
      <w:r w:rsidRPr="00E55419">
        <w:rPr>
          <w:rFonts w:cs="Arial"/>
          <w:color w:val="222222"/>
          <w:shd w:val="clear" w:color="auto" w:fill="FFFFFF"/>
        </w:rPr>
        <w:t>(3), pp.284-294</w:t>
      </w:r>
    </w:p>
    <w:p w14:paraId="70DD6B0A" w14:textId="77777777" w:rsidR="000C2C2A" w:rsidRPr="00E55419" w:rsidRDefault="000C2C2A" w:rsidP="00E55419">
      <w:pPr>
        <w:spacing w:line="360" w:lineRule="auto"/>
      </w:pPr>
      <w:r w:rsidRPr="00E55419">
        <w:t>Creswell, J. and Creswell, J. (2018)</w:t>
      </w:r>
      <w:r>
        <w:t>.</w:t>
      </w:r>
      <w:r w:rsidRPr="00E55419">
        <w:t xml:space="preserve"> </w:t>
      </w:r>
      <w:r w:rsidRPr="00E55419">
        <w:rPr>
          <w:rStyle w:val="Emphasis"/>
        </w:rPr>
        <w:t>Research Design: Qualitative, Quantitative, and Mixed Methods Approaches</w:t>
      </w:r>
      <w:r w:rsidRPr="00E55419">
        <w:t xml:space="preserve">. 5th </w:t>
      </w:r>
      <w:proofErr w:type="spellStart"/>
      <w:proofErr w:type="gramStart"/>
      <w:r w:rsidRPr="00E55419">
        <w:t>edn</w:t>
      </w:r>
      <w:proofErr w:type="spellEnd"/>
      <w:proofErr w:type="gramEnd"/>
      <w:r w:rsidRPr="00E55419">
        <w:t>. London: Sage.</w:t>
      </w:r>
    </w:p>
    <w:p w14:paraId="7960602E" w14:textId="77777777" w:rsidR="000C2C2A" w:rsidRPr="00E55419" w:rsidRDefault="000C2C2A" w:rsidP="00E55419">
      <w:pPr>
        <w:spacing w:line="360" w:lineRule="auto"/>
      </w:pPr>
      <w:r w:rsidRPr="00E55419">
        <w:t>DfE (2022)</w:t>
      </w:r>
      <w:r>
        <w:t>.</w:t>
      </w:r>
      <w:r w:rsidRPr="00E55419">
        <w:t xml:space="preserve"> </w:t>
      </w:r>
      <w:r w:rsidRPr="00E55419">
        <w:rPr>
          <w:rStyle w:val="Emphasis"/>
        </w:rPr>
        <w:t>Special Educational Needs and Disabilities Statistics</w:t>
      </w:r>
      <w:r w:rsidRPr="00E55419">
        <w:t xml:space="preserve">. London: Department </w:t>
      </w:r>
      <w:proofErr w:type="gramStart"/>
      <w:r w:rsidRPr="00E55419">
        <w:t>for</w:t>
      </w:r>
      <w:proofErr w:type="gramEnd"/>
      <w:r w:rsidRPr="00E55419">
        <w:t xml:space="preserve"> Education.</w:t>
      </w:r>
    </w:p>
    <w:p w14:paraId="0156C72A" w14:textId="77777777" w:rsidR="000C2C2A" w:rsidRPr="00E55419" w:rsidRDefault="000C2C2A" w:rsidP="00E55419">
      <w:pPr>
        <w:spacing w:line="360" w:lineRule="auto"/>
      </w:pPr>
      <w:r w:rsidRPr="00E55419">
        <w:t>Elliott, J. and Grigorenko, E. (2014)</w:t>
      </w:r>
      <w:r>
        <w:t>.</w:t>
      </w:r>
      <w:r w:rsidRPr="00E55419">
        <w:t xml:space="preserve"> </w:t>
      </w:r>
      <w:r w:rsidRPr="00E55419">
        <w:rPr>
          <w:rStyle w:val="Emphasis"/>
        </w:rPr>
        <w:t>The Dyslexia Debate</w:t>
      </w:r>
      <w:r w:rsidRPr="00E55419">
        <w:t>. Cambridge: Cambridge University Press.</w:t>
      </w:r>
    </w:p>
    <w:p w14:paraId="792352DF" w14:textId="77777777" w:rsidR="000C2C2A" w:rsidRPr="00E55419" w:rsidRDefault="000C2C2A" w:rsidP="00E55419">
      <w:pPr>
        <w:spacing w:line="360" w:lineRule="auto"/>
        <w:rPr>
          <w:rFonts w:cs="Arial"/>
          <w:color w:val="222222"/>
          <w:shd w:val="clear" w:color="auto" w:fill="FFFFFF"/>
        </w:rPr>
      </w:pPr>
      <w:r w:rsidRPr="00E55419">
        <w:rPr>
          <w:rFonts w:cs="Arial"/>
          <w:color w:val="222222"/>
          <w:shd w:val="clear" w:color="auto" w:fill="FFFFFF"/>
        </w:rPr>
        <w:t xml:space="preserve">Livingston, E.M., Siegel, L.S. and </w:t>
      </w:r>
      <w:proofErr w:type="spellStart"/>
      <w:r w:rsidRPr="00E55419">
        <w:rPr>
          <w:rFonts w:cs="Arial"/>
          <w:color w:val="222222"/>
          <w:shd w:val="clear" w:color="auto" w:fill="FFFFFF"/>
        </w:rPr>
        <w:t>Ribary</w:t>
      </w:r>
      <w:proofErr w:type="spellEnd"/>
      <w:r w:rsidRPr="00E55419">
        <w:rPr>
          <w:rFonts w:cs="Arial"/>
          <w:color w:val="222222"/>
          <w:shd w:val="clear" w:color="auto" w:fill="FFFFFF"/>
        </w:rPr>
        <w:t>, U.</w:t>
      </w:r>
      <w:r>
        <w:rPr>
          <w:rFonts w:cs="Arial"/>
          <w:color w:val="222222"/>
          <w:shd w:val="clear" w:color="auto" w:fill="FFFFFF"/>
        </w:rPr>
        <w:t xml:space="preserve"> (</w:t>
      </w:r>
      <w:r w:rsidRPr="00E55419">
        <w:rPr>
          <w:rFonts w:cs="Arial"/>
          <w:color w:val="222222"/>
          <w:shd w:val="clear" w:color="auto" w:fill="FFFFFF"/>
        </w:rPr>
        <w:t>2018</w:t>
      </w:r>
      <w:r>
        <w:rPr>
          <w:rFonts w:cs="Arial"/>
          <w:color w:val="222222"/>
          <w:shd w:val="clear" w:color="auto" w:fill="FFFFFF"/>
        </w:rPr>
        <w:t>0</w:t>
      </w:r>
      <w:r w:rsidRPr="00E55419">
        <w:rPr>
          <w:rFonts w:cs="Arial"/>
          <w:color w:val="222222"/>
          <w:shd w:val="clear" w:color="auto" w:fill="FFFFFF"/>
        </w:rPr>
        <w:t>. Developmental dyslexia: Emotional impact and consequences. </w:t>
      </w:r>
      <w:r w:rsidRPr="00E55419">
        <w:rPr>
          <w:rFonts w:cs="Arial"/>
          <w:i/>
          <w:iCs/>
          <w:color w:val="222222"/>
          <w:shd w:val="clear" w:color="auto" w:fill="FFFFFF"/>
        </w:rPr>
        <w:t>Australian Journal of Learning Difficulties</w:t>
      </w:r>
      <w:r w:rsidRPr="00E55419">
        <w:rPr>
          <w:rFonts w:cs="Arial"/>
          <w:color w:val="222222"/>
          <w:shd w:val="clear" w:color="auto" w:fill="FFFFFF"/>
        </w:rPr>
        <w:t>, </w:t>
      </w:r>
      <w:r w:rsidRPr="00E55419">
        <w:rPr>
          <w:rFonts w:cs="Arial"/>
          <w:i/>
          <w:iCs/>
          <w:color w:val="222222"/>
          <w:shd w:val="clear" w:color="auto" w:fill="FFFFFF"/>
        </w:rPr>
        <w:t>23</w:t>
      </w:r>
      <w:r w:rsidRPr="00E55419">
        <w:rPr>
          <w:rFonts w:cs="Arial"/>
          <w:color w:val="222222"/>
          <w:shd w:val="clear" w:color="auto" w:fill="FFFFFF"/>
        </w:rPr>
        <w:t>(2), pp.107-135.</w:t>
      </w:r>
    </w:p>
    <w:p w14:paraId="5B2F3331" w14:textId="77777777" w:rsidR="000C2C2A" w:rsidRPr="00E55419" w:rsidRDefault="000C2C2A" w:rsidP="00E55419">
      <w:pPr>
        <w:spacing w:line="360" w:lineRule="auto"/>
      </w:pPr>
      <w:proofErr w:type="spellStart"/>
      <w:r w:rsidRPr="00E55419">
        <w:t>Snowling</w:t>
      </w:r>
      <w:proofErr w:type="spellEnd"/>
      <w:r w:rsidRPr="00E55419">
        <w:t>, M. and Hulme, C. (2020)</w:t>
      </w:r>
      <w:r>
        <w:t>.</w:t>
      </w:r>
      <w:r w:rsidRPr="00E55419">
        <w:t xml:space="preserve"> </w:t>
      </w:r>
      <w:r w:rsidRPr="00E55419">
        <w:rPr>
          <w:rStyle w:val="Emphasis"/>
        </w:rPr>
        <w:t>The Science of Reading: A Handbook</w:t>
      </w:r>
      <w:r w:rsidRPr="00E55419">
        <w:t>. Oxford: Wiley-Blackwell.</w:t>
      </w:r>
    </w:p>
    <w:p w14:paraId="3CCBBFAF" w14:textId="77777777" w:rsidR="000C2C2A" w:rsidRDefault="000C2C2A" w:rsidP="00E55419">
      <w:pPr>
        <w:spacing w:line="360" w:lineRule="auto"/>
      </w:pPr>
      <w:bookmarkStart w:id="6" w:name="_Hlk216045085"/>
      <w:r w:rsidRPr="008C6F83">
        <w:t>Tanner</w:t>
      </w:r>
      <w:bookmarkEnd w:id="6"/>
      <w:r w:rsidRPr="008C6F83">
        <w:t>, K.</w:t>
      </w:r>
      <w:r>
        <w:t xml:space="preserve"> (</w:t>
      </w:r>
      <w:r w:rsidRPr="008C6F83">
        <w:t>2009</w:t>
      </w:r>
      <w:r>
        <w:t>)</w:t>
      </w:r>
      <w:r w:rsidRPr="008C6F83">
        <w:t>. Adult dyslexia and the ‘conundrum of failure’. Disability &amp; Society, 24(6), pp.785-797.</w:t>
      </w:r>
    </w:p>
    <w:sectPr w:rsidR="000C2C2A">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625BFE" w14:textId="77777777" w:rsidR="00A425FB" w:rsidRDefault="00A425FB" w:rsidP="000C2C2A">
      <w:pPr>
        <w:spacing w:after="0" w:line="240" w:lineRule="auto"/>
      </w:pPr>
      <w:r>
        <w:separator/>
      </w:r>
    </w:p>
  </w:endnote>
  <w:endnote w:type="continuationSeparator" w:id="0">
    <w:p w14:paraId="18F97099" w14:textId="77777777" w:rsidR="00A425FB" w:rsidRDefault="00A425FB" w:rsidP="000C2C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3306591"/>
      <w:docPartObj>
        <w:docPartGallery w:val="Page Numbers (Bottom of Page)"/>
        <w:docPartUnique/>
      </w:docPartObj>
    </w:sdtPr>
    <w:sdtEndPr>
      <w:rPr>
        <w:noProof/>
      </w:rPr>
    </w:sdtEndPr>
    <w:sdtContent>
      <w:p w14:paraId="39618731" w14:textId="055BE1A1" w:rsidR="000C2C2A" w:rsidRDefault="000C2C2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2187ED" w14:textId="77777777" w:rsidR="000C2C2A" w:rsidRDefault="000C2C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D349C" w14:textId="77777777" w:rsidR="00A425FB" w:rsidRDefault="00A425FB" w:rsidP="000C2C2A">
      <w:pPr>
        <w:spacing w:after="0" w:line="240" w:lineRule="auto"/>
      </w:pPr>
      <w:r>
        <w:separator/>
      </w:r>
    </w:p>
  </w:footnote>
  <w:footnote w:type="continuationSeparator" w:id="0">
    <w:p w14:paraId="683AA4F5" w14:textId="77777777" w:rsidR="00A425FB" w:rsidRDefault="00A425FB" w:rsidP="000C2C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936D5D"/>
    <w:multiLevelType w:val="hybridMultilevel"/>
    <w:tmpl w:val="97728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6FB08B0"/>
    <w:multiLevelType w:val="hybridMultilevel"/>
    <w:tmpl w:val="F5D6A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8F5683"/>
    <w:multiLevelType w:val="hybridMultilevel"/>
    <w:tmpl w:val="700CF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58476298">
    <w:abstractNumId w:val="2"/>
  </w:num>
  <w:num w:numId="2" w16cid:durableId="2058891036">
    <w:abstractNumId w:val="1"/>
  </w:num>
  <w:num w:numId="3" w16cid:durableId="16920301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ABD"/>
    <w:rsid w:val="000C2C2A"/>
    <w:rsid w:val="001C56A0"/>
    <w:rsid w:val="0021737B"/>
    <w:rsid w:val="002A64BF"/>
    <w:rsid w:val="002E495E"/>
    <w:rsid w:val="00384CB9"/>
    <w:rsid w:val="0046052E"/>
    <w:rsid w:val="0066741A"/>
    <w:rsid w:val="007A0805"/>
    <w:rsid w:val="008C6F83"/>
    <w:rsid w:val="008E1EBD"/>
    <w:rsid w:val="00A425FB"/>
    <w:rsid w:val="00B815A6"/>
    <w:rsid w:val="00CA2ABD"/>
    <w:rsid w:val="00D9316F"/>
    <w:rsid w:val="00E55419"/>
    <w:rsid w:val="00ED153B"/>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7A144E"/>
  <w15:chartTrackingRefBased/>
  <w15:docId w15:val="{9D15477D-74E4-40A3-A519-17021E6FC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2ABD"/>
    <w:pPr>
      <w:jc w:val="both"/>
    </w:pPr>
    <w:rPr>
      <w:rFonts w:ascii="Arial" w:hAnsi="Arial"/>
    </w:rPr>
  </w:style>
  <w:style w:type="paragraph" w:styleId="Heading1">
    <w:name w:val="heading 1"/>
    <w:basedOn w:val="Normal"/>
    <w:next w:val="Normal"/>
    <w:link w:val="Heading1Char"/>
    <w:uiPriority w:val="9"/>
    <w:qFormat/>
    <w:rsid w:val="00CA2ABD"/>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D9316F"/>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2ABD"/>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D9316F"/>
    <w:rPr>
      <w:rFonts w:ascii="Arial" w:eastAsiaTheme="majorEastAsia" w:hAnsi="Arial" w:cstheme="majorBidi"/>
      <w:b/>
      <w:color w:val="000000" w:themeColor="text1"/>
      <w:sz w:val="28"/>
      <w:szCs w:val="26"/>
    </w:rPr>
  </w:style>
  <w:style w:type="paragraph" w:styleId="NormalWeb">
    <w:name w:val="Normal (Web)"/>
    <w:basedOn w:val="Normal"/>
    <w:uiPriority w:val="99"/>
    <w:semiHidden/>
    <w:unhideWhenUsed/>
    <w:rsid w:val="00E55419"/>
    <w:pPr>
      <w:spacing w:before="100" w:beforeAutospacing="1" w:after="100" w:afterAutospacing="1" w:line="240" w:lineRule="auto"/>
      <w:jc w:val="left"/>
    </w:pPr>
    <w:rPr>
      <w:rFonts w:ascii="Times New Roman" w:eastAsia="Times New Roman" w:hAnsi="Times New Roman" w:cs="Times New Roman"/>
      <w:sz w:val="24"/>
      <w:szCs w:val="24"/>
      <w:lang w:bidi="bn-BD"/>
    </w:rPr>
  </w:style>
  <w:style w:type="character" w:styleId="Emphasis">
    <w:name w:val="Emphasis"/>
    <w:basedOn w:val="DefaultParagraphFont"/>
    <w:uiPriority w:val="20"/>
    <w:qFormat/>
    <w:rsid w:val="00E55419"/>
    <w:rPr>
      <w:i/>
      <w:iCs/>
    </w:rPr>
  </w:style>
  <w:style w:type="character" w:styleId="Hyperlink">
    <w:name w:val="Hyperlink"/>
    <w:basedOn w:val="DefaultParagraphFont"/>
    <w:uiPriority w:val="99"/>
    <w:unhideWhenUsed/>
    <w:rsid w:val="00E55419"/>
    <w:rPr>
      <w:color w:val="0000FF"/>
      <w:u w:val="single"/>
    </w:rPr>
  </w:style>
  <w:style w:type="paragraph" w:styleId="TOCHeading">
    <w:name w:val="TOC Heading"/>
    <w:basedOn w:val="Heading1"/>
    <w:next w:val="Normal"/>
    <w:uiPriority w:val="39"/>
    <w:unhideWhenUsed/>
    <w:qFormat/>
    <w:rsid w:val="00E55419"/>
    <w:pPr>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E55419"/>
    <w:pPr>
      <w:spacing w:after="100"/>
    </w:pPr>
  </w:style>
  <w:style w:type="paragraph" w:styleId="ListParagraph">
    <w:name w:val="List Paragraph"/>
    <w:basedOn w:val="Normal"/>
    <w:uiPriority w:val="34"/>
    <w:qFormat/>
    <w:rsid w:val="00D9316F"/>
    <w:pPr>
      <w:ind w:left="720"/>
      <w:contextualSpacing/>
    </w:pPr>
  </w:style>
  <w:style w:type="paragraph" w:styleId="TOC2">
    <w:name w:val="toc 2"/>
    <w:basedOn w:val="Normal"/>
    <w:next w:val="Normal"/>
    <w:autoRedefine/>
    <w:uiPriority w:val="39"/>
    <w:unhideWhenUsed/>
    <w:rsid w:val="002E495E"/>
    <w:pPr>
      <w:spacing w:after="100"/>
      <w:ind w:left="220"/>
    </w:pPr>
  </w:style>
  <w:style w:type="character" w:styleId="Strong">
    <w:name w:val="Strong"/>
    <w:basedOn w:val="DefaultParagraphFont"/>
    <w:uiPriority w:val="22"/>
    <w:qFormat/>
    <w:rsid w:val="002A64BF"/>
    <w:rPr>
      <w:b/>
      <w:bCs/>
    </w:rPr>
  </w:style>
  <w:style w:type="paragraph" w:styleId="Header">
    <w:name w:val="header"/>
    <w:basedOn w:val="Normal"/>
    <w:link w:val="HeaderChar"/>
    <w:uiPriority w:val="99"/>
    <w:unhideWhenUsed/>
    <w:rsid w:val="000C2C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2C2A"/>
    <w:rPr>
      <w:rFonts w:ascii="Arial" w:hAnsi="Arial"/>
    </w:rPr>
  </w:style>
  <w:style w:type="paragraph" w:styleId="Footer">
    <w:name w:val="footer"/>
    <w:basedOn w:val="Normal"/>
    <w:link w:val="FooterChar"/>
    <w:uiPriority w:val="99"/>
    <w:unhideWhenUsed/>
    <w:rsid w:val="000C2C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2C2A"/>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508853">
      <w:bodyDiv w:val="1"/>
      <w:marLeft w:val="0"/>
      <w:marRight w:val="0"/>
      <w:marTop w:val="0"/>
      <w:marBottom w:val="0"/>
      <w:divBdr>
        <w:top w:val="none" w:sz="0" w:space="0" w:color="auto"/>
        <w:left w:val="none" w:sz="0" w:space="0" w:color="auto"/>
        <w:bottom w:val="none" w:sz="0" w:space="0" w:color="auto"/>
        <w:right w:val="none" w:sz="0" w:space="0" w:color="auto"/>
      </w:divBdr>
    </w:div>
    <w:div w:id="1653021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dadyslexia.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4A7D8A-8BA3-40A5-B325-165E3327B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1930</Words>
  <Characters>11001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dc:creator>
  <cp:keywords/>
  <dc:description/>
  <cp:lastModifiedBy>Cindy Berko</cp:lastModifiedBy>
  <cp:revision>2</cp:revision>
  <dcterms:created xsi:type="dcterms:W3CDTF">2025-12-08T07:40:00Z</dcterms:created>
  <dcterms:modified xsi:type="dcterms:W3CDTF">2025-12-08T07:40:00Z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4b81d6c2-660b-4584-b3d0-f0150eedc909</vt:lpwstr>
  </property>
</Properties>
</file>