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09168" w14:textId="77777777" w:rsidR="003B73BB" w:rsidRDefault="00000000">
      <w:pPr>
        <w:jc w:val="center"/>
        <w:rPr>
          <w:b/>
          <w:sz w:val="28"/>
          <w:szCs w:val="28"/>
        </w:rPr>
      </w:pPr>
      <w:r>
        <w:rPr>
          <w:b/>
          <w:sz w:val="28"/>
          <w:szCs w:val="28"/>
        </w:rPr>
        <w:t xml:space="preserve">Content Analysis Report: Analysis of types of aggressive behavior demonstrated by two opposing groups in a video of protesters against hunting with hounds confronting pro-hunt group members.  </w:t>
      </w:r>
    </w:p>
    <w:p w14:paraId="22A7332D" w14:textId="77777777" w:rsidR="003B73BB" w:rsidRDefault="003B73BB">
      <w:pPr>
        <w:rPr>
          <w:sz w:val="28"/>
          <w:szCs w:val="28"/>
        </w:rPr>
      </w:pPr>
    </w:p>
    <w:p w14:paraId="03630A83" w14:textId="77777777" w:rsidR="003B73BB" w:rsidRDefault="00000000">
      <w:pPr>
        <w:rPr>
          <w:sz w:val="24"/>
          <w:szCs w:val="24"/>
        </w:rPr>
      </w:pPr>
      <w:r>
        <w:rPr>
          <w:sz w:val="24"/>
          <w:szCs w:val="24"/>
        </w:rPr>
        <w:t xml:space="preserve">The definition of aggression is any behavior that is directed to other individuals and is carried out with the immediate intent to cause harm (Craig, 2002). Protests can cause or influence acts of aggression, for example hunting protests. Individuals hold strong beliefs and fight for these types of causes, and there tends to be two or more opposing groups involved, one example of this would be fox hunting (anti-hunt and pro hunt). There are a vast number of psychological theories that can explain aggression, but within this report there are mentions of the frustration aggression hypothesis and the aggressive cue theory. The frustration aggression hypothesis is an innate response and that it needs to be released, this tends to be shown with aggressive behavior (Berkowitz, 1989). The aggressive cue theory implies acts of aggression are influenced by socially learnt cues or situations which makes an individual behave aggressively (Kent, 2007). These theories can offer and explain arguments that are present within this report. </w:t>
      </w:r>
    </w:p>
    <w:p w14:paraId="0996E9CF" w14:textId="77777777" w:rsidR="003B73BB" w:rsidRDefault="00000000">
      <w:pPr>
        <w:rPr>
          <w:sz w:val="24"/>
          <w:szCs w:val="24"/>
        </w:rPr>
      </w:pPr>
      <w:r>
        <w:rPr>
          <w:sz w:val="24"/>
          <w:szCs w:val="24"/>
        </w:rPr>
        <w:t xml:space="preserve">  This report studied and investigated the types of aggression shown in a video taken at a fox hunting protest with the two groups being anti and pro hunting. Using a quantitative content analysis, the purpose of this report was to identify whether anti-hunt groups would behave more aggressively than pro hunt groups. However, this study could have been improved by using a clearer video, the data was collected from a video freely available on YouTube. This could have been improved as it would have allowed us to identify behavior more accurately.       </w:t>
      </w:r>
    </w:p>
    <w:p w14:paraId="7D944FBC" w14:textId="77777777" w:rsidR="003B73BB" w:rsidRDefault="003B73BB">
      <w:pPr>
        <w:rPr>
          <w:sz w:val="24"/>
          <w:szCs w:val="24"/>
        </w:rPr>
      </w:pPr>
    </w:p>
    <w:p w14:paraId="3DC3DF93" w14:textId="77777777" w:rsidR="003B73BB" w:rsidRDefault="00000000">
      <w:pPr>
        <w:rPr>
          <w:b/>
          <w:sz w:val="24"/>
          <w:szCs w:val="24"/>
        </w:rPr>
      </w:pPr>
      <w:r>
        <w:rPr>
          <w:b/>
          <w:sz w:val="24"/>
          <w:szCs w:val="24"/>
        </w:rPr>
        <w:t xml:space="preserve">Report: </w:t>
      </w:r>
    </w:p>
    <w:p w14:paraId="1E64E30B" w14:textId="77777777" w:rsidR="003B73BB" w:rsidRDefault="00000000">
      <w:pPr>
        <w:rPr>
          <w:sz w:val="24"/>
          <w:szCs w:val="24"/>
        </w:rPr>
      </w:pPr>
      <w:r>
        <w:rPr>
          <w:sz w:val="24"/>
          <w:szCs w:val="24"/>
        </w:rPr>
        <w:t xml:space="preserve">Aggression normally stems from the development of a stimulus-mediating response of an aggressive drive, the formal definition of aggression is the act in harming another or has a similar effect also carried out with premeditated energy. The definition of aggression dive is the distinction between expressive aggression and hostile aggression, the difference is the desire to “hit” and the desire to “hurt” (Feshbach, 1964). For this content analysis report I will be looking at 4 different types of aggression: Physical, Verbal, Gestural and Provocation. The definitions of the 4 types of aggression: </w:t>
      </w:r>
    </w:p>
    <w:p w14:paraId="1F66F244" w14:textId="77777777" w:rsidR="003B73BB" w:rsidRDefault="00000000">
      <w:pPr>
        <w:numPr>
          <w:ilvl w:val="0"/>
          <w:numId w:val="2"/>
        </w:numPr>
        <w:pBdr>
          <w:top w:val="nil"/>
          <w:left w:val="nil"/>
          <w:bottom w:val="nil"/>
          <w:right w:val="nil"/>
          <w:between w:val="nil"/>
        </w:pBdr>
        <w:rPr>
          <w:b/>
          <w:color w:val="000000"/>
        </w:rPr>
      </w:pPr>
      <w:r>
        <w:rPr>
          <w:b/>
          <w:color w:val="000000"/>
        </w:rPr>
        <w:t xml:space="preserve">Physical aggression: </w:t>
      </w:r>
    </w:p>
    <w:p w14:paraId="4B68E94D" w14:textId="77777777" w:rsidR="003B73BB" w:rsidRDefault="00000000">
      <w:pPr>
        <w:ind w:left="360"/>
      </w:pPr>
      <w:r>
        <w:t xml:space="preserve">Physical aggression involves causing or threatening to cause physical harm onto another. This includes hitting, slapping, using a weapon, biting, etc. (Kaye, 2011). </w:t>
      </w:r>
    </w:p>
    <w:p w14:paraId="12CB1D92" w14:textId="77777777" w:rsidR="003B73BB" w:rsidRDefault="00000000">
      <w:pPr>
        <w:numPr>
          <w:ilvl w:val="0"/>
          <w:numId w:val="1"/>
        </w:numPr>
        <w:pBdr>
          <w:top w:val="nil"/>
          <w:left w:val="nil"/>
          <w:bottom w:val="nil"/>
          <w:right w:val="nil"/>
          <w:between w:val="nil"/>
        </w:pBdr>
        <w:rPr>
          <w:b/>
          <w:color w:val="000000"/>
        </w:rPr>
      </w:pPr>
      <w:r>
        <w:rPr>
          <w:b/>
          <w:color w:val="000000"/>
        </w:rPr>
        <w:t xml:space="preserve">Verbal aggression: </w:t>
      </w:r>
    </w:p>
    <w:p w14:paraId="153A216A" w14:textId="77777777" w:rsidR="003B73BB" w:rsidRDefault="00000000">
      <w:pPr>
        <w:ind w:left="360"/>
      </w:pPr>
      <w:r>
        <w:t>Verbal aggression, also known as verbal abuse, involves using verbal action to cause an individual to suffer; it's a form of psychological harm. This includes cursing, swearing, and using vulgar language (Neuhart, 2020)</w:t>
      </w:r>
    </w:p>
    <w:p w14:paraId="72209BE6" w14:textId="77777777" w:rsidR="003B73BB" w:rsidRDefault="00000000">
      <w:pPr>
        <w:numPr>
          <w:ilvl w:val="0"/>
          <w:numId w:val="1"/>
        </w:numPr>
        <w:pBdr>
          <w:top w:val="nil"/>
          <w:left w:val="nil"/>
          <w:bottom w:val="nil"/>
          <w:right w:val="nil"/>
          <w:between w:val="nil"/>
        </w:pBdr>
        <w:rPr>
          <w:b/>
          <w:color w:val="000000"/>
        </w:rPr>
      </w:pPr>
      <w:r>
        <w:rPr>
          <w:b/>
          <w:color w:val="000000"/>
        </w:rPr>
        <w:lastRenderedPageBreak/>
        <w:t xml:space="preserve">Gestural aggression:   </w:t>
      </w:r>
    </w:p>
    <w:p w14:paraId="6809AFD4" w14:textId="77777777" w:rsidR="003B73BB" w:rsidRDefault="00000000">
      <w:pPr>
        <w:ind w:left="360"/>
      </w:pPr>
      <w:r>
        <w:t>Gestural aggression is when an individual shows aggression through body language. This includes starting, punching fist into their other hand, making large forceful/ intentional movements with their body to make the recipient feel uneasy etc. (</w:t>
      </w:r>
      <w:proofErr w:type="spellStart"/>
      <w:r>
        <w:t>Yuriy</w:t>
      </w:r>
      <w:proofErr w:type="spellEnd"/>
      <w:r>
        <w:t>, 2013).</w:t>
      </w:r>
      <w:r>
        <w:rPr>
          <w:color w:val="FF0000"/>
        </w:rPr>
        <w:t xml:space="preserve">  </w:t>
      </w:r>
    </w:p>
    <w:p w14:paraId="56AB39CC" w14:textId="77777777" w:rsidR="003B73BB" w:rsidRDefault="00000000">
      <w:pPr>
        <w:numPr>
          <w:ilvl w:val="0"/>
          <w:numId w:val="1"/>
        </w:numPr>
        <w:pBdr>
          <w:top w:val="nil"/>
          <w:left w:val="nil"/>
          <w:bottom w:val="nil"/>
          <w:right w:val="nil"/>
          <w:between w:val="nil"/>
        </w:pBdr>
        <w:rPr>
          <w:b/>
          <w:color w:val="000000"/>
        </w:rPr>
      </w:pPr>
      <w:r>
        <w:rPr>
          <w:b/>
          <w:color w:val="000000"/>
        </w:rPr>
        <w:t xml:space="preserve">Provocation: </w:t>
      </w:r>
    </w:p>
    <w:p w14:paraId="01D52287" w14:textId="77777777" w:rsidR="003B73BB" w:rsidRDefault="00000000">
      <w:pPr>
        <w:ind w:left="360"/>
      </w:pPr>
      <w:r>
        <w:t xml:space="preserve">Provocation is when an individual provokes or frustrates someone using verbal or physical aggression. This act is intended to make an individual to react (Karwat, 2021). </w:t>
      </w:r>
    </w:p>
    <w:p w14:paraId="689A393B" w14:textId="77777777" w:rsidR="003B73BB" w:rsidRDefault="00000000">
      <w:pPr>
        <w:rPr>
          <w:sz w:val="24"/>
          <w:szCs w:val="24"/>
        </w:rPr>
      </w:pPr>
      <w:r>
        <w:rPr>
          <w:sz w:val="24"/>
          <w:szCs w:val="24"/>
        </w:rPr>
        <w:t xml:space="preserve">  </w:t>
      </w:r>
    </w:p>
    <w:p w14:paraId="7F92825F" w14:textId="77777777" w:rsidR="003B73BB" w:rsidRDefault="00000000">
      <w:pPr>
        <w:rPr>
          <w:sz w:val="24"/>
          <w:szCs w:val="24"/>
        </w:rPr>
      </w:pPr>
      <w:bookmarkStart w:id="0" w:name="_heading=h.gjdgxs" w:colFirst="0" w:colLast="0"/>
      <w:bookmarkEnd w:id="0"/>
      <w:r>
        <w:rPr>
          <w:sz w:val="24"/>
          <w:szCs w:val="24"/>
        </w:rPr>
        <w:t xml:space="preserve">  There have been many theories relating to aggression. There are two specific theories that I will be looking at, these are the frustration aggression hypothesis and the aggressive cue theory. The frustration aggression hypothesis states that we tend to show aggression when we are frustrated, frustration can lead us to behave in a negative way and even aggressively. The frustration aggression hypothesis argues that frustration always leads to some sort of aggressive behavior whether it be verbal or even physical. It is said that frustration can create countless variety responses, one of them being some sort of aggressive behavior (Miller, 1958).  The aggressive cue theory. One of Berkowitz's early studies, which was the “weapons-effect” hypothesis, suggested that aggressive cues could influence our aggression. This is when our environmental stimulus such as past bad experiences reoccur and make the individual act aggressively, this would be considered an aggressive cue as it's something that leads an individual to behave aggressively. There are also other cues such as frustrating objects or even people which lead us to behave aggressively (Arriaga, 2020).</w:t>
      </w:r>
    </w:p>
    <w:p w14:paraId="32A0639C" w14:textId="77777777" w:rsidR="003B73BB" w:rsidRDefault="00000000">
      <w:pPr>
        <w:rPr>
          <w:sz w:val="24"/>
          <w:szCs w:val="24"/>
        </w:rPr>
      </w:pPr>
      <w:r>
        <w:rPr>
          <w:sz w:val="24"/>
          <w:szCs w:val="24"/>
        </w:rPr>
        <w:t xml:space="preserve">  Protests often show a large amount of aggression and aggressive behavior as there are normally two or more opposing sides, for example anti and pro fox hunting. Protests between pro-hunting and anti-hunting often are situations where different types of aggression are present. There are conflicting sides to this argument, and I will be conducting a content analysis report on the four types of aggression that I have previously mentioned, also relating to the relevant theories on a video taken at a fox hunting protest.          </w:t>
      </w:r>
    </w:p>
    <w:p w14:paraId="4E1A1D21" w14:textId="77777777" w:rsidR="003B73BB" w:rsidRDefault="00000000">
      <w:pPr>
        <w:rPr>
          <w:sz w:val="24"/>
          <w:szCs w:val="24"/>
        </w:rPr>
      </w:pPr>
      <w:r>
        <w:rPr>
          <w:sz w:val="24"/>
          <w:szCs w:val="24"/>
        </w:rPr>
        <w:t xml:space="preserve">  I believe that the anti-hunting group will overall display more aggressive behavior compared to the pro hunting group.  </w:t>
      </w:r>
    </w:p>
    <w:p w14:paraId="5ADC6370" w14:textId="77777777" w:rsidR="003B73BB" w:rsidRDefault="00000000">
      <w:pPr>
        <w:rPr>
          <w:sz w:val="24"/>
          <w:szCs w:val="24"/>
        </w:rPr>
      </w:pPr>
      <w:r>
        <w:rPr>
          <w:sz w:val="24"/>
          <w:szCs w:val="24"/>
        </w:rPr>
        <w:t xml:space="preserve">  </w:t>
      </w:r>
    </w:p>
    <w:p w14:paraId="53DFA178" w14:textId="77777777" w:rsidR="003B73BB" w:rsidRDefault="00000000">
      <w:pPr>
        <w:rPr>
          <w:b/>
          <w:sz w:val="24"/>
          <w:szCs w:val="24"/>
        </w:rPr>
      </w:pPr>
      <w:r>
        <w:rPr>
          <w:b/>
          <w:sz w:val="24"/>
          <w:szCs w:val="24"/>
        </w:rPr>
        <w:t>Method</w:t>
      </w:r>
    </w:p>
    <w:p w14:paraId="45425402" w14:textId="77777777" w:rsidR="003B73BB" w:rsidRDefault="00000000">
      <w:pPr>
        <w:rPr>
          <w:sz w:val="24"/>
          <w:szCs w:val="24"/>
        </w:rPr>
      </w:pPr>
      <w:r>
        <w:rPr>
          <w:sz w:val="24"/>
          <w:szCs w:val="24"/>
        </w:rPr>
        <w:t xml:space="preserve">  I conducted a quantitative content analysis report on a pre-recorded video of two opposing sides of fox hunting. I compared the numerical scores of the two-group as well as providing the mean group score. As for my participants there was no need to gather participants as I was using people already recorded on a video taken at a fox hunting protest, the video is a freely available video on YouTube. Within this report I identified and scored the 4 types of aggressive behavior of the anti and pro hunting groups, the police were not included in the selection process. When </w:t>
      </w:r>
      <w:proofErr w:type="spellStart"/>
      <w:r>
        <w:rPr>
          <w:sz w:val="24"/>
          <w:szCs w:val="24"/>
        </w:rPr>
        <w:t>analysing</w:t>
      </w:r>
      <w:proofErr w:type="spellEnd"/>
      <w:r>
        <w:rPr>
          <w:sz w:val="24"/>
          <w:szCs w:val="24"/>
        </w:rPr>
        <w:t xml:space="preserve"> the video, I identified and chose 5 individuals from both sides. All together I was looking at 10 participants. The materials used were the video and a </w:t>
      </w:r>
      <w:r>
        <w:rPr>
          <w:sz w:val="24"/>
          <w:szCs w:val="24"/>
        </w:rPr>
        <w:lastRenderedPageBreak/>
        <w:t xml:space="preserve">scoring grid. The scoring grid was used for me to be able to create a recording of the aggression types shown. The grid will be in the appendix named appendix 1, This is the video link to the protest that I analysed for this analysis:  </w:t>
      </w:r>
      <w:hyperlink r:id="rId6">
        <w:r>
          <w:rPr>
            <w:color w:val="0563C1"/>
            <w:sz w:val="24"/>
            <w:szCs w:val="24"/>
            <w:u w:val="single"/>
          </w:rPr>
          <w:t>https://www.youtube.com/watch?v=0aLAbwR3fog</w:t>
        </w:r>
      </w:hyperlink>
      <w:r>
        <w:rPr>
          <w:sz w:val="24"/>
          <w:szCs w:val="24"/>
        </w:rPr>
        <w:t>.</w:t>
      </w:r>
    </w:p>
    <w:p w14:paraId="1C9D9B48" w14:textId="77777777" w:rsidR="003B73BB" w:rsidRDefault="003B73BB">
      <w:pPr>
        <w:rPr>
          <w:b/>
          <w:sz w:val="24"/>
          <w:szCs w:val="24"/>
        </w:rPr>
      </w:pPr>
    </w:p>
    <w:p w14:paraId="655AE8BA" w14:textId="77777777" w:rsidR="003B73BB" w:rsidRDefault="00000000">
      <w:pPr>
        <w:rPr>
          <w:b/>
          <w:sz w:val="24"/>
          <w:szCs w:val="24"/>
        </w:rPr>
      </w:pPr>
      <w:r>
        <w:rPr>
          <w:b/>
          <w:sz w:val="24"/>
          <w:szCs w:val="24"/>
        </w:rPr>
        <w:t xml:space="preserve">Procedures </w:t>
      </w:r>
    </w:p>
    <w:p w14:paraId="6B9F2406" w14:textId="77777777" w:rsidR="003B73BB" w:rsidRDefault="00000000">
      <w:pPr>
        <w:rPr>
          <w:sz w:val="24"/>
          <w:szCs w:val="24"/>
        </w:rPr>
      </w:pPr>
      <w:r>
        <w:rPr>
          <w:b/>
          <w:sz w:val="24"/>
          <w:szCs w:val="24"/>
        </w:rPr>
        <w:t xml:space="preserve">  </w:t>
      </w:r>
      <w:r>
        <w:rPr>
          <w:sz w:val="24"/>
          <w:szCs w:val="24"/>
        </w:rPr>
        <w:t xml:space="preserve">The first step that she took to gather my data was by watching the video on the fox hunting protest. She watched this one time start to finish not really looking for specific actions or behaviors. The purpose of this was for her to be able to roughly set the scene and for her to </w:t>
      </w:r>
      <w:proofErr w:type="gramStart"/>
      <w:r>
        <w:rPr>
          <w:sz w:val="24"/>
          <w:szCs w:val="24"/>
        </w:rPr>
        <w:t>have an understanding of</w:t>
      </w:r>
      <w:proofErr w:type="gramEnd"/>
      <w:r>
        <w:rPr>
          <w:sz w:val="24"/>
          <w:szCs w:val="24"/>
        </w:rPr>
        <w:t xml:space="preserve"> what was happening within the video.  She then proceeded to watch the video three more times. This was done for her to be able to differentiate the two opposing groups. She paid more attention looking for things that could separate the two groups, one of them being the pro fox hunting groups were wearing clothes more suited to fox hunting such as barbour jacks and barbour crieff hats. Whereas the anti-hunting groups were wearing “normal clothes" such as jacks, jeans, and scarfs, she also looked to see if there were cheering or not this also helped to differentiate the groups. She then watched the video another two more times to identify the 10 participants she was going to use (5 anti-hunt and 5 pro hunt). </w:t>
      </w:r>
    </w:p>
    <w:p w14:paraId="5335EF11" w14:textId="77777777" w:rsidR="003B73BB" w:rsidRDefault="00000000">
      <w:pPr>
        <w:rPr>
          <w:sz w:val="24"/>
          <w:szCs w:val="24"/>
        </w:rPr>
      </w:pPr>
      <w:r>
        <w:rPr>
          <w:sz w:val="24"/>
          <w:szCs w:val="24"/>
        </w:rPr>
        <w:t xml:space="preserve">  When she successfully found all 10 participants, she then followed one person throughout the full duration of the video and tallied down every time she saw one of the 4 behaviors being used (physical, verbal, gestural and provocation). She repeated this process for the other 9 participants. She watched the video 18 times in total to be able to correctly identify the aggression types being shown. She had to watch two participants 2 additional times before tallying their behavior. </w:t>
      </w:r>
    </w:p>
    <w:p w14:paraId="572146CD" w14:textId="77777777" w:rsidR="003B73BB" w:rsidRDefault="003B73BB">
      <w:pPr>
        <w:rPr>
          <w:sz w:val="24"/>
          <w:szCs w:val="24"/>
        </w:rPr>
      </w:pPr>
    </w:p>
    <w:p w14:paraId="32A60855" w14:textId="77777777" w:rsidR="003B73BB" w:rsidRDefault="00000000">
      <w:pPr>
        <w:rPr>
          <w:b/>
          <w:sz w:val="24"/>
          <w:szCs w:val="24"/>
        </w:rPr>
      </w:pPr>
      <w:r>
        <w:rPr>
          <w:b/>
          <w:sz w:val="24"/>
          <w:szCs w:val="24"/>
        </w:rPr>
        <w:t xml:space="preserve">Results      </w:t>
      </w:r>
    </w:p>
    <w:p w14:paraId="269A60E6" w14:textId="77777777" w:rsidR="003B73BB" w:rsidRDefault="00000000">
      <w:pPr>
        <w:rPr>
          <w:sz w:val="24"/>
          <w:szCs w:val="24"/>
        </w:rPr>
      </w:pPr>
      <w:r>
        <w:rPr>
          <w:sz w:val="24"/>
          <w:szCs w:val="24"/>
        </w:rPr>
        <w:t>When gathering the data, I was looking for specific behaviors allocated to each aggression type. For example:</w:t>
      </w:r>
    </w:p>
    <w:p w14:paraId="0B841DFE" w14:textId="77777777" w:rsidR="003B73BB" w:rsidRDefault="00000000">
      <w:pPr>
        <w:rPr>
          <w:sz w:val="24"/>
          <w:szCs w:val="24"/>
        </w:rPr>
      </w:pPr>
      <w:r>
        <w:rPr>
          <w:sz w:val="24"/>
          <w:szCs w:val="24"/>
        </w:rPr>
        <w:t>Physical: Shoving/ pushing and hitting</w:t>
      </w:r>
    </w:p>
    <w:p w14:paraId="667F42DB" w14:textId="77777777" w:rsidR="003B73BB" w:rsidRDefault="00000000">
      <w:pPr>
        <w:rPr>
          <w:sz w:val="24"/>
          <w:szCs w:val="24"/>
        </w:rPr>
      </w:pPr>
      <w:r>
        <w:rPr>
          <w:sz w:val="24"/>
          <w:szCs w:val="24"/>
        </w:rPr>
        <w:t>Verbal: Name calling, chanting and aggressive talk</w:t>
      </w:r>
    </w:p>
    <w:p w14:paraId="3B34C47E" w14:textId="77777777" w:rsidR="003B73BB" w:rsidRDefault="00000000">
      <w:pPr>
        <w:rPr>
          <w:sz w:val="24"/>
          <w:szCs w:val="24"/>
        </w:rPr>
      </w:pPr>
      <w:r>
        <w:rPr>
          <w:sz w:val="24"/>
          <w:szCs w:val="24"/>
        </w:rPr>
        <w:t>Gestural: Intimidating hand movements and lifting hands with passion</w:t>
      </w:r>
    </w:p>
    <w:p w14:paraId="7262F60E" w14:textId="77777777" w:rsidR="003B73BB" w:rsidRDefault="00000000">
      <w:pPr>
        <w:rPr>
          <w:sz w:val="24"/>
          <w:szCs w:val="24"/>
        </w:rPr>
      </w:pPr>
      <w:r>
        <w:rPr>
          <w:sz w:val="24"/>
          <w:szCs w:val="24"/>
        </w:rPr>
        <w:t>Provocation: Waving hats. Blowing horn, cheering, laughing/ talking in people’s faces, and snitching to the police (to get a reaction from opposing group)</w:t>
      </w:r>
    </w:p>
    <w:p w14:paraId="59866095" w14:textId="78E3C44B" w:rsidR="003B73BB" w:rsidRDefault="00000000">
      <w:pPr>
        <w:rPr>
          <w:sz w:val="24"/>
          <w:szCs w:val="24"/>
        </w:rPr>
      </w:pPr>
      <w:r>
        <w:rPr>
          <w:b/>
          <w:sz w:val="24"/>
          <w:szCs w:val="24"/>
        </w:rPr>
        <w:t xml:space="preserve">  </w:t>
      </w:r>
      <w:r>
        <w:rPr>
          <w:sz w:val="24"/>
          <w:szCs w:val="24"/>
        </w:rPr>
        <w:t>The chart below shows all four aggression types relating to the corresponding groups. As you can see, although the anti-hunt group had a huge spike in verbal aggression the pro hunt group had more of a continuous display of aggression across the board regarding the 4 types of aggression. In total anti hunt groups had 49 acts of aggression total, whereas the pro hunt group had 48, both had very similar total scores. However, the anti-hunt group did</w:t>
      </w:r>
      <w:r w:rsidR="00966421">
        <w:rPr>
          <w:sz w:val="24"/>
          <w:szCs w:val="24"/>
        </w:rPr>
        <w:t xml:space="preserve"> </w:t>
      </w:r>
      <w:r>
        <w:rPr>
          <w:sz w:val="24"/>
          <w:szCs w:val="24"/>
        </w:rPr>
        <w:lastRenderedPageBreak/>
        <w:t xml:space="preserve">show more aggression overall. From the results it has proven that we can accept my hypothesis of the anti-hunt group showing more aggressive behavior than the pro hunt </w:t>
      </w:r>
      <w:r w:rsidR="00966421">
        <w:rPr>
          <w:noProof/>
        </w:rPr>
        <w:drawing>
          <wp:anchor distT="0" distB="0" distL="114300" distR="114300" simplePos="0" relativeHeight="251658240" behindDoc="0" locked="0" layoutInCell="1" hidden="0" allowOverlap="1" wp14:anchorId="4AFE7CDA" wp14:editId="5D577456">
            <wp:simplePos x="0" y="0"/>
            <wp:positionH relativeFrom="column">
              <wp:posOffset>273616</wp:posOffset>
            </wp:positionH>
            <wp:positionV relativeFrom="paragraph">
              <wp:posOffset>722300</wp:posOffset>
            </wp:positionV>
            <wp:extent cx="5074920" cy="3017520"/>
            <wp:effectExtent l="0" t="0" r="0" b="0"/>
            <wp:wrapTopAndBottom distT="0" distB="0"/>
            <wp:docPr id="8" name="image3.png" descr="Chart, line 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Chart, line chart&#10;&#10;Description automatically generated"/>
                    <pic:cNvPicPr preferRelativeResize="0"/>
                  </pic:nvPicPr>
                  <pic:blipFill>
                    <a:blip r:embed="rId7"/>
                    <a:srcRect/>
                    <a:stretch>
                      <a:fillRect/>
                    </a:stretch>
                  </pic:blipFill>
                  <pic:spPr>
                    <a:xfrm>
                      <a:off x="0" y="0"/>
                      <a:ext cx="5074920" cy="3017520"/>
                    </a:xfrm>
                    <a:prstGeom prst="rect">
                      <a:avLst/>
                    </a:prstGeom>
                    <a:ln/>
                  </pic:spPr>
                </pic:pic>
              </a:graphicData>
            </a:graphic>
          </wp:anchor>
        </w:drawing>
      </w:r>
      <w:r>
        <w:rPr>
          <w:sz w:val="24"/>
          <w:szCs w:val="24"/>
        </w:rPr>
        <w:t>group.</w:t>
      </w:r>
    </w:p>
    <w:p w14:paraId="13342ABE" w14:textId="77777777" w:rsidR="003B73BB" w:rsidRDefault="00000000">
      <w:pPr>
        <w:rPr>
          <w:sz w:val="24"/>
          <w:szCs w:val="24"/>
        </w:rPr>
      </w:pPr>
      <w:r>
        <w:rPr>
          <w:noProof/>
          <w:sz w:val="24"/>
          <w:szCs w:val="24"/>
        </w:rPr>
        <w:drawing>
          <wp:anchor distT="0" distB="0" distL="114300" distR="114300" simplePos="0" relativeHeight="251659264" behindDoc="0" locked="0" layoutInCell="1" hidden="0" allowOverlap="1" wp14:anchorId="0174D1AE" wp14:editId="799CC1B2">
            <wp:simplePos x="0" y="0"/>
            <wp:positionH relativeFrom="margin">
              <wp:align>center</wp:align>
            </wp:positionH>
            <wp:positionV relativeFrom="page">
              <wp:posOffset>7574280</wp:posOffset>
            </wp:positionV>
            <wp:extent cx="3886200" cy="2586990"/>
            <wp:effectExtent l="0" t="0" r="0" b="0"/>
            <wp:wrapTopAndBottom distT="0" dist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886200" cy="2586990"/>
                    </a:xfrm>
                    <a:prstGeom prst="rect">
                      <a:avLst/>
                    </a:prstGeom>
                    <a:ln/>
                  </pic:spPr>
                </pic:pic>
              </a:graphicData>
            </a:graphic>
          </wp:anchor>
        </w:drawing>
      </w:r>
    </w:p>
    <w:p w14:paraId="5358831B" w14:textId="77777777" w:rsidR="003B73BB" w:rsidRDefault="00000000">
      <w:pPr>
        <w:rPr>
          <w:sz w:val="24"/>
          <w:szCs w:val="24"/>
        </w:rPr>
      </w:pPr>
      <w:r>
        <w:rPr>
          <w:sz w:val="24"/>
          <w:szCs w:val="24"/>
        </w:rPr>
        <w:t xml:space="preserve">  Verbal aggression was the type of aggression that had the largest fluctuation regarding the scoring. The anti-hunt group had a total of 32, while the pro hunt groups total was 17. However, the pro hunting group did stay consistent with the types of aggression they were using, they scored more than the anti-hunt group concerning the other types of aggression.  Physical, gestural and provocation the anti-hunt group scored 8,5 and 4 while the pro hunt group scored 9,10 and 12. As you can see the pro hunt group scored almost double or even four times the amount of aggression regarding the other types of aggression. The chart below shows the difference between gestural and prevocational aggression within the anti and pro hunt groups. </w:t>
      </w:r>
    </w:p>
    <w:p w14:paraId="05AA729C" w14:textId="77777777" w:rsidR="003B73BB" w:rsidRDefault="00000000">
      <w:pPr>
        <w:rPr>
          <w:sz w:val="24"/>
          <w:szCs w:val="24"/>
        </w:rPr>
      </w:pPr>
      <w:r>
        <w:rPr>
          <w:sz w:val="24"/>
          <w:szCs w:val="24"/>
        </w:rPr>
        <w:t xml:space="preserve">  As shown in the above text the anti-hunt group displayed more acts of aggressive behavior, although while watching the video the two theories that I previously mentioned which are the frustration aggression hypothesis and the aggressive cue theory kept making an </w:t>
      </w:r>
      <w:r>
        <w:rPr>
          <w:sz w:val="24"/>
          <w:szCs w:val="24"/>
        </w:rPr>
        <w:lastRenderedPageBreak/>
        <w:t xml:space="preserve">appearance. There where multiple times when I was observing a participant(s) and noticed that the participant(s) would become frustrated and then release that frustration though verbal or physical aggression, this theory proved that when an individual feels frustrated and/ or reach their limit, they release that feeling of frustration, in this case it was either released using verbal or physical aggression. The hypothesis states that frustration always leads to some sort of aggressive Behavior, Miller (1958) and it was demonstrated within this video. The frustration aggression hypothesis was visible 0:54 seconds into the video, this was when the people wearing fox hunting costumes entered the frame. As for Berkowitz aggression cue theory, this was very prominent within the video, 0:32 seconds into the video people wearing fox costumes entered as soon as this happened the anti-hunt group became more loud and there verbal aggression increased, the same can be said 1:20 into the video when a individuals wearing a fox hunting costume riding a house came into frame blowing a horn, the anti-hunt group also showed an increase in verbal aggression as well as the other types of aggression. This proved that aggressive cues could influence our aggression. </w:t>
      </w:r>
    </w:p>
    <w:p w14:paraId="76FB8F4E" w14:textId="77777777" w:rsidR="003B73BB" w:rsidRDefault="00000000">
      <w:pPr>
        <w:rPr>
          <w:sz w:val="24"/>
          <w:szCs w:val="24"/>
        </w:rPr>
      </w:pPr>
      <w:r>
        <w:rPr>
          <w:sz w:val="24"/>
          <w:szCs w:val="24"/>
        </w:rPr>
        <w:t xml:space="preserve">  From </w:t>
      </w:r>
      <w:proofErr w:type="spellStart"/>
      <w:r>
        <w:rPr>
          <w:sz w:val="24"/>
          <w:szCs w:val="24"/>
        </w:rPr>
        <w:t>analysing</w:t>
      </w:r>
      <w:proofErr w:type="spellEnd"/>
      <w:r>
        <w:rPr>
          <w:sz w:val="24"/>
          <w:szCs w:val="24"/>
        </w:rPr>
        <w:t xml:space="preserve"> the data, </w:t>
      </w:r>
      <w:proofErr w:type="gramStart"/>
      <w:r>
        <w:rPr>
          <w:sz w:val="24"/>
          <w:szCs w:val="24"/>
        </w:rPr>
        <w:t>it would appear that the</w:t>
      </w:r>
      <w:proofErr w:type="gramEnd"/>
      <w:r>
        <w:rPr>
          <w:sz w:val="24"/>
          <w:szCs w:val="24"/>
        </w:rPr>
        <w:t xml:space="preserve"> anti-hunt group did show more aggressive behavior, although not by much from the pro hunt group. Once again this would prove my hypothesis of the anti-hunt group displaying more acts of aggression than the pro hunt group. Furthermore, I agree with both the frustration aggression hypothesis and the aggressive cue theory. Within my research these theories became useful in explaining some of the behavior being displayed, as well as showing that there are factors that can cause aggressive behavior. </w:t>
      </w:r>
    </w:p>
    <w:p w14:paraId="2BB58BDD" w14:textId="77777777" w:rsidR="003B73BB" w:rsidRDefault="003B73BB">
      <w:pPr>
        <w:rPr>
          <w:sz w:val="24"/>
          <w:szCs w:val="24"/>
        </w:rPr>
      </w:pPr>
    </w:p>
    <w:p w14:paraId="6EC35FBE" w14:textId="77777777" w:rsidR="003B73BB" w:rsidRDefault="003B73BB">
      <w:pPr>
        <w:rPr>
          <w:sz w:val="24"/>
          <w:szCs w:val="24"/>
        </w:rPr>
      </w:pPr>
    </w:p>
    <w:p w14:paraId="583D00A5" w14:textId="77777777" w:rsidR="003B73BB" w:rsidRDefault="003B73BB">
      <w:pPr>
        <w:rPr>
          <w:b/>
          <w:sz w:val="24"/>
          <w:szCs w:val="24"/>
        </w:rPr>
      </w:pPr>
      <w:bookmarkStart w:id="1" w:name="_heading=h.30j0zll" w:colFirst="0" w:colLast="0"/>
      <w:bookmarkEnd w:id="1"/>
    </w:p>
    <w:p w14:paraId="374EA743" w14:textId="77777777" w:rsidR="003B73BB" w:rsidRDefault="00000000">
      <w:pPr>
        <w:rPr>
          <w:b/>
          <w:sz w:val="24"/>
          <w:szCs w:val="24"/>
        </w:rPr>
      </w:pPr>
      <w:r>
        <w:rPr>
          <w:b/>
          <w:sz w:val="24"/>
          <w:szCs w:val="24"/>
        </w:rPr>
        <w:t xml:space="preserve">Reference list:   </w:t>
      </w:r>
    </w:p>
    <w:p w14:paraId="5F738FB4" w14:textId="77777777" w:rsidR="003B73BB" w:rsidRDefault="003B73BB">
      <w:pPr>
        <w:rPr>
          <w:b/>
          <w:sz w:val="24"/>
          <w:szCs w:val="24"/>
        </w:rPr>
      </w:pPr>
    </w:p>
    <w:p w14:paraId="6F5CC87A" w14:textId="77777777" w:rsidR="003B73BB" w:rsidRDefault="00000000">
      <w:pPr>
        <w:pBdr>
          <w:top w:val="nil"/>
          <w:left w:val="nil"/>
          <w:bottom w:val="nil"/>
          <w:right w:val="nil"/>
          <w:between w:val="nil"/>
        </w:pBdr>
        <w:spacing w:after="0"/>
        <w:ind w:left="720"/>
        <w:rPr>
          <w:color w:val="333333"/>
          <w:shd w:val="clear" w:color="auto" w:fill="FCFCFC"/>
        </w:rPr>
      </w:pPr>
      <w:r>
        <w:rPr>
          <w:color w:val="333333"/>
          <w:shd w:val="clear" w:color="auto" w:fill="FCFCFC"/>
        </w:rPr>
        <w:t xml:space="preserve">Arriaga, P., Santos, C. A. (2020). Cue Theory. </w:t>
      </w:r>
      <w:r>
        <w:rPr>
          <w:i/>
          <w:color w:val="333333"/>
          <w:shd w:val="clear" w:color="auto" w:fill="FCFCFC"/>
        </w:rPr>
        <w:t>Wiley Online Library</w:t>
      </w:r>
      <w:r>
        <w:rPr>
          <w:color w:val="333333"/>
          <w:shd w:val="clear" w:color="auto" w:fill="FCFCFC"/>
        </w:rPr>
        <w:t xml:space="preserve">.  </w:t>
      </w:r>
    </w:p>
    <w:p w14:paraId="5583D33A" w14:textId="77777777" w:rsidR="003B73BB" w:rsidRDefault="00000000">
      <w:pPr>
        <w:pBdr>
          <w:top w:val="nil"/>
          <w:left w:val="nil"/>
          <w:bottom w:val="nil"/>
          <w:right w:val="nil"/>
          <w:between w:val="nil"/>
        </w:pBdr>
        <w:spacing w:after="0"/>
        <w:ind w:left="720"/>
        <w:rPr>
          <w:color w:val="333333"/>
          <w:shd w:val="clear" w:color="auto" w:fill="FCFCFC"/>
        </w:rPr>
      </w:pPr>
      <w:r>
        <w:rPr>
          <w:color w:val="333333"/>
          <w:shd w:val="clear" w:color="auto" w:fill="FCFCFC"/>
        </w:rPr>
        <w:t xml:space="preserve">      </w:t>
      </w:r>
      <w:hyperlink r:id="rId9">
        <w:r>
          <w:rPr>
            <w:color w:val="0563C1"/>
            <w:u w:val="single"/>
            <w:shd w:val="clear" w:color="auto" w:fill="FCFCFC"/>
          </w:rPr>
          <w:t>https://doi.org/10.1002/9781119011071.iemp0200</w:t>
        </w:r>
      </w:hyperlink>
      <w:r>
        <w:rPr>
          <w:color w:val="333333"/>
          <w:shd w:val="clear" w:color="auto" w:fill="FCFCFC"/>
        </w:rPr>
        <w:t>.</w:t>
      </w:r>
    </w:p>
    <w:p w14:paraId="3D4B28EB" w14:textId="77777777" w:rsidR="003B73BB" w:rsidRDefault="003B73BB">
      <w:pPr>
        <w:pBdr>
          <w:top w:val="nil"/>
          <w:left w:val="nil"/>
          <w:bottom w:val="nil"/>
          <w:right w:val="nil"/>
          <w:between w:val="nil"/>
        </w:pBdr>
        <w:spacing w:after="0"/>
        <w:ind w:left="720"/>
        <w:rPr>
          <w:color w:val="333333"/>
          <w:shd w:val="clear" w:color="auto" w:fill="FCFCFC"/>
        </w:rPr>
      </w:pPr>
    </w:p>
    <w:p w14:paraId="076D98D7" w14:textId="77777777" w:rsidR="003B73BB" w:rsidRDefault="00000000">
      <w:pPr>
        <w:spacing w:after="0"/>
        <w:ind w:left="720"/>
      </w:pPr>
      <w:r>
        <w:t>Berkowitz, L. (1989). Frustration-Aggression Hypothesis: Examination and</w:t>
      </w:r>
    </w:p>
    <w:p w14:paraId="128D1EF0" w14:textId="77777777" w:rsidR="003B73BB" w:rsidRDefault="00000000">
      <w:pPr>
        <w:spacing w:after="0"/>
        <w:ind w:left="720"/>
      </w:pPr>
      <w:r>
        <w:t xml:space="preserve">      Reformulation. </w:t>
      </w:r>
      <w:r>
        <w:rPr>
          <w:i/>
        </w:rPr>
        <w:t xml:space="preserve">APA </w:t>
      </w:r>
      <w:proofErr w:type="spellStart"/>
      <w:r>
        <w:rPr>
          <w:i/>
        </w:rPr>
        <w:t>PsycNet</w:t>
      </w:r>
      <w:proofErr w:type="spellEnd"/>
      <w:r>
        <w:t xml:space="preserve">. </w:t>
      </w:r>
      <w:hyperlink r:id="rId10">
        <w:r>
          <w:rPr>
            <w:color w:val="0563C1"/>
            <w:u w:val="single"/>
          </w:rPr>
          <w:t>https://psycnet.apa.org/doi/10.1037/0033-2909.106.1.59</w:t>
        </w:r>
      </w:hyperlink>
    </w:p>
    <w:p w14:paraId="4AE8A4D2" w14:textId="77777777" w:rsidR="003B73BB" w:rsidRDefault="003B73BB">
      <w:pPr>
        <w:spacing w:after="0"/>
        <w:ind w:left="720"/>
      </w:pPr>
    </w:p>
    <w:p w14:paraId="5A07D8A4" w14:textId="77777777" w:rsidR="003B73BB" w:rsidRDefault="00000000">
      <w:pPr>
        <w:spacing w:after="0"/>
        <w:ind w:left="720"/>
      </w:pPr>
      <w:proofErr w:type="spellStart"/>
      <w:r>
        <w:t>Craige</w:t>
      </w:r>
      <w:proofErr w:type="spellEnd"/>
      <w:r>
        <w:t xml:space="preserve">, A. A., </w:t>
      </w:r>
      <w:proofErr w:type="spellStart"/>
      <w:r>
        <w:t>Brushman</w:t>
      </w:r>
      <w:proofErr w:type="spellEnd"/>
      <w:r>
        <w:t xml:space="preserve">, J. B., </w:t>
      </w:r>
      <w:proofErr w:type="spellStart"/>
      <w:r>
        <w:t>Brushman</w:t>
      </w:r>
      <w:proofErr w:type="spellEnd"/>
      <w:r>
        <w:t xml:space="preserve">, J. A. (2002) Human Aggression. </w:t>
      </w:r>
      <w:r>
        <w:rPr>
          <w:i/>
        </w:rPr>
        <w:t>EBSCOhost</w:t>
      </w:r>
      <w:r>
        <w:t>.</w:t>
      </w:r>
    </w:p>
    <w:p w14:paraId="7A0EE8F0" w14:textId="77777777" w:rsidR="003B73BB" w:rsidRDefault="00000000">
      <w:pPr>
        <w:spacing w:after="0"/>
        <w:ind w:left="720"/>
      </w:pPr>
      <w:r>
        <w:t xml:space="preserve">      </w:t>
      </w:r>
      <w:hyperlink r:id="rId11">
        <w:r>
          <w:rPr>
            <w:color w:val="0000FF"/>
            <w:u w:val="single"/>
          </w:rPr>
          <w:t>HUMAN AGGRESSION.: EBSCOhost (uwtsd.ac.uk)</w:t>
        </w:r>
      </w:hyperlink>
      <w:r>
        <w:t xml:space="preserve"> </w:t>
      </w:r>
    </w:p>
    <w:p w14:paraId="290B2577" w14:textId="77777777" w:rsidR="003B73BB" w:rsidRDefault="003B73BB">
      <w:pPr>
        <w:pBdr>
          <w:top w:val="nil"/>
          <w:left w:val="nil"/>
          <w:bottom w:val="nil"/>
          <w:right w:val="nil"/>
          <w:between w:val="nil"/>
        </w:pBdr>
        <w:spacing w:after="0"/>
        <w:ind w:left="720"/>
        <w:rPr>
          <w:color w:val="333333"/>
          <w:shd w:val="clear" w:color="auto" w:fill="FCFCFC"/>
        </w:rPr>
      </w:pPr>
    </w:p>
    <w:p w14:paraId="2BA91DD3" w14:textId="77777777" w:rsidR="003B73BB" w:rsidRDefault="00000000">
      <w:pPr>
        <w:pBdr>
          <w:top w:val="nil"/>
          <w:left w:val="nil"/>
          <w:bottom w:val="nil"/>
          <w:right w:val="nil"/>
          <w:between w:val="nil"/>
        </w:pBdr>
        <w:spacing w:after="0"/>
        <w:ind w:left="720"/>
        <w:rPr>
          <w:i/>
          <w:color w:val="000000"/>
        </w:rPr>
      </w:pPr>
      <w:r>
        <w:rPr>
          <w:color w:val="000000"/>
        </w:rPr>
        <w:t xml:space="preserve">Feshbach, S. (1964). The Function of Aggression and the Regulation of Aggressive drive. </w:t>
      </w:r>
      <w:r>
        <w:rPr>
          <w:i/>
          <w:color w:val="000000"/>
        </w:rPr>
        <w:t xml:space="preserve">APA </w:t>
      </w:r>
    </w:p>
    <w:p w14:paraId="11E9E818" w14:textId="77777777" w:rsidR="003B73BB" w:rsidRDefault="00000000">
      <w:pPr>
        <w:pBdr>
          <w:top w:val="nil"/>
          <w:left w:val="nil"/>
          <w:bottom w:val="nil"/>
          <w:right w:val="nil"/>
          <w:between w:val="nil"/>
        </w:pBdr>
        <w:spacing w:after="0"/>
        <w:ind w:left="720"/>
        <w:rPr>
          <w:color w:val="0563C1"/>
          <w:u w:val="single"/>
        </w:rPr>
      </w:pPr>
      <w:r>
        <w:rPr>
          <w:i/>
          <w:color w:val="000000"/>
        </w:rPr>
        <w:t xml:space="preserve">      </w:t>
      </w:r>
      <w:proofErr w:type="spellStart"/>
      <w:r>
        <w:rPr>
          <w:i/>
          <w:color w:val="000000"/>
        </w:rPr>
        <w:t>PsycNet</w:t>
      </w:r>
      <w:proofErr w:type="spellEnd"/>
      <w:r>
        <w:rPr>
          <w:i/>
          <w:color w:val="000000"/>
        </w:rPr>
        <w:t xml:space="preserve">. </w:t>
      </w:r>
      <w:r>
        <w:rPr>
          <w:color w:val="000000"/>
        </w:rPr>
        <w:t xml:space="preserve">71(4), 257-272. </w:t>
      </w:r>
      <w:hyperlink r:id="rId12">
        <w:r>
          <w:rPr>
            <w:color w:val="0563C1"/>
            <w:u w:val="single"/>
          </w:rPr>
          <w:t>https://psycnet.apa.org/doi/10.1037/h0043041</w:t>
        </w:r>
      </w:hyperlink>
      <w:r>
        <w:rPr>
          <w:color w:val="0563C1"/>
          <w:u w:val="single"/>
        </w:rPr>
        <w:t>.</w:t>
      </w:r>
    </w:p>
    <w:p w14:paraId="55799C49" w14:textId="77777777" w:rsidR="003B73BB" w:rsidRDefault="003B73BB">
      <w:pPr>
        <w:pBdr>
          <w:top w:val="nil"/>
          <w:left w:val="nil"/>
          <w:bottom w:val="nil"/>
          <w:right w:val="nil"/>
          <w:between w:val="nil"/>
        </w:pBdr>
        <w:spacing w:after="0"/>
        <w:ind w:left="720"/>
        <w:rPr>
          <w:color w:val="000000"/>
        </w:rPr>
      </w:pPr>
    </w:p>
    <w:p w14:paraId="356D85DF" w14:textId="77777777" w:rsidR="003B73BB" w:rsidRDefault="00000000">
      <w:pPr>
        <w:spacing w:after="0"/>
        <w:ind w:left="720"/>
        <w:rPr>
          <w:i/>
        </w:rPr>
      </w:pPr>
      <w:r>
        <w:t xml:space="preserve">Kent, M. (2007). The Oxford Dictionary of Sports Science &amp; Medicine (3 ed.). </w:t>
      </w:r>
      <w:r>
        <w:rPr>
          <w:i/>
        </w:rPr>
        <w:t>Oxford</w:t>
      </w:r>
    </w:p>
    <w:p w14:paraId="45B57E53" w14:textId="77777777" w:rsidR="003B73BB" w:rsidRDefault="00000000">
      <w:pPr>
        <w:spacing w:after="0"/>
        <w:ind w:left="720"/>
      </w:pPr>
      <w:r>
        <w:rPr>
          <w:i/>
        </w:rPr>
        <w:t xml:space="preserve">      Reference</w:t>
      </w:r>
      <w:r>
        <w:t xml:space="preserve">. </w:t>
      </w:r>
      <w:hyperlink r:id="rId13">
        <w:r>
          <w:rPr>
            <w:color w:val="0000FF"/>
            <w:u w:val="single"/>
          </w:rPr>
          <w:t>Aggressive cue theory - Oxford Reference</w:t>
        </w:r>
      </w:hyperlink>
    </w:p>
    <w:p w14:paraId="5EBC0679" w14:textId="77777777" w:rsidR="003B73BB" w:rsidRDefault="003B73BB">
      <w:pPr>
        <w:pBdr>
          <w:top w:val="nil"/>
          <w:left w:val="nil"/>
          <w:bottom w:val="nil"/>
          <w:right w:val="nil"/>
          <w:between w:val="nil"/>
        </w:pBdr>
        <w:spacing w:after="0"/>
        <w:ind w:left="720"/>
        <w:rPr>
          <w:color w:val="000000"/>
        </w:rPr>
      </w:pPr>
    </w:p>
    <w:p w14:paraId="6E51455E" w14:textId="77777777" w:rsidR="003B73BB" w:rsidRDefault="00000000">
      <w:pPr>
        <w:pBdr>
          <w:top w:val="nil"/>
          <w:left w:val="nil"/>
          <w:bottom w:val="nil"/>
          <w:right w:val="nil"/>
          <w:between w:val="nil"/>
        </w:pBdr>
        <w:spacing w:after="0"/>
        <w:ind w:left="720"/>
        <w:rPr>
          <w:color w:val="333333"/>
          <w:shd w:val="clear" w:color="auto" w:fill="FCFCFC"/>
        </w:rPr>
      </w:pPr>
      <w:r>
        <w:rPr>
          <w:color w:val="333333"/>
          <w:shd w:val="clear" w:color="auto" w:fill="FCFCFC"/>
        </w:rPr>
        <w:t xml:space="preserve">Karwat, M. (2021). </w:t>
      </w:r>
      <w:r>
        <w:rPr>
          <w:i/>
          <w:color w:val="333333"/>
          <w:shd w:val="clear" w:color="auto" w:fill="FCFCFC"/>
        </w:rPr>
        <w:t xml:space="preserve">Theory of Provocation </w:t>
      </w:r>
      <w:proofErr w:type="gramStart"/>
      <w:r>
        <w:rPr>
          <w:i/>
          <w:color w:val="333333"/>
          <w:shd w:val="clear" w:color="auto" w:fill="FCFCFC"/>
        </w:rPr>
        <w:t>In</w:t>
      </w:r>
      <w:proofErr w:type="gramEnd"/>
      <w:r>
        <w:rPr>
          <w:i/>
          <w:color w:val="333333"/>
          <w:shd w:val="clear" w:color="auto" w:fill="FCFCFC"/>
        </w:rPr>
        <w:t xml:space="preserve"> Light of Political Science</w:t>
      </w:r>
      <w:r>
        <w:rPr>
          <w:color w:val="333333"/>
          <w:shd w:val="clear" w:color="auto" w:fill="FCFCFC"/>
        </w:rPr>
        <w:t xml:space="preserve">. Peter Lang.  </w:t>
      </w:r>
    </w:p>
    <w:p w14:paraId="3EDF1931" w14:textId="77777777" w:rsidR="003B73BB" w:rsidRDefault="003B73BB">
      <w:pPr>
        <w:pBdr>
          <w:top w:val="nil"/>
          <w:left w:val="nil"/>
          <w:bottom w:val="nil"/>
          <w:right w:val="nil"/>
          <w:between w:val="nil"/>
        </w:pBdr>
        <w:spacing w:after="0"/>
        <w:ind w:left="720"/>
        <w:rPr>
          <w:color w:val="333333"/>
          <w:shd w:val="clear" w:color="auto" w:fill="FCFCFC"/>
        </w:rPr>
      </w:pPr>
    </w:p>
    <w:p w14:paraId="0FD631F6" w14:textId="77777777" w:rsidR="003B73BB" w:rsidRDefault="00000000">
      <w:pPr>
        <w:pBdr>
          <w:top w:val="nil"/>
          <w:left w:val="nil"/>
          <w:bottom w:val="nil"/>
          <w:right w:val="nil"/>
          <w:between w:val="nil"/>
        </w:pBdr>
        <w:spacing w:after="0"/>
        <w:ind w:left="720"/>
        <w:rPr>
          <w:color w:val="000000"/>
        </w:rPr>
      </w:pPr>
      <w:r>
        <w:rPr>
          <w:color w:val="000000"/>
        </w:rPr>
        <w:t xml:space="preserve">Kaye, A. J., </w:t>
      </w:r>
      <w:proofErr w:type="spellStart"/>
      <w:r>
        <w:rPr>
          <w:color w:val="000000"/>
        </w:rPr>
        <w:t>Erdley</w:t>
      </w:r>
      <w:proofErr w:type="spellEnd"/>
      <w:r>
        <w:rPr>
          <w:color w:val="000000"/>
        </w:rPr>
        <w:t xml:space="preserve">, C. A. (2011). Encyclopedia of Child </w:t>
      </w:r>
      <w:proofErr w:type="spellStart"/>
      <w:r>
        <w:rPr>
          <w:color w:val="000000"/>
        </w:rPr>
        <w:t>Behaviour</w:t>
      </w:r>
      <w:proofErr w:type="spellEnd"/>
      <w:r>
        <w:rPr>
          <w:color w:val="000000"/>
        </w:rPr>
        <w:t xml:space="preserve"> and Development.</w:t>
      </w:r>
    </w:p>
    <w:p w14:paraId="274776F2" w14:textId="77777777" w:rsidR="003B73BB" w:rsidRDefault="00000000">
      <w:pPr>
        <w:pBdr>
          <w:top w:val="nil"/>
          <w:left w:val="nil"/>
          <w:bottom w:val="nil"/>
          <w:right w:val="nil"/>
          <w:between w:val="nil"/>
        </w:pBdr>
        <w:spacing w:after="0"/>
        <w:ind w:left="720"/>
        <w:rPr>
          <w:rFonts w:ascii="Quattrocento Sans" w:eastAsia="Quattrocento Sans" w:hAnsi="Quattrocento Sans" w:cs="Quattrocento Sans"/>
          <w:color w:val="0563C1"/>
          <w:u w:val="single"/>
          <w:shd w:val="clear" w:color="auto" w:fill="FCFCFC"/>
        </w:rPr>
      </w:pPr>
      <w:r>
        <w:rPr>
          <w:color w:val="000000"/>
        </w:rPr>
        <w:t xml:space="preserve">      </w:t>
      </w:r>
      <w:r>
        <w:rPr>
          <w:i/>
          <w:color w:val="000000"/>
        </w:rPr>
        <w:t>SpringerLink</w:t>
      </w:r>
      <w:r>
        <w:rPr>
          <w:color w:val="000000"/>
        </w:rPr>
        <w:t xml:space="preserve">. </w:t>
      </w:r>
      <w:hyperlink r:id="rId14">
        <w:r>
          <w:rPr>
            <w:rFonts w:ascii="Quattrocento Sans" w:eastAsia="Quattrocento Sans" w:hAnsi="Quattrocento Sans" w:cs="Quattrocento Sans"/>
            <w:color w:val="0563C1"/>
            <w:u w:val="single"/>
            <w:shd w:val="clear" w:color="auto" w:fill="FCFCFC"/>
          </w:rPr>
          <w:t>https://doi.org/10.1007/978-0-387-79061-9_2156</w:t>
        </w:r>
      </w:hyperlink>
      <w:r>
        <w:rPr>
          <w:rFonts w:ascii="Quattrocento Sans" w:eastAsia="Quattrocento Sans" w:hAnsi="Quattrocento Sans" w:cs="Quattrocento Sans"/>
          <w:color w:val="0563C1"/>
          <w:u w:val="single"/>
          <w:shd w:val="clear" w:color="auto" w:fill="FCFCFC"/>
        </w:rPr>
        <w:t>.</w:t>
      </w:r>
    </w:p>
    <w:p w14:paraId="7BAAEDD0" w14:textId="77777777" w:rsidR="003B73BB" w:rsidRDefault="003B73BB">
      <w:pPr>
        <w:pBdr>
          <w:top w:val="nil"/>
          <w:left w:val="nil"/>
          <w:bottom w:val="nil"/>
          <w:right w:val="nil"/>
          <w:between w:val="nil"/>
        </w:pBdr>
        <w:spacing w:after="0"/>
        <w:rPr>
          <w:color w:val="333333"/>
          <w:shd w:val="clear" w:color="auto" w:fill="FCFCFC"/>
        </w:rPr>
      </w:pPr>
    </w:p>
    <w:p w14:paraId="677244D6" w14:textId="77777777" w:rsidR="003B73BB" w:rsidRDefault="00000000">
      <w:pPr>
        <w:pBdr>
          <w:top w:val="nil"/>
          <w:left w:val="nil"/>
          <w:bottom w:val="nil"/>
          <w:right w:val="nil"/>
          <w:between w:val="nil"/>
        </w:pBdr>
        <w:spacing w:after="0"/>
        <w:ind w:left="720"/>
        <w:rPr>
          <w:i/>
          <w:color w:val="333333"/>
          <w:shd w:val="clear" w:color="auto" w:fill="FCFCFC"/>
        </w:rPr>
      </w:pPr>
      <w:r>
        <w:rPr>
          <w:color w:val="333333"/>
          <w:shd w:val="clear" w:color="auto" w:fill="FCFCFC"/>
        </w:rPr>
        <w:t xml:space="preserve">Miller, N. E., Mowrer, O. H., Doob, L. W., Dollard, J. &amp; Sears, R. R. (1958). </w:t>
      </w:r>
      <w:r>
        <w:rPr>
          <w:i/>
          <w:color w:val="333333"/>
          <w:shd w:val="clear" w:color="auto" w:fill="FCFCFC"/>
        </w:rPr>
        <w:t>Frustration-</w:t>
      </w:r>
    </w:p>
    <w:p w14:paraId="25C7C4BF" w14:textId="77777777" w:rsidR="003B73BB" w:rsidRDefault="00000000">
      <w:pPr>
        <w:pBdr>
          <w:top w:val="nil"/>
          <w:left w:val="nil"/>
          <w:bottom w:val="nil"/>
          <w:right w:val="nil"/>
          <w:between w:val="nil"/>
        </w:pBdr>
        <w:spacing w:after="0"/>
        <w:ind w:left="720"/>
        <w:rPr>
          <w:i/>
          <w:color w:val="333333"/>
          <w:shd w:val="clear" w:color="auto" w:fill="FCFCFC"/>
        </w:rPr>
      </w:pPr>
      <w:r>
        <w:rPr>
          <w:i/>
          <w:color w:val="333333"/>
          <w:shd w:val="clear" w:color="auto" w:fill="FCFCFC"/>
        </w:rPr>
        <w:t xml:space="preserve">      Aggression Hypothesis. In C. L. Stacey &amp; M. </w:t>
      </w:r>
      <w:proofErr w:type="spellStart"/>
      <w:r>
        <w:rPr>
          <w:i/>
          <w:color w:val="333333"/>
          <w:shd w:val="clear" w:color="auto" w:fill="FCFCFC"/>
        </w:rPr>
        <w:t>DeMartino</w:t>
      </w:r>
      <w:proofErr w:type="spellEnd"/>
      <w:r>
        <w:rPr>
          <w:i/>
          <w:color w:val="333333"/>
          <w:shd w:val="clear" w:color="auto" w:fill="FCFCFC"/>
        </w:rPr>
        <w:t xml:space="preserve"> (Eds), Understanding Human </w:t>
      </w:r>
    </w:p>
    <w:p w14:paraId="7BD3A8A7" w14:textId="77777777" w:rsidR="003B73BB" w:rsidRDefault="00000000">
      <w:pPr>
        <w:pBdr>
          <w:top w:val="nil"/>
          <w:left w:val="nil"/>
          <w:bottom w:val="nil"/>
          <w:right w:val="nil"/>
          <w:between w:val="nil"/>
        </w:pBdr>
        <w:spacing w:after="0"/>
        <w:ind w:left="720"/>
        <w:rPr>
          <w:color w:val="333333"/>
          <w:shd w:val="clear" w:color="auto" w:fill="FCFCFC"/>
        </w:rPr>
      </w:pPr>
      <w:r>
        <w:rPr>
          <w:i/>
          <w:color w:val="333333"/>
          <w:shd w:val="clear" w:color="auto" w:fill="FCFCFC"/>
        </w:rPr>
        <w:t xml:space="preserve">      Motivation </w:t>
      </w:r>
      <w:r>
        <w:rPr>
          <w:color w:val="333333"/>
          <w:shd w:val="clear" w:color="auto" w:fill="FCFCFC"/>
        </w:rPr>
        <w:t>(pp. 251-255). Howard Allen Publishers</w:t>
      </w:r>
      <w:r>
        <w:rPr>
          <w:i/>
          <w:color w:val="333333"/>
          <w:shd w:val="clear" w:color="auto" w:fill="FCFCFC"/>
        </w:rPr>
        <w:t>.</w:t>
      </w:r>
      <w:r>
        <w:rPr>
          <w:color w:val="333333"/>
          <w:shd w:val="clear" w:color="auto" w:fill="FCFCFC"/>
        </w:rPr>
        <w:t xml:space="preserve"> </w:t>
      </w:r>
    </w:p>
    <w:p w14:paraId="01FA03A3" w14:textId="77777777" w:rsidR="003B73BB" w:rsidRDefault="00000000">
      <w:pPr>
        <w:pBdr>
          <w:top w:val="nil"/>
          <w:left w:val="nil"/>
          <w:bottom w:val="nil"/>
          <w:right w:val="nil"/>
          <w:between w:val="nil"/>
        </w:pBdr>
        <w:tabs>
          <w:tab w:val="left" w:pos="6273"/>
        </w:tabs>
        <w:spacing w:after="0"/>
        <w:ind w:left="720"/>
        <w:rPr>
          <w:color w:val="333333"/>
          <w:shd w:val="clear" w:color="auto" w:fill="FCFCFC"/>
        </w:rPr>
      </w:pPr>
      <w:r>
        <w:rPr>
          <w:color w:val="333333"/>
          <w:shd w:val="clear" w:color="auto" w:fill="FCFCFC"/>
        </w:rPr>
        <w:t xml:space="preserve">      </w:t>
      </w:r>
      <w:hyperlink r:id="rId15">
        <w:r>
          <w:rPr>
            <w:color w:val="0563C1"/>
            <w:u w:val="single"/>
            <w:shd w:val="clear" w:color="auto" w:fill="FCFCFC"/>
          </w:rPr>
          <w:t>https://psycnet.apa.org/doi/10.1037/11305-023</w:t>
        </w:r>
      </w:hyperlink>
      <w:r>
        <w:rPr>
          <w:color w:val="333333"/>
          <w:shd w:val="clear" w:color="auto" w:fill="FCFCFC"/>
        </w:rPr>
        <w:t>.</w:t>
      </w:r>
      <w:r>
        <w:rPr>
          <w:color w:val="333333"/>
          <w:shd w:val="clear" w:color="auto" w:fill="FCFCFC"/>
        </w:rPr>
        <w:tab/>
      </w:r>
    </w:p>
    <w:p w14:paraId="6F6A2628" w14:textId="77777777" w:rsidR="003B73BB" w:rsidRDefault="003B73BB">
      <w:pPr>
        <w:pBdr>
          <w:top w:val="nil"/>
          <w:left w:val="nil"/>
          <w:bottom w:val="nil"/>
          <w:right w:val="nil"/>
          <w:between w:val="nil"/>
        </w:pBdr>
        <w:tabs>
          <w:tab w:val="left" w:pos="6273"/>
        </w:tabs>
        <w:spacing w:after="0"/>
        <w:ind w:left="720"/>
        <w:rPr>
          <w:color w:val="333333"/>
          <w:shd w:val="clear" w:color="auto" w:fill="FCFCFC"/>
        </w:rPr>
      </w:pPr>
    </w:p>
    <w:p w14:paraId="5646B13C" w14:textId="77777777" w:rsidR="003B73BB" w:rsidRDefault="00000000">
      <w:pPr>
        <w:pBdr>
          <w:top w:val="nil"/>
          <w:left w:val="nil"/>
          <w:bottom w:val="nil"/>
          <w:right w:val="nil"/>
          <w:between w:val="nil"/>
        </w:pBdr>
        <w:spacing w:after="0"/>
        <w:ind w:left="720"/>
        <w:rPr>
          <w:color w:val="333333"/>
          <w:shd w:val="clear" w:color="auto" w:fill="FCFCFC"/>
        </w:rPr>
      </w:pPr>
      <w:r>
        <w:rPr>
          <w:color w:val="333333"/>
          <w:shd w:val="clear" w:color="auto" w:fill="FCFCFC"/>
        </w:rPr>
        <w:t xml:space="preserve">Neuhart, R., Carney, A. (2020). Verbal Hostility. </w:t>
      </w:r>
      <w:r>
        <w:rPr>
          <w:i/>
          <w:color w:val="333333"/>
          <w:shd w:val="clear" w:color="auto" w:fill="FCFCFC"/>
        </w:rPr>
        <w:t>ScienceDirect</w:t>
      </w:r>
      <w:r>
        <w:rPr>
          <w:color w:val="333333"/>
          <w:shd w:val="clear" w:color="auto" w:fill="FCFCFC"/>
        </w:rPr>
        <w:t xml:space="preserve">. </w:t>
      </w:r>
    </w:p>
    <w:p w14:paraId="710A4082" w14:textId="77777777" w:rsidR="003B73BB" w:rsidRDefault="00000000">
      <w:pPr>
        <w:pBdr>
          <w:top w:val="nil"/>
          <w:left w:val="nil"/>
          <w:bottom w:val="nil"/>
          <w:right w:val="nil"/>
          <w:between w:val="nil"/>
        </w:pBdr>
        <w:spacing w:after="0"/>
        <w:ind w:left="720"/>
        <w:rPr>
          <w:color w:val="000000"/>
        </w:rPr>
      </w:pPr>
      <w:r>
        <w:rPr>
          <w:color w:val="333333"/>
          <w:shd w:val="clear" w:color="auto" w:fill="FCFCFC"/>
        </w:rPr>
        <w:t xml:space="preserve">      </w:t>
      </w:r>
      <w:hyperlink r:id="rId16" w:anchor=":~:text=Verbal%20aggression%20can%20be%20the%20use%20of%20cursing%2C,power%20disparity%20between%20the%20victim%20and%20the%20perpetrator.">
        <w:r>
          <w:rPr>
            <w:color w:val="0000FF"/>
            <w:u w:val="single"/>
          </w:rPr>
          <w:t>Verbal Hostility - an overview | ScienceDirect Topics</w:t>
        </w:r>
      </w:hyperlink>
      <w:r>
        <w:rPr>
          <w:color w:val="000000"/>
        </w:rPr>
        <w:t xml:space="preserve">. </w:t>
      </w:r>
    </w:p>
    <w:p w14:paraId="3159A2C7" w14:textId="77777777" w:rsidR="003B73BB" w:rsidRDefault="003B73BB">
      <w:pPr>
        <w:pBdr>
          <w:top w:val="nil"/>
          <w:left w:val="nil"/>
          <w:bottom w:val="nil"/>
          <w:right w:val="nil"/>
          <w:between w:val="nil"/>
        </w:pBdr>
        <w:spacing w:after="0"/>
        <w:ind w:left="720"/>
        <w:rPr>
          <w:color w:val="000000"/>
        </w:rPr>
      </w:pPr>
    </w:p>
    <w:p w14:paraId="56C68754" w14:textId="77777777" w:rsidR="003B73BB" w:rsidRDefault="00000000">
      <w:pPr>
        <w:spacing w:after="0"/>
        <w:ind w:left="720"/>
      </w:pPr>
      <w:proofErr w:type="spellStart"/>
      <w:r>
        <w:t>Yuriy</w:t>
      </w:r>
      <w:proofErr w:type="spellEnd"/>
      <w:r>
        <w:t>, D., Dolores, M. B., Leo, S. (2013). Bullying, Psychiatric Pathology and Suicidal</w:t>
      </w:r>
    </w:p>
    <w:p w14:paraId="194295F5" w14:textId="77777777" w:rsidR="003B73BB" w:rsidRDefault="00000000">
      <w:pPr>
        <w:spacing w:after="0"/>
        <w:ind w:left="720"/>
      </w:pPr>
      <w:r>
        <w:t xml:space="preserve">      </w:t>
      </w:r>
      <w:proofErr w:type="spellStart"/>
      <w:r>
        <w:t>Behaviour</w:t>
      </w:r>
      <w:proofErr w:type="spellEnd"/>
      <w:r>
        <w:t xml:space="preserve">. </w:t>
      </w:r>
      <w:r>
        <w:rPr>
          <w:i/>
        </w:rPr>
        <w:t>ProQuest</w:t>
      </w:r>
      <w:r>
        <w:t xml:space="preserve">. Vol. 25, </w:t>
      </w:r>
      <w:proofErr w:type="spellStart"/>
      <w:r>
        <w:t>Iss</w:t>
      </w:r>
      <w:proofErr w:type="spellEnd"/>
      <w:r>
        <w:t xml:space="preserve">. 3, 295-299. </w:t>
      </w:r>
    </w:p>
    <w:p w14:paraId="2A7F95D2" w14:textId="77777777" w:rsidR="003B73BB" w:rsidRDefault="00000000">
      <w:pPr>
        <w:spacing w:after="0"/>
        <w:ind w:left="720"/>
      </w:pPr>
      <w:r>
        <w:t xml:space="preserve">      </w:t>
      </w:r>
      <w:hyperlink r:id="rId17">
        <w:r>
          <w:rPr>
            <w:color w:val="0000FF"/>
            <w:u w:val="single"/>
          </w:rPr>
          <w:t>Bullying psychiatric pathology and suicidal behavior - ProQuest</w:t>
        </w:r>
      </w:hyperlink>
    </w:p>
    <w:p w14:paraId="7BA36D81" w14:textId="77777777" w:rsidR="003B73BB" w:rsidRDefault="003B73BB">
      <w:pPr>
        <w:pBdr>
          <w:top w:val="nil"/>
          <w:left w:val="nil"/>
          <w:bottom w:val="nil"/>
          <w:right w:val="nil"/>
          <w:between w:val="nil"/>
        </w:pBdr>
        <w:spacing w:after="0"/>
        <w:ind w:left="720"/>
        <w:rPr>
          <w:color w:val="000000"/>
        </w:rPr>
      </w:pPr>
    </w:p>
    <w:p w14:paraId="47ACF45C" w14:textId="77777777" w:rsidR="003B73BB" w:rsidRDefault="003B73BB">
      <w:pPr>
        <w:pBdr>
          <w:top w:val="nil"/>
          <w:left w:val="nil"/>
          <w:bottom w:val="nil"/>
          <w:right w:val="nil"/>
          <w:between w:val="nil"/>
        </w:pBdr>
        <w:tabs>
          <w:tab w:val="left" w:pos="6273"/>
        </w:tabs>
        <w:spacing w:after="0"/>
        <w:ind w:left="720"/>
        <w:rPr>
          <w:color w:val="000000"/>
        </w:rPr>
      </w:pPr>
    </w:p>
    <w:p w14:paraId="5127490F" w14:textId="77777777" w:rsidR="003B73BB" w:rsidRDefault="003B73BB">
      <w:pPr>
        <w:rPr>
          <w:b/>
          <w:sz w:val="24"/>
          <w:szCs w:val="24"/>
        </w:rPr>
      </w:pPr>
    </w:p>
    <w:p w14:paraId="6B2AA3E8" w14:textId="77777777" w:rsidR="003B73BB" w:rsidRDefault="00000000">
      <w:pPr>
        <w:rPr>
          <w:b/>
          <w:sz w:val="24"/>
          <w:szCs w:val="24"/>
        </w:rPr>
      </w:pPr>
      <w:r>
        <w:rPr>
          <w:b/>
          <w:sz w:val="24"/>
          <w:szCs w:val="24"/>
        </w:rPr>
        <w:t xml:space="preserve">Appendix: </w:t>
      </w:r>
    </w:p>
    <w:p w14:paraId="5DDEE4DB" w14:textId="77777777" w:rsidR="003B73BB" w:rsidRDefault="00000000">
      <w:pPr>
        <w:rPr>
          <w:b/>
          <w:sz w:val="24"/>
          <w:szCs w:val="24"/>
        </w:rPr>
      </w:pPr>
      <w:r>
        <w:rPr>
          <w:sz w:val="24"/>
          <w:szCs w:val="24"/>
        </w:rPr>
        <w:t xml:space="preserve">Appendix 1: </w:t>
      </w:r>
      <w:r>
        <w:rPr>
          <w:noProof/>
          <w:sz w:val="24"/>
          <w:szCs w:val="24"/>
        </w:rPr>
        <w:drawing>
          <wp:inline distT="0" distB="0" distL="0" distR="0" wp14:anchorId="0DBFC06E" wp14:editId="1045F73C">
            <wp:extent cx="5726430" cy="1170305"/>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5726430" cy="1170305"/>
                    </a:xfrm>
                    <a:prstGeom prst="rect">
                      <a:avLst/>
                    </a:prstGeom>
                    <a:ln/>
                  </pic:spPr>
                </pic:pic>
              </a:graphicData>
            </a:graphic>
          </wp:inline>
        </w:drawing>
      </w:r>
    </w:p>
    <w:sectPr w:rsidR="003B73BB">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Noto Sans">
    <w:panose1 w:val="020B0502040504090204"/>
    <w:charset w:val="00"/>
    <w:family w:val="swiss"/>
    <w:pitch w:val="variable"/>
    <w:sig w:usb0="E00002FF" w:usb1="400078FF" w:usb2="00000021"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Quattrocento Sans">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E377D"/>
    <w:multiLevelType w:val="multilevel"/>
    <w:tmpl w:val="0BF61864"/>
    <w:lvl w:ilvl="0">
      <w:start w:val="1"/>
      <w:numFmt w:val="bullet"/>
      <w:lvlText w:val="o"/>
      <w:lvlJc w:val="left"/>
      <w:pPr>
        <w:ind w:left="720" w:hanging="360"/>
      </w:pPr>
      <w:rPr>
        <w:rFonts w:ascii="Courier New" w:eastAsia="Courier New" w:hAnsi="Courier New" w:cs="Courier New"/>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w:eastAsia="Noto Sans" w:hAnsi="Noto Sans" w:cs="Noto Sans"/>
      </w:rPr>
    </w:lvl>
    <w:lvl w:ilvl="3">
      <w:start w:val="1"/>
      <w:numFmt w:val="bullet"/>
      <w:lvlText w:val="●"/>
      <w:lvlJc w:val="left"/>
      <w:pPr>
        <w:ind w:left="2880" w:hanging="360"/>
      </w:pPr>
      <w:rPr>
        <w:rFonts w:ascii="Noto Sans" w:eastAsia="Noto Sans" w:hAnsi="Noto Sans" w:cs="Noto San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w:eastAsia="Noto Sans" w:hAnsi="Noto Sans" w:cs="Noto Sans"/>
      </w:rPr>
    </w:lvl>
    <w:lvl w:ilvl="6">
      <w:start w:val="1"/>
      <w:numFmt w:val="bullet"/>
      <w:lvlText w:val="●"/>
      <w:lvlJc w:val="left"/>
      <w:pPr>
        <w:ind w:left="5040" w:hanging="360"/>
      </w:pPr>
      <w:rPr>
        <w:rFonts w:ascii="Noto Sans" w:eastAsia="Noto Sans" w:hAnsi="Noto Sans" w:cs="Noto San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w:eastAsia="Noto Sans" w:hAnsi="Noto Sans" w:cs="Noto Sans"/>
      </w:rPr>
    </w:lvl>
  </w:abstractNum>
  <w:abstractNum w:abstractNumId="1" w15:restartNumberingAfterBreak="0">
    <w:nsid w:val="29E625A3"/>
    <w:multiLevelType w:val="multilevel"/>
    <w:tmpl w:val="2BEEB4B4"/>
    <w:lvl w:ilvl="0">
      <w:start w:val="1"/>
      <w:numFmt w:val="bullet"/>
      <w:lvlText w:val="o"/>
      <w:lvlJc w:val="left"/>
      <w:pPr>
        <w:ind w:left="720" w:hanging="360"/>
      </w:pPr>
      <w:rPr>
        <w:rFonts w:ascii="Courier New" w:eastAsia="Courier New" w:hAnsi="Courier New" w:cs="Courier New"/>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w:eastAsia="Noto Sans" w:hAnsi="Noto Sans" w:cs="Noto Sans"/>
      </w:rPr>
    </w:lvl>
    <w:lvl w:ilvl="3">
      <w:start w:val="1"/>
      <w:numFmt w:val="bullet"/>
      <w:lvlText w:val="●"/>
      <w:lvlJc w:val="left"/>
      <w:pPr>
        <w:ind w:left="2880" w:hanging="360"/>
      </w:pPr>
      <w:rPr>
        <w:rFonts w:ascii="Noto Sans" w:eastAsia="Noto Sans" w:hAnsi="Noto Sans" w:cs="Noto San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w:eastAsia="Noto Sans" w:hAnsi="Noto Sans" w:cs="Noto Sans"/>
      </w:rPr>
    </w:lvl>
    <w:lvl w:ilvl="6">
      <w:start w:val="1"/>
      <w:numFmt w:val="bullet"/>
      <w:lvlText w:val="●"/>
      <w:lvlJc w:val="left"/>
      <w:pPr>
        <w:ind w:left="5040" w:hanging="360"/>
      </w:pPr>
      <w:rPr>
        <w:rFonts w:ascii="Noto Sans" w:eastAsia="Noto Sans" w:hAnsi="Noto Sans" w:cs="Noto San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w:eastAsia="Noto Sans" w:hAnsi="Noto Sans" w:cs="Noto Sans"/>
      </w:rPr>
    </w:lvl>
  </w:abstractNum>
  <w:num w:numId="1" w16cid:durableId="1962227104">
    <w:abstractNumId w:val="1"/>
  </w:num>
  <w:num w:numId="2" w16cid:durableId="7353959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73BB"/>
    <w:rsid w:val="003B73BB"/>
    <w:rsid w:val="00966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E4070"/>
  <w15:docId w15:val="{DC5FA69A-EFD3-4A85-9021-AA01D7B13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A27058"/>
    <w:pPr>
      <w:ind w:left="720"/>
      <w:contextualSpacing/>
    </w:pPr>
  </w:style>
  <w:style w:type="character" w:styleId="Hyperlink">
    <w:name w:val="Hyperlink"/>
    <w:basedOn w:val="DefaultParagraphFont"/>
    <w:uiPriority w:val="99"/>
    <w:unhideWhenUsed/>
    <w:rsid w:val="00331B1E"/>
    <w:rPr>
      <w:color w:val="0563C1" w:themeColor="hyperlink"/>
      <w:u w:val="single"/>
    </w:rPr>
  </w:style>
  <w:style w:type="character" w:styleId="UnresolvedMention">
    <w:name w:val="Unresolved Mention"/>
    <w:basedOn w:val="DefaultParagraphFont"/>
    <w:uiPriority w:val="99"/>
    <w:semiHidden/>
    <w:unhideWhenUsed/>
    <w:rsid w:val="00331B1E"/>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oxfordreference.com/view/10.1093/acref/9780198568506.001.0001/acref-9780198568506-e-249" TargetMode="External"/><Relationship Id="rId1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hyperlink" Target="https://psycnet.apa.org/doi/10.1037/h0043041" TargetMode="External"/><Relationship Id="rId17" Type="http://schemas.openxmlformats.org/officeDocument/2006/relationships/hyperlink" Target="https://www.proquest.com/docview/1704365064?accountid=130472&amp;parentSessionId=2m2HiI5yqLqd1ou2uRYn6uHfFZBycEDTi%2BFcVsFhn8Q%3D&amp;pq-origsite=primo" TargetMode="External"/><Relationship Id="rId2" Type="http://schemas.openxmlformats.org/officeDocument/2006/relationships/numbering" Target="numbering.xml"/><Relationship Id="rId16" Type="http://schemas.openxmlformats.org/officeDocument/2006/relationships/hyperlink" Target="https://www.sciencedirect.com/topics/medicine-and-dentistry/verbal-hostilit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youtube.com/watch?v=0aLAbwR3fog" TargetMode="External"/><Relationship Id="rId11" Type="http://schemas.openxmlformats.org/officeDocument/2006/relationships/hyperlink" Target="https://web-s-ebscohost-com.ezproxy.uwtsd.ac.uk/ehost/pdfviewer/pdfviewer?vid=0&amp;sid=b94d7adf-94a2-4d41-a03a-98dd662c437d%40redis" TargetMode="External"/><Relationship Id="rId5" Type="http://schemas.openxmlformats.org/officeDocument/2006/relationships/webSettings" Target="webSettings.xml"/><Relationship Id="rId15" Type="http://schemas.openxmlformats.org/officeDocument/2006/relationships/hyperlink" Target="https://psycnet.apa.org/doi/10.1037/11305-023" TargetMode="External"/><Relationship Id="rId10" Type="http://schemas.openxmlformats.org/officeDocument/2006/relationships/hyperlink" Target="https://psycnet.apa.org/doi/10.1037/0033-2909.106.1.59"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02/9781119011071.iemp0200" TargetMode="External"/><Relationship Id="rId14" Type="http://schemas.openxmlformats.org/officeDocument/2006/relationships/hyperlink" Target="https://doi.org/10.1007/978-0-387-79061-9_21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olgg3S7zPwpdQj2VSeyEV+/wJqw==">AMUW2mXM2nxn8L4p1+XYkZg1Y01fLKwwFHJhQLjN6CdvcytfKmSUcSh4wakZ9o/3SLgc20KlNqBnNjir5KhcYlIWK/ryE05jIKkzJr5EF2gUfiv5FwwtDqHoCg6OFhrBBePZBbi5zVTm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2135</Words>
  <Characters>12173</Characters>
  <Application>Microsoft Office Word</Application>
  <DocSecurity>0</DocSecurity>
  <Lines>101</Lines>
  <Paragraphs>28</Paragraphs>
  <ScaleCrop>false</ScaleCrop>
  <Company/>
  <LinksUpToDate>false</LinksUpToDate>
  <CharactersWithSpaces>14280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Afsana</dc:creator>
  <cp:lastModifiedBy>Afsana</cp:lastModifiedBy>
  <cp:revision>2</cp:revision>
  <dcterms:created xsi:type="dcterms:W3CDTF">2022-11-23T14:36:00Z</dcterms:created>
  <dcterms:modified xsi:type="dcterms:W3CDTF">2022-12-05T21:58:00Z</dcterms:modified>
</cp:coreProperties>
</file>