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3F75E9" w14:textId="77777777" w:rsidR="00A32AFF" w:rsidRPr="00A32AFF" w:rsidRDefault="00A32AFF" w:rsidP="00A32AFF">
      <w:pPr>
        <w:autoSpaceDE w:val="0"/>
        <w:autoSpaceDN w:val="0"/>
        <w:adjustRightInd w:val="0"/>
        <w:spacing w:after="40" w:line="240" w:lineRule="auto"/>
        <w:rPr>
          <w:rFonts w:ascii="Arial" w:hAnsi="Arial" w:cs="Arial"/>
          <w:b/>
          <w:bCs/>
          <w:kern w:val="0"/>
          <w:sz w:val="32"/>
          <w:szCs w:val="32"/>
        </w:rPr>
      </w:pPr>
    </w:p>
    <w:p w14:paraId="1CF96608" w14:textId="77777777" w:rsidR="00A32AFF" w:rsidRPr="00A32AFF" w:rsidRDefault="00A32AFF" w:rsidP="00A32AFF">
      <w:pPr>
        <w:rPr>
          <w:rFonts w:ascii="Arial" w:hAnsi="Arial" w:cs="Arial"/>
          <w:sz w:val="28"/>
          <w:szCs w:val="28"/>
        </w:rPr>
      </w:pPr>
      <w:r w:rsidRPr="00A32AFF">
        <w:rPr>
          <w:rFonts w:ascii="Arial" w:hAnsi="Arial" w:cs="Arial"/>
          <w:noProof/>
        </w:rPr>
        <w:drawing>
          <wp:anchor distT="0" distB="0" distL="114300" distR="114300" simplePos="0" relativeHeight="251659264" behindDoc="0" locked="0" layoutInCell="1" allowOverlap="1" wp14:anchorId="5145541F" wp14:editId="6BB9063F">
            <wp:simplePos x="0" y="0"/>
            <wp:positionH relativeFrom="column">
              <wp:posOffset>1960776</wp:posOffset>
            </wp:positionH>
            <wp:positionV relativeFrom="paragraph">
              <wp:posOffset>258275</wp:posOffset>
            </wp:positionV>
            <wp:extent cx="1452563" cy="648333"/>
            <wp:effectExtent l="0" t="0" r="0" b="0"/>
            <wp:wrapThrough wrapText="bothSides">
              <wp:wrapPolygon edited="0">
                <wp:start x="0" y="0"/>
                <wp:lineTo x="0" y="21176"/>
                <wp:lineTo x="21345" y="21176"/>
                <wp:lineTo x="21345" y="0"/>
                <wp:lineTo x="0" y="0"/>
              </wp:wrapPolygon>
            </wp:wrapThrough>
            <wp:docPr id="1" name="image2.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2.png" descr="A close-up of a sign&#10;&#10;AI-generated content may be incorrect."/>
                    <pic:cNvPicPr preferRelativeResize="0"/>
                  </pic:nvPicPr>
                  <pic:blipFill>
                    <a:blip r:embed="rId6" cstate="print">
                      <a:extLst>
                        <a:ext uri="{28A0092B-C50C-407E-A947-70E740481C1C}">
                          <a14:useLocalDpi xmlns:a14="http://schemas.microsoft.com/office/drawing/2010/main" val="0"/>
                        </a:ext>
                      </a:extLst>
                    </a:blip>
                    <a:srcRect/>
                    <a:stretch>
                      <a:fillRect/>
                    </a:stretch>
                  </pic:blipFill>
                  <pic:spPr>
                    <a:xfrm>
                      <a:off x="0" y="0"/>
                      <a:ext cx="1452563" cy="648333"/>
                    </a:xfrm>
                    <a:prstGeom prst="rect">
                      <a:avLst/>
                    </a:prstGeom>
                    <a:ln/>
                  </pic:spPr>
                </pic:pic>
              </a:graphicData>
            </a:graphic>
          </wp:anchor>
        </w:drawing>
      </w:r>
    </w:p>
    <w:p w14:paraId="26CBF00A" w14:textId="77777777" w:rsidR="00A32AFF" w:rsidRPr="00A32AFF" w:rsidRDefault="00A32AFF" w:rsidP="00A32AFF">
      <w:pPr>
        <w:jc w:val="center"/>
        <w:rPr>
          <w:rFonts w:ascii="Arial" w:hAnsi="Arial" w:cs="Arial"/>
          <w:sz w:val="28"/>
          <w:szCs w:val="28"/>
        </w:rPr>
      </w:pPr>
    </w:p>
    <w:p w14:paraId="78C46CC5" w14:textId="77777777" w:rsidR="00A32AFF" w:rsidRPr="00A32AFF" w:rsidRDefault="00A32AFF" w:rsidP="00A32AFF">
      <w:pPr>
        <w:rPr>
          <w:rFonts w:ascii="Arial" w:hAnsi="Arial" w:cs="Arial"/>
          <w:sz w:val="28"/>
          <w:szCs w:val="28"/>
        </w:rPr>
      </w:pPr>
    </w:p>
    <w:p w14:paraId="228DCA2A" w14:textId="77777777" w:rsidR="00A32AFF" w:rsidRPr="00A32AFF" w:rsidRDefault="00A32AFF" w:rsidP="00A32AFF">
      <w:pPr>
        <w:rPr>
          <w:rFonts w:ascii="Arial" w:hAnsi="Arial" w:cs="Arial"/>
          <w:sz w:val="28"/>
          <w:szCs w:val="28"/>
        </w:rPr>
      </w:pPr>
    </w:p>
    <w:p w14:paraId="39E52190" w14:textId="77777777" w:rsidR="00A32AFF" w:rsidRPr="00A32AFF" w:rsidRDefault="00A32AFF" w:rsidP="00A32AFF">
      <w:pPr>
        <w:rPr>
          <w:rFonts w:ascii="Arial" w:hAnsi="Arial" w:cs="Arial"/>
          <w:sz w:val="28"/>
          <w:szCs w:val="28"/>
        </w:rPr>
      </w:pPr>
    </w:p>
    <w:p w14:paraId="48FC552D" w14:textId="77777777" w:rsidR="00A32AFF" w:rsidRPr="00A32AFF" w:rsidRDefault="00A32AFF" w:rsidP="00A32AFF">
      <w:pPr>
        <w:pStyle w:val="Title"/>
        <w:jc w:val="center"/>
        <w:rPr>
          <w:rFonts w:ascii="Arial" w:hAnsi="Arial" w:cs="Arial"/>
          <w:sz w:val="44"/>
          <w:szCs w:val="36"/>
        </w:rPr>
      </w:pPr>
      <w:r w:rsidRPr="00A32AFF">
        <w:rPr>
          <w:rFonts w:ascii="Arial" w:hAnsi="Arial" w:cs="Arial"/>
          <w:sz w:val="44"/>
          <w:szCs w:val="36"/>
        </w:rPr>
        <w:t>Contemporary Human Resource Challenges and Practices:</w:t>
      </w:r>
      <w:r w:rsidRPr="00A32AFF">
        <w:rPr>
          <w:rFonts w:ascii="Arial" w:hAnsi="Arial" w:cs="Arial"/>
          <w:sz w:val="44"/>
          <w:szCs w:val="36"/>
        </w:rPr>
        <w:br/>
        <w:t xml:space="preserve"> A case study of Sainsbury’s PLC</w:t>
      </w:r>
    </w:p>
    <w:p w14:paraId="5BD04D0F" w14:textId="77777777" w:rsidR="00A32AFF" w:rsidRPr="00A32AFF" w:rsidRDefault="00A32AFF" w:rsidP="00A32AFF">
      <w:pPr>
        <w:rPr>
          <w:rFonts w:ascii="Arial" w:hAnsi="Arial" w:cs="Arial"/>
        </w:rPr>
      </w:pPr>
    </w:p>
    <w:p w14:paraId="61292146" w14:textId="77777777" w:rsidR="00A32AFF" w:rsidRPr="00A32AFF" w:rsidRDefault="00A32AFF" w:rsidP="00A32AFF">
      <w:pPr>
        <w:rPr>
          <w:rFonts w:ascii="Arial" w:hAnsi="Arial" w:cs="Arial"/>
        </w:rPr>
      </w:pPr>
    </w:p>
    <w:p w14:paraId="01EE58B2" w14:textId="77777777" w:rsidR="00A32AFF" w:rsidRPr="00A32AFF" w:rsidRDefault="00A32AFF" w:rsidP="00A32AFF">
      <w:pPr>
        <w:rPr>
          <w:rFonts w:ascii="Arial" w:hAnsi="Arial" w:cs="Arial"/>
        </w:rPr>
      </w:pPr>
    </w:p>
    <w:p w14:paraId="2FCD451C" w14:textId="77777777" w:rsidR="00A32AFF" w:rsidRPr="00A32AFF" w:rsidRDefault="00A32AFF" w:rsidP="00A32AFF">
      <w:pPr>
        <w:rPr>
          <w:rFonts w:ascii="Arial" w:hAnsi="Arial" w:cs="Arial"/>
        </w:rPr>
      </w:pPr>
    </w:p>
    <w:p w14:paraId="70E10F99" w14:textId="77777777" w:rsidR="00A32AFF" w:rsidRPr="00A32AFF" w:rsidRDefault="00A32AFF" w:rsidP="00A32AFF">
      <w:pPr>
        <w:rPr>
          <w:rFonts w:ascii="Arial" w:hAnsi="Arial" w:cs="Arial"/>
        </w:rPr>
      </w:pPr>
    </w:p>
    <w:p w14:paraId="05205BEB" w14:textId="77777777" w:rsidR="00A32AFF" w:rsidRPr="00A32AFF" w:rsidRDefault="00A32AFF" w:rsidP="00A32AFF">
      <w:pPr>
        <w:rPr>
          <w:rFonts w:ascii="Arial" w:hAnsi="Arial" w:cs="Arial"/>
        </w:rPr>
      </w:pPr>
    </w:p>
    <w:p w14:paraId="4D246BC2" w14:textId="77777777" w:rsidR="00A32AFF" w:rsidRPr="00A32AFF" w:rsidRDefault="00A32AFF" w:rsidP="00A32AFF">
      <w:pPr>
        <w:rPr>
          <w:rFonts w:ascii="Arial" w:hAnsi="Arial" w:cs="Arial"/>
        </w:rPr>
      </w:pPr>
    </w:p>
    <w:p w14:paraId="7BE7349D" w14:textId="77777777" w:rsidR="00A32AFF" w:rsidRPr="00A32AFF" w:rsidRDefault="00A32AFF" w:rsidP="00A32AFF">
      <w:pPr>
        <w:rPr>
          <w:rFonts w:ascii="Arial" w:hAnsi="Arial" w:cs="Arial"/>
        </w:rPr>
      </w:pPr>
    </w:p>
    <w:p w14:paraId="4572F919" w14:textId="77777777" w:rsidR="00A32AFF" w:rsidRPr="00A32AFF" w:rsidRDefault="00A32AFF" w:rsidP="00A32AFF">
      <w:pPr>
        <w:rPr>
          <w:rFonts w:ascii="Arial" w:hAnsi="Arial" w:cs="Arial"/>
        </w:rPr>
      </w:pPr>
    </w:p>
    <w:p w14:paraId="66CB0CCC" w14:textId="77777777" w:rsidR="00A32AFF" w:rsidRPr="00A32AFF" w:rsidRDefault="00A32AFF" w:rsidP="00A32AFF">
      <w:pPr>
        <w:rPr>
          <w:rFonts w:ascii="Arial" w:hAnsi="Arial" w:cs="Arial"/>
        </w:rPr>
      </w:pPr>
    </w:p>
    <w:p w14:paraId="16B6CA59" w14:textId="77777777" w:rsidR="00A32AFF" w:rsidRPr="00A32AFF" w:rsidRDefault="00A32AFF" w:rsidP="00A32AFF">
      <w:pPr>
        <w:jc w:val="center"/>
        <w:rPr>
          <w:rFonts w:ascii="Arial" w:hAnsi="Arial" w:cs="Arial"/>
          <w:sz w:val="32"/>
          <w:szCs w:val="32"/>
        </w:rPr>
      </w:pPr>
      <w:r w:rsidRPr="00A32AFF">
        <w:rPr>
          <w:rFonts w:ascii="Arial" w:hAnsi="Arial" w:cs="Arial"/>
          <w:sz w:val="32"/>
          <w:szCs w:val="32"/>
        </w:rPr>
        <w:t>Student Name: Ricses Martinez Dacuyan</w:t>
      </w:r>
    </w:p>
    <w:p w14:paraId="7D7D82CF" w14:textId="77777777" w:rsidR="00A32AFF" w:rsidRPr="00A32AFF" w:rsidRDefault="00A32AFF" w:rsidP="00A32AFF">
      <w:pPr>
        <w:jc w:val="center"/>
        <w:rPr>
          <w:rFonts w:ascii="Arial" w:hAnsi="Arial" w:cs="Arial"/>
          <w:sz w:val="32"/>
          <w:szCs w:val="32"/>
        </w:rPr>
      </w:pPr>
      <w:r w:rsidRPr="00A32AFF">
        <w:rPr>
          <w:rFonts w:ascii="Arial" w:hAnsi="Arial" w:cs="Arial"/>
          <w:sz w:val="32"/>
          <w:szCs w:val="32"/>
        </w:rPr>
        <w:t>Student ID: 2438233</w:t>
      </w:r>
    </w:p>
    <w:p w14:paraId="0E27F3EF" w14:textId="02BBDC6D" w:rsidR="00A32AFF" w:rsidRPr="00A32AFF" w:rsidRDefault="00A32AFF" w:rsidP="00A32AFF">
      <w:pPr>
        <w:jc w:val="center"/>
        <w:rPr>
          <w:rFonts w:ascii="Arial" w:hAnsi="Arial" w:cs="Arial"/>
          <w:sz w:val="32"/>
          <w:szCs w:val="32"/>
        </w:rPr>
      </w:pPr>
      <w:r w:rsidRPr="00A32AFF">
        <w:rPr>
          <w:rFonts w:ascii="Arial" w:hAnsi="Arial" w:cs="Arial"/>
          <w:sz w:val="32"/>
          <w:szCs w:val="32"/>
        </w:rPr>
        <w:t>Module: Developing and Managing Individuals and Teams</w:t>
      </w:r>
    </w:p>
    <w:p w14:paraId="40F73365" w14:textId="6995FEA3" w:rsidR="00A32AFF" w:rsidRPr="00A32AFF" w:rsidRDefault="00A32AFF" w:rsidP="00A32AFF">
      <w:pPr>
        <w:jc w:val="center"/>
        <w:rPr>
          <w:rFonts w:ascii="Arial" w:hAnsi="Arial" w:cs="Arial"/>
          <w:sz w:val="32"/>
          <w:szCs w:val="32"/>
        </w:rPr>
      </w:pPr>
      <w:r w:rsidRPr="00A32AFF">
        <w:rPr>
          <w:rFonts w:ascii="Arial" w:hAnsi="Arial" w:cs="Arial"/>
          <w:sz w:val="32"/>
          <w:szCs w:val="32"/>
        </w:rPr>
        <w:t>Module Code: LCLM5002</w:t>
      </w:r>
    </w:p>
    <w:p w14:paraId="5D97E19C" w14:textId="0C8B3172" w:rsidR="00A32AFF" w:rsidRPr="00A32AFF" w:rsidRDefault="00A32AFF" w:rsidP="00A32AFF">
      <w:pPr>
        <w:jc w:val="center"/>
        <w:rPr>
          <w:rFonts w:ascii="Arial" w:hAnsi="Arial" w:cs="Arial"/>
          <w:sz w:val="32"/>
          <w:szCs w:val="32"/>
        </w:rPr>
      </w:pPr>
      <w:r w:rsidRPr="00A32AFF">
        <w:rPr>
          <w:rFonts w:ascii="Arial" w:hAnsi="Arial" w:cs="Arial"/>
          <w:sz w:val="32"/>
          <w:szCs w:val="32"/>
        </w:rPr>
        <w:t>Lecturer: Mubashir Qurashi</w:t>
      </w:r>
    </w:p>
    <w:sdt>
      <w:sdtPr>
        <w:id w:val="-1802916362"/>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26B70D8B" w14:textId="2B2BCC30" w:rsidR="00A32AFF" w:rsidRDefault="00A32AFF">
          <w:pPr>
            <w:pStyle w:val="TOCHeading"/>
          </w:pPr>
          <w:r>
            <w:t>Table of Contents</w:t>
          </w:r>
        </w:p>
        <w:p w14:paraId="64B7B8D5" w14:textId="0D95CE83" w:rsidR="00A32AFF" w:rsidRDefault="00A32AFF">
          <w:pPr>
            <w:pStyle w:val="TOC1"/>
            <w:tabs>
              <w:tab w:val="right" w:leader="dot" w:pos="9350"/>
            </w:tabs>
            <w:rPr>
              <w:rFonts w:eastAsiaTheme="minorEastAsia"/>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237973318" w:history="1">
            <w:r w:rsidRPr="006671D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_Toc237973318 \h </w:instrText>
            </w:r>
            <w:r>
              <w:rPr>
                <w:noProof/>
                <w:webHidden/>
              </w:rPr>
            </w:r>
            <w:r>
              <w:rPr>
                <w:noProof/>
                <w:webHidden/>
              </w:rPr>
              <w:fldChar w:fldCharType="separate"/>
            </w:r>
            <w:r>
              <w:rPr>
                <w:noProof/>
                <w:webHidden/>
              </w:rPr>
              <w:t>3</w:t>
            </w:r>
            <w:r>
              <w:rPr>
                <w:noProof/>
                <w:webHidden/>
              </w:rPr>
              <w:fldChar w:fldCharType="end"/>
            </w:r>
          </w:hyperlink>
        </w:p>
        <w:p w14:paraId="773AB5A4" w14:textId="3B45D8A3" w:rsidR="00A32AFF" w:rsidRDefault="00A32AFF">
          <w:pPr>
            <w:pStyle w:val="TOC1"/>
            <w:tabs>
              <w:tab w:val="right" w:leader="dot" w:pos="9350"/>
            </w:tabs>
            <w:rPr>
              <w:rFonts w:eastAsiaTheme="minorEastAsia"/>
              <w:b w:val="0"/>
              <w:bCs w:val="0"/>
              <w:caps w:val="0"/>
              <w:noProof/>
              <w:sz w:val="24"/>
              <w:szCs w:val="24"/>
              <w:u w:val="none"/>
              <w:lang w:eastAsia="en-GB"/>
            </w:rPr>
          </w:pPr>
          <w:hyperlink w:anchor="_Toc237973319" w:history="1">
            <w:r w:rsidRPr="006671D8">
              <w:rPr>
                <w:rStyle w:val="Hyperlink"/>
                <w:noProof/>
              </w:rPr>
              <w:t>1. Explanation of Key Factors</w:t>
            </w:r>
            <w:r>
              <w:rPr>
                <w:noProof/>
                <w:webHidden/>
              </w:rPr>
              <w:tab/>
            </w:r>
            <w:r>
              <w:rPr>
                <w:noProof/>
                <w:webHidden/>
              </w:rPr>
              <w:fldChar w:fldCharType="begin"/>
            </w:r>
            <w:r>
              <w:rPr>
                <w:noProof/>
                <w:webHidden/>
              </w:rPr>
              <w:instrText xml:space="preserve"> PAGEREF _Toc237973319 \h </w:instrText>
            </w:r>
            <w:r>
              <w:rPr>
                <w:noProof/>
                <w:webHidden/>
              </w:rPr>
            </w:r>
            <w:r>
              <w:rPr>
                <w:noProof/>
                <w:webHidden/>
              </w:rPr>
              <w:fldChar w:fldCharType="separate"/>
            </w:r>
            <w:r>
              <w:rPr>
                <w:noProof/>
                <w:webHidden/>
              </w:rPr>
              <w:t>3</w:t>
            </w:r>
            <w:r>
              <w:rPr>
                <w:noProof/>
                <w:webHidden/>
              </w:rPr>
              <w:fldChar w:fldCharType="end"/>
            </w:r>
          </w:hyperlink>
        </w:p>
        <w:p w14:paraId="225754DC" w14:textId="41EE13B5" w:rsidR="00A32AFF" w:rsidRDefault="00A32AFF">
          <w:pPr>
            <w:pStyle w:val="TOC1"/>
            <w:tabs>
              <w:tab w:val="right" w:leader="dot" w:pos="9350"/>
            </w:tabs>
            <w:rPr>
              <w:rFonts w:eastAsiaTheme="minorEastAsia"/>
              <w:b w:val="0"/>
              <w:bCs w:val="0"/>
              <w:caps w:val="0"/>
              <w:noProof/>
              <w:sz w:val="24"/>
              <w:szCs w:val="24"/>
              <w:u w:val="none"/>
              <w:lang w:eastAsia="en-GB"/>
            </w:rPr>
          </w:pPr>
          <w:hyperlink w:anchor="_Toc237973320" w:history="1">
            <w:r w:rsidRPr="006671D8">
              <w:rPr>
                <w:rStyle w:val="Hyperlink"/>
                <w:noProof/>
              </w:rPr>
              <w:t>1.1 Adapting to Technological Advancement</w:t>
            </w:r>
            <w:r>
              <w:rPr>
                <w:noProof/>
                <w:webHidden/>
              </w:rPr>
              <w:tab/>
            </w:r>
            <w:r>
              <w:rPr>
                <w:noProof/>
                <w:webHidden/>
              </w:rPr>
              <w:fldChar w:fldCharType="begin"/>
            </w:r>
            <w:r>
              <w:rPr>
                <w:noProof/>
                <w:webHidden/>
              </w:rPr>
              <w:instrText xml:space="preserve"> PAGEREF _Toc237973320 \h </w:instrText>
            </w:r>
            <w:r>
              <w:rPr>
                <w:noProof/>
                <w:webHidden/>
              </w:rPr>
            </w:r>
            <w:r>
              <w:rPr>
                <w:noProof/>
                <w:webHidden/>
              </w:rPr>
              <w:fldChar w:fldCharType="separate"/>
            </w:r>
            <w:r>
              <w:rPr>
                <w:noProof/>
                <w:webHidden/>
              </w:rPr>
              <w:t>3</w:t>
            </w:r>
            <w:r>
              <w:rPr>
                <w:noProof/>
                <w:webHidden/>
              </w:rPr>
              <w:fldChar w:fldCharType="end"/>
            </w:r>
          </w:hyperlink>
        </w:p>
        <w:p w14:paraId="0B5F2E34" w14:textId="1C2B8903" w:rsidR="00A32AFF" w:rsidRDefault="00A32AFF">
          <w:pPr>
            <w:pStyle w:val="TOC1"/>
            <w:tabs>
              <w:tab w:val="right" w:leader="dot" w:pos="9350"/>
            </w:tabs>
            <w:rPr>
              <w:rFonts w:eastAsiaTheme="minorEastAsia"/>
              <w:b w:val="0"/>
              <w:bCs w:val="0"/>
              <w:caps w:val="0"/>
              <w:noProof/>
              <w:sz w:val="24"/>
              <w:szCs w:val="24"/>
              <w:u w:val="none"/>
              <w:lang w:eastAsia="en-GB"/>
            </w:rPr>
          </w:pPr>
          <w:hyperlink w:anchor="_Toc237973321" w:history="1">
            <w:r w:rsidRPr="006671D8">
              <w:rPr>
                <w:rStyle w:val="Hyperlink"/>
                <w:noProof/>
              </w:rPr>
              <w:t>1.2 Talent Acquisition and Retention</w:t>
            </w:r>
            <w:r>
              <w:rPr>
                <w:noProof/>
                <w:webHidden/>
              </w:rPr>
              <w:tab/>
            </w:r>
            <w:r>
              <w:rPr>
                <w:noProof/>
                <w:webHidden/>
              </w:rPr>
              <w:fldChar w:fldCharType="begin"/>
            </w:r>
            <w:r>
              <w:rPr>
                <w:noProof/>
                <w:webHidden/>
              </w:rPr>
              <w:instrText xml:space="preserve"> PAGEREF _Toc237973321 \h </w:instrText>
            </w:r>
            <w:r>
              <w:rPr>
                <w:noProof/>
                <w:webHidden/>
              </w:rPr>
            </w:r>
            <w:r>
              <w:rPr>
                <w:noProof/>
                <w:webHidden/>
              </w:rPr>
              <w:fldChar w:fldCharType="separate"/>
            </w:r>
            <w:r>
              <w:rPr>
                <w:noProof/>
                <w:webHidden/>
              </w:rPr>
              <w:t>3</w:t>
            </w:r>
            <w:r>
              <w:rPr>
                <w:noProof/>
                <w:webHidden/>
              </w:rPr>
              <w:fldChar w:fldCharType="end"/>
            </w:r>
          </w:hyperlink>
        </w:p>
        <w:p w14:paraId="5D7C2FCB" w14:textId="5F98608A" w:rsidR="00A32AFF" w:rsidRDefault="00A32AFF">
          <w:pPr>
            <w:pStyle w:val="TOC1"/>
            <w:tabs>
              <w:tab w:val="right" w:leader="dot" w:pos="9350"/>
            </w:tabs>
            <w:rPr>
              <w:rFonts w:eastAsiaTheme="minorEastAsia"/>
              <w:b w:val="0"/>
              <w:bCs w:val="0"/>
              <w:caps w:val="0"/>
              <w:noProof/>
              <w:sz w:val="24"/>
              <w:szCs w:val="24"/>
              <w:u w:val="none"/>
              <w:lang w:eastAsia="en-GB"/>
            </w:rPr>
          </w:pPr>
          <w:hyperlink w:anchor="_Toc237973322" w:history="1">
            <w:r w:rsidRPr="006671D8">
              <w:rPr>
                <w:rStyle w:val="Hyperlink"/>
                <w:noProof/>
              </w:rPr>
              <w:t>1.3 Diversity, Equity and Inclusion (DEI)</w:t>
            </w:r>
            <w:r>
              <w:rPr>
                <w:noProof/>
                <w:webHidden/>
              </w:rPr>
              <w:tab/>
            </w:r>
            <w:r>
              <w:rPr>
                <w:noProof/>
                <w:webHidden/>
              </w:rPr>
              <w:fldChar w:fldCharType="begin"/>
            </w:r>
            <w:r>
              <w:rPr>
                <w:noProof/>
                <w:webHidden/>
              </w:rPr>
              <w:instrText xml:space="preserve"> PAGEREF _Toc237973322 \h </w:instrText>
            </w:r>
            <w:r>
              <w:rPr>
                <w:noProof/>
                <w:webHidden/>
              </w:rPr>
            </w:r>
            <w:r>
              <w:rPr>
                <w:noProof/>
                <w:webHidden/>
              </w:rPr>
              <w:fldChar w:fldCharType="separate"/>
            </w:r>
            <w:r>
              <w:rPr>
                <w:noProof/>
                <w:webHidden/>
              </w:rPr>
              <w:t>4</w:t>
            </w:r>
            <w:r>
              <w:rPr>
                <w:noProof/>
                <w:webHidden/>
              </w:rPr>
              <w:fldChar w:fldCharType="end"/>
            </w:r>
          </w:hyperlink>
        </w:p>
        <w:p w14:paraId="004273B7" w14:textId="2068D08D" w:rsidR="00A32AFF" w:rsidRDefault="00A32AFF">
          <w:pPr>
            <w:pStyle w:val="TOC1"/>
            <w:tabs>
              <w:tab w:val="right" w:leader="dot" w:pos="9350"/>
            </w:tabs>
            <w:rPr>
              <w:rFonts w:eastAsiaTheme="minorEastAsia"/>
              <w:b w:val="0"/>
              <w:bCs w:val="0"/>
              <w:caps w:val="0"/>
              <w:noProof/>
              <w:sz w:val="24"/>
              <w:szCs w:val="24"/>
              <w:u w:val="none"/>
              <w:lang w:eastAsia="en-GB"/>
            </w:rPr>
          </w:pPr>
          <w:hyperlink w:anchor="_Toc237973323" w:history="1">
            <w:r w:rsidRPr="006671D8">
              <w:rPr>
                <w:rStyle w:val="Hyperlink"/>
                <w:noProof/>
              </w:rPr>
              <w:t>2. Evaluation of Contemporary HR Practices</w:t>
            </w:r>
            <w:r>
              <w:rPr>
                <w:noProof/>
                <w:webHidden/>
              </w:rPr>
              <w:tab/>
            </w:r>
            <w:r>
              <w:rPr>
                <w:noProof/>
                <w:webHidden/>
              </w:rPr>
              <w:fldChar w:fldCharType="begin"/>
            </w:r>
            <w:r>
              <w:rPr>
                <w:noProof/>
                <w:webHidden/>
              </w:rPr>
              <w:instrText xml:space="preserve"> PAGEREF _Toc237973323 \h </w:instrText>
            </w:r>
            <w:r>
              <w:rPr>
                <w:noProof/>
                <w:webHidden/>
              </w:rPr>
            </w:r>
            <w:r>
              <w:rPr>
                <w:noProof/>
                <w:webHidden/>
              </w:rPr>
              <w:fldChar w:fldCharType="separate"/>
            </w:r>
            <w:r>
              <w:rPr>
                <w:noProof/>
                <w:webHidden/>
              </w:rPr>
              <w:t>4</w:t>
            </w:r>
            <w:r>
              <w:rPr>
                <w:noProof/>
                <w:webHidden/>
              </w:rPr>
              <w:fldChar w:fldCharType="end"/>
            </w:r>
          </w:hyperlink>
        </w:p>
        <w:p w14:paraId="105DD55A" w14:textId="0134E826" w:rsidR="00A32AFF" w:rsidRDefault="00A32AFF">
          <w:pPr>
            <w:pStyle w:val="TOC1"/>
            <w:tabs>
              <w:tab w:val="right" w:leader="dot" w:pos="9350"/>
            </w:tabs>
            <w:rPr>
              <w:rFonts w:eastAsiaTheme="minorEastAsia"/>
              <w:b w:val="0"/>
              <w:bCs w:val="0"/>
              <w:caps w:val="0"/>
              <w:noProof/>
              <w:sz w:val="24"/>
              <w:szCs w:val="24"/>
              <w:u w:val="none"/>
              <w:lang w:eastAsia="en-GB"/>
            </w:rPr>
          </w:pPr>
          <w:hyperlink w:anchor="_Toc237973324" w:history="1">
            <w:r w:rsidRPr="006671D8">
              <w:rPr>
                <w:rStyle w:val="Hyperlink"/>
                <w:noProof/>
              </w:rPr>
              <w:t>2.1 Digital HR Systems and Workforce Analytics</w:t>
            </w:r>
            <w:r>
              <w:rPr>
                <w:noProof/>
                <w:webHidden/>
              </w:rPr>
              <w:tab/>
            </w:r>
            <w:r>
              <w:rPr>
                <w:noProof/>
                <w:webHidden/>
              </w:rPr>
              <w:fldChar w:fldCharType="begin"/>
            </w:r>
            <w:r>
              <w:rPr>
                <w:noProof/>
                <w:webHidden/>
              </w:rPr>
              <w:instrText xml:space="preserve"> PAGEREF _Toc237973324 \h </w:instrText>
            </w:r>
            <w:r>
              <w:rPr>
                <w:noProof/>
                <w:webHidden/>
              </w:rPr>
            </w:r>
            <w:r>
              <w:rPr>
                <w:noProof/>
                <w:webHidden/>
              </w:rPr>
              <w:fldChar w:fldCharType="separate"/>
            </w:r>
            <w:r>
              <w:rPr>
                <w:noProof/>
                <w:webHidden/>
              </w:rPr>
              <w:t>4</w:t>
            </w:r>
            <w:r>
              <w:rPr>
                <w:noProof/>
                <w:webHidden/>
              </w:rPr>
              <w:fldChar w:fldCharType="end"/>
            </w:r>
          </w:hyperlink>
        </w:p>
        <w:p w14:paraId="7ACE9511" w14:textId="46F5250D" w:rsidR="00A32AFF" w:rsidRDefault="00A32AFF">
          <w:pPr>
            <w:pStyle w:val="TOC1"/>
            <w:tabs>
              <w:tab w:val="right" w:leader="dot" w:pos="9350"/>
            </w:tabs>
            <w:rPr>
              <w:rFonts w:eastAsiaTheme="minorEastAsia"/>
              <w:b w:val="0"/>
              <w:bCs w:val="0"/>
              <w:caps w:val="0"/>
              <w:noProof/>
              <w:sz w:val="24"/>
              <w:szCs w:val="24"/>
              <w:u w:val="none"/>
              <w:lang w:eastAsia="en-GB"/>
            </w:rPr>
          </w:pPr>
          <w:hyperlink w:anchor="_Toc237973325" w:history="1">
            <w:r w:rsidRPr="006671D8">
              <w:rPr>
                <w:rStyle w:val="Hyperlink"/>
                <w:noProof/>
              </w:rPr>
              <w:t>2.2 Employer Branding and Strategic Workforce Planning</w:t>
            </w:r>
            <w:r>
              <w:rPr>
                <w:noProof/>
                <w:webHidden/>
              </w:rPr>
              <w:tab/>
            </w:r>
            <w:r>
              <w:rPr>
                <w:noProof/>
                <w:webHidden/>
              </w:rPr>
              <w:fldChar w:fldCharType="begin"/>
            </w:r>
            <w:r>
              <w:rPr>
                <w:noProof/>
                <w:webHidden/>
              </w:rPr>
              <w:instrText xml:space="preserve"> PAGEREF _Toc237973325 \h </w:instrText>
            </w:r>
            <w:r>
              <w:rPr>
                <w:noProof/>
                <w:webHidden/>
              </w:rPr>
            </w:r>
            <w:r>
              <w:rPr>
                <w:noProof/>
                <w:webHidden/>
              </w:rPr>
              <w:fldChar w:fldCharType="separate"/>
            </w:r>
            <w:r>
              <w:rPr>
                <w:noProof/>
                <w:webHidden/>
              </w:rPr>
              <w:t>5</w:t>
            </w:r>
            <w:r>
              <w:rPr>
                <w:noProof/>
                <w:webHidden/>
              </w:rPr>
              <w:fldChar w:fldCharType="end"/>
            </w:r>
          </w:hyperlink>
        </w:p>
        <w:p w14:paraId="62399E4C" w14:textId="70A0E2F4" w:rsidR="00A32AFF" w:rsidRDefault="00A32AFF">
          <w:pPr>
            <w:pStyle w:val="TOC1"/>
            <w:tabs>
              <w:tab w:val="right" w:leader="dot" w:pos="9350"/>
            </w:tabs>
            <w:rPr>
              <w:rFonts w:eastAsiaTheme="minorEastAsia"/>
              <w:b w:val="0"/>
              <w:bCs w:val="0"/>
              <w:caps w:val="0"/>
              <w:noProof/>
              <w:sz w:val="24"/>
              <w:szCs w:val="24"/>
              <w:u w:val="none"/>
              <w:lang w:eastAsia="en-GB"/>
            </w:rPr>
          </w:pPr>
          <w:hyperlink w:anchor="_Toc237973326" w:history="1">
            <w:r w:rsidRPr="006671D8">
              <w:rPr>
                <w:rStyle w:val="Hyperlink"/>
                <w:noProof/>
              </w:rPr>
              <w:t>2.3 Employee Engagement and Retention</w:t>
            </w:r>
            <w:r>
              <w:rPr>
                <w:noProof/>
                <w:webHidden/>
              </w:rPr>
              <w:tab/>
            </w:r>
            <w:r>
              <w:rPr>
                <w:noProof/>
                <w:webHidden/>
              </w:rPr>
              <w:fldChar w:fldCharType="begin"/>
            </w:r>
            <w:r>
              <w:rPr>
                <w:noProof/>
                <w:webHidden/>
              </w:rPr>
              <w:instrText xml:space="preserve"> PAGEREF _Toc237973326 \h </w:instrText>
            </w:r>
            <w:r>
              <w:rPr>
                <w:noProof/>
                <w:webHidden/>
              </w:rPr>
            </w:r>
            <w:r>
              <w:rPr>
                <w:noProof/>
                <w:webHidden/>
              </w:rPr>
              <w:fldChar w:fldCharType="separate"/>
            </w:r>
            <w:r>
              <w:rPr>
                <w:noProof/>
                <w:webHidden/>
              </w:rPr>
              <w:t>5</w:t>
            </w:r>
            <w:r>
              <w:rPr>
                <w:noProof/>
                <w:webHidden/>
              </w:rPr>
              <w:fldChar w:fldCharType="end"/>
            </w:r>
          </w:hyperlink>
        </w:p>
        <w:p w14:paraId="577AB5E1" w14:textId="2AB71246" w:rsidR="00A32AFF" w:rsidRDefault="00A32AFF">
          <w:pPr>
            <w:pStyle w:val="TOC1"/>
            <w:tabs>
              <w:tab w:val="right" w:leader="dot" w:pos="9350"/>
            </w:tabs>
            <w:rPr>
              <w:rFonts w:eastAsiaTheme="minorEastAsia"/>
              <w:b w:val="0"/>
              <w:bCs w:val="0"/>
              <w:caps w:val="0"/>
              <w:noProof/>
              <w:sz w:val="24"/>
              <w:szCs w:val="24"/>
              <w:u w:val="none"/>
              <w:lang w:eastAsia="en-GB"/>
            </w:rPr>
          </w:pPr>
          <w:hyperlink w:anchor="_Toc237973327" w:history="1">
            <w:r w:rsidRPr="006671D8">
              <w:rPr>
                <w:rStyle w:val="Hyperlink"/>
                <w:noProof/>
              </w:rPr>
              <w:t>2.4 Inclusive Recruitment and DEI Leadership</w:t>
            </w:r>
            <w:r>
              <w:rPr>
                <w:noProof/>
                <w:webHidden/>
              </w:rPr>
              <w:tab/>
            </w:r>
            <w:r>
              <w:rPr>
                <w:noProof/>
                <w:webHidden/>
              </w:rPr>
              <w:fldChar w:fldCharType="begin"/>
            </w:r>
            <w:r>
              <w:rPr>
                <w:noProof/>
                <w:webHidden/>
              </w:rPr>
              <w:instrText xml:space="preserve"> PAGEREF _Toc237973327 \h </w:instrText>
            </w:r>
            <w:r>
              <w:rPr>
                <w:noProof/>
                <w:webHidden/>
              </w:rPr>
            </w:r>
            <w:r>
              <w:rPr>
                <w:noProof/>
                <w:webHidden/>
              </w:rPr>
              <w:fldChar w:fldCharType="separate"/>
            </w:r>
            <w:r>
              <w:rPr>
                <w:noProof/>
                <w:webHidden/>
              </w:rPr>
              <w:t>5</w:t>
            </w:r>
            <w:r>
              <w:rPr>
                <w:noProof/>
                <w:webHidden/>
              </w:rPr>
              <w:fldChar w:fldCharType="end"/>
            </w:r>
          </w:hyperlink>
        </w:p>
        <w:p w14:paraId="19A064A3" w14:textId="0450019F" w:rsidR="00A32AFF" w:rsidRDefault="00A32AFF">
          <w:pPr>
            <w:pStyle w:val="TOC1"/>
            <w:tabs>
              <w:tab w:val="right" w:leader="dot" w:pos="9350"/>
            </w:tabs>
            <w:rPr>
              <w:rFonts w:eastAsiaTheme="minorEastAsia"/>
              <w:b w:val="0"/>
              <w:bCs w:val="0"/>
              <w:caps w:val="0"/>
              <w:noProof/>
              <w:sz w:val="24"/>
              <w:szCs w:val="24"/>
              <w:u w:val="none"/>
              <w:lang w:eastAsia="en-GB"/>
            </w:rPr>
          </w:pPr>
          <w:hyperlink w:anchor="_Toc237973328" w:history="1">
            <w:r w:rsidRPr="006671D8">
              <w:rPr>
                <w:rStyle w:val="Hyperlink"/>
                <w:noProof/>
              </w:rPr>
              <w:t>3. Critical Evaluation of Managerial Implementation</w:t>
            </w:r>
            <w:r>
              <w:rPr>
                <w:noProof/>
                <w:webHidden/>
              </w:rPr>
              <w:tab/>
            </w:r>
            <w:r>
              <w:rPr>
                <w:noProof/>
                <w:webHidden/>
              </w:rPr>
              <w:fldChar w:fldCharType="begin"/>
            </w:r>
            <w:r>
              <w:rPr>
                <w:noProof/>
                <w:webHidden/>
              </w:rPr>
              <w:instrText xml:space="preserve"> PAGEREF _Toc237973328 \h </w:instrText>
            </w:r>
            <w:r>
              <w:rPr>
                <w:noProof/>
                <w:webHidden/>
              </w:rPr>
            </w:r>
            <w:r>
              <w:rPr>
                <w:noProof/>
                <w:webHidden/>
              </w:rPr>
              <w:fldChar w:fldCharType="separate"/>
            </w:r>
            <w:r>
              <w:rPr>
                <w:noProof/>
                <w:webHidden/>
              </w:rPr>
              <w:t>6</w:t>
            </w:r>
            <w:r>
              <w:rPr>
                <w:noProof/>
                <w:webHidden/>
              </w:rPr>
              <w:fldChar w:fldCharType="end"/>
            </w:r>
          </w:hyperlink>
        </w:p>
        <w:p w14:paraId="39418A45" w14:textId="145D7C12" w:rsidR="00A32AFF" w:rsidRDefault="00A32AFF">
          <w:pPr>
            <w:pStyle w:val="TOC1"/>
            <w:tabs>
              <w:tab w:val="right" w:leader="dot" w:pos="9350"/>
            </w:tabs>
            <w:rPr>
              <w:rFonts w:eastAsiaTheme="minorEastAsia"/>
              <w:b w:val="0"/>
              <w:bCs w:val="0"/>
              <w:caps w:val="0"/>
              <w:noProof/>
              <w:sz w:val="24"/>
              <w:szCs w:val="24"/>
              <w:u w:val="none"/>
              <w:lang w:eastAsia="en-GB"/>
            </w:rPr>
          </w:pPr>
          <w:hyperlink w:anchor="_Toc237973329" w:history="1">
            <w:r w:rsidRPr="006671D8">
              <w:rPr>
                <w:rStyle w:val="Hyperlink"/>
                <w:noProof/>
              </w:rPr>
              <w:t>3.1 Leadership Accountability and Communication</w:t>
            </w:r>
            <w:r>
              <w:rPr>
                <w:noProof/>
                <w:webHidden/>
              </w:rPr>
              <w:tab/>
            </w:r>
            <w:r>
              <w:rPr>
                <w:noProof/>
                <w:webHidden/>
              </w:rPr>
              <w:fldChar w:fldCharType="begin"/>
            </w:r>
            <w:r>
              <w:rPr>
                <w:noProof/>
                <w:webHidden/>
              </w:rPr>
              <w:instrText xml:space="preserve"> PAGEREF _Toc237973329 \h </w:instrText>
            </w:r>
            <w:r>
              <w:rPr>
                <w:noProof/>
                <w:webHidden/>
              </w:rPr>
            </w:r>
            <w:r>
              <w:rPr>
                <w:noProof/>
                <w:webHidden/>
              </w:rPr>
              <w:fldChar w:fldCharType="separate"/>
            </w:r>
            <w:r>
              <w:rPr>
                <w:noProof/>
                <w:webHidden/>
              </w:rPr>
              <w:t>6</w:t>
            </w:r>
            <w:r>
              <w:rPr>
                <w:noProof/>
                <w:webHidden/>
              </w:rPr>
              <w:fldChar w:fldCharType="end"/>
            </w:r>
          </w:hyperlink>
        </w:p>
        <w:p w14:paraId="226256BB" w14:textId="3F822C34" w:rsidR="00A32AFF" w:rsidRDefault="00A32AFF">
          <w:pPr>
            <w:pStyle w:val="TOC1"/>
            <w:tabs>
              <w:tab w:val="right" w:leader="dot" w:pos="9350"/>
            </w:tabs>
            <w:rPr>
              <w:rFonts w:eastAsiaTheme="minorEastAsia"/>
              <w:b w:val="0"/>
              <w:bCs w:val="0"/>
              <w:caps w:val="0"/>
              <w:noProof/>
              <w:sz w:val="24"/>
              <w:szCs w:val="24"/>
              <w:u w:val="none"/>
              <w:lang w:eastAsia="en-GB"/>
            </w:rPr>
          </w:pPr>
          <w:hyperlink w:anchor="_Toc237973330" w:history="1">
            <w:r w:rsidRPr="006671D8">
              <w:rPr>
                <w:rStyle w:val="Hyperlink"/>
                <w:noProof/>
              </w:rPr>
              <w:t>3.2 Monitoring and Performance Measurement</w:t>
            </w:r>
            <w:r>
              <w:rPr>
                <w:noProof/>
                <w:webHidden/>
              </w:rPr>
              <w:tab/>
            </w:r>
            <w:r>
              <w:rPr>
                <w:noProof/>
                <w:webHidden/>
              </w:rPr>
              <w:fldChar w:fldCharType="begin"/>
            </w:r>
            <w:r>
              <w:rPr>
                <w:noProof/>
                <w:webHidden/>
              </w:rPr>
              <w:instrText xml:space="preserve"> PAGEREF _Toc237973330 \h </w:instrText>
            </w:r>
            <w:r>
              <w:rPr>
                <w:noProof/>
                <w:webHidden/>
              </w:rPr>
            </w:r>
            <w:r>
              <w:rPr>
                <w:noProof/>
                <w:webHidden/>
              </w:rPr>
              <w:fldChar w:fldCharType="separate"/>
            </w:r>
            <w:r>
              <w:rPr>
                <w:noProof/>
                <w:webHidden/>
              </w:rPr>
              <w:t>6</w:t>
            </w:r>
            <w:r>
              <w:rPr>
                <w:noProof/>
                <w:webHidden/>
              </w:rPr>
              <w:fldChar w:fldCharType="end"/>
            </w:r>
          </w:hyperlink>
        </w:p>
        <w:p w14:paraId="31A5F95C" w14:textId="4B4133AB" w:rsidR="00A32AFF" w:rsidRDefault="00A32AFF">
          <w:pPr>
            <w:pStyle w:val="TOC1"/>
            <w:tabs>
              <w:tab w:val="right" w:leader="dot" w:pos="9350"/>
            </w:tabs>
            <w:rPr>
              <w:rFonts w:eastAsiaTheme="minorEastAsia"/>
              <w:b w:val="0"/>
              <w:bCs w:val="0"/>
              <w:caps w:val="0"/>
              <w:noProof/>
              <w:sz w:val="24"/>
              <w:szCs w:val="24"/>
              <w:u w:val="none"/>
              <w:lang w:eastAsia="en-GB"/>
            </w:rPr>
          </w:pPr>
          <w:hyperlink w:anchor="_Toc237973331" w:history="1">
            <w:r w:rsidRPr="006671D8">
              <w:rPr>
                <w:rStyle w:val="Hyperlink"/>
                <w:noProof/>
              </w:rPr>
              <w:t>3.3 Building an Inclusive Culture and Overcoming Barriers</w:t>
            </w:r>
            <w:r>
              <w:rPr>
                <w:noProof/>
                <w:webHidden/>
              </w:rPr>
              <w:tab/>
            </w:r>
            <w:r>
              <w:rPr>
                <w:noProof/>
                <w:webHidden/>
              </w:rPr>
              <w:fldChar w:fldCharType="begin"/>
            </w:r>
            <w:r>
              <w:rPr>
                <w:noProof/>
                <w:webHidden/>
              </w:rPr>
              <w:instrText xml:space="preserve"> PAGEREF _Toc237973331 \h </w:instrText>
            </w:r>
            <w:r>
              <w:rPr>
                <w:noProof/>
                <w:webHidden/>
              </w:rPr>
            </w:r>
            <w:r>
              <w:rPr>
                <w:noProof/>
                <w:webHidden/>
              </w:rPr>
              <w:fldChar w:fldCharType="separate"/>
            </w:r>
            <w:r>
              <w:rPr>
                <w:noProof/>
                <w:webHidden/>
              </w:rPr>
              <w:t>7</w:t>
            </w:r>
            <w:r>
              <w:rPr>
                <w:noProof/>
                <w:webHidden/>
              </w:rPr>
              <w:fldChar w:fldCharType="end"/>
            </w:r>
          </w:hyperlink>
        </w:p>
        <w:p w14:paraId="475C0574" w14:textId="75B45B1F" w:rsidR="00A32AFF" w:rsidRDefault="00A32AFF">
          <w:pPr>
            <w:pStyle w:val="TOC1"/>
            <w:tabs>
              <w:tab w:val="right" w:leader="dot" w:pos="9350"/>
            </w:tabs>
            <w:rPr>
              <w:rFonts w:eastAsiaTheme="minorEastAsia"/>
              <w:b w:val="0"/>
              <w:bCs w:val="0"/>
              <w:caps w:val="0"/>
              <w:noProof/>
              <w:sz w:val="24"/>
              <w:szCs w:val="24"/>
              <w:u w:val="none"/>
              <w:lang w:eastAsia="en-GB"/>
            </w:rPr>
          </w:pPr>
          <w:hyperlink w:anchor="_Toc237973332" w:history="1">
            <w:r w:rsidRPr="006671D8">
              <w:rPr>
                <w:rStyle w:val="Hyperlink"/>
                <w:noProof/>
              </w:rPr>
              <w:t>4. Recommendations</w:t>
            </w:r>
            <w:r>
              <w:rPr>
                <w:noProof/>
                <w:webHidden/>
              </w:rPr>
              <w:tab/>
            </w:r>
            <w:r>
              <w:rPr>
                <w:noProof/>
                <w:webHidden/>
              </w:rPr>
              <w:fldChar w:fldCharType="begin"/>
            </w:r>
            <w:r>
              <w:rPr>
                <w:noProof/>
                <w:webHidden/>
              </w:rPr>
              <w:instrText xml:space="preserve"> PAGEREF _Toc237973332 \h </w:instrText>
            </w:r>
            <w:r>
              <w:rPr>
                <w:noProof/>
                <w:webHidden/>
              </w:rPr>
            </w:r>
            <w:r>
              <w:rPr>
                <w:noProof/>
                <w:webHidden/>
              </w:rPr>
              <w:fldChar w:fldCharType="separate"/>
            </w:r>
            <w:r>
              <w:rPr>
                <w:noProof/>
                <w:webHidden/>
              </w:rPr>
              <w:t>7</w:t>
            </w:r>
            <w:r>
              <w:rPr>
                <w:noProof/>
                <w:webHidden/>
              </w:rPr>
              <w:fldChar w:fldCharType="end"/>
            </w:r>
          </w:hyperlink>
        </w:p>
        <w:p w14:paraId="304A1479" w14:textId="029FAFB6" w:rsidR="00A32AFF" w:rsidRDefault="00A32AFF">
          <w:pPr>
            <w:pStyle w:val="TOC1"/>
            <w:tabs>
              <w:tab w:val="right" w:leader="dot" w:pos="9350"/>
            </w:tabs>
            <w:rPr>
              <w:rFonts w:eastAsiaTheme="minorEastAsia"/>
              <w:b w:val="0"/>
              <w:bCs w:val="0"/>
              <w:caps w:val="0"/>
              <w:noProof/>
              <w:sz w:val="24"/>
              <w:szCs w:val="24"/>
              <w:u w:val="none"/>
              <w:lang w:eastAsia="en-GB"/>
            </w:rPr>
          </w:pPr>
          <w:hyperlink w:anchor="_Toc237973333" w:history="1">
            <w:r w:rsidRPr="006671D8">
              <w:rPr>
                <w:rStyle w:val="Hyperlink"/>
                <w:noProof/>
              </w:rPr>
              <w:t>5. Conclusion</w:t>
            </w:r>
            <w:r>
              <w:rPr>
                <w:noProof/>
                <w:webHidden/>
              </w:rPr>
              <w:tab/>
            </w:r>
            <w:r>
              <w:rPr>
                <w:noProof/>
                <w:webHidden/>
              </w:rPr>
              <w:fldChar w:fldCharType="begin"/>
            </w:r>
            <w:r>
              <w:rPr>
                <w:noProof/>
                <w:webHidden/>
              </w:rPr>
              <w:instrText xml:space="preserve"> PAGEREF _Toc237973333 \h </w:instrText>
            </w:r>
            <w:r>
              <w:rPr>
                <w:noProof/>
                <w:webHidden/>
              </w:rPr>
            </w:r>
            <w:r>
              <w:rPr>
                <w:noProof/>
                <w:webHidden/>
              </w:rPr>
              <w:fldChar w:fldCharType="separate"/>
            </w:r>
            <w:r>
              <w:rPr>
                <w:noProof/>
                <w:webHidden/>
              </w:rPr>
              <w:t>7</w:t>
            </w:r>
            <w:r>
              <w:rPr>
                <w:noProof/>
                <w:webHidden/>
              </w:rPr>
              <w:fldChar w:fldCharType="end"/>
            </w:r>
          </w:hyperlink>
        </w:p>
        <w:p w14:paraId="25003DED" w14:textId="6A582A3B" w:rsidR="00A32AFF" w:rsidRDefault="00A32AFF">
          <w:pPr>
            <w:pStyle w:val="TOC1"/>
            <w:tabs>
              <w:tab w:val="right" w:leader="dot" w:pos="9350"/>
            </w:tabs>
            <w:rPr>
              <w:rFonts w:eastAsiaTheme="minorEastAsia"/>
              <w:b w:val="0"/>
              <w:bCs w:val="0"/>
              <w:caps w:val="0"/>
              <w:noProof/>
              <w:sz w:val="24"/>
              <w:szCs w:val="24"/>
              <w:u w:val="none"/>
              <w:lang w:eastAsia="en-GB"/>
            </w:rPr>
          </w:pPr>
          <w:hyperlink w:anchor="_Toc237973334" w:history="1">
            <w:r w:rsidRPr="006671D8">
              <w:rPr>
                <w:rStyle w:val="Hyperlink"/>
                <w:noProof/>
              </w:rPr>
              <w:t>References</w:t>
            </w:r>
            <w:r>
              <w:rPr>
                <w:noProof/>
                <w:webHidden/>
              </w:rPr>
              <w:tab/>
            </w:r>
            <w:r>
              <w:rPr>
                <w:noProof/>
                <w:webHidden/>
              </w:rPr>
              <w:fldChar w:fldCharType="begin"/>
            </w:r>
            <w:r>
              <w:rPr>
                <w:noProof/>
                <w:webHidden/>
              </w:rPr>
              <w:instrText xml:space="preserve"> PAGEREF _Toc237973334 \h </w:instrText>
            </w:r>
            <w:r>
              <w:rPr>
                <w:noProof/>
                <w:webHidden/>
              </w:rPr>
            </w:r>
            <w:r>
              <w:rPr>
                <w:noProof/>
                <w:webHidden/>
              </w:rPr>
              <w:fldChar w:fldCharType="separate"/>
            </w:r>
            <w:r>
              <w:rPr>
                <w:noProof/>
                <w:webHidden/>
              </w:rPr>
              <w:t>8</w:t>
            </w:r>
            <w:r>
              <w:rPr>
                <w:noProof/>
                <w:webHidden/>
              </w:rPr>
              <w:fldChar w:fldCharType="end"/>
            </w:r>
          </w:hyperlink>
        </w:p>
        <w:p w14:paraId="578F483D" w14:textId="05D72ED1" w:rsidR="00A32AFF" w:rsidRDefault="00A32AFF">
          <w:r>
            <w:rPr>
              <w:b/>
              <w:bCs/>
              <w:noProof/>
            </w:rPr>
            <w:fldChar w:fldCharType="end"/>
          </w:r>
        </w:p>
      </w:sdtContent>
    </w:sdt>
    <w:p w14:paraId="103CD7ED" w14:textId="3602C5E1" w:rsidR="00A32AFF" w:rsidRPr="00A32AFF" w:rsidRDefault="00A32AFF" w:rsidP="00A32AFF">
      <w:pPr>
        <w:pStyle w:val="Heading1"/>
        <w:rPr>
          <w:rFonts w:ascii="Arial" w:hAnsi="Arial" w:cs="Arial"/>
        </w:rPr>
      </w:pPr>
      <w:bookmarkStart w:id="0" w:name="_Toc237973318"/>
      <w:r w:rsidRPr="00A32AFF">
        <w:rPr>
          <w:rFonts w:ascii="Arial" w:hAnsi="Arial" w:cs="Arial"/>
        </w:rPr>
        <w:lastRenderedPageBreak/>
        <w:t>Introduction</w:t>
      </w:r>
      <w:bookmarkEnd w:id="0"/>
    </w:p>
    <w:p w14:paraId="09346B14"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 xml:space="preserve">Human Resource Management (HRM) is increasingly strategic because organisations depend on their workforce to respond to technological, economic and social change. Within UK retail, technological transformation, competition for talent and expectations surrounding diversity, equity and inclusion (DEI) create </w:t>
      </w:r>
      <w:proofErr w:type="gramStart"/>
      <w:r w:rsidRPr="00A32AFF">
        <w:rPr>
          <w:rFonts w:ascii="Arial" w:hAnsi="Arial" w:cs="Arial"/>
          <w:kern w:val="0"/>
          <w:sz w:val="22"/>
          <w:szCs w:val="22"/>
        </w:rPr>
        <w:t>particular challenges</w:t>
      </w:r>
      <w:proofErr w:type="gramEnd"/>
      <w:r w:rsidRPr="00A32AFF">
        <w:rPr>
          <w:rFonts w:ascii="Arial" w:hAnsi="Arial" w:cs="Arial"/>
          <w:kern w:val="0"/>
          <w:sz w:val="22"/>
          <w:szCs w:val="22"/>
        </w:rPr>
        <w:t xml:space="preserve"> because retailers must simultaneously control labour costs, maintain customer service and adapt their workforce capabilities (Armstrong and Taylor, 2023).</w:t>
      </w:r>
    </w:p>
    <w:p w14:paraId="3AFC98C9"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Sainsbury’s plc, one of the UK’s largest retailers, operates supermarkets, convenience stores, digital services and support functions. Its continuing investment in digital and omnichannel retailing means effective HR practices are essential for developing workforce capability and maintaining employee engagement (Sainsbury’s, 2025). This report critically examines three contemporary HR challenges affecting Sainsbury’s: technological advancement, talent acquisition and retention, and DEI. It evaluates appropriate HR practices and considers how managers can successfully implement them.</w:t>
      </w:r>
    </w:p>
    <w:p w14:paraId="077E2B8B" w14:textId="77777777" w:rsidR="00A32AFF" w:rsidRPr="00A32AFF" w:rsidRDefault="00A32AFF" w:rsidP="00A32AFF">
      <w:pPr>
        <w:pStyle w:val="Heading1"/>
      </w:pPr>
      <w:bookmarkStart w:id="1" w:name="_Toc237973319"/>
      <w:r w:rsidRPr="00A32AFF">
        <w:t>1. Explanation of Key Factors</w:t>
      </w:r>
      <w:bookmarkEnd w:id="1"/>
    </w:p>
    <w:p w14:paraId="0E5922C7" w14:textId="77777777" w:rsidR="00A32AFF" w:rsidRPr="00A32AFF" w:rsidRDefault="00A32AFF" w:rsidP="00A32AFF">
      <w:pPr>
        <w:pStyle w:val="Heading1"/>
      </w:pPr>
      <w:bookmarkStart w:id="2" w:name="_Toc237973320"/>
      <w:r w:rsidRPr="00A32AFF">
        <w:t>1.1 Adapting to Technological Advancement</w:t>
      </w:r>
      <w:bookmarkEnd w:id="2"/>
    </w:p>
    <w:p w14:paraId="0C97F760"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Technological advancement has transformed retail through artificial intelligence (AI), automation, workforce analytics, cloud technology and Human Resource Information Systems (HRIS). These technologies can increase efficiency, reduce repetitive work and support better decision-making (Bratton and Gold, 2023). For Sainsbury’s, technology is particularly significant because customer expectations increasingly involve convenient online purchasing, self-service and integrated digital and physical shopping experiences.</w:t>
      </w:r>
    </w:p>
    <w:p w14:paraId="3CF9D180"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Technology also changes HR itself. Recruitment systems can screen applications, while workforce analytics can identify turnover patterns, labour shortages and training requirements (Armstrong and Taylor, 2023). Sainsbury’s investment in self-service checkouts, online grocery operations and automated systems consequently requires employees to develop greater digital competence (Sainsbury’s, 2025).</w:t>
      </w:r>
    </w:p>
    <w:p w14:paraId="56E6FB1C"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However, technological investment does not automatically improve organisational performance. Automation may create employee anxiety about job security, while employees lacking digital skills may struggle to adapt. Excessive reliance on technology may also reduce human judgement in HR decision-making. Therefore, the central HR challenge is not simply introducing technology but managing the human consequences of technological change. Continuous training, consultation and change management are essential if technological investment is to improve productivity without damaging engagement.</w:t>
      </w:r>
    </w:p>
    <w:p w14:paraId="763C3251" w14:textId="77777777" w:rsidR="00A32AFF" w:rsidRPr="00A32AFF" w:rsidRDefault="00A32AFF" w:rsidP="00A32AFF">
      <w:pPr>
        <w:pStyle w:val="Heading1"/>
      </w:pPr>
      <w:bookmarkStart w:id="3" w:name="_Toc237973321"/>
      <w:r w:rsidRPr="00A32AFF">
        <w:t>1.2 Talent Acquisition and Retention</w:t>
      </w:r>
      <w:bookmarkEnd w:id="3"/>
    </w:p>
    <w:p w14:paraId="7E6342C3"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Talent acquisition and retention remain major challenges because UK employers face skills shortages, changing employee expectations and strong competition for capable workers (CIPD, 2024). These pressures are particularly important in retail, where organisations experience seasonal staffing requirements and relatively high employee turnover.</w:t>
      </w:r>
    </w:p>
    <w:p w14:paraId="41051DEA"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 xml:space="preserve">Retention is strategically important because replacing employees creates recruitment and training costs while potentially reducing organisational knowledge and customer-service </w:t>
      </w:r>
      <w:r w:rsidRPr="00A32AFF">
        <w:rPr>
          <w:rFonts w:ascii="Arial" w:hAnsi="Arial" w:cs="Arial"/>
          <w:kern w:val="0"/>
          <w:sz w:val="22"/>
          <w:szCs w:val="22"/>
        </w:rPr>
        <w:lastRenderedPageBreak/>
        <w:t>consistency. Armstrong and Taylor (2023) argue that development opportunities, wellbeing, appropriate rewards and career progression can strengthen organisational commitment.</w:t>
      </w:r>
    </w:p>
    <w:p w14:paraId="7C596336"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Nevertheless, retention is more complex than simply increasing financial rewards. Younger employees increasingly value development, meaningful work and work-life balance alongside salary (Deloitte, 2024). Consequently, higher pay may attract applicants without necessarily producing long-term commitment if employees experience poor management or limited progression.</w:t>
      </w:r>
    </w:p>
    <w:p w14:paraId="0C3FFA38"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Sainsbury’s therefore needs an integrated employee value proposition combining competitive rewards, flexibility, career development and supportive management. The critical issue is balancing employee expectations with the operational requirements and cost pressures of a large retail organisation.</w:t>
      </w:r>
    </w:p>
    <w:p w14:paraId="0D6EE387" w14:textId="77777777" w:rsidR="00A32AFF" w:rsidRPr="00A32AFF" w:rsidRDefault="00A32AFF" w:rsidP="00A32AFF">
      <w:pPr>
        <w:pStyle w:val="Heading1"/>
      </w:pPr>
      <w:bookmarkStart w:id="4" w:name="_Toc237973322"/>
      <w:r w:rsidRPr="00A32AFF">
        <w:t>1.3 Diversity, Equity and Inclusion (DEI)</w:t>
      </w:r>
      <w:bookmarkEnd w:id="4"/>
    </w:p>
    <w:p w14:paraId="721B79D2"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DEI has developed from primarily a compliance responsibility into an important strategic HR consideration. Diversity recognises workforce differences, equity concerns fair access to opportunities, and inclusion focuses on whether employees genuinely feel respected and able to participate (CIPD, 2024).</w:t>
      </w:r>
    </w:p>
    <w:p w14:paraId="231D6DF1"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For Sainsbury’s, workforce diversity can provide strategic benefits because its employees serve diverse communities throughout the UK. Greater representation can broaden organisational perspectives and improve understanding of customers. Boxall and Purcell (2022) associate effective people management with stronger organisational capability, while McKinsey &amp; Company (2023) reports an association between leadership diversity and organisational performance.</w:t>
      </w:r>
    </w:p>
    <w:p w14:paraId="3B0F8BBF"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Legal compliance is also essential. The Equality Act 2010 protects employees from discrimination and requires organisations to ensure employment decisions do not unlawfully disadvantage protected groups. Sainsbury’s has introduced employee networks, flexible working initiatives and programmes intended to improve representation (Sainsbury’s, 2025).</w:t>
      </w:r>
    </w:p>
    <w:p w14:paraId="5E70E604"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However, numerical diversity should not automatically be interpreted as inclusion. An organisation may recruit a diverse workforce while barriers to progression or unconscious bias remain. DEI initiatives can also become symbolic if managers focus on targets without changing everyday workplace behaviour. Therefore, Sainsbury’s should evaluate not only workforce representation but promotion, employee experience, retention and perceptions of fairness.</w:t>
      </w:r>
    </w:p>
    <w:p w14:paraId="2C351A2B" w14:textId="77777777" w:rsidR="00A32AFF" w:rsidRPr="00A32AFF" w:rsidRDefault="00A32AFF" w:rsidP="00A32AFF">
      <w:pPr>
        <w:pStyle w:val="Heading1"/>
      </w:pPr>
      <w:bookmarkStart w:id="5" w:name="_Toc237973323"/>
      <w:r w:rsidRPr="00A32AFF">
        <w:t>2. Evaluation of Contemporary HR Practices</w:t>
      </w:r>
      <w:bookmarkEnd w:id="5"/>
    </w:p>
    <w:p w14:paraId="0C39C0FC" w14:textId="77777777" w:rsidR="00A32AFF" w:rsidRPr="00A32AFF" w:rsidRDefault="00A32AFF" w:rsidP="00A32AFF">
      <w:pPr>
        <w:pStyle w:val="Heading1"/>
      </w:pPr>
      <w:bookmarkStart w:id="6" w:name="_Toc237973324"/>
      <w:r w:rsidRPr="00A32AFF">
        <w:t>2.1 Digital HR Systems and Workforce Analytics</w:t>
      </w:r>
      <w:bookmarkEnd w:id="6"/>
    </w:p>
    <w:p w14:paraId="1EAD4377"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Digital HR systems provide Sainsbury’s with opportunities to improve recruitment, workforce planning and employee development. HRIS and predictive analytics can automate administrative tasks and provide managers with data concerning turnover, absenteeism, recruitment and training (Armstrong and Taylor, 2023). Digital learning can also provide employees with flexible access to development as operational technologies change.</w:t>
      </w:r>
    </w:p>
    <w:p w14:paraId="7801DD61"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The principal advantage is evidence-based decision-making. For example, identifying unusually high turnover within a particular store could enable management to investigate workload, leadership or scheduling problems before further employees leave.</w:t>
      </w:r>
    </w:p>
    <w:p w14:paraId="7A96D86E"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lastRenderedPageBreak/>
        <w:t>However, data does not necessarily explain why a problem exists. Quantitative turnover information may identify patterns but fail to reveal poor relationships with managers or employee dissatisfaction. AI-supported recruitment also presents concerns because algorithms trained on historical data can reproduce existing biases (CIPD, 2024).</w:t>
      </w:r>
    </w:p>
    <w:p w14:paraId="07FA0075"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Digital HR should therefore complement rather than replace managerial judgement. Its effectiveness depends on data quality, employee digital capability, ethical governance and managers’ ability to interpret information appropriately.</w:t>
      </w:r>
    </w:p>
    <w:p w14:paraId="1CF02BCC" w14:textId="77777777" w:rsidR="00A32AFF" w:rsidRPr="00A32AFF" w:rsidRDefault="00A32AFF" w:rsidP="00A32AFF">
      <w:pPr>
        <w:pStyle w:val="Heading1"/>
      </w:pPr>
      <w:bookmarkStart w:id="7" w:name="_Toc237973325"/>
      <w:r w:rsidRPr="00A32AFF">
        <w:t>2.2 Employer Branding and Strategic Workforce Planning</w:t>
      </w:r>
      <w:bookmarkEnd w:id="7"/>
    </w:p>
    <w:p w14:paraId="44CCF9CA"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Employer branding can strengthen recruitment by communicating career development, organisational culture and employee benefits. Sainsbury’s apprenticeships, development programmes, wellbeing support and internal progression opportunities can therefore differentiate the organisation within a competitive labour market.</w:t>
      </w:r>
    </w:p>
    <w:p w14:paraId="06979B92"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Strategic workforce planning complements employer branding by forecasting future workforce requirements and identifying potential skills shortages (Armstrong and Taylor, 2023). This is increasingly important as automation may reduce demand for some traditional tasks while increasing requirements for digital, analytical and technical skills.</w:t>
      </w:r>
    </w:p>
    <w:p w14:paraId="0137D3B6"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Nevertheless, employer branding is ineffective if employees’ actual experiences contradict external promises. Strong recruitment marketing may increase applications, but poor management or limited progression can subsequently increase turnover. Furthermore, workforce forecasts can become inaccurate during technological or economic disruption (Bratton and Gold, 2023).</w:t>
      </w:r>
    </w:p>
    <w:p w14:paraId="55C18BE9"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Sainsbury’s should therefore align employer branding with genuine employee experience and regularly revise workforce forecasts rather than treating them as fixed predictions.</w:t>
      </w:r>
    </w:p>
    <w:p w14:paraId="7D215C95" w14:textId="77777777" w:rsidR="00A32AFF" w:rsidRPr="00A32AFF" w:rsidRDefault="00A32AFF" w:rsidP="00A32AFF">
      <w:pPr>
        <w:pStyle w:val="Heading1"/>
      </w:pPr>
      <w:bookmarkStart w:id="8" w:name="_Toc237973326"/>
      <w:r w:rsidRPr="00A32AFF">
        <w:t>2.3 Employee Engagement and Retention</w:t>
      </w:r>
      <w:bookmarkEnd w:id="8"/>
    </w:p>
    <w:p w14:paraId="03E9BDDD"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Employee engagement is associated with stronger commitment, productivity and customer service (CIPD, 2024). Sainsbury’s uses practices such as wellbeing support, colleague discounts, flexible working and career-development opportunities to strengthen engagement.</w:t>
      </w:r>
    </w:p>
    <w:p w14:paraId="392572D2"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 xml:space="preserve">These practices are valuable, but their effectiveness depends significantly </w:t>
      </w:r>
      <w:proofErr w:type="gramStart"/>
      <w:r w:rsidRPr="00A32AFF">
        <w:rPr>
          <w:rFonts w:ascii="Arial" w:hAnsi="Arial" w:cs="Arial"/>
          <w:kern w:val="0"/>
          <w:sz w:val="22"/>
          <w:szCs w:val="22"/>
        </w:rPr>
        <w:t>on line</w:t>
      </w:r>
      <w:proofErr w:type="gramEnd"/>
      <w:r w:rsidRPr="00A32AFF">
        <w:rPr>
          <w:rFonts w:ascii="Arial" w:hAnsi="Arial" w:cs="Arial"/>
          <w:kern w:val="0"/>
          <w:sz w:val="22"/>
          <w:szCs w:val="22"/>
        </w:rPr>
        <w:t xml:space="preserve"> management. Armstrong and Taylor (2023) emphasise the influence managers have on employee experience. A strong corporate reward package may therefore have limited effect if employees experience inconsistent treatment, excessive workloads or poor communication.</w:t>
      </w:r>
    </w:p>
    <w:p w14:paraId="6CB2AA38"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Flexible working illustrates another limitation. While flexibility can improve work-life balance, customer-facing retail requires staffing at specific times. Managers must consequently balance individual preferences with operational requirements.</w:t>
      </w:r>
    </w:p>
    <w:p w14:paraId="1D390E92"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Retention should therefore be understood as a managerial and organisational responsibility rather than simply an HR programme. Sainsbury’s should combine rewards and benefits with career progression, effective leadership, recognition and manageable working conditions.</w:t>
      </w:r>
    </w:p>
    <w:p w14:paraId="30F0C3FE" w14:textId="77777777" w:rsidR="00A32AFF" w:rsidRPr="00A32AFF" w:rsidRDefault="00A32AFF" w:rsidP="00A32AFF">
      <w:pPr>
        <w:pStyle w:val="Heading1"/>
      </w:pPr>
      <w:bookmarkStart w:id="9" w:name="_Toc237973327"/>
      <w:r w:rsidRPr="00A32AFF">
        <w:t>2.4 Inclusive Recruitment and DEI Leadership</w:t>
      </w:r>
      <w:bookmarkEnd w:id="9"/>
    </w:p>
    <w:p w14:paraId="1F9BAFA8"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Inclusive recruitment can widen Sainsbury’s talent pool while reducing unnecessary barriers. Practices may include reviewing job descriptions for biased language, structured selection processes, diverse interview panels and monitoring recruitment outcomes.</w:t>
      </w:r>
    </w:p>
    <w:p w14:paraId="32AE8557"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lastRenderedPageBreak/>
        <w:t>Such approaches support fairness and compliance with the Equality Act 2010 and may strengthen organisational reputation. Sainsbury’s employee networks and leadership initiatives also demonstrate an attempt to move beyond recruitment towards broader inclusion (Sainsbury’s, 2025).</w:t>
      </w:r>
    </w:p>
    <w:p w14:paraId="6C3E351E"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However, recruitment diversity alone cannot create an inclusive organisation. Employees from underrepresented backgrounds may be recruited successfully but experience limited progression or exclusion afterwards. Furthermore, unconscious-bias training has limited value if organisational systems continue producing unequal outcomes.</w:t>
      </w:r>
    </w:p>
    <w:p w14:paraId="2988A9EC"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Consequently, DEI should be measured across the employee lifecycle, including recruitment, promotion, pay, development, retention and employee perceptions. This shifts Sainsbury’s approach from achieving numerical representation towards evaluating substantive inclusion.</w:t>
      </w:r>
    </w:p>
    <w:p w14:paraId="7AEB9D78" w14:textId="77777777" w:rsidR="00A32AFF" w:rsidRPr="00A32AFF" w:rsidRDefault="00A32AFF" w:rsidP="00A32AFF">
      <w:pPr>
        <w:pStyle w:val="Heading1"/>
      </w:pPr>
      <w:bookmarkStart w:id="10" w:name="_Toc237973328"/>
      <w:r w:rsidRPr="00A32AFF">
        <w:t>3. Critical Evaluation of Managerial Implementation</w:t>
      </w:r>
      <w:bookmarkEnd w:id="10"/>
    </w:p>
    <w:p w14:paraId="3C050386" w14:textId="77777777" w:rsidR="00A32AFF" w:rsidRPr="00A32AFF" w:rsidRDefault="00A32AFF" w:rsidP="00A32AFF">
      <w:pPr>
        <w:pStyle w:val="Heading1"/>
      </w:pPr>
      <w:bookmarkStart w:id="11" w:name="_Toc237973329"/>
      <w:r w:rsidRPr="00A32AFF">
        <w:t>3.1 Leadership Accountability and Communication</w:t>
      </w:r>
      <w:bookmarkEnd w:id="11"/>
    </w:p>
    <w:p w14:paraId="2764F9FB"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The effectiveness of HR practices ultimately depends heavily on departmental and line managers because they translate organisational policies into everyday employee experiences. Bratton and Gold (2023) emphasise the significant influence managerial behaviour has on motivation and commitment.</w:t>
      </w:r>
    </w:p>
    <w:p w14:paraId="67D6E4E7"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At Sainsbury’s, managers should therefore be accountable not only for sales and operational performance but also for employee retention, development, engagement and inclusion. This creates a more balanced definition of managerial effectiveness. However, accountability becomes unrealistic if managers are given HR objectives without appropriate training, resources or authority.</w:t>
      </w:r>
    </w:p>
    <w:p w14:paraId="3A186023"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Communication is equally important during organisational change. Kotter (2012) identifies communication as central to successful change because employees are more likely to support change when they understand its purpose. Managers should therefore explain technological or HR changes through meetings, digital platforms and individual conversations while providing opportunities for employee feedback.</w:t>
      </w:r>
    </w:p>
    <w:p w14:paraId="542CFFF9"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Two-way communication is particularly important. Simply informing employees of decisions may satisfy procedural requirements without reducing resistance. Genuine consultation can identify operational problems that senior decision-makers may otherwise overlook.</w:t>
      </w:r>
    </w:p>
    <w:p w14:paraId="5D64C474" w14:textId="77777777" w:rsidR="00A32AFF" w:rsidRPr="00A32AFF" w:rsidRDefault="00A32AFF" w:rsidP="00A32AFF">
      <w:pPr>
        <w:pStyle w:val="Heading1"/>
      </w:pPr>
      <w:bookmarkStart w:id="12" w:name="_Toc237973330"/>
      <w:r w:rsidRPr="00A32AFF">
        <w:t>3.2 Monitoring and Performance Measurement</w:t>
      </w:r>
      <w:bookmarkEnd w:id="12"/>
    </w:p>
    <w:p w14:paraId="7DD17D8A"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HR analytics enables managers to monitor turnover, absence, engagement, time-to-hire, training completion and workforce representation (CIPD, 2024). These indicators can reveal whether HR practices are producing measurable improvements.</w:t>
      </w:r>
    </w:p>
    <w:p w14:paraId="68CA0A72"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However, excessive reliance on KPIs creates limitations. For example, a lower turnover rate may appear positive but could conceal disengagement among employees who remain because alternative employment is unavailable. Similarly, achieving a diversity recruitment target does not demonstrate that employees subsequently feel included.</w:t>
      </w:r>
    </w:p>
    <w:p w14:paraId="29FFA63C" w14:textId="77777777" w:rsidR="00A32AFF" w:rsidRPr="00A32AFF" w:rsidRDefault="00A32AFF" w:rsidP="00A32AFF">
      <w:pPr>
        <w:autoSpaceDE w:val="0"/>
        <w:autoSpaceDN w:val="0"/>
        <w:adjustRightInd w:val="0"/>
        <w:spacing w:after="0" w:line="240" w:lineRule="auto"/>
        <w:rPr>
          <w:rFonts w:ascii="Arial" w:hAnsi="Arial" w:cs="Arial"/>
          <w:kern w:val="0"/>
          <w:sz w:val="26"/>
          <w:szCs w:val="26"/>
        </w:rPr>
      </w:pPr>
      <w:r w:rsidRPr="00A32AFF">
        <w:rPr>
          <w:rFonts w:ascii="Arial" w:hAnsi="Arial" w:cs="Arial"/>
          <w:kern w:val="0"/>
          <w:sz w:val="22"/>
          <w:szCs w:val="22"/>
        </w:rPr>
        <w:t>Sainsbury’s should therefore combine quantitative KPIs with qualitative evidence from employee surveys, appraisals, focus groups and one-to-one discussions. This provides a more complete assessment of organisational performance</w:t>
      </w:r>
      <w:r w:rsidRPr="00A32AFF">
        <w:rPr>
          <w:rFonts w:ascii="Arial" w:hAnsi="Arial" w:cs="Arial"/>
          <w:kern w:val="0"/>
          <w:sz w:val="26"/>
          <w:szCs w:val="26"/>
        </w:rPr>
        <w:t>.</w:t>
      </w:r>
    </w:p>
    <w:p w14:paraId="4F991813" w14:textId="77777777" w:rsidR="00A32AFF" w:rsidRPr="00A32AFF" w:rsidRDefault="00A32AFF" w:rsidP="00A32AFF">
      <w:pPr>
        <w:pStyle w:val="Heading1"/>
      </w:pPr>
      <w:bookmarkStart w:id="13" w:name="_Toc237973331"/>
      <w:r w:rsidRPr="00A32AFF">
        <w:lastRenderedPageBreak/>
        <w:t>3.3 Building an Inclusive Culture and Overcoming Barriers</w:t>
      </w:r>
      <w:bookmarkEnd w:id="13"/>
    </w:p>
    <w:p w14:paraId="3F3D674C"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Schein (2017) argues that organisational culture is reflected through shared assumptions, values and behaviours. Written DEI policies therefore have limited impact unless managers consistently demonstrate inclusive behaviour.</w:t>
      </w:r>
    </w:p>
    <w:p w14:paraId="31B092A5"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Major implementation barriers include resistance to change, limited digital skills, inconsistent managerial capability and financial constraints (CIPD, 2024). Employees may resist automation because of job-security concerns, while managers may inconsistently apply HR policies if they lack training.</w:t>
      </w:r>
    </w:p>
    <w:p w14:paraId="5DF69B15"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Sainsbury’s should address these barriers through continuous managerial development, employee consultation and clear accountability. Importantly, implementation should be collaborative: HR provides frameworks and expertise, while managers adapt these practices to operational circumstances. This relationship is essential because centralised policies alone cannot account for the different workforce challenges experienced across stores, distribution centres and support functions.</w:t>
      </w:r>
    </w:p>
    <w:p w14:paraId="58A857FC" w14:textId="77777777" w:rsidR="00A32AFF" w:rsidRPr="00A32AFF" w:rsidRDefault="00A32AFF" w:rsidP="00A32AFF">
      <w:pPr>
        <w:pStyle w:val="Heading1"/>
      </w:pPr>
      <w:bookmarkStart w:id="14" w:name="_Toc237973332"/>
      <w:r w:rsidRPr="00A32AFF">
        <w:t>4. Recommendations</w:t>
      </w:r>
      <w:bookmarkEnd w:id="14"/>
    </w:p>
    <w:p w14:paraId="4D4432D7"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Based on the analysis, Sainsbury’s should:</w:t>
      </w:r>
    </w:p>
    <w:p w14:paraId="4C5F4935" w14:textId="77777777" w:rsidR="00A32AFF" w:rsidRPr="00A32AFF" w:rsidRDefault="00A32AFF" w:rsidP="00A32AFF">
      <w:pPr>
        <w:numPr>
          <w:ilvl w:val="0"/>
          <w:numId w:val="1"/>
        </w:numPr>
        <w:autoSpaceDE w:val="0"/>
        <w:autoSpaceDN w:val="0"/>
        <w:adjustRightInd w:val="0"/>
        <w:spacing w:after="0" w:line="240" w:lineRule="auto"/>
        <w:ind w:left="0" w:firstLine="0"/>
        <w:rPr>
          <w:rFonts w:ascii="Arial" w:hAnsi="Arial" w:cs="Arial"/>
          <w:kern w:val="0"/>
          <w:sz w:val="22"/>
          <w:szCs w:val="22"/>
        </w:rPr>
      </w:pPr>
      <w:r w:rsidRPr="00A32AFF">
        <w:rPr>
          <w:rFonts w:ascii="Arial" w:hAnsi="Arial" w:cs="Arial"/>
          <w:kern w:val="0"/>
          <w:sz w:val="22"/>
          <w:szCs w:val="22"/>
        </w:rPr>
        <w:t>Expand responsible use of workforce analytics while retaining human oversight in recruitment and performance decisions.</w:t>
      </w:r>
    </w:p>
    <w:p w14:paraId="7E884DB1" w14:textId="77777777" w:rsidR="00A32AFF" w:rsidRPr="00A32AFF" w:rsidRDefault="00A32AFF" w:rsidP="00A32AFF">
      <w:pPr>
        <w:numPr>
          <w:ilvl w:val="0"/>
          <w:numId w:val="1"/>
        </w:numPr>
        <w:autoSpaceDE w:val="0"/>
        <w:autoSpaceDN w:val="0"/>
        <w:adjustRightInd w:val="0"/>
        <w:spacing w:after="0" w:line="240" w:lineRule="auto"/>
        <w:ind w:left="0" w:firstLine="0"/>
        <w:rPr>
          <w:rFonts w:ascii="Arial" w:hAnsi="Arial" w:cs="Arial"/>
          <w:kern w:val="0"/>
          <w:sz w:val="22"/>
          <w:szCs w:val="22"/>
        </w:rPr>
      </w:pPr>
      <w:r w:rsidRPr="00A32AFF">
        <w:rPr>
          <w:rFonts w:ascii="Arial" w:hAnsi="Arial" w:cs="Arial"/>
          <w:kern w:val="0"/>
          <w:sz w:val="22"/>
          <w:szCs w:val="22"/>
        </w:rPr>
        <w:t>Strengthen managerial development, particularly in change management, employee engagement and inclusive leadership.</w:t>
      </w:r>
    </w:p>
    <w:p w14:paraId="4E197E87" w14:textId="77777777" w:rsidR="00A32AFF" w:rsidRPr="00A32AFF" w:rsidRDefault="00A32AFF" w:rsidP="00A32AFF">
      <w:pPr>
        <w:numPr>
          <w:ilvl w:val="0"/>
          <w:numId w:val="1"/>
        </w:numPr>
        <w:autoSpaceDE w:val="0"/>
        <w:autoSpaceDN w:val="0"/>
        <w:adjustRightInd w:val="0"/>
        <w:spacing w:after="0" w:line="240" w:lineRule="auto"/>
        <w:ind w:left="0" w:firstLine="0"/>
        <w:rPr>
          <w:rFonts w:ascii="Arial" w:hAnsi="Arial" w:cs="Arial"/>
          <w:kern w:val="0"/>
          <w:sz w:val="22"/>
          <w:szCs w:val="22"/>
        </w:rPr>
      </w:pPr>
      <w:r w:rsidRPr="00A32AFF">
        <w:rPr>
          <w:rFonts w:ascii="Arial" w:hAnsi="Arial" w:cs="Arial"/>
          <w:kern w:val="0"/>
          <w:sz w:val="22"/>
          <w:szCs w:val="22"/>
        </w:rPr>
        <w:t>Increase continuous digital-skills development to ensure technological investment is matched by workforce capability.</w:t>
      </w:r>
    </w:p>
    <w:p w14:paraId="4317EB37" w14:textId="77777777" w:rsidR="00A32AFF" w:rsidRPr="00A32AFF" w:rsidRDefault="00A32AFF" w:rsidP="00A32AFF">
      <w:pPr>
        <w:numPr>
          <w:ilvl w:val="0"/>
          <w:numId w:val="1"/>
        </w:numPr>
        <w:autoSpaceDE w:val="0"/>
        <w:autoSpaceDN w:val="0"/>
        <w:adjustRightInd w:val="0"/>
        <w:spacing w:after="0" w:line="240" w:lineRule="auto"/>
        <w:ind w:left="0" w:firstLine="0"/>
        <w:rPr>
          <w:rFonts w:ascii="Arial" w:hAnsi="Arial" w:cs="Arial"/>
          <w:kern w:val="0"/>
          <w:sz w:val="22"/>
          <w:szCs w:val="22"/>
        </w:rPr>
      </w:pPr>
      <w:r w:rsidRPr="00A32AFF">
        <w:rPr>
          <w:rFonts w:ascii="Arial" w:hAnsi="Arial" w:cs="Arial"/>
          <w:kern w:val="0"/>
          <w:sz w:val="22"/>
          <w:szCs w:val="22"/>
        </w:rPr>
        <w:t>Integrate retention strategies with career progression, recognition, wellbeing, flexibility and management quality rather than relying predominantly on financial incentives.</w:t>
      </w:r>
    </w:p>
    <w:p w14:paraId="07A78596" w14:textId="77777777" w:rsidR="00A32AFF" w:rsidRPr="00A32AFF" w:rsidRDefault="00A32AFF" w:rsidP="00A32AFF">
      <w:pPr>
        <w:numPr>
          <w:ilvl w:val="0"/>
          <w:numId w:val="1"/>
        </w:numPr>
        <w:autoSpaceDE w:val="0"/>
        <w:autoSpaceDN w:val="0"/>
        <w:adjustRightInd w:val="0"/>
        <w:spacing w:after="0" w:line="240" w:lineRule="auto"/>
        <w:ind w:left="0" w:firstLine="0"/>
        <w:rPr>
          <w:rFonts w:ascii="Arial" w:hAnsi="Arial" w:cs="Arial"/>
          <w:kern w:val="0"/>
          <w:sz w:val="22"/>
          <w:szCs w:val="22"/>
        </w:rPr>
      </w:pPr>
      <w:r w:rsidRPr="00A32AFF">
        <w:rPr>
          <w:rFonts w:ascii="Arial" w:hAnsi="Arial" w:cs="Arial"/>
          <w:kern w:val="0"/>
          <w:sz w:val="22"/>
          <w:szCs w:val="22"/>
        </w:rPr>
        <w:t>Evaluate DEI across recruitment, promotion, retention and employee experience, using both quantitative data and qualitative feedback.</w:t>
      </w:r>
    </w:p>
    <w:p w14:paraId="40BC6E7C" w14:textId="77777777" w:rsidR="00A32AFF" w:rsidRPr="00A32AFF" w:rsidRDefault="00A32AFF" w:rsidP="00A32AFF">
      <w:pPr>
        <w:pStyle w:val="Heading1"/>
      </w:pPr>
      <w:bookmarkStart w:id="15" w:name="_Toc237973333"/>
      <w:r w:rsidRPr="00A32AFF">
        <w:t>5. Conclusion</w:t>
      </w:r>
      <w:bookmarkEnd w:id="15"/>
    </w:p>
    <w:p w14:paraId="17E75E38"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Sainsbury’s faces interconnected HR challenges arising from technological advancement, competition for talent and increasing expectations surrounding DEI. Digital HR systems, workforce analytics, employer branding, engagement strategies and inclusive recruitment can address these pressures, but none represents an independent solution.</w:t>
      </w:r>
    </w:p>
    <w:p w14:paraId="221655A6" w14:textId="77777777" w:rsidR="00A32AFF" w:rsidRPr="00A32AFF" w:rsidRDefault="00A32AFF" w:rsidP="00A32AFF">
      <w:pPr>
        <w:autoSpaceDE w:val="0"/>
        <w:autoSpaceDN w:val="0"/>
        <w:adjustRightInd w:val="0"/>
        <w:spacing w:after="0" w:line="240" w:lineRule="auto"/>
        <w:rPr>
          <w:rFonts w:ascii="Arial" w:hAnsi="Arial" w:cs="Arial"/>
          <w:kern w:val="0"/>
          <w:sz w:val="22"/>
          <w:szCs w:val="22"/>
        </w:rPr>
      </w:pPr>
      <w:r w:rsidRPr="00A32AFF">
        <w:rPr>
          <w:rFonts w:ascii="Arial" w:hAnsi="Arial" w:cs="Arial"/>
          <w:kern w:val="0"/>
          <w:sz w:val="22"/>
          <w:szCs w:val="22"/>
        </w:rPr>
        <w:t>The analysis demonstrates that successful HR practice depends on how effectively policies are implemented by managers. Technology without training may increase resistance; recruitment without development may fail to improve retention; and workforce diversity without inclusive leadership may produce representation without genuine inclusion. Consequently, Sainsbury’s should combine evidence-based HR systems with effective leadership, employee participation and continuous evaluation. By treating employees as strategic contributors rather than simply operational resources, Sainsbury’s can strengthen workforce capability, employee engagement and long-term organisational sustainability.</w:t>
      </w:r>
    </w:p>
    <w:p w14:paraId="1B8858B8" w14:textId="77777777" w:rsidR="00A32AFF" w:rsidRDefault="00A32AFF" w:rsidP="00A32AFF">
      <w:pPr>
        <w:autoSpaceDE w:val="0"/>
        <w:autoSpaceDN w:val="0"/>
        <w:adjustRightInd w:val="0"/>
        <w:spacing w:after="40" w:line="240" w:lineRule="auto"/>
        <w:rPr>
          <w:rFonts w:ascii="Arial" w:hAnsi="Arial" w:cs="Arial"/>
          <w:b/>
          <w:bCs/>
          <w:kern w:val="0"/>
          <w:sz w:val="32"/>
          <w:szCs w:val="32"/>
        </w:rPr>
      </w:pPr>
    </w:p>
    <w:p w14:paraId="669BADFD" w14:textId="77777777" w:rsidR="00A32AFF" w:rsidRDefault="00A32AFF" w:rsidP="00A32AFF">
      <w:pPr>
        <w:autoSpaceDE w:val="0"/>
        <w:autoSpaceDN w:val="0"/>
        <w:adjustRightInd w:val="0"/>
        <w:spacing w:after="40" w:line="240" w:lineRule="auto"/>
        <w:rPr>
          <w:rFonts w:ascii="Arial" w:hAnsi="Arial" w:cs="Arial"/>
          <w:b/>
          <w:bCs/>
          <w:kern w:val="0"/>
          <w:sz w:val="32"/>
          <w:szCs w:val="32"/>
        </w:rPr>
      </w:pPr>
    </w:p>
    <w:p w14:paraId="4DE089D6" w14:textId="7D6EA5BD" w:rsidR="00A32AFF" w:rsidRPr="00A32AFF" w:rsidRDefault="00A32AFF" w:rsidP="00A32AFF">
      <w:pPr>
        <w:pStyle w:val="Heading1"/>
      </w:pPr>
      <w:r>
        <w:lastRenderedPageBreak/>
        <w:br/>
      </w:r>
      <w:bookmarkStart w:id="16" w:name="_Toc237973334"/>
      <w:r w:rsidRPr="00A32AFF">
        <w:t>References</w:t>
      </w:r>
      <w:bookmarkEnd w:id="16"/>
    </w:p>
    <w:p w14:paraId="3A14A9FD" w14:textId="77777777" w:rsidR="00A32AFF" w:rsidRDefault="00A32AFF" w:rsidP="00A32AFF">
      <w:pPr>
        <w:autoSpaceDE w:val="0"/>
        <w:autoSpaceDN w:val="0"/>
        <w:adjustRightInd w:val="0"/>
        <w:spacing w:after="0" w:line="240" w:lineRule="auto"/>
        <w:rPr>
          <w:rFonts w:ascii="Arial" w:hAnsi="Arial" w:cs="Arial"/>
          <w:kern w:val="0"/>
          <w:sz w:val="26"/>
          <w:szCs w:val="26"/>
        </w:rPr>
      </w:pPr>
      <w:r w:rsidRPr="00A32AFF">
        <w:rPr>
          <w:rFonts w:ascii="Arial" w:hAnsi="Arial" w:cs="Arial"/>
          <w:kern w:val="0"/>
          <w:sz w:val="26"/>
          <w:szCs w:val="26"/>
        </w:rPr>
        <w:t xml:space="preserve">Armstrong, M. and Taylor, S. (2023) </w:t>
      </w:r>
      <w:r w:rsidRPr="00A32AFF">
        <w:rPr>
          <w:rFonts w:ascii="Arial" w:hAnsi="Arial" w:cs="Arial"/>
          <w:i/>
          <w:iCs/>
          <w:kern w:val="0"/>
          <w:sz w:val="26"/>
          <w:szCs w:val="26"/>
        </w:rPr>
        <w:t>Armstrong’s Handbook of Human Resource Management Practice</w:t>
      </w:r>
      <w:r w:rsidRPr="00A32AFF">
        <w:rPr>
          <w:rFonts w:ascii="Arial" w:hAnsi="Arial" w:cs="Arial"/>
          <w:kern w:val="0"/>
          <w:sz w:val="26"/>
          <w:szCs w:val="26"/>
        </w:rPr>
        <w:t>. 16th ed. London: Kogan Page.</w:t>
      </w:r>
    </w:p>
    <w:p w14:paraId="1D7AD9D1" w14:textId="77777777" w:rsidR="00A32AFF" w:rsidRPr="00A32AFF" w:rsidRDefault="00A32AFF" w:rsidP="00A32AFF">
      <w:pPr>
        <w:autoSpaceDE w:val="0"/>
        <w:autoSpaceDN w:val="0"/>
        <w:adjustRightInd w:val="0"/>
        <w:spacing w:after="0" w:line="240" w:lineRule="auto"/>
        <w:rPr>
          <w:rFonts w:ascii="Arial" w:hAnsi="Arial" w:cs="Arial"/>
          <w:kern w:val="0"/>
          <w:sz w:val="26"/>
          <w:szCs w:val="26"/>
        </w:rPr>
      </w:pPr>
    </w:p>
    <w:p w14:paraId="45CA212E" w14:textId="77777777" w:rsidR="00A32AFF" w:rsidRDefault="00A32AFF" w:rsidP="00A32AFF">
      <w:pPr>
        <w:autoSpaceDE w:val="0"/>
        <w:autoSpaceDN w:val="0"/>
        <w:adjustRightInd w:val="0"/>
        <w:spacing w:after="0" w:line="240" w:lineRule="auto"/>
        <w:rPr>
          <w:rFonts w:ascii="Arial" w:hAnsi="Arial" w:cs="Arial"/>
          <w:kern w:val="0"/>
          <w:sz w:val="26"/>
          <w:szCs w:val="26"/>
        </w:rPr>
      </w:pPr>
      <w:r w:rsidRPr="00A32AFF">
        <w:rPr>
          <w:rFonts w:ascii="Arial" w:hAnsi="Arial" w:cs="Arial"/>
          <w:kern w:val="0"/>
          <w:sz w:val="26"/>
          <w:szCs w:val="26"/>
        </w:rPr>
        <w:t xml:space="preserve">Boxall, P. and Purcell, J. (2022) </w:t>
      </w:r>
      <w:r w:rsidRPr="00A32AFF">
        <w:rPr>
          <w:rFonts w:ascii="Arial" w:hAnsi="Arial" w:cs="Arial"/>
          <w:i/>
          <w:iCs/>
          <w:kern w:val="0"/>
          <w:sz w:val="26"/>
          <w:szCs w:val="26"/>
        </w:rPr>
        <w:t>Strategy and Human Resource Management</w:t>
      </w:r>
      <w:r w:rsidRPr="00A32AFF">
        <w:rPr>
          <w:rFonts w:ascii="Arial" w:hAnsi="Arial" w:cs="Arial"/>
          <w:kern w:val="0"/>
          <w:sz w:val="26"/>
          <w:szCs w:val="26"/>
        </w:rPr>
        <w:t>. 5th ed. London: Red Globe Press.</w:t>
      </w:r>
    </w:p>
    <w:p w14:paraId="4198720E" w14:textId="77777777" w:rsidR="00A32AFF" w:rsidRPr="00A32AFF" w:rsidRDefault="00A32AFF" w:rsidP="00A32AFF">
      <w:pPr>
        <w:autoSpaceDE w:val="0"/>
        <w:autoSpaceDN w:val="0"/>
        <w:adjustRightInd w:val="0"/>
        <w:spacing w:after="0" w:line="240" w:lineRule="auto"/>
        <w:rPr>
          <w:rFonts w:ascii="Arial" w:hAnsi="Arial" w:cs="Arial"/>
          <w:kern w:val="0"/>
          <w:sz w:val="26"/>
          <w:szCs w:val="26"/>
        </w:rPr>
      </w:pPr>
    </w:p>
    <w:p w14:paraId="7667CC7B" w14:textId="77777777" w:rsidR="00A32AFF" w:rsidRDefault="00A32AFF" w:rsidP="00A32AFF">
      <w:pPr>
        <w:autoSpaceDE w:val="0"/>
        <w:autoSpaceDN w:val="0"/>
        <w:adjustRightInd w:val="0"/>
        <w:spacing w:after="0" w:line="240" w:lineRule="auto"/>
        <w:rPr>
          <w:rFonts w:ascii="Arial" w:hAnsi="Arial" w:cs="Arial"/>
          <w:kern w:val="0"/>
          <w:sz w:val="26"/>
          <w:szCs w:val="26"/>
        </w:rPr>
      </w:pPr>
      <w:r w:rsidRPr="00A32AFF">
        <w:rPr>
          <w:rFonts w:ascii="Arial" w:hAnsi="Arial" w:cs="Arial"/>
          <w:kern w:val="0"/>
          <w:sz w:val="26"/>
          <w:szCs w:val="26"/>
        </w:rPr>
        <w:t xml:space="preserve">Bratton, J. and Gold, J. (2023) </w:t>
      </w:r>
      <w:r w:rsidRPr="00A32AFF">
        <w:rPr>
          <w:rFonts w:ascii="Arial" w:hAnsi="Arial" w:cs="Arial"/>
          <w:i/>
          <w:iCs/>
          <w:kern w:val="0"/>
          <w:sz w:val="26"/>
          <w:szCs w:val="26"/>
        </w:rPr>
        <w:t>Human Resource Management: Theory and Practice</w:t>
      </w:r>
      <w:r w:rsidRPr="00A32AFF">
        <w:rPr>
          <w:rFonts w:ascii="Arial" w:hAnsi="Arial" w:cs="Arial"/>
          <w:kern w:val="0"/>
          <w:sz w:val="26"/>
          <w:szCs w:val="26"/>
        </w:rPr>
        <w:t>. 8th ed. London: Palgrave Macmillan.</w:t>
      </w:r>
    </w:p>
    <w:p w14:paraId="4323793C" w14:textId="77777777" w:rsidR="00A32AFF" w:rsidRPr="00A32AFF" w:rsidRDefault="00A32AFF" w:rsidP="00A32AFF">
      <w:pPr>
        <w:autoSpaceDE w:val="0"/>
        <w:autoSpaceDN w:val="0"/>
        <w:adjustRightInd w:val="0"/>
        <w:spacing w:after="0" w:line="240" w:lineRule="auto"/>
        <w:rPr>
          <w:rFonts w:ascii="Arial" w:hAnsi="Arial" w:cs="Arial"/>
          <w:kern w:val="0"/>
          <w:sz w:val="26"/>
          <w:szCs w:val="26"/>
        </w:rPr>
      </w:pPr>
    </w:p>
    <w:p w14:paraId="071C84AC" w14:textId="77777777" w:rsidR="00A32AFF" w:rsidRPr="00A32AFF" w:rsidRDefault="00A32AFF" w:rsidP="00A32AFF">
      <w:pPr>
        <w:autoSpaceDE w:val="0"/>
        <w:autoSpaceDN w:val="0"/>
        <w:adjustRightInd w:val="0"/>
        <w:spacing w:after="0" w:line="240" w:lineRule="auto"/>
        <w:rPr>
          <w:rFonts w:ascii="Arial" w:hAnsi="Arial" w:cs="Arial"/>
          <w:kern w:val="0"/>
          <w:sz w:val="26"/>
          <w:szCs w:val="26"/>
        </w:rPr>
      </w:pPr>
      <w:r w:rsidRPr="00A32AFF">
        <w:rPr>
          <w:rFonts w:ascii="Arial" w:hAnsi="Arial" w:cs="Arial"/>
          <w:kern w:val="0"/>
          <w:sz w:val="26"/>
          <w:szCs w:val="26"/>
        </w:rPr>
        <w:t xml:space="preserve">CIPD (2024) </w:t>
      </w:r>
      <w:r w:rsidRPr="00A32AFF">
        <w:rPr>
          <w:rFonts w:ascii="Arial" w:hAnsi="Arial" w:cs="Arial"/>
          <w:i/>
          <w:iCs/>
          <w:kern w:val="0"/>
          <w:sz w:val="26"/>
          <w:szCs w:val="26"/>
        </w:rPr>
        <w:t>Good Work Index 2024</w:t>
      </w:r>
      <w:r w:rsidRPr="00A32AFF">
        <w:rPr>
          <w:rFonts w:ascii="Arial" w:hAnsi="Arial" w:cs="Arial"/>
          <w:kern w:val="0"/>
          <w:sz w:val="26"/>
          <w:szCs w:val="26"/>
        </w:rPr>
        <w:t>. London: Chartered Institute of Personnel and Development.</w:t>
      </w:r>
    </w:p>
    <w:p w14:paraId="0D28EA8F" w14:textId="77777777" w:rsidR="007614F6" w:rsidRDefault="007614F6" w:rsidP="00A32AFF">
      <w:pPr>
        <w:autoSpaceDE w:val="0"/>
        <w:autoSpaceDN w:val="0"/>
        <w:adjustRightInd w:val="0"/>
        <w:spacing w:after="0" w:line="240" w:lineRule="auto"/>
        <w:rPr>
          <w:rFonts w:ascii="Arial" w:hAnsi="Arial" w:cs="Arial"/>
          <w:kern w:val="0"/>
          <w:sz w:val="26"/>
          <w:szCs w:val="26"/>
        </w:rPr>
      </w:pPr>
    </w:p>
    <w:p w14:paraId="6C1A62DE" w14:textId="5791BDBD" w:rsidR="00A32AFF" w:rsidRPr="00A32AFF" w:rsidRDefault="00A32AFF" w:rsidP="00A32AFF">
      <w:pPr>
        <w:autoSpaceDE w:val="0"/>
        <w:autoSpaceDN w:val="0"/>
        <w:adjustRightInd w:val="0"/>
        <w:spacing w:after="0" w:line="240" w:lineRule="auto"/>
        <w:rPr>
          <w:rFonts w:ascii="Arial" w:hAnsi="Arial" w:cs="Arial"/>
          <w:kern w:val="0"/>
          <w:sz w:val="26"/>
          <w:szCs w:val="26"/>
        </w:rPr>
      </w:pPr>
      <w:r w:rsidRPr="00A32AFF">
        <w:rPr>
          <w:rFonts w:ascii="Arial" w:hAnsi="Arial" w:cs="Arial"/>
          <w:kern w:val="0"/>
          <w:sz w:val="26"/>
          <w:szCs w:val="26"/>
        </w:rPr>
        <w:t xml:space="preserve">CIPD (2024) </w:t>
      </w:r>
      <w:r w:rsidRPr="00A32AFF">
        <w:rPr>
          <w:rFonts w:ascii="Arial" w:hAnsi="Arial" w:cs="Arial"/>
          <w:i/>
          <w:iCs/>
          <w:kern w:val="0"/>
          <w:sz w:val="26"/>
          <w:szCs w:val="26"/>
        </w:rPr>
        <w:t>People Profession Survey 2024</w:t>
      </w:r>
      <w:r w:rsidRPr="00A32AFF">
        <w:rPr>
          <w:rFonts w:ascii="Arial" w:hAnsi="Arial" w:cs="Arial"/>
          <w:kern w:val="0"/>
          <w:sz w:val="26"/>
          <w:szCs w:val="26"/>
        </w:rPr>
        <w:t>. London: Chartered Institute of Personnel and Development.</w:t>
      </w:r>
    </w:p>
    <w:p w14:paraId="264DE9A7" w14:textId="77777777" w:rsidR="007614F6" w:rsidRDefault="007614F6" w:rsidP="00A32AFF">
      <w:pPr>
        <w:autoSpaceDE w:val="0"/>
        <w:autoSpaceDN w:val="0"/>
        <w:adjustRightInd w:val="0"/>
        <w:spacing w:after="0" w:line="240" w:lineRule="auto"/>
        <w:rPr>
          <w:rFonts w:ascii="Arial" w:hAnsi="Arial" w:cs="Arial"/>
          <w:kern w:val="0"/>
          <w:sz w:val="26"/>
          <w:szCs w:val="26"/>
        </w:rPr>
      </w:pPr>
    </w:p>
    <w:p w14:paraId="4B4FDB2E" w14:textId="75BB1CD4" w:rsidR="00A32AFF" w:rsidRPr="00A32AFF" w:rsidRDefault="00A32AFF" w:rsidP="00A32AFF">
      <w:pPr>
        <w:autoSpaceDE w:val="0"/>
        <w:autoSpaceDN w:val="0"/>
        <w:adjustRightInd w:val="0"/>
        <w:spacing w:after="0" w:line="240" w:lineRule="auto"/>
        <w:rPr>
          <w:rFonts w:ascii="Arial" w:hAnsi="Arial" w:cs="Arial"/>
          <w:kern w:val="0"/>
          <w:sz w:val="26"/>
          <w:szCs w:val="26"/>
        </w:rPr>
      </w:pPr>
      <w:r w:rsidRPr="00A32AFF">
        <w:rPr>
          <w:rFonts w:ascii="Arial" w:hAnsi="Arial" w:cs="Arial"/>
          <w:kern w:val="0"/>
          <w:sz w:val="26"/>
          <w:szCs w:val="26"/>
        </w:rPr>
        <w:t xml:space="preserve">Deloitte (2024) </w:t>
      </w:r>
      <w:r w:rsidRPr="00A32AFF">
        <w:rPr>
          <w:rFonts w:ascii="Arial" w:hAnsi="Arial" w:cs="Arial"/>
          <w:i/>
          <w:iCs/>
          <w:kern w:val="0"/>
          <w:sz w:val="26"/>
          <w:szCs w:val="26"/>
        </w:rPr>
        <w:t>Global Human Capital Trends</w:t>
      </w:r>
      <w:r w:rsidRPr="00A32AFF">
        <w:rPr>
          <w:rFonts w:ascii="Arial" w:hAnsi="Arial" w:cs="Arial"/>
          <w:kern w:val="0"/>
          <w:sz w:val="26"/>
          <w:szCs w:val="26"/>
        </w:rPr>
        <w:t>. London: Deloitte.</w:t>
      </w:r>
    </w:p>
    <w:p w14:paraId="031D82E4" w14:textId="77777777" w:rsidR="007614F6" w:rsidRDefault="007614F6" w:rsidP="00A32AFF">
      <w:pPr>
        <w:autoSpaceDE w:val="0"/>
        <w:autoSpaceDN w:val="0"/>
        <w:adjustRightInd w:val="0"/>
        <w:spacing w:after="0" w:line="240" w:lineRule="auto"/>
        <w:rPr>
          <w:rFonts w:ascii="Arial" w:hAnsi="Arial" w:cs="Arial"/>
          <w:kern w:val="0"/>
          <w:sz w:val="26"/>
          <w:szCs w:val="26"/>
        </w:rPr>
      </w:pPr>
    </w:p>
    <w:p w14:paraId="51984934" w14:textId="16097015" w:rsidR="00A32AFF" w:rsidRPr="00A32AFF" w:rsidRDefault="00A32AFF" w:rsidP="00A32AFF">
      <w:pPr>
        <w:autoSpaceDE w:val="0"/>
        <w:autoSpaceDN w:val="0"/>
        <w:adjustRightInd w:val="0"/>
        <w:spacing w:after="0" w:line="240" w:lineRule="auto"/>
        <w:rPr>
          <w:rFonts w:ascii="Arial" w:hAnsi="Arial" w:cs="Arial"/>
          <w:kern w:val="0"/>
          <w:sz w:val="26"/>
          <w:szCs w:val="26"/>
        </w:rPr>
      </w:pPr>
      <w:r w:rsidRPr="00A32AFF">
        <w:rPr>
          <w:rFonts w:ascii="Arial" w:hAnsi="Arial" w:cs="Arial"/>
          <w:kern w:val="0"/>
          <w:sz w:val="26"/>
          <w:szCs w:val="26"/>
        </w:rPr>
        <w:t xml:space="preserve">Kotter, J.P. (2012) </w:t>
      </w:r>
      <w:r w:rsidRPr="00A32AFF">
        <w:rPr>
          <w:rFonts w:ascii="Arial" w:hAnsi="Arial" w:cs="Arial"/>
          <w:i/>
          <w:iCs/>
          <w:kern w:val="0"/>
          <w:sz w:val="26"/>
          <w:szCs w:val="26"/>
        </w:rPr>
        <w:t>Leading Change</w:t>
      </w:r>
      <w:r w:rsidRPr="00A32AFF">
        <w:rPr>
          <w:rFonts w:ascii="Arial" w:hAnsi="Arial" w:cs="Arial"/>
          <w:kern w:val="0"/>
          <w:sz w:val="26"/>
          <w:szCs w:val="26"/>
        </w:rPr>
        <w:t>. Boston: Harvard Business Review Press.</w:t>
      </w:r>
    </w:p>
    <w:p w14:paraId="278ECD27" w14:textId="77777777" w:rsidR="007614F6" w:rsidRDefault="007614F6" w:rsidP="00A32AFF">
      <w:pPr>
        <w:autoSpaceDE w:val="0"/>
        <w:autoSpaceDN w:val="0"/>
        <w:adjustRightInd w:val="0"/>
        <w:spacing w:after="0" w:line="240" w:lineRule="auto"/>
        <w:rPr>
          <w:rFonts w:ascii="Arial" w:hAnsi="Arial" w:cs="Arial"/>
          <w:kern w:val="0"/>
          <w:sz w:val="26"/>
          <w:szCs w:val="26"/>
        </w:rPr>
      </w:pPr>
    </w:p>
    <w:p w14:paraId="5A3D3365" w14:textId="1E330D38" w:rsidR="00A32AFF" w:rsidRPr="00A32AFF" w:rsidRDefault="00A32AFF" w:rsidP="00A32AFF">
      <w:pPr>
        <w:autoSpaceDE w:val="0"/>
        <w:autoSpaceDN w:val="0"/>
        <w:adjustRightInd w:val="0"/>
        <w:spacing w:after="0" w:line="240" w:lineRule="auto"/>
        <w:rPr>
          <w:rFonts w:ascii="Arial" w:hAnsi="Arial" w:cs="Arial"/>
          <w:kern w:val="0"/>
          <w:sz w:val="26"/>
          <w:szCs w:val="26"/>
        </w:rPr>
      </w:pPr>
      <w:r w:rsidRPr="00A32AFF">
        <w:rPr>
          <w:rFonts w:ascii="Arial" w:hAnsi="Arial" w:cs="Arial"/>
          <w:kern w:val="0"/>
          <w:sz w:val="26"/>
          <w:szCs w:val="26"/>
        </w:rPr>
        <w:t xml:space="preserve">McKinsey &amp; Company (2023) </w:t>
      </w:r>
      <w:r w:rsidRPr="00A32AFF">
        <w:rPr>
          <w:rFonts w:ascii="Arial" w:hAnsi="Arial" w:cs="Arial"/>
          <w:i/>
          <w:iCs/>
          <w:kern w:val="0"/>
          <w:sz w:val="26"/>
          <w:szCs w:val="26"/>
        </w:rPr>
        <w:t>Diversity Matters Even More</w:t>
      </w:r>
      <w:r w:rsidRPr="00A32AFF">
        <w:rPr>
          <w:rFonts w:ascii="Arial" w:hAnsi="Arial" w:cs="Arial"/>
          <w:kern w:val="0"/>
          <w:sz w:val="26"/>
          <w:szCs w:val="26"/>
        </w:rPr>
        <w:t>. McKinsey &amp; Company.</w:t>
      </w:r>
    </w:p>
    <w:p w14:paraId="23C7BF6A" w14:textId="77777777" w:rsidR="007614F6" w:rsidRDefault="007614F6" w:rsidP="00A32AFF">
      <w:pPr>
        <w:autoSpaceDE w:val="0"/>
        <w:autoSpaceDN w:val="0"/>
        <w:adjustRightInd w:val="0"/>
        <w:spacing w:after="0" w:line="240" w:lineRule="auto"/>
        <w:rPr>
          <w:rFonts w:ascii="Arial" w:hAnsi="Arial" w:cs="Arial"/>
          <w:kern w:val="0"/>
          <w:sz w:val="26"/>
          <w:szCs w:val="26"/>
        </w:rPr>
      </w:pPr>
    </w:p>
    <w:p w14:paraId="78E98BEB" w14:textId="2C61174D" w:rsidR="00A32AFF" w:rsidRPr="00A32AFF" w:rsidRDefault="00A32AFF" w:rsidP="00A32AFF">
      <w:pPr>
        <w:autoSpaceDE w:val="0"/>
        <w:autoSpaceDN w:val="0"/>
        <w:adjustRightInd w:val="0"/>
        <w:spacing w:after="0" w:line="240" w:lineRule="auto"/>
        <w:rPr>
          <w:rFonts w:ascii="Arial" w:hAnsi="Arial" w:cs="Arial"/>
          <w:kern w:val="0"/>
          <w:sz w:val="26"/>
          <w:szCs w:val="26"/>
        </w:rPr>
      </w:pPr>
      <w:r w:rsidRPr="00A32AFF">
        <w:rPr>
          <w:rFonts w:ascii="Arial" w:hAnsi="Arial" w:cs="Arial"/>
          <w:kern w:val="0"/>
          <w:sz w:val="26"/>
          <w:szCs w:val="26"/>
        </w:rPr>
        <w:t xml:space="preserve">Sainsbury’s (2025) </w:t>
      </w:r>
      <w:r w:rsidRPr="00A32AFF">
        <w:rPr>
          <w:rFonts w:ascii="Arial" w:hAnsi="Arial" w:cs="Arial"/>
          <w:i/>
          <w:iCs/>
          <w:kern w:val="0"/>
          <w:sz w:val="26"/>
          <w:szCs w:val="26"/>
        </w:rPr>
        <w:t>Annual Report and Financial Statements 2025</w:t>
      </w:r>
      <w:r w:rsidRPr="00A32AFF">
        <w:rPr>
          <w:rFonts w:ascii="Arial" w:hAnsi="Arial" w:cs="Arial"/>
          <w:kern w:val="0"/>
          <w:sz w:val="26"/>
          <w:szCs w:val="26"/>
        </w:rPr>
        <w:t>. London: J Sainsbury plc.</w:t>
      </w:r>
    </w:p>
    <w:p w14:paraId="44EC3D50" w14:textId="77777777" w:rsidR="007614F6" w:rsidRDefault="007614F6" w:rsidP="00A32AFF">
      <w:pPr>
        <w:autoSpaceDE w:val="0"/>
        <w:autoSpaceDN w:val="0"/>
        <w:adjustRightInd w:val="0"/>
        <w:spacing w:after="0" w:line="240" w:lineRule="auto"/>
        <w:rPr>
          <w:rFonts w:ascii="Arial" w:hAnsi="Arial" w:cs="Arial"/>
          <w:kern w:val="0"/>
          <w:sz w:val="26"/>
          <w:szCs w:val="26"/>
        </w:rPr>
      </w:pPr>
    </w:p>
    <w:p w14:paraId="32A9BB98" w14:textId="41070233" w:rsidR="00A32AFF" w:rsidRPr="00A32AFF" w:rsidRDefault="00A32AFF" w:rsidP="00A32AFF">
      <w:pPr>
        <w:autoSpaceDE w:val="0"/>
        <w:autoSpaceDN w:val="0"/>
        <w:adjustRightInd w:val="0"/>
        <w:spacing w:after="0" w:line="240" w:lineRule="auto"/>
        <w:rPr>
          <w:rFonts w:ascii="Arial" w:hAnsi="Arial" w:cs="Arial"/>
          <w:kern w:val="0"/>
          <w:sz w:val="26"/>
          <w:szCs w:val="26"/>
        </w:rPr>
      </w:pPr>
      <w:r w:rsidRPr="00A32AFF">
        <w:rPr>
          <w:rFonts w:ascii="Arial" w:hAnsi="Arial" w:cs="Arial"/>
          <w:kern w:val="0"/>
          <w:sz w:val="26"/>
          <w:szCs w:val="26"/>
        </w:rPr>
        <w:t xml:space="preserve">Schein, E.H. (2017) </w:t>
      </w:r>
      <w:r w:rsidRPr="00A32AFF">
        <w:rPr>
          <w:rFonts w:ascii="Arial" w:hAnsi="Arial" w:cs="Arial"/>
          <w:i/>
          <w:iCs/>
          <w:kern w:val="0"/>
          <w:sz w:val="26"/>
          <w:szCs w:val="26"/>
        </w:rPr>
        <w:t>Organizational Culture and Leadership</w:t>
      </w:r>
      <w:r w:rsidRPr="00A32AFF">
        <w:rPr>
          <w:rFonts w:ascii="Arial" w:hAnsi="Arial" w:cs="Arial"/>
          <w:kern w:val="0"/>
          <w:sz w:val="26"/>
          <w:szCs w:val="26"/>
        </w:rPr>
        <w:t>. 5th ed. Hoboken: Wiley.</w:t>
      </w:r>
    </w:p>
    <w:p w14:paraId="2B338177" w14:textId="77777777" w:rsidR="007614F6" w:rsidRDefault="007614F6" w:rsidP="00A32AFF">
      <w:pPr>
        <w:autoSpaceDE w:val="0"/>
        <w:autoSpaceDN w:val="0"/>
        <w:adjustRightInd w:val="0"/>
        <w:spacing w:after="0" w:line="240" w:lineRule="auto"/>
        <w:rPr>
          <w:rFonts w:ascii="Arial" w:hAnsi="Arial" w:cs="Arial"/>
          <w:kern w:val="0"/>
          <w:sz w:val="26"/>
          <w:szCs w:val="26"/>
        </w:rPr>
      </w:pPr>
    </w:p>
    <w:p w14:paraId="348E8E69" w14:textId="35F8F749" w:rsidR="00A32AFF" w:rsidRPr="00A32AFF" w:rsidRDefault="00A32AFF" w:rsidP="00A32AFF">
      <w:pPr>
        <w:autoSpaceDE w:val="0"/>
        <w:autoSpaceDN w:val="0"/>
        <w:adjustRightInd w:val="0"/>
        <w:spacing w:after="0" w:line="240" w:lineRule="auto"/>
        <w:rPr>
          <w:rFonts w:ascii="Arial" w:hAnsi="Arial" w:cs="Arial"/>
          <w:kern w:val="0"/>
          <w:sz w:val="26"/>
          <w:szCs w:val="26"/>
        </w:rPr>
      </w:pPr>
      <w:r w:rsidRPr="00A32AFF">
        <w:rPr>
          <w:rFonts w:ascii="Arial" w:hAnsi="Arial" w:cs="Arial"/>
          <w:kern w:val="0"/>
          <w:sz w:val="26"/>
          <w:szCs w:val="26"/>
        </w:rPr>
        <w:t>The Equality Act 2010. London: HMSO.</w:t>
      </w:r>
    </w:p>
    <w:p w14:paraId="3013ABCC" w14:textId="77777777" w:rsidR="007614F6" w:rsidRDefault="007614F6" w:rsidP="00A32AFF">
      <w:pPr>
        <w:autoSpaceDE w:val="0"/>
        <w:autoSpaceDN w:val="0"/>
        <w:adjustRightInd w:val="0"/>
        <w:spacing w:after="0" w:line="240" w:lineRule="auto"/>
        <w:rPr>
          <w:rFonts w:ascii="Arial" w:hAnsi="Arial" w:cs="Arial"/>
          <w:kern w:val="0"/>
          <w:sz w:val="26"/>
          <w:szCs w:val="26"/>
        </w:rPr>
      </w:pPr>
    </w:p>
    <w:p w14:paraId="5BFA23F7" w14:textId="71FA72D1" w:rsidR="00A32AFF" w:rsidRPr="00A32AFF" w:rsidRDefault="00A32AFF" w:rsidP="00A32AFF">
      <w:pPr>
        <w:autoSpaceDE w:val="0"/>
        <w:autoSpaceDN w:val="0"/>
        <w:adjustRightInd w:val="0"/>
        <w:spacing w:after="0" w:line="240" w:lineRule="auto"/>
        <w:rPr>
          <w:rFonts w:ascii="Arial" w:hAnsi="Arial" w:cs="Arial"/>
          <w:kern w:val="0"/>
          <w:sz w:val="26"/>
          <w:szCs w:val="26"/>
        </w:rPr>
      </w:pPr>
      <w:r w:rsidRPr="00A32AFF">
        <w:rPr>
          <w:rFonts w:ascii="Arial" w:hAnsi="Arial" w:cs="Arial"/>
          <w:kern w:val="0"/>
          <w:sz w:val="26"/>
          <w:szCs w:val="26"/>
        </w:rPr>
        <w:t xml:space="preserve">Torrington, D., Hall, L., Taylor, S. and Atkinson, C. (2023) </w:t>
      </w:r>
      <w:r w:rsidRPr="00A32AFF">
        <w:rPr>
          <w:rFonts w:ascii="Arial" w:hAnsi="Arial" w:cs="Arial"/>
          <w:i/>
          <w:iCs/>
          <w:kern w:val="0"/>
          <w:sz w:val="26"/>
          <w:szCs w:val="26"/>
        </w:rPr>
        <w:t>Human Resource Management</w:t>
      </w:r>
      <w:r w:rsidRPr="00A32AFF">
        <w:rPr>
          <w:rFonts w:ascii="Arial" w:hAnsi="Arial" w:cs="Arial"/>
          <w:kern w:val="0"/>
          <w:sz w:val="26"/>
          <w:szCs w:val="26"/>
        </w:rPr>
        <w:t>. 12th ed. Harlow: Pearson.</w:t>
      </w:r>
    </w:p>
    <w:p w14:paraId="75B6567F" w14:textId="77777777" w:rsidR="00D63904" w:rsidRPr="00A32AFF" w:rsidRDefault="00D63904">
      <w:pPr>
        <w:rPr>
          <w:rFonts w:ascii="Arial" w:hAnsi="Arial" w:cs="Arial"/>
        </w:rPr>
      </w:pPr>
    </w:p>
    <w:sectPr w:rsidR="00D63904" w:rsidRPr="00A32AFF" w:rsidSect="00A32AFF">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8228841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AFF"/>
    <w:rsid w:val="000E1CAA"/>
    <w:rsid w:val="00185A0B"/>
    <w:rsid w:val="00254AE7"/>
    <w:rsid w:val="003724E3"/>
    <w:rsid w:val="007614F6"/>
    <w:rsid w:val="00766D9A"/>
    <w:rsid w:val="00A32AFF"/>
    <w:rsid w:val="00D639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7BAF5"/>
  <w15:chartTrackingRefBased/>
  <w15:docId w15:val="{1DAEF688-5B8E-5043-B067-00D6EC303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2A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32A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32A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32A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2A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2A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2A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2A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2A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2A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32A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32A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32A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2A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2A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2A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2A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2AFF"/>
    <w:rPr>
      <w:rFonts w:eastAsiaTheme="majorEastAsia" w:cstheme="majorBidi"/>
      <w:color w:val="272727" w:themeColor="text1" w:themeTint="D8"/>
    </w:rPr>
  </w:style>
  <w:style w:type="paragraph" w:styleId="Title">
    <w:name w:val="Title"/>
    <w:basedOn w:val="Normal"/>
    <w:next w:val="Normal"/>
    <w:link w:val="TitleChar"/>
    <w:uiPriority w:val="10"/>
    <w:qFormat/>
    <w:rsid w:val="00A32A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2A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2A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2A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2AFF"/>
    <w:pPr>
      <w:spacing w:before="160"/>
      <w:jc w:val="center"/>
    </w:pPr>
    <w:rPr>
      <w:i/>
      <w:iCs/>
      <w:color w:val="404040" w:themeColor="text1" w:themeTint="BF"/>
    </w:rPr>
  </w:style>
  <w:style w:type="character" w:customStyle="1" w:styleId="QuoteChar">
    <w:name w:val="Quote Char"/>
    <w:basedOn w:val="DefaultParagraphFont"/>
    <w:link w:val="Quote"/>
    <w:uiPriority w:val="29"/>
    <w:rsid w:val="00A32AFF"/>
    <w:rPr>
      <w:i/>
      <w:iCs/>
      <w:color w:val="404040" w:themeColor="text1" w:themeTint="BF"/>
    </w:rPr>
  </w:style>
  <w:style w:type="paragraph" w:styleId="ListParagraph">
    <w:name w:val="List Paragraph"/>
    <w:basedOn w:val="Normal"/>
    <w:uiPriority w:val="34"/>
    <w:qFormat/>
    <w:rsid w:val="00A32AFF"/>
    <w:pPr>
      <w:ind w:left="720"/>
      <w:contextualSpacing/>
    </w:pPr>
  </w:style>
  <w:style w:type="character" w:styleId="IntenseEmphasis">
    <w:name w:val="Intense Emphasis"/>
    <w:basedOn w:val="DefaultParagraphFont"/>
    <w:uiPriority w:val="21"/>
    <w:qFormat/>
    <w:rsid w:val="00A32AFF"/>
    <w:rPr>
      <w:i/>
      <w:iCs/>
      <w:color w:val="0F4761" w:themeColor="accent1" w:themeShade="BF"/>
    </w:rPr>
  </w:style>
  <w:style w:type="paragraph" w:styleId="IntenseQuote">
    <w:name w:val="Intense Quote"/>
    <w:basedOn w:val="Normal"/>
    <w:next w:val="Normal"/>
    <w:link w:val="IntenseQuoteChar"/>
    <w:uiPriority w:val="30"/>
    <w:qFormat/>
    <w:rsid w:val="00A32A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2AFF"/>
    <w:rPr>
      <w:i/>
      <w:iCs/>
      <w:color w:val="0F4761" w:themeColor="accent1" w:themeShade="BF"/>
    </w:rPr>
  </w:style>
  <w:style w:type="character" w:styleId="IntenseReference">
    <w:name w:val="Intense Reference"/>
    <w:basedOn w:val="DefaultParagraphFont"/>
    <w:uiPriority w:val="32"/>
    <w:qFormat/>
    <w:rsid w:val="00A32AFF"/>
    <w:rPr>
      <w:b/>
      <w:bCs/>
      <w:smallCaps/>
      <w:color w:val="0F4761" w:themeColor="accent1" w:themeShade="BF"/>
      <w:spacing w:val="5"/>
    </w:rPr>
  </w:style>
  <w:style w:type="paragraph" w:styleId="TOCHeading">
    <w:name w:val="TOC Heading"/>
    <w:basedOn w:val="Heading1"/>
    <w:next w:val="Normal"/>
    <w:uiPriority w:val="39"/>
    <w:unhideWhenUsed/>
    <w:qFormat/>
    <w:rsid w:val="00A32AF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32AFF"/>
    <w:pPr>
      <w:spacing w:before="360" w:after="360"/>
    </w:pPr>
    <w:rPr>
      <w:b/>
      <w:bCs/>
      <w:caps/>
      <w:sz w:val="22"/>
      <w:szCs w:val="22"/>
      <w:u w:val="single"/>
    </w:rPr>
  </w:style>
  <w:style w:type="paragraph" w:styleId="TOC2">
    <w:name w:val="toc 2"/>
    <w:basedOn w:val="Normal"/>
    <w:next w:val="Normal"/>
    <w:autoRedefine/>
    <w:uiPriority w:val="39"/>
    <w:semiHidden/>
    <w:unhideWhenUsed/>
    <w:rsid w:val="00A32AFF"/>
    <w:pPr>
      <w:spacing w:after="0"/>
    </w:pPr>
    <w:rPr>
      <w:b/>
      <w:bCs/>
      <w:smallCaps/>
      <w:sz w:val="22"/>
      <w:szCs w:val="22"/>
    </w:rPr>
  </w:style>
  <w:style w:type="paragraph" w:styleId="TOC3">
    <w:name w:val="toc 3"/>
    <w:basedOn w:val="Normal"/>
    <w:next w:val="Normal"/>
    <w:autoRedefine/>
    <w:uiPriority w:val="39"/>
    <w:semiHidden/>
    <w:unhideWhenUsed/>
    <w:rsid w:val="00A32AFF"/>
    <w:pPr>
      <w:spacing w:after="0"/>
    </w:pPr>
    <w:rPr>
      <w:smallCaps/>
      <w:sz w:val="22"/>
      <w:szCs w:val="22"/>
    </w:rPr>
  </w:style>
  <w:style w:type="paragraph" w:styleId="TOC4">
    <w:name w:val="toc 4"/>
    <w:basedOn w:val="Normal"/>
    <w:next w:val="Normal"/>
    <w:autoRedefine/>
    <w:uiPriority w:val="39"/>
    <w:semiHidden/>
    <w:unhideWhenUsed/>
    <w:rsid w:val="00A32AFF"/>
    <w:pPr>
      <w:spacing w:after="0"/>
    </w:pPr>
    <w:rPr>
      <w:sz w:val="22"/>
      <w:szCs w:val="22"/>
    </w:rPr>
  </w:style>
  <w:style w:type="paragraph" w:styleId="TOC5">
    <w:name w:val="toc 5"/>
    <w:basedOn w:val="Normal"/>
    <w:next w:val="Normal"/>
    <w:autoRedefine/>
    <w:uiPriority w:val="39"/>
    <w:semiHidden/>
    <w:unhideWhenUsed/>
    <w:rsid w:val="00A32AFF"/>
    <w:pPr>
      <w:spacing w:after="0"/>
    </w:pPr>
    <w:rPr>
      <w:sz w:val="22"/>
      <w:szCs w:val="22"/>
    </w:rPr>
  </w:style>
  <w:style w:type="paragraph" w:styleId="TOC6">
    <w:name w:val="toc 6"/>
    <w:basedOn w:val="Normal"/>
    <w:next w:val="Normal"/>
    <w:autoRedefine/>
    <w:uiPriority w:val="39"/>
    <w:semiHidden/>
    <w:unhideWhenUsed/>
    <w:rsid w:val="00A32AFF"/>
    <w:pPr>
      <w:spacing w:after="0"/>
    </w:pPr>
    <w:rPr>
      <w:sz w:val="22"/>
      <w:szCs w:val="22"/>
    </w:rPr>
  </w:style>
  <w:style w:type="paragraph" w:styleId="TOC7">
    <w:name w:val="toc 7"/>
    <w:basedOn w:val="Normal"/>
    <w:next w:val="Normal"/>
    <w:autoRedefine/>
    <w:uiPriority w:val="39"/>
    <w:semiHidden/>
    <w:unhideWhenUsed/>
    <w:rsid w:val="00A32AFF"/>
    <w:pPr>
      <w:spacing w:after="0"/>
    </w:pPr>
    <w:rPr>
      <w:sz w:val="22"/>
      <w:szCs w:val="22"/>
    </w:rPr>
  </w:style>
  <w:style w:type="paragraph" w:styleId="TOC8">
    <w:name w:val="toc 8"/>
    <w:basedOn w:val="Normal"/>
    <w:next w:val="Normal"/>
    <w:autoRedefine/>
    <w:uiPriority w:val="39"/>
    <w:semiHidden/>
    <w:unhideWhenUsed/>
    <w:rsid w:val="00A32AFF"/>
    <w:pPr>
      <w:spacing w:after="0"/>
    </w:pPr>
    <w:rPr>
      <w:sz w:val="22"/>
      <w:szCs w:val="22"/>
    </w:rPr>
  </w:style>
  <w:style w:type="paragraph" w:styleId="TOC9">
    <w:name w:val="toc 9"/>
    <w:basedOn w:val="Normal"/>
    <w:next w:val="Normal"/>
    <w:autoRedefine/>
    <w:uiPriority w:val="39"/>
    <w:semiHidden/>
    <w:unhideWhenUsed/>
    <w:rsid w:val="00A32AFF"/>
    <w:pPr>
      <w:spacing w:after="0"/>
    </w:pPr>
    <w:rPr>
      <w:sz w:val="22"/>
      <w:szCs w:val="22"/>
    </w:rPr>
  </w:style>
  <w:style w:type="character" w:styleId="Hyperlink">
    <w:name w:val="Hyperlink"/>
    <w:basedOn w:val="DefaultParagraphFont"/>
    <w:uiPriority w:val="99"/>
    <w:unhideWhenUsed/>
    <w:rsid w:val="00A32AF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A516730-94A3-A543-BF99-0A6EE2F152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8</Pages>
  <Words>2411</Words>
  <Characters>16498</Characters>
  <Application>Microsoft Office Word</Application>
  <DocSecurity>0</DocSecurity>
  <Lines>589</Lines>
  <Paragraphs>300</Paragraphs>
  <ScaleCrop>false</ScaleCrop>
  <Company/>
  <LinksUpToDate>false</LinksUpToDate>
  <CharactersWithSpaces>18609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Ricses Martinez Dacuyan (2438233)</dc:creator>
  <cp:keywords/>
  <dc:description/>
  <cp:lastModifiedBy>Ricses Martinez Dacuyan (2438233)</cp:lastModifiedBy>
  <cp:revision>3</cp:revision>
  <dcterms:created xsi:type="dcterms:W3CDTF">2026-08-18T18:06:00Z</dcterms:created>
  <dcterms:modified xsi:type="dcterms:W3CDTF">2026-08-21T01:43:00Z</dcterms:modified>
</cp:coreProperties>
</file>