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477F1" w14:textId="77777777" w:rsidR="00065168" w:rsidRDefault="00065168" w:rsidP="00065168">
      <w:pPr>
        <w:pStyle w:val="NormalWeb"/>
        <w:spacing w:before="0" w:beforeAutospacing="0" w:after="0" w:afterAutospacing="0"/>
        <w:ind w:left="-180" w:right="-334"/>
      </w:pPr>
      <w:r>
        <w:rPr>
          <w:noProof/>
          <w:lang w:val="en-GB" w:eastAsia="en-GB"/>
        </w:rPr>
        <w:drawing>
          <wp:inline distT="0" distB="0" distL="0" distR="0" wp14:anchorId="6C260FFC" wp14:editId="0B401975">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0949F6C0" w14:textId="77777777" w:rsidR="00065168" w:rsidRDefault="00065168" w:rsidP="00065168">
      <w:pPr>
        <w:pStyle w:val="NormalWeb"/>
        <w:spacing w:before="0" w:beforeAutospacing="0" w:after="0" w:afterAutospacing="0"/>
        <w:ind w:left="-180" w:right="-334"/>
      </w:pPr>
    </w:p>
    <w:p w14:paraId="758BDEF1" w14:textId="77777777" w:rsidR="00065168" w:rsidRDefault="00065168" w:rsidP="00065168">
      <w:pPr>
        <w:pStyle w:val="NormalWeb"/>
        <w:spacing w:before="0" w:beforeAutospacing="0" w:after="0" w:afterAutospacing="0"/>
        <w:ind w:left="-180" w:right="-334"/>
      </w:pPr>
    </w:p>
    <w:p w14:paraId="11F4BBED" w14:textId="77777777" w:rsidR="00065168" w:rsidRDefault="00065168" w:rsidP="0006516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DA3269" w14:textId="77777777" w:rsidR="00065168" w:rsidRPr="00230F35" w:rsidRDefault="00065168" w:rsidP="0006516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1CCD2A3" w14:textId="77777777" w:rsidR="00065168" w:rsidRPr="00230F35" w:rsidRDefault="00065168" w:rsidP="00065168">
      <w:pPr>
        <w:rPr>
          <w:sz w:val="28"/>
          <w:szCs w:val="28"/>
          <w:lang w:val="cy-GB"/>
        </w:rPr>
      </w:pPr>
    </w:p>
    <w:p w14:paraId="59B9B804" w14:textId="77777777" w:rsidR="00065168" w:rsidRDefault="00065168" w:rsidP="00065168">
      <w:pPr>
        <w:pStyle w:val="Heading3"/>
        <w:jc w:val="center"/>
        <w:rPr>
          <w:lang w:val="cy-GB"/>
        </w:rPr>
      </w:pPr>
      <w:r>
        <w:rPr>
          <w:lang w:val="cy-GB"/>
        </w:rPr>
        <w:t>THIS SHEET MUST BE THE FIRST PAGE OF THE ASSIGNMENT YOU ARE SUBMITTING  (DO NOT SEND AS A SEPARATE FILE)</w:t>
      </w:r>
    </w:p>
    <w:p w14:paraId="44D55495" w14:textId="77777777" w:rsidR="00065168" w:rsidRDefault="00065168" w:rsidP="0006516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65168" w:rsidRPr="00230F35" w14:paraId="67F35433" w14:textId="77777777" w:rsidTr="001F1D2F">
        <w:trPr>
          <w:trHeight w:val="614"/>
        </w:trPr>
        <w:tc>
          <w:tcPr>
            <w:tcW w:w="8856" w:type="dxa"/>
            <w:gridSpan w:val="5"/>
          </w:tcPr>
          <w:p w14:paraId="471ABDE2" w14:textId="77777777"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65168" w:rsidRPr="00230F35" w14:paraId="03A025EA" w14:textId="77777777" w:rsidTr="001F1D2F">
        <w:trPr>
          <w:trHeight w:val="718"/>
        </w:trPr>
        <w:tc>
          <w:tcPr>
            <w:tcW w:w="8856" w:type="dxa"/>
            <w:gridSpan w:val="5"/>
          </w:tcPr>
          <w:p w14:paraId="7CF22534" w14:textId="77777777" w:rsidR="00065168"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08A45AE" w14:textId="77777777" w:rsidR="00065168" w:rsidRPr="00230F35" w:rsidRDefault="00065168" w:rsidP="001F1D2F">
            <w:pPr>
              <w:pStyle w:val="NormalWeb"/>
              <w:spacing w:before="0" w:beforeAutospacing="0" w:after="0" w:afterAutospacing="0"/>
              <w:ind w:right="34"/>
              <w:rPr>
                <w:rFonts w:ascii="Arial" w:hAnsi="Arial" w:cs="Arial"/>
                <w:sz w:val="22"/>
                <w:szCs w:val="22"/>
              </w:rPr>
            </w:pPr>
            <w:r>
              <w:rPr>
                <w:rFonts w:ascii="Arial" w:hAnsi="Arial" w:cs="Arial"/>
                <w:sz w:val="22"/>
                <w:szCs w:val="22"/>
              </w:rPr>
              <w:t>Jennifer Zoe Jackson</w:t>
            </w:r>
          </w:p>
        </w:tc>
      </w:tr>
      <w:tr w:rsidR="00065168" w:rsidRPr="00230F35" w14:paraId="62F802CD" w14:textId="77777777" w:rsidTr="001F1D2F">
        <w:trPr>
          <w:trHeight w:val="849"/>
        </w:trPr>
        <w:tc>
          <w:tcPr>
            <w:tcW w:w="4788" w:type="dxa"/>
          </w:tcPr>
          <w:p w14:paraId="31DB45AB" w14:textId="77777777"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HPCA7005</w:t>
            </w:r>
          </w:p>
          <w:p w14:paraId="440C8BC9" w14:textId="77777777" w:rsidR="00065168" w:rsidRPr="00230F35" w:rsidRDefault="00065168" w:rsidP="001F1D2F">
            <w:pPr>
              <w:pStyle w:val="NormalWeb"/>
              <w:spacing w:before="0" w:beforeAutospacing="0" w:after="0" w:afterAutospacing="0"/>
              <w:ind w:right="34"/>
              <w:rPr>
                <w:rFonts w:ascii="Arial" w:hAnsi="Arial" w:cs="Arial"/>
                <w:sz w:val="22"/>
                <w:szCs w:val="22"/>
              </w:rPr>
            </w:pPr>
          </w:p>
          <w:p w14:paraId="305B6F9E" w14:textId="77777777" w:rsidR="00065168"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 </w:t>
            </w:r>
          </w:p>
          <w:p w14:paraId="3ED5D2D2" w14:textId="77777777" w:rsidR="00065168" w:rsidRDefault="00065168" w:rsidP="001F1D2F">
            <w:pPr>
              <w:pStyle w:val="NormalWeb"/>
              <w:spacing w:before="0" w:beforeAutospacing="0" w:after="0" w:afterAutospacing="0"/>
              <w:ind w:right="34"/>
              <w:rPr>
                <w:rFonts w:ascii="Arial" w:hAnsi="Arial" w:cs="Arial"/>
                <w:sz w:val="22"/>
                <w:szCs w:val="22"/>
              </w:rPr>
            </w:pPr>
          </w:p>
          <w:p w14:paraId="2C0594A3" w14:textId="77777777" w:rsidR="00065168" w:rsidRPr="00230F35" w:rsidRDefault="00065168" w:rsidP="001F1D2F">
            <w:pPr>
              <w:pStyle w:val="NormalWeb"/>
              <w:spacing w:before="0" w:beforeAutospacing="0" w:after="0" w:afterAutospacing="0"/>
              <w:ind w:right="34"/>
              <w:rPr>
                <w:rFonts w:ascii="Arial" w:hAnsi="Arial" w:cs="Arial"/>
                <w:sz w:val="22"/>
                <w:szCs w:val="22"/>
              </w:rPr>
            </w:pPr>
          </w:p>
        </w:tc>
        <w:tc>
          <w:tcPr>
            <w:tcW w:w="2266" w:type="dxa"/>
            <w:gridSpan w:val="3"/>
          </w:tcPr>
          <w:p w14:paraId="6D23FC97" w14:textId="77777777" w:rsidR="00065168"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89E22B8" w14:textId="77777777" w:rsidR="00065168" w:rsidRPr="00230F35" w:rsidRDefault="00065168" w:rsidP="001F1D2F">
            <w:pPr>
              <w:pStyle w:val="NormalWeb"/>
              <w:spacing w:before="0" w:beforeAutospacing="0" w:after="0" w:afterAutospacing="0"/>
              <w:ind w:right="34"/>
              <w:rPr>
                <w:rFonts w:ascii="Arial" w:hAnsi="Arial" w:cs="Arial"/>
                <w:sz w:val="22"/>
                <w:szCs w:val="22"/>
              </w:rPr>
            </w:pPr>
            <w:r>
              <w:rPr>
                <w:rFonts w:ascii="Arial" w:hAnsi="Arial" w:cs="Arial"/>
                <w:sz w:val="22"/>
                <w:szCs w:val="22"/>
              </w:rPr>
              <w:t>1601704</w:t>
            </w:r>
          </w:p>
        </w:tc>
        <w:tc>
          <w:tcPr>
            <w:tcW w:w="1802" w:type="dxa"/>
          </w:tcPr>
          <w:p w14:paraId="05A6BC0C" w14:textId="77777777"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888CB9C" w14:textId="77777777"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65168" w:rsidRPr="00230F35" w14:paraId="03BC8FAF" w14:textId="77777777" w:rsidTr="001F1D2F">
        <w:trPr>
          <w:trHeight w:val="1139"/>
        </w:trPr>
        <w:tc>
          <w:tcPr>
            <w:tcW w:w="8856" w:type="dxa"/>
            <w:gridSpan w:val="5"/>
          </w:tcPr>
          <w:p w14:paraId="5F905839" w14:textId="77777777" w:rsidR="00065168" w:rsidRPr="00230F35" w:rsidRDefault="00065168" w:rsidP="001F1D2F">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Crystal Adderley and Dr. Dorian Greenbaum</w:t>
            </w:r>
          </w:p>
          <w:p w14:paraId="3F95762C" w14:textId="77777777" w:rsidR="00065168" w:rsidRPr="00230F35" w:rsidRDefault="00065168" w:rsidP="001F1D2F">
            <w:pPr>
              <w:pStyle w:val="NormalWeb"/>
              <w:spacing w:before="0" w:beforeAutospacing="0" w:after="0" w:afterAutospacing="0"/>
              <w:ind w:right="34"/>
              <w:rPr>
                <w:rFonts w:ascii="Arial" w:hAnsi="Arial" w:cs="Arial"/>
                <w:sz w:val="22"/>
                <w:szCs w:val="22"/>
              </w:rPr>
            </w:pPr>
          </w:p>
          <w:p w14:paraId="63E34C4D" w14:textId="77777777" w:rsidR="00065168" w:rsidRDefault="00065168" w:rsidP="001F1D2F">
            <w:pPr>
              <w:pStyle w:val="NormalWeb"/>
              <w:spacing w:before="0" w:beforeAutospacing="0" w:after="0" w:afterAutospacing="0"/>
              <w:ind w:right="34"/>
              <w:rPr>
                <w:rFonts w:ascii="Arial" w:hAnsi="Arial" w:cs="Arial"/>
                <w:sz w:val="22"/>
                <w:szCs w:val="22"/>
              </w:rPr>
            </w:pPr>
          </w:p>
          <w:p w14:paraId="21F30968" w14:textId="3F4C3E46"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29/7/</w:t>
            </w:r>
            <w:bookmarkStart w:id="0" w:name="_GoBack"/>
            <w:bookmarkEnd w:id="0"/>
            <w:r>
              <w:rPr>
                <w:rFonts w:ascii="Arial" w:hAnsi="Arial" w:cs="Arial"/>
                <w:sz w:val="22"/>
                <w:szCs w:val="22"/>
              </w:rPr>
              <w:t>19</w:t>
            </w:r>
          </w:p>
        </w:tc>
      </w:tr>
      <w:tr w:rsidR="00065168" w:rsidRPr="00230F35" w14:paraId="21B0FC98" w14:textId="77777777" w:rsidTr="001F1D2F">
        <w:trPr>
          <w:trHeight w:val="978"/>
        </w:trPr>
        <w:tc>
          <w:tcPr>
            <w:tcW w:w="8856" w:type="dxa"/>
            <w:gridSpan w:val="5"/>
            <w:tcBorders>
              <w:bottom w:val="single" w:sz="4" w:space="0" w:color="000000"/>
            </w:tcBorders>
          </w:tcPr>
          <w:p w14:paraId="73E0E930" w14:textId="77777777" w:rsidR="00065168" w:rsidRDefault="00065168" w:rsidP="001F1D2F">
            <w:r>
              <w:t>If your module has multiple submissions please indicate which piece of work this is.</w:t>
            </w:r>
          </w:p>
          <w:p w14:paraId="165ED49F" w14:textId="77777777" w:rsidR="00065168" w:rsidRDefault="00065168" w:rsidP="001F1D2F"/>
          <w:p w14:paraId="4F0F86BE" w14:textId="52537456" w:rsidR="00065168" w:rsidRPr="00230F35" w:rsidRDefault="00065168" w:rsidP="001F1D2F">
            <w:r w:rsidRPr="00230F35">
              <w:t>1</w:t>
            </w:r>
            <w:r w:rsidRPr="00230F35">
              <w:rPr>
                <w:vertAlign w:val="superscript"/>
              </w:rPr>
              <w:t xml:space="preserve">st </w:t>
            </w:r>
            <w:r w:rsidRPr="00230F35">
              <w:fldChar w:fldCharType="begin">
                <w:ffData>
                  <w:name w:val="Check13"/>
                  <w:enabled/>
                  <w:calcOnExit w:val="0"/>
                  <w:checkBox>
                    <w:sizeAuto/>
                    <w:default w:val="0"/>
                  </w:checkBox>
                </w:ffData>
              </w:fldChar>
            </w:r>
            <w:bookmarkStart w:id="1" w:name="Check13"/>
            <w:r w:rsidRPr="00230F35">
              <w:instrText xml:space="preserve"> FORMCHECKBOX </w:instrText>
            </w:r>
            <w:r>
              <w:fldChar w:fldCharType="separate"/>
            </w:r>
            <w:r w:rsidRPr="00230F35">
              <w:fldChar w:fldCharType="end"/>
            </w:r>
            <w:bookmarkEnd w:id="1"/>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2" w:name="Check14"/>
            <w:r w:rsidRPr="00230F35">
              <w:instrText xml:space="preserve"> FORMCHECKBOX </w:instrText>
            </w:r>
            <w:r>
              <w:fldChar w:fldCharType="separate"/>
            </w:r>
            <w:r w:rsidRPr="00230F35">
              <w:fldChar w:fldCharType="end"/>
            </w:r>
            <w:bookmarkEnd w:id="2"/>
            <w:r>
              <w:t>X</w:t>
            </w:r>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3" w:name="Check15"/>
            <w:r w:rsidRPr="00230F35">
              <w:instrText xml:space="preserve"> FORMCHECKBOX </w:instrText>
            </w:r>
            <w:r>
              <w:fldChar w:fldCharType="separate"/>
            </w:r>
            <w:r w:rsidRPr="00230F35">
              <w:fldChar w:fldCharType="end"/>
            </w:r>
            <w:bookmarkEnd w:id="3"/>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4" w:name="Check16"/>
            <w:r w:rsidRPr="00230F35">
              <w:instrText xml:space="preserve"> FORMCHECKBOX </w:instrText>
            </w:r>
            <w:r>
              <w:fldChar w:fldCharType="separate"/>
            </w:r>
            <w:r w:rsidRPr="00230F35">
              <w:fldChar w:fldCharType="end"/>
            </w:r>
            <w:bookmarkEnd w:id="4"/>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5" w:name="Check17"/>
            <w:r w:rsidRPr="00230F35">
              <w:instrText xml:space="preserve"> FORMCHECKBOX </w:instrText>
            </w:r>
            <w:r>
              <w:fldChar w:fldCharType="separate"/>
            </w:r>
            <w:r w:rsidRPr="00230F35">
              <w:fldChar w:fldCharType="end"/>
            </w:r>
            <w:bookmarkEnd w:id="5"/>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6" w:name="Check18"/>
            <w:r w:rsidRPr="00230F35">
              <w:instrText xml:space="preserve"> FORMCHECKBOX </w:instrText>
            </w:r>
            <w:r>
              <w:fldChar w:fldCharType="separate"/>
            </w:r>
            <w:r w:rsidRPr="00230F35">
              <w:fldChar w:fldCharType="end"/>
            </w:r>
            <w:bookmarkEnd w:id="6"/>
          </w:p>
        </w:tc>
      </w:tr>
      <w:tr w:rsidR="00065168" w:rsidRPr="00230F35" w14:paraId="1F4D27F0" w14:textId="77777777" w:rsidTr="001F1D2F">
        <w:trPr>
          <w:trHeight w:val="978"/>
        </w:trPr>
        <w:tc>
          <w:tcPr>
            <w:tcW w:w="8856" w:type="dxa"/>
            <w:gridSpan w:val="5"/>
            <w:shd w:val="clear" w:color="auto" w:fill="D9D9D9"/>
          </w:tcPr>
          <w:p w14:paraId="1DD71755" w14:textId="77777777" w:rsidR="00065168" w:rsidRPr="00230F35"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FA6CFA0" w14:textId="77777777" w:rsidR="00065168" w:rsidRDefault="00065168" w:rsidP="001F1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D780C5C" w14:textId="77777777" w:rsidR="00065168" w:rsidRDefault="00065168" w:rsidP="001F1D2F">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217EFA18" w14:textId="77777777" w:rsidR="00065168" w:rsidRPr="00230F35" w:rsidRDefault="00065168" w:rsidP="001F1D2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065168" w:rsidRPr="00230F35" w14:paraId="19A4952D" w14:textId="77777777" w:rsidTr="001F1D2F">
        <w:trPr>
          <w:trHeight w:val="3972"/>
        </w:trPr>
        <w:tc>
          <w:tcPr>
            <w:tcW w:w="8856" w:type="dxa"/>
            <w:gridSpan w:val="5"/>
          </w:tcPr>
          <w:p w14:paraId="6E01E505" w14:textId="77777777" w:rsidR="00065168" w:rsidRDefault="00065168" w:rsidP="001F1D2F">
            <w:pPr>
              <w:rPr>
                <w:b/>
              </w:rPr>
            </w:pPr>
          </w:p>
          <w:p w14:paraId="59BBF1EB" w14:textId="77777777" w:rsidR="00065168" w:rsidRPr="00116CE6" w:rsidRDefault="00065168" w:rsidP="001F1D2F">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65168" w:rsidRPr="00116CE6" w14:paraId="6EB37F68" w14:textId="77777777" w:rsidTr="001F1D2F">
              <w:tc>
                <w:tcPr>
                  <w:tcW w:w="6970" w:type="dxa"/>
                </w:tcPr>
                <w:p w14:paraId="1A3C9D04" w14:textId="77777777" w:rsidR="00065168" w:rsidRPr="00116CE6" w:rsidRDefault="00065168" w:rsidP="001F1D2F">
                  <w:pPr>
                    <w:rPr>
                      <w:sz w:val="20"/>
                      <w:szCs w:val="20"/>
                    </w:rPr>
                  </w:pPr>
                </w:p>
                <w:p w14:paraId="2260515C" w14:textId="77777777" w:rsidR="00065168" w:rsidRPr="00116CE6" w:rsidRDefault="00065168" w:rsidP="001F1D2F">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641E0505" w14:textId="77777777" w:rsidR="00065168" w:rsidRPr="00116CE6" w:rsidRDefault="00065168" w:rsidP="001F1D2F">
                  <w:pPr>
                    <w:rPr>
                      <w:sz w:val="20"/>
                      <w:szCs w:val="20"/>
                    </w:rPr>
                  </w:pPr>
                </w:p>
              </w:tc>
            </w:tr>
            <w:tr w:rsidR="00065168" w:rsidRPr="00116CE6" w14:paraId="340A4CD4" w14:textId="77777777" w:rsidTr="001F1D2F">
              <w:tc>
                <w:tcPr>
                  <w:tcW w:w="6970" w:type="dxa"/>
                </w:tcPr>
                <w:p w14:paraId="772BBCE0" w14:textId="77777777" w:rsidR="00065168" w:rsidRPr="00116CE6" w:rsidRDefault="00065168" w:rsidP="001F1D2F">
                  <w:pPr>
                    <w:rPr>
                      <w:sz w:val="20"/>
                      <w:szCs w:val="20"/>
                    </w:rPr>
                  </w:pPr>
                </w:p>
                <w:p w14:paraId="63F9E691" w14:textId="77777777" w:rsidR="00065168" w:rsidRPr="00116CE6" w:rsidRDefault="00065168" w:rsidP="001F1D2F">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050F38FF" w14:textId="77777777" w:rsidR="00065168" w:rsidRPr="00116CE6" w:rsidRDefault="00065168" w:rsidP="001F1D2F">
                  <w:pPr>
                    <w:rPr>
                      <w:sz w:val="20"/>
                      <w:szCs w:val="20"/>
                    </w:rPr>
                  </w:pPr>
                </w:p>
              </w:tc>
            </w:tr>
            <w:tr w:rsidR="00065168" w:rsidRPr="00116CE6" w14:paraId="7B464123" w14:textId="77777777" w:rsidTr="001F1D2F">
              <w:tc>
                <w:tcPr>
                  <w:tcW w:w="6970" w:type="dxa"/>
                </w:tcPr>
                <w:p w14:paraId="0A3231B8" w14:textId="77777777" w:rsidR="00065168" w:rsidRPr="006367FD" w:rsidRDefault="00065168" w:rsidP="001F1D2F">
                  <w:pPr>
                    <w:rPr>
                      <w:color w:val="000000"/>
                      <w:sz w:val="20"/>
                      <w:szCs w:val="20"/>
                    </w:rPr>
                  </w:pPr>
                  <w:r w:rsidRPr="006367FD">
                    <w:rPr>
                      <w:color w:val="000000"/>
                      <w:sz w:val="20"/>
                      <w:szCs w:val="20"/>
                    </w:rPr>
                    <w:t xml:space="preserve">Agreed Internal Mark: </w:t>
                  </w:r>
                </w:p>
                <w:p w14:paraId="42AA0502" w14:textId="77777777" w:rsidR="00065168" w:rsidRPr="00E14D2E" w:rsidRDefault="00065168" w:rsidP="001F1D2F">
                  <w:pPr>
                    <w:rPr>
                      <w:sz w:val="20"/>
                      <w:szCs w:val="20"/>
                      <w:highlight w:val="yellow"/>
                    </w:rPr>
                  </w:pPr>
                </w:p>
              </w:tc>
              <w:tc>
                <w:tcPr>
                  <w:tcW w:w="1660" w:type="dxa"/>
                </w:tcPr>
                <w:p w14:paraId="0F8EFB2A" w14:textId="77777777" w:rsidR="00065168" w:rsidRPr="00E14D2E" w:rsidRDefault="00065168" w:rsidP="001F1D2F">
                  <w:pPr>
                    <w:rPr>
                      <w:sz w:val="20"/>
                      <w:szCs w:val="20"/>
                      <w:highlight w:val="yellow"/>
                    </w:rPr>
                  </w:pPr>
                </w:p>
              </w:tc>
            </w:tr>
            <w:tr w:rsidR="00065168" w:rsidRPr="00116CE6" w14:paraId="598697A4" w14:textId="77777777" w:rsidTr="001F1D2F">
              <w:tc>
                <w:tcPr>
                  <w:tcW w:w="6970" w:type="dxa"/>
                </w:tcPr>
                <w:p w14:paraId="513DD579" w14:textId="77777777" w:rsidR="00065168" w:rsidRPr="00116CE6" w:rsidRDefault="00065168" w:rsidP="001F1D2F">
                  <w:pPr>
                    <w:rPr>
                      <w:sz w:val="20"/>
                      <w:szCs w:val="20"/>
                    </w:rPr>
                  </w:pPr>
                </w:p>
                <w:p w14:paraId="4C33633D" w14:textId="77777777" w:rsidR="00065168" w:rsidRPr="00116CE6" w:rsidRDefault="00065168" w:rsidP="001F1D2F">
                  <w:pPr>
                    <w:rPr>
                      <w:sz w:val="20"/>
                      <w:szCs w:val="20"/>
                    </w:rPr>
                  </w:pPr>
                  <w:r w:rsidRPr="00116CE6">
                    <w:rPr>
                      <w:sz w:val="20"/>
                      <w:szCs w:val="20"/>
                    </w:rPr>
                    <w:t>External Examiner’s mark</w:t>
                  </w:r>
                  <w:r>
                    <w:rPr>
                      <w:sz w:val="20"/>
                      <w:szCs w:val="20"/>
                    </w:rPr>
                    <w:t xml:space="preserve"> (if relevant)</w:t>
                  </w:r>
                </w:p>
              </w:tc>
              <w:tc>
                <w:tcPr>
                  <w:tcW w:w="1660" w:type="dxa"/>
                </w:tcPr>
                <w:p w14:paraId="6A7304A8" w14:textId="77777777" w:rsidR="00065168" w:rsidRPr="00116CE6" w:rsidRDefault="00065168" w:rsidP="001F1D2F">
                  <w:pPr>
                    <w:rPr>
                      <w:sz w:val="20"/>
                      <w:szCs w:val="20"/>
                    </w:rPr>
                  </w:pPr>
                </w:p>
              </w:tc>
            </w:tr>
            <w:tr w:rsidR="00065168" w:rsidRPr="00116CE6" w14:paraId="3D0DD587" w14:textId="77777777" w:rsidTr="001F1D2F">
              <w:tc>
                <w:tcPr>
                  <w:tcW w:w="6970" w:type="dxa"/>
                </w:tcPr>
                <w:p w14:paraId="1B745D06" w14:textId="77777777" w:rsidR="00065168" w:rsidRDefault="00065168" w:rsidP="001F1D2F">
                  <w:pPr>
                    <w:rPr>
                      <w:sz w:val="20"/>
                      <w:szCs w:val="20"/>
                    </w:rPr>
                  </w:pPr>
                </w:p>
                <w:p w14:paraId="5A217EFA" w14:textId="77777777" w:rsidR="00065168" w:rsidRPr="00022345" w:rsidRDefault="00065168" w:rsidP="001F1D2F">
                  <w:pPr>
                    <w:rPr>
                      <w:b/>
                      <w:sz w:val="20"/>
                      <w:szCs w:val="20"/>
                    </w:rPr>
                  </w:pPr>
                  <w:r w:rsidRPr="00022345">
                    <w:rPr>
                      <w:b/>
                      <w:sz w:val="20"/>
                      <w:szCs w:val="20"/>
                    </w:rPr>
                    <w:t>Final Mark</w:t>
                  </w:r>
                </w:p>
                <w:p w14:paraId="521127D1" w14:textId="77777777" w:rsidR="00065168" w:rsidRPr="00116CE6" w:rsidRDefault="00065168" w:rsidP="001F1D2F">
                  <w:pPr>
                    <w:rPr>
                      <w:sz w:val="20"/>
                      <w:szCs w:val="20"/>
                    </w:rPr>
                  </w:pPr>
                </w:p>
              </w:tc>
              <w:tc>
                <w:tcPr>
                  <w:tcW w:w="1660" w:type="dxa"/>
                </w:tcPr>
                <w:p w14:paraId="77316573" w14:textId="77777777" w:rsidR="00065168" w:rsidRPr="00116CE6" w:rsidRDefault="00065168" w:rsidP="001F1D2F">
                  <w:pPr>
                    <w:rPr>
                      <w:sz w:val="20"/>
                      <w:szCs w:val="20"/>
                    </w:rPr>
                  </w:pPr>
                </w:p>
              </w:tc>
            </w:tr>
          </w:tbl>
          <w:p w14:paraId="56C5737C" w14:textId="77777777" w:rsidR="00065168" w:rsidRDefault="00065168" w:rsidP="001F1D2F">
            <w:pPr>
              <w:pStyle w:val="NormalWeb"/>
              <w:spacing w:before="0" w:beforeAutospacing="0" w:after="0" w:afterAutospacing="0"/>
              <w:ind w:left="142" w:right="34"/>
              <w:rPr>
                <w:rFonts w:ascii="Arial" w:hAnsi="Arial" w:cs="Arial"/>
                <w:b/>
                <w:sz w:val="22"/>
                <w:szCs w:val="22"/>
              </w:rPr>
            </w:pPr>
          </w:p>
          <w:p w14:paraId="6FEC34E9" w14:textId="77777777" w:rsidR="00065168" w:rsidRPr="00230F35" w:rsidRDefault="00065168" w:rsidP="001F1D2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B6B8D1" w14:textId="77777777" w:rsidR="00065168" w:rsidRDefault="00065168" w:rsidP="001F1D2F">
            <w:pPr>
              <w:pStyle w:val="NormalWeb"/>
              <w:spacing w:before="0" w:beforeAutospacing="0" w:after="0" w:afterAutospacing="0"/>
              <w:rPr>
                <w:rFonts w:ascii="Arial" w:hAnsi="Arial" w:cs="Arial"/>
                <w:b/>
                <w:sz w:val="22"/>
                <w:szCs w:val="22"/>
              </w:rPr>
            </w:pPr>
          </w:p>
          <w:p w14:paraId="23DD129A" w14:textId="77777777" w:rsidR="00065168" w:rsidRDefault="00065168" w:rsidP="001F1D2F">
            <w:pPr>
              <w:pStyle w:val="NormalWeb"/>
              <w:spacing w:before="0" w:beforeAutospacing="0" w:after="0" w:afterAutospacing="0"/>
              <w:rPr>
                <w:rFonts w:ascii="Arial" w:hAnsi="Arial" w:cs="Arial"/>
                <w:b/>
                <w:sz w:val="22"/>
                <w:szCs w:val="22"/>
              </w:rPr>
            </w:pPr>
          </w:p>
          <w:p w14:paraId="731F6E44" w14:textId="77777777" w:rsidR="00065168" w:rsidRDefault="00065168" w:rsidP="001F1D2F">
            <w:pPr>
              <w:pStyle w:val="NormalWeb"/>
              <w:spacing w:before="0" w:beforeAutospacing="0" w:after="0" w:afterAutospacing="0"/>
              <w:rPr>
                <w:rFonts w:ascii="Arial" w:hAnsi="Arial" w:cs="Arial"/>
                <w:b/>
                <w:sz w:val="22"/>
                <w:szCs w:val="22"/>
              </w:rPr>
            </w:pPr>
          </w:p>
          <w:p w14:paraId="17D61C1E" w14:textId="77777777" w:rsidR="00065168" w:rsidRDefault="00065168" w:rsidP="001F1D2F">
            <w:pPr>
              <w:pStyle w:val="NormalWeb"/>
              <w:spacing w:before="0" w:beforeAutospacing="0" w:after="0" w:afterAutospacing="0"/>
              <w:rPr>
                <w:rFonts w:ascii="Arial" w:hAnsi="Arial" w:cs="Arial"/>
                <w:b/>
                <w:sz w:val="22"/>
                <w:szCs w:val="22"/>
              </w:rPr>
            </w:pPr>
          </w:p>
          <w:p w14:paraId="0C0176A8" w14:textId="77777777" w:rsidR="00065168" w:rsidRPr="00230F35" w:rsidRDefault="00065168" w:rsidP="001F1D2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F31B0A6" w14:textId="77777777" w:rsidR="00065168" w:rsidRDefault="00065168" w:rsidP="001F1D2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0528AD3" w14:textId="77777777" w:rsidR="00065168" w:rsidRPr="00001C3B" w:rsidRDefault="00065168" w:rsidP="001F1D2F">
            <w:pPr>
              <w:pStyle w:val="NormalWeb"/>
              <w:rPr>
                <w:rFonts w:ascii="Arial" w:hAnsi="Arial" w:cs="Arial"/>
                <w:sz w:val="22"/>
                <w:szCs w:val="22"/>
              </w:rPr>
            </w:pPr>
          </w:p>
        </w:tc>
      </w:tr>
      <w:tr w:rsidR="00065168" w:rsidRPr="00230F35" w14:paraId="42C671AA" w14:textId="77777777" w:rsidTr="001F1D2F">
        <w:trPr>
          <w:trHeight w:val="492"/>
        </w:trPr>
        <w:tc>
          <w:tcPr>
            <w:tcW w:w="6768" w:type="dxa"/>
            <w:gridSpan w:val="3"/>
          </w:tcPr>
          <w:p w14:paraId="59FB8EA0" w14:textId="77777777" w:rsidR="00065168" w:rsidRPr="00230F35" w:rsidRDefault="00065168" w:rsidP="001F1D2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29B8192" w14:textId="77777777" w:rsidR="00065168" w:rsidRPr="00230F35" w:rsidRDefault="00065168" w:rsidP="001F1D2F">
            <w:pPr>
              <w:pStyle w:val="NormalWeb"/>
              <w:spacing w:after="0"/>
              <w:ind w:left="142" w:right="34"/>
              <w:rPr>
                <w:rFonts w:ascii="Arial" w:hAnsi="Arial" w:cs="Arial"/>
                <w:sz w:val="22"/>
                <w:szCs w:val="22"/>
              </w:rPr>
            </w:pPr>
            <w:r w:rsidRPr="00230F35">
              <w:rPr>
                <w:rFonts w:ascii="Arial" w:hAnsi="Arial" w:cs="Arial"/>
                <w:sz w:val="22"/>
                <w:szCs w:val="22"/>
              </w:rPr>
              <w:t>Date:</w:t>
            </w:r>
          </w:p>
        </w:tc>
      </w:tr>
      <w:tr w:rsidR="00065168" w:rsidRPr="002F467C" w14:paraId="0389A43E" w14:textId="77777777" w:rsidTr="001F1D2F">
        <w:tc>
          <w:tcPr>
            <w:tcW w:w="8856" w:type="dxa"/>
            <w:gridSpan w:val="5"/>
          </w:tcPr>
          <w:p w14:paraId="5203665E" w14:textId="77777777" w:rsidR="00065168" w:rsidRPr="00230F35" w:rsidRDefault="00065168" w:rsidP="001F1D2F">
            <w:pPr>
              <w:pStyle w:val="NormalWeb"/>
              <w:spacing w:before="0" w:beforeAutospacing="0" w:after="0" w:afterAutospacing="0"/>
              <w:ind w:right="-334"/>
              <w:rPr>
                <w:rFonts w:ascii="Arial" w:hAnsi="Arial" w:cs="Arial"/>
                <w:bCs/>
                <w:i/>
                <w:sz w:val="22"/>
                <w:szCs w:val="22"/>
              </w:rPr>
            </w:pPr>
          </w:p>
          <w:p w14:paraId="677AF54B" w14:textId="77777777" w:rsidR="00065168" w:rsidRPr="00230F35" w:rsidRDefault="00065168" w:rsidP="001F1D2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213395" w14:textId="77777777" w:rsidR="00065168" w:rsidRPr="00230F35" w:rsidRDefault="00065168" w:rsidP="001F1D2F">
            <w:pPr>
              <w:pStyle w:val="NormalWeb"/>
              <w:spacing w:before="0" w:beforeAutospacing="0" w:after="0" w:afterAutospacing="0"/>
              <w:ind w:right="-334"/>
              <w:rPr>
                <w:rFonts w:ascii="Arial" w:hAnsi="Arial" w:cs="Arial"/>
                <w:b/>
                <w:bCs/>
                <w:sz w:val="22"/>
                <w:szCs w:val="22"/>
              </w:rPr>
            </w:pPr>
          </w:p>
          <w:p w14:paraId="5BC4C633"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6F48219"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p w14:paraId="0D2FBE52"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p w14:paraId="7BA4FCF8"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tc>
      </w:tr>
      <w:tr w:rsidR="00065168" w:rsidRPr="002F467C" w14:paraId="10A27E01" w14:textId="77777777" w:rsidTr="001F1D2F">
        <w:trPr>
          <w:trHeight w:val="720"/>
        </w:trPr>
        <w:tc>
          <w:tcPr>
            <w:tcW w:w="5211" w:type="dxa"/>
            <w:gridSpan w:val="2"/>
          </w:tcPr>
          <w:p w14:paraId="526E9299"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6FADAA2"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65168" w:rsidRPr="002F467C" w14:paraId="43C55CA9" w14:textId="77777777" w:rsidTr="001F1D2F">
        <w:trPr>
          <w:trHeight w:val="720"/>
        </w:trPr>
        <w:tc>
          <w:tcPr>
            <w:tcW w:w="8856" w:type="dxa"/>
            <w:gridSpan w:val="5"/>
          </w:tcPr>
          <w:p w14:paraId="44C8974C" w14:textId="77777777" w:rsidR="00065168" w:rsidRPr="006367FD" w:rsidRDefault="00065168" w:rsidP="001F1D2F">
            <w:pPr>
              <w:rPr>
                <w:b/>
              </w:rPr>
            </w:pPr>
            <w:r w:rsidRPr="006367FD">
              <w:rPr>
                <w:b/>
              </w:rPr>
              <w:t>AGREED INTERNAL MARK (where necessary):</w:t>
            </w:r>
          </w:p>
          <w:p w14:paraId="5E611B85" w14:textId="77777777" w:rsidR="00065168" w:rsidRPr="006367FD" w:rsidRDefault="00065168" w:rsidP="001F1D2F">
            <w:pPr>
              <w:rPr>
                <w:b/>
              </w:rPr>
            </w:pPr>
          </w:p>
          <w:p w14:paraId="4E69A025" w14:textId="77777777" w:rsidR="00065168" w:rsidRDefault="00065168" w:rsidP="001F1D2F">
            <w:pPr>
              <w:rPr>
                <w:b/>
              </w:rPr>
            </w:pPr>
            <w:r w:rsidRPr="006367FD">
              <w:rPr>
                <w:b/>
              </w:rPr>
              <w:t>Comment on process of arriving at agreed mark:</w:t>
            </w:r>
          </w:p>
          <w:p w14:paraId="45319BAF" w14:textId="77777777" w:rsidR="00065168" w:rsidRDefault="00065168" w:rsidP="001F1D2F">
            <w:pPr>
              <w:rPr>
                <w:b/>
              </w:rPr>
            </w:pPr>
          </w:p>
          <w:p w14:paraId="1B2E662A" w14:textId="77777777" w:rsidR="00065168" w:rsidRDefault="00065168" w:rsidP="001F1D2F">
            <w:pPr>
              <w:rPr>
                <w:b/>
              </w:rPr>
            </w:pPr>
          </w:p>
          <w:p w14:paraId="5E1207B6" w14:textId="77777777" w:rsidR="00065168" w:rsidRDefault="00065168" w:rsidP="001F1D2F">
            <w:pPr>
              <w:rPr>
                <w:b/>
              </w:rPr>
            </w:pPr>
          </w:p>
          <w:p w14:paraId="74BEC2A1" w14:textId="77777777" w:rsidR="00065168" w:rsidRDefault="00065168" w:rsidP="001F1D2F">
            <w:pPr>
              <w:rPr>
                <w:b/>
              </w:rPr>
            </w:pPr>
          </w:p>
          <w:p w14:paraId="553DA1CF" w14:textId="77777777" w:rsidR="00065168" w:rsidRDefault="00065168" w:rsidP="001F1D2F">
            <w:pPr>
              <w:rPr>
                <w:b/>
              </w:rPr>
            </w:pPr>
          </w:p>
          <w:p w14:paraId="38755DD6" w14:textId="77777777" w:rsidR="00065168" w:rsidRDefault="00065168" w:rsidP="001F1D2F">
            <w:pPr>
              <w:rPr>
                <w:b/>
              </w:rPr>
            </w:pPr>
          </w:p>
          <w:p w14:paraId="099DBA34" w14:textId="77777777" w:rsidR="00065168" w:rsidRDefault="00065168" w:rsidP="001F1D2F">
            <w:pPr>
              <w:rPr>
                <w:b/>
              </w:rPr>
            </w:pPr>
          </w:p>
          <w:p w14:paraId="02FD201B" w14:textId="77777777" w:rsidR="00065168" w:rsidRPr="00B34964" w:rsidRDefault="00065168" w:rsidP="001F1D2F">
            <w:pPr>
              <w:rPr>
                <w:b/>
              </w:rPr>
            </w:pPr>
          </w:p>
        </w:tc>
      </w:tr>
      <w:tr w:rsidR="00065168" w:rsidRPr="002F467C" w14:paraId="62B39E12" w14:textId="77777777" w:rsidTr="001F1D2F">
        <w:trPr>
          <w:trHeight w:val="720"/>
        </w:trPr>
        <w:tc>
          <w:tcPr>
            <w:tcW w:w="8856" w:type="dxa"/>
            <w:gridSpan w:val="5"/>
          </w:tcPr>
          <w:p w14:paraId="0580A9B9" w14:textId="77777777" w:rsidR="00065168" w:rsidRPr="00B34964" w:rsidRDefault="00065168" w:rsidP="001F1D2F">
            <w:pPr>
              <w:rPr>
                <w:b/>
              </w:rPr>
            </w:pPr>
            <w:r w:rsidRPr="00B34964">
              <w:rPr>
                <w:b/>
              </w:rPr>
              <w:lastRenderedPageBreak/>
              <w:t>External Examiner’s comments (if relevant)</w:t>
            </w:r>
          </w:p>
          <w:p w14:paraId="33FBDF05" w14:textId="77777777" w:rsidR="00065168" w:rsidRDefault="00065168" w:rsidP="001F1D2F">
            <w:pPr>
              <w:pStyle w:val="NormalWeb"/>
              <w:spacing w:before="0" w:beforeAutospacing="0" w:after="0" w:afterAutospacing="0"/>
              <w:ind w:right="-334"/>
              <w:rPr>
                <w:rFonts w:ascii="Arial" w:hAnsi="Arial" w:cs="Arial"/>
                <w:bCs/>
                <w:sz w:val="22"/>
                <w:szCs w:val="22"/>
              </w:rPr>
            </w:pPr>
          </w:p>
          <w:p w14:paraId="60A7A139" w14:textId="77777777" w:rsidR="00065168" w:rsidRDefault="00065168" w:rsidP="001F1D2F">
            <w:pPr>
              <w:pStyle w:val="NormalWeb"/>
              <w:spacing w:before="0" w:beforeAutospacing="0" w:after="0" w:afterAutospacing="0"/>
              <w:ind w:right="-334"/>
              <w:rPr>
                <w:rFonts w:ascii="Arial" w:hAnsi="Arial" w:cs="Arial"/>
                <w:bCs/>
                <w:sz w:val="22"/>
                <w:szCs w:val="22"/>
              </w:rPr>
            </w:pPr>
          </w:p>
          <w:p w14:paraId="19E102D1" w14:textId="77777777" w:rsidR="00065168" w:rsidRDefault="00065168" w:rsidP="001F1D2F">
            <w:pPr>
              <w:pStyle w:val="NormalWeb"/>
              <w:spacing w:before="0" w:beforeAutospacing="0" w:after="0" w:afterAutospacing="0"/>
              <w:ind w:right="-334"/>
              <w:rPr>
                <w:rFonts w:ascii="Arial" w:hAnsi="Arial" w:cs="Arial"/>
                <w:bCs/>
                <w:sz w:val="22"/>
                <w:szCs w:val="22"/>
              </w:rPr>
            </w:pPr>
          </w:p>
          <w:p w14:paraId="6835D01C" w14:textId="77777777" w:rsidR="00065168" w:rsidRDefault="00065168" w:rsidP="001F1D2F">
            <w:pPr>
              <w:pStyle w:val="NormalWeb"/>
              <w:spacing w:before="0" w:beforeAutospacing="0" w:after="0" w:afterAutospacing="0"/>
              <w:ind w:right="-334"/>
              <w:rPr>
                <w:rFonts w:ascii="Arial" w:hAnsi="Arial" w:cs="Arial"/>
                <w:bCs/>
                <w:sz w:val="22"/>
                <w:szCs w:val="22"/>
              </w:rPr>
            </w:pPr>
          </w:p>
          <w:p w14:paraId="737DA73F"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p w14:paraId="36861D5D"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p w14:paraId="52214DD4" w14:textId="77777777" w:rsidR="00065168" w:rsidRPr="00230F35" w:rsidRDefault="00065168" w:rsidP="001F1D2F">
            <w:pPr>
              <w:pStyle w:val="NormalWeb"/>
              <w:spacing w:before="0" w:beforeAutospacing="0" w:after="0" w:afterAutospacing="0"/>
              <w:ind w:right="-334"/>
              <w:rPr>
                <w:rFonts w:ascii="Arial" w:hAnsi="Arial" w:cs="Arial"/>
                <w:bCs/>
                <w:sz w:val="22"/>
                <w:szCs w:val="22"/>
              </w:rPr>
            </w:pPr>
          </w:p>
        </w:tc>
      </w:tr>
      <w:tr w:rsidR="00065168" w:rsidRPr="002F467C" w14:paraId="11914BB6" w14:textId="77777777" w:rsidTr="001F1D2F">
        <w:trPr>
          <w:trHeight w:val="720"/>
        </w:trPr>
        <w:tc>
          <w:tcPr>
            <w:tcW w:w="5211" w:type="dxa"/>
            <w:gridSpan w:val="2"/>
          </w:tcPr>
          <w:p w14:paraId="1FC41380" w14:textId="77777777" w:rsidR="00065168" w:rsidRPr="00230F35" w:rsidRDefault="00065168" w:rsidP="001F1D2F">
            <w:r w:rsidRPr="00230F35">
              <w:t>External Examiner’s Signature:</w:t>
            </w:r>
          </w:p>
        </w:tc>
        <w:tc>
          <w:tcPr>
            <w:tcW w:w="3645" w:type="dxa"/>
            <w:gridSpan w:val="3"/>
          </w:tcPr>
          <w:p w14:paraId="402CCBC0" w14:textId="77777777" w:rsidR="00065168" w:rsidRPr="00230F35" w:rsidRDefault="00065168" w:rsidP="001F1D2F">
            <w:r w:rsidRPr="00230F35">
              <w:t>Date:</w:t>
            </w:r>
          </w:p>
        </w:tc>
      </w:tr>
    </w:tbl>
    <w:p w14:paraId="0E12391F" w14:textId="77777777" w:rsidR="00065168" w:rsidRPr="00D67BF8" w:rsidRDefault="00065168" w:rsidP="00065168">
      <w:pPr>
        <w:pStyle w:val="NormalWeb"/>
        <w:spacing w:before="0" w:beforeAutospacing="0" w:after="0" w:afterAutospacing="0"/>
        <w:ind w:right="-334"/>
        <w:rPr>
          <w:rFonts w:ascii="Trebuchet MS" w:hAnsi="Trebuchet MS" w:cs="Tahoma"/>
          <w:bCs/>
        </w:rPr>
      </w:pPr>
    </w:p>
    <w:p w14:paraId="00000001" w14:textId="77777777" w:rsidR="00230140" w:rsidRPr="00065168" w:rsidRDefault="00E06B3B">
      <w:pPr>
        <w:spacing w:line="480" w:lineRule="auto"/>
        <w:jc w:val="center"/>
        <w:rPr>
          <w:rFonts w:ascii="Times New Roman" w:eastAsia="Times New Roman" w:hAnsi="Times New Roman" w:cs="Times New Roman"/>
          <w:sz w:val="24"/>
          <w:szCs w:val="24"/>
          <w:u w:val="single"/>
        </w:rPr>
      </w:pPr>
      <w:r w:rsidRPr="00065168">
        <w:rPr>
          <w:rFonts w:ascii="Times New Roman" w:eastAsia="Times New Roman" w:hAnsi="Times New Roman" w:cs="Times New Roman"/>
          <w:sz w:val="24"/>
          <w:szCs w:val="24"/>
          <w:u w:val="single"/>
        </w:rPr>
        <w:t>Compare divinatory practices among Mesopotamia, Egypt and Greece, with reference to their use of cosmology and magic.</w:t>
      </w:r>
    </w:p>
    <w:p w14:paraId="00000002"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definition of divination according to </w:t>
      </w:r>
      <w:proofErr w:type="spellStart"/>
      <w:r>
        <w:rPr>
          <w:rFonts w:ascii="Times New Roman" w:eastAsia="Times New Roman" w:hAnsi="Times New Roman" w:cs="Times New Roman"/>
          <w:sz w:val="24"/>
          <w:szCs w:val="24"/>
        </w:rPr>
        <w:t>Beerden</w:t>
      </w:r>
      <w:proofErr w:type="spellEnd"/>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is “the human action of production - by means of evocation or observation and recognition - and subsequent interpretation of signs attributed to the supernatural.” Flower</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adds that it is “a means of bridging the gap between gods and humans in such a way </w:t>
      </w:r>
      <w:r>
        <w:rPr>
          <w:rFonts w:ascii="Times New Roman" w:eastAsia="Times New Roman" w:hAnsi="Times New Roman" w:cs="Times New Roman"/>
          <w:sz w:val="24"/>
          <w:szCs w:val="24"/>
        </w:rPr>
        <w:t>that humans may profit from the knowledge acquired.” In other words, divination is the identification and interpretation of signs sent by the supernatural on the understanding that these signs can aid humans in the choices that they make. In Mesopotamia, E</w:t>
      </w:r>
      <w:r>
        <w:rPr>
          <w:rFonts w:ascii="Times New Roman" w:eastAsia="Times New Roman" w:hAnsi="Times New Roman" w:cs="Times New Roman"/>
          <w:sz w:val="24"/>
          <w:szCs w:val="24"/>
        </w:rPr>
        <w:t xml:space="preserve">gypt and Greece, these signs were thought of as being sent by their gods, who were thought of as wishing to help and guide humans. While divination is usually linked with the conventional religion of a particular </w:t>
      </w:r>
      <w:proofErr w:type="spellStart"/>
      <w:r>
        <w:rPr>
          <w:rFonts w:ascii="Times New Roman" w:eastAsia="Times New Roman" w:hAnsi="Times New Roman" w:cs="Times New Roman"/>
          <w:sz w:val="24"/>
          <w:szCs w:val="24"/>
        </w:rPr>
        <w:t>civilisation</w:t>
      </w:r>
      <w:proofErr w:type="spellEnd"/>
      <w:r>
        <w:rPr>
          <w:rFonts w:ascii="Times New Roman" w:eastAsia="Times New Roman" w:hAnsi="Times New Roman" w:cs="Times New Roman"/>
          <w:sz w:val="24"/>
          <w:szCs w:val="24"/>
        </w:rPr>
        <w:t>, magic, or the working with su</w:t>
      </w:r>
      <w:r>
        <w:rPr>
          <w:rFonts w:ascii="Times New Roman" w:eastAsia="Times New Roman" w:hAnsi="Times New Roman" w:cs="Times New Roman"/>
          <w:sz w:val="24"/>
          <w:szCs w:val="24"/>
        </w:rPr>
        <w:t>pernatural forces, is often thought of as an early stage of religion, or the opposite of religion, a way of forcing the supernatural to do something, rather than offering the gods something to please them, and then requesting their aid. However, in many ca</w:t>
      </w:r>
      <w:r>
        <w:rPr>
          <w:rFonts w:ascii="Times New Roman" w:eastAsia="Times New Roman" w:hAnsi="Times New Roman" w:cs="Times New Roman"/>
          <w:sz w:val="24"/>
          <w:szCs w:val="24"/>
        </w:rPr>
        <w:t xml:space="preserve">ses it is difficult to tell the difference between magic and religion: for example, in ancient Egypt, magic was thought of as an integral part of religion, and the Egyptian pantheon included a god of </w:t>
      </w:r>
      <w:r>
        <w:rPr>
          <w:rFonts w:ascii="Times New Roman" w:eastAsia="Times New Roman" w:hAnsi="Times New Roman" w:cs="Times New Roman"/>
          <w:sz w:val="24"/>
          <w:szCs w:val="24"/>
        </w:rPr>
        <w:lastRenderedPageBreak/>
        <w:t xml:space="preserve">magic, </w:t>
      </w:r>
      <w:proofErr w:type="spellStart"/>
      <w:r>
        <w:rPr>
          <w:rFonts w:ascii="Times New Roman" w:eastAsia="Times New Roman" w:hAnsi="Times New Roman" w:cs="Times New Roman"/>
          <w:sz w:val="24"/>
          <w:szCs w:val="24"/>
        </w:rPr>
        <w:t>Heka</w:t>
      </w:r>
      <w:proofErr w:type="spellEnd"/>
      <w:r>
        <w:rPr>
          <w:rFonts w:ascii="Times New Roman" w:eastAsia="Times New Roman" w:hAnsi="Times New Roman" w:cs="Times New Roman"/>
          <w:sz w:val="24"/>
          <w:szCs w:val="24"/>
        </w:rPr>
        <w:t>, who personified the cosmic power that exist</w:t>
      </w:r>
      <w:r>
        <w:rPr>
          <w:rFonts w:ascii="Times New Roman" w:eastAsia="Times New Roman" w:hAnsi="Times New Roman" w:cs="Times New Roman"/>
          <w:sz w:val="24"/>
          <w:szCs w:val="24"/>
        </w:rPr>
        <w:t>ed in the universe.</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In Greece, magic appeared to have negative connotations, with the possibility that itinerant prophets or seers could be insulted by being called “magician” or “sorcerer”.</w:t>
      </w:r>
      <w:r>
        <w:rPr>
          <w:rFonts w:ascii="Times New Roman" w:eastAsia="Times New Roman" w:hAnsi="Times New Roman" w:cs="Times New Roman"/>
          <w:sz w:val="24"/>
          <w:szCs w:val="24"/>
          <w:vertAlign w:val="superscript"/>
        </w:rPr>
        <w:footnoteReference w:id="4"/>
      </w:r>
    </w:p>
    <w:p w14:paraId="00000003"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makes a form of divination magical is the specific involve</w:t>
      </w:r>
      <w:r>
        <w:rPr>
          <w:rFonts w:ascii="Times New Roman" w:eastAsia="Times New Roman" w:hAnsi="Times New Roman" w:cs="Times New Roman"/>
          <w:sz w:val="24"/>
          <w:szCs w:val="24"/>
        </w:rPr>
        <w:t>ment of supernatural powers within that form of divination, together with the performance of some sort of ritual. Though there are many similarities between the types of divination used in Mesopotamia, Egypt and Greece, there are also many differences, whi</w:t>
      </w:r>
      <w:r>
        <w:rPr>
          <w:rFonts w:ascii="Times New Roman" w:eastAsia="Times New Roman" w:hAnsi="Times New Roman" w:cs="Times New Roman"/>
          <w:sz w:val="24"/>
          <w:szCs w:val="24"/>
        </w:rPr>
        <w:t xml:space="preserve">ch can be put down to differences in their ideas about their gods, and their system of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their concept of the universe that surrounded them.</w:t>
      </w:r>
    </w:p>
    <w:p w14:paraId="00000004" w14:textId="77777777" w:rsidR="00230140" w:rsidRDefault="00E06B3B">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Oracles</w:t>
      </w:r>
    </w:p>
    <w:p w14:paraId="00000005" w14:textId="03DA909A"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three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xml:space="preserve"> used oracles which were connected to their normative religious practices. </w:t>
      </w:r>
      <w:r>
        <w:rPr>
          <w:rFonts w:ascii="Times New Roman" w:eastAsia="Times New Roman" w:hAnsi="Times New Roman" w:cs="Times New Roman"/>
          <w:sz w:val="24"/>
          <w:szCs w:val="24"/>
        </w:rPr>
        <w:t xml:space="preserve">Each oracle was connected to a temple, and to one or more gods of their pantheon, with the purpose of answering questions in order to reassure humans regarding their possible choices in order to make their lives easier for them. In Mesopotamia, it appears </w:t>
      </w:r>
      <w:r>
        <w:rPr>
          <w:rFonts w:ascii="Times New Roman" w:eastAsia="Times New Roman" w:hAnsi="Times New Roman" w:cs="Times New Roman"/>
          <w:sz w:val="24"/>
          <w:szCs w:val="24"/>
        </w:rPr>
        <w:t xml:space="preserve">that the most </w:t>
      </w:r>
      <w:r w:rsidR="00CA0E3D">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oracle was that of Ishtar at Arbela, while in Greece, the most famous was that of Apollo at Delphi. In Egypt, perhaps the best documented oracle is that of the deified pharaoh Amenhotep I (ca. 1526-1505</w:t>
      </w:r>
      <w:r w:rsidR="00CA0E3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BCE), who was particularly r</w:t>
      </w:r>
      <w:r>
        <w:rPr>
          <w:rFonts w:ascii="Times New Roman" w:eastAsia="Times New Roman" w:hAnsi="Times New Roman" w:cs="Times New Roman"/>
          <w:sz w:val="24"/>
          <w:szCs w:val="24"/>
        </w:rPr>
        <w:t>evered by the workers living in the village of Deir el-Medina, caring for their well-being after death as he may have done while alive. This oracle used a statue of Amenhotep I carried by a team of priests. As the statue was carried, petitioners would appr</w:t>
      </w:r>
      <w:r>
        <w:rPr>
          <w:rFonts w:ascii="Times New Roman" w:eastAsia="Times New Roman" w:hAnsi="Times New Roman" w:cs="Times New Roman"/>
          <w:sz w:val="24"/>
          <w:szCs w:val="24"/>
        </w:rPr>
        <w:t>oach the statue and ask their question. The answer would be communicated through the god to the priest carrying the statue, who would sway one way or another, or perhaps dip or shake.</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xml:space="preserve"> </w:t>
      </w:r>
    </w:p>
    <w:p w14:paraId="00000006" w14:textId="50BD6144"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this way,  a “yes” or “no” answer could be communicated. In contras</w:t>
      </w:r>
      <w:r>
        <w:rPr>
          <w:rFonts w:ascii="Times New Roman" w:eastAsia="Times New Roman" w:hAnsi="Times New Roman" w:cs="Times New Roman"/>
          <w:sz w:val="24"/>
          <w:szCs w:val="24"/>
        </w:rPr>
        <w:t>t, the oracles of Greece or Mesopotamia used an individual to communicate more complex replies to a question. Although the priests carrying the statue in Egypt could be said to be inspired while communicating the god’s message, the priest of Ishtar and the</w:t>
      </w:r>
      <w:r>
        <w:rPr>
          <w:rFonts w:ascii="Times New Roman" w:eastAsia="Times New Roman" w:hAnsi="Times New Roman" w:cs="Times New Roman"/>
          <w:sz w:val="24"/>
          <w:szCs w:val="24"/>
        </w:rPr>
        <w:t xml:space="preserve"> Pythia at Delphi were individuals who underwent rituals, such as ritual bathing, etc. to evoke the deity to “inspire” or work through them, and produce an answer to a petitioner’s question, which could be fairly elaborate. Many records of the oracle at Is</w:t>
      </w:r>
      <w:r>
        <w:rPr>
          <w:rFonts w:ascii="Times New Roman" w:eastAsia="Times New Roman" w:hAnsi="Times New Roman" w:cs="Times New Roman"/>
          <w:sz w:val="24"/>
          <w:szCs w:val="24"/>
        </w:rPr>
        <w:t>htar were recovered from the collection of Ashurbanipal (668-627 BCE), while the Pythia answered in verse. The oracle of Zeus at Dodona has produced many lead tablets illustrating a range of concerns dating between 550-167 BCE, often personal, such as whet</w:t>
      </w:r>
      <w:r>
        <w:rPr>
          <w:rFonts w:ascii="Times New Roman" w:eastAsia="Times New Roman" w:hAnsi="Times New Roman" w:cs="Times New Roman"/>
          <w:sz w:val="24"/>
          <w:szCs w:val="24"/>
        </w:rPr>
        <w:t>her to travel or marry, sometimes also recording the answer.</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Those of Mesopotamia and Egypt show similar concerns, but could also issue justice, or confirm appointments - even,  in the case of Egypt, confirm a king in his role.</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In this way, oracles for t</w:t>
      </w:r>
      <w:r>
        <w:rPr>
          <w:rFonts w:ascii="Times New Roman" w:eastAsia="Times New Roman" w:hAnsi="Times New Roman" w:cs="Times New Roman"/>
          <w:sz w:val="24"/>
          <w:szCs w:val="24"/>
        </w:rPr>
        <w:t xml:space="preserve">hese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despite their differences,</w:t>
      </w:r>
      <w:r w:rsidR="00CA0E3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were universally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coming from the divine, and whose purpose was to aid both individual humans and society as a whole. Importantly here, it was thought that this aid could be evoked by the performan</w:t>
      </w:r>
      <w:r>
        <w:rPr>
          <w:rFonts w:ascii="Times New Roman" w:eastAsia="Times New Roman" w:hAnsi="Times New Roman" w:cs="Times New Roman"/>
          <w:sz w:val="24"/>
          <w:szCs w:val="24"/>
        </w:rPr>
        <w:t>ce of special rituals that would draw down the divinatory power of the deity in question.</w:t>
      </w:r>
    </w:p>
    <w:p w14:paraId="00000009" w14:textId="77777777" w:rsidR="00230140" w:rsidRDefault="00E06B3B">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Signs, omens and their interpreters</w:t>
      </w:r>
    </w:p>
    <w:p w14:paraId="0000000A"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Seer</w:t>
      </w:r>
      <w:r>
        <w:rPr>
          <w:rFonts w:ascii="Times New Roman" w:eastAsia="Times New Roman" w:hAnsi="Times New Roman" w:cs="Times New Roman"/>
          <w:sz w:val="24"/>
          <w:szCs w:val="24"/>
        </w:rPr>
        <w:t>s or prophets, not necessarily attached to a temple, also interpreted signs sent by the gods for the benefit of their petitioners. While seers or omen-interpreters appear commonplace in Greece and Mesopotamia, this does not seem to be the case in Egypt dur</w:t>
      </w:r>
      <w:r>
        <w:rPr>
          <w:rFonts w:ascii="Times New Roman" w:eastAsia="Times New Roman" w:hAnsi="Times New Roman" w:cs="Times New Roman"/>
          <w:sz w:val="24"/>
          <w:szCs w:val="24"/>
        </w:rPr>
        <w:t>ing the pre-Hellenistic period. One inscription dated to about 1900 BCE does ascribe this ability to pharaoh Amenemhet II, but as pharaohs were considered divine in themselves, this might be expected,</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there does not appear </w:t>
      </w:r>
      <w:r>
        <w:rPr>
          <w:rFonts w:ascii="Times New Roman" w:eastAsia="Times New Roman" w:hAnsi="Times New Roman" w:cs="Times New Roman"/>
          <w:sz w:val="24"/>
          <w:szCs w:val="24"/>
        </w:rPr>
        <w:lastRenderedPageBreak/>
        <w:t xml:space="preserve">to be any evidence for </w:t>
      </w:r>
      <w:proofErr w:type="spellStart"/>
      <w:r>
        <w:rPr>
          <w:rFonts w:ascii="Times New Roman" w:eastAsia="Times New Roman" w:hAnsi="Times New Roman" w:cs="Times New Roman"/>
          <w:sz w:val="24"/>
          <w:szCs w:val="24"/>
        </w:rPr>
        <w:t>extispicy</w:t>
      </w:r>
      <w:proofErr w:type="spellEnd"/>
      <w:r>
        <w:rPr>
          <w:rFonts w:ascii="Times New Roman" w:eastAsia="Times New Roman" w:hAnsi="Times New Roman" w:cs="Times New Roman"/>
          <w:sz w:val="24"/>
          <w:szCs w:val="24"/>
        </w:rPr>
        <w:t xml:space="preserve"> or the interpretation of random signs such as occur in </w:t>
      </w:r>
      <w:proofErr w:type="spellStart"/>
      <w:r>
        <w:rPr>
          <w:rFonts w:ascii="Times New Roman" w:eastAsia="Times New Roman" w:hAnsi="Times New Roman" w:cs="Times New Roman"/>
          <w:sz w:val="24"/>
          <w:szCs w:val="24"/>
        </w:rPr>
        <w:t>ornithomancy</w:t>
      </w:r>
      <w:proofErr w:type="spellEnd"/>
      <w:r>
        <w:rPr>
          <w:rFonts w:ascii="Times New Roman" w:eastAsia="Times New Roman" w:hAnsi="Times New Roman" w:cs="Times New Roman"/>
          <w:sz w:val="24"/>
          <w:szCs w:val="24"/>
        </w:rPr>
        <w:t xml:space="preserve">. In addition, for the seer in Ancient Greece, observation of these signs was commonplace, even obligatory for an army on campaign, for example, where </w:t>
      </w:r>
      <w:proofErr w:type="spellStart"/>
      <w:r>
        <w:rPr>
          <w:rFonts w:ascii="Times New Roman" w:eastAsia="Times New Roman" w:hAnsi="Times New Roman" w:cs="Times New Roman"/>
          <w:sz w:val="24"/>
          <w:szCs w:val="24"/>
        </w:rPr>
        <w:t>extispicy</w:t>
      </w:r>
      <w:proofErr w:type="spellEnd"/>
      <w:r>
        <w:rPr>
          <w:rFonts w:ascii="Times New Roman" w:eastAsia="Times New Roman" w:hAnsi="Times New Roman" w:cs="Times New Roman"/>
          <w:sz w:val="24"/>
          <w:szCs w:val="24"/>
        </w:rPr>
        <w:t xml:space="preserve"> was usually performed, ofte</w:t>
      </w:r>
      <w:r>
        <w:rPr>
          <w:rFonts w:ascii="Times New Roman" w:eastAsia="Times New Roman" w:hAnsi="Times New Roman" w:cs="Times New Roman"/>
          <w:sz w:val="24"/>
          <w:szCs w:val="24"/>
        </w:rPr>
        <w:t xml:space="preserve">n by the commander, such as the Spartan Kings as outlined by Xenophon in the </w:t>
      </w:r>
      <w:r>
        <w:rPr>
          <w:rFonts w:ascii="Times New Roman" w:eastAsia="Times New Roman" w:hAnsi="Times New Roman" w:cs="Times New Roman"/>
          <w:i/>
          <w:sz w:val="24"/>
          <w:szCs w:val="24"/>
        </w:rPr>
        <w:t>Constitution of the Lacedaemonians,</w:t>
      </w:r>
      <w:r>
        <w:rPr>
          <w:rFonts w:ascii="Times New Roman" w:eastAsia="Times New Roman" w:hAnsi="Times New Roman" w:cs="Times New Roman"/>
          <w:i/>
          <w:sz w:val="24"/>
          <w:szCs w:val="24"/>
          <w:vertAlign w:val="superscript"/>
        </w:rPr>
        <w:footnoteReference w:id="9"/>
      </w:r>
      <w:r>
        <w:rPr>
          <w:rFonts w:ascii="Times New Roman" w:eastAsia="Times New Roman" w:hAnsi="Times New Roman" w:cs="Times New Roman"/>
          <w:sz w:val="24"/>
          <w:szCs w:val="24"/>
        </w:rPr>
        <w:t xml:space="preserve"> no doubt assisted by specialists. Though specialists could be attached to the army like this, many were itinerant, offering their services to </w:t>
      </w:r>
      <w:r>
        <w:rPr>
          <w:rFonts w:ascii="Times New Roman" w:eastAsia="Times New Roman" w:hAnsi="Times New Roman" w:cs="Times New Roman"/>
          <w:sz w:val="24"/>
          <w:szCs w:val="24"/>
        </w:rPr>
        <w:t>different communities, though the signs that they interpreted were always thought of as originating with the supernatural, who caused them because they wanted to. However, there appears to be a fine line between what seers practiced and what magicians did,</w:t>
      </w:r>
      <w:r>
        <w:rPr>
          <w:rFonts w:ascii="Times New Roman" w:eastAsia="Times New Roman" w:hAnsi="Times New Roman" w:cs="Times New Roman"/>
          <w:sz w:val="24"/>
          <w:szCs w:val="24"/>
        </w:rPr>
        <w:t xml:space="preserve"> as it seems it was possible to insult a seer by labelling him a magician instead. This is perhaps because of their itinerant nature, because this occupation was not backed by any state or particular temple, and because it relied on the temperament and nat</w:t>
      </w:r>
      <w:r>
        <w:rPr>
          <w:rFonts w:ascii="Times New Roman" w:eastAsia="Times New Roman" w:hAnsi="Times New Roman" w:cs="Times New Roman"/>
          <w:sz w:val="24"/>
          <w:szCs w:val="24"/>
        </w:rPr>
        <w:t>ure of the seer, and not on any formal rules.</w:t>
      </w:r>
    </w:p>
    <w:p w14:paraId="0000000B" w14:textId="40E961D8"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omen-interpreter</w:t>
      </w:r>
      <w:r w:rsidR="00CA0E3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 Mesopotamia appeared to have a higher and more stable status. Unlike in Greece, omen interpretation had a long scholarly tradition, and there existed text books for diviners. Ac</w:t>
      </w:r>
      <w:r>
        <w:rPr>
          <w:rFonts w:ascii="Times New Roman" w:eastAsia="Times New Roman" w:hAnsi="Times New Roman" w:cs="Times New Roman"/>
          <w:sz w:val="24"/>
          <w:szCs w:val="24"/>
        </w:rPr>
        <w:t xml:space="preserve">cording to </w:t>
      </w:r>
      <w:proofErr w:type="spellStart"/>
      <w:r>
        <w:rPr>
          <w:rFonts w:ascii="Times New Roman" w:eastAsia="Times New Roman" w:hAnsi="Times New Roman" w:cs="Times New Roman"/>
          <w:sz w:val="24"/>
          <w:szCs w:val="24"/>
        </w:rPr>
        <w:t>Rochberg</w:t>
      </w:r>
      <w:proofErr w:type="spellEnd"/>
      <w:r>
        <w:rPr>
          <w:rFonts w:ascii="Times New Roman" w:eastAsia="Times New Roman" w:hAnsi="Times New Roman" w:cs="Times New Roman"/>
          <w:sz w:val="24"/>
          <w:szCs w:val="24"/>
        </w:rPr>
        <w:t>, it was thought that the gods “established the nature and pattern of things both in heaven and earth”.</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The future pattern and design of the gods could be interpreted through signs that they sent, and through extensive observation books</w:t>
      </w:r>
      <w:r>
        <w:rPr>
          <w:rFonts w:ascii="Times New Roman" w:eastAsia="Times New Roman" w:hAnsi="Times New Roman" w:cs="Times New Roman"/>
          <w:sz w:val="24"/>
          <w:szCs w:val="24"/>
        </w:rPr>
        <w:t xml:space="preserve"> could be compiled. The interpretations followed the format that if an event occurred in the past, and another </w:t>
      </w:r>
      <w:r>
        <w:rPr>
          <w:rFonts w:ascii="Times New Roman" w:eastAsia="Times New Roman" w:hAnsi="Times New Roman" w:cs="Times New Roman"/>
          <w:sz w:val="24"/>
          <w:szCs w:val="24"/>
        </w:rPr>
        <w:lastRenderedPageBreak/>
        <w:t xml:space="preserve">event was its sequel, then each time the first event occurred, the second event would follow (if </w:t>
      </w:r>
      <w:r>
        <w:rPr>
          <w:rFonts w:ascii="Times New Roman" w:eastAsia="Times New Roman" w:hAnsi="Times New Roman" w:cs="Times New Roman"/>
          <w:i/>
          <w:sz w:val="24"/>
          <w:szCs w:val="24"/>
        </w:rPr>
        <w:t>x</w:t>
      </w:r>
      <w:r>
        <w:rPr>
          <w:rFonts w:ascii="Times New Roman" w:eastAsia="Times New Roman" w:hAnsi="Times New Roman" w:cs="Times New Roman"/>
          <w:sz w:val="24"/>
          <w:szCs w:val="24"/>
        </w:rPr>
        <w:t xml:space="preserve">, then </w:t>
      </w:r>
      <w:r>
        <w:rPr>
          <w:rFonts w:ascii="Times New Roman" w:eastAsia="Times New Roman" w:hAnsi="Times New Roman" w:cs="Times New Roman"/>
          <w:i/>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This method could also be applied t</w:t>
      </w:r>
      <w:r>
        <w:rPr>
          <w:rFonts w:ascii="Times New Roman" w:eastAsia="Times New Roman" w:hAnsi="Times New Roman" w:cs="Times New Roman"/>
          <w:sz w:val="24"/>
          <w:szCs w:val="24"/>
        </w:rPr>
        <w:t xml:space="preserve">o </w:t>
      </w:r>
      <w:proofErr w:type="spellStart"/>
      <w:r>
        <w:rPr>
          <w:rFonts w:ascii="Times New Roman" w:eastAsia="Times New Roman" w:hAnsi="Times New Roman" w:cs="Times New Roman"/>
          <w:sz w:val="24"/>
          <w:szCs w:val="24"/>
        </w:rPr>
        <w:t>extispicy</w:t>
      </w:r>
      <w:proofErr w:type="spellEnd"/>
      <w:r>
        <w:rPr>
          <w:rFonts w:ascii="Times New Roman" w:eastAsia="Times New Roman" w:hAnsi="Times New Roman" w:cs="Times New Roman"/>
          <w:sz w:val="24"/>
          <w:szCs w:val="24"/>
        </w:rPr>
        <w:t xml:space="preserve"> and astrology.</w:t>
      </w:r>
    </w:p>
    <w:p w14:paraId="0000000C"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well as evoked and observed, unprovoked signs, Reiner</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identifies two further ways of </w:t>
      </w:r>
      <w:proofErr w:type="spellStart"/>
      <w:r>
        <w:rPr>
          <w:rFonts w:ascii="Times New Roman" w:eastAsia="Times New Roman" w:hAnsi="Times New Roman" w:cs="Times New Roman"/>
          <w:sz w:val="24"/>
          <w:szCs w:val="24"/>
        </w:rPr>
        <w:t>categorising</w:t>
      </w:r>
      <w:proofErr w:type="spellEnd"/>
      <w:r>
        <w:rPr>
          <w:rFonts w:ascii="Times New Roman" w:eastAsia="Times New Roman" w:hAnsi="Times New Roman" w:cs="Times New Roman"/>
          <w:sz w:val="24"/>
          <w:szCs w:val="24"/>
        </w:rPr>
        <w:t xml:space="preserve"> divination, into diagnostic forms and those that foretell the future. Diagnostic forms would include medical diagnoses, as well</w:t>
      </w:r>
      <w:r>
        <w:rPr>
          <w:rFonts w:ascii="Times New Roman" w:eastAsia="Times New Roman" w:hAnsi="Times New Roman" w:cs="Times New Roman"/>
          <w:sz w:val="24"/>
          <w:szCs w:val="24"/>
        </w:rPr>
        <w:t xml:space="preserve"> as divining why a petitioner may be experiencing misfortune. A course of treatment could then be proposed. Those that foretell the future, and may foresee a poor one, allowed the petitioner to avoid it by appealing to the deities by means of prayers, or o</w:t>
      </w:r>
      <w:r>
        <w:rPr>
          <w:rFonts w:ascii="Times New Roman" w:eastAsia="Times New Roman" w:hAnsi="Times New Roman" w:cs="Times New Roman"/>
          <w:sz w:val="24"/>
          <w:szCs w:val="24"/>
        </w:rPr>
        <w:t xml:space="preserve">ther ritual apotropaic acts, that could be considered magical in form. This division not only applies to the Mesopotamian omen texts that </w:t>
      </w:r>
      <w:proofErr w:type="spellStart"/>
      <w:r>
        <w:rPr>
          <w:rFonts w:ascii="Times New Roman" w:eastAsia="Times New Roman" w:hAnsi="Times New Roman" w:cs="Times New Roman"/>
          <w:sz w:val="24"/>
          <w:szCs w:val="24"/>
        </w:rPr>
        <w:t>Rochberg</w:t>
      </w:r>
      <w:proofErr w:type="spellEnd"/>
      <w:r>
        <w:rPr>
          <w:rFonts w:ascii="Times New Roman" w:eastAsia="Times New Roman" w:hAnsi="Times New Roman" w:cs="Times New Roman"/>
          <w:sz w:val="24"/>
          <w:szCs w:val="24"/>
        </w:rPr>
        <w:t xml:space="preserve"> focuses on, but the practices of the Greeks as outlined above. Yet, in Egypt, the use of omens and their inte</w:t>
      </w:r>
      <w:r>
        <w:rPr>
          <w:rFonts w:ascii="Times New Roman" w:eastAsia="Times New Roman" w:hAnsi="Times New Roman" w:cs="Times New Roman"/>
          <w:sz w:val="24"/>
          <w:szCs w:val="24"/>
        </w:rPr>
        <w:t>rpreters seems to have been less popular, while the yes/no responses of the statue oracle means that its ability to diagnose or foretell the future is more limited that the lengthy responses of the oracles of, e.g. Delphi and Ishtar.</w:t>
      </w:r>
    </w:p>
    <w:p w14:paraId="0000000D" w14:textId="77777777" w:rsidR="00230140" w:rsidRDefault="00E06B3B">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Dreams</w:t>
      </w:r>
    </w:p>
    <w:p w14:paraId="0000000E"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is good evidence for dream interpretation in Egypt, in the form of a papyrus manual from the village of Deir el-Medina, which would allow for more detailed interpretations, that therefore may fall into the aforementioned categories. Quirke s</w:t>
      </w:r>
      <w:r>
        <w:rPr>
          <w:rFonts w:ascii="Times New Roman" w:eastAsia="Times New Roman" w:hAnsi="Times New Roman" w:cs="Times New Roman"/>
          <w:sz w:val="24"/>
          <w:szCs w:val="24"/>
        </w:rPr>
        <w:t>tates that the interpretations worked through “analogy, similar sounds in words, or association of ideas.”</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xml:space="preserve"> According to Teeter</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it was thought that sleep gave access to, and facilitated communication with, the gods, who could then </w:t>
      </w:r>
      <w:r>
        <w:rPr>
          <w:rFonts w:ascii="Times New Roman" w:eastAsia="Times New Roman" w:hAnsi="Times New Roman" w:cs="Times New Roman"/>
          <w:sz w:val="24"/>
          <w:szCs w:val="24"/>
        </w:rPr>
        <w:lastRenderedPageBreak/>
        <w:t>send messages to the sle</w:t>
      </w:r>
      <w:r>
        <w:rPr>
          <w:rFonts w:ascii="Times New Roman" w:eastAsia="Times New Roman" w:hAnsi="Times New Roman" w:cs="Times New Roman"/>
          <w:sz w:val="24"/>
          <w:szCs w:val="24"/>
        </w:rPr>
        <w:t>eper. And while these dreams could be spontaneous, Quirke</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xml:space="preserve"> states that there is also some small evidence for the practice of incubation, or sleeping in a sacred place to evoke a dream that could then be interpreted by experts. This possibly took place at t</w:t>
      </w:r>
      <w:r>
        <w:rPr>
          <w:rFonts w:ascii="Times New Roman" w:eastAsia="Times New Roman" w:hAnsi="Times New Roman" w:cs="Times New Roman"/>
          <w:sz w:val="24"/>
          <w:szCs w:val="24"/>
        </w:rPr>
        <w:t xml:space="preserve">he temple of the god Sobek at </w:t>
      </w:r>
      <w:proofErr w:type="spellStart"/>
      <w:r>
        <w:rPr>
          <w:rFonts w:ascii="Times New Roman" w:eastAsia="Times New Roman" w:hAnsi="Times New Roman" w:cs="Times New Roman"/>
          <w:sz w:val="24"/>
          <w:szCs w:val="24"/>
        </w:rPr>
        <w:t>Kom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Ombo</w:t>
      </w:r>
      <w:proofErr w:type="spellEnd"/>
      <w:r>
        <w:rPr>
          <w:rFonts w:ascii="Times New Roman" w:eastAsia="Times New Roman" w:hAnsi="Times New Roman" w:cs="Times New Roman"/>
          <w:sz w:val="24"/>
          <w:szCs w:val="24"/>
        </w:rPr>
        <w:t>, which, judging by the inscriptions and reliefs of medical instruments, was a place used for medical treatments, much like the sanctuaries of Asclepius in Greece.</w:t>
      </w:r>
    </w:p>
    <w:p w14:paraId="0000000F"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for Asclepius was the sanctuary at Epi</w:t>
      </w:r>
      <w:r>
        <w:rPr>
          <w:rFonts w:ascii="Times New Roman" w:eastAsia="Times New Roman" w:hAnsi="Times New Roman" w:cs="Times New Roman"/>
          <w:sz w:val="24"/>
          <w:szCs w:val="24"/>
        </w:rPr>
        <w:t xml:space="preserve">daurus in the Peloponnese, where people would sleep in a circular chamber containing images of the god in order to influence the dream. The dream the patient (or the proxy, if the patient were too ill to attend themselves) experienced would help guide the </w:t>
      </w:r>
      <w:r>
        <w:rPr>
          <w:rFonts w:ascii="Times New Roman" w:eastAsia="Times New Roman" w:hAnsi="Times New Roman" w:cs="Times New Roman"/>
          <w:sz w:val="24"/>
          <w:szCs w:val="24"/>
        </w:rPr>
        <w:t>priests at the temple in what treatment to issue, which may involve what might be described as magical incantations as well as practical treatment, in this obviously diagnostic form of divination. Many tablets inscribed with these dreams survive, and the r</w:t>
      </w:r>
      <w:r>
        <w:rPr>
          <w:rFonts w:ascii="Times New Roman" w:eastAsia="Times New Roman" w:hAnsi="Times New Roman" w:cs="Times New Roman"/>
          <w:sz w:val="24"/>
          <w:szCs w:val="24"/>
        </w:rPr>
        <w:t>esultant cure from dream incubation was always attributed to the god.</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However, the difference between the Greek practice and the Egyptian and Mesopotamian practices is that there were no dream books to guide the priests in their interpretations, so presum</w:t>
      </w:r>
      <w:r>
        <w:rPr>
          <w:rFonts w:ascii="Times New Roman" w:eastAsia="Times New Roman" w:hAnsi="Times New Roman" w:cs="Times New Roman"/>
          <w:sz w:val="24"/>
          <w:szCs w:val="24"/>
        </w:rPr>
        <w:t>ably how to interpret the dreams of patients was a form of inspiration.</w:t>
      </w:r>
    </w:p>
    <w:p w14:paraId="00000010"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 for the use of dreams in divination in Mesopotamia comes from the earliest periods. In the </w:t>
      </w:r>
      <w:r>
        <w:rPr>
          <w:rFonts w:ascii="Times New Roman" w:eastAsia="Times New Roman" w:hAnsi="Times New Roman" w:cs="Times New Roman"/>
          <w:i/>
          <w:sz w:val="24"/>
          <w:szCs w:val="24"/>
        </w:rPr>
        <w:t>Epic of Gilgamesh</w:t>
      </w:r>
      <w:r>
        <w:rPr>
          <w:rFonts w:ascii="Times New Roman" w:eastAsia="Times New Roman" w:hAnsi="Times New Roman" w:cs="Times New Roman"/>
          <w:sz w:val="24"/>
          <w:szCs w:val="24"/>
        </w:rPr>
        <w:t>, which dates from 2700-2600 BCE, Gilgamesh has two confusing dream</w:t>
      </w:r>
      <w:r>
        <w:rPr>
          <w:rFonts w:ascii="Times New Roman" w:eastAsia="Times New Roman" w:hAnsi="Times New Roman" w:cs="Times New Roman"/>
          <w:sz w:val="24"/>
          <w:szCs w:val="24"/>
        </w:rPr>
        <w:t xml:space="preserve">s which he takes to his mother for interpretation. Gilgamesh’s mother is the goddess Ninsun, so it may be that as the dreams are sent by the gods, Gilgamesh thinks it is advisable that a deity should interpret them for him, and he had ready access to one. </w:t>
      </w:r>
      <w:r>
        <w:rPr>
          <w:rFonts w:ascii="Times New Roman" w:eastAsia="Times New Roman" w:hAnsi="Times New Roman" w:cs="Times New Roman"/>
          <w:sz w:val="24"/>
          <w:szCs w:val="24"/>
        </w:rPr>
        <w:t xml:space="preserve">Otherwise, dream books do exist in </w:t>
      </w:r>
      <w:r>
        <w:rPr>
          <w:rFonts w:ascii="Times New Roman" w:eastAsia="Times New Roman" w:hAnsi="Times New Roman" w:cs="Times New Roman"/>
          <w:sz w:val="24"/>
          <w:szCs w:val="24"/>
        </w:rPr>
        <w:lastRenderedPageBreak/>
        <w:t>Mesopotamia, again from the library of Ashurbanipal, who collected them, though they date from different periods. Once more, the dreams are thought of as coming from the gods, as an invocation to the gods begins the colle</w:t>
      </w:r>
      <w:r>
        <w:rPr>
          <w:rFonts w:ascii="Times New Roman" w:eastAsia="Times New Roman" w:hAnsi="Times New Roman" w:cs="Times New Roman"/>
          <w:sz w:val="24"/>
          <w:szCs w:val="24"/>
        </w:rPr>
        <w:t>ction.</w:t>
      </w:r>
      <w:r>
        <w:rPr>
          <w:rFonts w:ascii="Times New Roman" w:eastAsia="Times New Roman" w:hAnsi="Times New Roman" w:cs="Times New Roman"/>
          <w:sz w:val="24"/>
          <w:szCs w:val="24"/>
          <w:vertAlign w:val="superscript"/>
        </w:rPr>
        <w:footnoteReference w:id="17"/>
      </w:r>
      <w:r>
        <w:rPr>
          <w:rFonts w:ascii="Times New Roman" w:eastAsia="Times New Roman" w:hAnsi="Times New Roman" w:cs="Times New Roman"/>
          <w:sz w:val="24"/>
          <w:szCs w:val="24"/>
        </w:rPr>
        <w:t xml:space="preserve"> The interpretations follow the usual pattern as described earlier, that if </w:t>
      </w:r>
      <w:r>
        <w:rPr>
          <w:rFonts w:ascii="Times New Roman" w:eastAsia="Times New Roman" w:hAnsi="Times New Roman" w:cs="Times New Roman"/>
          <w:i/>
          <w:sz w:val="24"/>
          <w:szCs w:val="24"/>
        </w:rPr>
        <w:t xml:space="preserve">x </w:t>
      </w:r>
      <w:r>
        <w:rPr>
          <w:rFonts w:ascii="Times New Roman" w:eastAsia="Times New Roman" w:hAnsi="Times New Roman" w:cs="Times New Roman"/>
          <w:sz w:val="24"/>
          <w:szCs w:val="24"/>
        </w:rPr>
        <w:t xml:space="preserve">occurs in the dream, then </w:t>
      </w:r>
      <w:r>
        <w:rPr>
          <w:rFonts w:ascii="Times New Roman" w:eastAsia="Times New Roman" w:hAnsi="Times New Roman" w:cs="Times New Roman"/>
          <w:i/>
          <w:sz w:val="24"/>
          <w:szCs w:val="24"/>
        </w:rPr>
        <w:t xml:space="preserve">y </w:t>
      </w:r>
      <w:r>
        <w:rPr>
          <w:rFonts w:ascii="Times New Roman" w:eastAsia="Times New Roman" w:hAnsi="Times New Roman" w:cs="Times New Roman"/>
          <w:sz w:val="24"/>
          <w:szCs w:val="24"/>
        </w:rPr>
        <w:t xml:space="preserve">will follow. The collection also contains </w:t>
      </w:r>
      <w:proofErr w:type="spellStart"/>
      <w:r>
        <w:rPr>
          <w:rFonts w:ascii="Times New Roman" w:eastAsia="Times New Roman" w:hAnsi="Times New Roman" w:cs="Times New Roman"/>
          <w:sz w:val="24"/>
          <w:szCs w:val="24"/>
        </w:rPr>
        <w:t>apotropia</w:t>
      </w:r>
      <w:proofErr w:type="spellEnd"/>
      <w:r>
        <w:rPr>
          <w:rFonts w:ascii="Times New Roman" w:eastAsia="Times New Roman" w:hAnsi="Times New Roman" w:cs="Times New Roman"/>
          <w:sz w:val="24"/>
          <w:szCs w:val="24"/>
        </w:rPr>
        <w:t xml:space="preserve"> for trying to ensure unwanted predictions are avoided.</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In addition, the collection </w:t>
      </w:r>
      <w:proofErr w:type="spellStart"/>
      <w:r>
        <w:rPr>
          <w:rFonts w:ascii="Times New Roman" w:eastAsia="Times New Roman" w:hAnsi="Times New Roman" w:cs="Times New Roman"/>
          <w:sz w:val="24"/>
          <w:szCs w:val="24"/>
        </w:rPr>
        <w:t>categor</w:t>
      </w:r>
      <w:r>
        <w:rPr>
          <w:rFonts w:ascii="Times New Roman" w:eastAsia="Times New Roman" w:hAnsi="Times New Roman" w:cs="Times New Roman"/>
          <w:sz w:val="24"/>
          <w:szCs w:val="24"/>
        </w:rPr>
        <w:t>ises</w:t>
      </w:r>
      <w:proofErr w:type="spellEnd"/>
      <w:r>
        <w:rPr>
          <w:rFonts w:ascii="Times New Roman" w:eastAsia="Times New Roman" w:hAnsi="Times New Roman" w:cs="Times New Roman"/>
          <w:sz w:val="24"/>
          <w:szCs w:val="24"/>
        </w:rPr>
        <w:t xml:space="preserve"> the dreams as being unprovoked, although dream incubation was used.</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xml:space="preserve"> According to Hughes,</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xml:space="preserve"> incubation was performed not by the inquirer themselves, but on their behalf by the priest or priestess, unlike in Greece or Egypt.</w:t>
      </w:r>
    </w:p>
    <w:p w14:paraId="00000011" w14:textId="77777777" w:rsidR="00230140" w:rsidRDefault="00E06B3B">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Astrology and the heavens</w:t>
      </w:r>
    </w:p>
    <w:p w14:paraId="00000012"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z w:val="24"/>
          <w:szCs w:val="24"/>
        </w:rPr>
        <w:t>e identification of the stars with the gods appears to be common to all three cultures. In Egypt, there is evidence for this from the earliest periods. In the Pyramid Texts, inscribed on the walls of the pyramids of the pharaohs between c. 2613-2181 BCE, t</w:t>
      </w:r>
      <w:r>
        <w:rPr>
          <w:rFonts w:ascii="Times New Roman" w:eastAsia="Times New Roman" w:hAnsi="Times New Roman" w:cs="Times New Roman"/>
          <w:sz w:val="24"/>
          <w:szCs w:val="24"/>
        </w:rPr>
        <w:t>he desire for the deceased king to become one of the circumpolar stars is repeated frequently, the circumpolar stars being chosen as they were never seen to set and are therefore considered eternal and undying, and are therefore identified with the gods. H</w:t>
      </w:r>
      <w:r>
        <w:rPr>
          <w:rFonts w:ascii="Times New Roman" w:eastAsia="Times New Roman" w:hAnsi="Times New Roman" w:cs="Times New Roman"/>
          <w:sz w:val="24"/>
          <w:szCs w:val="24"/>
        </w:rPr>
        <w:t xml:space="preserve">owever, the stars were not used for divinatory purposes in the pharaonic period, though their observation allowed for the construction of a simple calendar. Similarly, the Greeks of the archaic period observed the stars, and Hesiod’s </w:t>
      </w:r>
      <w:r>
        <w:rPr>
          <w:rFonts w:ascii="Times New Roman" w:eastAsia="Times New Roman" w:hAnsi="Times New Roman" w:cs="Times New Roman"/>
          <w:i/>
          <w:sz w:val="24"/>
          <w:szCs w:val="24"/>
        </w:rPr>
        <w:t xml:space="preserve">Works and Days </w:t>
      </w:r>
      <w:r>
        <w:rPr>
          <w:rFonts w:ascii="Times New Roman" w:eastAsia="Times New Roman" w:hAnsi="Times New Roman" w:cs="Times New Roman"/>
          <w:sz w:val="24"/>
          <w:szCs w:val="24"/>
        </w:rPr>
        <w:t>(c. 700</w:t>
      </w:r>
      <w:r>
        <w:rPr>
          <w:rFonts w:ascii="Times New Roman" w:eastAsia="Times New Roman" w:hAnsi="Times New Roman" w:cs="Times New Roman"/>
          <w:sz w:val="24"/>
          <w:szCs w:val="24"/>
        </w:rPr>
        <w:t xml:space="preserve"> BCE) demonstrates that farmers used the rising of certain constellations to guide them on the activities they should be performing at certain times of the year. Though both cultures went on to develop an astrological tradition, this was influenced by the </w:t>
      </w:r>
      <w:r>
        <w:rPr>
          <w:rFonts w:ascii="Times New Roman" w:eastAsia="Times New Roman" w:hAnsi="Times New Roman" w:cs="Times New Roman"/>
          <w:sz w:val="24"/>
          <w:szCs w:val="24"/>
        </w:rPr>
        <w:t>Mesopotamians, who had been observing the stars and making predictions based upon their movements for hundreds of years.</w:t>
      </w:r>
    </w:p>
    <w:p w14:paraId="00000013" w14:textId="77777777"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Evidence for astrology in Mesopotamia dates back to c. 2100 BCE, where King </w:t>
      </w:r>
      <w:proofErr w:type="spellStart"/>
      <w:r>
        <w:rPr>
          <w:rFonts w:ascii="Times New Roman" w:eastAsia="Times New Roman" w:hAnsi="Times New Roman" w:cs="Times New Roman"/>
          <w:sz w:val="24"/>
          <w:szCs w:val="24"/>
        </w:rPr>
        <w:t>Gudea</w:t>
      </w:r>
      <w:proofErr w:type="spellEnd"/>
      <w:r>
        <w:rPr>
          <w:rFonts w:ascii="Times New Roman" w:eastAsia="Times New Roman" w:hAnsi="Times New Roman" w:cs="Times New Roman"/>
          <w:sz w:val="24"/>
          <w:szCs w:val="24"/>
        </w:rPr>
        <w:t xml:space="preserve"> sees the goddess </w:t>
      </w:r>
      <w:proofErr w:type="spellStart"/>
      <w:r>
        <w:rPr>
          <w:rFonts w:ascii="Times New Roman" w:eastAsia="Times New Roman" w:hAnsi="Times New Roman" w:cs="Times New Roman"/>
          <w:sz w:val="24"/>
          <w:szCs w:val="24"/>
        </w:rPr>
        <w:t>Nisaba</w:t>
      </w:r>
      <w:proofErr w:type="spellEnd"/>
      <w:r>
        <w:rPr>
          <w:rFonts w:ascii="Times New Roman" w:eastAsia="Times New Roman" w:hAnsi="Times New Roman" w:cs="Times New Roman"/>
          <w:sz w:val="24"/>
          <w:szCs w:val="24"/>
        </w:rPr>
        <w:t xml:space="preserve"> studying a tablet on which we</w:t>
      </w:r>
      <w:r>
        <w:rPr>
          <w:rFonts w:ascii="Times New Roman" w:eastAsia="Times New Roman" w:hAnsi="Times New Roman" w:cs="Times New Roman"/>
          <w:sz w:val="24"/>
          <w:szCs w:val="24"/>
        </w:rPr>
        <w:t>re the constellations, and was told that he must build a temple in accordance with the stars.</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This account clearly associates the gods with the stars, and </w:t>
      </w:r>
      <w:proofErr w:type="spellStart"/>
      <w:r>
        <w:rPr>
          <w:rFonts w:ascii="Times New Roman" w:eastAsia="Times New Roman" w:hAnsi="Times New Roman" w:cs="Times New Roman"/>
          <w:sz w:val="24"/>
          <w:szCs w:val="24"/>
        </w:rPr>
        <w:t>Rochberg</w:t>
      </w:r>
      <w:proofErr w:type="spellEnd"/>
      <w:r>
        <w:rPr>
          <w:rFonts w:ascii="Times New Roman" w:eastAsia="Times New Roman" w:hAnsi="Times New Roman" w:cs="Times New Roman"/>
          <w:sz w:val="24"/>
          <w:szCs w:val="24"/>
        </w:rPr>
        <w:t xml:space="preserve"> states that as the gods establish the pattern of things in heaven and earth, then their int</w:t>
      </w:r>
      <w:r>
        <w:rPr>
          <w:rFonts w:ascii="Times New Roman" w:eastAsia="Times New Roman" w:hAnsi="Times New Roman" w:cs="Times New Roman"/>
          <w:sz w:val="24"/>
          <w:szCs w:val="24"/>
        </w:rPr>
        <w:t>entions can be read by observation.</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This long observation of the stars enabled the Mesopotamians to observe patterns, and, as well as formulating a very accurate calendar,  allowed them to make links between movements in the heavens and events on earth, w</w:t>
      </w:r>
      <w:r>
        <w:rPr>
          <w:rFonts w:ascii="Times New Roman" w:eastAsia="Times New Roman" w:hAnsi="Times New Roman" w:cs="Times New Roman"/>
          <w:sz w:val="24"/>
          <w:szCs w:val="24"/>
        </w:rPr>
        <w:t xml:space="preserve">hich then could be used for future predictions, particularly as this study of the heavens was part of Mesopotamian scholarly tradition and written records were kept. These followed the usual format of “if </w:t>
      </w:r>
      <w:r>
        <w:rPr>
          <w:rFonts w:ascii="Times New Roman" w:eastAsia="Times New Roman" w:hAnsi="Times New Roman" w:cs="Times New Roman"/>
          <w:i/>
          <w:sz w:val="24"/>
          <w:szCs w:val="24"/>
        </w:rPr>
        <w:t>x</w:t>
      </w:r>
      <w:r>
        <w:rPr>
          <w:rFonts w:ascii="Times New Roman" w:eastAsia="Times New Roman" w:hAnsi="Times New Roman" w:cs="Times New Roman"/>
          <w:sz w:val="24"/>
          <w:szCs w:val="24"/>
        </w:rPr>
        <w:t xml:space="preserve">, then </w:t>
      </w:r>
      <w:r>
        <w:rPr>
          <w:rFonts w:ascii="Times New Roman" w:eastAsia="Times New Roman" w:hAnsi="Times New Roman" w:cs="Times New Roman"/>
          <w:i/>
          <w:sz w:val="24"/>
          <w:szCs w:val="24"/>
        </w:rPr>
        <w:t>y</w:t>
      </w:r>
      <w:r>
        <w:rPr>
          <w:rFonts w:ascii="Times New Roman" w:eastAsia="Times New Roman" w:hAnsi="Times New Roman" w:cs="Times New Roman"/>
          <w:sz w:val="24"/>
          <w:szCs w:val="24"/>
        </w:rPr>
        <w:t>,” as described above. However, the most f</w:t>
      </w:r>
      <w:r>
        <w:rPr>
          <w:rFonts w:ascii="Times New Roman" w:eastAsia="Times New Roman" w:hAnsi="Times New Roman" w:cs="Times New Roman"/>
          <w:sz w:val="24"/>
          <w:szCs w:val="24"/>
        </w:rPr>
        <w:t>amiliar form of astrology in the western world, horoscope, did not exist in any of the three cultures before c. 500 BCE. Somehow, after this the placement of the stars at the time of a person's birth became crucial for divining that person's future. Astrol</w:t>
      </w:r>
      <w:r>
        <w:rPr>
          <w:rFonts w:ascii="Times New Roman" w:eastAsia="Times New Roman" w:hAnsi="Times New Roman" w:cs="Times New Roman"/>
          <w:sz w:val="24"/>
          <w:szCs w:val="24"/>
        </w:rPr>
        <w:t>ogy was then taken up with some enthusiasm by the Hellenistic Greeks studying in Ptolemaic Egypt (c. 305-30 BCE).</w:t>
      </w:r>
    </w:p>
    <w:p w14:paraId="00000014" w14:textId="758EEB88"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of the interest in astrology in Ptolemaic Egypt can be found in the astrological ceiling in the temple of Hathor at Dendera, which ha</w:t>
      </w:r>
      <w:r>
        <w:rPr>
          <w:rFonts w:ascii="Times New Roman" w:eastAsia="Times New Roman" w:hAnsi="Times New Roman" w:cs="Times New Roman"/>
          <w:sz w:val="24"/>
          <w:szCs w:val="24"/>
        </w:rPr>
        <w:t>s been dated to 50 BCE based on the configuration of the stars shown and the depiction of a lunar and solar eclipse. Though this demonstrates the sophistication of the Hellenistic astrologers, there is no indication of what the image is meant to predict, i</w:t>
      </w:r>
      <w:r>
        <w:rPr>
          <w:rFonts w:ascii="Times New Roman" w:eastAsia="Times New Roman" w:hAnsi="Times New Roman" w:cs="Times New Roman"/>
          <w:sz w:val="24"/>
          <w:szCs w:val="24"/>
        </w:rPr>
        <w:t xml:space="preserve">f it predicts anything at all, though it was obviously significant enough to be </w:t>
      </w:r>
      <w:proofErr w:type="spellStart"/>
      <w:r>
        <w:rPr>
          <w:rFonts w:ascii="Times New Roman" w:eastAsia="Times New Roman" w:hAnsi="Times New Roman" w:cs="Times New Roman"/>
          <w:sz w:val="24"/>
          <w:szCs w:val="24"/>
        </w:rPr>
        <w:t>immortalised</w:t>
      </w:r>
      <w:proofErr w:type="spellEnd"/>
      <w:r>
        <w:rPr>
          <w:rFonts w:ascii="Times New Roman" w:eastAsia="Times New Roman" w:hAnsi="Times New Roman" w:cs="Times New Roman"/>
          <w:sz w:val="24"/>
          <w:szCs w:val="24"/>
        </w:rPr>
        <w:t xml:space="preserve"> in stone. The depiction of the constellations here is a hybrid of Egyptian forms and identifies some of them with Egyptian gods, and Greek forms that are familiar </w:t>
      </w:r>
      <w:r>
        <w:rPr>
          <w:rFonts w:ascii="Times New Roman" w:eastAsia="Times New Roman" w:hAnsi="Times New Roman" w:cs="Times New Roman"/>
          <w:sz w:val="24"/>
          <w:szCs w:val="24"/>
        </w:rPr>
        <w:t xml:space="preserve">to the modern world, demonstrating the blending of the two cultures, though the practice is based on a third. This Ptolemaic study of </w:t>
      </w:r>
      <w:r>
        <w:rPr>
          <w:rFonts w:ascii="Times New Roman" w:eastAsia="Times New Roman" w:hAnsi="Times New Roman" w:cs="Times New Roman"/>
          <w:sz w:val="24"/>
          <w:szCs w:val="24"/>
        </w:rPr>
        <w:lastRenderedPageBreak/>
        <w:t>the stars and the further development of the horoscope would then filter through Islamic, Jew</w:t>
      </w:r>
      <w:r>
        <w:rPr>
          <w:rFonts w:ascii="Times New Roman" w:eastAsia="Times New Roman" w:hAnsi="Times New Roman" w:cs="Times New Roman"/>
          <w:sz w:val="24"/>
          <w:szCs w:val="24"/>
        </w:rPr>
        <w:t>s and Christian tradition to</w:t>
      </w:r>
      <w:r>
        <w:rPr>
          <w:rFonts w:ascii="Times New Roman" w:eastAsia="Times New Roman" w:hAnsi="Times New Roman" w:cs="Times New Roman"/>
          <w:sz w:val="24"/>
          <w:szCs w:val="24"/>
        </w:rPr>
        <w:t xml:space="preserve"> become the basis of today’s genethlialogy.</w:t>
      </w:r>
      <w:r>
        <w:rPr>
          <w:rFonts w:ascii="Times New Roman" w:eastAsia="Times New Roman" w:hAnsi="Times New Roman" w:cs="Times New Roman"/>
          <w:sz w:val="24"/>
          <w:szCs w:val="24"/>
          <w:vertAlign w:val="superscript"/>
        </w:rPr>
        <w:footnoteReference w:id="23"/>
      </w:r>
    </w:p>
    <w:p w14:paraId="00000015" w14:textId="77777777" w:rsidR="00230140" w:rsidRDefault="00E06B3B">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Conclusion</w:t>
      </w:r>
    </w:p>
    <w:p w14:paraId="00000016" w14:textId="784ECE7D" w:rsidR="00230140" w:rsidRDefault="00E06B3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appears that there are more similarities than differences in attitudes towards divination as practiced by Egypt, Greece and Mesopotamia. All three cultures believed that the supernatural, in the fo</w:t>
      </w:r>
      <w:r>
        <w:rPr>
          <w:rFonts w:ascii="Times New Roman" w:eastAsia="Times New Roman" w:hAnsi="Times New Roman" w:cs="Times New Roman"/>
          <w:sz w:val="24"/>
          <w:szCs w:val="24"/>
        </w:rPr>
        <w:t xml:space="preserve">rm of a pantheon of various deities, created the world and controlled everything in it. These deities were perceived as caring for humankind, and therefore provided signs or messages that could be identified and understood by humans, who could make use of </w:t>
      </w:r>
      <w:r>
        <w:rPr>
          <w:rFonts w:ascii="Times New Roman" w:eastAsia="Times New Roman" w:hAnsi="Times New Roman" w:cs="Times New Roman"/>
          <w:sz w:val="24"/>
          <w:szCs w:val="24"/>
        </w:rPr>
        <w:t xml:space="preserve">this knowledge. These signs could be evoked, using rituals that might be considered magical, or simple naturally occurring and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They could also be used to diagnose a particular problem, or foretell the future. Magical, apotropaic rituals could a</w:t>
      </w:r>
      <w:r>
        <w:rPr>
          <w:rFonts w:ascii="Times New Roman" w:eastAsia="Times New Roman" w:hAnsi="Times New Roman" w:cs="Times New Roman"/>
          <w:sz w:val="24"/>
          <w:szCs w:val="24"/>
        </w:rPr>
        <w:t xml:space="preserve">lso take place in order to ward off a poor forecast, as it was believed that the gods could help if the correct rituals were performed. The main differences between the three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xml:space="preserve"> occur in the methods used to discover the will of the gods. Even th</w:t>
      </w:r>
      <w:r>
        <w:rPr>
          <w:rFonts w:ascii="Times New Roman" w:eastAsia="Times New Roman" w:hAnsi="Times New Roman" w:cs="Times New Roman"/>
          <w:sz w:val="24"/>
          <w:szCs w:val="24"/>
        </w:rPr>
        <w:t>ere, there are many similarities. Each believed dreaming was a luminal state where the supernatural could send signs that could be clear, or could require interpretation, sometimes from a priest, sometimes from a book. Each used oracles, usually evoked and</w:t>
      </w:r>
      <w:r>
        <w:rPr>
          <w:rFonts w:ascii="Times New Roman" w:eastAsia="Times New Roman" w:hAnsi="Times New Roman" w:cs="Times New Roman"/>
          <w:sz w:val="24"/>
          <w:szCs w:val="24"/>
        </w:rPr>
        <w:t xml:space="preserve"> associated with a particular god, in a temple setting. Each associated the stars with gods, and watched the skies carefully, this observation developing in the Hellenistic period into the type of astrology more familiar in today's world. And each used spe</w:t>
      </w:r>
      <w:r>
        <w:rPr>
          <w:rFonts w:ascii="Times New Roman" w:eastAsia="Times New Roman" w:hAnsi="Times New Roman" w:cs="Times New Roman"/>
          <w:sz w:val="24"/>
          <w:szCs w:val="24"/>
        </w:rPr>
        <w:t xml:space="preserve">cialists across many forms of divination, although the only Greeks and the Mesopotamians used specialist seers who interpreted signs, for example, in </w:t>
      </w:r>
      <w:proofErr w:type="spellStart"/>
      <w:r>
        <w:rPr>
          <w:rFonts w:ascii="Times New Roman" w:eastAsia="Times New Roman" w:hAnsi="Times New Roman" w:cs="Times New Roman"/>
          <w:sz w:val="24"/>
          <w:szCs w:val="24"/>
        </w:rPr>
        <w:t>extispicy</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ornithomancy</w:t>
      </w:r>
      <w:proofErr w:type="spellEnd"/>
      <w:r>
        <w:rPr>
          <w:rFonts w:ascii="Times New Roman" w:eastAsia="Times New Roman" w:hAnsi="Times New Roman" w:cs="Times New Roman"/>
          <w:sz w:val="24"/>
          <w:szCs w:val="24"/>
        </w:rPr>
        <w:t>. There are other small differences also, such as the lack of complex responses i</w:t>
      </w:r>
      <w:r>
        <w:rPr>
          <w:rFonts w:ascii="Times New Roman" w:eastAsia="Times New Roman" w:hAnsi="Times New Roman" w:cs="Times New Roman"/>
          <w:sz w:val="24"/>
          <w:szCs w:val="24"/>
        </w:rPr>
        <w:t xml:space="preserve">n Egyptian oracles, who could only give yes/no responses compared to the elaborate responses given </w:t>
      </w:r>
      <w:r>
        <w:rPr>
          <w:rFonts w:ascii="Times New Roman" w:eastAsia="Times New Roman" w:hAnsi="Times New Roman" w:cs="Times New Roman"/>
          <w:sz w:val="24"/>
          <w:szCs w:val="24"/>
        </w:rPr>
        <w:lastRenderedPageBreak/>
        <w:t>by Ishtar in Mesopotami</w:t>
      </w:r>
      <w:r w:rsidR="00CA0E3D">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or Apollo or Zeus in Greece. </w:t>
      </w:r>
      <w:r>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one of the main differences is</w:t>
      </w:r>
      <w:r w:rsidR="00CA0E3D">
        <w:rPr>
          <w:rFonts w:ascii="Times New Roman" w:eastAsia="Times New Roman" w:hAnsi="Times New Roman" w:cs="Times New Roman"/>
          <w:sz w:val="24"/>
          <w:szCs w:val="24"/>
        </w:rPr>
        <w:t xml:space="preserve"> in</w:t>
      </w:r>
      <w:r>
        <w:rPr>
          <w:rFonts w:ascii="Times New Roman" w:eastAsia="Times New Roman" w:hAnsi="Times New Roman" w:cs="Times New Roman"/>
          <w:sz w:val="24"/>
          <w:szCs w:val="24"/>
        </w:rPr>
        <w:t xml:space="preserve"> Mesopotamia, and to a certain extent Egypt, treated divination in a scholarly, almost scientific manner, making observations over a number of years and keeping records. The Mesopotamian records appear to be particularly sop</w:t>
      </w:r>
      <w:r>
        <w:rPr>
          <w:rFonts w:ascii="Times New Roman" w:eastAsia="Times New Roman" w:hAnsi="Times New Roman" w:cs="Times New Roman"/>
          <w:sz w:val="24"/>
          <w:szCs w:val="24"/>
        </w:rPr>
        <w:t>histicated, following a specific format, while the Egyptian records seem to be less so, and even more fragmentary. In contrast, the Greeks had no such scholarly tradition or oracle-books to rely on, instead using experience and intuition to deduce the mess</w:t>
      </w:r>
      <w:r>
        <w:rPr>
          <w:rFonts w:ascii="Times New Roman" w:eastAsia="Times New Roman" w:hAnsi="Times New Roman" w:cs="Times New Roman"/>
          <w:sz w:val="24"/>
          <w:szCs w:val="24"/>
        </w:rPr>
        <w:t xml:space="preserve">ages of the gods, leaving itinerant seers not attached to temple open to negative accusations. Nevertheless, in general, the types of divination common to all three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xml:space="preserve"> have more similarities than differences, which is particularly true of their </w:t>
      </w:r>
      <w:r>
        <w:rPr>
          <w:rFonts w:ascii="Times New Roman" w:eastAsia="Times New Roman" w:hAnsi="Times New Roman" w:cs="Times New Roman"/>
          <w:sz w:val="24"/>
          <w:szCs w:val="24"/>
        </w:rPr>
        <w:t>central role in helping and reassuring humankind in the ancient world, this being a universal desire.</w:t>
      </w:r>
    </w:p>
    <w:p w14:paraId="23F3F2E8" w14:textId="0A6BBEAE" w:rsidR="00065168" w:rsidRDefault="00065168" w:rsidP="00CA0E3D">
      <w:pPr>
        <w:pStyle w:val="NormalWeb"/>
        <w:rPr>
          <w:u w:val="single"/>
        </w:rPr>
      </w:pPr>
      <w:r>
        <w:rPr>
          <w:u w:val="single"/>
        </w:rPr>
        <w:t>Primary Sources</w:t>
      </w:r>
    </w:p>
    <w:p w14:paraId="627ED9F2" w14:textId="0F642EEE" w:rsidR="00065168" w:rsidRPr="00065168" w:rsidRDefault="00065168" w:rsidP="00065168">
      <w:pPr>
        <w:pStyle w:val="NormalWeb"/>
        <w:spacing w:line="480" w:lineRule="auto"/>
      </w:pPr>
      <w:r w:rsidRPr="00065168">
        <w:t xml:space="preserve">Xenophon, </w:t>
      </w:r>
      <w:proofErr w:type="spellStart"/>
      <w:r w:rsidRPr="00065168">
        <w:rPr>
          <w:i/>
        </w:rPr>
        <w:t>Hiero</w:t>
      </w:r>
      <w:proofErr w:type="spellEnd"/>
      <w:r w:rsidRPr="00065168">
        <w:rPr>
          <w:i/>
        </w:rPr>
        <w:t xml:space="preserve"> Agesilaus ; Constitution of the Lacedaemonians ; Ways and Means ; Cavalry Commander ; Art of Horsemanship ; On Hunting ; Constitution of the Athenians. </w:t>
      </w:r>
      <w:r w:rsidRPr="00065168">
        <w:t xml:space="preserve">trans. </w:t>
      </w:r>
      <w:proofErr w:type="spellStart"/>
      <w:r w:rsidRPr="00065168">
        <w:t>Bowersock</w:t>
      </w:r>
      <w:proofErr w:type="spellEnd"/>
      <w:r w:rsidRPr="00065168">
        <w:t xml:space="preserve">, Marchant, </w:t>
      </w:r>
      <w:proofErr w:type="spellStart"/>
      <w:r w:rsidRPr="00065168">
        <w:t>Bowersock</w:t>
      </w:r>
      <w:proofErr w:type="spellEnd"/>
      <w:r w:rsidRPr="00065168">
        <w:t>, G. W., and Marchant, E. C. Loeb Classical Library; 183. (Cambridge, MA: Harvard University Press, 1925)</w:t>
      </w:r>
    </w:p>
    <w:p w14:paraId="107E072E" w14:textId="2B98E773" w:rsidR="00065168" w:rsidRPr="00065168" w:rsidRDefault="00065168" w:rsidP="00065168">
      <w:pPr>
        <w:pStyle w:val="NormalWeb"/>
        <w:spacing w:line="480" w:lineRule="auto"/>
        <w:rPr>
          <w:u w:val="single"/>
        </w:rPr>
      </w:pPr>
      <w:r>
        <w:rPr>
          <w:u w:val="single"/>
        </w:rPr>
        <w:t>References</w:t>
      </w:r>
    </w:p>
    <w:p w14:paraId="7E04AC94" w14:textId="051EFA89" w:rsidR="00CA0E3D" w:rsidRPr="00065168" w:rsidRDefault="00CA0E3D" w:rsidP="00065168">
      <w:pPr>
        <w:pStyle w:val="NormalWeb"/>
        <w:spacing w:line="480" w:lineRule="auto"/>
      </w:pPr>
      <w:r w:rsidRPr="00065168">
        <w:t xml:space="preserve">Barton, T. </w:t>
      </w:r>
      <w:r w:rsidRPr="00065168">
        <w:rPr>
          <w:i/>
          <w:iCs/>
        </w:rPr>
        <w:t xml:space="preserve"> Ancient astrology</w:t>
      </w:r>
      <w:r w:rsidRPr="00065168">
        <w:t xml:space="preserve"> (London; New York : Routledge, 1994)  </w:t>
      </w:r>
    </w:p>
    <w:p w14:paraId="145D92D2" w14:textId="77777777" w:rsidR="00CA0E3D" w:rsidRPr="00065168" w:rsidRDefault="00CA0E3D" w:rsidP="00065168">
      <w:pPr>
        <w:pStyle w:val="NormalWeb"/>
        <w:spacing w:line="480" w:lineRule="auto"/>
      </w:pPr>
      <w:proofErr w:type="spellStart"/>
      <w:r w:rsidRPr="00065168">
        <w:t>Beerden</w:t>
      </w:r>
      <w:proofErr w:type="spellEnd"/>
      <w:r w:rsidRPr="00065168">
        <w:t>, K.</w:t>
      </w:r>
      <w:r w:rsidRPr="00065168">
        <w:rPr>
          <w:i/>
          <w:iCs/>
        </w:rPr>
        <w:t xml:space="preserve"> Worlds full of signs : ancient Greek divination in context</w:t>
      </w:r>
      <w:r w:rsidRPr="00065168">
        <w:t xml:space="preserve"> (Leiden; Boston : Brill, 2013) </w:t>
      </w:r>
    </w:p>
    <w:p w14:paraId="64D63FCE" w14:textId="77777777" w:rsidR="00CA0E3D" w:rsidRPr="00065168" w:rsidRDefault="00CA0E3D" w:rsidP="00065168">
      <w:pPr>
        <w:pStyle w:val="NormalWeb"/>
        <w:spacing w:line="480" w:lineRule="auto"/>
      </w:pPr>
      <w:r w:rsidRPr="00065168">
        <w:t>Flower, M.A.</w:t>
      </w:r>
      <w:r w:rsidRPr="00065168">
        <w:rPr>
          <w:i/>
          <w:iCs/>
        </w:rPr>
        <w:t xml:space="preserve"> The seer in ancient Greece</w:t>
      </w:r>
      <w:r w:rsidRPr="00065168">
        <w:t xml:space="preserve"> (Berkeley: Berkeley : University of California Press, 2008) </w:t>
      </w:r>
    </w:p>
    <w:p w14:paraId="0A5AA08D" w14:textId="77777777" w:rsidR="00CA0E3D" w:rsidRPr="00065168" w:rsidRDefault="00CA0E3D" w:rsidP="00065168">
      <w:pPr>
        <w:pStyle w:val="NormalWeb"/>
        <w:spacing w:line="480" w:lineRule="auto"/>
      </w:pPr>
      <w:r w:rsidRPr="00065168">
        <w:lastRenderedPageBreak/>
        <w:t>Greaves, A.M.</w:t>
      </w:r>
      <w:r w:rsidRPr="00065168">
        <w:rPr>
          <w:i/>
          <w:iCs/>
        </w:rPr>
        <w:t xml:space="preserve"> </w:t>
      </w:r>
      <w:r w:rsidRPr="00065168">
        <w:t xml:space="preserve">'Divination at Archaic </w:t>
      </w:r>
      <w:proofErr w:type="spellStart"/>
      <w:r w:rsidRPr="00065168">
        <w:t>Branchidai-Didyma</w:t>
      </w:r>
      <w:proofErr w:type="spellEnd"/>
      <w:r w:rsidRPr="00065168">
        <w:t>: A Critical Review</w:t>
      </w:r>
      <w:r w:rsidRPr="00065168">
        <w:rPr>
          <w:i/>
          <w:iCs/>
        </w:rPr>
        <w:t>'</w:t>
      </w:r>
      <w:r w:rsidRPr="00065168">
        <w:t xml:space="preserve">, </w:t>
      </w:r>
      <w:r w:rsidRPr="00065168">
        <w:rPr>
          <w:i/>
          <w:iCs/>
        </w:rPr>
        <w:t>Hesperia</w:t>
      </w:r>
      <w:r w:rsidRPr="00065168">
        <w:t xml:space="preserve">, 81 (2012) 177-207 </w:t>
      </w:r>
    </w:p>
    <w:p w14:paraId="51CDE51D" w14:textId="77777777" w:rsidR="00CA0E3D" w:rsidRPr="00065168" w:rsidRDefault="00CA0E3D" w:rsidP="00065168">
      <w:pPr>
        <w:pStyle w:val="NormalWeb"/>
        <w:spacing w:line="480" w:lineRule="auto"/>
      </w:pPr>
      <w:r w:rsidRPr="00065168">
        <w:t xml:space="preserve">Hughes, J.D. </w:t>
      </w:r>
      <w:r w:rsidRPr="00065168">
        <w:rPr>
          <w:i/>
          <w:iCs/>
        </w:rPr>
        <w:t xml:space="preserve"> Dream interpretation in ancient civilizations</w:t>
      </w:r>
      <w:r w:rsidRPr="00065168">
        <w:t xml:space="preserve"> (Dordrecht; Kluwer Academic/Human Sciences Press, 2000) </w:t>
      </w:r>
    </w:p>
    <w:p w14:paraId="62DB6399" w14:textId="77777777" w:rsidR="00CA0E3D" w:rsidRPr="00065168" w:rsidRDefault="00CA0E3D" w:rsidP="00065168">
      <w:pPr>
        <w:pStyle w:val="NormalWeb"/>
        <w:spacing w:line="480" w:lineRule="auto"/>
      </w:pPr>
      <w:proofErr w:type="spellStart"/>
      <w:r w:rsidRPr="00065168">
        <w:t>Nissinen</w:t>
      </w:r>
      <w:proofErr w:type="spellEnd"/>
      <w:r w:rsidRPr="00065168">
        <w:t>, M.</w:t>
      </w:r>
      <w:r w:rsidRPr="00065168">
        <w:rPr>
          <w:i/>
          <w:iCs/>
        </w:rPr>
        <w:t xml:space="preserve"> Ancient Prophecy</w:t>
      </w:r>
      <w:r w:rsidRPr="00065168">
        <w:t xml:space="preserve"> (Oxford: Oxford University Press, 2017) </w:t>
      </w:r>
    </w:p>
    <w:p w14:paraId="1588CB29" w14:textId="77777777" w:rsidR="00CA0E3D" w:rsidRPr="00065168" w:rsidRDefault="00CA0E3D" w:rsidP="00065168">
      <w:pPr>
        <w:pStyle w:val="NormalWeb"/>
        <w:spacing w:line="480" w:lineRule="auto"/>
      </w:pPr>
      <w:r w:rsidRPr="00065168">
        <w:t>Quirke, S.</w:t>
      </w:r>
      <w:r w:rsidRPr="00065168">
        <w:rPr>
          <w:i/>
          <w:iCs/>
        </w:rPr>
        <w:t xml:space="preserve"> Exploring religion in ancient Egypt</w:t>
      </w:r>
      <w:r w:rsidRPr="00065168">
        <w:t xml:space="preserve"> (Chichester, West Sussex : John Wiley &amp; Sons Inc, 2015) </w:t>
      </w:r>
    </w:p>
    <w:p w14:paraId="3BE6B0EC" w14:textId="77777777" w:rsidR="00CA0E3D" w:rsidRPr="00065168" w:rsidRDefault="00CA0E3D" w:rsidP="00065168">
      <w:pPr>
        <w:pStyle w:val="NormalWeb"/>
        <w:spacing w:line="480" w:lineRule="auto"/>
      </w:pPr>
      <w:r w:rsidRPr="00065168">
        <w:t>Reiner, E.</w:t>
      </w:r>
      <w:r w:rsidRPr="00065168">
        <w:rPr>
          <w:i/>
          <w:iCs/>
        </w:rPr>
        <w:t xml:space="preserve"> </w:t>
      </w:r>
      <w:r w:rsidRPr="00065168">
        <w:t xml:space="preserve">'Fortune-telling in Mesopotamia', </w:t>
      </w:r>
      <w:r w:rsidRPr="00065168">
        <w:rPr>
          <w:i/>
          <w:iCs/>
        </w:rPr>
        <w:t>Journal of Near Eastern Stud</w:t>
      </w:r>
      <w:r w:rsidRPr="00065168">
        <w:t>ies, 19 (1960) 23-36</w:t>
      </w:r>
    </w:p>
    <w:p w14:paraId="1C1E1D16" w14:textId="77777777" w:rsidR="00CA0E3D" w:rsidRPr="00065168" w:rsidRDefault="00CA0E3D" w:rsidP="00065168">
      <w:pPr>
        <w:pStyle w:val="NormalWeb"/>
        <w:spacing w:line="480" w:lineRule="auto"/>
      </w:pPr>
      <w:proofErr w:type="spellStart"/>
      <w:r w:rsidRPr="00065168">
        <w:t>Rochberg</w:t>
      </w:r>
      <w:proofErr w:type="spellEnd"/>
      <w:r w:rsidRPr="00065168">
        <w:t>, F.</w:t>
      </w:r>
      <w:r w:rsidRPr="00065168">
        <w:rPr>
          <w:i/>
          <w:iCs/>
        </w:rPr>
        <w:t xml:space="preserve"> The heavenly writing : divination, horoscopy, and astronomy in Mesopotamian culture</w:t>
      </w:r>
      <w:r w:rsidRPr="00065168">
        <w:t xml:space="preserve"> (Cambridge: Cambridge : Cambridge University Press, 2004) </w:t>
      </w:r>
    </w:p>
    <w:p w14:paraId="4A4E962E" w14:textId="77777777" w:rsidR="00CA0E3D" w:rsidRPr="00065168" w:rsidRDefault="00CA0E3D" w:rsidP="00CA0E3D">
      <w:pPr>
        <w:pStyle w:val="NormalWeb"/>
      </w:pPr>
      <w:r w:rsidRPr="00065168">
        <w:t>---</w:t>
      </w:r>
      <w:r w:rsidRPr="00065168">
        <w:rPr>
          <w:i/>
          <w:iCs/>
        </w:rPr>
        <w:t>In the path of the Moon Babylonian celestial divination and its legacy</w:t>
      </w:r>
      <w:r w:rsidRPr="00065168">
        <w:t xml:space="preserve"> (Leiden; Boston : Brill, 2010) </w:t>
      </w:r>
    </w:p>
    <w:p w14:paraId="43E43D99" w14:textId="77777777" w:rsidR="00CA0E3D" w:rsidRPr="00065168" w:rsidRDefault="00CA0E3D" w:rsidP="00CA0E3D">
      <w:pPr>
        <w:pStyle w:val="NormalWeb"/>
      </w:pPr>
      <w:r w:rsidRPr="00065168">
        <w:t>Teeter, E.</w:t>
      </w:r>
      <w:r w:rsidRPr="00065168">
        <w:rPr>
          <w:i/>
          <w:iCs/>
        </w:rPr>
        <w:t xml:space="preserve"> Religion and ritual in ancient Egypt</w:t>
      </w:r>
      <w:r w:rsidRPr="00065168">
        <w:t xml:space="preserve"> (Cambridge; New York : Cambridge University Press, 2011) </w:t>
      </w:r>
    </w:p>
    <w:p w14:paraId="02547B23" w14:textId="261BFD16" w:rsidR="00CA0E3D" w:rsidRPr="00065168" w:rsidRDefault="00CA0E3D" w:rsidP="00CA0E3D">
      <w:pPr>
        <w:spacing w:line="480" w:lineRule="auto"/>
        <w:jc w:val="both"/>
        <w:rPr>
          <w:rFonts w:ascii="Times New Roman" w:eastAsia="Times New Roman" w:hAnsi="Times New Roman" w:cs="Times New Roman"/>
          <w:sz w:val="24"/>
          <w:szCs w:val="24"/>
        </w:rPr>
      </w:pPr>
      <w:r w:rsidRPr="00065168">
        <w:rPr>
          <w:rFonts w:ascii="Times New Roman" w:hAnsi="Times New Roman" w:cs="Times New Roman"/>
          <w:sz w:val="24"/>
          <w:szCs w:val="24"/>
        </w:rPr>
        <w:t xml:space="preserve">Zinn, K. </w:t>
      </w:r>
      <w:r w:rsidRPr="00065168">
        <w:rPr>
          <w:rFonts w:ascii="Times New Roman" w:hAnsi="Times New Roman" w:cs="Times New Roman"/>
          <w:i/>
          <w:iCs/>
          <w:sz w:val="24"/>
          <w:szCs w:val="24"/>
        </w:rPr>
        <w:t>Magic, Pharaonic Egypt</w:t>
      </w:r>
      <w:r w:rsidRPr="00065168">
        <w:rPr>
          <w:rFonts w:ascii="Times New Roman" w:hAnsi="Times New Roman" w:cs="Times New Roman"/>
          <w:sz w:val="24"/>
          <w:szCs w:val="24"/>
        </w:rPr>
        <w:t xml:space="preserve"> (Oxford; Blackwell Publishing Lt, 2012)</w:t>
      </w:r>
    </w:p>
    <w:sectPr w:rsidR="00CA0E3D" w:rsidRPr="00065168">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78C7B" w14:textId="77777777" w:rsidR="00E06B3B" w:rsidRDefault="00E06B3B">
      <w:pPr>
        <w:spacing w:line="240" w:lineRule="auto"/>
      </w:pPr>
      <w:r>
        <w:separator/>
      </w:r>
    </w:p>
  </w:endnote>
  <w:endnote w:type="continuationSeparator" w:id="0">
    <w:p w14:paraId="6B0B769D" w14:textId="77777777" w:rsidR="00E06B3B" w:rsidRDefault="00E06B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19" w14:textId="77777777" w:rsidR="00230140" w:rsidRDefault="002301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CA56A0" w14:textId="77777777" w:rsidR="00E06B3B" w:rsidRDefault="00E06B3B">
      <w:pPr>
        <w:spacing w:line="240" w:lineRule="auto"/>
      </w:pPr>
      <w:r>
        <w:separator/>
      </w:r>
    </w:p>
  </w:footnote>
  <w:footnote w:type="continuationSeparator" w:id="0">
    <w:p w14:paraId="1FF74C2A" w14:textId="77777777" w:rsidR="00E06B3B" w:rsidRDefault="00E06B3B">
      <w:pPr>
        <w:spacing w:line="240" w:lineRule="auto"/>
      </w:pPr>
      <w:r>
        <w:continuationSeparator/>
      </w:r>
    </w:p>
  </w:footnote>
  <w:footnote w:id="1">
    <w:p w14:paraId="00000018" w14:textId="77777777" w:rsidR="00230140" w:rsidRDefault="00E06B3B">
      <w:pPr>
        <w:spacing w:line="240" w:lineRule="auto"/>
        <w:rPr>
          <w:sz w:val="20"/>
          <w:szCs w:val="20"/>
        </w:rPr>
      </w:pPr>
      <w:r>
        <w:rPr>
          <w:vertAlign w:val="superscript"/>
        </w:rPr>
        <w:footnoteRef/>
      </w:r>
      <w:r>
        <w:rPr>
          <w:sz w:val="20"/>
          <w:szCs w:val="20"/>
        </w:rPr>
        <w:t xml:space="preserve"> Kim </w:t>
      </w:r>
      <w:proofErr w:type="spellStart"/>
      <w:r>
        <w:rPr>
          <w:sz w:val="20"/>
          <w:szCs w:val="20"/>
        </w:rPr>
        <w:t>Beerden</w:t>
      </w:r>
      <w:proofErr w:type="spellEnd"/>
      <w:r>
        <w:rPr>
          <w:sz w:val="20"/>
          <w:szCs w:val="20"/>
        </w:rPr>
        <w:t xml:space="preserve">, </w:t>
      </w:r>
      <w:r>
        <w:rPr>
          <w:i/>
          <w:sz w:val="20"/>
          <w:szCs w:val="20"/>
        </w:rPr>
        <w:t xml:space="preserve">Worlds Full of Signs : Ancient Greek Divination in Context </w:t>
      </w:r>
      <w:r>
        <w:rPr>
          <w:sz w:val="20"/>
          <w:szCs w:val="20"/>
        </w:rPr>
        <w:t>(Leiden, Boston: Brill 2013) p. 20</w:t>
      </w:r>
    </w:p>
  </w:footnote>
  <w:footnote w:id="2">
    <w:p w14:paraId="00000017" w14:textId="77777777" w:rsidR="00230140" w:rsidRDefault="00E06B3B">
      <w:pPr>
        <w:spacing w:line="240" w:lineRule="auto"/>
        <w:rPr>
          <w:sz w:val="20"/>
          <w:szCs w:val="20"/>
        </w:rPr>
      </w:pPr>
      <w:r>
        <w:rPr>
          <w:vertAlign w:val="superscript"/>
        </w:rPr>
        <w:footnoteRef/>
      </w:r>
      <w:r>
        <w:rPr>
          <w:sz w:val="20"/>
          <w:szCs w:val="20"/>
        </w:rPr>
        <w:t xml:space="preserve"> Michael A. Flower, </w:t>
      </w:r>
      <w:r>
        <w:rPr>
          <w:i/>
          <w:sz w:val="20"/>
          <w:szCs w:val="20"/>
        </w:rPr>
        <w:t>The Seer in Ancient Greece</w:t>
      </w:r>
      <w:r>
        <w:rPr>
          <w:sz w:val="20"/>
          <w:szCs w:val="20"/>
        </w:rPr>
        <w:t xml:space="preserve"> (</w:t>
      </w:r>
      <w:proofErr w:type="spellStart"/>
      <w:r>
        <w:rPr>
          <w:sz w:val="20"/>
          <w:szCs w:val="20"/>
        </w:rPr>
        <w:t>Berkeley:University</w:t>
      </w:r>
      <w:proofErr w:type="spellEnd"/>
      <w:r>
        <w:rPr>
          <w:sz w:val="20"/>
          <w:szCs w:val="20"/>
        </w:rPr>
        <w:t xml:space="preserve"> of California Press, 2008)[hereafter Flower, </w:t>
      </w:r>
      <w:r>
        <w:rPr>
          <w:i/>
          <w:sz w:val="20"/>
          <w:szCs w:val="20"/>
        </w:rPr>
        <w:t>Seer</w:t>
      </w:r>
      <w:r>
        <w:rPr>
          <w:sz w:val="20"/>
          <w:szCs w:val="20"/>
        </w:rPr>
        <w:t>] p. 72</w:t>
      </w:r>
    </w:p>
  </w:footnote>
  <w:footnote w:id="3">
    <w:p w14:paraId="0000001A" w14:textId="0053C013" w:rsidR="00230140" w:rsidRDefault="00E06B3B">
      <w:pPr>
        <w:spacing w:line="240" w:lineRule="auto"/>
        <w:rPr>
          <w:sz w:val="20"/>
          <w:szCs w:val="20"/>
        </w:rPr>
      </w:pPr>
      <w:r>
        <w:rPr>
          <w:vertAlign w:val="superscript"/>
        </w:rPr>
        <w:footnoteRef/>
      </w:r>
      <w:r>
        <w:rPr>
          <w:sz w:val="20"/>
          <w:szCs w:val="20"/>
        </w:rPr>
        <w:t xml:space="preserve"> Katharine Zinn, “Magic, Pharaonic Egypt.” </w:t>
      </w:r>
      <w:r>
        <w:rPr>
          <w:i/>
          <w:sz w:val="20"/>
          <w:szCs w:val="20"/>
        </w:rPr>
        <w:t>Magic, Pharaonic Egypt,</w:t>
      </w:r>
      <w:r>
        <w:rPr>
          <w:sz w:val="20"/>
          <w:szCs w:val="20"/>
        </w:rPr>
        <w:t xml:space="preserve"> </w:t>
      </w:r>
      <w:r>
        <w:rPr>
          <w:sz w:val="20"/>
          <w:szCs w:val="20"/>
        </w:rPr>
        <w:t>(</w:t>
      </w:r>
      <w:r w:rsidR="00CA0E3D">
        <w:rPr>
          <w:sz w:val="20"/>
          <w:szCs w:val="20"/>
        </w:rPr>
        <w:t xml:space="preserve">Oxford; </w:t>
      </w:r>
      <w:r>
        <w:rPr>
          <w:sz w:val="20"/>
          <w:szCs w:val="20"/>
        </w:rPr>
        <w:t>Blackwell Publishing Lt, 2012) p. 1</w:t>
      </w:r>
    </w:p>
  </w:footnote>
  <w:footnote w:id="4">
    <w:p w14:paraId="0000001B" w14:textId="77777777" w:rsidR="00230140" w:rsidRDefault="00E06B3B">
      <w:pPr>
        <w:spacing w:line="240" w:lineRule="auto"/>
        <w:rPr>
          <w:sz w:val="20"/>
          <w:szCs w:val="20"/>
        </w:rPr>
      </w:pPr>
      <w:r>
        <w:rPr>
          <w:vertAlign w:val="superscript"/>
        </w:rPr>
        <w:footnoteRef/>
      </w:r>
      <w:r>
        <w:rPr>
          <w:sz w:val="20"/>
          <w:szCs w:val="20"/>
        </w:rPr>
        <w:t xml:space="preserve"> Flower, </w:t>
      </w:r>
      <w:r>
        <w:rPr>
          <w:i/>
          <w:sz w:val="20"/>
          <w:szCs w:val="20"/>
        </w:rPr>
        <w:t xml:space="preserve">Seer, </w:t>
      </w:r>
      <w:r>
        <w:rPr>
          <w:sz w:val="20"/>
          <w:szCs w:val="20"/>
        </w:rPr>
        <w:t>p. 66</w:t>
      </w:r>
    </w:p>
  </w:footnote>
  <w:footnote w:id="5">
    <w:p w14:paraId="0000001C" w14:textId="77777777" w:rsidR="00230140" w:rsidRDefault="00E06B3B">
      <w:pPr>
        <w:spacing w:line="240" w:lineRule="auto"/>
        <w:rPr>
          <w:sz w:val="20"/>
          <w:szCs w:val="20"/>
        </w:rPr>
      </w:pPr>
      <w:r>
        <w:rPr>
          <w:vertAlign w:val="superscript"/>
        </w:rPr>
        <w:footnoteRef/>
      </w:r>
      <w:r>
        <w:rPr>
          <w:sz w:val="20"/>
          <w:szCs w:val="20"/>
        </w:rPr>
        <w:t xml:space="preserve"> Emily Teeter, </w:t>
      </w:r>
      <w:r>
        <w:rPr>
          <w:i/>
          <w:sz w:val="20"/>
          <w:szCs w:val="20"/>
        </w:rPr>
        <w:t>Religion and Ritual in Ancient Egypt (</w:t>
      </w:r>
      <w:r>
        <w:rPr>
          <w:sz w:val="20"/>
          <w:szCs w:val="20"/>
        </w:rPr>
        <w:t xml:space="preserve">Cambridge; New York: Cambridge University Press, 2011) [hereafter Teeter, </w:t>
      </w:r>
      <w:r>
        <w:rPr>
          <w:i/>
          <w:sz w:val="20"/>
          <w:szCs w:val="20"/>
        </w:rPr>
        <w:t>Religion and Ritual</w:t>
      </w:r>
      <w:r>
        <w:rPr>
          <w:sz w:val="20"/>
          <w:szCs w:val="20"/>
        </w:rPr>
        <w:t>] pp.108-9</w:t>
      </w:r>
    </w:p>
  </w:footnote>
  <w:footnote w:id="6">
    <w:p w14:paraId="0000001D"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Martti</w:t>
      </w:r>
      <w:proofErr w:type="spellEnd"/>
      <w:r>
        <w:rPr>
          <w:sz w:val="20"/>
          <w:szCs w:val="20"/>
        </w:rPr>
        <w:t xml:space="preserve"> </w:t>
      </w:r>
      <w:proofErr w:type="spellStart"/>
      <w:r>
        <w:rPr>
          <w:sz w:val="20"/>
          <w:szCs w:val="20"/>
        </w:rPr>
        <w:t>Nissinen</w:t>
      </w:r>
      <w:proofErr w:type="spellEnd"/>
      <w:r>
        <w:rPr>
          <w:sz w:val="20"/>
          <w:szCs w:val="20"/>
        </w:rPr>
        <w:t xml:space="preserve">, </w:t>
      </w:r>
      <w:r>
        <w:rPr>
          <w:i/>
          <w:sz w:val="20"/>
          <w:szCs w:val="20"/>
        </w:rPr>
        <w:t>Ancient Prophecy</w:t>
      </w:r>
      <w:r>
        <w:rPr>
          <w:sz w:val="20"/>
          <w:szCs w:val="20"/>
        </w:rPr>
        <w:t xml:space="preserve"> (Ox</w:t>
      </w:r>
      <w:r>
        <w:rPr>
          <w:sz w:val="20"/>
          <w:szCs w:val="20"/>
        </w:rPr>
        <w:t>ford: Oxford University Press, 2017),  p. 227</w:t>
      </w:r>
    </w:p>
  </w:footnote>
  <w:footnote w:id="7">
    <w:p w14:paraId="0000001E" w14:textId="77777777" w:rsidR="00230140" w:rsidRDefault="00E06B3B">
      <w:pPr>
        <w:spacing w:line="240" w:lineRule="auto"/>
        <w:rPr>
          <w:sz w:val="20"/>
          <w:szCs w:val="20"/>
        </w:rPr>
      </w:pPr>
      <w:r>
        <w:rPr>
          <w:vertAlign w:val="superscript"/>
        </w:rPr>
        <w:footnoteRef/>
      </w:r>
      <w:r>
        <w:rPr>
          <w:sz w:val="20"/>
          <w:szCs w:val="20"/>
        </w:rPr>
        <w:t xml:space="preserve"> Teeter, </w:t>
      </w:r>
      <w:r>
        <w:rPr>
          <w:i/>
          <w:sz w:val="20"/>
          <w:szCs w:val="20"/>
        </w:rPr>
        <w:t xml:space="preserve">Religion and Ritual, </w:t>
      </w:r>
      <w:r>
        <w:rPr>
          <w:sz w:val="20"/>
          <w:szCs w:val="20"/>
        </w:rPr>
        <w:t>p. 111</w:t>
      </w:r>
    </w:p>
  </w:footnote>
  <w:footnote w:id="8">
    <w:p w14:paraId="0000001F" w14:textId="77777777" w:rsidR="00230140" w:rsidRDefault="00E06B3B">
      <w:pPr>
        <w:spacing w:line="240" w:lineRule="auto"/>
        <w:rPr>
          <w:sz w:val="20"/>
          <w:szCs w:val="20"/>
        </w:rPr>
      </w:pPr>
      <w:r>
        <w:rPr>
          <w:vertAlign w:val="superscript"/>
        </w:rPr>
        <w:footnoteRef/>
      </w:r>
      <w:r>
        <w:rPr>
          <w:sz w:val="20"/>
          <w:szCs w:val="20"/>
        </w:rPr>
        <w:t xml:space="preserve"> Quirke, </w:t>
      </w:r>
      <w:r>
        <w:rPr>
          <w:i/>
          <w:sz w:val="20"/>
          <w:szCs w:val="20"/>
        </w:rPr>
        <w:t>Exploring Religion</w:t>
      </w:r>
      <w:r>
        <w:rPr>
          <w:sz w:val="20"/>
          <w:szCs w:val="20"/>
        </w:rPr>
        <w:t xml:space="preserve"> p. 196</w:t>
      </w:r>
    </w:p>
  </w:footnote>
  <w:footnote w:id="9">
    <w:p w14:paraId="00000020" w14:textId="77777777" w:rsidR="00230140" w:rsidRDefault="00E06B3B">
      <w:pPr>
        <w:spacing w:line="240" w:lineRule="auto"/>
        <w:rPr>
          <w:sz w:val="20"/>
          <w:szCs w:val="20"/>
        </w:rPr>
      </w:pPr>
      <w:r>
        <w:rPr>
          <w:vertAlign w:val="superscript"/>
        </w:rPr>
        <w:footnoteRef/>
      </w:r>
      <w:r>
        <w:rPr>
          <w:sz w:val="20"/>
          <w:szCs w:val="20"/>
        </w:rPr>
        <w:t xml:space="preserve"> Xenophon, </w:t>
      </w:r>
      <w:proofErr w:type="spellStart"/>
      <w:r>
        <w:rPr>
          <w:i/>
          <w:sz w:val="20"/>
          <w:szCs w:val="20"/>
        </w:rPr>
        <w:t>Hiero</w:t>
      </w:r>
      <w:proofErr w:type="spellEnd"/>
      <w:r>
        <w:rPr>
          <w:i/>
          <w:sz w:val="20"/>
          <w:szCs w:val="20"/>
        </w:rPr>
        <w:t xml:space="preserve"> Agesilaus ; Constitution of the Lacedaemonians ; Ways and Means ; Cavalry Commander ; Art of Horsemanship ; On Hunting</w:t>
      </w:r>
      <w:r>
        <w:rPr>
          <w:i/>
          <w:sz w:val="20"/>
          <w:szCs w:val="20"/>
        </w:rPr>
        <w:t xml:space="preserve"> ; Constitution of the Athenians. </w:t>
      </w:r>
      <w:r>
        <w:rPr>
          <w:sz w:val="20"/>
          <w:szCs w:val="20"/>
        </w:rPr>
        <w:t xml:space="preserve">trans. </w:t>
      </w:r>
      <w:proofErr w:type="spellStart"/>
      <w:r>
        <w:rPr>
          <w:sz w:val="20"/>
          <w:szCs w:val="20"/>
        </w:rPr>
        <w:t>Bowersock</w:t>
      </w:r>
      <w:proofErr w:type="spellEnd"/>
      <w:r>
        <w:rPr>
          <w:sz w:val="20"/>
          <w:szCs w:val="20"/>
        </w:rPr>
        <w:t xml:space="preserve">, Marchant, </w:t>
      </w:r>
      <w:proofErr w:type="spellStart"/>
      <w:r>
        <w:rPr>
          <w:sz w:val="20"/>
          <w:szCs w:val="20"/>
        </w:rPr>
        <w:t>Bowersock</w:t>
      </w:r>
      <w:proofErr w:type="spellEnd"/>
      <w:r>
        <w:rPr>
          <w:sz w:val="20"/>
          <w:szCs w:val="20"/>
        </w:rPr>
        <w:t xml:space="preserve">, G. W., and Marchant, E. C. Loeb Classical Library; 183. (Cambridge, MA: Harvard University Press, 1925) </w:t>
      </w:r>
      <w:proofErr w:type="spellStart"/>
      <w:r>
        <w:rPr>
          <w:sz w:val="20"/>
          <w:szCs w:val="20"/>
        </w:rPr>
        <w:t>XII.ii</w:t>
      </w:r>
      <w:proofErr w:type="spellEnd"/>
      <w:r>
        <w:rPr>
          <w:sz w:val="20"/>
          <w:szCs w:val="20"/>
        </w:rPr>
        <w:t>-v, pp. 179-81</w:t>
      </w:r>
    </w:p>
  </w:footnote>
  <w:footnote w:id="10">
    <w:p w14:paraId="00000021" w14:textId="77777777" w:rsidR="00230140" w:rsidRDefault="00E06B3B">
      <w:pPr>
        <w:spacing w:line="240" w:lineRule="auto"/>
        <w:rPr>
          <w:sz w:val="20"/>
          <w:szCs w:val="20"/>
        </w:rPr>
      </w:pPr>
      <w:r>
        <w:rPr>
          <w:vertAlign w:val="superscript"/>
        </w:rPr>
        <w:footnoteRef/>
      </w:r>
      <w:r>
        <w:rPr>
          <w:sz w:val="20"/>
          <w:szCs w:val="20"/>
        </w:rPr>
        <w:t xml:space="preserve"> Francesca </w:t>
      </w:r>
      <w:proofErr w:type="spellStart"/>
      <w:r>
        <w:rPr>
          <w:sz w:val="20"/>
          <w:szCs w:val="20"/>
        </w:rPr>
        <w:t>Rochberg</w:t>
      </w:r>
      <w:proofErr w:type="spellEnd"/>
      <w:r>
        <w:rPr>
          <w:sz w:val="20"/>
          <w:szCs w:val="20"/>
        </w:rPr>
        <w:t xml:space="preserve">, </w:t>
      </w:r>
      <w:r>
        <w:rPr>
          <w:i/>
          <w:sz w:val="20"/>
          <w:szCs w:val="20"/>
        </w:rPr>
        <w:t xml:space="preserve">In the Path of the Moon: Babylonian </w:t>
      </w:r>
      <w:r>
        <w:rPr>
          <w:i/>
          <w:sz w:val="20"/>
          <w:szCs w:val="20"/>
        </w:rPr>
        <w:t xml:space="preserve">Celestial Divination and Its Legacy </w:t>
      </w:r>
      <w:r>
        <w:rPr>
          <w:sz w:val="20"/>
          <w:szCs w:val="20"/>
        </w:rPr>
        <w:t xml:space="preserve">(Leiden;  Boston: Brill, 2010), [hereafter </w:t>
      </w:r>
      <w:proofErr w:type="spellStart"/>
      <w:r>
        <w:rPr>
          <w:sz w:val="20"/>
          <w:szCs w:val="20"/>
        </w:rPr>
        <w:t>Rochberg</w:t>
      </w:r>
      <w:proofErr w:type="spellEnd"/>
      <w:r>
        <w:rPr>
          <w:sz w:val="20"/>
          <w:szCs w:val="20"/>
        </w:rPr>
        <w:t xml:space="preserve">, </w:t>
      </w:r>
      <w:r>
        <w:rPr>
          <w:i/>
          <w:sz w:val="20"/>
          <w:szCs w:val="20"/>
        </w:rPr>
        <w:t>Moon</w:t>
      </w:r>
      <w:r>
        <w:rPr>
          <w:sz w:val="20"/>
          <w:szCs w:val="20"/>
        </w:rPr>
        <w:t xml:space="preserve">] p. 27 </w:t>
      </w:r>
    </w:p>
  </w:footnote>
  <w:footnote w:id="11">
    <w:p w14:paraId="00000022"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Moon</w:t>
      </w:r>
      <w:r>
        <w:rPr>
          <w:sz w:val="20"/>
          <w:szCs w:val="20"/>
        </w:rPr>
        <w:t>,  p. 27</w:t>
      </w:r>
    </w:p>
  </w:footnote>
  <w:footnote w:id="12">
    <w:p w14:paraId="00000023" w14:textId="77777777" w:rsidR="00230140" w:rsidRDefault="00E06B3B">
      <w:pPr>
        <w:spacing w:line="240" w:lineRule="auto"/>
        <w:rPr>
          <w:sz w:val="20"/>
          <w:szCs w:val="20"/>
        </w:rPr>
      </w:pPr>
      <w:r>
        <w:rPr>
          <w:vertAlign w:val="superscript"/>
        </w:rPr>
        <w:footnoteRef/>
      </w:r>
      <w:r>
        <w:rPr>
          <w:sz w:val="20"/>
          <w:szCs w:val="20"/>
        </w:rPr>
        <w:t xml:space="preserve">  In Francesca </w:t>
      </w:r>
      <w:proofErr w:type="spellStart"/>
      <w:r>
        <w:rPr>
          <w:sz w:val="20"/>
          <w:szCs w:val="20"/>
        </w:rPr>
        <w:t>Rochberg</w:t>
      </w:r>
      <w:proofErr w:type="spellEnd"/>
      <w:r>
        <w:rPr>
          <w:sz w:val="20"/>
          <w:szCs w:val="20"/>
        </w:rPr>
        <w:t>,</w:t>
      </w:r>
      <w:r>
        <w:rPr>
          <w:i/>
          <w:sz w:val="20"/>
          <w:szCs w:val="20"/>
        </w:rPr>
        <w:t xml:space="preserve"> The Heavenly Writing : Divination, Horoscopy, and Astronomy in Mesopotamian Culture</w:t>
      </w:r>
      <w:r>
        <w:rPr>
          <w:sz w:val="20"/>
          <w:szCs w:val="20"/>
        </w:rPr>
        <w:t xml:space="preserve"> (Cambridge: Cambrid</w:t>
      </w:r>
      <w:r>
        <w:rPr>
          <w:sz w:val="20"/>
          <w:szCs w:val="20"/>
        </w:rPr>
        <w:t xml:space="preserve">ge University Press, 2004) [hereafter </w:t>
      </w:r>
      <w:proofErr w:type="spellStart"/>
      <w:r>
        <w:rPr>
          <w:sz w:val="20"/>
          <w:szCs w:val="20"/>
        </w:rPr>
        <w:t>Rochberg</w:t>
      </w:r>
      <w:proofErr w:type="spellEnd"/>
      <w:r>
        <w:rPr>
          <w:sz w:val="20"/>
          <w:szCs w:val="20"/>
        </w:rPr>
        <w:t xml:space="preserve">, </w:t>
      </w:r>
      <w:r>
        <w:rPr>
          <w:i/>
          <w:sz w:val="20"/>
          <w:szCs w:val="20"/>
        </w:rPr>
        <w:t>Divination</w:t>
      </w:r>
      <w:r>
        <w:rPr>
          <w:sz w:val="20"/>
          <w:szCs w:val="20"/>
        </w:rPr>
        <w:t>] pp. 49-50</w:t>
      </w:r>
    </w:p>
  </w:footnote>
  <w:footnote w:id="13">
    <w:p w14:paraId="00000024" w14:textId="77777777" w:rsidR="00230140" w:rsidRDefault="00E06B3B">
      <w:pPr>
        <w:spacing w:line="240" w:lineRule="auto"/>
        <w:rPr>
          <w:sz w:val="20"/>
          <w:szCs w:val="20"/>
        </w:rPr>
      </w:pPr>
      <w:r>
        <w:rPr>
          <w:vertAlign w:val="superscript"/>
        </w:rPr>
        <w:footnoteRef/>
      </w:r>
      <w:r>
        <w:rPr>
          <w:sz w:val="20"/>
          <w:szCs w:val="20"/>
        </w:rPr>
        <w:t xml:space="preserve"> Quirke, </w:t>
      </w:r>
      <w:r>
        <w:rPr>
          <w:i/>
          <w:sz w:val="20"/>
          <w:szCs w:val="20"/>
        </w:rPr>
        <w:t>Exploring Religion</w:t>
      </w:r>
      <w:r>
        <w:rPr>
          <w:sz w:val="20"/>
          <w:szCs w:val="20"/>
        </w:rPr>
        <w:t>, p.199</w:t>
      </w:r>
    </w:p>
  </w:footnote>
  <w:footnote w:id="14">
    <w:p w14:paraId="00000025" w14:textId="77777777" w:rsidR="00230140" w:rsidRDefault="00E06B3B">
      <w:pPr>
        <w:spacing w:line="240" w:lineRule="auto"/>
        <w:rPr>
          <w:sz w:val="20"/>
          <w:szCs w:val="20"/>
        </w:rPr>
      </w:pPr>
      <w:r>
        <w:rPr>
          <w:vertAlign w:val="superscript"/>
        </w:rPr>
        <w:footnoteRef/>
      </w:r>
      <w:r>
        <w:rPr>
          <w:sz w:val="20"/>
          <w:szCs w:val="20"/>
        </w:rPr>
        <w:t xml:space="preserve"> Teeter, </w:t>
      </w:r>
      <w:r>
        <w:rPr>
          <w:i/>
          <w:sz w:val="20"/>
          <w:szCs w:val="20"/>
        </w:rPr>
        <w:t>Religion and Ritual</w:t>
      </w:r>
      <w:r>
        <w:rPr>
          <w:sz w:val="20"/>
          <w:szCs w:val="20"/>
        </w:rPr>
        <w:t>, p.109</w:t>
      </w:r>
    </w:p>
  </w:footnote>
  <w:footnote w:id="15">
    <w:p w14:paraId="00000026" w14:textId="77777777" w:rsidR="00230140" w:rsidRDefault="00E06B3B">
      <w:pPr>
        <w:spacing w:line="240" w:lineRule="auto"/>
        <w:rPr>
          <w:sz w:val="20"/>
          <w:szCs w:val="20"/>
        </w:rPr>
      </w:pPr>
      <w:r>
        <w:rPr>
          <w:vertAlign w:val="superscript"/>
        </w:rPr>
        <w:footnoteRef/>
      </w:r>
      <w:r>
        <w:rPr>
          <w:sz w:val="20"/>
          <w:szCs w:val="20"/>
        </w:rPr>
        <w:t xml:space="preserve"> Quirke, </w:t>
      </w:r>
      <w:r>
        <w:rPr>
          <w:i/>
          <w:sz w:val="20"/>
          <w:szCs w:val="20"/>
        </w:rPr>
        <w:t xml:space="preserve">Exploring Religion, </w:t>
      </w:r>
      <w:r>
        <w:rPr>
          <w:sz w:val="20"/>
          <w:szCs w:val="20"/>
        </w:rPr>
        <w:t>p. 199</w:t>
      </w:r>
    </w:p>
  </w:footnote>
  <w:footnote w:id="16">
    <w:p w14:paraId="00000027" w14:textId="77777777" w:rsidR="00230140" w:rsidRDefault="00E06B3B">
      <w:pPr>
        <w:spacing w:line="240" w:lineRule="auto"/>
        <w:rPr>
          <w:sz w:val="20"/>
          <w:szCs w:val="20"/>
        </w:rPr>
      </w:pPr>
      <w:r>
        <w:rPr>
          <w:vertAlign w:val="superscript"/>
        </w:rPr>
        <w:footnoteRef/>
      </w:r>
      <w:r>
        <w:rPr>
          <w:sz w:val="20"/>
          <w:szCs w:val="20"/>
        </w:rPr>
        <w:t xml:space="preserve"> J. Donald Hughes, “Dream Interpretation in Ancient Civilizations.” </w:t>
      </w:r>
      <w:r>
        <w:rPr>
          <w:i/>
          <w:sz w:val="20"/>
          <w:szCs w:val="20"/>
        </w:rPr>
        <w:t>Dreamin</w:t>
      </w:r>
      <w:r>
        <w:rPr>
          <w:i/>
          <w:sz w:val="20"/>
          <w:szCs w:val="20"/>
        </w:rPr>
        <w:t>g</w:t>
      </w:r>
      <w:r>
        <w:rPr>
          <w:sz w:val="20"/>
          <w:szCs w:val="20"/>
        </w:rPr>
        <w:t xml:space="preserve">, vol. 10, no. 1, 2000, [hereafter Hughes, </w:t>
      </w:r>
      <w:r>
        <w:rPr>
          <w:i/>
          <w:sz w:val="20"/>
          <w:szCs w:val="20"/>
        </w:rPr>
        <w:t>Dream Interpretation</w:t>
      </w:r>
      <w:r>
        <w:rPr>
          <w:sz w:val="20"/>
          <w:szCs w:val="20"/>
        </w:rPr>
        <w:t>] p. 13</w:t>
      </w:r>
    </w:p>
  </w:footnote>
  <w:footnote w:id="17">
    <w:p w14:paraId="00000029"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Divination</w:t>
      </w:r>
      <w:r>
        <w:rPr>
          <w:sz w:val="20"/>
          <w:szCs w:val="20"/>
        </w:rPr>
        <w:t>, p. 81</w:t>
      </w:r>
    </w:p>
  </w:footnote>
  <w:footnote w:id="18">
    <w:p w14:paraId="0000002A"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 xml:space="preserve">Divination, </w:t>
      </w:r>
      <w:r>
        <w:rPr>
          <w:sz w:val="20"/>
          <w:szCs w:val="20"/>
        </w:rPr>
        <w:t>p. 81</w:t>
      </w:r>
    </w:p>
  </w:footnote>
  <w:footnote w:id="19">
    <w:p w14:paraId="0000002B"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 xml:space="preserve">Divination, </w:t>
      </w:r>
      <w:r>
        <w:rPr>
          <w:sz w:val="20"/>
          <w:szCs w:val="20"/>
        </w:rPr>
        <w:t>p. 83</w:t>
      </w:r>
    </w:p>
  </w:footnote>
  <w:footnote w:id="20">
    <w:p w14:paraId="0000002C" w14:textId="77777777" w:rsidR="00230140" w:rsidRDefault="00E06B3B">
      <w:pPr>
        <w:spacing w:line="240" w:lineRule="auto"/>
        <w:rPr>
          <w:sz w:val="20"/>
          <w:szCs w:val="20"/>
        </w:rPr>
      </w:pPr>
      <w:r>
        <w:rPr>
          <w:vertAlign w:val="superscript"/>
        </w:rPr>
        <w:footnoteRef/>
      </w:r>
      <w:r>
        <w:rPr>
          <w:sz w:val="20"/>
          <w:szCs w:val="20"/>
        </w:rPr>
        <w:t xml:space="preserve"> Hughes, </w:t>
      </w:r>
      <w:r>
        <w:rPr>
          <w:i/>
          <w:sz w:val="20"/>
          <w:szCs w:val="20"/>
        </w:rPr>
        <w:t xml:space="preserve">Dream Interpretation, </w:t>
      </w:r>
      <w:r>
        <w:rPr>
          <w:sz w:val="20"/>
          <w:szCs w:val="20"/>
        </w:rPr>
        <w:t>p. 10</w:t>
      </w:r>
    </w:p>
  </w:footnote>
  <w:footnote w:id="21">
    <w:p w14:paraId="0000002D" w14:textId="77777777" w:rsidR="00230140" w:rsidRDefault="00E06B3B">
      <w:pPr>
        <w:spacing w:line="240" w:lineRule="auto"/>
        <w:rPr>
          <w:sz w:val="20"/>
          <w:szCs w:val="20"/>
        </w:rPr>
      </w:pPr>
      <w:r>
        <w:rPr>
          <w:vertAlign w:val="superscript"/>
        </w:rPr>
        <w:footnoteRef/>
      </w:r>
      <w:r>
        <w:rPr>
          <w:sz w:val="20"/>
          <w:szCs w:val="20"/>
        </w:rPr>
        <w:t xml:space="preserve"> Tamsyn Barton, </w:t>
      </w:r>
      <w:r>
        <w:rPr>
          <w:i/>
          <w:sz w:val="20"/>
          <w:szCs w:val="20"/>
        </w:rPr>
        <w:t xml:space="preserve">Ancient Astrology, </w:t>
      </w:r>
      <w:r>
        <w:rPr>
          <w:sz w:val="20"/>
          <w:szCs w:val="20"/>
        </w:rPr>
        <w:t>(London; New York: Routledge, 1994) p. 11</w:t>
      </w:r>
    </w:p>
  </w:footnote>
  <w:footnote w:id="22">
    <w:p w14:paraId="0000002E"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Moon</w:t>
      </w:r>
      <w:r>
        <w:rPr>
          <w:sz w:val="20"/>
          <w:szCs w:val="20"/>
        </w:rPr>
        <w:t>, p. 22</w:t>
      </w:r>
    </w:p>
  </w:footnote>
  <w:footnote w:id="23">
    <w:p w14:paraId="0000002F" w14:textId="77777777" w:rsidR="00230140" w:rsidRDefault="00E06B3B">
      <w:pPr>
        <w:spacing w:line="240" w:lineRule="auto"/>
        <w:rPr>
          <w:sz w:val="20"/>
          <w:szCs w:val="20"/>
        </w:rPr>
      </w:pPr>
      <w:r>
        <w:rPr>
          <w:vertAlign w:val="superscript"/>
        </w:rPr>
        <w:footnoteRef/>
      </w:r>
      <w:r>
        <w:rPr>
          <w:sz w:val="20"/>
          <w:szCs w:val="20"/>
        </w:rPr>
        <w:t xml:space="preserve"> </w:t>
      </w:r>
      <w:proofErr w:type="spellStart"/>
      <w:r>
        <w:rPr>
          <w:sz w:val="20"/>
          <w:szCs w:val="20"/>
        </w:rPr>
        <w:t>Rochberg</w:t>
      </w:r>
      <w:proofErr w:type="spellEnd"/>
      <w:r>
        <w:rPr>
          <w:sz w:val="20"/>
          <w:szCs w:val="20"/>
        </w:rPr>
        <w:t xml:space="preserve">, </w:t>
      </w:r>
      <w:r>
        <w:rPr>
          <w:i/>
          <w:sz w:val="20"/>
          <w:szCs w:val="20"/>
        </w:rPr>
        <w:t>Moon</w:t>
      </w:r>
      <w:r>
        <w:rPr>
          <w:sz w:val="20"/>
          <w:szCs w:val="20"/>
        </w:rPr>
        <w:t>, p. 189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28" w14:textId="77777777" w:rsidR="00230140" w:rsidRDefault="0023014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140"/>
    <w:rsid w:val="00065168"/>
    <w:rsid w:val="00230140"/>
    <w:rsid w:val="00CA0E3D"/>
    <w:rsid w:val="00E0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675546"/>
  <w15:docId w15:val="{625371AF-1EF7-5045-A51B-3FF327807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Revision">
    <w:name w:val="Revision"/>
    <w:hidden/>
    <w:uiPriority w:val="99"/>
    <w:semiHidden/>
    <w:rsid w:val="00CA0E3D"/>
    <w:pPr>
      <w:spacing w:line="240" w:lineRule="auto"/>
    </w:pPr>
  </w:style>
  <w:style w:type="paragraph" w:styleId="NormalWeb">
    <w:name w:val="Normal (Web)"/>
    <w:basedOn w:val="Normal"/>
    <w:unhideWhenUsed/>
    <w:rsid w:val="00CA0E3D"/>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3310</Words>
  <Characters>17049</Characters>
  <Application>Microsoft Office Word</Application>
  <DocSecurity>0</DocSecurity>
  <Lines>224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Zoe Jackson</cp:lastModifiedBy>
  <cp:revision>2</cp:revision>
  <dcterms:created xsi:type="dcterms:W3CDTF">2019-07-26T12:50:00Z</dcterms:created>
  <dcterms:modified xsi:type="dcterms:W3CDTF">2019-07-26T12:50:00Z</dcterms:modified>
</cp:coreProperties>
</file>