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756DF7F6"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F25FA2">
              <w:rPr>
                <w:rFonts w:ascii="Times New Roman" w:hAnsi="Times New Roman" w:cs="Times New Roman"/>
                <w:b/>
                <w:color w:val="auto"/>
                <w:sz w:val="48"/>
              </w:rPr>
              <w:t>Dean Lewis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789FAC6"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F25FA2">
              <w:rPr>
                <w:rFonts w:ascii="Times New Roman" w:hAnsi="Times New Roman" w:cs="Times New Roman"/>
                <w:b/>
                <w:color w:val="auto"/>
                <w:sz w:val="48"/>
              </w:rPr>
              <w:t xml:space="preserve"> deankevinlewis@gmail.com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6F961B1B" w:rsidR="0085230E" w:rsidRPr="005D3F07" w:rsidRDefault="00F25FA2"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2218533</w:t>
            </w: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t>
      </w:r>
      <w:proofErr w:type="gramStart"/>
      <w:r w:rsidR="005F64AA">
        <w:rPr>
          <w:b/>
          <w:sz w:val="28"/>
          <w:szCs w:val="28"/>
        </w:rPr>
        <w:t>work</w:t>
      </w:r>
      <w:proofErr w:type="gramEnd"/>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 xml:space="preserve">national, </w:t>
            </w:r>
            <w:proofErr w:type="gramStart"/>
            <w:r w:rsidR="005A545C" w:rsidRPr="006108C9">
              <w:rPr>
                <w:sz w:val="24"/>
                <w:szCs w:val="24"/>
              </w:rPr>
              <w:t>local</w:t>
            </w:r>
            <w:proofErr w:type="gramEnd"/>
            <w:r w:rsidR="005A545C" w:rsidRPr="006108C9">
              <w:rPr>
                <w:sz w:val="24"/>
                <w:szCs w:val="24"/>
              </w:rPr>
              <w:t xml:space="preserve">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0318E819" w14:textId="77777777" w:rsidR="00FC0334" w:rsidRDefault="00FC0334" w:rsidP="00FF7EBB">
            <w:pPr>
              <w:jc w:val="both"/>
              <w:rPr>
                <w:sz w:val="24"/>
                <w:szCs w:val="24"/>
              </w:rPr>
            </w:pPr>
          </w:p>
          <w:p w14:paraId="6C9AC73A" w14:textId="77777777" w:rsidR="00F25FA2" w:rsidRDefault="00F25FA2" w:rsidP="00F25FA2">
            <w:pPr>
              <w:jc w:val="both"/>
              <w:rPr>
                <w:sz w:val="24"/>
                <w:szCs w:val="24"/>
              </w:rPr>
            </w:pPr>
          </w:p>
          <w:p w14:paraId="08D9F5FB" w14:textId="77777777" w:rsidR="00F25FA2" w:rsidRPr="00E61D66" w:rsidRDefault="00F25FA2" w:rsidP="00F25FA2">
            <w:pPr>
              <w:spacing w:line="480" w:lineRule="auto"/>
              <w:jc w:val="both"/>
              <w:rPr>
                <w:sz w:val="24"/>
                <w:szCs w:val="24"/>
              </w:rPr>
            </w:pPr>
            <w:r w:rsidRPr="00E61D66">
              <w:rPr>
                <w:sz w:val="24"/>
                <w:szCs w:val="24"/>
              </w:rPr>
              <w:t xml:space="preserve">Each area of social work requires an enhanced understanding of policies, which are specific to the practitioners area of practice </w:t>
            </w:r>
            <w:sdt>
              <w:sdtPr>
                <w:rPr>
                  <w:sz w:val="24"/>
                  <w:szCs w:val="24"/>
                </w:rPr>
                <w:id w:val="1573159091"/>
                <w:citation/>
              </w:sdtPr>
              <w:sdtContent>
                <w:r w:rsidRPr="00E61D66">
                  <w:rPr>
                    <w:sz w:val="24"/>
                    <w:szCs w:val="24"/>
                  </w:rPr>
                  <w:fldChar w:fldCharType="begin"/>
                </w:r>
                <w:r w:rsidRPr="00E61D66">
                  <w:rPr>
                    <w:sz w:val="24"/>
                    <w:szCs w:val="24"/>
                  </w:rPr>
                  <w:instrText xml:space="preserve"> CITATION Als19 \l 2057 </w:instrText>
                </w:r>
                <w:r w:rsidRPr="00E61D66">
                  <w:rPr>
                    <w:sz w:val="24"/>
                    <w:szCs w:val="24"/>
                  </w:rPr>
                  <w:fldChar w:fldCharType="separate"/>
                </w:r>
                <w:r w:rsidRPr="00D72028">
                  <w:rPr>
                    <w:noProof/>
                    <w:sz w:val="24"/>
                    <w:szCs w:val="24"/>
                  </w:rPr>
                  <w:t>(Alston &amp; Bowles, 2019)</w:t>
                </w:r>
                <w:r w:rsidRPr="00E61D66">
                  <w:rPr>
                    <w:sz w:val="24"/>
                    <w:szCs w:val="24"/>
                  </w:rPr>
                  <w:fldChar w:fldCharType="end"/>
                </w:r>
              </w:sdtContent>
            </w:sdt>
            <w:r w:rsidRPr="00E61D66">
              <w:rPr>
                <w:sz w:val="24"/>
                <w:szCs w:val="24"/>
              </w:rPr>
              <w:t xml:space="preserve">, as well as a good understanding of the underpinning laws </w:t>
            </w:r>
            <w:sdt>
              <w:sdtPr>
                <w:rPr>
                  <w:sz w:val="24"/>
                  <w:szCs w:val="24"/>
                </w:rPr>
                <w:id w:val="134616474"/>
                <w:citation/>
              </w:sdtPr>
              <w:sdtContent>
                <w:r w:rsidRPr="00E61D66">
                  <w:rPr>
                    <w:sz w:val="24"/>
                    <w:szCs w:val="24"/>
                  </w:rPr>
                  <w:fldChar w:fldCharType="begin"/>
                </w:r>
                <w:r w:rsidRPr="00E61D66">
                  <w:rPr>
                    <w:sz w:val="24"/>
                    <w:szCs w:val="24"/>
                  </w:rPr>
                  <w:instrText xml:space="preserve"> CITATION Bra10 \l 2057 </w:instrText>
                </w:r>
                <w:r w:rsidRPr="00E61D66">
                  <w:rPr>
                    <w:sz w:val="24"/>
                    <w:szCs w:val="24"/>
                  </w:rPr>
                  <w:fldChar w:fldCharType="separate"/>
                </w:r>
                <w:r w:rsidRPr="00D72028">
                  <w:rPr>
                    <w:noProof/>
                    <w:sz w:val="24"/>
                    <w:szCs w:val="24"/>
                  </w:rPr>
                  <w:t>(Brammer, 2010)</w:t>
                </w:r>
                <w:r w:rsidRPr="00E61D66">
                  <w:rPr>
                    <w:sz w:val="24"/>
                    <w:szCs w:val="24"/>
                  </w:rPr>
                  <w:fldChar w:fldCharType="end"/>
                </w:r>
              </w:sdtContent>
            </w:sdt>
            <w:r w:rsidRPr="00E61D66">
              <w:rPr>
                <w:sz w:val="24"/>
                <w:szCs w:val="24"/>
              </w:rPr>
              <w:t>.</w:t>
            </w:r>
          </w:p>
          <w:p w14:paraId="2CBE660B" w14:textId="77777777" w:rsidR="00F25FA2" w:rsidRPr="00E61D66" w:rsidRDefault="00F25FA2" w:rsidP="00F25FA2">
            <w:pPr>
              <w:spacing w:line="480" w:lineRule="auto"/>
              <w:jc w:val="both"/>
              <w:rPr>
                <w:sz w:val="24"/>
                <w:szCs w:val="24"/>
              </w:rPr>
            </w:pPr>
            <w:r w:rsidRPr="00E61D66">
              <w:rPr>
                <w:sz w:val="24"/>
                <w:szCs w:val="24"/>
              </w:rPr>
              <w:t>Throughout I will highligh</w:t>
            </w:r>
            <w:r>
              <w:rPr>
                <w:sz w:val="24"/>
                <w:szCs w:val="24"/>
              </w:rPr>
              <w:t>t t</w:t>
            </w:r>
            <w:r w:rsidRPr="00E61D66">
              <w:rPr>
                <w:sz w:val="24"/>
                <w:szCs w:val="24"/>
              </w:rPr>
              <w:t xml:space="preserve">he relevant policies, procedures, and legislation </w:t>
            </w:r>
            <w:r>
              <w:rPr>
                <w:sz w:val="24"/>
                <w:szCs w:val="24"/>
              </w:rPr>
              <w:t>for</w:t>
            </w:r>
            <w:r w:rsidRPr="00E61D66">
              <w:rPr>
                <w:sz w:val="24"/>
                <w:szCs w:val="24"/>
              </w:rPr>
              <w:t xml:space="preserve"> adult social care.</w:t>
            </w:r>
          </w:p>
          <w:p w14:paraId="1F5D6EE4" w14:textId="77777777" w:rsidR="00F25FA2" w:rsidRPr="00E61D66" w:rsidRDefault="00F25FA2" w:rsidP="00F25FA2">
            <w:pPr>
              <w:spacing w:line="480" w:lineRule="auto"/>
              <w:jc w:val="both"/>
              <w:rPr>
                <w:sz w:val="24"/>
                <w:szCs w:val="24"/>
              </w:rPr>
            </w:pPr>
            <w:r>
              <w:rPr>
                <w:sz w:val="24"/>
                <w:szCs w:val="24"/>
              </w:rPr>
              <w:t>T</w:t>
            </w:r>
            <w:r w:rsidRPr="00E61D66">
              <w:rPr>
                <w:sz w:val="24"/>
                <w:szCs w:val="24"/>
              </w:rPr>
              <w:t xml:space="preserve">he foundations of safeguarding for adults </w:t>
            </w:r>
            <w:proofErr w:type="gramStart"/>
            <w:r w:rsidRPr="00E61D66">
              <w:rPr>
                <w:sz w:val="24"/>
                <w:szCs w:val="24"/>
              </w:rPr>
              <w:t>is</w:t>
            </w:r>
            <w:proofErr w:type="gramEnd"/>
            <w:r w:rsidRPr="00E61D66">
              <w:rPr>
                <w:sz w:val="24"/>
                <w:szCs w:val="24"/>
              </w:rPr>
              <w:t xml:space="preserve"> the European Convention on Human Rights (ECHR) (1950). The Convention outlines the rights to protect anyone who lives within the 47 countries who have signed the Convention. The United Kingdom (UK) retain membership, regardless of no longer being in the European Union </w:t>
            </w:r>
            <w:sdt>
              <w:sdtPr>
                <w:rPr>
                  <w:sz w:val="24"/>
                  <w:szCs w:val="24"/>
                </w:rPr>
                <w:id w:val="-1903353863"/>
                <w:citation/>
              </w:sdtPr>
              <w:sdtContent>
                <w:r w:rsidRPr="00E61D66">
                  <w:rPr>
                    <w:sz w:val="24"/>
                    <w:szCs w:val="24"/>
                  </w:rPr>
                  <w:fldChar w:fldCharType="begin"/>
                </w:r>
                <w:r w:rsidRPr="00E61D66">
                  <w:rPr>
                    <w:sz w:val="24"/>
                    <w:szCs w:val="24"/>
                  </w:rPr>
                  <w:instrText xml:space="preserve"> CITATION Ger19 \l 2057 </w:instrText>
                </w:r>
                <w:r w:rsidRPr="00E61D66">
                  <w:rPr>
                    <w:sz w:val="24"/>
                    <w:szCs w:val="24"/>
                  </w:rPr>
                  <w:fldChar w:fldCharType="separate"/>
                </w:r>
                <w:r w:rsidRPr="00D72028">
                  <w:rPr>
                    <w:noProof/>
                    <w:sz w:val="24"/>
                    <w:szCs w:val="24"/>
                  </w:rPr>
                  <w:t>(Gerards, 2019)</w:t>
                </w:r>
                <w:r w:rsidRPr="00E61D66">
                  <w:rPr>
                    <w:sz w:val="24"/>
                    <w:szCs w:val="24"/>
                  </w:rPr>
                  <w:fldChar w:fldCharType="end"/>
                </w:r>
              </w:sdtContent>
            </w:sdt>
            <w:r w:rsidRPr="00E61D66">
              <w:rPr>
                <w:sz w:val="24"/>
                <w:szCs w:val="24"/>
              </w:rPr>
              <w:t>.</w:t>
            </w:r>
          </w:p>
          <w:p w14:paraId="5E73F1D3" w14:textId="77777777" w:rsidR="00F25FA2" w:rsidRPr="00E61D66" w:rsidRDefault="00F25FA2" w:rsidP="00F25FA2">
            <w:pPr>
              <w:spacing w:line="480" w:lineRule="auto"/>
              <w:jc w:val="both"/>
              <w:rPr>
                <w:sz w:val="24"/>
                <w:szCs w:val="24"/>
              </w:rPr>
            </w:pPr>
            <w:r w:rsidRPr="00E61D66">
              <w:rPr>
                <w:sz w:val="24"/>
                <w:szCs w:val="24"/>
              </w:rPr>
              <w:t xml:space="preserve">The implementation of the Human Rights Act 1998 seen the ECHR incorporated into the UK law. Regarding UK Law, several other Acts and legislation are also essential to safeguarding. The Equality Act 2010 was implemented, collating all of the previous Acts and regulations focussed on prevention of discrimination </w:t>
            </w:r>
            <w:sdt>
              <w:sdtPr>
                <w:rPr>
                  <w:sz w:val="24"/>
                  <w:szCs w:val="24"/>
                </w:rPr>
                <w:id w:val="-759450342"/>
                <w:citation/>
              </w:sdtPr>
              <w:sdtContent>
                <w:r w:rsidRPr="00E61D66">
                  <w:rPr>
                    <w:sz w:val="24"/>
                    <w:szCs w:val="24"/>
                  </w:rPr>
                  <w:fldChar w:fldCharType="begin"/>
                </w:r>
                <w:r w:rsidRPr="00E61D66">
                  <w:rPr>
                    <w:sz w:val="24"/>
                    <w:szCs w:val="24"/>
                  </w:rPr>
                  <w:instrText xml:space="preserve"> CITATION Wad10 \l 2057 </w:instrText>
                </w:r>
                <w:r w:rsidRPr="00E61D66">
                  <w:rPr>
                    <w:sz w:val="24"/>
                    <w:szCs w:val="24"/>
                  </w:rPr>
                  <w:fldChar w:fldCharType="separate"/>
                </w:r>
                <w:r w:rsidRPr="00D72028">
                  <w:rPr>
                    <w:noProof/>
                    <w:sz w:val="24"/>
                    <w:szCs w:val="24"/>
                  </w:rPr>
                  <w:t>(Wadham, et al., 2010)</w:t>
                </w:r>
                <w:r w:rsidRPr="00E61D66">
                  <w:rPr>
                    <w:sz w:val="24"/>
                    <w:szCs w:val="24"/>
                  </w:rPr>
                  <w:fldChar w:fldCharType="end"/>
                </w:r>
              </w:sdtContent>
            </w:sdt>
            <w:r w:rsidRPr="00E61D66">
              <w:rPr>
                <w:sz w:val="24"/>
                <w:szCs w:val="24"/>
              </w:rPr>
              <w:t xml:space="preserve">. Top keep a </w:t>
            </w:r>
            <w:proofErr w:type="spellStart"/>
            <w:proofErr w:type="gramStart"/>
            <w:r w:rsidRPr="00E61D66">
              <w:rPr>
                <w:sz w:val="24"/>
                <w:szCs w:val="24"/>
              </w:rPr>
              <w:t>persons</w:t>
            </w:r>
            <w:proofErr w:type="spellEnd"/>
            <w:proofErr w:type="gramEnd"/>
            <w:r w:rsidRPr="00E61D66">
              <w:rPr>
                <w:sz w:val="24"/>
                <w:szCs w:val="24"/>
              </w:rPr>
              <w:t xml:space="preserve"> </w:t>
            </w:r>
            <w:r w:rsidRPr="00E61D66">
              <w:rPr>
                <w:sz w:val="24"/>
                <w:szCs w:val="24"/>
              </w:rPr>
              <w:lastRenderedPageBreak/>
              <w:t xml:space="preserve">information safe, The Data Protection Act 2018 implements “data protection principles” which dictates how personal information should be accessed and used by agencies who have access to it. This Act embeds the General Data Protection Regulation (GDPR) into UK laws. GDPR implemented responsibilities on those who held information on any person within the European Union </w:t>
            </w:r>
            <w:sdt>
              <w:sdtPr>
                <w:rPr>
                  <w:sz w:val="24"/>
                  <w:szCs w:val="24"/>
                </w:rPr>
                <w:id w:val="-1966882283"/>
                <w:citation/>
              </w:sdtPr>
              <w:sdtContent>
                <w:r w:rsidRPr="00E61D66">
                  <w:rPr>
                    <w:sz w:val="24"/>
                    <w:szCs w:val="24"/>
                  </w:rPr>
                  <w:fldChar w:fldCharType="begin"/>
                </w:r>
                <w:r w:rsidRPr="00E61D66">
                  <w:rPr>
                    <w:sz w:val="24"/>
                    <w:szCs w:val="24"/>
                  </w:rPr>
                  <w:instrText xml:space="preserve"> CITATION Chi18 \l 2057 </w:instrText>
                </w:r>
                <w:r w:rsidRPr="00E61D66">
                  <w:rPr>
                    <w:sz w:val="24"/>
                    <w:szCs w:val="24"/>
                  </w:rPr>
                  <w:fldChar w:fldCharType="separate"/>
                </w:r>
                <w:r w:rsidRPr="00D72028">
                  <w:rPr>
                    <w:noProof/>
                    <w:sz w:val="24"/>
                    <w:szCs w:val="24"/>
                  </w:rPr>
                  <w:t>(Chico, 2018)</w:t>
                </w:r>
                <w:r w:rsidRPr="00E61D66">
                  <w:rPr>
                    <w:sz w:val="24"/>
                    <w:szCs w:val="24"/>
                  </w:rPr>
                  <w:fldChar w:fldCharType="end"/>
                </w:r>
              </w:sdtContent>
            </w:sdt>
            <w:r w:rsidRPr="00E61D66">
              <w:rPr>
                <w:sz w:val="24"/>
                <w:szCs w:val="24"/>
              </w:rPr>
              <w:t>.</w:t>
            </w:r>
          </w:p>
          <w:p w14:paraId="2111130E" w14:textId="77777777" w:rsidR="00F25FA2" w:rsidRPr="00E61D66" w:rsidRDefault="00F25FA2" w:rsidP="00F25FA2">
            <w:pPr>
              <w:spacing w:line="480" w:lineRule="auto"/>
              <w:jc w:val="both"/>
              <w:rPr>
                <w:sz w:val="24"/>
                <w:szCs w:val="24"/>
              </w:rPr>
            </w:pPr>
            <w:r w:rsidRPr="00E61D66">
              <w:rPr>
                <w:sz w:val="24"/>
                <w:szCs w:val="24"/>
              </w:rPr>
              <w:t xml:space="preserve">Regarding those with mental health issues, the Mental Health Act (MHA) 1983 addressed the rights of an individual regarding assessment, treatment, and the way </w:t>
            </w:r>
            <w:r>
              <w:rPr>
                <w:sz w:val="24"/>
                <w:szCs w:val="24"/>
              </w:rPr>
              <w:t>they</w:t>
            </w:r>
            <w:r w:rsidRPr="00E61D66">
              <w:rPr>
                <w:sz w:val="24"/>
                <w:szCs w:val="24"/>
              </w:rPr>
              <w:t xml:space="preserve"> are admitted </w:t>
            </w:r>
            <w:sdt>
              <w:sdtPr>
                <w:rPr>
                  <w:sz w:val="24"/>
                  <w:szCs w:val="24"/>
                </w:rPr>
                <w:id w:val="-2123292540"/>
                <w:citation/>
              </w:sdtPr>
              <w:sdtContent>
                <w:r w:rsidRPr="00E61D66">
                  <w:rPr>
                    <w:sz w:val="24"/>
                    <w:szCs w:val="24"/>
                  </w:rPr>
                  <w:fldChar w:fldCharType="begin"/>
                </w:r>
                <w:r w:rsidRPr="00E61D66">
                  <w:rPr>
                    <w:sz w:val="24"/>
                    <w:szCs w:val="24"/>
                  </w:rPr>
                  <w:instrText xml:space="preserve"> CITATION Min23 \l 2057 </w:instrText>
                </w:r>
                <w:r w:rsidRPr="00E61D66">
                  <w:rPr>
                    <w:sz w:val="24"/>
                    <w:szCs w:val="24"/>
                  </w:rPr>
                  <w:fldChar w:fldCharType="separate"/>
                </w:r>
                <w:r w:rsidRPr="00D72028">
                  <w:rPr>
                    <w:noProof/>
                    <w:sz w:val="24"/>
                    <w:szCs w:val="24"/>
                  </w:rPr>
                  <w:t>(Mind, 2023)</w:t>
                </w:r>
                <w:r w:rsidRPr="00E61D66">
                  <w:rPr>
                    <w:sz w:val="24"/>
                    <w:szCs w:val="24"/>
                  </w:rPr>
                  <w:fldChar w:fldCharType="end"/>
                </w:r>
              </w:sdtContent>
            </w:sdt>
            <w:r w:rsidRPr="00E61D66">
              <w:rPr>
                <w:sz w:val="24"/>
                <w:szCs w:val="24"/>
              </w:rPr>
              <w:t xml:space="preserve">. The MHA 2007 then amended the previous Act, such as definitions throughout. regarding capacity, The Mental Capacity Act (MCA) 2005 identifies that any adults have a legal right to make their own choices where possible. It also aims to protect those who are unable to make these choices, should they </w:t>
            </w:r>
            <w:proofErr w:type="gramStart"/>
            <w:r w:rsidRPr="00E61D66">
              <w:rPr>
                <w:sz w:val="24"/>
                <w:szCs w:val="24"/>
              </w:rPr>
              <w:t>lack of</w:t>
            </w:r>
            <w:proofErr w:type="gramEnd"/>
            <w:r w:rsidRPr="00E61D66">
              <w:rPr>
                <w:sz w:val="24"/>
                <w:szCs w:val="24"/>
              </w:rPr>
              <w:t xml:space="preserve"> capacity </w:t>
            </w:r>
            <w:sdt>
              <w:sdtPr>
                <w:rPr>
                  <w:sz w:val="24"/>
                  <w:szCs w:val="24"/>
                </w:rPr>
                <w:id w:val="-783890204"/>
                <w:citation/>
              </w:sdtPr>
              <w:sdtContent>
                <w:r w:rsidRPr="00E61D66">
                  <w:rPr>
                    <w:sz w:val="24"/>
                    <w:szCs w:val="24"/>
                  </w:rPr>
                  <w:fldChar w:fldCharType="begin"/>
                </w:r>
                <w:r w:rsidRPr="00E61D66">
                  <w:rPr>
                    <w:sz w:val="24"/>
                    <w:szCs w:val="24"/>
                  </w:rPr>
                  <w:instrText xml:space="preserve"> CITATION Lid23 \l 2057 </w:instrText>
                </w:r>
                <w:r w:rsidRPr="00E61D66">
                  <w:rPr>
                    <w:sz w:val="24"/>
                    <w:szCs w:val="24"/>
                  </w:rPr>
                  <w:fldChar w:fldCharType="separate"/>
                </w:r>
                <w:r w:rsidRPr="00D72028">
                  <w:rPr>
                    <w:noProof/>
                    <w:sz w:val="24"/>
                    <w:szCs w:val="24"/>
                  </w:rPr>
                  <w:t>(Liddle &amp; Johnston, 2023)</w:t>
                </w:r>
                <w:r w:rsidRPr="00E61D66">
                  <w:rPr>
                    <w:sz w:val="24"/>
                    <w:szCs w:val="24"/>
                  </w:rPr>
                  <w:fldChar w:fldCharType="end"/>
                </w:r>
              </w:sdtContent>
            </w:sdt>
            <w:r w:rsidRPr="00E61D66">
              <w:rPr>
                <w:sz w:val="24"/>
                <w:szCs w:val="24"/>
              </w:rPr>
              <w:t>.</w:t>
            </w:r>
          </w:p>
          <w:p w14:paraId="2714CD0A" w14:textId="77777777" w:rsidR="00F25FA2" w:rsidRPr="00E61D66" w:rsidRDefault="00F25FA2" w:rsidP="00F25FA2">
            <w:pPr>
              <w:spacing w:line="480" w:lineRule="auto"/>
              <w:jc w:val="both"/>
              <w:rPr>
                <w:sz w:val="24"/>
                <w:szCs w:val="24"/>
              </w:rPr>
            </w:pPr>
            <w:r>
              <w:rPr>
                <w:sz w:val="24"/>
                <w:szCs w:val="24"/>
              </w:rPr>
              <w:t>E</w:t>
            </w:r>
            <w:r w:rsidRPr="00E61D66">
              <w:rPr>
                <w:sz w:val="24"/>
                <w:szCs w:val="24"/>
              </w:rPr>
              <w:t>mbedded within the Mental Capacity Act 2005</w:t>
            </w:r>
            <w:r>
              <w:rPr>
                <w:sz w:val="24"/>
                <w:szCs w:val="24"/>
              </w:rPr>
              <w:t xml:space="preserve"> is the Deprivation of Liberty Safeguards.</w:t>
            </w:r>
            <w:r w:rsidRPr="00E61D66">
              <w:rPr>
                <w:sz w:val="24"/>
                <w:szCs w:val="24"/>
              </w:rPr>
              <w:t xml:space="preserve"> </w:t>
            </w:r>
            <w:r>
              <w:rPr>
                <w:sz w:val="24"/>
                <w:szCs w:val="24"/>
              </w:rPr>
              <w:t>T</w:t>
            </w:r>
            <w:r w:rsidRPr="00E61D66">
              <w:rPr>
                <w:sz w:val="24"/>
                <w:szCs w:val="24"/>
              </w:rPr>
              <w:t>his provid</w:t>
            </w:r>
            <w:r>
              <w:rPr>
                <w:sz w:val="24"/>
                <w:szCs w:val="24"/>
              </w:rPr>
              <w:t>es</w:t>
            </w:r>
            <w:r w:rsidRPr="00E61D66">
              <w:rPr>
                <w:sz w:val="24"/>
                <w:szCs w:val="24"/>
              </w:rPr>
              <w:t xml:space="preserve"> safeguarding principles to those receiving care, but lacking capacity to provide consent in relation to the support provisions </w:t>
            </w:r>
            <w:sdt>
              <w:sdtPr>
                <w:rPr>
                  <w:sz w:val="24"/>
                  <w:szCs w:val="24"/>
                </w:rPr>
                <w:id w:val="1114943911"/>
                <w:citation/>
              </w:sdtPr>
              <w:sdtContent>
                <w:r w:rsidRPr="00E61D66">
                  <w:rPr>
                    <w:sz w:val="24"/>
                    <w:szCs w:val="24"/>
                  </w:rPr>
                  <w:fldChar w:fldCharType="begin"/>
                </w:r>
                <w:r w:rsidRPr="00E61D66">
                  <w:rPr>
                    <w:sz w:val="24"/>
                    <w:szCs w:val="24"/>
                  </w:rPr>
                  <w:instrText xml:space="preserve">CITATION Soc22 \l 2057 </w:instrText>
                </w:r>
                <w:r w:rsidRPr="00E61D66">
                  <w:rPr>
                    <w:sz w:val="24"/>
                    <w:szCs w:val="24"/>
                  </w:rPr>
                  <w:fldChar w:fldCharType="separate"/>
                </w:r>
                <w:r w:rsidRPr="00D72028">
                  <w:rPr>
                    <w:noProof/>
                    <w:sz w:val="24"/>
                    <w:szCs w:val="24"/>
                  </w:rPr>
                  <w:t>(SCIE, 2022)</w:t>
                </w:r>
                <w:r w:rsidRPr="00E61D66">
                  <w:rPr>
                    <w:sz w:val="24"/>
                    <w:szCs w:val="24"/>
                  </w:rPr>
                  <w:fldChar w:fldCharType="end"/>
                </w:r>
              </w:sdtContent>
            </w:sdt>
            <w:r w:rsidRPr="00E61D66">
              <w:rPr>
                <w:sz w:val="24"/>
                <w:szCs w:val="24"/>
              </w:rPr>
              <w:t>.</w:t>
            </w:r>
          </w:p>
          <w:p w14:paraId="640AC103" w14:textId="77777777" w:rsidR="00F25FA2" w:rsidRPr="00E61D66" w:rsidRDefault="00F25FA2" w:rsidP="00F25FA2">
            <w:pPr>
              <w:spacing w:line="480" w:lineRule="auto"/>
              <w:jc w:val="both"/>
              <w:rPr>
                <w:sz w:val="24"/>
                <w:szCs w:val="24"/>
              </w:rPr>
            </w:pPr>
            <w:r w:rsidRPr="00E61D66">
              <w:rPr>
                <w:sz w:val="24"/>
                <w:szCs w:val="24"/>
              </w:rPr>
              <w:t xml:space="preserve">Regarding policies, procedures and law in Wales, The Social Services and Wellbeing (Wales) Act 2014 (SSWBA) came into force, following challenges identified within the White Paper, Sustainable Social Services for Wales: A Framework for Action </w:t>
            </w:r>
            <w:sdt>
              <w:sdtPr>
                <w:rPr>
                  <w:sz w:val="24"/>
                  <w:szCs w:val="24"/>
                </w:rPr>
                <w:id w:val="803047742"/>
                <w:citation/>
              </w:sdtPr>
              <w:sdtContent>
                <w:r w:rsidRPr="00E61D66">
                  <w:rPr>
                    <w:sz w:val="24"/>
                    <w:szCs w:val="24"/>
                  </w:rPr>
                  <w:fldChar w:fldCharType="begin"/>
                </w:r>
                <w:r w:rsidRPr="00E61D66">
                  <w:rPr>
                    <w:sz w:val="24"/>
                    <w:szCs w:val="24"/>
                  </w:rPr>
                  <w:instrText xml:space="preserve">CITATION Soc23 \l 2057 </w:instrText>
                </w:r>
                <w:r w:rsidRPr="00E61D66">
                  <w:rPr>
                    <w:sz w:val="24"/>
                    <w:szCs w:val="24"/>
                  </w:rPr>
                  <w:fldChar w:fldCharType="separate"/>
                </w:r>
                <w:r w:rsidRPr="00D72028">
                  <w:rPr>
                    <w:noProof/>
                    <w:sz w:val="24"/>
                    <w:szCs w:val="24"/>
                  </w:rPr>
                  <w:t>(SCW, 2023)</w:t>
                </w:r>
                <w:r w:rsidRPr="00E61D66">
                  <w:rPr>
                    <w:sz w:val="24"/>
                    <w:szCs w:val="24"/>
                  </w:rPr>
                  <w:fldChar w:fldCharType="end"/>
                </w:r>
              </w:sdtContent>
            </w:sdt>
            <w:r w:rsidRPr="00E61D66">
              <w:rPr>
                <w:sz w:val="24"/>
                <w:szCs w:val="24"/>
              </w:rPr>
              <w:t xml:space="preserve">. SSWBA instilled four principles whilst working with service users (voice and control, prevention and early intervention, well-being, and co-production) </w:t>
            </w:r>
            <w:sdt>
              <w:sdtPr>
                <w:rPr>
                  <w:sz w:val="24"/>
                  <w:szCs w:val="24"/>
                </w:rPr>
                <w:id w:val="-1293049399"/>
                <w:citation/>
              </w:sdtPr>
              <w:sdtContent>
                <w:r w:rsidRPr="00E61D66">
                  <w:rPr>
                    <w:sz w:val="24"/>
                    <w:szCs w:val="24"/>
                  </w:rPr>
                  <w:fldChar w:fldCharType="begin"/>
                </w:r>
                <w:r w:rsidRPr="00E61D66">
                  <w:rPr>
                    <w:sz w:val="24"/>
                    <w:szCs w:val="24"/>
                  </w:rPr>
                  <w:instrText xml:space="preserve">CITATION Soc23 \l 2057 </w:instrText>
                </w:r>
                <w:r w:rsidRPr="00E61D66">
                  <w:rPr>
                    <w:sz w:val="24"/>
                    <w:szCs w:val="24"/>
                  </w:rPr>
                  <w:fldChar w:fldCharType="separate"/>
                </w:r>
                <w:r w:rsidRPr="00D72028">
                  <w:rPr>
                    <w:noProof/>
                    <w:sz w:val="24"/>
                    <w:szCs w:val="24"/>
                  </w:rPr>
                  <w:t>(SCW, 2023)</w:t>
                </w:r>
                <w:r w:rsidRPr="00E61D66">
                  <w:rPr>
                    <w:sz w:val="24"/>
                    <w:szCs w:val="24"/>
                  </w:rPr>
                  <w:fldChar w:fldCharType="end"/>
                </w:r>
              </w:sdtContent>
            </w:sdt>
            <w:r w:rsidRPr="00E61D66">
              <w:rPr>
                <w:sz w:val="24"/>
                <w:szCs w:val="24"/>
              </w:rPr>
              <w:t>. SSWBA also provided service users with control over support they required, coll</w:t>
            </w:r>
            <w:r>
              <w:rPr>
                <w:sz w:val="24"/>
                <w:szCs w:val="24"/>
              </w:rPr>
              <w:t>aborating</w:t>
            </w:r>
            <w:r w:rsidRPr="00E61D66">
              <w:rPr>
                <w:sz w:val="24"/>
                <w:szCs w:val="24"/>
              </w:rPr>
              <w:t xml:space="preserve"> with those providing services. SSWBA ensured that service users and carers were entitled to assessments, focussing on the service users wishes.</w:t>
            </w:r>
            <w:r>
              <w:rPr>
                <w:sz w:val="24"/>
                <w:szCs w:val="24"/>
              </w:rPr>
              <w:t xml:space="preserve"> Part 7 of the SSWBA addresses the specifics about safeguarding for both adults and children.</w:t>
            </w:r>
          </w:p>
          <w:p w14:paraId="0B9B7BC4" w14:textId="77777777" w:rsidR="00F25FA2" w:rsidRDefault="00F25FA2" w:rsidP="00F25FA2">
            <w:pPr>
              <w:spacing w:line="480" w:lineRule="auto"/>
              <w:jc w:val="both"/>
              <w:rPr>
                <w:sz w:val="24"/>
                <w:szCs w:val="24"/>
              </w:rPr>
            </w:pPr>
            <w:r w:rsidRPr="00E61D66">
              <w:rPr>
                <w:sz w:val="24"/>
                <w:szCs w:val="24"/>
              </w:rPr>
              <w:lastRenderedPageBreak/>
              <w:t xml:space="preserve">Working Together to Safeguard People set out expectations to teams, clubs and groups who offered activities to people to adhere to the advice surrounding safeguarding </w:t>
            </w:r>
            <w:sdt>
              <w:sdtPr>
                <w:rPr>
                  <w:sz w:val="24"/>
                  <w:szCs w:val="24"/>
                </w:rPr>
                <w:id w:val="520203173"/>
                <w:citation/>
              </w:sdtPr>
              <w:sdtContent>
                <w:r w:rsidRPr="00E61D66">
                  <w:rPr>
                    <w:sz w:val="24"/>
                    <w:szCs w:val="24"/>
                  </w:rPr>
                  <w:fldChar w:fldCharType="begin"/>
                </w:r>
                <w:r w:rsidRPr="00E61D66">
                  <w:rPr>
                    <w:sz w:val="24"/>
                    <w:szCs w:val="24"/>
                  </w:rPr>
                  <w:instrText xml:space="preserve"> CITATION Wel16 \l 2057 </w:instrText>
                </w:r>
                <w:r w:rsidRPr="00E61D66">
                  <w:rPr>
                    <w:sz w:val="24"/>
                    <w:szCs w:val="24"/>
                  </w:rPr>
                  <w:fldChar w:fldCharType="separate"/>
                </w:r>
                <w:r w:rsidRPr="00D72028">
                  <w:rPr>
                    <w:noProof/>
                    <w:sz w:val="24"/>
                    <w:szCs w:val="24"/>
                  </w:rPr>
                  <w:t>(Welsh Government, 2016)</w:t>
                </w:r>
                <w:r w:rsidRPr="00E61D66">
                  <w:rPr>
                    <w:sz w:val="24"/>
                    <w:szCs w:val="24"/>
                  </w:rPr>
                  <w:fldChar w:fldCharType="end"/>
                </w:r>
              </w:sdtContent>
            </w:sdt>
            <w:r w:rsidRPr="00E61D66">
              <w:rPr>
                <w:sz w:val="24"/>
                <w:szCs w:val="24"/>
              </w:rPr>
              <w:t xml:space="preserve">.  </w:t>
            </w:r>
            <w:proofErr w:type="spellStart"/>
            <w:r w:rsidRPr="00E61D66">
              <w:rPr>
                <w:sz w:val="24"/>
                <w:szCs w:val="24"/>
              </w:rPr>
              <w:t>Cysur</w:t>
            </w:r>
            <w:proofErr w:type="spellEnd"/>
            <w:r w:rsidRPr="00E61D66">
              <w:rPr>
                <w:sz w:val="24"/>
                <w:szCs w:val="24"/>
              </w:rPr>
              <w:t xml:space="preserve"> is the safeguarding board, </w:t>
            </w:r>
            <w:r>
              <w:rPr>
                <w:sz w:val="24"/>
                <w:szCs w:val="24"/>
              </w:rPr>
              <w:t>covering</w:t>
            </w:r>
            <w:r w:rsidRPr="00E61D66">
              <w:rPr>
                <w:sz w:val="24"/>
                <w:szCs w:val="24"/>
              </w:rPr>
              <w:t xml:space="preserve"> mid and west Wales</w:t>
            </w:r>
            <w:r>
              <w:rPr>
                <w:sz w:val="24"/>
                <w:szCs w:val="24"/>
              </w:rPr>
              <w:t xml:space="preserve">, aiming </w:t>
            </w:r>
            <w:r w:rsidRPr="00E61D66">
              <w:rPr>
                <w:sz w:val="24"/>
                <w:szCs w:val="24"/>
              </w:rPr>
              <w:t>to improve outcomes for those at risk.</w:t>
            </w:r>
          </w:p>
          <w:p w14:paraId="66E7C25A" w14:textId="77777777" w:rsidR="00F25FA2" w:rsidRPr="00E61D66" w:rsidRDefault="00F25FA2" w:rsidP="00F25FA2">
            <w:pPr>
              <w:spacing w:line="480" w:lineRule="auto"/>
              <w:jc w:val="both"/>
              <w:rPr>
                <w:sz w:val="24"/>
                <w:szCs w:val="24"/>
              </w:rPr>
            </w:pPr>
            <w:r>
              <w:rPr>
                <w:sz w:val="24"/>
                <w:szCs w:val="24"/>
              </w:rPr>
              <w:t>The Wales Safeguarding Procedures (2019) identifies the responsibilities and role of all practitioners to best inform them how to protect both adults and children who could be placed at risk of abuse. Professionals from all practices in health and social care, police, education, statutory and voluntary sectors are able to use this as a guide to ensure adults and children are being protected.</w:t>
            </w:r>
          </w:p>
          <w:p w14:paraId="6417E0B8" w14:textId="77777777" w:rsidR="00F25FA2" w:rsidRPr="00D72028" w:rsidRDefault="00F25FA2" w:rsidP="00F25FA2">
            <w:pPr>
              <w:jc w:val="both"/>
              <w:rPr>
                <w:sz w:val="24"/>
                <w:szCs w:val="24"/>
                <w:u w:val="single"/>
              </w:rPr>
            </w:pPr>
            <w:r>
              <w:rPr>
                <w:sz w:val="24"/>
                <w:szCs w:val="24"/>
                <w:u w:val="single"/>
              </w:rPr>
              <w:t>Word count – 550</w:t>
            </w:r>
          </w:p>
          <w:p w14:paraId="6D8CB8AF" w14:textId="77777777" w:rsidR="00FC0334" w:rsidRDefault="00FC0334" w:rsidP="00FF7EBB">
            <w:pPr>
              <w:jc w:val="both"/>
              <w:rPr>
                <w:sz w:val="24"/>
                <w:szCs w:val="24"/>
              </w:rPr>
            </w:pPr>
          </w:p>
          <w:p w14:paraId="4A95F4DB" w14:textId="77777777" w:rsidR="00FC0334" w:rsidRDefault="00FC0334" w:rsidP="00FF7EBB">
            <w:pPr>
              <w:jc w:val="both"/>
              <w:rPr>
                <w:sz w:val="24"/>
                <w:szCs w:val="24"/>
              </w:rPr>
            </w:pPr>
          </w:p>
          <w:p w14:paraId="75DF59E2" w14:textId="77777777" w:rsidR="00FC0334" w:rsidRDefault="00FC0334" w:rsidP="00FF7EBB">
            <w:pPr>
              <w:jc w:val="both"/>
              <w:rPr>
                <w:sz w:val="24"/>
                <w:szCs w:val="24"/>
              </w:rPr>
            </w:pPr>
          </w:p>
          <w:p w14:paraId="14883BA0" w14:textId="77777777" w:rsidR="00FC0334" w:rsidRDefault="00FC0334" w:rsidP="00FF7EBB">
            <w:pPr>
              <w:jc w:val="both"/>
              <w:rPr>
                <w:sz w:val="24"/>
                <w:szCs w:val="24"/>
              </w:rPr>
            </w:pPr>
          </w:p>
          <w:p w14:paraId="49641ACD" w14:textId="77777777" w:rsidR="00FC0334" w:rsidRDefault="00FC0334" w:rsidP="00FF7EBB">
            <w:pPr>
              <w:jc w:val="both"/>
              <w:rPr>
                <w:sz w:val="24"/>
                <w:szCs w:val="24"/>
              </w:rPr>
            </w:pPr>
          </w:p>
          <w:p w14:paraId="206514B9" w14:textId="77777777" w:rsidR="00FC0334" w:rsidRDefault="00FC0334" w:rsidP="00FF7EBB">
            <w:pPr>
              <w:jc w:val="both"/>
              <w:rPr>
                <w:sz w:val="24"/>
                <w:szCs w:val="24"/>
              </w:rPr>
            </w:pP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t>
            </w:r>
            <w:proofErr w:type="gramStart"/>
            <w:r w:rsidRPr="006108C9">
              <w:rPr>
                <w:sz w:val="24"/>
                <w:szCs w:val="24"/>
              </w:rPr>
              <w:t>work</w:t>
            </w:r>
            <w:proofErr w:type="gramEnd"/>
          </w:p>
          <w:p w14:paraId="4CABE426" w14:textId="77777777" w:rsidR="00FC0334" w:rsidRDefault="00FC0334" w:rsidP="00FC0334">
            <w:pPr>
              <w:jc w:val="both"/>
              <w:rPr>
                <w:sz w:val="24"/>
                <w:szCs w:val="24"/>
              </w:rPr>
            </w:pPr>
          </w:p>
          <w:p w14:paraId="795C6051" w14:textId="77777777" w:rsidR="00FC0334" w:rsidRDefault="00FC0334" w:rsidP="00FC0334">
            <w:pPr>
              <w:jc w:val="both"/>
              <w:rPr>
                <w:sz w:val="24"/>
                <w:szCs w:val="24"/>
              </w:rPr>
            </w:pPr>
          </w:p>
          <w:p w14:paraId="6ADDD1C2" w14:textId="77777777" w:rsidR="00F25FA2" w:rsidRPr="00E61D66" w:rsidRDefault="00F25FA2" w:rsidP="00F25FA2">
            <w:pPr>
              <w:spacing w:line="480" w:lineRule="auto"/>
              <w:jc w:val="both"/>
              <w:rPr>
                <w:sz w:val="24"/>
                <w:szCs w:val="24"/>
              </w:rPr>
            </w:pPr>
            <w:r w:rsidRPr="00E61D66">
              <w:rPr>
                <w:sz w:val="24"/>
                <w:szCs w:val="24"/>
              </w:rPr>
              <w:t>When considering the differences between adults and children safeguarding, it is important to consider consent, capacity, and rights.</w:t>
            </w:r>
          </w:p>
          <w:p w14:paraId="5AC4EF0B" w14:textId="77777777" w:rsidR="00F25FA2" w:rsidRPr="00E61D66" w:rsidRDefault="00F25FA2" w:rsidP="00F25FA2">
            <w:pPr>
              <w:spacing w:line="480" w:lineRule="auto"/>
              <w:jc w:val="both"/>
              <w:rPr>
                <w:sz w:val="24"/>
                <w:szCs w:val="24"/>
              </w:rPr>
            </w:pPr>
            <w:r w:rsidRPr="00E61D66">
              <w:rPr>
                <w:sz w:val="24"/>
                <w:szCs w:val="24"/>
              </w:rPr>
              <w:t xml:space="preserve">The rights of a child are embedded in the United Nations Conventions on the Rights of the Child (UNCRC) (1989). The UNCRC identifies that adults should act in the best interest of children and governments should ensure that parents are able to safely parent their children, </w:t>
            </w:r>
            <w:r w:rsidRPr="00E61D66">
              <w:rPr>
                <w:sz w:val="24"/>
                <w:szCs w:val="24"/>
              </w:rPr>
              <w:lastRenderedPageBreak/>
              <w:t xml:space="preserve">as well as </w:t>
            </w:r>
            <w:proofErr w:type="gramStart"/>
            <w:r w:rsidRPr="00E61D66">
              <w:rPr>
                <w:sz w:val="24"/>
                <w:szCs w:val="24"/>
              </w:rPr>
              <w:t>ensuring  those</w:t>
            </w:r>
            <w:proofErr w:type="gramEnd"/>
            <w:r w:rsidRPr="00E61D66">
              <w:rPr>
                <w:sz w:val="24"/>
                <w:szCs w:val="24"/>
              </w:rPr>
              <w:t xml:space="preserve"> responsible for looking after children do so appropriately </w:t>
            </w:r>
            <w:sdt>
              <w:sdtPr>
                <w:rPr>
                  <w:sz w:val="24"/>
                  <w:szCs w:val="24"/>
                </w:rPr>
                <w:id w:val="857008092"/>
                <w:citation/>
              </w:sdtPr>
              <w:sdtContent>
                <w:r w:rsidRPr="00E61D66">
                  <w:rPr>
                    <w:sz w:val="24"/>
                    <w:szCs w:val="24"/>
                  </w:rPr>
                  <w:fldChar w:fldCharType="begin"/>
                </w:r>
                <w:r w:rsidRPr="00E61D66">
                  <w:rPr>
                    <w:sz w:val="24"/>
                    <w:szCs w:val="24"/>
                  </w:rPr>
                  <w:instrText xml:space="preserve"> CITATION Det99 \l 2057 </w:instrText>
                </w:r>
                <w:r w:rsidRPr="00E61D66">
                  <w:rPr>
                    <w:sz w:val="24"/>
                    <w:szCs w:val="24"/>
                  </w:rPr>
                  <w:fldChar w:fldCharType="separate"/>
                </w:r>
                <w:r w:rsidRPr="00D72028">
                  <w:rPr>
                    <w:noProof/>
                    <w:sz w:val="24"/>
                    <w:szCs w:val="24"/>
                  </w:rPr>
                  <w:t>(Detrick, 1999)</w:t>
                </w:r>
                <w:r w:rsidRPr="00E61D66">
                  <w:rPr>
                    <w:sz w:val="24"/>
                    <w:szCs w:val="24"/>
                  </w:rPr>
                  <w:fldChar w:fldCharType="end"/>
                </w:r>
              </w:sdtContent>
            </w:sdt>
            <w:r w:rsidRPr="00E61D66">
              <w:rPr>
                <w:sz w:val="24"/>
                <w:szCs w:val="24"/>
              </w:rPr>
              <w:t>. Parental responsibility is also embedded in the Children Act 1989. It is also embedded in the SSWBA identifying that children have the right to be supported to ensure their safety.</w:t>
            </w:r>
          </w:p>
          <w:p w14:paraId="501364AB" w14:textId="77777777" w:rsidR="00F25FA2" w:rsidRPr="00E61D66" w:rsidRDefault="00F25FA2" w:rsidP="00F25FA2">
            <w:pPr>
              <w:spacing w:line="480" w:lineRule="auto"/>
              <w:jc w:val="both"/>
              <w:rPr>
                <w:sz w:val="24"/>
                <w:szCs w:val="24"/>
              </w:rPr>
            </w:pPr>
            <w:r w:rsidRPr="00E61D66">
              <w:rPr>
                <w:sz w:val="24"/>
                <w:szCs w:val="24"/>
              </w:rPr>
              <w:t xml:space="preserve">Adults are able to provide consent by themselves, unless it is </w:t>
            </w:r>
            <w:proofErr w:type="gramStart"/>
            <w:r w:rsidRPr="00E61D66">
              <w:rPr>
                <w:sz w:val="24"/>
                <w:szCs w:val="24"/>
              </w:rPr>
              <w:t>deemed</w:t>
            </w:r>
            <w:proofErr w:type="gramEnd"/>
            <w:r w:rsidRPr="00E61D66">
              <w:rPr>
                <w:sz w:val="24"/>
                <w:szCs w:val="24"/>
              </w:rPr>
              <w:t xml:space="preserve"> they do not have capacity to do so. A child under 16 can give consent</w:t>
            </w:r>
            <w:r>
              <w:rPr>
                <w:sz w:val="24"/>
                <w:szCs w:val="24"/>
              </w:rPr>
              <w:t xml:space="preserve"> to treatment</w:t>
            </w:r>
            <w:r w:rsidRPr="00E61D66">
              <w:rPr>
                <w:sz w:val="24"/>
                <w:szCs w:val="24"/>
              </w:rPr>
              <w:t xml:space="preserve">, given that they have been assessed as capable of safely doing so. However, should a child not consent to treatment (regardless of an assessment suggesting they are able to do so) a person(s) with parental responsibility can overrule this. This must be seen to be in the child’s best interest by the doctor </w:t>
            </w:r>
            <w:sdt>
              <w:sdtPr>
                <w:rPr>
                  <w:sz w:val="24"/>
                  <w:szCs w:val="24"/>
                </w:rPr>
                <w:id w:val="145640392"/>
                <w:citation/>
              </w:sdtPr>
              <w:sdtContent>
                <w:r w:rsidRPr="00E61D66">
                  <w:rPr>
                    <w:sz w:val="24"/>
                    <w:szCs w:val="24"/>
                  </w:rPr>
                  <w:fldChar w:fldCharType="begin"/>
                </w:r>
                <w:r w:rsidRPr="00E61D66">
                  <w:rPr>
                    <w:sz w:val="24"/>
                    <w:szCs w:val="24"/>
                  </w:rPr>
                  <w:instrText xml:space="preserve"> CITATION NHS20 \l 2057 </w:instrText>
                </w:r>
                <w:r w:rsidRPr="00E61D66">
                  <w:rPr>
                    <w:sz w:val="24"/>
                    <w:szCs w:val="24"/>
                  </w:rPr>
                  <w:fldChar w:fldCharType="separate"/>
                </w:r>
                <w:r w:rsidRPr="00D72028">
                  <w:rPr>
                    <w:noProof/>
                    <w:sz w:val="24"/>
                    <w:szCs w:val="24"/>
                  </w:rPr>
                  <w:t>(NHS, 2020)</w:t>
                </w:r>
                <w:r w:rsidRPr="00E61D66">
                  <w:rPr>
                    <w:sz w:val="24"/>
                    <w:szCs w:val="24"/>
                  </w:rPr>
                  <w:fldChar w:fldCharType="end"/>
                </w:r>
              </w:sdtContent>
            </w:sdt>
            <w:r w:rsidRPr="00E61D66">
              <w:rPr>
                <w:sz w:val="24"/>
                <w:szCs w:val="24"/>
              </w:rPr>
              <w:t xml:space="preserve">. If a child is 16 or </w:t>
            </w:r>
            <w:proofErr w:type="gramStart"/>
            <w:r w:rsidRPr="00E61D66">
              <w:rPr>
                <w:sz w:val="24"/>
                <w:szCs w:val="24"/>
              </w:rPr>
              <w:t>17</w:t>
            </w:r>
            <w:proofErr w:type="gramEnd"/>
            <w:r w:rsidRPr="00E61D66">
              <w:rPr>
                <w:sz w:val="24"/>
                <w:szCs w:val="24"/>
              </w:rPr>
              <w:t xml:space="preserve"> they would be judged in accordance with the Mental Capacity Act 2005 </w:t>
            </w:r>
            <w:sdt>
              <w:sdtPr>
                <w:rPr>
                  <w:sz w:val="24"/>
                  <w:szCs w:val="24"/>
                </w:rPr>
                <w:id w:val="321403670"/>
                <w:citation/>
              </w:sdtPr>
              <w:sdtContent>
                <w:r w:rsidRPr="00E61D66">
                  <w:rPr>
                    <w:sz w:val="24"/>
                    <w:szCs w:val="24"/>
                  </w:rPr>
                  <w:fldChar w:fldCharType="begin"/>
                </w:r>
                <w:r w:rsidRPr="00E61D66">
                  <w:rPr>
                    <w:sz w:val="24"/>
                    <w:szCs w:val="24"/>
                  </w:rPr>
                  <w:instrText xml:space="preserve"> CITATION Fen11 \l 2057 </w:instrText>
                </w:r>
                <w:r w:rsidRPr="00E61D66">
                  <w:rPr>
                    <w:sz w:val="24"/>
                    <w:szCs w:val="24"/>
                  </w:rPr>
                  <w:fldChar w:fldCharType="separate"/>
                </w:r>
                <w:r w:rsidRPr="00D72028">
                  <w:rPr>
                    <w:noProof/>
                    <w:sz w:val="24"/>
                    <w:szCs w:val="24"/>
                  </w:rPr>
                  <w:t>(Fennell, 2011)</w:t>
                </w:r>
                <w:r w:rsidRPr="00E61D66">
                  <w:rPr>
                    <w:sz w:val="24"/>
                    <w:szCs w:val="24"/>
                  </w:rPr>
                  <w:fldChar w:fldCharType="end"/>
                </w:r>
              </w:sdtContent>
            </w:sdt>
            <w:r w:rsidRPr="00E61D66">
              <w:rPr>
                <w:sz w:val="24"/>
                <w:szCs w:val="24"/>
              </w:rPr>
              <w:t xml:space="preserve">. Nonetheless, adults have the right to make decisions for themselves, however, if they are deemed to not have capacity then decisions can be made in their best interest. This is a decision that needs to be made in accordance with the Mental Capacity Act 2005 </w:t>
            </w:r>
            <w:sdt>
              <w:sdtPr>
                <w:rPr>
                  <w:sz w:val="24"/>
                  <w:szCs w:val="24"/>
                </w:rPr>
                <w:id w:val="-336932652"/>
                <w:citation/>
              </w:sdtPr>
              <w:sdtContent>
                <w:r w:rsidRPr="00E61D66">
                  <w:rPr>
                    <w:sz w:val="24"/>
                    <w:szCs w:val="24"/>
                  </w:rPr>
                  <w:fldChar w:fldCharType="begin"/>
                </w:r>
                <w:r w:rsidRPr="00E61D66">
                  <w:rPr>
                    <w:sz w:val="24"/>
                    <w:szCs w:val="24"/>
                  </w:rPr>
                  <w:instrText xml:space="preserve"> CITATION Hot05 \l 2057 </w:instrText>
                </w:r>
                <w:r w:rsidRPr="00E61D66">
                  <w:rPr>
                    <w:sz w:val="24"/>
                    <w:szCs w:val="24"/>
                  </w:rPr>
                  <w:fldChar w:fldCharType="separate"/>
                </w:r>
                <w:r w:rsidRPr="00D72028">
                  <w:rPr>
                    <w:noProof/>
                    <w:sz w:val="24"/>
                    <w:szCs w:val="24"/>
                  </w:rPr>
                  <w:t>(Hotoph, 2005)</w:t>
                </w:r>
                <w:r w:rsidRPr="00E61D66">
                  <w:rPr>
                    <w:sz w:val="24"/>
                    <w:szCs w:val="24"/>
                  </w:rPr>
                  <w:fldChar w:fldCharType="end"/>
                </w:r>
              </w:sdtContent>
            </w:sdt>
            <w:r w:rsidRPr="00E61D66">
              <w:rPr>
                <w:sz w:val="24"/>
                <w:szCs w:val="24"/>
              </w:rPr>
              <w:t>.</w:t>
            </w:r>
          </w:p>
          <w:p w14:paraId="1309CEA3" w14:textId="77777777" w:rsidR="00F25FA2" w:rsidRPr="00E61D66" w:rsidRDefault="00F25FA2" w:rsidP="00F25FA2">
            <w:pPr>
              <w:spacing w:line="480" w:lineRule="auto"/>
              <w:jc w:val="both"/>
              <w:rPr>
                <w:sz w:val="24"/>
                <w:szCs w:val="24"/>
              </w:rPr>
            </w:pPr>
            <w:r w:rsidRPr="00E61D66">
              <w:rPr>
                <w:sz w:val="24"/>
                <w:szCs w:val="24"/>
              </w:rPr>
              <w:t xml:space="preserve">Throughout interventions with children or adults it is important to consider the theory within the approach. Two of the most effective approaches would be a strengths-based approach and </w:t>
            </w:r>
            <w:proofErr w:type="spellStart"/>
            <w:proofErr w:type="gramStart"/>
            <w:r w:rsidRPr="00E61D66">
              <w:rPr>
                <w:sz w:val="24"/>
                <w:szCs w:val="24"/>
              </w:rPr>
              <w:t>a</w:t>
            </w:r>
            <w:proofErr w:type="spellEnd"/>
            <w:proofErr w:type="gramEnd"/>
            <w:r w:rsidRPr="00E61D66">
              <w:rPr>
                <w:sz w:val="24"/>
                <w:szCs w:val="24"/>
              </w:rPr>
              <w:t xml:space="preserve"> ecological systems approach. A strengths-based approach would allow the worker to work on the service </w:t>
            </w:r>
            <w:proofErr w:type="gramStart"/>
            <w:r w:rsidRPr="00E61D66">
              <w:rPr>
                <w:sz w:val="24"/>
                <w:szCs w:val="24"/>
              </w:rPr>
              <w:t>users</w:t>
            </w:r>
            <w:proofErr w:type="gramEnd"/>
            <w:r w:rsidRPr="00E61D66">
              <w:rPr>
                <w:sz w:val="24"/>
                <w:szCs w:val="24"/>
              </w:rPr>
              <w:t xml:space="preserve"> strengths, highlighting positives within their lives, where by working with a systems approach support networks could be identified within their own social environments.</w:t>
            </w:r>
          </w:p>
          <w:p w14:paraId="7A4906DF" w14:textId="77777777" w:rsidR="00F25FA2" w:rsidRPr="00E61D66" w:rsidRDefault="00F25FA2" w:rsidP="00F25FA2">
            <w:pPr>
              <w:spacing w:line="480" w:lineRule="auto"/>
              <w:jc w:val="both"/>
              <w:rPr>
                <w:sz w:val="24"/>
                <w:szCs w:val="24"/>
              </w:rPr>
            </w:pPr>
            <w:r w:rsidRPr="00E61D66">
              <w:rPr>
                <w:sz w:val="24"/>
                <w:szCs w:val="24"/>
              </w:rPr>
              <w:t>Social work is an ever growing and learning profession, where there is no case similar to the next, however, it is always important to recognise and remember what is best for the service user, whether this is something they can consent to, or whether it has to be enforced due to their lack of capacity at that time.</w:t>
            </w:r>
          </w:p>
          <w:p w14:paraId="5E999A09" w14:textId="77777777" w:rsidR="00F25FA2" w:rsidRDefault="00F25FA2" w:rsidP="00F25FA2">
            <w:pPr>
              <w:jc w:val="both"/>
              <w:rPr>
                <w:sz w:val="24"/>
                <w:szCs w:val="24"/>
              </w:rPr>
            </w:pPr>
          </w:p>
          <w:p w14:paraId="45B74361" w14:textId="65039AF9" w:rsidR="00F25FA2" w:rsidRPr="00D72028" w:rsidRDefault="00F25FA2" w:rsidP="00F25FA2">
            <w:pPr>
              <w:jc w:val="both"/>
              <w:rPr>
                <w:sz w:val="24"/>
                <w:szCs w:val="24"/>
                <w:u w:val="single"/>
              </w:rPr>
            </w:pPr>
            <w:r>
              <w:rPr>
                <w:sz w:val="24"/>
                <w:szCs w:val="24"/>
                <w:u w:val="single"/>
              </w:rPr>
              <w:t>Word Count - 38</w:t>
            </w:r>
            <w:r>
              <w:rPr>
                <w:sz w:val="24"/>
                <w:szCs w:val="24"/>
                <w:u w:val="single"/>
              </w:rPr>
              <w:t>7</w:t>
            </w:r>
          </w:p>
          <w:p w14:paraId="67E7ED72" w14:textId="77777777" w:rsidR="00FC0334" w:rsidRDefault="00FC0334" w:rsidP="00FC0334">
            <w:pPr>
              <w:jc w:val="both"/>
              <w:rPr>
                <w:sz w:val="24"/>
                <w:szCs w:val="24"/>
              </w:rPr>
            </w:pPr>
          </w:p>
          <w:p w14:paraId="478D2F84" w14:textId="77777777" w:rsidR="00FC0334" w:rsidRDefault="00FC0334" w:rsidP="00FC0334">
            <w:pPr>
              <w:jc w:val="both"/>
              <w:rPr>
                <w:sz w:val="24"/>
                <w:szCs w:val="24"/>
              </w:rPr>
            </w:pPr>
          </w:p>
          <w:p w14:paraId="0E64B386" w14:textId="77777777" w:rsidR="00FC0334" w:rsidRDefault="00FC0334" w:rsidP="00FC0334">
            <w:pPr>
              <w:jc w:val="both"/>
              <w:rPr>
                <w:sz w:val="24"/>
                <w:szCs w:val="24"/>
              </w:rPr>
            </w:pPr>
          </w:p>
          <w:p w14:paraId="4847C39E" w14:textId="77777777" w:rsidR="00FC0334" w:rsidRDefault="00FC0334" w:rsidP="00FC0334">
            <w:pPr>
              <w:jc w:val="both"/>
              <w:rPr>
                <w:sz w:val="24"/>
                <w:szCs w:val="24"/>
              </w:rPr>
            </w:pPr>
          </w:p>
          <w:p w14:paraId="04285720" w14:textId="77777777" w:rsidR="00FC0334" w:rsidRDefault="00FC0334" w:rsidP="00FC0334">
            <w:pPr>
              <w:jc w:val="both"/>
              <w:rPr>
                <w:sz w:val="24"/>
                <w:szCs w:val="24"/>
              </w:rPr>
            </w:pPr>
          </w:p>
          <w:p w14:paraId="1AA3081F" w14:textId="77777777" w:rsidR="00FC0334" w:rsidRDefault="00FC0334" w:rsidP="00FC0334">
            <w:pPr>
              <w:jc w:val="both"/>
              <w:rPr>
                <w:sz w:val="24"/>
                <w:szCs w:val="24"/>
              </w:rPr>
            </w:pP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867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25FA2"/>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1145</Words>
  <Characters>6611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Dean Lewis</cp:lastModifiedBy>
  <cp:revision>2</cp:revision>
  <cp:lastPrinted>2020-02-11T19:20:00Z</cp:lastPrinted>
  <dcterms:created xsi:type="dcterms:W3CDTF">2023-10-23T15:13:00Z</dcterms:created>
  <dcterms:modified xsi:type="dcterms:W3CDTF">2023-10-23T15:13:00Z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