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1F1" w:rsidRDefault="006721F1" w:rsidP="006721F1">
      <w:pPr>
        <w:jc w:val="center"/>
        <w:rPr>
          <w:sz w:val="48"/>
          <w:lang w:val="en-GB"/>
        </w:rPr>
      </w:pPr>
    </w:p>
    <w:p w:rsidR="006721F1" w:rsidRPr="006721F1" w:rsidRDefault="006721F1" w:rsidP="006721F1">
      <w:pPr>
        <w:jc w:val="center"/>
        <w:rPr>
          <w:b/>
          <w:sz w:val="56"/>
          <w:lang w:val="en-GB"/>
        </w:rPr>
      </w:pPr>
    </w:p>
    <w:p w:rsidR="006721F1" w:rsidRDefault="000305FF" w:rsidP="006721F1">
      <w:pPr>
        <w:jc w:val="center"/>
        <w:rPr>
          <w:b/>
          <w:sz w:val="56"/>
          <w:lang w:val="en-GB"/>
        </w:rPr>
      </w:pPr>
      <w:r>
        <w:rPr>
          <w:b/>
          <w:sz w:val="56"/>
          <w:lang w:val="en-GB"/>
        </w:rPr>
        <w:t xml:space="preserve"> (M5X01922</w:t>
      </w:r>
      <w:bookmarkStart w:id="0" w:name="_GoBack"/>
      <w:bookmarkEnd w:id="0"/>
      <w:r w:rsidR="00795BFD">
        <w:rPr>
          <w:b/>
          <w:sz w:val="56"/>
          <w:lang w:val="en-GB"/>
        </w:rPr>
        <w:t>)</w:t>
      </w:r>
    </w:p>
    <w:p w:rsidR="006721F1" w:rsidRDefault="006721F1" w:rsidP="006721F1">
      <w:pPr>
        <w:jc w:val="center"/>
        <w:rPr>
          <w:b/>
          <w:sz w:val="56"/>
          <w:lang w:val="en-GB"/>
        </w:rPr>
      </w:pPr>
    </w:p>
    <w:p w:rsidR="006721F1" w:rsidRDefault="006721F1" w:rsidP="006721F1">
      <w:pPr>
        <w:jc w:val="center"/>
        <w:rPr>
          <w:sz w:val="44"/>
          <w:lang w:val="en-GB"/>
        </w:rPr>
      </w:pPr>
      <w:r>
        <w:rPr>
          <w:sz w:val="44"/>
          <w:lang w:val="en-GB"/>
        </w:rPr>
        <w:t>Submitted by:</w:t>
      </w:r>
      <w:r w:rsidR="0030550B">
        <w:rPr>
          <w:sz w:val="44"/>
          <w:lang w:val="en-GB"/>
        </w:rPr>
        <w:t xml:space="preserve"> </w:t>
      </w:r>
      <w:proofErr w:type="spellStart"/>
      <w:r w:rsidR="0030550B">
        <w:rPr>
          <w:sz w:val="44"/>
          <w:lang w:val="en-GB"/>
        </w:rPr>
        <w:t>Stoyanka</w:t>
      </w:r>
      <w:proofErr w:type="spellEnd"/>
      <w:r w:rsidR="0030550B">
        <w:rPr>
          <w:sz w:val="44"/>
          <w:lang w:val="en-GB"/>
        </w:rPr>
        <w:t xml:space="preserve"> </w:t>
      </w:r>
      <w:proofErr w:type="spellStart"/>
      <w:r w:rsidR="0030550B">
        <w:rPr>
          <w:sz w:val="44"/>
          <w:lang w:val="en-GB"/>
        </w:rPr>
        <w:t>Ts</w:t>
      </w:r>
      <w:r w:rsidR="00795BFD">
        <w:rPr>
          <w:sz w:val="44"/>
          <w:lang w:val="en-GB"/>
        </w:rPr>
        <w:t>vetkova</w:t>
      </w:r>
      <w:proofErr w:type="spellEnd"/>
    </w:p>
    <w:p w:rsidR="006721F1" w:rsidRDefault="006721F1" w:rsidP="006721F1">
      <w:pPr>
        <w:jc w:val="center"/>
        <w:rPr>
          <w:sz w:val="44"/>
          <w:lang w:val="en-GB"/>
        </w:rPr>
      </w:pPr>
      <w:r>
        <w:rPr>
          <w:sz w:val="44"/>
          <w:lang w:val="en-GB"/>
        </w:rPr>
        <w:t>Student ID:</w:t>
      </w:r>
      <w:r w:rsidR="00795BFD">
        <w:rPr>
          <w:sz w:val="44"/>
          <w:lang w:val="en-GB"/>
        </w:rPr>
        <w:t xml:space="preserve"> 1815041</w:t>
      </w:r>
    </w:p>
    <w:p w:rsidR="006721F1" w:rsidRDefault="006721F1" w:rsidP="006721F1">
      <w:pPr>
        <w:jc w:val="center"/>
        <w:rPr>
          <w:sz w:val="44"/>
          <w:lang w:val="en-GB"/>
        </w:rPr>
      </w:pPr>
    </w:p>
    <w:p w:rsidR="006721F1" w:rsidRDefault="006721F1" w:rsidP="006721F1">
      <w:pPr>
        <w:jc w:val="center"/>
        <w:rPr>
          <w:sz w:val="44"/>
          <w:lang w:val="en-GB"/>
        </w:rPr>
      </w:pPr>
    </w:p>
    <w:p w:rsidR="006721F1" w:rsidRDefault="006721F1" w:rsidP="006721F1">
      <w:pPr>
        <w:jc w:val="center"/>
        <w:rPr>
          <w:sz w:val="44"/>
          <w:lang w:val="en-GB"/>
        </w:rPr>
      </w:pPr>
    </w:p>
    <w:p w:rsidR="006721F1" w:rsidRDefault="006721F1" w:rsidP="006721F1">
      <w:pPr>
        <w:jc w:val="center"/>
        <w:rPr>
          <w:sz w:val="44"/>
          <w:lang w:val="en-GB"/>
        </w:rPr>
      </w:pPr>
    </w:p>
    <w:p w:rsidR="006721F1" w:rsidRDefault="006721F1" w:rsidP="006721F1">
      <w:pPr>
        <w:jc w:val="center"/>
        <w:rPr>
          <w:sz w:val="44"/>
          <w:lang w:val="en-GB"/>
        </w:rPr>
      </w:pPr>
    </w:p>
    <w:p w:rsidR="006721F1" w:rsidRDefault="006721F1" w:rsidP="006721F1">
      <w:pPr>
        <w:jc w:val="center"/>
        <w:rPr>
          <w:sz w:val="44"/>
          <w:lang w:val="en-GB"/>
        </w:rPr>
      </w:pPr>
    </w:p>
    <w:p w:rsidR="008A62E2" w:rsidRDefault="008A62E2" w:rsidP="006721F1">
      <w:pPr>
        <w:jc w:val="center"/>
        <w:rPr>
          <w:sz w:val="32"/>
          <w:lang w:val="en-GB"/>
        </w:rPr>
      </w:pPr>
      <w:r>
        <w:rPr>
          <w:sz w:val="32"/>
          <w:lang w:val="en-GB"/>
        </w:rPr>
        <w:t>Executive Summary</w:t>
      </w:r>
    </w:p>
    <w:p w:rsidR="008A62E2" w:rsidRDefault="008A62E2" w:rsidP="006721F1">
      <w:pPr>
        <w:jc w:val="center"/>
        <w:rPr>
          <w:sz w:val="32"/>
          <w:lang w:val="en-GB"/>
        </w:rPr>
      </w:pPr>
    </w:p>
    <w:p w:rsidR="008A62E2" w:rsidRDefault="001F5010" w:rsidP="008A62E2">
      <w:pPr>
        <w:rPr>
          <w:lang w:val="en-GB"/>
        </w:rPr>
      </w:pPr>
      <w:r>
        <w:rPr>
          <w:lang w:val="en-GB"/>
        </w:rPr>
        <w:t xml:space="preserve">The overall aim for this report is to make a financial analysis over the chosen hospitality organisation </w:t>
      </w:r>
      <w:proofErr w:type="spellStart"/>
      <w:r>
        <w:rPr>
          <w:lang w:val="en-GB"/>
        </w:rPr>
        <w:t>Ffion</w:t>
      </w:r>
      <w:proofErr w:type="spellEnd"/>
      <w:r>
        <w:rPr>
          <w:lang w:val="en-GB"/>
        </w:rPr>
        <w:t xml:space="preserve"> Limited. This means that aspects of financial accounting such as financial ratios and their indication will be included. Such analysis will be incredibly beneficial in terms of evaluation on the company’s performance and as well as that the KPI (Key Performance Indicators) will be available to examine in more depth.</w:t>
      </w:r>
    </w:p>
    <w:p w:rsidR="001F5010" w:rsidRDefault="00335EE4" w:rsidP="008A62E2">
      <w:pPr>
        <w:rPr>
          <w:lang w:val="en-GB"/>
        </w:rPr>
      </w:pPr>
      <w:r>
        <w:rPr>
          <w:lang w:val="en-GB"/>
        </w:rPr>
        <w:t xml:space="preserve">The report further undertakes an additional analysis over profitability, gearing and liquidity, which relate to </w:t>
      </w:r>
      <w:proofErr w:type="spellStart"/>
      <w:r>
        <w:rPr>
          <w:lang w:val="en-GB"/>
        </w:rPr>
        <w:t>Ffion</w:t>
      </w:r>
      <w:proofErr w:type="spellEnd"/>
      <w:r>
        <w:rPr>
          <w:lang w:val="en-GB"/>
        </w:rPr>
        <w:t xml:space="preserve"> Limited and highlight the areas in requirement for further development. Maintaining end positive results is also an aspect of this analysis. </w:t>
      </w:r>
      <w:r w:rsidR="00E40657">
        <w:rPr>
          <w:lang w:val="en-GB"/>
        </w:rPr>
        <w:t xml:space="preserve">It is important to note that </w:t>
      </w:r>
      <w:r w:rsidR="00E40657">
        <w:rPr>
          <w:lang w:val="en-GB"/>
        </w:rPr>
        <w:lastRenderedPageBreak/>
        <w:t xml:space="preserve">those are vital with the development of profit status for 2017 and 2018 whereby the company was less profitable than average. This meant that costs would be more noticeable in the budget – interests and debts, for example. Nonetheless, the liquidity ratio in turn showed that those were securely covered as long as the </w:t>
      </w:r>
      <w:proofErr w:type="spellStart"/>
      <w:r w:rsidR="00E40657">
        <w:rPr>
          <w:lang w:val="en-GB"/>
        </w:rPr>
        <w:t>Ffion</w:t>
      </w:r>
      <w:proofErr w:type="spellEnd"/>
      <w:r w:rsidR="00E40657">
        <w:rPr>
          <w:lang w:val="en-GB"/>
        </w:rPr>
        <w:t xml:space="preserve"> does not fall more below the average. </w:t>
      </w:r>
    </w:p>
    <w:p w:rsidR="001C6241" w:rsidRDefault="001C6241" w:rsidP="008A62E2">
      <w:pPr>
        <w:rPr>
          <w:lang w:val="en-GB"/>
        </w:rPr>
      </w:pPr>
      <w:r>
        <w:rPr>
          <w:lang w:val="en-GB"/>
        </w:rPr>
        <w:t>Functionality is the last examined key where the acquired information enables managing figures in hospitality organisations to plan ahead. In addition, whenever necessary, the functional ratio analysis will prevent some unwanted situations in financing.</w:t>
      </w:r>
    </w:p>
    <w:p w:rsidR="00E40657" w:rsidRDefault="00E40657" w:rsidP="008A62E2">
      <w:pPr>
        <w:rPr>
          <w:lang w:val="en-GB"/>
        </w:rPr>
      </w:pPr>
    </w:p>
    <w:p w:rsidR="001C6241" w:rsidRDefault="001C6241" w:rsidP="008A62E2">
      <w:pPr>
        <w:rPr>
          <w:lang w:val="en-GB"/>
        </w:rPr>
      </w:pPr>
    </w:p>
    <w:p w:rsidR="001C6241" w:rsidRDefault="001C6241" w:rsidP="008A62E2">
      <w:pPr>
        <w:rPr>
          <w:lang w:val="en-GB"/>
        </w:rPr>
      </w:pPr>
    </w:p>
    <w:p w:rsidR="001C6241" w:rsidRDefault="001C6241" w:rsidP="008A62E2">
      <w:pPr>
        <w:rPr>
          <w:lang w:val="en-GB"/>
        </w:rPr>
      </w:pPr>
    </w:p>
    <w:p w:rsidR="001C6241" w:rsidRDefault="001C6241" w:rsidP="008A62E2">
      <w:pPr>
        <w:rPr>
          <w:lang w:val="en-GB"/>
        </w:rPr>
      </w:pPr>
    </w:p>
    <w:p w:rsidR="001C6241" w:rsidRDefault="001C6241" w:rsidP="008A62E2">
      <w:pPr>
        <w:rPr>
          <w:lang w:val="en-GB"/>
        </w:rPr>
      </w:pPr>
    </w:p>
    <w:p w:rsidR="001C6241" w:rsidRDefault="001C6241" w:rsidP="008A62E2">
      <w:pPr>
        <w:rPr>
          <w:lang w:val="en-GB"/>
        </w:rPr>
      </w:pPr>
    </w:p>
    <w:p w:rsidR="001C6241" w:rsidRDefault="001C6241" w:rsidP="008A62E2">
      <w:pPr>
        <w:rPr>
          <w:lang w:val="en-GB"/>
        </w:rPr>
      </w:pPr>
    </w:p>
    <w:p w:rsidR="001C6241" w:rsidRDefault="001C6241" w:rsidP="008A62E2">
      <w:pPr>
        <w:rPr>
          <w:lang w:val="en-GB"/>
        </w:rPr>
      </w:pPr>
    </w:p>
    <w:p w:rsidR="001C6241" w:rsidRDefault="001C6241" w:rsidP="008A62E2">
      <w:pPr>
        <w:rPr>
          <w:lang w:val="en-GB"/>
        </w:rPr>
      </w:pPr>
    </w:p>
    <w:p w:rsidR="001C6241" w:rsidRDefault="001C6241" w:rsidP="008A62E2">
      <w:pPr>
        <w:rPr>
          <w:lang w:val="en-GB"/>
        </w:rPr>
      </w:pPr>
    </w:p>
    <w:p w:rsidR="001C6241" w:rsidRDefault="001C6241" w:rsidP="008A62E2">
      <w:pPr>
        <w:rPr>
          <w:lang w:val="en-GB"/>
        </w:rPr>
      </w:pPr>
    </w:p>
    <w:p w:rsidR="008A62E2" w:rsidRDefault="008A62E2" w:rsidP="001C6241">
      <w:pPr>
        <w:rPr>
          <w:sz w:val="32"/>
          <w:lang w:val="en-GB"/>
        </w:rPr>
      </w:pPr>
    </w:p>
    <w:p w:rsidR="006721F1" w:rsidRDefault="006721F1" w:rsidP="006721F1">
      <w:pPr>
        <w:jc w:val="center"/>
        <w:rPr>
          <w:sz w:val="32"/>
          <w:lang w:val="en-GB"/>
        </w:rPr>
      </w:pPr>
      <w:r>
        <w:rPr>
          <w:sz w:val="32"/>
          <w:lang w:val="en-GB"/>
        </w:rPr>
        <w:t>Table of Content</w:t>
      </w:r>
    </w:p>
    <w:p w:rsidR="006721F1" w:rsidRDefault="006721F1" w:rsidP="006721F1">
      <w:pPr>
        <w:jc w:val="center"/>
        <w:rPr>
          <w:sz w:val="32"/>
          <w:lang w:val="en-GB"/>
        </w:rPr>
      </w:pPr>
    </w:p>
    <w:p w:rsidR="006721F1" w:rsidRDefault="006721F1" w:rsidP="006721F1">
      <w:pPr>
        <w:rPr>
          <w:lang w:val="en-GB"/>
        </w:rPr>
      </w:pPr>
      <w:r>
        <w:rPr>
          <w:lang w:val="en-GB"/>
        </w:rPr>
        <w:t xml:space="preserve">Introduction . . . . . . . . . . . . . . . . . . . . . . . . . . . . . . . . . . . . . . . . . . . . . . . . . . . </w:t>
      </w:r>
      <w:proofErr w:type="gramStart"/>
      <w:r>
        <w:rPr>
          <w:lang w:val="en-GB"/>
        </w:rPr>
        <w:t>.</w:t>
      </w:r>
      <w:r w:rsidR="0052512B">
        <w:rPr>
          <w:lang w:val="en-GB"/>
        </w:rPr>
        <w:t>4</w:t>
      </w:r>
      <w:proofErr w:type="gramEnd"/>
      <w:r>
        <w:rPr>
          <w:lang w:val="en-GB"/>
        </w:rPr>
        <w:t xml:space="preserve"> </w:t>
      </w:r>
    </w:p>
    <w:p w:rsidR="006721F1" w:rsidRDefault="006721F1" w:rsidP="006721F1">
      <w:pPr>
        <w:rPr>
          <w:lang w:val="en-GB"/>
        </w:rPr>
      </w:pPr>
      <w:r>
        <w:rPr>
          <w:lang w:val="en-GB"/>
        </w:rPr>
        <w:t xml:space="preserve">Financial Analysis . . . . . . . . . . . . . . . . . . . . . . . . . . . . . . . . . . . . . . . . . . . . . . . </w:t>
      </w:r>
      <w:r w:rsidR="0052512B">
        <w:rPr>
          <w:lang w:val="en-GB"/>
        </w:rPr>
        <w:t>5</w:t>
      </w:r>
    </w:p>
    <w:p w:rsidR="006721F1" w:rsidRDefault="006721F1" w:rsidP="006721F1">
      <w:pPr>
        <w:rPr>
          <w:lang w:val="en-GB"/>
        </w:rPr>
      </w:pPr>
      <w:r>
        <w:rPr>
          <w:lang w:val="en-GB"/>
        </w:rPr>
        <w:t xml:space="preserve">Financial Analysis Trends . . . . . . . . . . . . . . . . . . . . . . . . . . . . . . . . . . . . . . . . . </w:t>
      </w:r>
      <w:r w:rsidR="0052512B">
        <w:rPr>
          <w:lang w:val="en-GB"/>
        </w:rPr>
        <w:t>5</w:t>
      </w:r>
    </w:p>
    <w:p w:rsidR="006721F1" w:rsidRDefault="006721F1" w:rsidP="006721F1">
      <w:pPr>
        <w:ind w:firstLine="708"/>
        <w:rPr>
          <w:lang w:val="en-GB"/>
        </w:rPr>
      </w:pPr>
      <w:r>
        <w:rPr>
          <w:lang w:val="en-GB"/>
        </w:rPr>
        <w:t xml:space="preserve">1. Profitability . . . . . . . . . . . . . . . . . . . . . . . . . . . . . . . . . . . . . . . . . . . . . </w:t>
      </w:r>
      <w:r w:rsidR="0052512B">
        <w:rPr>
          <w:lang w:val="en-GB"/>
        </w:rPr>
        <w:t>5-6</w:t>
      </w:r>
    </w:p>
    <w:p w:rsidR="006721F1" w:rsidRDefault="006721F1" w:rsidP="006721F1">
      <w:pPr>
        <w:ind w:firstLine="708"/>
        <w:rPr>
          <w:lang w:val="en-GB"/>
        </w:rPr>
      </w:pPr>
      <w:r>
        <w:rPr>
          <w:lang w:val="en-GB"/>
        </w:rPr>
        <w:t xml:space="preserve">2. Liquidity . . . . . . . . . . . . . . . . . . . . . . . . . . . . . . . . . . . . . . . . . . . . . . </w:t>
      </w:r>
      <w:proofErr w:type="gramStart"/>
      <w:r>
        <w:rPr>
          <w:lang w:val="en-GB"/>
        </w:rPr>
        <w:t>.</w:t>
      </w:r>
      <w:r w:rsidR="0052512B">
        <w:rPr>
          <w:lang w:val="en-GB"/>
        </w:rPr>
        <w:t>6</w:t>
      </w:r>
      <w:proofErr w:type="gramEnd"/>
    </w:p>
    <w:p w:rsidR="006721F1" w:rsidRDefault="006721F1" w:rsidP="006721F1">
      <w:pPr>
        <w:ind w:firstLine="708"/>
        <w:rPr>
          <w:lang w:val="en-GB"/>
        </w:rPr>
      </w:pPr>
      <w:r>
        <w:rPr>
          <w:lang w:val="en-GB"/>
        </w:rPr>
        <w:t xml:space="preserve">3. Gearing . . . . . . . . . . . . . . . . . . . . . . . . . . . . . . . . . . . . . . . . . . . . . . </w:t>
      </w:r>
      <w:proofErr w:type="gramStart"/>
      <w:r>
        <w:rPr>
          <w:lang w:val="en-GB"/>
        </w:rPr>
        <w:t>.</w:t>
      </w:r>
      <w:r w:rsidR="0052512B">
        <w:rPr>
          <w:lang w:val="en-GB"/>
        </w:rPr>
        <w:t>7</w:t>
      </w:r>
      <w:proofErr w:type="gramEnd"/>
    </w:p>
    <w:p w:rsidR="006721F1" w:rsidRDefault="006721F1" w:rsidP="006721F1">
      <w:pPr>
        <w:rPr>
          <w:lang w:val="en-GB"/>
        </w:rPr>
      </w:pPr>
      <w:r>
        <w:rPr>
          <w:lang w:val="en-GB"/>
        </w:rPr>
        <w:lastRenderedPageBreak/>
        <w:t xml:space="preserve">Knowledge from Ratio Analysis . . . . . . . . . . . . . . . . . . . . . . . . . . . . . . . . . . . . </w:t>
      </w:r>
      <w:r w:rsidR="0052512B">
        <w:rPr>
          <w:lang w:val="en-GB"/>
        </w:rPr>
        <w:t>7</w:t>
      </w:r>
    </w:p>
    <w:p w:rsidR="006721F1" w:rsidRDefault="006721F1" w:rsidP="001305C8">
      <w:pPr>
        <w:rPr>
          <w:lang w:val="en-GB"/>
        </w:rPr>
      </w:pPr>
      <w:r>
        <w:rPr>
          <w:lang w:val="en-GB"/>
        </w:rPr>
        <w:t xml:space="preserve">Benefits and Limitations  . . . . . . . . . . . . . . . . . . . . . . . . . . . . . . . . . . </w:t>
      </w:r>
      <w:r w:rsidR="0052512B">
        <w:rPr>
          <w:lang w:val="en-GB"/>
        </w:rPr>
        <w:t>7</w:t>
      </w:r>
    </w:p>
    <w:p w:rsidR="006721F1" w:rsidRDefault="006721F1" w:rsidP="006721F1">
      <w:pPr>
        <w:rPr>
          <w:lang w:val="en-GB"/>
        </w:rPr>
      </w:pPr>
      <w:r>
        <w:rPr>
          <w:lang w:val="en-GB"/>
        </w:rPr>
        <w:t xml:space="preserve">Conclusion . . . . . . . . . . . . . . . . . . . . . . . . . . . . . . . . . . . . . . . . . . . . . . . . . . . </w:t>
      </w:r>
      <w:proofErr w:type="gramStart"/>
      <w:r>
        <w:rPr>
          <w:lang w:val="en-GB"/>
        </w:rPr>
        <w:t>.</w:t>
      </w:r>
      <w:r w:rsidR="0052512B">
        <w:rPr>
          <w:lang w:val="en-GB"/>
        </w:rPr>
        <w:t>7</w:t>
      </w:r>
      <w:proofErr w:type="gramEnd"/>
    </w:p>
    <w:p w:rsidR="006721F1" w:rsidRDefault="006721F1" w:rsidP="006721F1">
      <w:pPr>
        <w:rPr>
          <w:lang w:val="en-GB"/>
        </w:rPr>
      </w:pPr>
      <w:r>
        <w:rPr>
          <w:lang w:val="en-GB"/>
        </w:rPr>
        <w:t xml:space="preserve">References  . . . . . . . . . . . . . . . . . . . . . . . . . . . . . . . . . . . . . . . . . . . . . . . . . . . </w:t>
      </w:r>
      <w:proofErr w:type="gramStart"/>
      <w:r>
        <w:rPr>
          <w:lang w:val="en-GB"/>
        </w:rPr>
        <w:t>.</w:t>
      </w:r>
      <w:r w:rsidR="0052512B">
        <w:rPr>
          <w:lang w:val="en-GB"/>
        </w:rPr>
        <w:t>8</w:t>
      </w:r>
      <w:proofErr w:type="gramEnd"/>
    </w:p>
    <w:p w:rsidR="006721F1" w:rsidRDefault="006721F1" w:rsidP="006721F1">
      <w:pPr>
        <w:rPr>
          <w:lang w:val="en-GB"/>
        </w:rPr>
      </w:pPr>
    </w:p>
    <w:p w:rsidR="006C6447" w:rsidRDefault="006C6447" w:rsidP="006721F1">
      <w:pPr>
        <w:rPr>
          <w:lang w:val="en-GB"/>
        </w:rPr>
      </w:pPr>
    </w:p>
    <w:p w:rsidR="006721F1" w:rsidRDefault="006721F1" w:rsidP="006721F1">
      <w:pPr>
        <w:rPr>
          <w:lang w:val="en-GB"/>
        </w:rPr>
      </w:pPr>
    </w:p>
    <w:p w:rsidR="006721F1" w:rsidRDefault="006721F1" w:rsidP="006721F1">
      <w:pPr>
        <w:rPr>
          <w:lang w:val="en-GB"/>
        </w:rPr>
      </w:pPr>
    </w:p>
    <w:p w:rsidR="006721F1" w:rsidRDefault="006721F1" w:rsidP="006721F1">
      <w:pPr>
        <w:rPr>
          <w:lang w:val="en-GB"/>
        </w:rPr>
      </w:pPr>
    </w:p>
    <w:p w:rsidR="006721F1" w:rsidRDefault="006721F1" w:rsidP="006721F1">
      <w:pPr>
        <w:rPr>
          <w:lang w:val="en-GB"/>
        </w:rPr>
      </w:pPr>
    </w:p>
    <w:p w:rsidR="006721F1" w:rsidRDefault="006721F1" w:rsidP="006721F1">
      <w:pPr>
        <w:rPr>
          <w:lang w:val="en-GB"/>
        </w:rPr>
      </w:pPr>
    </w:p>
    <w:p w:rsidR="006721F1" w:rsidRDefault="006721F1" w:rsidP="006721F1">
      <w:pPr>
        <w:rPr>
          <w:lang w:val="en-GB"/>
        </w:rPr>
      </w:pPr>
    </w:p>
    <w:p w:rsidR="006721F1" w:rsidRDefault="006721F1" w:rsidP="006721F1">
      <w:pPr>
        <w:rPr>
          <w:lang w:val="en-GB"/>
        </w:rPr>
      </w:pPr>
    </w:p>
    <w:p w:rsidR="006721F1" w:rsidRDefault="006721F1" w:rsidP="006721F1">
      <w:pPr>
        <w:rPr>
          <w:lang w:val="en-GB"/>
        </w:rPr>
      </w:pPr>
    </w:p>
    <w:p w:rsidR="006721F1" w:rsidRDefault="006721F1" w:rsidP="006721F1">
      <w:pPr>
        <w:rPr>
          <w:lang w:val="en-GB"/>
        </w:rPr>
      </w:pPr>
    </w:p>
    <w:p w:rsidR="006721F1" w:rsidRDefault="006721F1" w:rsidP="006721F1">
      <w:pPr>
        <w:rPr>
          <w:lang w:val="en-GB"/>
        </w:rPr>
      </w:pPr>
    </w:p>
    <w:p w:rsidR="006721F1" w:rsidRDefault="006721F1" w:rsidP="006721F1">
      <w:pPr>
        <w:rPr>
          <w:lang w:val="en-GB"/>
        </w:rPr>
      </w:pPr>
    </w:p>
    <w:p w:rsidR="006721F1" w:rsidRDefault="006721F1" w:rsidP="006721F1">
      <w:pPr>
        <w:rPr>
          <w:lang w:val="en-GB"/>
        </w:rPr>
      </w:pPr>
    </w:p>
    <w:p w:rsidR="006721F1" w:rsidRDefault="006721F1" w:rsidP="006721F1">
      <w:pPr>
        <w:rPr>
          <w:lang w:val="en-GB"/>
        </w:rPr>
      </w:pPr>
    </w:p>
    <w:p w:rsidR="006721F1" w:rsidRPr="001C6241" w:rsidRDefault="006721F1" w:rsidP="006721F1">
      <w:pPr>
        <w:rPr>
          <w:b/>
          <w:lang w:val="en-GB"/>
        </w:rPr>
      </w:pPr>
      <w:r w:rsidRPr="001C6241">
        <w:rPr>
          <w:b/>
          <w:lang w:val="en-GB"/>
        </w:rPr>
        <w:t>Introduction</w:t>
      </w:r>
    </w:p>
    <w:p w:rsidR="001C6241" w:rsidRDefault="001C6241" w:rsidP="006721F1">
      <w:pPr>
        <w:rPr>
          <w:lang w:val="en-GB"/>
        </w:rPr>
      </w:pPr>
      <w:r>
        <w:rPr>
          <w:lang w:val="en-GB"/>
        </w:rPr>
        <w:t>Ratio analysis is essential in financial accounting due to the fact that it allows businesses including the ones in the hospitality industry to have access to their own financial resources and performance in operational and administrative tasks</w:t>
      </w:r>
      <w:r w:rsidR="006C6447">
        <w:rPr>
          <w:lang w:val="en-GB"/>
        </w:rPr>
        <w:t xml:space="preserve"> </w:t>
      </w:r>
      <w:r w:rsidR="006C6447" w:rsidRPr="006C6447">
        <w:t>(</w:t>
      </w:r>
      <w:proofErr w:type="spellStart"/>
      <w:r w:rsidR="006C6447" w:rsidRPr="006C6447">
        <w:t>Defranco</w:t>
      </w:r>
      <w:proofErr w:type="spellEnd"/>
      <w:r w:rsidR="006C6447" w:rsidRPr="006C6447">
        <w:t xml:space="preserve"> and </w:t>
      </w:r>
      <w:proofErr w:type="spellStart"/>
      <w:r w:rsidR="006C6447" w:rsidRPr="006C6447">
        <w:t>Lattin</w:t>
      </w:r>
      <w:proofErr w:type="spellEnd"/>
      <w:r w:rsidR="006C6447" w:rsidRPr="006C6447">
        <w:t>, 2007)</w:t>
      </w:r>
      <w:r>
        <w:rPr>
          <w:lang w:val="en-GB"/>
        </w:rPr>
        <w:t>. There is more than one type of ratio analysis, some of which will be explained in this report in the consecutive paragraphs.</w:t>
      </w:r>
    </w:p>
    <w:p w:rsidR="00D4223A" w:rsidRDefault="001C6241" w:rsidP="006721F1">
      <w:pPr>
        <w:rPr>
          <w:lang w:val="en-GB"/>
        </w:rPr>
      </w:pPr>
      <w:r>
        <w:rPr>
          <w:lang w:val="en-GB"/>
        </w:rPr>
        <w:t xml:space="preserve">It is important to note that there is some evidence provided in the report from a current point to a 2 year period. This may not be ideal as there is a range of trends which have to be thoroughly looked upon with reference in the hospitality industry. Providing such data may prove to be problematic in the sense that </w:t>
      </w:r>
      <w:r w:rsidR="00D4223A">
        <w:rPr>
          <w:lang w:val="en-GB"/>
        </w:rPr>
        <w:t xml:space="preserve">outlying figures and trends may now take a different development that they would originally. Nonetheless, in any speculation for a </w:t>
      </w:r>
      <w:r w:rsidR="00D4223A">
        <w:rPr>
          <w:lang w:val="en-GB"/>
        </w:rPr>
        <w:lastRenderedPageBreak/>
        <w:t xml:space="preserve">change, this would be addressed with the respective figure and future prognosis over the fluctuation. </w:t>
      </w:r>
    </w:p>
    <w:p w:rsidR="001C6241" w:rsidRDefault="00D4223A" w:rsidP="006721F1">
      <w:pPr>
        <w:rPr>
          <w:lang w:val="en-GB"/>
        </w:rPr>
      </w:pPr>
      <w:r>
        <w:rPr>
          <w:lang w:val="en-GB"/>
        </w:rPr>
        <w:t>Furthermore, ratio analysis is required to be compared to a previous numerical result as it will have more weighting in respect to the company’s performance rate. The source of comparison will be an industrial benchmark from a standard type. This is not to claim that the only key performance indicators (KPIs) originate purely from financial assessments as there are other non-financial KPIs for further necessary investigation. This will make the research on this report comparatively more reliable and credible when explaining evidentiary support</w:t>
      </w:r>
      <w:r w:rsidR="006C6447">
        <w:rPr>
          <w:lang w:val="en-GB"/>
        </w:rPr>
        <w:t xml:space="preserve"> </w:t>
      </w:r>
      <w:r w:rsidR="006C6447">
        <w:t>(Tsai, Pan and Lee, 2011)</w:t>
      </w:r>
      <w:r>
        <w:rPr>
          <w:lang w:val="en-GB"/>
        </w:rPr>
        <w:t xml:space="preserve">. </w:t>
      </w:r>
    </w:p>
    <w:p w:rsidR="00D4223A" w:rsidRDefault="00D4223A" w:rsidP="006721F1">
      <w:pPr>
        <w:rPr>
          <w:lang w:val="en-GB"/>
        </w:rPr>
      </w:pPr>
      <w:r>
        <w:rPr>
          <w:lang w:val="en-GB"/>
        </w:rPr>
        <w:t>Some examples of non-financial KPIs may involve acceptance rate in job offering, worker performance rate and output, worker retention as well as satisfaction and so on. According to research on business performance (regardless of the given industry), the high proactivity and motivation in the workers reflect upon a much better general corporative performance of the company which many times provides a competitive edge to it.</w:t>
      </w:r>
    </w:p>
    <w:p w:rsidR="00D4223A" w:rsidRPr="006C6447" w:rsidRDefault="00D4223A" w:rsidP="006721F1">
      <w:pPr>
        <w:rPr>
          <w:lang w:val="bg-BG"/>
        </w:rPr>
      </w:pPr>
      <w:r>
        <w:rPr>
          <w:lang w:val="en-GB"/>
        </w:rPr>
        <w:t xml:space="preserve">The other non-financial KPIs </w:t>
      </w:r>
      <w:proofErr w:type="gramStart"/>
      <w:r w:rsidR="00721FF1">
        <w:rPr>
          <w:lang w:val="en-GB"/>
        </w:rPr>
        <w:t>is</w:t>
      </w:r>
      <w:proofErr w:type="gramEnd"/>
      <w:r w:rsidR="00721FF1">
        <w:rPr>
          <w:lang w:val="en-GB"/>
        </w:rPr>
        <w:t xml:space="preserve"> customer satisfaction – loyalty and guest satisfaction, to be exact. If the customers receive good or excellent service, they will give this consequent review in their feedback form or more often return to the hotel for another holiday. This means that the business is performing in a good manner in the provision of customer service</w:t>
      </w:r>
      <w:r w:rsidR="006C6447">
        <w:rPr>
          <w:lang w:val="en-GB"/>
        </w:rPr>
        <w:t xml:space="preserve"> </w:t>
      </w:r>
      <w:r w:rsidR="006C6447" w:rsidRPr="006C6447">
        <w:rPr>
          <w:lang w:val="bg-BG"/>
        </w:rPr>
        <w:t>(</w:t>
      </w:r>
      <w:proofErr w:type="spellStart"/>
      <w:r w:rsidR="006C6447" w:rsidRPr="006C6447">
        <w:rPr>
          <w:lang w:val="bg-BG"/>
        </w:rPr>
        <w:t>Helgesen</w:t>
      </w:r>
      <w:proofErr w:type="spellEnd"/>
      <w:r w:rsidR="006C6447" w:rsidRPr="006C6447">
        <w:rPr>
          <w:lang w:val="bg-BG"/>
        </w:rPr>
        <w:t>, 2007)</w:t>
      </w:r>
      <w:r w:rsidR="00721FF1">
        <w:rPr>
          <w:lang w:val="en-GB"/>
        </w:rPr>
        <w:t>.</w:t>
      </w:r>
    </w:p>
    <w:p w:rsidR="001C6241" w:rsidRDefault="001C6241" w:rsidP="006721F1">
      <w:pPr>
        <w:rPr>
          <w:lang w:val="en-GB"/>
        </w:rPr>
      </w:pPr>
    </w:p>
    <w:p w:rsidR="001C6241" w:rsidRDefault="001C6241" w:rsidP="006721F1">
      <w:pPr>
        <w:rPr>
          <w:lang w:val="en-GB"/>
        </w:rPr>
      </w:pPr>
    </w:p>
    <w:p w:rsidR="001C6241" w:rsidRDefault="001C6241" w:rsidP="006721F1">
      <w:pPr>
        <w:rPr>
          <w:lang w:val="en-GB"/>
        </w:rPr>
      </w:pPr>
    </w:p>
    <w:p w:rsidR="00721FF1" w:rsidRDefault="00721FF1" w:rsidP="006721F1">
      <w:pPr>
        <w:rPr>
          <w:lang w:val="en-GB"/>
        </w:rPr>
      </w:pPr>
    </w:p>
    <w:p w:rsidR="00721FF1" w:rsidRDefault="00721FF1" w:rsidP="006721F1">
      <w:pPr>
        <w:rPr>
          <w:lang w:val="en-GB"/>
        </w:rPr>
      </w:pPr>
    </w:p>
    <w:p w:rsidR="00721FF1" w:rsidRDefault="00721FF1" w:rsidP="006721F1">
      <w:pPr>
        <w:rPr>
          <w:lang w:val="en-GB"/>
        </w:rPr>
      </w:pPr>
    </w:p>
    <w:p w:rsidR="001C6241" w:rsidRDefault="001C6241" w:rsidP="006721F1">
      <w:pPr>
        <w:rPr>
          <w:lang w:val="en-GB"/>
        </w:rPr>
      </w:pPr>
    </w:p>
    <w:p w:rsidR="006721F1" w:rsidRPr="00721FF1" w:rsidRDefault="006721F1" w:rsidP="006721F1">
      <w:pPr>
        <w:rPr>
          <w:b/>
          <w:lang w:val="en-GB"/>
        </w:rPr>
      </w:pPr>
      <w:r w:rsidRPr="00721FF1">
        <w:rPr>
          <w:b/>
          <w:lang w:val="en-GB"/>
        </w:rPr>
        <w:t>Financial Analysis</w:t>
      </w:r>
    </w:p>
    <w:p w:rsidR="00721FF1" w:rsidRDefault="00721FF1" w:rsidP="006721F1">
      <w:pPr>
        <w:rPr>
          <w:lang w:val="en-GB"/>
        </w:rPr>
      </w:pPr>
      <w:r>
        <w:rPr>
          <w:lang w:val="en-GB"/>
        </w:rPr>
        <w:t>Present Graph</w:t>
      </w:r>
    </w:p>
    <w:tbl>
      <w:tblPr>
        <w:tblStyle w:val="1"/>
        <w:tblW w:w="0" w:type="auto"/>
        <w:tblLook w:val="04A0" w:firstRow="1" w:lastRow="0" w:firstColumn="1" w:lastColumn="0" w:noHBand="0" w:noVBand="1"/>
      </w:tblPr>
      <w:tblGrid>
        <w:gridCol w:w="3070"/>
        <w:gridCol w:w="3071"/>
        <w:gridCol w:w="3071"/>
      </w:tblGrid>
      <w:tr w:rsidR="00795BFD" w:rsidRPr="00795BFD" w:rsidTr="00757A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Borders>
              <w:top w:val="single" w:sz="4" w:space="0" w:color="auto"/>
              <w:left w:val="single" w:sz="4" w:space="0" w:color="auto"/>
              <w:bottom w:val="single" w:sz="4" w:space="0" w:color="auto"/>
            </w:tcBorders>
          </w:tcPr>
          <w:p w:rsidR="00795BFD" w:rsidRPr="00795BFD" w:rsidRDefault="00795BFD" w:rsidP="00795BFD">
            <w:pPr>
              <w:shd w:val="clear" w:color="auto" w:fill="FBD4B4" w:themeFill="accent6" w:themeFillTint="66"/>
              <w:rPr>
                <w:rFonts w:ascii="Times New Roman" w:hAnsi="Times New Roman" w:cs="Times New Roman"/>
                <w:szCs w:val="24"/>
                <w:lang w:val="en-AU"/>
              </w:rPr>
            </w:pPr>
            <w:r w:rsidRPr="00795BFD">
              <w:rPr>
                <w:rFonts w:ascii="Times New Roman" w:hAnsi="Times New Roman" w:cs="Times New Roman"/>
                <w:szCs w:val="24"/>
                <w:lang w:val="en-AU"/>
              </w:rPr>
              <w:t>Ratio</w:t>
            </w:r>
          </w:p>
        </w:tc>
        <w:tc>
          <w:tcPr>
            <w:tcW w:w="3071" w:type="dxa"/>
            <w:tcBorders>
              <w:top w:val="single" w:sz="4" w:space="0" w:color="auto"/>
              <w:bottom w:val="single" w:sz="4" w:space="0" w:color="auto"/>
            </w:tcBorders>
          </w:tcPr>
          <w:p w:rsidR="00795BFD" w:rsidRPr="00795BFD" w:rsidRDefault="00795BFD" w:rsidP="00795BFD">
            <w:pPr>
              <w:shd w:val="clear" w:color="auto" w:fill="FBD4B4" w:themeFill="accent6" w:themeFillTint="66"/>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2017</w:t>
            </w:r>
          </w:p>
        </w:tc>
        <w:tc>
          <w:tcPr>
            <w:tcW w:w="3071" w:type="dxa"/>
            <w:tcBorders>
              <w:top w:val="single" w:sz="4" w:space="0" w:color="auto"/>
              <w:bottom w:val="single" w:sz="4" w:space="0" w:color="auto"/>
              <w:right w:val="single" w:sz="4" w:space="0" w:color="auto"/>
            </w:tcBorders>
          </w:tcPr>
          <w:p w:rsidR="00795BFD" w:rsidRPr="00795BFD" w:rsidRDefault="00795BFD" w:rsidP="00795BFD">
            <w:pPr>
              <w:shd w:val="clear" w:color="auto" w:fill="FBD4B4" w:themeFill="accent6" w:themeFillTint="66"/>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2018</w:t>
            </w:r>
          </w:p>
        </w:tc>
      </w:tr>
      <w:tr w:rsidR="00795BFD" w:rsidRPr="00795BFD" w:rsidTr="00757A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Borders>
              <w:top w:val="single" w:sz="4" w:space="0" w:color="auto"/>
            </w:tcBorders>
          </w:tcPr>
          <w:p w:rsidR="00795BFD" w:rsidRPr="00795BFD" w:rsidRDefault="00795BFD" w:rsidP="00795BFD">
            <w:pPr>
              <w:shd w:val="clear" w:color="auto" w:fill="FBD4B4" w:themeFill="accent6" w:themeFillTint="66"/>
              <w:rPr>
                <w:rFonts w:ascii="Times New Roman" w:hAnsi="Times New Roman" w:cs="Times New Roman"/>
                <w:szCs w:val="24"/>
                <w:lang w:val="en-AU"/>
              </w:rPr>
            </w:pPr>
            <w:r w:rsidRPr="00795BFD">
              <w:rPr>
                <w:rFonts w:ascii="Times New Roman" w:hAnsi="Times New Roman" w:cs="Times New Roman"/>
                <w:szCs w:val="24"/>
                <w:lang w:val="en-AU"/>
              </w:rPr>
              <w:t>Gross Profit</w:t>
            </w:r>
          </w:p>
        </w:tc>
        <w:tc>
          <w:tcPr>
            <w:tcW w:w="3071" w:type="dxa"/>
            <w:tcBorders>
              <w:top w:val="single" w:sz="4" w:space="0" w:color="auto"/>
            </w:tcBorders>
          </w:tcPr>
          <w:p w:rsidR="00795BFD" w:rsidRPr="00795BFD" w:rsidRDefault="00795BFD" w:rsidP="00795BFD">
            <w:pPr>
              <w:shd w:val="clear" w:color="auto" w:fill="FBD4B4" w:themeFill="accent6" w:themeFillTint="66"/>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(2100/9000*100)= 23.3</w:t>
            </w:r>
          </w:p>
        </w:tc>
        <w:tc>
          <w:tcPr>
            <w:tcW w:w="3071" w:type="dxa"/>
            <w:tcBorders>
              <w:top w:val="single" w:sz="4" w:space="0" w:color="auto"/>
            </w:tcBorders>
          </w:tcPr>
          <w:p w:rsidR="00795BFD" w:rsidRPr="00795BFD" w:rsidRDefault="00795BFD" w:rsidP="00795BFD">
            <w:pPr>
              <w:shd w:val="clear" w:color="auto" w:fill="FBD4B4" w:themeFill="accent6" w:themeFillTint="66"/>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(1850/9500*100)=</w:t>
            </w:r>
            <w:r w:rsidRPr="00795BFD">
              <w:rPr>
                <w:rFonts w:ascii="Times New Roman" w:hAnsi="Times New Roman" w:cs="Times New Roman"/>
                <w:sz w:val="22"/>
                <w:lang w:val="en-AU"/>
              </w:rPr>
              <w:t xml:space="preserve"> </w:t>
            </w:r>
            <w:r w:rsidRPr="00795BFD">
              <w:rPr>
                <w:rFonts w:ascii="Times New Roman" w:hAnsi="Times New Roman" w:cs="Times New Roman"/>
                <w:szCs w:val="24"/>
                <w:lang w:val="en-AU"/>
              </w:rPr>
              <w:t>19.47</w:t>
            </w:r>
          </w:p>
        </w:tc>
      </w:tr>
      <w:tr w:rsidR="00795BFD" w:rsidRPr="00795BFD" w:rsidTr="00757A03">
        <w:tc>
          <w:tcPr>
            <w:cnfStyle w:val="001000000000" w:firstRow="0" w:lastRow="0" w:firstColumn="1" w:lastColumn="0" w:oddVBand="0" w:evenVBand="0" w:oddHBand="0" w:evenHBand="0" w:firstRowFirstColumn="0" w:firstRowLastColumn="0" w:lastRowFirstColumn="0" w:lastRowLastColumn="0"/>
            <w:tcW w:w="3070" w:type="dxa"/>
          </w:tcPr>
          <w:p w:rsidR="00795BFD" w:rsidRPr="00795BFD" w:rsidRDefault="00795BFD" w:rsidP="00795BFD">
            <w:pPr>
              <w:shd w:val="clear" w:color="auto" w:fill="FBD4B4" w:themeFill="accent6" w:themeFillTint="66"/>
              <w:rPr>
                <w:rFonts w:ascii="Times New Roman" w:hAnsi="Times New Roman" w:cs="Times New Roman"/>
                <w:szCs w:val="24"/>
                <w:lang w:val="en-AU"/>
              </w:rPr>
            </w:pPr>
            <w:r w:rsidRPr="00795BFD">
              <w:rPr>
                <w:rFonts w:ascii="Times New Roman" w:hAnsi="Times New Roman" w:cs="Times New Roman"/>
                <w:szCs w:val="24"/>
                <w:lang w:val="en-AU"/>
              </w:rPr>
              <w:t>Net Profit</w:t>
            </w:r>
          </w:p>
        </w:tc>
        <w:tc>
          <w:tcPr>
            <w:tcW w:w="3071" w:type="dxa"/>
          </w:tcPr>
          <w:p w:rsidR="00795BFD" w:rsidRPr="00795BFD" w:rsidRDefault="00795BFD" w:rsidP="00795BFD">
            <w:pPr>
              <w:shd w:val="clear" w:color="auto" w:fill="FBD4B4" w:themeFill="accent6" w:themeFillTint="66"/>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(623/9000*100)= 6.92</w:t>
            </w:r>
          </w:p>
        </w:tc>
        <w:tc>
          <w:tcPr>
            <w:tcW w:w="3071" w:type="dxa"/>
          </w:tcPr>
          <w:p w:rsidR="00795BFD" w:rsidRPr="00795BFD" w:rsidRDefault="00795BFD" w:rsidP="00795BFD">
            <w:pPr>
              <w:shd w:val="clear" w:color="auto" w:fill="FBD4B4" w:themeFill="accent6" w:themeFillTint="66"/>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(307/9500*100)=</w:t>
            </w:r>
            <w:r w:rsidRPr="00795BFD">
              <w:rPr>
                <w:rFonts w:ascii="Times New Roman" w:hAnsi="Times New Roman" w:cs="Times New Roman"/>
                <w:sz w:val="22"/>
                <w:lang w:val="en-AU"/>
              </w:rPr>
              <w:t xml:space="preserve"> </w:t>
            </w:r>
            <w:r w:rsidRPr="00795BFD">
              <w:rPr>
                <w:rFonts w:ascii="Times New Roman" w:hAnsi="Times New Roman" w:cs="Times New Roman"/>
                <w:szCs w:val="24"/>
                <w:lang w:val="en-AU"/>
              </w:rPr>
              <w:t>3.23</w:t>
            </w:r>
          </w:p>
        </w:tc>
      </w:tr>
      <w:tr w:rsidR="00795BFD" w:rsidRPr="00795BFD" w:rsidTr="00757A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rsidR="00795BFD" w:rsidRPr="00795BFD" w:rsidRDefault="00795BFD" w:rsidP="00795BFD">
            <w:pPr>
              <w:shd w:val="clear" w:color="auto" w:fill="FBD4B4" w:themeFill="accent6" w:themeFillTint="66"/>
              <w:rPr>
                <w:rFonts w:ascii="Times New Roman" w:hAnsi="Times New Roman" w:cs="Times New Roman"/>
                <w:szCs w:val="24"/>
                <w:lang w:val="en-AU"/>
              </w:rPr>
            </w:pPr>
            <w:r w:rsidRPr="00795BFD">
              <w:rPr>
                <w:rFonts w:ascii="Times New Roman" w:hAnsi="Times New Roman" w:cs="Times New Roman"/>
                <w:szCs w:val="24"/>
                <w:lang w:val="en-AU"/>
              </w:rPr>
              <w:t>ROCE</w:t>
            </w:r>
          </w:p>
        </w:tc>
        <w:tc>
          <w:tcPr>
            <w:tcW w:w="3071" w:type="dxa"/>
          </w:tcPr>
          <w:p w:rsidR="00795BFD" w:rsidRPr="00795BFD" w:rsidRDefault="00795BFD" w:rsidP="00795BFD">
            <w:pPr>
              <w:shd w:val="clear" w:color="auto" w:fill="FBD4B4" w:themeFill="accent6" w:themeFillTint="66"/>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(623+10/2684*100)= 23.58</w:t>
            </w:r>
          </w:p>
        </w:tc>
        <w:tc>
          <w:tcPr>
            <w:tcW w:w="3071" w:type="dxa"/>
          </w:tcPr>
          <w:p w:rsidR="00795BFD" w:rsidRPr="00795BFD" w:rsidRDefault="00795BFD" w:rsidP="00795BFD">
            <w:pPr>
              <w:shd w:val="clear" w:color="auto" w:fill="FBD4B4" w:themeFill="accent6" w:themeFillTint="66"/>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(307+9/3014*100)=10.48</w:t>
            </w:r>
          </w:p>
        </w:tc>
      </w:tr>
      <w:tr w:rsidR="00795BFD" w:rsidRPr="00795BFD" w:rsidTr="00757A03">
        <w:tc>
          <w:tcPr>
            <w:cnfStyle w:val="001000000000" w:firstRow="0" w:lastRow="0" w:firstColumn="1" w:lastColumn="0" w:oddVBand="0" w:evenVBand="0" w:oddHBand="0" w:evenHBand="0" w:firstRowFirstColumn="0" w:firstRowLastColumn="0" w:lastRowFirstColumn="0" w:lastRowLastColumn="0"/>
            <w:tcW w:w="3070" w:type="dxa"/>
          </w:tcPr>
          <w:p w:rsidR="00795BFD" w:rsidRPr="00795BFD" w:rsidRDefault="00795BFD" w:rsidP="00795BFD">
            <w:pPr>
              <w:shd w:val="clear" w:color="auto" w:fill="FBD4B4" w:themeFill="accent6" w:themeFillTint="66"/>
              <w:rPr>
                <w:rFonts w:ascii="Times New Roman" w:hAnsi="Times New Roman" w:cs="Times New Roman"/>
                <w:szCs w:val="24"/>
                <w:lang w:val="en-AU"/>
              </w:rPr>
            </w:pPr>
            <w:r w:rsidRPr="00795BFD">
              <w:rPr>
                <w:rFonts w:ascii="Times New Roman" w:hAnsi="Times New Roman" w:cs="Times New Roman"/>
                <w:szCs w:val="24"/>
                <w:lang w:val="en-AU"/>
              </w:rPr>
              <w:t xml:space="preserve">Total Assets Turnover </w:t>
            </w:r>
          </w:p>
        </w:tc>
        <w:tc>
          <w:tcPr>
            <w:tcW w:w="3071" w:type="dxa"/>
          </w:tcPr>
          <w:p w:rsidR="00795BFD" w:rsidRPr="00795BFD" w:rsidRDefault="00795BFD" w:rsidP="00795BFD">
            <w:pPr>
              <w:shd w:val="clear" w:color="auto" w:fill="FBD4B4" w:themeFill="accent6" w:themeFillTint="66"/>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(9000/2684)= 3.35</w:t>
            </w:r>
          </w:p>
        </w:tc>
        <w:tc>
          <w:tcPr>
            <w:tcW w:w="3071" w:type="dxa"/>
          </w:tcPr>
          <w:p w:rsidR="00795BFD" w:rsidRPr="00795BFD" w:rsidRDefault="00795BFD" w:rsidP="00795BFD">
            <w:pPr>
              <w:shd w:val="clear" w:color="auto" w:fill="FBD4B4" w:themeFill="accent6" w:themeFillTint="66"/>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(9500/3014)=</w:t>
            </w:r>
            <w:r w:rsidRPr="00795BFD">
              <w:rPr>
                <w:rFonts w:ascii="Times New Roman" w:hAnsi="Times New Roman" w:cs="Times New Roman"/>
                <w:sz w:val="22"/>
                <w:lang w:val="en-AU"/>
              </w:rPr>
              <w:t xml:space="preserve"> </w:t>
            </w:r>
            <w:r w:rsidRPr="00795BFD">
              <w:rPr>
                <w:rFonts w:ascii="Times New Roman" w:hAnsi="Times New Roman" w:cs="Times New Roman"/>
                <w:szCs w:val="24"/>
                <w:lang w:val="en-AU"/>
              </w:rPr>
              <w:t>3.15</w:t>
            </w:r>
          </w:p>
        </w:tc>
      </w:tr>
      <w:tr w:rsidR="00795BFD" w:rsidRPr="00795BFD" w:rsidTr="00757A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rsidR="00795BFD" w:rsidRPr="00795BFD" w:rsidRDefault="00795BFD" w:rsidP="00795BFD">
            <w:pPr>
              <w:shd w:val="clear" w:color="auto" w:fill="FBD4B4" w:themeFill="accent6" w:themeFillTint="66"/>
              <w:rPr>
                <w:rFonts w:ascii="Times New Roman" w:hAnsi="Times New Roman" w:cs="Times New Roman"/>
                <w:szCs w:val="24"/>
                <w:lang w:val="en-AU"/>
              </w:rPr>
            </w:pPr>
            <w:r w:rsidRPr="00795BFD">
              <w:rPr>
                <w:rFonts w:ascii="Times New Roman" w:hAnsi="Times New Roman" w:cs="Times New Roman"/>
                <w:szCs w:val="24"/>
                <w:lang w:val="en-AU"/>
              </w:rPr>
              <w:t>Working Capital Turnover</w:t>
            </w:r>
          </w:p>
        </w:tc>
        <w:tc>
          <w:tcPr>
            <w:tcW w:w="3071" w:type="dxa"/>
          </w:tcPr>
          <w:p w:rsidR="00795BFD" w:rsidRPr="00795BFD" w:rsidRDefault="00795BFD" w:rsidP="00795BFD">
            <w:pPr>
              <w:shd w:val="clear" w:color="auto" w:fill="FBD4B4" w:themeFill="accent6" w:themeFillTint="66"/>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(9000/984)= 9.15</w:t>
            </w:r>
          </w:p>
        </w:tc>
        <w:tc>
          <w:tcPr>
            <w:tcW w:w="3071" w:type="dxa"/>
          </w:tcPr>
          <w:p w:rsidR="00795BFD" w:rsidRPr="00795BFD" w:rsidRDefault="00795BFD" w:rsidP="00795BFD">
            <w:pPr>
              <w:shd w:val="clear" w:color="auto" w:fill="FBD4B4" w:themeFill="accent6" w:themeFillTint="66"/>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(9500/1264)=</w:t>
            </w:r>
            <w:r w:rsidRPr="00795BFD">
              <w:rPr>
                <w:rFonts w:ascii="Times New Roman" w:hAnsi="Times New Roman" w:cs="Times New Roman"/>
                <w:sz w:val="22"/>
                <w:lang w:val="en-AU"/>
              </w:rPr>
              <w:t xml:space="preserve"> </w:t>
            </w:r>
            <w:r w:rsidRPr="00795BFD">
              <w:rPr>
                <w:rFonts w:ascii="Times New Roman" w:hAnsi="Times New Roman" w:cs="Times New Roman"/>
                <w:szCs w:val="24"/>
                <w:lang w:val="en-AU"/>
              </w:rPr>
              <w:t>7.52</w:t>
            </w:r>
          </w:p>
        </w:tc>
      </w:tr>
      <w:tr w:rsidR="00795BFD" w:rsidRPr="00795BFD" w:rsidTr="00757A03">
        <w:tc>
          <w:tcPr>
            <w:cnfStyle w:val="001000000000" w:firstRow="0" w:lastRow="0" w:firstColumn="1" w:lastColumn="0" w:oddVBand="0" w:evenVBand="0" w:oddHBand="0" w:evenHBand="0" w:firstRowFirstColumn="0" w:firstRowLastColumn="0" w:lastRowFirstColumn="0" w:lastRowLastColumn="0"/>
            <w:tcW w:w="3070" w:type="dxa"/>
          </w:tcPr>
          <w:p w:rsidR="00795BFD" w:rsidRPr="00795BFD" w:rsidRDefault="00795BFD" w:rsidP="00795BFD">
            <w:pPr>
              <w:shd w:val="clear" w:color="auto" w:fill="FBD4B4" w:themeFill="accent6" w:themeFillTint="66"/>
              <w:rPr>
                <w:rFonts w:ascii="Times New Roman" w:hAnsi="Times New Roman" w:cs="Times New Roman"/>
                <w:szCs w:val="24"/>
                <w:lang w:val="en-AU"/>
              </w:rPr>
            </w:pPr>
            <w:r w:rsidRPr="00795BFD">
              <w:rPr>
                <w:rFonts w:ascii="Times New Roman" w:hAnsi="Times New Roman" w:cs="Times New Roman"/>
                <w:szCs w:val="24"/>
                <w:lang w:val="en-AU"/>
              </w:rPr>
              <w:t>Current Ratio</w:t>
            </w:r>
          </w:p>
        </w:tc>
        <w:tc>
          <w:tcPr>
            <w:tcW w:w="3071" w:type="dxa"/>
          </w:tcPr>
          <w:p w:rsidR="00795BFD" w:rsidRPr="00795BFD" w:rsidRDefault="00795BFD" w:rsidP="00795BFD">
            <w:pPr>
              <w:shd w:val="clear" w:color="auto" w:fill="FBD4B4" w:themeFill="accent6" w:themeFillTint="66"/>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(1839/855)= 2.15</w:t>
            </w:r>
          </w:p>
        </w:tc>
        <w:tc>
          <w:tcPr>
            <w:tcW w:w="3071" w:type="dxa"/>
          </w:tcPr>
          <w:p w:rsidR="00795BFD" w:rsidRPr="00795BFD" w:rsidRDefault="00795BFD" w:rsidP="00795BFD">
            <w:pPr>
              <w:shd w:val="clear" w:color="auto" w:fill="FBD4B4" w:themeFill="accent6" w:themeFillTint="66"/>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(2152/888)=</w:t>
            </w:r>
            <w:r w:rsidRPr="00795BFD">
              <w:rPr>
                <w:rFonts w:ascii="Times New Roman" w:hAnsi="Times New Roman" w:cs="Times New Roman"/>
                <w:sz w:val="22"/>
                <w:lang w:val="en-AU"/>
              </w:rPr>
              <w:t xml:space="preserve"> </w:t>
            </w:r>
            <w:r w:rsidRPr="00795BFD">
              <w:rPr>
                <w:rFonts w:ascii="Times New Roman" w:hAnsi="Times New Roman" w:cs="Times New Roman"/>
                <w:szCs w:val="24"/>
                <w:lang w:val="en-AU"/>
              </w:rPr>
              <w:t>2.43</w:t>
            </w:r>
          </w:p>
        </w:tc>
      </w:tr>
      <w:tr w:rsidR="00795BFD" w:rsidRPr="00795BFD" w:rsidTr="00757A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rsidR="00795BFD" w:rsidRPr="00795BFD" w:rsidRDefault="00795BFD" w:rsidP="00795BFD">
            <w:pPr>
              <w:shd w:val="clear" w:color="auto" w:fill="FBD4B4" w:themeFill="accent6" w:themeFillTint="66"/>
              <w:rPr>
                <w:rFonts w:ascii="Times New Roman" w:hAnsi="Times New Roman" w:cs="Times New Roman"/>
                <w:szCs w:val="24"/>
                <w:lang w:val="en-AU"/>
              </w:rPr>
            </w:pPr>
            <w:r w:rsidRPr="00795BFD">
              <w:rPr>
                <w:rFonts w:ascii="Times New Roman" w:hAnsi="Times New Roman" w:cs="Times New Roman"/>
                <w:szCs w:val="24"/>
                <w:lang w:val="en-AU"/>
              </w:rPr>
              <w:t>Quick Ratio</w:t>
            </w:r>
          </w:p>
        </w:tc>
        <w:tc>
          <w:tcPr>
            <w:tcW w:w="3071" w:type="dxa"/>
          </w:tcPr>
          <w:p w:rsidR="00795BFD" w:rsidRPr="00795BFD" w:rsidRDefault="00795BFD" w:rsidP="00795BFD">
            <w:pPr>
              <w:shd w:val="clear" w:color="auto" w:fill="FBD4B4" w:themeFill="accent6" w:themeFillTint="66"/>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(1839-700/855)= 1.33</w:t>
            </w:r>
          </w:p>
        </w:tc>
        <w:tc>
          <w:tcPr>
            <w:tcW w:w="3071" w:type="dxa"/>
          </w:tcPr>
          <w:p w:rsidR="00795BFD" w:rsidRPr="00795BFD" w:rsidRDefault="00795BFD" w:rsidP="00795BFD">
            <w:pPr>
              <w:shd w:val="clear" w:color="auto" w:fill="FBD4B4" w:themeFill="accent6" w:themeFillTint="66"/>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(2152-750/888)=</w:t>
            </w:r>
            <w:r w:rsidRPr="00795BFD">
              <w:rPr>
                <w:rFonts w:ascii="Times New Roman" w:hAnsi="Times New Roman" w:cs="Times New Roman"/>
                <w:sz w:val="22"/>
                <w:lang w:val="en-AU"/>
              </w:rPr>
              <w:t xml:space="preserve"> </w:t>
            </w:r>
            <w:r w:rsidRPr="00795BFD">
              <w:rPr>
                <w:rFonts w:ascii="Times New Roman" w:hAnsi="Times New Roman" w:cs="Times New Roman"/>
                <w:szCs w:val="24"/>
                <w:lang w:val="en-AU"/>
              </w:rPr>
              <w:t>1.58</w:t>
            </w:r>
          </w:p>
        </w:tc>
      </w:tr>
      <w:tr w:rsidR="00795BFD" w:rsidRPr="00795BFD" w:rsidTr="00757A03">
        <w:tc>
          <w:tcPr>
            <w:cnfStyle w:val="001000000000" w:firstRow="0" w:lastRow="0" w:firstColumn="1" w:lastColumn="0" w:oddVBand="0" w:evenVBand="0" w:oddHBand="0" w:evenHBand="0" w:firstRowFirstColumn="0" w:firstRowLastColumn="0" w:lastRowFirstColumn="0" w:lastRowLastColumn="0"/>
            <w:tcW w:w="3070" w:type="dxa"/>
          </w:tcPr>
          <w:p w:rsidR="00795BFD" w:rsidRPr="00795BFD" w:rsidRDefault="00795BFD" w:rsidP="00795BFD">
            <w:pPr>
              <w:shd w:val="clear" w:color="auto" w:fill="FBD4B4" w:themeFill="accent6" w:themeFillTint="66"/>
              <w:rPr>
                <w:rFonts w:ascii="Times New Roman" w:hAnsi="Times New Roman" w:cs="Times New Roman"/>
                <w:szCs w:val="24"/>
                <w:lang w:val="en-AU"/>
              </w:rPr>
            </w:pPr>
            <w:r w:rsidRPr="00795BFD">
              <w:rPr>
                <w:rFonts w:ascii="Times New Roman" w:hAnsi="Times New Roman" w:cs="Times New Roman"/>
                <w:szCs w:val="24"/>
                <w:lang w:val="en-AU"/>
              </w:rPr>
              <w:lastRenderedPageBreak/>
              <w:t xml:space="preserve">Debtor </w:t>
            </w:r>
          </w:p>
        </w:tc>
        <w:tc>
          <w:tcPr>
            <w:tcW w:w="3071" w:type="dxa"/>
          </w:tcPr>
          <w:p w:rsidR="00795BFD" w:rsidRPr="00795BFD" w:rsidRDefault="00795BFD" w:rsidP="00795BFD">
            <w:pPr>
              <w:shd w:val="clear" w:color="auto" w:fill="FBD4B4" w:themeFill="accent6" w:themeFillTint="66"/>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(649*365/9000)= 26.32</w:t>
            </w:r>
          </w:p>
        </w:tc>
        <w:tc>
          <w:tcPr>
            <w:tcW w:w="3071" w:type="dxa"/>
          </w:tcPr>
          <w:p w:rsidR="00795BFD" w:rsidRPr="00795BFD" w:rsidRDefault="00795BFD" w:rsidP="00795BFD">
            <w:pPr>
              <w:shd w:val="clear" w:color="auto" w:fill="FBD4B4" w:themeFill="accent6" w:themeFillTint="66"/>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(870*365/9500)=</w:t>
            </w:r>
            <w:r w:rsidRPr="00795BFD">
              <w:rPr>
                <w:rFonts w:ascii="Times New Roman" w:hAnsi="Times New Roman" w:cs="Times New Roman"/>
                <w:sz w:val="22"/>
                <w:lang w:val="en-AU"/>
              </w:rPr>
              <w:t xml:space="preserve"> </w:t>
            </w:r>
            <w:r w:rsidRPr="00795BFD">
              <w:rPr>
                <w:rFonts w:ascii="Times New Roman" w:hAnsi="Times New Roman" w:cs="Times New Roman"/>
                <w:szCs w:val="24"/>
                <w:lang w:val="en-AU"/>
              </w:rPr>
              <w:t>33.43</w:t>
            </w:r>
          </w:p>
        </w:tc>
      </w:tr>
      <w:tr w:rsidR="00795BFD" w:rsidRPr="00795BFD" w:rsidTr="00757A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rsidR="00795BFD" w:rsidRPr="00795BFD" w:rsidRDefault="00795BFD" w:rsidP="00795BFD">
            <w:pPr>
              <w:shd w:val="clear" w:color="auto" w:fill="FBD4B4" w:themeFill="accent6" w:themeFillTint="66"/>
              <w:rPr>
                <w:rFonts w:ascii="Times New Roman" w:hAnsi="Times New Roman" w:cs="Times New Roman"/>
                <w:szCs w:val="24"/>
                <w:lang w:val="en-AU"/>
              </w:rPr>
            </w:pPr>
            <w:r w:rsidRPr="00795BFD">
              <w:rPr>
                <w:rFonts w:ascii="Times New Roman" w:hAnsi="Times New Roman" w:cs="Times New Roman"/>
                <w:szCs w:val="24"/>
                <w:lang w:val="en-AU"/>
              </w:rPr>
              <w:t>Creditor</w:t>
            </w:r>
          </w:p>
        </w:tc>
        <w:tc>
          <w:tcPr>
            <w:tcW w:w="3071" w:type="dxa"/>
          </w:tcPr>
          <w:p w:rsidR="00795BFD" w:rsidRPr="00795BFD" w:rsidRDefault="00795BFD" w:rsidP="00795BFD">
            <w:pPr>
              <w:shd w:val="clear" w:color="auto" w:fill="FBD4B4" w:themeFill="accent6" w:themeFillTint="66"/>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(660*365/6500)= 37.06</w:t>
            </w:r>
          </w:p>
        </w:tc>
        <w:tc>
          <w:tcPr>
            <w:tcW w:w="3071" w:type="dxa"/>
          </w:tcPr>
          <w:p w:rsidR="00795BFD" w:rsidRPr="00795BFD" w:rsidRDefault="00795BFD" w:rsidP="00795BFD">
            <w:pPr>
              <w:shd w:val="clear" w:color="auto" w:fill="FBD4B4" w:themeFill="accent6" w:themeFillTint="66"/>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(690*365/7700)=</w:t>
            </w:r>
            <w:r w:rsidRPr="00795BFD">
              <w:rPr>
                <w:rFonts w:ascii="Times New Roman" w:hAnsi="Times New Roman" w:cs="Times New Roman"/>
                <w:sz w:val="22"/>
                <w:lang w:val="en-AU"/>
              </w:rPr>
              <w:t xml:space="preserve"> </w:t>
            </w:r>
            <w:r w:rsidRPr="00795BFD">
              <w:rPr>
                <w:rFonts w:ascii="Times New Roman" w:hAnsi="Times New Roman" w:cs="Times New Roman"/>
                <w:szCs w:val="24"/>
                <w:lang w:val="en-AU"/>
              </w:rPr>
              <w:t>32.71</w:t>
            </w:r>
          </w:p>
        </w:tc>
      </w:tr>
      <w:tr w:rsidR="00795BFD" w:rsidRPr="00795BFD" w:rsidTr="00757A03">
        <w:tc>
          <w:tcPr>
            <w:cnfStyle w:val="001000000000" w:firstRow="0" w:lastRow="0" w:firstColumn="1" w:lastColumn="0" w:oddVBand="0" w:evenVBand="0" w:oddHBand="0" w:evenHBand="0" w:firstRowFirstColumn="0" w:firstRowLastColumn="0" w:lastRowFirstColumn="0" w:lastRowLastColumn="0"/>
            <w:tcW w:w="3070" w:type="dxa"/>
          </w:tcPr>
          <w:p w:rsidR="00795BFD" w:rsidRPr="00795BFD" w:rsidRDefault="00795BFD" w:rsidP="00795BFD">
            <w:pPr>
              <w:shd w:val="clear" w:color="auto" w:fill="FBD4B4" w:themeFill="accent6" w:themeFillTint="66"/>
              <w:rPr>
                <w:rFonts w:ascii="Times New Roman" w:hAnsi="Times New Roman" w:cs="Times New Roman"/>
                <w:szCs w:val="24"/>
                <w:lang w:val="en-AU"/>
              </w:rPr>
            </w:pPr>
            <w:r w:rsidRPr="00795BFD">
              <w:rPr>
                <w:rFonts w:ascii="Times New Roman" w:hAnsi="Times New Roman" w:cs="Times New Roman"/>
                <w:szCs w:val="24"/>
                <w:lang w:val="en-AU"/>
              </w:rPr>
              <w:t>Debt Ratio</w:t>
            </w:r>
          </w:p>
        </w:tc>
        <w:tc>
          <w:tcPr>
            <w:tcW w:w="3071" w:type="dxa"/>
          </w:tcPr>
          <w:p w:rsidR="00795BFD" w:rsidRPr="00795BFD" w:rsidRDefault="00795BFD" w:rsidP="00795BFD">
            <w:pPr>
              <w:shd w:val="clear" w:color="auto" w:fill="FBD4B4" w:themeFill="accent6" w:themeFillTint="66"/>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(855+150/1839+1700)=0.28</w:t>
            </w:r>
          </w:p>
        </w:tc>
        <w:tc>
          <w:tcPr>
            <w:tcW w:w="3071" w:type="dxa"/>
          </w:tcPr>
          <w:p w:rsidR="00795BFD" w:rsidRPr="00795BFD" w:rsidRDefault="00795BFD" w:rsidP="00795BFD">
            <w:pPr>
              <w:shd w:val="clear" w:color="auto" w:fill="FBD4B4" w:themeFill="accent6" w:themeFillTint="66"/>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(888+150/2152+1750)=</w:t>
            </w:r>
            <w:r w:rsidRPr="00795BFD">
              <w:rPr>
                <w:rFonts w:ascii="Times New Roman" w:hAnsi="Times New Roman" w:cs="Times New Roman"/>
                <w:sz w:val="22"/>
                <w:lang w:val="en-AU"/>
              </w:rPr>
              <w:t xml:space="preserve"> </w:t>
            </w:r>
            <w:r w:rsidRPr="00795BFD">
              <w:rPr>
                <w:rFonts w:ascii="Times New Roman" w:hAnsi="Times New Roman" w:cs="Times New Roman"/>
                <w:szCs w:val="24"/>
                <w:lang w:val="en-AU"/>
              </w:rPr>
              <w:t>0.27</w:t>
            </w:r>
          </w:p>
        </w:tc>
      </w:tr>
      <w:tr w:rsidR="00795BFD" w:rsidRPr="00795BFD" w:rsidTr="00757A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rsidR="00795BFD" w:rsidRPr="00795BFD" w:rsidRDefault="00795BFD" w:rsidP="00795BFD">
            <w:pPr>
              <w:shd w:val="clear" w:color="auto" w:fill="FBD4B4" w:themeFill="accent6" w:themeFillTint="66"/>
              <w:rPr>
                <w:rFonts w:ascii="Times New Roman" w:hAnsi="Times New Roman" w:cs="Times New Roman"/>
                <w:szCs w:val="24"/>
                <w:lang w:val="en-AU"/>
              </w:rPr>
            </w:pPr>
            <w:r w:rsidRPr="00795BFD">
              <w:rPr>
                <w:rFonts w:ascii="Times New Roman" w:hAnsi="Times New Roman" w:cs="Times New Roman"/>
                <w:szCs w:val="24"/>
                <w:lang w:val="en-AU"/>
              </w:rPr>
              <w:t>Interest Cover</w:t>
            </w:r>
          </w:p>
        </w:tc>
        <w:tc>
          <w:tcPr>
            <w:tcW w:w="3071" w:type="dxa"/>
          </w:tcPr>
          <w:p w:rsidR="00795BFD" w:rsidRPr="00795BFD" w:rsidRDefault="00795BFD" w:rsidP="00795BFD">
            <w:pPr>
              <w:shd w:val="clear" w:color="auto" w:fill="FBD4B4" w:themeFill="accent6" w:themeFillTint="66"/>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(623+10/10)= 63.30=63.30</w:t>
            </w:r>
          </w:p>
        </w:tc>
        <w:tc>
          <w:tcPr>
            <w:tcW w:w="3071" w:type="dxa"/>
          </w:tcPr>
          <w:p w:rsidR="00795BFD" w:rsidRPr="00795BFD" w:rsidRDefault="00795BFD" w:rsidP="00795BFD">
            <w:pPr>
              <w:shd w:val="clear" w:color="auto" w:fill="FBD4B4" w:themeFill="accent6" w:themeFillTint="66"/>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4"/>
                <w:lang w:val="en-AU"/>
              </w:rPr>
            </w:pPr>
            <w:r w:rsidRPr="00795BFD">
              <w:rPr>
                <w:rFonts w:ascii="Times New Roman" w:hAnsi="Times New Roman" w:cs="Times New Roman"/>
                <w:szCs w:val="24"/>
                <w:lang w:val="en-AU"/>
              </w:rPr>
              <w:t xml:space="preserve"> (307+9/9)=</w:t>
            </w:r>
            <w:r w:rsidRPr="00795BFD">
              <w:rPr>
                <w:rFonts w:ascii="Times New Roman" w:hAnsi="Times New Roman" w:cs="Times New Roman"/>
                <w:sz w:val="22"/>
                <w:lang w:val="en-AU"/>
              </w:rPr>
              <w:t xml:space="preserve"> </w:t>
            </w:r>
            <w:r w:rsidRPr="00795BFD">
              <w:rPr>
                <w:rFonts w:ascii="Times New Roman" w:hAnsi="Times New Roman" w:cs="Times New Roman"/>
                <w:szCs w:val="24"/>
                <w:lang w:val="en-AU"/>
              </w:rPr>
              <w:t>35.10</w:t>
            </w:r>
          </w:p>
        </w:tc>
      </w:tr>
    </w:tbl>
    <w:p w:rsidR="00721FF1" w:rsidRDefault="00721FF1" w:rsidP="006721F1">
      <w:pPr>
        <w:rPr>
          <w:lang w:val="en-GB"/>
        </w:rPr>
      </w:pPr>
    </w:p>
    <w:p w:rsidR="00721FF1" w:rsidRDefault="00721FF1" w:rsidP="006721F1">
      <w:pPr>
        <w:rPr>
          <w:lang w:val="en-GB"/>
        </w:rPr>
      </w:pPr>
    </w:p>
    <w:p w:rsidR="006721F1" w:rsidRPr="00721FF1" w:rsidRDefault="006721F1" w:rsidP="006721F1">
      <w:pPr>
        <w:rPr>
          <w:b/>
          <w:lang w:val="en-GB"/>
        </w:rPr>
      </w:pPr>
      <w:r w:rsidRPr="00721FF1">
        <w:rPr>
          <w:b/>
          <w:lang w:val="en-GB"/>
        </w:rPr>
        <w:t>Financial Analysis Trends</w:t>
      </w:r>
    </w:p>
    <w:p w:rsidR="006721F1" w:rsidRPr="006B4DF7" w:rsidRDefault="006721F1" w:rsidP="006721F1">
      <w:pPr>
        <w:ind w:firstLine="708"/>
        <w:rPr>
          <w:u w:val="single"/>
          <w:lang w:val="en-GB"/>
        </w:rPr>
      </w:pPr>
      <w:r w:rsidRPr="006B4DF7">
        <w:rPr>
          <w:u w:val="single"/>
          <w:lang w:val="en-GB"/>
        </w:rPr>
        <w:t>1. Profitability</w:t>
      </w:r>
    </w:p>
    <w:p w:rsidR="00721FF1" w:rsidRDefault="00721FF1" w:rsidP="00721FF1">
      <w:pPr>
        <w:rPr>
          <w:lang w:val="en-GB"/>
        </w:rPr>
      </w:pPr>
      <w:r>
        <w:rPr>
          <w:lang w:val="en-GB"/>
        </w:rPr>
        <w:t xml:space="preserve">In terms of profitability ratios, those are the essential tools in measuring the amount of money made by a business, usually every month in the form of a statement for gains. Profitability ratios have various sub-tool variations which can speed up the calculation processes and provide the company with a faster result. Some of those include net profit margin, gross profit margin, and as well as that return on capital – there are other tools which can be embodied in the accounting organisation of the company but they will remain inapplicable to the case of </w:t>
      </w:r>
      <w:proofErr w:type="spellStart"/>
      <w:r>
        <w:rPr>
          <w:lang w:val="en-GB"/>
        </w:rPr>
        <w:t>Ffion</w:t>
      </w:r>
      <w:proofErr w:type="spellEnd"/>
      <w:r>
        <w:rPr>
          <w:lang w:val="en-GB"/>
        </w:rPr>
        <w:t xml:space="preserve"> Limited. </w:t>
      </w:r>
    </w:p>
    <w:p w:rsidR="00721FF1" w:rsidRDefault="00721FF1" w:rsidP="00721FF1">
      <w:pPr>
        <w:rPr>
          <w:lang w:val="en-GB"/>
        </w:rPr>
      </w:pPr>
      <w:r>
        <w:rPr>
          <w:lang w:val="en-GB"/>
        </w:rPr>
        <w:t xml:space="preserve">It is vital to note the fact that some of those margins can appear irregular or </w:t>
      </w:r>
      <w:r w:rsidR="00586244">
        <w:rPr>
          <w:lang w:val="en-GB"/>
        </w:rPr>
        <w:t xml:space="preserve">outside of the range which is initially expected of them. Gross profit margins, for example, appear as continuously changing throughout the year depending on industry. Particularly for the hotel industry, it can go beyond and below range for estimated 30 per cent but no more and no less. This is the reason as to why some hotels may choose to establish benchmarks which are internal to the business – although this contributes very positively to the industry in general, there are no complete records to state whether </w:t>
      </w:r>
      <w:proofErr w:type="spellStart"/>
      <w:r w:rsidR="00586244">
        <w:rPr>
          <w:lang w:val="en-GB"/>
        </w:rPr>
        <w:t>Ffion</w:t>
      </w:r>
      <w:proofErr w:type="spellEnd"/>
      <w:r w:rsidR="00586244">
        <w:rPr>
          <w:lang w:val="en-GB"/>
        </w:rPr>
        <w:t xml:space="preserve"> Limited has implemented this approach to their operation or not. Apart from this, there is a rule that gross profit margin users cannot ignore – when the gross profit margin decreases, this is an indication of a profit or sales decrease in the hotel itself</w:t>
      </w:r>
      <w:r w:rsidR="006C6447">
        <w:rPr>
          <w:lang w:val="en-GB"/>
        </w:rPr>
        <w:t xml:space="preserve"> </w:t>
      </w:r>
      <w:r w:rsidR="006C6447" w:rsidRPr="006C6447">
        <w:t>(</w:t>
      </w:r>
      <w:proofErr w:type="spellStart"/>
      <w:r w:rsidR="006C6447" w:rsidRPr="006C6447">
        <w:t>Myšková</w:t>
      </w:r>
      <w:proofErr w:type="spellEnd"/>
      <w:r w:rsidR="006C6447" w:rsidRPr="006C6447">
        <w:t xml:space="preserve"> and </w:t>
      </w:r>
      <w:proofErr w:type="spellStart"/>
      <w:r w:rsidR="006C6447" w:rsidRPr="006C6447">
        <w:t>Hájek</w:t>
      </w:r>
      <w:proofErr w:type="spellEnd"/>
      <w:r w:rsidR="006C6447" w:rsidRPr="006C6447">
        <w:t>, 2017)</w:t>
      </w:r>
      <w:r w:rsidR="00586244">
        <w:rPr>
          <w:lang w:val="en-GB"/>
        </w:rPr>
        <w:t xml:space="preserve">. </w:t>
      </w:r>
    </w:p>
    <w:p w:rsidR="00586244" w:rsidRDefault="00586244" w:rsidP="00721FF1">
      <w:pPr>
        <w:rPr>
          <w:lang w:val="en-GB"/>
        </w:rPr>
      </w:pPr>
      <w:r>
        <w:rPr>
          <w:lang w:val="en-GB"/>
        </w:rPr>
        <w:t xml:space="preserve">The occupancy rate for hotels is also continuously changing especially with changes in seasons and work break variations which people are provided with by their companies. There are, in general, may </w:t>
      </w:r>
      <w:r w:rsidR="006B4DF7">
        <w:rPr>
          <w:lang w:val="en-GB"/>
        </w:rPr>
        <w:t xml:space="preserve">be </w:t>
      </w:r>
      <w:r>
        <w:rPr>
          <w:lang w:val="en-GB"/>
        </w:rPr>
        <w:t>internal but also may external factors which either contribute to the increase of gross profit margins or the opposite if the average occupancy rate also declines</w:t>
      </w:r>
      <w:r w:rsidR="006C6447">
        <w:rPr>
          <w:lang w:val="en-GB"/>
        </w:rPr>
        <w:t xml:space="preserve"> </w:t>
      </w:r>
      <w:r w:rsidR="006C6447" w:rsidRPr="006C6447">
        <w:t>(</w:t>
      </w:r>
      <w:proofErr w:type="spellStart"/>
      <w:r w:rsidR="006C6447" w:rsidRPr="006C6447">
        <w:t>Menicucci</w:t>
      </w:r>
      <w:proofErr w:type="spellEnd"/>
      <w:r w:rsidR="006C6447" w:rsidRPr="006C6447">
        <w:t>, 2018)</w:t>
      </w:r>
      <w:r>
        <w:rPr>
          <w:lang w:val="en-GB"/>
        </w:rPr>
        <w:t>.</w:t>
      </w:r>
      <w:r w:rsidR="006B4DF7">
        <w:rPr>
          <w:lang w:val="en-GB"/>
        </w:rPr>
        <w:t xml:space="preserve"> With reference to the business context of </w:t>
      </w:r>
      <w:proofErr w:type="spellStart"/>
      <w:r w:rsidR="006B4DF7">
        <w:rPr>
          <w:lang w:val="en-GB"/>
        </w:rPr>
        <w:t>Ffion</w:t>
      </w:r>
      <w:proofErr w:type="spellEnd"/>
      <w:r w:rsidR="006B4DF7">
        <w:rPr>
          <w:lang w:val="en-GB"/>
        </w:rPr>
        <w:t xml:space="preserve"> Limited, the figures indicate a significant decline in profit, gross profit margin, and parallel occupancy rate reduction. </w:t>
      </w:r>
    </w:p>
    <w:p w:rsidR="006B4DF7" w:rsidRDefault="006B4DF7" w:rsidP="00721FF1">
      <w:pPr>
        <w:rPr>
          <w:lang w:val="en-GB"/>
        </w:rPr>
      </w:pPr>
      <w:r>
        <w:rPr>
          <w:lang w:val="en-GB"/>
        </w:rPr>
        <w:t>Net profit margin is affected in a similar way due to the fact that it provides a company with information on how much money is left in the business after deducting costs. If the gross profit margin (which contains only business gains) is already decreasing, the net profit margin will also have a value below the expected average from the business.</w:t>
      </w:r>
    </w:p>
    <w:p w:rsidR="00D162BD" w:rsidRDefault="00D162BD" w:rsidP="00721FF1">
      <w:pPr>
        <w:rPr>
          <w:lang w:val="en-GB"/>
        </w:rPr>
      </w:pPr>
      <w:r>
        <w:rPr>
          <w:lang w:val="en-GB"/>
        </w:rPr>
        <w:t>The decrease may be as a result of poorer KPI, but not necessarily. It could also be as a result of an increase in the operating costs which the business has.</w:t>
      </w:r>
    </w:p>
    <w:p w:rsidR="00D162BD" w:rsidRDefault="00D162BD" w:rsidP="00721FF1">
      <w:pPr>
        <w:rPr>
          <w:lang w:val="en-GB"/>
        </w:rPr>
      </w:pPr>
      <w:r>
        <w:rPr>
          <w:lang w:val="en-GB"/>
        </w:rPr>
        <w:lastRenderedPageBreak/>
        <w:t xml:space="preserve">Finally for this section, return on capital employed will be defined and explained. ROCE (in short for return on capital employed) is a ration in profitability measures which specifically targets the way in which the efficiency of the business’ money creates more opportunities for further gains. For </w:t>
      </w:r>
      <w:proofErr w:type="spellStart"/>
      <w:r>
        <w:rPr>
          <w:lang w:val="en-GB"/>
        </w:rPr>
        <w:t>Ffion</w:t>
      </w:r>
      <w:proofErr w:type="spellEnd"/>
      <w:r>
        <w:rPr>
          <w:lang w:val="en-GB"/>
        </w:rPr>
        <w:t xml:space="preserve"> Limited, there is an indicative reduction in ROCE as well </w:t>
      </w:r>
      <w:proofErr w:type="gramStart"/>
      <w:r>
        <w:rPr>
          <w:lang w:val="en-GB"/>
        </w:rPr>
        <w:t>which is a clear signal that the net profit margin is not use correctly by the business when making financially-related decisions</w:t>
      </w:r>
      <w:proofErr w:type="gramEnd"/>
      <w:r>
        <w:rPr>
          <w:lang w:val="en-GB"/>
        </w:rPr>
        <w:t xml:space="preserve">. </w:t>
      </w:r>
      <w:r w:rsidR="005E7B5D">
        <w:rPr>
          <w:lang w:val="en-GB"/>
        </w:rPr>
        <w:t xml:space="preserve">There is a distinctive role in ROCE which states that if return on capital employed is </w:t>
      </w:r>
      <w:r w:rsidR="00101847">
        <w:rPr>
          <w:lang w:val="en-GB"/>
        </w:rPr>
        <w:t xml:space="preserve">a </w:t>
      </w:r>
      <w:r w:rsidR="005E7B5D">
        <w:rPr>
          <w:lang w:val="en-GB"/>
        </w:rPr>
        <w:t>minimum</w:t>
      </w:r>
      <w:r w:rsidR="00101847">
        <w:rPr>
          <w:lang w:val="en-GB"/>
        </w:rPr>
        <w:t xml:space="preserve"> of</w:t>
      </w:r>
      <w:r w:rsidR="005E7B5D">
        <w:rPr>
          <w:lang w:val="en-GB"/>
        </w:rPr>
        <w:t xml:space="preserve"> twice as much as the interest rates at that point in time, then the company will be making efficient and informed decisions on the net profit earned. </w:t>
      </w:r>
    </w:p>
    <w:p w:rsidR="005E7B5D" w:rsidRDefault="005E7B5D" w:rsidP="00721FF1">
      <w:pPr>
        <w:rPr>
          <w:lang w:val="en-GB"/>
        </w:rPr>
      </w:pPr>
    </w:p>
    <w:p w:rsidR="006721F1" w:rsidRPr="006B4DF7" w:rsidRDefault="006721F1" w:rsidP="006721F1">
      <w:pPr>
        <w:ind w:firstLine="708"/>
        <w:rPr>
          <w:u w:val="single"/>
          <w:lang w:val="en-GB"/>
        </w:rPr>
      </w:pPr>
      <w:r w:rsidRPr="006B4DF7">
        <w:rPr>
          <w:u w:val="single"/>
          <w:lang w:val="en-GB"/>
        </w:rPr>
        <w:t>2. Liquidity</w:t>
      </w:r>
    </w:p>
    <w:p w:rsidR="00101847" w:rsidRDefault="00101847" w:rsidP="00721FF1">
      <w:pPr>
        <w:rPr>
          <w:lang w:val="en-GB"/>
        </w:rPr>
      </w:pPr>
      <w:r>
        <w:rPr>
          <w:lang w:val="en-GB"/>
        </w:rPr>
        <w:t>The ratios in liquidity enable the company to discover just how well it manages to cover its debts and costs associated with the operation of the venture</w:t>
      </w:r>
      <w:r w:rsidR="006C6447">
        <w:rPr>
          <w:lang w:val="en-GB"/>
        </w:rPr>
        <w:t xml:space="preserve"> </w:t>
      </w:r>
      <w:r w:rsidR="006C6447" w:rsidRPr="006C6447">
        <w:t>(</w:t>
      </w:r>
      <w:proofErr w:type="spellStart"/>
      <w:r w:rsidR="006C6447" w:rsidRPr="006C6447">
        <w:t>Airout</w:t>
      </w:r>
      <w:proofErr w:type="spellEnd"/>
      <w:r w:rsidR="006C6447" w:rsidRPr="006C6447">
        <w:t>, 2017)</w:t>
      </w:r>
      <w:r>
        <w:rPr>
          <w:lang w:val="en-GB"/>
        </w:rPr>
        <w:t>. The liquidity ratios are seen as a proportion which indicates the number of times a business is able to cover short-term liabilities and expenses</w:t>
      </w:r>
      <w:r w:rsidR="00FA3E6D">
        <w:rPr>
          <w:lang w:val="en-GB"/>
        </w:rPr>
        <w:t>. The ideal and secure operation of a business with coverage over those expenses is when the ratio is as close as 1:1 – although, this result can also be a warning sign that there is an excessive amount of stock that are left unused.  Although the net profit margin is less than average, the liquidity ratios show that the hotel manages to cover its expenses well enough to continue running the operations.</w:t>
      </w:r>
    </w:p>
    <w:p w:rsidR="00FA3E6D" w:rsidRDefault="00FA3E6D" w:rsidP="00721FF1">
      <w:pPr>
        <w:rPr>
          <w:lang w:val="en-GB"/>
        </w:rPr>
      </w:pPr>
      <w:r>
        <w:rPr>
          <w:lang w:val="en-GB"/>
        </w:rPr>
        <w:t xml:space="preserve">Creditor </w:t>
      </w:r>
      <w:proofErr w:type="gramStart"/>
      <w:r>
        <w:rPr>
          <w:lang w:val="en-GB"/>
        </w:rPr>
        <w:t>days</w:t>
      </w:r>
      <w:proofErr w:type="gramEnd"/>
      <w:r>
        <w:rPr>
          <w:lang w:val="en-GB"/>
        </w:rPr>
        <w:t xml:space="preserve"> ratios are part of the overall liquidity aspect that is utilised into the business by financial managers. This shows not whether the business is able to secure paying the costs well but how quickly short term debts are covered</w:t>
      </w:r>
      <w:r w:rsidR="006C6447">
        <w:rPr>
          <w:lang w:val="en-GB"/>
        </w:rPr>
        <w:t xml:space="preserve"> </w:t>
      </w:r>
      <w:r w:rsidR="006C6447">
        <w:t>(</w:t>
      </w:r>
      <w:proofErr w:type="spellStart"/>
      <w:r w:rsidR="006C6447">
        <w:t>Chiaramonte</w:t>
      </w:r>
      <w:proofErr w:type="spellEnd"/>
      <w:r w:rsidR="006C6447">
        <w:t xml:space="preserve"> and </w:t>
      </w:r>
      <w:proofErr w:type="spellStart"/>
      <w:r w:rsidR="006C6447">
        <w:t>Casu</w:t>
      </w:r>
      <w:proofErr w:type="spellEnd"/>
      <w:r w:rsidR="006C6447">
        <w:t>, 2017)</w:t>
      </w:r>
      <w:r>
        <w:rPr>
          <w:lang w:val="en-GB"/>
        </w:rPr>
        <w:t xml:space="preserve">. By re-negotiating the payment terms, </w:t>
      </w:r>
      <w:proofErr w:type="spellStart"/>
      <w:r>
        <w:rPr>
          <w:lang w:val="en-GB"/>
        </w:rPr>
        <w:t>Ffion</w:t>
      </w:r>
      <w:proofErr w:type="spellEnd"/>
      <w:r>
        <w:rPr>
          <w:lang w:val="en-GB"/>
        </w:rPr>
        <w:t xml:space="preserve"> Limited has managed to secure its short term payments and expenses well enough and successfully cover them. This is prominently observed between businesses and their suppliers or in the instances of automatics credit reminders.</w:t>
      </w:r>
    </w:p>
    <w:p w:rsidR="00FA3E6D" w:rsidRDefault="00FA3E6D" w:rsidP="00721FF1">
      <w:pPr>
        <w:rPr>
          <w:lang w:val="en-GB"/>
        </w:rPr>
      </w:pPr>
      <w:r>
        <w:rPr>
          <w:lang w:val="en-GB"/>
        </w:rPr>
        <w:t xml:space="preserve"> </w:t>
      </w:r>
    </w:p>
    <w:p w:rsidR="0052512B" w:rsidRDefault="0052512B" w:rsidP="006721F1">
      <w:pPr>
        <w:ind w:firstLine="708"/>
        <w:rPr>
          <w:u w:val="single"/>
          <w:lang w:val="en-GB"/>
        </w:rPr>
      </w:pPr>
    </w:p>
    <w:p w:rsidR="006721F1" w:rsidRPr="00FA3E6D" w:rsidRDefault="006721F1" w:rsidP="006721F1">
      <w:pPr>
        <w:ind w:firstLine="708"/>
        <w:rPr>
          <w:u w:val="single"/>
          <w:lang w:val="en-GB"/>
        </w:rPr>
      </w:pPr>
      <w:r w:rsidRPr="00FA3E6D">
        <w:rPr>
          <w:u w:val="single"/>
          <w:lang w:val="en-GB"/>
        </w:rPr>
        <w:t>3. Gearing</w:t>
      </w:r>
    </w:p>
    <w:p w:rsidR="00721FF1" w:rsidRDefault="00FA3E6D" w:rsidP="006721F1">
      <w:pPr>
        <w:rPr>
          <w:lang w:val="en-GB"/>
        </w:rPr>
      </w:pPr>
      <w:r>
        <w:rPr>
          <w:lang w:val="en-GB"/>
        </w:rPr>
        <w:t xml:space="preserve">The term gearing is defined as the amount of borrowed money by a business in comparable analysis against equity. Businesses of all kinds might see borrowing money as necessary in the instances when they would like the same control over the market without relying on sales. This is only a temporary solution as the business will eventually be required to return </w:t>
      </w:r>
      <w:proofErr w:type="gramStart"/>
      <w:r>
        <w:rPr>
          <w:lang w:val="en-GB"/>
        </w:rPr>
        <w:t>those</w:t>
      </w:r>
      <w:proofErr w:type="gramEnd"/>
      <w:r>
        <w:rPr>
          <w:lang w:val="en-GB"/>
        </w:rPr>
        <w:t xml:space="preserve"> money back and thus it is used in emergency situations. In the likelihood of lower debts ratios, when the business does not rely too much on borrowings either, the banks will be more lenient in lending the company an official loan. The banks will consider the low debt ratio as a sign for substantial business equity which automatically decreases changes of bankruptcy</w:t>
      </w:r>
      <w:r w:rsidR="006C6447">
        <w:rPr>
          <w:lang w:val="en-GB"/>
        </w:rPr>
        <w:t xml:space="preserve"> </w:t>
      </w:r>
      <w:r w:rsidR="006C6447">
        <w:t>(</w:t>
      </w:r>
      <w:proofErr w:type="spellStart"/>
      <w:r w:rsidR="006C6447">
        <w:t>Gemar</w:t>
      </w:r>
      <w:proofErr w:type="spellEnd"/>
      <w:r w:rsidR="006C6447">
        <w:t xml:space="preserve">, </w:t>
      </w:r>
      <w:proofErr w:type="spellStart"/>
      <w:r w:rsidR="006C6447">
        <w:t>Soler</w:t>
      </w:r>
      <w:proofErr w:type="spellEnd"/>
      <w:r w:rsidR="006C6447">
        <w:t xml:space="preserve"> and Guzman-Parra, 2019)</w:t>
      </w:r>
      <w:r>
        <w:rPr>
          <w:lang w:val="en-GB"/>
        </w:rPr>
        <w:t xml:space="preserve">. </w:t>
      </w:r>
    </w:p>
    <w:p w:rsidR="00721FF1" w:rsidRDefault="001305C8" w:rsidP="006721F1">
      <w:pPr>
        <w:rPr>
          <w:lang w:val="en-GB"/>
        </w:rPr>
      </w:pPr>
      <w:r>
        <w:rPr>
          <w:lang w:val="en-GB"/>
        </w:rPr>
        <w:lastRenderedPageBreak/>
        <w:t xml:space="preserve">The interest cover, on the other hand, is another indicator. It illustrates whether a business and its financial managers are capable of payment over all interest-charged debts from banks and official loaners. </w:t>
      </w:r>
      <w:proofErr w:type="spellStart"/>
      <w:r>
        <w:rPr>
          <w:lang w:val="en-GB"/>
        </w:rPr>
        <w:t>Ffion</w:t>
      </w:r>
      <w:proofErr w:type="spellEnd"/>
      <w:r>
        <w:rPr>
          <w:lang w:val="en-GB"/>
        </w:rPr>
        <w:t xml:space="preserve"> Limited and its decreasing net profit margins shows along falling interests. Even if for the moment the company is able to cover costs, this may not be the case in the long run when the financial resources run out. </w:t>
      </w:r>
    </w:p>
    <w:p w:rsidR="001305C8" w:rsidRDefault="006721F1" w:rsidP="001305C8">
      <w:pPr>
        <w:rPr>
          <w:b/>
          <w:lang w:val="en-GB"/>
        </w:rPr>
      </w:pPr>
      <w:r w:rsidRPr="00721FF1">
        <w:rPr>
          <w:b/>
          <w:lang w:val="en-GB"/>
        </w:rPr>
        <w:t>Knowledge from Ratio Analysis</w:t>
      </w:r>
    </w:p>
    <w:p w:rsidR="001305C8" w:rsidRPr="001305C8" w:rsidRDefault="001305C8" w:rsidP="001305C8">
      <w:pPr>
        <w:rPr>
          <w:lang w:val="en-GB"/>
        </w:rPr>
      </w:pPr>
      <w:r>
        <w:rPr>
          <w:lang w:val="en-GB"/>
        </w:rPr>
        <w:t xml:space="preserve">The financial and economic position of the company is very well evaluated through the assistance of ratio analysis. When the ratios are applied effectively in place, they correspond with the answers of questions such as what the rate of fluctuation is for gross profit margins and at what stage it is currently. This is one of many other exemplary questions which a business can be asking. </w:t>
      </w:r>
    </w:p>
    <w:p w:rsidR="006721F1" w:rsidRPr="001305C8" w:rsidRDefault="006721F1" w:rsidP="001305C8">
      <w:pPr>
        <w:rPr>
          <w:b/>
          <w:lang w:val="en-GB"/>
        </w:rPr>
      </w:pPr>
      <w:r w:rsidRPr="001305C8">
        <w:rPr>
          <w:b/>
          <w:lang w:val="en-GB"/>
        </w:rPr>
        <w:t xml:space="preserve">Benefits and Limitations </w:t>
      </w:r>
    </w:p>
    <w:p w:rsidR="00721FF1" w:rsidRDefault="001305C8" w:rsidP="006721F1">
      <w:pPr>
        <w:rPr>
          <w:lang w:val="en-GB"/>
        </w:rPr>
      </w:pPr>
      <w:r>
        <w:rPr>
          <w:lang w:val="en-GB"/>
        </w:rPr>
        <w:t xml:space="preserve">In terms of benefits, the biggest advantage that ratio analysis provides has to do with forecast creation of figures and evaluation. A business wants to predict what the next few months and years may </w:t>
      </w:r>
      <w:proofErr w:type="gramStart"/>
      <w:r>
        <w:rPr>
          <w:lang w:val="en-GB"/>
        </w:rPr>
        <w:t>lay</w:t>
      </w:r>
      <w:proofErr w:type="gramEnd"/>
      <w:r>
        <w:rPr>
          <w:lang w:val="en-GB"/>
        </w:rPr>
        <w:t xml:space="preserve"> out ahead in order for it to optimise operation and gain a competitive edge against the competition in the same industry</w:t>
      </w:r>
      <w:r w:rsidR="006C6447">
        <w:rPr>
          <w:lang w:val="en-GB"/>
        </w:rPr>
        <w:t xml:space="preserve"> </w:t>
      </w:r>
      <w:r w:rsidR="006C6447">
        <w:t>(</w:t>
      </w:r>
      <w:proofErr w:type="spellStart"/>
      <w:r w:rsidR="006C6447">
        <w:t>Hedija</w:t>
      </w:r>
      <w:proofErr w:type="spellEnd"/>
      <w:r w:rsidR="006C6447">
        <w:t xml:space="preserve">, </w:t>
      </w:r>
      <w:proofErr w:type="spellStart"/>
      <w:r w:rsidR="006C6447">
        <w:t>Fiala</w:t>
      </w:r>
      <w:proofErr w:type="spellEnd"/>
      <w:r w:rsidR="006C6447">
        <w:t xml:space="preserve"> and </w:t>
      </w:r>
      <w:proofErr w:type="spellStart"/>
      <w:r w:rsidR="006C6447">
        <w:t>Kuncová</w:t>
      </w:r>
      <w:proofErr w:type="spellEnd"/>
      <w:r w:rsidR="006C6447">
        <w:t>, 2017)</w:t>
      </w:r>
      <w:r>
        <w:rPr>
          <w:lang w:val="en-GB"/>
        </w:rPr>
        <w:t xml:space="preserve">. </w:t>
      </w:r>
    </w:p>
    <w:p w:rsidR="001305C8" w:rsidRDefault="001305C8" w:rsidP="006721F1">
      <w:pPr>
        <w:rPr>
          <w:lang w:val="en-GB"/>
        </w:rPr>
      </w:pPr>
      <w:r>
        <w:rPr>
          <w:lang w:val="en-GB"/>
        </w:rPr>
        <w:t>In terms of limitation, financial ratios are time consuming and sometimes, no matter how in-depth they appear, they cannot be a source to completely rely on for decision-making. In some markets trends may suddenly change and take a completely different direction to which a business cannot use its financial managers to make quick decisions – they will take time to come up with new budgeting systems and forecast based on new and extensive research as required.</w:t>
      </w:r>
    </w:p>
    <w:p w:rsidR="006721F1" w:rsidRPr="002432AD" w:rsidRDefault="006721F1" w:rsidP="006721F1">
      <w:pPr>
        <w:rPr>
          <w:b/>
          <w:lang w:val="en-GB"/>
        </w:rPr>
      </w:pPr>
      <w:r w:rsidRPr="002432AD">
        <w:rPr>
          <w:b/>
          <w:lang w:val="en-GB"/>
        </w:rPr>
        <w:t>Conclusion</w:t>
      </w:r>
    </w:p>
    <w:p w:rsidR="002432AD" w:rsidRDefault="002432AD" w:rsidP="006721F1">
      <w:pPr>
        <w:rPr>
          <w:lang w:val="en-GB"/>
        </w:rPr>
      </w:pPr>
      <w:r>
        <w:rPr>
          <w:lang w:val="en-GB"/>
        </w:rPr>
        <w:t xml:space="preserve">This is the report based on the ratios of liquidity, profitability and as well as that gearing, which were linked to the hotel </w:t>
      </w:r>
      <w:proofErr w:type="spellStart"/>
      <w:r>
        <w:rPr>
          <w:lang w:val="en-GB"/>
        </w:rPr>
        <w:t>Ffion</w:t>
      </w:r>
      <w:proofErr w:type="spellEnd"/>
      <w:r>
        <w:rPr>
          <w:lang w:val="en-GB"/>
        </w:rPr>
        <w:t xml:space="preserve"> Limited. The ratios and their methodology provide vast results for some very specific categories which aim to aid the business in creating a forecasting plans and think ahead of the next opportunity that may arise. </w:t>
      </w:r>
    </w:p>
    <w:p w:rsidR="002432AD" w:rsidRDefault="002432AD" w:rsidP="006721F1">
      <w:pPr>
        <w:rPr>
          <w:lang w:val="en-GB"/>
        </w:rPr>
      </w:pPr>
    </w:p>
    <w:p w:rsidR="002432AD" w:rsidRDefault="002432AD" w:rsidP="006721F1">
      <w:pPr>
        <w:rPr>
          <w:lang w:val="en-GB"/>
        </w:rPr>
      </w:pPr>
    </w:p>
    <w:p w:rsidR="006721F1" w:rsidRPr="002432AD" w:rsidRDefault="002432AD" w:rsidP="006721F1">
      <w:pPr>
        <w:rPr>
          <w:b/>
          <w:lang w:val="en-GB"/>
        </w:rPr>
      </w:pPr>
      <w:r w:rsidRPr="002432AD">
        <w:rPr>
          <w:b/>
          <w:lang w:val="en-GB"/>
        </w:rPr>
        <w:t>References</w:t>
      </w:r>
    </w:p>
    <w:p w:rsidR="006C6447" w:rsidRDefault="006C6447" w:rsidP="006721F1">
      <w:proofErr w:type="spellStart"/>
      <w:r>
        <w:t>Airout</w:t>
      </w:r>
      <w:proofErr w:type="spellEnd"/>
      <w:r>
        <w:t xml:space="preserve">, R.M. (2017). </w:t>
      </w:r>
      <w:proofErr w:type="gramStart"/>
      <w:r>
        <w:t>The Impact of Consolidation Industrial Jordanian Companies on Profitability and Liquidity Ratios.</w:t>
      </w:r>
      <w:proofErr w:type="gramEnd"/>
      <w:r>
        <w:t xml:space="preserve"> </w:t>
      </w:r>
      <w:r>
        <w:rPr>
          <w:i/>
          <w:iCs/>
        </w:rPr>
        <w:t>International Business Research</w:t>
      </w:r>
      <w:r>
        <w:t>, 10(</w:t>
      </w:r>
      <w:r w:rsidRPr="006C6447">
        <w:rPr>
          <w:b/>
        </w:rPr>
        <w:t>4</w:t>
      </w:r>
      <w:r>
        <w:t>), p.183.</w:t>
      </w:r>
    </w:p>
    <w:p w:rsidR="006C6447" w:rsidRDefault="006C6447" w:rsidP="006721F1">
      <w:proofErr w:type="spellStart"/>
      <w:proofErr w:type="gramStart"/>
      <w:r w:rsidRPr="006C6447">
        <w:t>Chiaramonte</w:t>
      </w:r>
      <w:proofErr w:type="spellEnd"/>
      <w:r w:rsidRPr="006C6447">
        <w:t xml:space="preserve">, L. and </w:t>
      </w:r>
      <w:proofErr w:type="spellStart"/>
      <w:r w:rsidRPr="006C6447">
        <w:t>Casu</w:t>
      </w:r>
      <w:proofErr w:type="spellEnd"/>
      <w:r w:rsidRPr="006C6447">
        <w:t>, B. (2017).</w:t>
      </w:r>
      <w:proofErr w:type="gramEnd"/>
      <w:r w:rsidRPr="006C6447">
        <w:t xml:space="preserve"> Capital and liquidity ratios and financial distress. </w:t>
      </w:r>
      <w:proofErr w:type="gramStart"/>
      <w:r w:rsidRPr="006C6447">
        <w:t>Evidence from the European banking industry.</w:t>
      </w:r>
      <w:proofErr w:type="gramEnd"/>
      <w:r w:rsidRPr="006C6447">
        <w:t xml:space="preserve"> </w:t>
      </w:r>
      <w:proofErr w:type="gramStart"/>
      <w:r w:rsidRPr="006C6447">
        <w:rPr>
          <w:i/>
          <w:iCs/>
        </w:rPr>
        <w:t>The British Accounting Review</w:t>
      </w:r>
      <w:r w:rsidRPr="006C6447">
        <w:t>, 49(</w:t>
      </w:r>
      <w:r w:rsidRPr="006C6447">
        <w:rPr>
          <w:b/>
        </w:rPr>
        <w:t>2</w:t>
      </w:r>
      <w:r w:rsidRPr="006C6447">
        <w:t>), pp.138–161.</w:t>
      </w:r>
      <w:proofErr w:type="gramEnd"/>
    </w:p>
    <w:p w:rsidR="002432AD" w:rsidRDefault="006C6447" w:rsidP="006721F1">
      <w:proofErr w:type="spellStart"/>
      <w:proofErr w:type="gramStart"/>
      <w:r w:rsidRPr="006C6447">
        <w:lastRenderedPageBreak/>
        <w:t>Defranco</w:t>
      </w:r>
      <w:proofErr w:type="spellEnd"/>
      <w:r w:rsidRPr="006C6447">
        <w:t xml:space="preserve">, A.L. and </w:t>
      </w:r>
      <w:proofErr w:type="spellStart"/>
      <w:r w:rsidRPr="006C6447">
        <w:t>Lattin</w:t>
      </w:r>
      <w:proofErr w:type="spellEnd"/>
      <w:r w:rsidRPr="006C6447">
        <w:t>, T.W. (2007).</w:t>
      </w:r>
      <w:proofErr w:type="gramEnd"/>
      <w:r w:rsidRPr="006C6447">
        <w:t xml:space="preserve"> </w:t>
      </w:r>
      <w:proofErr w:type="gramStart"/>
      <w:r w:rsidRPr="006C6447">
        <w:rPr>
          <w:i/>
          <w:iCs/>
        </w:rPr>
        <w:t>Hospitality financial management</w:t>
      </w:r>
      <w:r w:rsidRPr="006C6447">
        <w:t>.</w:t>
      </w:r>
      <w:proofErr w:type="gramEnd"/>
      <w:r w:rsidRPr="006C6447">
        <w:t xml:space="preserve"> Hoboken, N.J.: John Wiley &amp; Sons.</w:t>
      </w:r>
    </w:p>
    <w:p w:rsidR="006C6447" w:rsidRDefault="006C6447" w:rsidP="006721F1">
      <w:proofErr w:type="spellStart"/>
      <w:proofErr w:type="gramStart"/>
      <w:r w:rsidRPr="006C6447">
        <w:t>Gemar</w:t>
      </w:r>
      <w:proofErr w:type="spellEnd"/>
      <w:r w:rsidRPr="006C6447">
        <w:t xml:space="preserve">, G., </w:t>
      </w:r>
      <w:proofErr w:type="spellStart"/>
      <w:r w:rsidRPr="006C6447">
        <w:t>Soler</w:t>
      </w:r>
      <w:proofErr w:type="spellEnd"/>
      <w:r w:rsidRPr="006C6447">
        <w:t>, I.P. and Guzman-Parra, V.F. (2019).</w:t>
      </w:r>
      <w:proofErr w:type="gramEnd"/>
      <w:r w:rsidRPr="006C6447">
        <w:t xml:space="preserve"> </w:t>
      </w:r>
      <w:proofErr w:type="gramStart"/>
      <w:r w:rsidRPr="006C6447">
        <w:t>Predicting bankruptcy in resort hotels: a survival analysis.</w:t>
      </w:r>
      <w:proofErr w:type="gramEnd"/>
      <w:r w:rsidRPr="006C6447">
        <w:t xml:space="preserve"> </w:t>
      </w:r>
      <w:proofErr w:type="gramStart"/>
      <w:r w:rsidRPr="006C6447">
        <w:rPr>
          <w:i/>
          <w:iCs/>
        </w:rPr>
        <w:t>International Journal of Contemporary Hospitality Management</w:t>
      </w:r>
      <w:r w:rsidRPr="006C6447">
        <w:t>, 31(</w:t>
      </w:r>
      <w:r w:rsidRPr="006C6447">
        <w:rPr>
          <w:b/>
        </w:rPr>
        <w:t>4</w:t>
      </w:r>
      <w:r w:rsidRPr="006C6447">
        <w:t>), pp.1546–1566.</w:t>
      </w:r>
      <w:proofErr w:type="gramEnd"/>
    </w:p>
    <w:p w:rsidR="006C6447" w:rsidRDefault="006C6447" w:rsidP="006721F1">
      <w:proofErr w:type="spellStart"/>
      <w:proofErr w:type="gramStart"/>
      <w:r w:rsidRPr="006C6447">
        <w:t>Hedija</w:t>
      </w:r>
      <w:proofErr w:type="spellEnd"/>
      <w:r w:rsidRPr="006C6447">
        <w:t xml:space="preserve">, V., </w:t>
      </w:r>
      <w:proofErr w:type="spellStart"/>
      <w:r w:rsidRPr="006C6447">
        <w:t>Fiala</w:t>
      </w:r>
      <w:proofErr w:type="spellEnd"/>
      <w:r w:rsidRPr="006C6447">
        <w:t xml:space="preserve">, R. and </w:t>
      </w:r>
      <w:proofErr w:type="spellStart"/>
      <w:r w:rsidRPr="006C6447">
        <w:t>Kuncová</w:t>
      </w:r>
      <w:proofErr w:type="spellEnd"/>
      <w:r w:rsidRPr="006C6447">
        <w:t>, M. (2017).</w:t>
      </w:r>
      <w:proofErr w:type="gramEnd"/>
      <w:r w:rsidRPr="006C6447">
        <w:t xml:space="preserve"> Is profitability a good proxy for efficiency? </w:t>
      </w:r>
      <w:proofErr w:type="gramStart"/>
      <w:r w:rsidRPr="006C6447">
        <w:t>Evidence from the subsector of tour operators.</w:t>
      </w:r>
      <w:proofErr w:type="gramEnd"/>
      <w:r w:rsidRPr="006C6447">
        <w:t xml:space="preserve"> </w:t>
      </w:r>
      <w:proofErr w:type="gramStart"/>
      <w:r w:rsidRPr="006C6447">
        <w:rPr>
          <w:i/>
          <w:iCs/>
        </w:rPr>
        <w:t>Review of Economic Perspectives</w:t>
      </w:r>
      <w:r w:rsidRPr="006C6447">
        <w:t>, 17(</w:t>
      </w:r>
      <w:r w:rsidRPr="006C6447">
        <w:rPr>
          <w:b/>
        </w:rPr>
        <w:t>4</w:t>
      </w:r>
      <w:r w:rsidRPr="006C6447">
        <w:t>), pp.425–440.</w:t>
      </w:r>
      <w:proofErr w:type="gramEnd"/>
    </w:p>
    <w:p w:rsidR="006C6447" w:rsidRDefault="006C6447" w:rsidP="006721F1">
      <w:proofErr w:type="spellStart"/>
      <w:r w:rsidRPr="006C6447">
        <w:t>Helgesen</w:t>
      </w:r>
      <w:proofErr w:type="spellEnd"/>
      <w:r w:rsidRPr="006C6447">
        <w:t>, Ø. (2007). Customer accounting and customer profitability analysis for the order handling industry—</w:t>
      </w:r>
      <w:proofErr w:type="gramStart"/>
      <w:r w:rsidRPr="006C6447">
        <w:t>A</w:t>
      </w:r>
      <w:proofErr w:type="gramEnd"/>
      <w:r w:rsidRPr="006C6447">
        <w:t xml:space="preserve"> managerial accounting approach. </w:t>
      </w:r>
      <w:proofErr w:type="gramStart"/>
      <w:r w:rsidRPr="006C6447">
        <w:rPr>
          <w:i/>
          <w:iCs/>
        </w:rPr>
        <w:t>Industrial Marketing Management</w:t>
      </w:r>
      <w:r w:rsidRPr="006C6447">
        <w:t>, 36(</w:t>
      </w:r>
      <w:r w:rsidRPr="006C6447">
        <w:rPr>
          <w:b/>
        </w:rPr>
        <w:t>6</w:t>
      </w:r>
      <w:r w:rsidRPr="006C6447">
        <w:t>), pp.757–769.</w:t>
      </w:r>
      <w:proofErr w:type="gramEnd"/>
    </w:p>
    <w:p w:rsidR="006C6447" w:rsidRDefault="006C6447" w:rsidP="006721F1">
      <w:proofErr w:type="spellStart"/>
      <w:r w:rsidRPr="006C6447">
        <w:t>Menicucci</w:t>
      </w:r>
      <w:proofErr w:type="spellEnd"/>
      <w:r w:rsidRPr="006C6447">
        <w:t xml:space="preserve">, E. (2018). </w:t>
      </w:r>
      <w:proofErr w:type="gramStart"/>
      <w:r w:rsidRPr="006C6447">
        <w:t>The influence of firm characteristics on profitability.</w:t>
      </w:r>
      <w:proofErr w:type="gramEnd"/>
      <w:r w:rsidRPr="006C6447">
        <w:t xml:space="preserve"> </w:t>
      </w:r>
      <w:proofErr w:type="gramStart"/>
      <w:r w:rsidRPr="006C6447">
        <w:rPr>
          <w:i/>
          <w:iCs/>
        </w:rPr>
        <w:t>International Journal of Contemporary Hospitality Management</w:t>
      </w:r>
      <w:r w:rsidRPr="006C6447">
        <w:t>, 30(</w:t>
      </w:r>
      <w:r w:rsidRPr="006C6447">
        <w:rPr>
          <w:b/>
        </w:rPr>
        <w:t>8</w:t>
      </w:r>
      <w:r w:rsidRPr="006C6447">
        <w:t>), pp.2845–2868.</w:t>
      </w:r>
      <w:proofErr w:type="gramEnd"/>
    </w:p>
    <w:p w:rsidR="006C6447" w:rsidRDefault="006C6447" w:rsidP="006721F1">
      <w:proofErr w:type="spellStart"/>
      <w:proofErr w:type="gramStart"/>
      <w:r w:rsidRPr="006C6447">
        <w:t>Myšková</w:t>
      </w:r>
      <w:proofErr w:type="spellEnd"/>
      <w:r w:rsidRPr="006C6447">
        <w:t xml:space="preserve">, R. and </w:t>
      </w:r>
      <w:proofErr w:type="spellStart"/>
      <w:r w:rsidRPr="006C6447">
        <w:t>Hájek</w:t>
      </w:r>
      <w:proofErr w:type="spellEnd"/>
      <w:r w:rsidRPr="006C6447">
        <w:t>, P. (2017).</w:t>
      </w:r>
      <w:proofErr w:type="gramEnd"/>
      <w:r w:rsidRPr="006C6447">
        <w:t xml:space="preserve"> </w:t>
      </w:r>
      <w:proofErr w:type="gramStart"/>
      <w:r w:rsidRPr="006C6447">
        <w:t>Comprehensive assessment of firm financial performance using financial ratios and linguistic analysis of annual reports.</w:t>
      </w:r>
      <w:proofErr w:type="gramEnd"/>
      <w:r w:rsidRPr="006C6447">
        <w:t xml:space="preserve"> </w:t>
      </w:r>
      <w:proofErr w:type="gramStart"/>
      <w:r w:rsidRPr="006C6447">
        <w:rPr>
          <w:i/>
          <w:iCs/>
        </w:rPr>
        <w:t>Journal of International Studies</w:t>
      </w:r>
      <w:r w:rsidRPr="006C6447">
        <w:t>, 10(</w:t>
      </w:r>
      <w:r w:rsidRPr="006C6447">
        <w:rPr>
          <w:b/>
        </w:rPr>
        <w:t>4</w:t>
      </w:r>
      <w:r w:rsidRPr="006C6447">
        <w:t>), pp.96–108.</w:t>
      </w:r>
      <w:proofErr w:type="gramEnd"/>
    </w:p>
    <w:p w:rsidR="006C6447" w:rsidRDefault="006C6447" w:rsidP="006721F1">
      <w:pPr>
        <w:rPr>
          <w:lang w:val="en-GB"/>
        </w:rPr>
      </w:pPr>
      <w:r w:rsidRPr="006C6447">
        <w:t xml:space="preserve">Tsai, H., Pan, S. and Lee, J. (2011). </w:t>
      </w:r>
      <w:proofErr w:type="gramStart"/>
      <w:r w:rsidRPr="006C6447">
        <w:t>Recent research in hospitality financial management.</w:t>
      </w:r>
      <w:proofErr w:type="gramEnd"/>
      <w:r w:rsidRPr="006C6447">
        <w:t xml:space="preserve"> </w:t>
      </w:r>
      <w:proofErr w:type="gramStart"/>
      <w:r w:rsidRPr="006C6447">
        <w:rPr>
          <w:i/>
          <w:iCs/>
        </w:rPr>
        <w:t>International Journal of Contemporary Hospitality Management</w:t>
      </w:r>
      <w:r w:rsidRPr="006C6447">
        <w:t>, 23(</w:t>
      </w:r>
      <w:r w:rsidRPr="006C6447">
        <w:rPr>
          <w:b/>
        </w:rPr>
        <w:t>7</w:t>
      </w:r>
      <w:r w:rsidRPr="006C6447">
        <w:t>), pp.941–971.</w:t>
      </w:r>
      <w:proofErr w:type="gramEnd"/>
    </w:p>
    <w:p w:rsidR="002432AD" w:rsidRDefault="002432AD" w:rsidP="006721F1">
      <w:pPr>
        <w:rPr>
          <w:lang w:val="en-GB"/>
        </w:rPr>
      </w:pPr>
    </w:p>
    <w:p w:rsidR="002432AD" w:rsidRDefault="002432AD" w:rsidP="006721F1">
      <w:pPr>
        <w:rPr>
          <w:lang w:val="en-GB"/>
        </w:rPr>
      </w:pPr>
    </w:p>
    <w:p w:rsidR="002432AD" w:rsidRDefault="002432AD" w:rsidP="006721F1">
      <w:pPr>
        <w:rPr>
          <w:lang w:val="en-GB"/>
        </w:rPr>
      </w:pPr>
    </w:p>
    <w:p w:rsidR="002432AD" w:rsidRDefault="002432AD" w:rsidP="006721F1">
      <w:pPr>
        <w:rPr>
          <w:lang w:val="en-GB"/>
        </w:rPr>
      </w:pPr>
    </w:p>
    <w:p w:rsidR="002432AD" w:rsidRDefault="002432AD" w:rsidP="006721F1">
      <w:pPr>
        <w:rPr>
          <w:lang w:val="en-GB"/>
        </w:rPr>
      </w:pPr>
    </w:p>
    <w:p w:rsidR="006721F1" w:rsidRPr="006721F1" w:rsidRDefault="006721F1" w:rsidP="006721F1">
      <w:pPr>
        <w:rPr>
          <w:lang w:val="en-GB"/>
        </w:rPr>
      </w:pPr>
    </w:p>
    <w:sectPr w:rsidR="006721F1" w:rsidRPr="006721F1" w:rsidSect="001F5010">
      <w:foot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205" w:rsidRDefault="007F7205" w:rsidP="00795BFD">
      <w:pPr>
        <w:spacing w:after="0" w:line="240" w:lineRule="auto"/>
      </w:pPr>
      <w:r>
        <w:separator/>
      </w:r>
    </w:p>
  </w:endnote>
  <w:endnote w:type="continuationSeparator" w:id="0">
    <w:p w:rsidR="007F7205" w:rsidRDefault="007F7205" w:rsidP="00795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7847259"/>
      <w:docPartObj>
        <w:docPartGallery w:val="Page Numbers (Bottom of Page)"/>
        <w:docPartUnique/>
      </w:docPartObj>
    </w:sdtPr>
    <w:sdtEndPr/>
    <w:sdtContent>
      <w:p w:rsidR="00795BFD" w:rsidRDefault="00795BFD">
        <w:pPr>
          <w:pStyle w:val="a8"/>
          <w:jc w:val="right"/>
        </w:pPr>
        <w:r>
          <w:fldChar w:fldCharType="begin"/>
        </w:r>
        <w:r>
          <w:instrText>PAGE   \* MERGEFORMAT</w:instrText>
        </w:r>
        <w:r>
          <w:fldChar w:fldCharType="separate"/>
        </w:r>
        <w:r w:rsidR="000305FF" w:rsidRPr="000305FF">
          <w:rPr>
            <w:noProof/>
            <w:lang w:val="bg-BG"/>
          </w:rPr>
          <w:t>1</w:t>
        </w:r>
        <w:r>
          <w:fldChar w:fldCharType="end"/>
        </w:r>
      </w:p>
    </w:sdtContent>
  </w:sdt>
  <w:p w:rsidR="00795BFD" w:rsidRDefault="00795BF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205" w:rsidRDefault="007F7205" w:rsidP="00795BFD">
      <w:pPr>
        <w:spacing w:after="0" w:line="240" w:lineRule="auto"/>
      </w:pPr>
      <w:r>
        <w:separator/>
      </w:r>
    </w:p>
  </w:footnote>
  <w:footnote w:type="continuationSeparator" w:id="0">
    <w:p w:rsidR="007F7205" w:rsidRDefault="007F7205" w:rsidP="00795B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571"/>
    <w:rsid w:val="000305FF"/>
    <w:rsid w:val="00030F7A"/>
    <w:rsid w:val="000B3F79"/>
    <w:rsid w:val="00101847"/>
    <w:rsid w:val="001305C8"/>
    <w:rsid w:val="001C6241"/>
    <w:rsid w:val="001F5010"/>
    <w:rsid w:val="00225D7C"/>
    <w:rsid w:val="002432AD"/>
    <w:rsid w:val="00291923"/>
    <w:rsid w:val="0030550B"/>
    <w:rsid w:val="00335EE4"/>
    <w:rsid w:val="00360571"/>
    <w:rsid w:val="0052512B"/>
    <w:rsid w:val="00586244"/>
    <w:rsid w:val="005B6828"/>
    <w:rsid w:val="005E7B5D"/>
    <w:rsid w:val="006721F1"/>
    <w:rsid w:val="006B4DF7"/>
    <w:rsid w:val="006C6447"/>
    <w:rsid w:val="00721FF1"/>
    <w:rsid w:val="007430D0"/>
    <w:rsid w:val="00774B79"/>
    <w:rsid w:val="00795BFD"/>
    <w:rsid w:val="007F7205"/>
    <w:rsid w:val="008A62E2"/>
    <w:rsid w:val="00AA5C2C"/>
    <w:rsid w:val="00D162BD"/>
    <w:rsid w:val="00D4223A"/>
    <w:rsid w:val="00D4556D"/>
    <w:rsid w:val="00DB3AB2"/>
    <w:rsid w:val="00E40657"/>
    <w:rsid w:val="00FA3E6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5D7C"/>
    <w:rPr>
      <w:rFonts w:ascii="Arial" w:hAnsi="Arial"/>
      <w:sz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430D0"/>
    <w:pPr>
      <w:spacing w:after="0" w:line="240" w:lineRule="auto"/>
    </w:pPr>
    <w:rPr>
      <w:rFonts w:ascii="Arial" w:eastAsiaTheme="minorEastAsia" w:hAnsi="Arial"/>
      <w:sz w:val="24"/>
      <w:lang w:val="en-US"/>
    </w:rPr>
  </w:style>
  <w:style w:type="paragraph" w:styleId="a4">
    <w:name w:val="Balloon Text"/>
    <w:basedOn w:val="a"/>
    <w:link w:val="a5"/>
    <w:uiPriority w:val="99"/>
    <w:semiHidden/>
    <w:unhideWhenUsed/>
    <w:rsid w:val="006721F1"/>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6721F1"/>
    <w:rPr>
      <w:rFonts w:ascii="Tahoma" w:hAnsi="Tahoma" w:cs="Tahoma"/>
      <w:sz w:val="16"/>
      <w:szCs w:val="16"/>
      <w:lang w:val="en-US"/>
    </w:rPr>
  </w:style>
  <w:style w:type="table" w:styleId="1">
    <w:name w:val="Medium Grid 1"/>
    <w:basedOn w:val="a1"/>
    <w:uiPriority w:val="67"/>
    <w:rsid w:val="00795BFD"/>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a6">
    <w:name w:val="header"/>
    <w:basedOn w:val="a"/>
    <w:link w:val="a7"/>
    <w:uiPriority w:val="99"/>
    <w:unhideWhenUsed/>
    <w:rsid w:val="00795BFD"/>
    <w:pPr>
      <w:tabs>
        <w:tab w:val="center" w:pos="4536"/>
        <w:tab w:val="right" w:pos="9072"/>
      </w:tabs>
      <w:spacing w:after="0" w:line="240" w:lineRule="auto"/>
    </w:pPr>
  </w:style>
  <w:style w:type="character" w:customStyle="1" w:styleId="a7">
    <w:name w:val="Горен колонтитул Знак"/>
    <w:basedOn w:val="a0"/>
    <w:link w:val="a6"/>
    <w:uiPriority w:val="99"/>
    <w:rsid w:val="00795BFD"/>
    <w:rPr>
      <w:rFonts w:ascii="Arial" w:hAnsi="Arial"/>
      <w:sz w:val="24"/>
      <w:lang w:val="en-US"/>
    </w:rPr>
  </w:style>
  <w:style w:type="paragraph" w:styleId="a8">
    <w:name w:val="footer"/>
    <w:basedOn w:val="a"/>
    <w:link w:val="a9"/>
    <w:uiPriority w:val="99"/>
    <w:unhideWhenUsed/>
    <w:rsid w:val="00795BFD"/>
    <w:pPr>
      <w:tabs>
        <w:tab w:val="center" w:pos="4536"/>
        <w:tab w:val="right" w:pos="9072"/>
      </w:tabs>
      <w:spacing w:after="0" w:line="240" w:lineRule="auto"/>
    </w:pPr>
  </w:style>
  <w:style w:type="character" w:customStyle="1" w:styleId="a9">
    <w:name w:val="Долен колонтитул Знак"/>
    <w:basedOn w:val="a0"/>
    <w:link w:val="a8"/>
    <w:uiPriority w:val="99"/>
    <w:rsid w:val="00795BFD"/>
    <w:rPr>
      <w:rFonts w:ascii="Arial" w:hAnsi="Arial"/>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5D7C"/>
    <w:rPr>
      <w:rFonts w:ascii="Arial" w:hAnsi="Arial"/>
      <w:sz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430D0"/>
    <w:pPr>
      <w:spacing w:after="0" w:line="240" w:lineRule="auto"/>
    </w:pPr>
    <w:rPr>
      <w:rFonts w:ascii="Arial" w:eastAsiaTheme="minorEastAsia" w:hAnsi="Arial"/>
      <w:sz w:val="24"/>
      <w:lang w:val="en-US"/>
    </w:rPr>
  </w:style>
  <w:style w:type="paragraph" w:styleId="a4">
    <w:name w:val="Balloon Text"/>
    <w:basedOn w:val="a"/>
    <w:link w:val="a5"/>
    <w:uiPriority w:val="99"/>
    <w:semiHidden/>
    <w:unhideWhenUsed/>
    <w:rsid w:val="006721F1"/>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6721F1"/>
    <w:rPr>
      <w:rFonts w:ascii="Tahoma" w:hAnsi="Tahoma" w:cs="Tahoma"/>
      <w:sz w:val="16"/>
      <w:szCs w:val="16"/>
      <w:lang w:val="en-US"/>
    </w:rPr>
  </w:style>
  <w:style w:type="table" w:styleId="1">
    <w:name w:val="Medium Grid 1"/>
    <w:basedOn w:val="a1"/>
    <w:uiPriority w:val="67"/>
    <w:rsid w:val="00795BFD"/>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a6">
    <w:name w:val="header"/>
    <w:basedOn w:val="a"/>
    <w:link w:val="a7"/>
    <w:uiPriority w:val="99"/>
    <w:unhideWhenUsed/>
    <w:rsid w:val="00795BFD"/>
    <w:pPr>
      <w:tabs>
        <w:tab w:val="center" w:pos="4536"/>
        <w:tab w:val="right" w:pos="9072"/>
      </w:tabs>
      <w:spacing w:after="0" w:line="240" w:lineRule="auto"/>
    </w:pPr>
  </w:style>
  <w:style w:type="character" w:customStyle="1" w:styleId="a7">
    <w:name w:val="Горен колонтитул Знак"/>
    <w:basedOn w:val="a0"/>
    <w:link w:val="a6"/>
    <w:uiPriority w:val="99"/>
    <w:rsid w:val="00795BFD"/>
    <w:rPr>
      <w:rFonts w:ascii="Arial" w:hAnsi="Arial"/>
      <w:sz w:val="24"/>
      <w:lang w:val="en-US"/>
    </w:rPr>
  </w:style>
  <w:style w:type="paragraph" w:styleId="a8">
    <w:name w:val="footer"/>
    <w:basedOn w:val="a"/>
    <w:link w:val="a9"/>
    <w:uiPriority w:val="99"/>
    <w:unhideWhenUsed/>
    <w:rsid w:val="00795BFD"/>
    <w:pPr>
      <w:tabs>
        <w:tab w:val="center" w:pos="4536"/>
        <w:tab w:val="right" w:pos="9072"/>
      </w:tabs>
      <w:spacing w:after="0" w:line="240" w:lineRule="auto"/>
    </w:pPr>
  </w:style>
  <w:style w:type="character" w:customStyle="1" w:styleId="a9">
    <w:name w:val="Долен колонтитул Знак"/>
    <w:basedOn w:val="a0"/>
    <w:link w:val="a8"/>
    <w:uiPriority w:val="99"/>
    <w:rsid w:val="00795BFD"/>
    <w:rPr>
      <w:rFonts w:ascii="Arial" w:hAnsi="Arial"/>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229941">
      <w:bodyDiv w:val="1"/>
      <w:marLeft w:val="0"/>
      <w:marRight w:val="0"/>
      <w:marTop w:val="0"/>
      <w:marBottom w:val="0"/>
      <w:divBdr>
        <w:top w:val="none" w:sz="0" w:space="0" w:color="auto"/>
        <w:left w:val="none" w:sz="0" w:space="0" w:color="auto"/>
        <w:bottom w:val="none" w:sz="0" w:space="0" w:color="auto"/>
        <w:right w:val="none" w:sz="0" w:space="0" w:color="auto"/>
      </w:divBdr>
      <w:divsChild>
        <w:div w:id="266276909">
          <w:marLeft w:val="30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8</Pages>
  <Words>2191</Words>
  <Characters>12493</Characters>
  <Application>Microsoft Office Word</Application>
  <DocSecurity>0</DocSecurity>
  <Lines>104</Lines>
  <Paragraphs>29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14655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Kuseva</dc:creator>
  <cp:keywords/>
  <dc:description/>
  <cp:lastModifiedBy>Veselina Vurgova</cp:lastModifiedBy>
  <cp:revision>15</cp:revision>
  <dcterms:created xsi:type="dcterms:W3CDTF">2019-11-22T10:03:00Z</dcterms:created>
  <dcterms:modified xsi:type="dcterms:W3CDTF">2019-11-22T16:16:00Z</dcterms:modified>
</cp:coreProperties>
</file>