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D45FC86" wp14:paraId="2C078E63" wp14:textId="4983ED41">
      <w:pPr>
        <w:pStyle w:val="Heading1"/>
        <w:rPr>
          <w:i w:val="0"/>
          <w:iCs w:val="0"/>
        </w:rPr>
      </w:pPr>
      <w:r w:rsidR="034E366F">
        <w:rPr/>
        <w:t xml:space="preserve">Critical Analysis of </w:t>
      </w:r>
      <w:r w:rsidRPr="7D45FC86" w:rsidR="034E366F">
        <w:rPr>
          <w:i w:val="1"/>
          <w:iCs w:val="1"/>
        </w:rPr>
        <w:t xml:space="preserve">The Iliad </w:t>
      </w:r>
      <w:r w:rsidRPr="7D45FC86" w:rsidR="034E366F">
        <w:rPr>
          <w:i w:val="0"/>
          <w:iCs w:val="0"/>
        </w:rPr>
        <w:t>24.776-24.803</w:t>
      </w:r>
    </w:p>
    <w:p w:rsidR="61783B24" w:rsidP="343D5D63" w:rsidRDefault="61783B24" w14:paraId="4F6319F5" w14:textId="7AA178F1">
      <w:pPr>
        <w:pStyle w:val="Normal"/>
        <w:rPr>
          <w:i w:val="0"/>
          <w:iCs w:val="0"/>
        </w:rPr>
      </w:pPr>
      <w:r w:rsidR="61783B24">
        <w:rPr/>
        <w:t>The lines 24.77</w:t>
      </w:r>
      <w:r w:rsidR="48CF55CE">
        <w:rPr/>
        <w:t>6</w:t>
      </w:r>
      <w:r w:rsidR="61783B24">
        <w:rPr/>
        <w:t xml:space="preserve">-24.803 of </w:t>
      </w:r>
      <w:r w:rsidRPr="343D5D63" w:rsidR="61783B24">
        <w:rPr>
          <w:i w:val="1"/>
          <w:iCs w:val="1"/>
        </w:rPr>
        <w:t xml:space="preserve">The Iliad </w:t>
      </w:r>
      <w:r w:rsidRPr="343D5D63" w:rsidR="61783B24">
        <w:rPr>
          <w:i w:val="0"/>
          <w:iCs w:val="0"/>
        </w:rPr>
        <w:t xml:space="preserve">by Homer encompasses the final parts of Hector’s funeral. </w:t>
      </w:r>
      <w:r w:rsidRPr="343D5D63" w:rsidR="1B74E0A1">
        <w:rPr>
          <w:i w:val="0"/>
          <w:iCs w:val="0"/>
        </w:rPr>
        <w:t>It begins with the instruction from Priam to collect resources for the funeral pyre with the reassurance that</w:t>
      </w:r>
      <w:r w:rsidRPr="343D5D63" w:rsidR="5B2920B7">
        <w:rPr>
          <w:i w:val="0"/>
          <w:iCs w:val="0"/>
        </w:rPr>
        <w:t xml:space="preserve"> Achilles had allowed them the space to mourn. Nine days are taken to collect the resources, Hector is burnt on the tenth, and his bones buried under guar</w:t>
      </w:r>
      <w:r w:rsidRPr="343D5D63" w:rsidR="6C6FB78E">
        <w:rPr>
          <w:i w:val="0"/>
          <w:iCs w:val="0"/>
        </w:rPr>
        <w:t xml:space="preserve">d the day after. The passage, and </w:t>
      </w:r>
      <w:r w:rsidRPr="343D5D63" w:rsidR="6C6FB78E">
        <w:rPr>
          <w:i w:val="1"/>
          <w:iCs w:val="1"/>
        </w:rPr>
        <w:t>The Iliad</w:t>
      </w:r>
      <w:r w:rsidRPr="343D5D63" w:rsidR="627E01ED">
        <w:rPr>
          <w:i w:val="1"/>
          <w:iCs w:val="1"/>
        </w:rPr>
        <w:t>,</w:t>
      </w:r>
      <w:r w:rsidRPr="343D5D63" w:rsidR="6C6FB78E">
        <w:rPr>
          <w:i w:val="1"/>
          <w:iCs w:val="1"/>
        </w:rPr>
        <w:t xml:space="preserve"> </w:t>
      </w:r>
      <w:r w:rsidRPr="343D5D63" w:rsidR="6C6FB78E">
        <w:rPr>
          <w:i w:val="0"/>
          <w:iCs w:val="0"/>
        </w:rPr>
        <w:t>finishes with the statement of a funeral feast happening in Priam’s palace</w:t>
      </w:r>
      <w:r w:rsidRPr="343D5D63" w:rsidR="4E8B615E">
        <w:rPr>
          <w:i w:val="0"/>
          <w:iCs w:val="0"/>
        </w:rPr>
        <w:t xml:space="preserve">. </w:t>
      </w:r>
      <w:r w:rsidRPr="343D5D63" w:rsidR="37B21BD0">
        <w:rPr>
          <w:i w:val="0"/>
          <w:iCs w:val="0"/>
        </w:rPr>
        <w:t xml:space="preserve">The wider text of </w:t>
      </w:r>
      <w:r w:rsidRPr="343D5D63" w:rsidR="37B21BD0">
        <w:rPr>
          <w:i w:val="1"/>
          <w:iCs w:val="1"/>
        </w:rPr>
        <w:t xml:space="preserve">The Iliad </w:t>
      </w:r>
      <w:r w:rsidRPr="343D5D63" w:rsidR="37B21BD0">
        <w:rPr>
          <w:i w:val="0"/>
          <w:iCs w:val="0"/>
        </w:rPr>
        <w:t>revolve</w:t>
      </w:r>
      <w:r w:rsidRPr="343D5D63" w:rsidR="6E0A7FC5">
        <w:rPr>
          <w:i w:val="0"/>
          <w:iCs w:val="0"/>
        </w:rPr>
        <w:t>s</w:t>
      </w:r>
      <w:r w:rsidRPr="343D5D63" w:rsidR="37B21BD0">
        <w:rPr>
          <w:i w:val="0"/>
          <w:iCs w:val="0"/>
        </w:rPr>
        <w:t xml:space="preserve"> around the character of Achilles, starting with his quarrel with Agammemnon that results in his self-removal from the war. </w:t>
      </w:r>
      <w:r w:rsidRPr="343D5D63" w:rsidR="1FB007A2">
        <w:rPr>
          <w:i w:val="0"/>
          <w:iCs w:val="0"/>
        </w:rPr>
        <w:t>This is until the death of Patroclus at the hands of Hector, causing Achilles to enter a wrathful phase, ending with his killing of Hector and de</w:t>
      </w:r>
      <w:r w:rsidRPr="343D5D63" w:rsidR="59A23158">
        <w:rPr>
          <w:i w:val="0"/>
          <w:iCs w:val="0"/>
        </w:rPr>
        <w:t xml:space="preserve">secration of the corpse. The last book </w:t>
      </w:r>
      <w:r w:rsidRPr="343D5D63" w:rsidR="2392B598">
        <w:rPr>
          <w:i w:val="0"/>
          <w:iCs w:val="0"/>
        </w:rPr>
        <w:t xml:space="preserve">of </w:t>
      </w:r>
      <w:r w:rsidRPr="343D5D63" w:rsidR="2392B598">
        <w:rPr>
          <w:i w:val="1"/>
          <w:iCs w:val="1"/>
        </w:rPr>
        <w:t>The Iliad</w:t>
      </w:r>
      <w:r w:rsidRPr="343D5D63" w:rsidR="2392B598">
        <w:rPr>
          <w:i w:val="0"/>
          <w:iCs w:val="0"/>
        </w:rPr>
        <w:t xml:space="preserve"> </w:t>
      </w:r>
      <w:r w:rsidRPr="343D5D63" w:rsidR="0FDBBB43">
        <w:rPr>
          <w:i w:val="0"/>
          <w:iCs w:val="0"/>
        </w:rPr>
        <w:t>displays the return of Achilles to his humanity</w:t>
      </w:r>
      <w:r w:rsidRPr="343D5D63" w:rsidR="5D1E0930">
        <w:rPr>
          <w:i w:val="0"/>
          <w:iCs w:val="0"/>
        </w:rPr>
        <w:t xml:space="preserve">, finishing with Hector being put to rest after </w:t>
      </w:r>
      <w:r w:rsidRPr="343D5D63" w:rsidR="7E322E87">
        <w:rPr>
          <w:i w:val="0"/>
          <w:iCs w:val="0"/>
        </w:rPr>
        <w:t>almost 2,000 lines of desecration and conflict over his corpse</w:t>
      </w:r>
      <w:r w:rsidRPr="343D5D63" w:rsidR="6B2A1021">
        <w:rPr>
          <w:i w:val="0"/>
          <w:iCs w:val="0"/>
        </w:rPr>
        <w:t>,</w:t>
      </w:r>
      <w:r w:rsidRPr="343D5D63" w:rsidR="561B4256">
        <w:rPr>
          <w:i w:val="0"/>
          <w:iCs w:val="0"/>
        </w:rPr>
        <w:t xml:space="preserve"> at Achilles’ grant. </w:t>
      </w:r>
    </w:p>
    <w:p w:rsidR="01BEE2E3" w:rsidP="7D45FC86" w:rsidRDefault="01BEE2E3" w14:paraId="426637D3" w14:textId="6A9D824B">
      <w:pPr>
        <w:rPr>
          <w:i w:val="0"/>
          <w:iCs w:val="0"/>
        </w:rPr>
      </w:pPr>
      <w:r w:rsidRPr="7D45FC86" w:rsidR="01BEE2E3">
        <w:rPr>
          <w:i w:val="0"/>
          <w:iCs w:val="0"/>
        </w:rPr>
        <w:t xml:space="preserve">Despite </w:t>
      </w:r>
      <w:r w:rsidRPr="7D45FC86" w:rsidR="01BEE2E3">
        <w:rPr>
          <w:i w:val="1"/>
          <w:iCs w:val="1"/>
        </w:rPr>
        <w:t>The Iliad</w:t>
      </w:r>
      <w:r w:rsidRPr="7D45FC86" w:rsidR="01BEE2E3">
        <w:rPr>
          <w:i w:val="0"/>
          <w:iCs w:val="0"/>
        </w:rPr>
        <w:t xml:space="preserve"> revolving around Achilles, Hector is the only character to be mentioned in every single book, as pointed out by Scott</w:t>
      </w:r>
      <w:r w:rsidRPr="7D45FC86">
        <w:rPr>
          <w:rStyle w:val="FootnoteReference"/>
          <w:i w:val="0"/>
          <w:iCs w:val="0"/>
        </w:rPr>
        <w:footnoteReference w:id="1658"/>
      </w:r>
      <w:r w:rsidRPr="7D45FC86" w:rsidR="01BEE2E3">
        <w:rPr>
          <w:i w:val="0"/>
          <w:iCs w:val="0"/>
        </w:rPr>
        <w:t xml:space="preserve">. </w:t>
      </w:r>
      <w:r w:rsidRPr="7D45FC86" w:rsidR="0113D268">
        <w:rPr>
          <w:i w:val="0"/>
          <w:iCs w:val="0"/>
        </w:rPr>
        <w:t>The immediate assumption of a reader upon seeing Hector mentioned more than Achilles throughout might be that Hector, as a character, is more important to the wider story of the battle being fought at Troy</w:t>
      </w:r>
      <w:r w:rsidRPr="7D45FC86" w:rsidR="16C48867">
        <w:rPr>
          <w:i w:val="0"/>
          <w:iCs w:val="0"/>
        </w:rPr>
        <w:t xml:space="preserve">. This could be seen to be emphasised by the </w:t>
      </w:r>
      <w:r w:rsidRPr="7D45FC86" w:rsidR="3B2727C3">
        <w:rPr>
          <w:i w:val="0"/>
          <w:iCs w:val="0"/>
        </w:rPr>
        <w:t>speech given by Priam to Hector in book 22, in which Priam begs his son to not enter battle with Achilles for fear that if Hector is to die at the hands of Achilles, “innumerable horrors I shall have to see before I die.”</w:t>
      </w:r>
      <w:r w:rsidRPr="7D45FC86">
        <w:rPr>
          <w:rStyle w:val="FootnoteReference"/>
          <w:i w:val="0"/>
          <w:iCs w:val="0"/>
        </w:rPr>
        <w:footnoteReference w:id="29083"/>
      </w:r>
      <w:r w:rsidRPr="7D45FC86" w:rsidR="2A1EA2E6">
        <w:rPr>
          <w:i w:val="0"/>
          <w:iCs w:val="0"/>
        </w:rPr>
        <w:t xml:space="preserve"> </w:t>
      </w:r>
      <w:r w:rsidRPr="7D45FC86" w:rsidR="3FD78A87">
        <w:rPr>
          <w:i w:val="0"/>
          <w:iCs w:val="0"/>
        </w:rPr>
        <w:t>The repeated implication that the death of Hector will result in the wider falling of Troy</w:t>
      </w:r>
      <w:r w:rsidRPr="7D45FC86" w:rsidR="3FD78A87">
        <w:rPr>
          <w:i w:val="0"/>
          <w:iCs w:val="0"/>
        </w:rPr>
        <w:t xml:space="preserve"> </w:t>
      </w:r>
      <w:r w:rsidRPr="7D45FC86" w:rsidR="218CC319">
        <w:rPr>
          <w:i w:val="0"/>
          <w:iCs w:val="0"/>
        </w:rPr>
        <w:t>might sugge</w:t>
      </w:r>
      <w:r w:rsidRPr="7D45FC86" w:rsidR="6CA808B3">
        <w:rPr>
          <w:i w:val="0"/>
          <w:iCs w:val="0"/>
        </w:rPr>
        <w:t xml:space="preserve">st </w:t>
      </w:r>
      <w:r w:rsidRPr="7D45FC86" w:rsidR="1AF89C03">
        <w:rPr>
          <w:i w:val="0"/>
          <w:iCs w:val="0"/>
        </w:rPr>
        <w:t xml:space="preserve">an inherent importance </w:t>
      </w:r>
      <w:r w:rsidRPr="7D45FC86" w:rsidR="1AF89C03">
        <w:rPr>
          <w:i w:val="0"/>
          <w:iCs w:val="0"/>
        </w:rPr>
        <w:t>regarding</w:t>
      </w:r>
      <w:r w:rsidRPr="7D45FC86" w:rsidR="1AF89C03">
        <w:rPr>
          <w:i w:val="0"/>
          <w:iCs w:val="0"/>
        </w:rPr>
        <w:t xml:space="preserve"> Hector. However, the events leading up to Hector being killed are set in motion by Achilles</w:t>
      </w:r>
      <w:r w:rsidRPr="7D45FC86" w:rsidR="3916BCD6">
        <w:rPr>
          <w:i w:val="0"/>
          <w:iCs w:val="0"/>
        </w:rPr>
        <w:t xml:space="preserve">. His abandonment of the battle resulting in </w:t>
      </w:r>
      <w:r w:rsidRPr="7D45FC86" w:rsidR="31743682">
        <w:rPr>
          <w:i w:val="0"/>
          <w:iCs w:val="0"/>
        </w:rPr>
        <w:t xml:space="preserve">Patroclus taking his place to then be killed by Hector, leading to his wrath towards the end of </w:t>
      </w:r>
      <w:r w:rsidRPr="7D45FC86" w:rsidR="31743682">
        <w:rPr>
          <w:i w:val="1"/>
          <w:iCs w:val="1"/>
        </w:rPr>
        <w:t>The Iliad</w:t>
      </w:r>
      <w:r w:rsidRPr="7D45FC86" w:rsidR="31743682">
        <w:rPr>
          <w:i w:val="0"/>
          <w:iCs w:val="0"/>
        </w:rPr>
        <w:t xml:space="preserve"> displays that the lack of mention of Achilles is what makes his importance. </w:t>
      </w:r>
    </w:p>
    <w:p w:rsidR="3AA79347" w:rsidP="7D45FC86" w:rsidRDefault="3AA79347" w14:paraId="3D991496" w14:textId="696DFE11">
      <w:pPr>
        <w:pStyle w:val="Normal"/>
        <w:suppressLineNumbers w:val="0"/>
        <w:bidi w:val="0"/>
        <w:spacing w:before="0" w:beforeAutospacing="off" w:after="160" w:afterAutospacing="off" w:line="279" w:lineRule="auto"/>
        <w:ind w:left="0" w:right="0"/>
        <w:jc w:val="left"/>
        <w:rPr>
          <w:i w:val="0"/>
          <w:iCs w:val="0"/>
        </w:rPr>
      </w:pPr>
      <w:r w:rsidRPr="7D45FC86" w:rsidR="3AA79347">
        <w:rPr>
          <w:i w:val="0"/>
          <w:iCs w:val="0"/>
        </w:rPr>
        <w:t xml:space="preserve">The treatment of Hector’s corpse by Achilles would have been a shocking scene to an ancient audience. </w:t>
      </w:r>
      <w:r w:rsidRPr="7D45FC86" w:rsidR="2554A711">
        <w:rPr>
          <w:i w:val="0"/>
          <w:iCs w:val="0"/>
        </w:rPr>
        <w:t xml:space="preserve">Laws </w:t>
      </w:r>
      <w:r w:rsidRPr="7D45FC86" w:rsidR="2554A711">
        <w:rPr>
          <w:i w:val="0"/>
          <w:iCs w:val="0"/>
        </w:rPr>
        <w:t>regarding</w:t>
      </w:r>
      <w:r w:rsidRPr="7D45FC86" w:rsidR="2554A711">
        <w:rPr>
          <w:i w:val="0"/>
          <w:iCs w:val="0"/>
        </w:rPr>
        <w:t xml:space="preserve"> war and the treatment of the dead as a result that were based in religion would have been an expectation for a common audience</w:t>
      </w:r>
      <w:r w:rsidRPr="7D45FC86">
        <w:rPr>
          <w:rStyle w:val="FootnoteReference"/>
          <w:i w:val="0"/>
          <w:iCs w:val="0"/>
        </w:rPr>
        <w:footnoteReference w:id="14598"/>
      </w:r>
      <w:r w:rsidRPr="7D45FC86" w:rsidR="2554A711">
        <w:rPr>
          <w:i w:val="0"/>
          <w:iCs w:val="0"/>
        </w:rPr>
        <w:t xml:space="preserve">. The reaction of the audience could be seen to be mirrored in the </w:t>
      </w:r>
      <w:r w:rsidRPr="7D45FC86" w:rsidR="70056138">
        <w:rPr>
          <w:i w:val="0"/>
          <w:iCs w:val="0"/>
        </w:rPr>
        <w:t>reaction of the gods, who protect Hector’s body and are the catalyst towards Achilles’ change in attitude towards returning it to Priam</w:t>
      </w:r>
      <w:r w:rsidRPr="7D45FC86">
        <w:rPr>
          <w:rStyle w:val="FootnoteReference"/>
          <w:i w:val="0"/>
          <w:iCs w:val="0"/>
        </w:rPr>
        <w:footnoteReference w:id="10644"/>
      </w:r>
      <w:r w:rsidRPr="7D45FC86" w:rsidR="70056138">
        <w:rPr>
          <w:i w:val="0"/>
          <w:iCs w:val="0"/>
        </w:rPr>
        <w:t xml:space="preserve">. </w:t>
      </w:r>
      <w:r w:rsidRPr="7D45FC86" w:rsidR="61CF7570">
        <w:rPr>
          <w:i w:val="0"/>
          <w:iCs w:val="0"/>
        </w:rPr>
        <w:t xml:space="preserve">The progressive movement towards more aggressive desecration is not just a trait displayed by Achilles, however, as </w:t>
      </w:r>
      <w:r w:rsidRPr="7D45FC86" w:rsidR="672C48BC">
        <w:rPr>
          <w:i w:val="0"/>
          <w:iCs w:val="0"/>
        </w:rPr>
        <w:t>discussed by Motto and Clark, and is instead shown by the general populace</w:t>
      </w:r>
      <w:r w:rsidRPr="7D45FC86">
        <w:rPr>
          <w:rStyle w:val="FootnoteReference"/>
          <w:i w:val="0"/>
          <w:iCs w:val="0"/>
        </w:rPr>
        <w:footnoteReference w:id="9227"/>
      </w:r>
      <w:r w:rsidRPr="7D45FC86" w:rsidR="672C48BC">
        <w:rPr>
          <w:i w:val="0"/>
          <w:iCs w:val="0"/>
        </w:rPr>
        <w:t>. Whilst Achilles’ actions are excessive, a tension revo</w:t>
      </w:r>
      <w:r w:rsidRPr="7D45FC86" w:rsidR="01A4F96A">
        <w:rPr>
          <w:i w:val="0"/>
          <w:iCs w:val="0"/>
        </w:rPr>
        <w:t>lv</w:t>
      </w:r>
      <w:r w:rsidRPr="7D45FC86" w:rsidR="672C48BC">
        <w:rPr>
          <w:i w:val="0"/>
          <w:iCs w:val="0"/>
        </w:rPr>
        <w:t>ing</w:t>
      </w:r>
      <w:r w:rsidRPr="7D45FC86" w:rsidR="672C48BC">
        <w:rPr>
          <w:i w:val="0"/>
          <w:iCs w:val="0"/>
        </w:rPr>
        <w:t xml:space="preserve"> around the length of the war and the soldiers lost could be concluded from the actions of the majority</w:t>
      </w:r>
      <w:r w:rsidRPr="7D45FC86" w:rsidR="5AD9AD56">
        <w:rPr>
          <w:i w:val="0"/>
          <w:iCs w:val="0"/>
        </w:rPr>
        <w:t>.</w:t>
      </w:r>
      <w:r w:rsidRPr="7D45FC86" w:rsidR="452C6ECB">
        <w:rPr>
          <w:i w:val="0"/>
          <w:iCs w:val="0"/>
        </w:rPr>
        <w:t xml:space="preserve"> The attitudes of the Greeks returning to what might be considered “normal” is shown by</w:t>
      </w:r>
      <w:r w:rsidRPr="7D45FC86" w:rsidR="53EF5EE8">
        <w:rPr>
          <w:i w:val="0"/>
          <w:iCs w:val="0"/>
        </w:rPr>
        <w:t xml:space="preserve"> Priam’s statement of “Achilles assured me, [...] that they would do us no harm till the dawn of the twelfth day from then.</w:t>
      </w:r>
      <w:r w:rsidRPr="7D45FC86" w:rsidR="53EF5EE8">
        <w:rPr>
          <w:i w:val="0"/>
          <w:iCs w:val="0"/>
        </w:rPr>
        <w:t>”</w:t>
      </w:r>
      <w:r w:rsidRPr="7D45FC86">
        <w:rPr>
          <w:rStyle w:val="FootnoteReference"/>
          <w:i w:val="0"/>
          <w:iCs w:val="0"/>
        </w:rPr>
        <w:footnoteReference w:id="5171"/>
      </w:r>
      <w:r w:rsidRPr="7D45FC86" w:rsidR="53EF5EE8">
        <w:rPr>
          <w:i w:val="0"/>
          <w:iCs w:val="0"/>
        </w:rPr>
        <w:t xml:space="preserve"> Despite this, however, the </w:t>
      </w:r>
      <w:r w:rsidRPr="7D45FC86" w:rsidR="57388EF7">
        <w:rPr>
          <w:i w:val="0"/>
          <w:iCs w:val="0"/>
        </w:rPr>
        <w:t>tension</w:t>
      </w:r>
      <w:r w:rsidRPr="7D45FC86" w:rsidR="53EF5EE8">
        <w:rPr>
          <w:i w:val="0"/>
          <w:iCs w:val="0"/>
        </w:rPr>
        <w:t xml:space="preserve"> of war is still displayed by Homer. </w:t>
      </w:r>
      <w:r w:rsidRPr="7D45FC86" w:rsidR="727A12CA">
        <w:rPr>
          <w:i w:val="0"/>
          <w:iCs w:val="0"/>
        </w:rPr>
        <w:t>Whilst marking the grave mound, guards are posted “all round in case the Greeks launched a premature attack.”</w:t>
      </w:r>
      <w:r w:rsidRPr="7D45FC86">
        <w:rPr>
          <w:rStyle w:val="FootnoteReference"/>
          <w:i w:val="0"/>
          <w:iCs w:val="0"/>
        </w:rPr>
        <w:footnoteReference w:id="26785"/>
      </w:r>
      <w:r w:rsidRPr="7D45FC86" w:rsidR="727A12CA">
        <w:rPr>
          <w:i w:val="0"/>
          <w:iCs w:val="0"/>
        </w:rPr>
        <w:t xml:space="preserve"> </w:t>
      </w:r>
      <w:r w:rsidRPr="7D45FC86" w:rsidR="56A25137">
        <w:rPr>
          <w:i w:val="0"/>
          <w:iCs w:val="0"/>
        </w:rPr>
        <w:t xml:space="preserve">It is understandable for the Trojans to expect the Greeks to dishonour their word and attack them during a mourning period as respect for custom had previously been at a low. </w:t>
      </w:r>
    </w:p>
    <w:p w:rsidR="78A47CCF" w:rsidP="7D45FC86" w:rsidRDefault="78A47CCF" w14:paraId="4E749F80" w14:textId="22C03EF8">
      <w:pPr>
        <w:pStyle w:val="Normal"/>
        <w:suppressLineNumbers w:val="0"/>
        <w:bidi w:val="0"/>
        <w:spacing w:before="0" w:beforeAutospacing="off" w:after="160" w:afterAutospacing="off" w:line="279" w:lineRule="auto"/>
        <w:ind w:left="0" w:right="0"/>
        <w:jc w:val="left"/>
        <w:rPr>
          <w:i w:val="0"/>
          <w:iCs w:val="0"/>
        </w:rPr>
      </w:pPr>
      <w:r w:rsidRPr="343D5D63" w:rsidR="78A47CCF">
        <w:rPr>
          <w:i w:val="0"/>
          <w:iCs w:val="0"/>
        </w:rPr>
        <w:t xml:space="preserve">Having a funeral feast as seen at the end of </w:t>
      </w:r>
      <w:r w:rsidRPr="343D5D63" w:rsidR="78A47CCF">
        <w:rPr>
          <w:i w:val="1"/>
          <w:iCs w:val="1"/>
        </w:rPr>
        <w:t xml:space="preserve">The Iliad </w:t>
      </w:r>
      <w:r w:rsidRPr="343D5D63" w:rsidR="78A47CCF">
        <w:rPr>
          <w:i w:val="0"/>
          <w:iCs w:val="0"/>
        </w:rPr>
        <w:t>also occurs a</w:t>
      </w:r>
      <w:r w:rsidRPr="343D5D63" w:rsidR="0046159A">
        <w:rPr>
          <w:i w:val="0"/>
          <w:iCs w:val="0"/>
        </w:rPr>
        <w:t>t the funeral of Patroclus</w:t>
      </w:r>
      <w:r w:rsidRPr="343D5D63">
        <w:rPr>
          <w:rStyle w:val="FootnoteReference"/>
          <w:i w:val="0"/>
          <w:iCs w:val="0"/>
        </w:rPr>
        <w:footnoteReference w:id="26266"/>
      </w:r>
      <w:r w:rsidRPr="343D5D63" w:rsidR="0046159A">
        <w:rPr>
          <w:i w:val="0"/>
          <w:iCs w:val="0"/>
        </w:rPr>
        <w:t xml:space="preserve">. Both funerals </w:t>
      </w:r>
      <w:r w:rsidRPr="343D5D63" w:rsidR="6AA37EB2">
        <w:rPr>
          <w:i w:val="0"/>
          <w:iCs w:val="0"/>
        </w:rPr>
        <w:t xml:space="preserve">possessing a funerary feast as part of the funerary rites may </w:t>
      </w:r>
      <w:r w:rsidRPr="343D5D63" w:rsidR="6AA37EB2">
        <w:rPr>
          <w:i w:val="0"/>
          <w:iCs w:val="0"/>
        </w:rPr>
        <w:t>indicate</w:t>
      </w:r>
      <w:r w:rsidRPr="343D5D63" w:rsidR="6AA37EB2">
        <w:rPr>
          <w:i w:val="0"/>
          <w:iCs w:val="0"/>
        </w:rPr>
        <w:t xml:space="preserve"> that a feast would have been standard for funerals. Using Homer as a source for reality can be complex, however, due to the oral nature of the poems, as well as the scholarly debate aro</w:t>
      </w:r>
      <w:r w:rsidRPr="343D5D63" w:rsidR="17DA9E73">
        <w:rPr>
          <w:i w:val="0"/>
          <w:iCs w:val="0"/>
        </w:rPr>
        <w:t>und Homer as a historical figure</w:t>
      </w:r>
      <w:r w:rsidRPr="343D5D63">
        <w:rPr>
          <w:rStyle w:val="FootnoteReference"/>
          <w:i w:val="0"/>
          <w:iCs w:val="0"/>
        </w:rPr>
        <w:footnoteReference w:id="11378"/>
      </w:r>
      <w:r w:rsidRPr="343D5D63" w:rsidR="17DA9E73">
        <w:rPr>
          <w:i w:val="0"/>
          <w:iCs w:val="0"/>
        </w:rPr>
        <w:t xml:space="preserve">. </w:t>
      </w:r>
      <w:r w:rsidRPr="343D5D63" w:rsidR="2204ED63">
        <w:rPr>
          <w:i w:val="0"/>
          <w:iCs w:val="0"/>
        </w:rPr>
        <w:t xml:space="preserve">However, some elements of the poem must have a basis </w:t>
      </w:r>
      <w:bookmarkStart w:name="_Int_jm3VDICD" w:id="1435837615"/>
      <w:r w:rsidRPr="343D5D63" w:rsidR="2204ED63">
        <w:rPr>
          <w:i w:val="0"/>
          <w:iCs w:val="0"/>
        </w:rPr>
        <w:t>in reality to</w:t>
      </w:r>
      <w:bookmarkEnd w:id="1435837615"/>
      <w:r w:rsidRPr="343D5D63" w:rsidR="2204ED63">
        <w:rPr>
          <w:i w:val="0"/>
          <w:iCs w:val="0"/>
        </w:rPr>
        <w:t xml:space="preserve"> </w:t>
      </w:r>
      <w:r w:rsidRPr="343D5D63" w:rsidR="2204ED63">
        <w:rPr>
          <w:i w:val="0"/>
          <w:iCs w:val="0"/>
        </w:rPr>
        <w:t>remain</w:t>
      </w:r>
      <w:r w:rsidRPr="343D5D63" w:rsidR="2204ED63">
        <w:rPr>
          <w:i w:val="0"/>
          <w:iCs w:val="0"/>
        </w:rPr>
        <w:t xml:space="preserve"> entertaining but not distracting to an audience.</w:t>
      </w:r>
      <w:r w:rsidRPr="343D5D63" w:rsidR="5D89A7E7">
        <w:rPr>
          <w:i w:val="0"/>
          <w:iCs w:val="0"/>
        </w:rPr>
        <w:t xml:space="preserve"> The feast as part of funerary rituals is a common rite found in multiple communities around the Aegean and in the </w:t>
      </w:r>
      <w:r w:rsidRPr="343D5D63" w:rsidR="5D89A7E7">
        <w:rPr>
          <w:i w:val="0"/>
          <w:iCs w:val="0"/>
        </w:rPr>
        <w:t>Near East</w:t>
      </w:r>
      <w:r w:rsidRPr="343D5D63" w:rsidR="5D89A7E7">
        <w:rPr>
          <w:i w:val="0"/>
          <w:iCs w:val="0"/>
        </w:rPr>
        <w:t xml:space="preserve">. </w:t>
      </w:r>
      <w:r w:rsidRPr="343D5D63" w:rsidR="2ED67046">
        <w:rPr>
          <w:i w:val="0"/>
          <w:iCs w:val="0"/>
        </w:rPr>
        <w:t xml:space="preserve">As a result, it can be assumed that the funeral feast would have been a common occurrence at funerals that the original audience of Homer, and later audiences in the classical period, would have been familiar with. Additionally, </w:t>
      </w:r>
      <w:r w:rsidRPr="343D5D63" w:rsidR="35DDDAF4">
        <w:rPr>
          <w:i w:val="0"/>
          <w:iCs w:val="0"/>
        </w:rPr>
        <w:t xml:space="preserve">washing and anointing the body occurs in the funerals of Hector and Patroclus, so could be another example of a practice </w:t>
      </w:r>
      <w:bookmarkStart w:name="_Int_D8OdjN2e" w:id="200827829"/>
      <w:r w:rsidRPr="343D5D63" w:rsidR="35DDDAF4">
        <w:rPr>
          <w:i w:val="0"/>
          <w:iCs w:val="0"/>
        </w:rPr>
        <w:t>grounded in reality</w:t>
      </w:r>
      <w:bookmarkEnd w:id="200827829"/>
      <w:r w:rsidRPr="343D5D63" w:rsidR="35DDDAF4">
        <w:rPr>
          <w:i w:val="0"/>
          <w:iCs w:val="0"/>
        </w:rPr>
        <w:t xml:space="preserve">. </w:t>
      </w:r>
    </w:p>
    <w:p w:rsidR="307B1165" w:rsidP="7D45FC86" w:rsidRDefault="307B1165" w14:paraId="4DC6CDC6" w14:textId="68F68FB0">
      <w:pPr>
        <w:pStyle w:val="Normal"/>
        <w:suppressLineNumbers w:val="0"/>
        <w:bidi w:val="0"/>
        <w:spacing w:before="0" w:beforeAutospacing="off" w:after="160" w:afterAutospacing="off" w:line="279" w:lineRule="auto"/>
        <w:ind w:left="0" w:right="0"/>
        <w:jc w:val="left"/>
        <w:rPr>
          <w:i w:val="0"/>
          <w:iCs w:val="0"/>
        </w:rPr>
      </w:pPr>
      <w:r w:rsidRPr="7D45FC86" w:rsidR="307B1165">
        <w:rPr>
          <w:i w:val="0"/>
          <w:iCs w:val="0"/>
        </w:rPr>
        <w:t xml:space="preserve">Some of these practices are also mirrored in the practices of other peoples in </w:t>
      </w:r>
      <w:r w:rsidRPr="7D45FC86" w:rsidR="307B1165">
        <w:rPr>
          <w:i w:val="0"/>
          <w:iCs w:val="0"/>
        </w:rPr>
        <w:t>previous</w:t>
      </w:r>
      <w:r w:rsidRPr="7D45FC86" w:rsidR="307B1165">
        <w:rPr>
          <w:i w:val="0"/>
          <w:iCs w:val="0"/>
        </w:rPr>
        <w:t xml:space="preserve"> times. </w:t>
      </w:r>
      <w:r w:rsidRPr="7D45FC86" w:rsidR="4BCFE7DC">
        <w:rPr>
          <w:i w:val="0"/>
          <w:iCs w:val="0"/>
        </w:rPr>
        <w:t xml:space="preserve">Some tholos tombs in Mycenae </w:t>
      </w:r>
      <w:r w:rsidRPr="7D45FC86" w:rsidR="4BCFE7DC">
        <w:rPr>
          <w:i w:val="0"/>
          <w:iCs w:val="0"/>
        </w:rPr>
        <w:t>contain</w:t>
      </w:r>
      <w:r w:rsidRPr="7D45FC86" w:rsidR="4BCFE7DC">
        <w:rPr>
          <w:i w:val="0"/>
          <w:iCs w:val="0"/>
        </w:rPr>
        <w:t xml:space="preserve"> bones of sacrificial animals and smashed </w:t>
      </w:r>
      <w:r w:rsidRPr="7D45FC86" w:rsidR="4BCFE7DC">
        <w:rPr>
          <w:i w:val="0"/>
          <w:iCs w:val="0"/>
        </w:rPr>
        <w:t>kylikes</w:t>
      </w:r>
      <w:r w:rsidRPr="7D45FC86" w:rsidR="4BCFE7DC">
        <w:rPr>
          <w:i w:val="0"/>
          <w:iCs w:val="0"/>
        </w:rPr>
        <w:t xml:space="preserve">, </w:t>
      </w:r>
      <w:r w:rsidRPr="7D45FC86" w:rsidR="4BCFE7DC">
        <w:rPr>
          <w:i w:val="0"/>
          <w:iCs w:val="0"/>
        </w:rPr>
        <w:t>indicating</w:t>
      </w:r>
      <w:r w:rsidRPr="7D45FC86" w:rsidR="4BCFE7DC">
        <w:rPr>
          <w:i w:val="0"/>
          <w:iCs w:val="0"/>
        </w:rPr>
        <w:t xml:space="preserve"> both ritual feasting and drinking</w:t>
      </w:r>
      <w:r w:rsidRPr="7D45FC86">
        <w:rPr>
          <w:rStyle w:val="FootnoteReference"/>
          <w:i w:val="0"/>
          <w:iCs w:val="0"/>
        </w:rPr>
        <w:footnoteReference w:id="20082"/>
      </w:r>
      <w:r w:rsidRPr="7D45FC86" w:rsidR="4BCFE7DC">
        <w:rPr>
          <w:i w:val="0"/>
          <w:iCs w:val="0"/>
        </w:rPr>
        <w:t xml:space="preserve">. </w:t>
      </w:r>
      <w:r w:rsidRPr="7D45FC86" w:rsidR="0BC52F44">
        <w:rPr>
          <w:i w:val="0"/>
          <w:iCs w:val="0"/>
        </w:rPr>
        <w:t xml:space="preserve">The reasoning for the finding of the bones and smashed cups is </w:t>
      </w:r>
      <w:r w:rsidRPr="7D45FC86" w:rsidR="0BC52F44">
        <w:rPr>
          <w:i w:val="0"/>
          <w:iCs w:val="0"/>
        </w:rPr>
        <w:t>likely due</w:t>
      </w:r>
      <w:r w:rsidRPr="7D45FC86" w:rsidR="0BC52F44">
        <w:rPr>
          <w:i w:val="0"/>
          <w:iCs w:val="0"/>
        </w:rPr>
        <w:t xml:space="preserve"> to the view of death being polluting, resulting in the items associated with the rites being left in the grave or tomb. The concept of</w:t>
      </w:r>
      <w:r w:rsidRPr="7D45FC86" w:rsidR="73BB68DC">
        <w:rPr>
          <w:i w:val="0"/>
          <w:iCs w:val="0"/>
        </w:rPr>
        <w:t xml:space="preserve"> death as a pollutant is carried forward into the classical era</w:t>
      </w:r>
      <w:r w:rsidRPr="7D45FC86">
        <w:rPr>
          <w:rStyle w:val="FootnoteReference"/>
          <w:i w:val="0"/>
          <w:iCs w:val="0"/>
        </w:rPr>
        <w:footnoteReference w:id="28154"/>
      </w:r>
      <w:r w:rsidRPr="7D45FC86" w:rsidR="73BB68DC">
        <w:rPr>
          <w:i w:val="0"/>
          <w:iCs w:val="0"/>
        </w:rPr>
        <w:t xml:space="preserve">. </w:t>
      </w:r>
      <w:r w:rsidRPr="7D45FC86" w:rsidR="6D373660">
        <w:rPr>
          <w:i w:val="0"/>
          <w:iCs w:val="0"/>
        </w:rPr>
        <w:t>Whilst there is no mention of the bones of the animals used for the funerary feast being placed on the pyre at Patroclus’ or Hector’s funeral, Achilles’ does sacrifice other animals and place them on the pyre, such as dogs Patroclus fed</w:t>
      </w:r>
      <w:r w:rsidRPr="7D45FC86">
        <w:rPr>
          <w:rStyle w:val="FootnoteReference"/>
          <w:i w:val="0"/>
          <w:iCs w:val="0"/>
        </w:rPr>
        <w:footnoteReference w:id="26714"/>
      </w:r>
      <w:r w:rsidRPr="7D45FC86" w:rsidR="6D373660">
        <w:rPr>
          <w:i w:val="0"/>
          <w:iCs w:val="0"/>
        </w:rPr>
        <w:t>. This is another practice mirrored in some burials at Mycenae, where dogs are sacrificed e</w:t>
      </w:r>
      <w:r w:rsidRPr="7D45FC86" w:rsidR="500BFB05">
        <w:rPr>
          <w:i w:val="0"/>
          <w:iCs w:val="0"/>
        </w:rPr>
        <w:t xml:space="preserve">ither to protect or to </w:t>
      </w:r>
      <w:r w:rsidRPr="7D45FC86" w:rsidR="500BFB05">
        <w:rPr>
          <w:i w:val="0"/>
          <w:iCs w:val="0"/>
        </w:rPr>
        <w:t>accompany</w:t>
      </w:r>
      <w:r w:rsidRPr="7D45FC86" w:rsidR="500BFB05">
        <w:rPr>
          <w:i w:val="0"/>
          <w:iCs w:val="0"/>
        </w:rPr>
        <w:t xml:space="preserve"> the dead in the afterlife</w:t>
      </w:r>
      <w:r w:rsidRPr="7D45FC86">
        <w:rPr>
          <w:rStyle w:val="FootnoteReference"/>
          <w:i w:val="0"/>
          <w:iCs w:val="0"/>
        </w:rPr>
        <w:footnoteReference w:id="11840"/>
      </w:r>
      <w:r w:rsidRPr="7D45FC86" w:rsidR="500BFB05">
        <w:rPr>
          <w:i w:val="0"/>
          <w:iCs w:val="0"/>
        </w:rPr>
        <w:t xml:space="preserve">. Due to their relation to Patroclus, it could be assumed Achilles sacrifices them to </w:t>
      </w:r>
      <w:r w:rsidRPr="7D45FC86" w:rsidR="500BFB05">
        <w:rPr>
          <w:i w:val="0"/>
          <w:iCs w:val="0"/>
        </w:rPr>
        <w:t>accompany</w:t>
      </w:r>
      <w:r w:rsidRPr="7D45FC86" w:rsidR="500BFB05">
        <w:rPr>
          <w:i w:val="0"/>
          <w:iCs w:val="0"/>
        </w:rPr>
        <w:t xml:space="preserve"> Patroclus. </w:t>
      </w:r>
      <w:r w:rsidRPr="7D45FC86" w:rsidR="31AF15C7">
        <w:rPr>
          <w:i w:val="0"/>
          <w:iCs w:val="0"/>
        </w:rPr>
        <w:t xml:space="preserve">Another similarity between the process described in </w:t>
      </w:r>
      <w:r w:rsidRPr="7D45FC86" w:rsidR="31AF15C7">
        <w:rPr>
          <w:i w:val="1"/>
          <w:iCs w:val="1"/>
        </w:rPr>
        <w:t xml:space="preserve">The Iliad </w:t>
      </w:r>
      <w:r w:rsidRPr="7D45FC86" w:rsidR="31AF15C7">
        <w:rPr>
          <w:i w:val="0"/>
          <w:iCs w:val="0"/>
        </w:rPr>
        <w:t xml:space="preserve">and Mycenae is the tumulus burial. Hector is buried in a grave covered with stones, which is in turn covered with </w:t>
      </w:r>
      <w:r w:rsidRPr="7D45FC86" w:rsidR="76B1A111">
        <w:rPr>
          <w:i w:val="0"/>
          <w:iCs w:val="0"/>
        </w:rPr>
        <w:t>a large mound of dirt</w:t>
      </w:r>
      <w:r w:rsidRPr="7D45FC86">
        <w:rPr>
          <w:rStyle w:val="FootnoteReference"/>
          <w:i w:val="0"/>
          <w:iCs w:val="0"/>
        </w:rPr>
        <w:footnoteReference w:id="3461"/>
      </w:r>
      <w:r w:rsidRPr="7D45FC86" w:rsidR="76B1A111">
        <w:rPr>
          <w:i w:val="0"/>
          <w:iCs w:val="0"/>
        </w:rPr>
        <w:t>. A similar display is shown by Mycenaean burials, though the graves of Mycenae we</w:t>
      </w:r>
      <w:r w:rsidRPr="7D45FC86" w:rsidR="6E0D56BB">
        <w:rPr>
          <w:i w:val="0"/>
          <w:iCs w:val="0"/>
        </w:rPr>
        <w:t>re usually lined with stones as well as covered by large stones resembling a roof</w:t>
      </w:r>
      <w:r w:rsidRPr="7D45FC86">
        <w:rPr>
          <w:rStyle w:val="FootnoteReference"/>
          <w:i w:val="0"/>
          <w:iCs w:val="0"/>
        </w:rPr>
        <w:footnoteReference w:id="25113"/>
      </w:r>
      <w:r w:rsidRPr="7D45FC86" w:rsidR="6E0D56BB">
        <w:rPr>
          <w:i w:val="0"/>
          <w:iCs w:val="0"/>
        </w:rPr>
        <w:t xml:space="preserve">. However, it could be argued that Hector might have </w:t>
      </w:r>
      <w:r w:rsidRPr="7D45FC86" w:rsidR="7B2EBAB2">
        <w:rPr>
          <w:i w:val="0"/>
          <w:iCs w:val="0"/>
        </w:rPr>
        <w:t>received</w:t>
      </w:r>
      <w:r w:rsidRPr="7D45FC86" w:rsidR="6E0D56BB">
        <w:rPr>
          <w:i w:val="0"/>
          <w:iCs w:val="0"/>
        </w:rPr>
        <w:t xml:space="preserve"> a similar grave lined with stones had the Trojans had more time to bury him.</w:t>
      </w:r>
    </w:p>
    <w:p w:rsidR="795E5E9D" w:rsidP="7D45FC86" w:rsidRDefault="795E5E9D" w14:paraId="78B40335" w14:textId="708A0AF2">
      <w:pPr>
        <w:pStyle w:val="Normal"/>
        <w:suppressLineNumbers w:val="0"/>
        <w:bidi w:val="0"/>
        <w:spacing w:before="0" w:beforeAutospacing="off" w:after="160" w:afterAutospacing="off" w:line="279" w:lineRule="auto"/>
        <w:ind w:left="0" w:right="0"/>
        <w:jc w:val="left"/>
        <w:rPr>
          <w:i w:val="0"/>
          <w:iCs w:val="0"/>
        </w:rPr>
      </w:pPr>
      <w:r w:rsidRPr="7D45FC86" w:rsidR="795E5E9D">
        <w:rPr>
          <w:i w:val="0"/>
          <w:iCs w:val="0"/>
        </w:rPr>
        <w:t xml:space="preserve">Lines 24.777-24.803 of </w:t>
      </w:r>
      <w:r w:rsidRPr="7D45FC86" w:rsidR="795E5E9D">
        <w:rPr>
          <w:i w:val="1"/>
          <w:iCs w:val="1"/>
        </w:rPr>
        <w:t>The Iliad</w:t>
      </w:r>
      <w:r w:rsidRPr="7D45FC86" w:rsidR="795E5E9D">
        <w:rPr>
          <w:i w:val="0"/>
          <w:iCs w:val="0"/>
        </w:rPr>
        <w:t xml:space="preserve"> shows the result of Achilles’ return to humanity, </w:t>
      </w:r>
      <w:r w:rsidRPr="7D45FC86" w:rsidR="795E5E9D">
        <w:rPr>
          <w:i w:val="0"/>
          <w:iCs w:val="0"/>
        </w:rPr>
        <w:t xml:space="preserve">as well as displaying some potential rituals </w:t>
      </w:r>
      <w:r w:rsidRPr="7D45FC86" w:rsidR="795E5E9D">
        <w:rPr>
          <w:i w:val="0"/>
          <w:iCs w:val="0"/>
        </w:rPr>
        <w:t>re</w:t>
      </w:r>
      <w:r w:rsidRPr="7D45FC86" w:rsidR="28CC6569">
        <w:rPr>
          <w:i w:val="0"/>
          <w:iCs w:val="0"/>
        </w:rPr>
        <w:t>garding</w:t>
      </w:r>
      <w:r w:rsidRPr="7D45FC86" w:rsidR="28CC6569">
        <w:rPr>
          <w:i w:val="0"/>
          <w:iCs w:val="0"/>
        </w:rPr>
        <w:t xml:space="preserve"> funerary practices in the ancient Aegean. </w:t>
      </w:r>
      <w:r w:rsidRPr="7D45FC86" w:rsidR="610EE5BA">
        <w:rPr>
          <w:i w:val="0"/>
          <w:iCs w:val="0"/>
        </w:rPr>
        <w:t>Scenes shown within the passage bare resemblance to archaeological evidence found from earlier sites around the Aegean, more specifically to a culture that does have a rep</w:t>
      </w:r>
      <w:r w:rsidRPr="7D45FC86" w:rsidR="10534E7D">
        <w:rPr>
          <w:i w:val="0"/>
          <w:iCs w:val="0"/>
        </w:rPr>
        <w:t xml:space="preserve">resentation within the story through the character of Agammemnon. </w:t>
      </w:r>
    </w:p>
    <w:p w:rsidR="7D45FC86" w:rsidP="7D45FC86" w:rsidRDefault="7D45FC86" w14:paraId="05EDD745" w14:textId="7FCAFD36">
      <w:pPr>
        <w:rPr>
          <w:i w:val="0"/>
          <w:iCs w:val="0"/>
        </w:rPr>
      </w:pPr>
    </w:p>
    <w:p w:rsidR="7C512BB7" w:rsidP="7D45FC86" w:rsidRDefault="7C512BB7" w14:paraId="2BCA9D8F" w14:textId="06ADD991">
      <w:pPr>
        <w:pStyle w:val="Heading2"/>
      </w:pPr>
      <w:r w:rsidR="7C512BB7">
        <w:rPr/>
        <w:t>Bibliography</w:t>
      </w:r>
    </w:p>
    <w:p w:rsidR="7C512BB7" w:rsidP="7D45FC86" w:rsidRDefault="7C512BB7" w14:paraId="614F363D" w14:textId="6CA8D0AB">
      <w:pPr>
        <w:rPr>
          <w:i w:val="0"/>
          <w:iCs w:val="0"/>
        </w:rPr>
      </w:pPr>
      <w:r w:rsidRPr="7D45FC86" w:rsidR="7C512BB7">
        <w:rPr>
          <w:i w:val="0"/>
          <w:iCs w:val="0"/>
        </w:rPr>
        <w:t>death, attitudes to. (2003). In S. Price &amp; E. Kearns (Eds.), The Oxford Dictionary of Classical Myth &amp; Religion (pp. 150–151). Oxford University Press.</w:t>
      </w:r>
    </w:p>
    <w:p w:rsidR="7C512BB7" w:rsidP="7D45FC86" w:rsidRDefault="7C512BB7" w14:paraId="0E1A2923" w14:textId="5ED2A365">
      <w:pPr>
        <w:rPr>
          <w:i w:val="0"/>
          <w:iCs w:val="0"/>
        </w:rPr>
      </w:pPr>
      <w:r w:rsidRPr="7D45FC86" w:rsidR="7C512BB7">
        <w:rPr>
          <w:i w:val="0"/>
          <w:iCs w:val="0"/>
        </w:rPr>
        <w:t xml:space="preserve">Farron, S. (1978). THE CHARACTER OF HECTOR IN THE “ILIAD.” Acta Classica, 21, 39–57. </w:t>
      </w:r>
      <w:hyperlink r:id="R6f7993d15c214eac">
        <w:r w:rsidRPr="7D45FC86" w:rsidR="7C512BB7">
          <w:rPr>
            <w:rStyle w:val="Hyperlink"/>
            <w:i w:val="0"/>
            <w:iCs w:val="0"/>
          </w:rPr>
          <w:t>https://www.jstor.org/stable/24591547</w:t>
        </w:r>
      </w:hyperlink>
      <w:r w:rsidRPr="7D45FC86" w:rsidR="7C512BB7">
        <w:rPr>
          <w:i w:val="0"/>
          <w:iCs w:val="0"/>
        </w:rPr>
        <w:t xml:space="preserve"> </w:t>
      </w:r>
    </w:p>
    <w:p w:rsidR="7C512BB7" w:rsidP="7D45FC86" w:rsidRDefault="7C512BB7" w14:paraId="2E79EC7E" w14:textId="3AD5442D">
      <w:pPr>
        <w:rPr>
          <w:i w:val="0"/>
          <w:iCs w:val="0"/>
        </w:rPr>
      </w:pPr>
      <w:r w:rsidRPr="7D45FC86" w:rsidR="7C512BB7">
        <w:rPr>
          <w:i w:val="0"/>
          <w:iCs w:val="0"/>
        </w:rPr>
        <w:t>Hammond, N. G. L. (1991). A History of Greece to 322 B.C. (3rd ed., pp. 41–42). Oxford University Press. (Original work published 1959)</w:t>
      </w:r>
    </w:p>
    <w:p w:rsidR="7C512BB7" w:rsidP="7D45FC86" w:rsidRDefault="7C512BB7" w14:paraId="14228959" w14:textId="780F497D">
      <w:pPr>
        <w:rPr>
          <w:i w:val="0"/>
          <w:iCs w:val="0"/>
        </w:rPr>
      </w:pPr>
      <w:r w:rsidRPr="7D45FC86" w:rsidR="7C512BB7">
        <w:rPr>
          <w:i w:val="0"/>
          <w:iCs w:val="0"/>
        </w:rPr>
        <w:t>Homer. (2004). The Iliad (P. Jones &amp; D. C. H. Rieu, Eds.; E. V. Rieu, Trans.; pp. 441–442). Penguin Group.</w:t>
      </w:r>
    </w:p>
    <w:p w:rsidR="7C512BB7" w:rsidP="7D45FC86" w:rsidRDefault="7C512BB7" w14:paraId="09D6B7DC" w14:textId="059EC28F">
      <w:pPr>
        <w:rPr>
          <w:i w:val="0"/>
          <w:iCs w:val="0"/>
        </w:rPr>
      </w:pPr>
      <w:r w:rsidRPr="7D45FC86" w:rsidR="7C512BB7">
        <w:rPr>
          <w:i w:val="0"/>
          <w:iCs w:val="0"/>
        </w:rPr>
        <w:t xml:space="preserve">Lanni, A. (2008). The Laws of War in Ancient Greece. Law and History Review, 26(3), 469–489. </w:t>
      </w:r>
      <w:hyperlink r:id="Ra313d3350f71468a">
        <w:r w:rsidRPr="7D45FC86" w:rsidR="7C512BB7">
          <w:rPr>
            <w:rStyle w:val="Hyperlink"/>
            <w:i w:val="0"/>
            <w:iCs w:val="0"/>
          </w:rPr>
          <w:t>https://www.jstor.org/stable/27641604</w:t>
        </w:r>
      </w:hyperlink>
      <w:r w:rsidRPr="7D45FC86" w:rsidR="7C512BB7">
        <w:rPr>
          <w:i w:val="0"/>
          <w:iCs w:val="0"/>
        </w:rPr>
        <w:t xml:space="preserve"> </w:t>
      </w:r>
    </w:p>
    <w:p w:rsidR="7C512BB7" w:rsidP="7D45FC86" w:rsidRDefault="7C512BB7" w14:paraId="0F52A0D8" w14:textId="232D4D2D">
      <w:pPr>
        <w:rPr>
          <w:i w:val="0"/>
          <w:iCs w:val="0"/>
        </w:rPr>
      </w:pPr>
      <w:r w:rsidRPr="7D45FC86" w:rsidR="7C512BB7">
        <w:rPr>
          <w:i w:val="0"/>
          <w:iCs w:val="0"/>
        </w:rPr>
        <w:t xml:space="preserve">Motto, A. L., &amp; Clark, J. R. (1969). ISÊ DAIS: THE HONOR OF ACHILLES. Arethusa, 2(2), 109–125. JSTOR. </w:t>
      </w:r>
      <w:hyperlink r:id="R62affb909ff946d1">
        <w:r w:rsidRPr="7D45FC86" w:rsidR="7C512BB7">
          <w:rPr>
            <w:rStyle w:val="Hyperlink"/>
            <w:i w:val="0"/>
            <w:iCs w:val="0"/>
          </w:rPr>
          <w:t>https://doi.org/10.2307/26307031</w:t>
        </w:r>
      </w:hyperlink>
      <w:r w:rsidRPr="7D45FC86" w:rsidR="7C512BB7">
        <w:rPr>
          <w:i w:val="0"/>
          <w:iCs w:val="0"/>
        </w:rPr>
        <w:t xml:space="preserve"> </w:t>
      </w:r>
    </w:p>
    <w:p w:rsidR="7C512BB7" w:rsidP="343D5D63" w:rsidRDefault="7C512BB7" w14:paraId="1560004B" w14:textId="024D0713">
      <w:pPr>
        <w:rPr>
          <w:i w:val="0"/>
          <w:iCs w:val="0"/>
        </w:rPr>
      </w:pPr>
      <w:r w:rsidRPr="343D5D63" w:rsidR="6F93D899">
        <w:rPr>
          <w:i w:val="0"/>
          <w:iCs w:val="0"/>
        </w:rPr>
        <w:t>Kirk G. S</w:t>
      </w:r>
      <w:r w:rsidRPr="343D5D63" w:rsidR="7C512BB7">
        <w:rPr>
          <w:i w:val="0"/>
          <w:iCs w:val="0"/>
        </w:rPr>
        <w:t xml:space="preserve">. (1973). The Search for the Real Homer. Greece &amp; Rome, 20(2), 124–139. JSTOR. </w:t>
      </w:r>
      <w:hyperlink r:id="R53955bcb028343dc">
        <w:r w:rsidRPr="343D5D63" w:rsidR="7C512BB7">
          <w:rPr>
            <w:rStyle w:val="Hyperlink"/>
            <w:i w:val="0"/>
            <w:iCs w:val="0"/>
          </w:rPr>
          <w:t>https://doi.org/10.2307/642613</w:t>
        </w:r>
      </w:hyperlink>
      <w:r w:rsidRPr="343D5D63" w:rsidR="7C512BB7">
        <w:rPr>
          <w:i w:val="0"/>
          <w:iCs w:val="0"/>
        </w:rPr>
        <w:t xml:space="preserve"> </w:t>
      </w:r>
    </w:p>
    <w:p w:rsidR="7C512BB7" w:rsidP="7D45FC86" w:rsidRDefault="7C512BB7" w14:paraId="72B96962" w14:textId="3CBD5AD5">
      <w:pPr>
        <w:rPr>
          <w:i w:val="0"/>
          <w:iCs w:val="0"/>
        </w:rPr>
      </w:pPr>
      <w:r w:rsidRPr="7D45FC86" w:rsidR="7C512BB7">
        <w:rPr>
          <w:i w:val="0"/>
          <w:iCs w:val="0"/>
        </w:rPr>
        <w:t>Schofield, L., &amp; Getty, P. (2007). The Mycenaeans (p. 55). J. Paul Getty Museum.</w:t>
      </w:r>
    </w:p>
    <w:p w:rsidR="7D45FC86" w:rsidP="7D45FC86" w:rsidRDefault="7D45FC86" w14:paraId="62A62A7B" w14:textId="5AD8CCA9">
      <w:pPr>
        <w:rPr>
          <w:i w:val="0"/>
          <w:iCs w:val="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7D45FC86" w:rsidRDefault="7D45FC86" w14:paraId="01A4AB35" w14:textId="63520474">
      <w:pPr>
        <w:spacing w:after="0" w:line="240" w:lineRule="auto"/>
      </w:pPr>
      <w:r>
        <w:separator/>
      </w:r>
    </w:p>
  </w:footnote>
  <w:footnote w:type="continuationSeparator" w:id="0">
    <w:p w:rsidR="7D45FC86" w:rsidRDefault="7D45FC86" w14:paraId="655D9109" w14:textId="635D2126">
      <w:pPr>
        <w:spacing w:after="0" w:line="240" w:lineRule="auto"/>
      </w:pPr>
      <w:r>
        <w:continuationSeparator/>
      </w:r>
    </w:p>
  </w:footnote>
  <w:footnote w:id="1658">
    <w:p w:rsidR="7D45FC86" w:rsidP="7D45FC86" w:rsidRDefault="7D45FC86" w14:paraId="28DD37A5" w14:textId="7769A3EB">
      <w:pPr>
        <w:pStyle w:val="FootnoteText"/>
        <w:bidi w:val="0"/>
        <w:rPr>
          <w:rFonts w:ascii="Aptos" w:hAnsi="Aptos" w:eastAsia="Aptos" w:cs="Aptos" w:asciiTheme="minorAscii" w:hAnsiTheme="minorAscii" w:eastAsiaTheme="minorAscii" w:cstheme="minorAscii"/>
          <w:noProof w:val="0"/>
          <w:sz w:val="24"/>
          <w:szCs w:val="24"/>
          <w:lang w:val="en-GB"/>
        </w:rPr>
      </w:pPr>
      <w:r w:rsidRPr="7D45FC86">
        <w:rPr>
          <w:rStyle w:val="FootnoteReference"/>
        </w:rPr>
        <w:footnoteRef/>
      </w:r>
      <w:r w:rsidRPr="7D45FC86" w:rsidR="7D45FC86">
        <w:rPr>
          <w:sz w:val="24"/>
          <w:szCs w:val="24"/>
        </w:rPr>
        <w:t xml:space="preserve"> </w:t>
      </w:r>
      <w:r w:rsidRPr="7D45FC86" w:rsidR="7D45FC86">
        <w:rPr>
          <w:rFonts w:ascii="Aptos" w:hAnsi="Aptos" w:eastAsia="Aptos" w:cs="Aptos" w:asciiTheme="minorAscii" w:hAnsiTheme="minorAscii" w:eastAsiaTheme="minorAscii" w:cstheme="minorAscii"/>
          <w:noProof w:val="0"/>
          <w:sz w:val="20"/>
          <w:szCs w:val="20"/>
          <w:lang w:val="en-GB"/>
        </w:rPr>
        <w:t>(Scott as in Farron, 1978)</w:t>
      </w:r>
    </w:p>
  </w:footnote>
  <w:footnote w:id="29083">
    <w:p w:rsidR="7D45FC86" w:rsidP="7D45FC86" w:rsidRDefault="7D45FC86" w14:paraId="5A213A12" w14:textId="03BAE296">
      <w:pPr>
        <w:pStyle w:val="FootnoteText"/>
        <w:bidi w:val="0"/>
        <w:rPr>
          <w:sz w:val="24"/>
          <w:szCs w:val="24"/>
        </w:rPr>
      </w:pPr>
      <w:r w:rsidRPr="7D45FC86">
        <w:rPr>
          <w:rStyle w:val="FootnoteReference"/>
        </w:rPr>
        <w:footnoteRef/>
      </w:r>
      <w:r w:rsidRPr="7D45FC86" w:rsidR="7D45FC86">
        <w:rPr>
          <w:sz w:val="24"/>
          <w:szCs w:val="24"/>
        </w:rPr>
        <w:t xml:space="preserve"> </w:t>
      </w:r>
      <w:r w:rsidRPr="7D45FC86" w:rsidR="7D45FC86">
        <w:rPr>
          <w:sz w:val="20"/>
          <w:szCs w:val="20"/>
        </w:rPr>
        <w:t>(Homer, 22.61-62)</w:t>
      </w:r>
    </w:p>
  </w:footnote>
  <w:footnote w:id="14598">
    <w:p w:rsidR="7D45FC86" w:rsidP="7D45FC86" w:rsidRDefault="7D45FC86" w14:paraId="499BEF80" w14:textId="586CBAC1">
      <w:pPr>
        <w:pStyle w:val="FootnoteText"/>
        <w:bidi w:val="0"/>
      </w:pPr>
      <w:r w:rsidRPr="7D45FC86">
        <w:rPr>
          <w:rStyle w:val="FootnoteReference"/>
        </w:rPr>
        <w:footnoteRef/>
      </w:r>
      <w:r w:rsidR="7D45FC86">
        <w:rPr/>
        <w:t xml:space="preserve"> </w:t>
      </w:r>
      <w:r w:rsidR="7D45FC86">
        <w:rPr/>
        <w:t>(Lanni, 2008)</w:t>
      </w:r>
    </w:p>
  </w:footnote>
  <w:footnote w:id="10644">
    <w:p w:rsidR="7D45FC86" w:rsidP="7D45FC86" w:rsidRDefault="7D45FC86" w14:paraId="3F6C08E8" w14:textId="2F78CB30">
      <w:pPr>
        <w:pStyle w:val="FootnoteText"/>
        <w:bidi w:val="0"/>
      </w:pPr>
      <w:r w:rsidRPr="7D45FC86">
        <w:rPr>
          <w:rStyle w:val="FootnoteReference"/>
        </w:rPr>
        <w:footnoteRef/>
      </w:r>
      <w:r w:rsidR="7D45FC86">
        <w:rPr/>
        <w:t xml:space="preserve"> (Homer, 24.18-21)</w:t>
      </w:r>
    </w:p>
  </w:footnote>
  <w:footnote w:id="9227">
    <w:p w:rsidR="7D45FC86" w:rsidP="7D45FC86" w:rsidRDefault="7D45FC86" w14:paraId="48E4D9E4" w14:textId="03AF5955">
      <w:pPr>
        <w:pStyle w:val="FootnoteText"/>
        <w:bidi w:val="0"/>
      </w:pPr>
      <w:r w:rsidRPr="7D45FC86">
        <w:rPr>
          <w:rStyle w:val="FootnoteReference"/>
        </w:rPr>
        <w:footnoteRef/>
      </w:r>
      <w:r w:rsidR="7D45FC86">
        <w:rPr/>
        <w:t xml:space="preserve"> </w:t>
      </w:r>
      <w:r w:rsidR="7D45FC86">
        <w:rPr/>
        <w:t>(Motto &amp; Clark, 1969)</w:t>
      </w:r>
    </w:p>
  </w:footnote>
  <w:footnote w:id="26785">
    <w:p w:rsidR="7D45FC86" w:rsidP="7D45FC86" w:rsidRDefault="7D45FC86" w14:paraId="2F81B4A3" w14:textId="6DFBF8F0">
      <w:pPr>
        <w:pStyle w:val="FootnoteText"/>
        <w:bidi w:val="0"/>
      </w:pPr>
      <w:r w:rsidRPr="7D45FC86">
        <w:rPr>
          <w:rStyle w:val="FootnoteReference"/>
        </w:rPr>
        <w:footnoteRef/>
      </w:r>
      <w:r w:rsidR="7D45FC86">
        <w:rPr/>
        <w:t xml:space="preserve"> (Homer, 24.799-800)</w:t>
      </w:r>
    </w:p>
  </w:footnote>
  <w:footnote w:id="5171">
    <w:p w:rsidR="7D45FC86" w:rsidP="7D45FC86" w:rsidRDefault="7D45FC86" w14:paraId="6D2162C3" w14:textId="4B1027F0">
      <w:pPr>
        <w:pStyle w:val="FootnoteText"/>
        <w:bidi w:val="0"/>
      </w:pPr>
      <w:r w:rsidRPr="7D45FC86">
        <w:rPr>
          <w:rStyle w:val="FootnoteReference"/>
        </w:rPr>
        <w:footnoteRef/>
      </w:r>
      <w:r w:rsidR="7D45FC86">
        <w:rPr/>
        <w:t xml:space="preserve"> (Homer, 24.780-782)</w:t>
      </w:r>
    </w:p>
  </w:footnote>
  <w:footnote w:id="26266">
    <w:p w:rsidR="7D45FC86" w:rsidP="7D45FC86" w:rsidRDefault="7D45FC86" w14:paraId="21DFC3BD" w14:textId="050FF5C9">
      <w:pPr>
        <w:pStyle w:val="FootnoteText"/>
        <w:bidi w:val="0"/>
      </w:pPr>
      <w:r w:rsidRPr="7D45FC86">
        <w:rPr>
          <w:rStyle w:val="FootnoteReference"/>
        </w:rPr>
        <w:footnoteRef/>
      </w:r>
      <w:r w:rsidR="7D45FC86">
        <w:rPr/>
        <w:t xml:space="preserve"> (Homer, 23.57-58)</w:t>
      </w:r>
    </w:p>
  </w:footnote>
  <w:footnote w:id="11378">
    <w:p w:rsidR="7D45FC86" w:rsidP="7D45FC86" w:rsidRDefault="7D45FC86" w14:paraId="1478B24A" w14:textId="036C160E">
      <w:pPr>
        <w:pStyle w:val="FootnoteText"/>
        <w:bidi w:val="0"/>
      </w:pPr>
      <w:r w:rsidRPr="7D45FC86">
        <w:rPr>
          <w:rStyle w:val="FootnoteReference"/>
        </w:rPr>
        <w:footnoteRef/>
      </w:r>
      <w:r w:rsidR="343D5D63">
        <w:rPr/>
        <w:t xml:space="preserve"> </w:t>
      </w:r>
      <w:r w:rsidR="343D5D63">
        <w:rPr/>
        <w:t>(</w:t>
      </w:r>
      <w:r w:rsidR="343D5D63">
        <w:rPr/>
        <w:t>Kirk</w:t>
      </w:r>
      <w:r w:rsidR="343D5D63">
        <w:rPr/>
        <w:t>, 1973)</w:t>
      </w:r>
    </w:p>
  </w:footnote>
  <w:footnote w:id="20082">
    <w:p w:rsidR="7D45FC86" w:rsidP="7D45FC86" w:rsidRDefault="7D45FC86" w14:paraId="5066B0C2" w14:textId="7A97773E">
      <w:pPr>
        <w:pStyle w:val="FootnoteText"/>
        <w:bidi w:val="0"/>
      </w:pPr>
      <w:r w:rsidRPr="7D45FC86">
        <w:rPr>
          <w:rStyle w:val="FootnoteReference"/>
        </w:rPr>
        <w:footnoteRef/>
      </w:r>
      <w:r w:rsidR="7D45FC86">
        <w:rPr/>
        <w:t xml:space="preserve"> </w:t>
      </w:r>
      <w:r w:rsidR="7D45FC86">
        <w:rPr/>
        <w:t>(Schofield &amp; Getty, 2007, pp.55)</w:t>
      </w:r>
    </w:p>
  </w:footnote>
  <w:footnote w:id="28154">
    <w:p w:rsidR="7D45FC86" w:rsidP="7D45FC86" w:rsidRDefault="7D45FC86" w14:paraId="70349EB4" w14:textId="7BDDC2E0">
      <w:pPr>
        <w:pStyle w:val="FootnoteText"/>
        <w:bidi w:val="0"/>
      </w:pPr>
      <w:r w:rsidRPr="7D45FC86">
        <w:rPr>
          <w:rStyle w:val="FootnoteReference"/>
        </w:rPr>
        <w:footnoteRef/>
      </w:r>
      <w:r w:rsidR="7D45FC86">
        <w:rPr/>
        <w:t xml:space="preserve"> </w:t>
      </w:r>
      <w:r w:rsidR="7D45FC86">
        <w:rPr/>
        <w:t>(“Death, Attitudes To,” 2003)</w:t>
      </w:r>
    </w:p>
  </w:footnote>
  <w:footnote w:id="26714">
    <w:p w:rsidR="7D45FC86" w:rsidP="7D45FC86" w:rsidRDefault="7D45FC86" w14:paraId="5FC5D548" w14:textId="6E798BB5">
      <w:pPr>
        <w:pStyle w:val="FootnoteText"/>
        <w:bidi w:val="0"/>
      </w:pPr>
      <w:r w:rsidRPr="7D45FC86">
        <w:rPr>
          <w:rStyle w:val="FootnoteReference"/>
        </w:rPr>
        <w:footnoteRef/>
      </w:r>
      <w:r w:rsidR="7D45FC86">
        <w:rPr/>
        <w:t xml:space="preserve"> (Homer, 23.173-175)</w:t>
      </w:r>
    </w:p>
  </w:footnote>
  <w:footnote w:id="11840">
    <w:p w:rsidR="7D45FC86" w:rsidP="7D45FC86" w:rsidRDefault="7D45FC86" w14:paraId="16AF7674" w14:textId="60266B0A">
      <w:pPr>
        <w:pStyle w:val="FootnoteText"/>
        <w:bidi w:val="0"/>
      </w:pPr>
      <w:r w:rsidRPr="7D45FC86">
        <w:rPr>
          <w:rStyle w:val="FootnoteReference"/>
        </w:rPr>
        <w:footnoteRef/>
      </w:r>
      <w:r w:rsidR="7D45FC86">
        <w:rPr/>
        <w:t xml:space="preserve"> </w:t>
      </w:r>
      <w:r w:rsidR="7D45FC86">
        <w:rPr/>
        <w:t>(Schofield &amp; Getty, 2007, p. 55)</w:t>
      </w:r>
    </w:p>
  </w:footnote>
  <w:footnote w:id="3461">
    <w:p w:rsidR="7D45FC86" w:rsidP="7D45FC86" w:rsidRDefault="7D45FC86" w14:paraId="638170B9" w14:textId="013794EA">
      <w:pPr>
        <w:pStyle w:val="FootnoteText"/>
        <w:bidi w:val="0"/>
      </w:pPr>
      <w:r w:rsidRPr="7D45FC86">
        <w:rPr>
          <w:rStyle w:val="FootnoteReference"/>
        </w:rPr>
        <w:footnoteRef/>
      </w:r>
      <w:r w:rsidR="7D45FC86">
        <w:rPr/>
        <w:t xml:space="preserve"> (Homer, 24.797-99)</w:t>
      </w:r>
    </w:p>
  </w:footnote>
  <w:footnote w:id="25113">
    <w:p w:rsidR="7D45FC86" w:rsidP="7D45FC86" w:rsidRDefault="7D45FC86" w14:paraId="5AEE23F5" w14:textId="3EA416F4">
      <w:pPr>
        <w:pStyle w:val="FootnoteText"/>
        <w:bidi w:val="0"/>
        <w:rPr>
          <w:rFonts w:ascii="Arial" w:hAnsi="Arial" w:eastAsia="Arial" w:cs="Arial"/>
          <w:noProof w:val="0"/>
          <w:sz w:val="28"/>
          <w:szCs w:val="28"/>
          <w:lang w:val="en-GB"/>
        </w:rPr>
      </w:pPr>
      <w:r w:rsidRPr="7D45FC86">
        <w:rPr>
          <w:rStyle w:val="FootnoteReference"/>
        </w:rPr>
        <w:footnoteRef/>
      </w:r>
      <w:r w:rsidR="7D45FC86">
        <w:rPr/>
        <w:t xml:space="preserve"> </w:t>
      </w:r>
      <w:r w:rsidR="7D45FC86">
        <w:rPr/>
        <w:t>(Hammond, 1959/1991, pp. 41–42)</w:t>
      </w:r>
    </w:p>
  </w:footnote>
</w:footnotes>
</file>

<file path=word/intelligence2.xml><?xml version="1.0" encoding="utf-8"?>
<int2:intelligence xmlns:int2="http://schemas.microsoft.com/office/intelligence/2020/intelligence">
  <int2:observations>
    <int2:bookmark int2:bookmarkName="_Int_D8OdjN2e" int2:invalidationBookmarkName="" int2:hashCode="+nmdjdZPDVU6n+" int2:id="lVFC4m5t">
      <int2:state int2:type="AugLoop_Text_Critique" int2:value="Rejected"/>
    </int2:bookmark>
    <int2:bookmark int2:bookmarkName="_Int_jm3VDICD" int2:invalidationBookmarkName="" int2:hashCode="9zzaOW+YX4X4iU" int2:id="ZhWKYVG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F10C12"/>
    <w:rsid w:val="0046159A"/>
    <w:rsid w:val="007A6AE0"/>
    <w:rsid w:val="0113D268"/>
    <w:rsid w:val="0194C2A2"/>
    <w:rsid w:val="01A4F96A"/>
    <w:rsid w:val="01BEE2E3"/>
    <w:rsid w:val="034E366F"/>
    <w:rsid w:val="044E57B8"/>
    <w:rsid w:val="04CC2F61"/>
    <w:rsid w:val="054E2182"/>
    <w:rsid w:val="059D86D9"/>
    <w:rsid w:val="05C968E3"/>
    <w:rsid w:val="05F64717"/>
    <w:rsid w:val="08191280"/>
    <w:rsid w:val="0978566C"/>
    <w:rsid w:val="0AC680C0"/>
    <w:rsid w:val="0AD6DE6B"/>
    <w:rsid w:val="0BC52F44"/>
    <w:rsid w:val="0C7D0346"/>
    <w:rsid w:val="0CDCF08D"/>
    <w:rsid w:val="0FDBBB43"/>
    <w:rsid w:val="10534E7D"/>
    <w:rsid w:val="10891FEF"/>
    <w:rsid w:val="117FD8A3"/>
    <w:rsid w:val="12E139E3"/>
    <w:rsid w:val="13231594"/>
    <w:rsid w:val="144FB0EB"/>
    <w:rsid w:val="14750839"/>
    <w:rsid w:val="147B404C"/>
    <w:rsid w:val="1589E763"/>
    <w:rsid w:val="15ADB30A"/>
    <w:rsid w:val="16C48867"/>
    <w:rsid w:val="175443B5"/>
    <w:rsid w:val="17DA9E73"/>
    <w:rsid w:val="17DB059A"/>
    <w:rsid w:val="18219892"/>
    <w:rsid w:val="1A1683D8"/>
    <w:rsid w:val="1AF89C03"/>
    <w:rsid w:val="1B74E0A1"/>
    <w:rsid w:val="1C53B760"/>
    <w:rsid w:val="1DF10C12"/>
    <w:rsid w:val="1E4E57E3"/>
    <w:rsid w:val="1E7B651E"/>
    <w:rsid w:val="1FB007A2"/>
    <w:rsid w:val="218CC319"/>
    <w:rsid w:val="2204ED63"/>
    <w:rsid w:val="2235BFA5"/>
    <w:rsid w:val="236D655A"/>
    <w:rsid w:val="2392B598"/>
    <w:rsid w:val="23A0EE38"/>
    <w:rsid w:val="23BC2C3E"/>
    <w:rsid w:val="23F5EADC"/>
    <w:rsid w:val="24378E65"/>
    <w:rsid w:val="2442CE16"/>
    <w:rsid w:val="245AF032"/>
    <w:rsid w:val="2554A711"/>
    <w:rsid w:val="25FBED9E"/>
    <w:rsid w:val="28CC6569"/>
    <w:rsid w:val="2A1EA2E6"/>
    <w:rsid w:val="2A54A5F8"/>
    <w:rsid w:val="2C8C0F6C"/>
    <w:rsid w:val="2D6AC2D6"/>
    <w:rsid w:val="2DAF634A"/>
    <w:rsid w:val="2EB9C761"/>
    <w:rsid w:val="2ED67046"/>
    <w:rsid w:val="307B1165"/>
    <w:rsid w:val="31743682"/>
    <w:rsid w:val="31AF15C7"/>
    <w:rsid w:val="3208DA0D"/>
    <w:rsid w:val="32F37B27"/>
    <w:rsid w:val="33814809"/>
    <w:rsid w:val="339C620B"/>
    <w:rsid w:val="343D5D63"/>
    <w:rsid w:val="35634CAA"/>
    <w:rsid w:val="35C5763A"/>
    <w:rsid w:val="35DDDAF4"/>
    <w:rsid w:val="36946F98"/>
    <w:rsid w:val="3709B987"/>
    <w:rsid w:val="37B21BD0"/>
    <w:rsid w:val="3916BCD6"/>
    <w:rsid w:val="3928BD61"/>
    <w:rsid w:val="39F2B82B"/>
    <w:rsid w:val="3A21C8FF"/>
    <w:rsid w:val="3AA79347"/>
    <w:rsid w:val="3B2727C3"/>
    <w:rsid w:val="3B8F4543"/>
    <w:rsid w:val="3C4B636E"/>
    <w:rsid w:val="3C88BF5F"/>
    <w:rsid w:val="3DEEA84A"/>
    <w:rsid w:val="3F21A521"/>
    <w:rsid w:val="3F8A5B84"/>
    <w:rsid w:val="3FD78A87"/>
    <w:rsid w:val="40B83D77"/>
    <w:rsid w:val="40EE64A0"/>
    <w:rsid w:val="413E174B"/>
    <w:rsid w:val="415435AE"/>
    <w:rsid w:val="423637D4"/>
    <w:rsid w:val="42DFE703"/>
    <w:rsid w:val="42E65DE7"/>
    <w:rsid w:val="4396AB20"/>
    <w:rsid w:val="452C6ECB"/>
    <w:rsid w:val="45369C06"/>
    <w:rsid w:val="464A26A1"/>
    <w:rsid w:val="4677505E"/>
    <w:rsid w:val="477D96B1"/>
    <w:rsid w:val="48CF55CE"/>
    <w:rsid w:val="491218AA"/>
    <w:rsid w:val="498D09B4"/>
    <w:rsid w:val="4998C45A"/>
    <w:rsid w:val="4ABEB354"/>
    <w:rsid w:val="4B4D0494"/>
    <w:rsid w:val="4BCFE7DC"/>
    <w:rsid w:val="4C095998"/>
    <w:rsid w:val="4E37DFFC"/>
    <w:rsid w:val="4E8B615E"/>
    <w:rsid w:val="4E935817"/>
    <w:rsid w:val="4EFF0359"/>
    <w:rsid w:val="500BFB05"/>
    <w:rsid w:val="50A0726F"/>
    <w:rsid w:val="51B75623"/>
    <w:rsid w:val="53EF5EE8"/>
    <w:rsid w:val="56004231"/>
    <w:rsid w:val="561B4256"/>
    <w:rsid w:val="56A25137"/>
    <w:rsid w:val="57316835"/>
    <w:rsid w:val="57388EF7"/>
    <w:rsid w:val="596D5A74"/>
    <w:rsid w:val="59A23158"/>
    <w:rsid w:val="5AD9AD56"/>
    <w:rsid w:val="5B2920B7"/>
    <w:rsid w:val="5CB460C2"/>
    <w:rsid w:val="5D1E0930"/>
    <w:rsid w:val="5D89A7E7"/>
    <w:rsid w:val="610EE5BA"/>
    <w:rsid w:val="613FFFF7"/>
    <w:rsid w:val="61783B24"/>
    <w:rsid w:val="61CF7570"/>
    <w:rsid w:val="627E01ED"/>
    <w:rsid w:val="63FF1E03"/>
    <w:rsid w:val="64FCE75B"/>
    <w:rsid w:val="661D7E06"/>
    <w:rsid w:val="66A7D812"/>
    <w:rsid w:val="672C48BC"/>
    <w:rsid w:val="6738904E"/>
    <w:rsid w:val="68ECDCD0"/>
    <w:rsid w:val="68FDBCE6"/>
    <w:rsid w:val="69778779"/>
    <w:rsid w:val="6AA37EB2"/>
    <w:rsid w:val="6B2A1021"/>
    <w:rsid w:val="6C6EBD84"/>
    <w:rsid w:val="6C6FB78E"/>
    <w:rsid w:val="6C8DA97F"/>
    <w:rsid w:val="6CA808B3"/>
    <w:rsid w:val="6D373660"/>
    <w:rsid w:val="6D511BBD"/>
    <w:rsid w:val="6E0A7FC5"/>
    <w:rsid w:val="6E0D56BB"/>
    <w:rsid w:val="6E813E3C"/>
    <w:rsid w:val="6E9738DC"/>
    <w:rsid w:val="6EEB3A8D"/>
    <w:rsid w:val="6F93D899"/>
    <w:rsid w:val="70056138"/>
    <w:rsid w:val="7047758C"/>
    <w:rsid w:val="709AFD41"/>
    <w:rsid w:val="727A12CA"/>
    <w:rsid w:val="73BB68DC"/>
    <w:rsid w:val="7678D1CA"/>
    <w:rsid w:val="768AF16A"/>
    <w:rsid w:val="76B1A111"/>
    <w:rsid w:val="7880B7AE"/>
    <w:rsid w:val="78A47CCF"/>
    <w:rsid w:val="795E5E9D"/>
    <w:rsid w:val="7ABCD3EB"/>
    <w:rsid w:val="7B2EBAB2"/>
    <w:rsid w:val="7C512BB7"/>
    <w:rsid w:val="7D45FC86"/>
    <w:rsid w:val="7E322E87"/>
    <w:rsid w:val="7EA3CF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10C12"/>
  <w15:chartTrackingRefBased/>
  <w15:docId w15:val="{1A9CA9CC-EB50-49DB-88C0-ADB423D56A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D45FC8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D45FC8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D45FC8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D45FC8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D45FC86"/>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D45FC86"/>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D45FC86"/>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D45FC86"/>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D45FC86"/>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D45FC86"/>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D45FC86"/>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D45FC86"/>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D45FC86"/>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D45FC86"/>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FootnoteText">
    <w:uiPriority w:val="99"/>
    <w:name w:val="footnote text"/>
    <w:basedOn w:val="Normal"/>
    <w:semiHidden/>
    <w:unhideWhenUsed/>
    <w:rsid w:val="7D45FC86"/>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jstor.org/stable/24591547" TargetMode="External" Id="R6f7993d15c214eac" /><Relationship Type="http://schemas.openxmlformats.org/officeDocument/2006/relationships/hyperlink" Target="https://www.jstor.org/stable/27641604" TargetMode="External" Id="Ra313d3350f71468a" /><Relationship Type="http://schemas.openxmlformats.org/officeDocument/2006/relationships/hyperlink" Target="https://doi.org/10.2307/26307031" TargetMode="External" Id="R62affb909ff946d1" /><Relationship Type="http://schemas.openxmlformats.org/officeDocument/2006/relationships/footnotes" Target="footnotes.xml" Id="R8e86d292a68b49b3" /><Relationship Type="http://schemas.microsoft.com/office/2020/10/relationships/intelligence" Target="intelligence2.xml" Id="Rc1a3d05bf36840a6" /><Relationship Type="http://schemas.openxmlformats.org/officeDocument/2006/relationships/hyperlink" Target="https://doi.org/10.2307/642613" TargetMode="External" Id="R53955bcb028343d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2025-02-28T15:48:56.0466604Z</dcterms:created>
  <dcterms:modified xsi:type="dcterms:W3CDTF">2025-03-14T19:13:00.6944068Z</dcterms:modified>
  <dc:creator>Lukas O'Sullivan (2305567)</dc:creator>
  <lastModifiedBy>Lukas O'Sullivan (2305567)</lastModifiedBy>
</coreProperties>
</file>