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E70D9" w14:textId="77777777" w:rsidR="00233E16" w:rsidRPr="00440007" w:rsidRDefault="0013765B" w:rsidP="00233E16">
      <w:pPr>
        <w:jc w:val="center"/>
        <w:rPr>
          <w:b/>
          <w:sz w:val="52"/>
        </w:rPr>
      </w:pPr>
      <w:r>
        <w:rPr>
          <w:b/>
          <w:sz w:val="36"/>
        </w:rPr>
        <w:t>Common Law P</w:t>
      </w:r>
      <w:r w:rsidR="00233E16" w:rsidRPr="00440007">
        <w:rPr>
          <w:b/>
          <w:sz w:val="36"/>
        </w:rPr>
        <w:t>rinciples of UK</w:t>
      </w:r>
    </w:p>
    <w:p w14:paraId="3F0C0C33" w14:textId="052AF105" w:rsidR="00233E16" w:rsidRDefault="00233E16">
      <w:pPr>
        <w:spacing w:line="259" w:lineRule="auto"/>
        <w:jc w:val="left"/>
      </w:pPr>
      <w:r>
        <w:br w:type="page"/>
      </w:r>
    </w:p>
    <w:p w14:paraId="72047BF2" w14:textId="22B1B671" w:rsidR="000F5ADF" w:rsidRDefault="000F5ADF">
      <w:pPr>
        <w:spacing w:line="259" w:lineRule="auto"/>
        <w:jc w:val="left"/>
      </w:pPr>
      <w:proofErr w:type="gramStart"/>
      <w:r>
        <w:lastRenderedPageBreak/>
        <w:t>Name :</w:t>
      </w:r>
      <w:proofErr w:type="gramEnd"/>
      <w:r>
        <w:t xml:space="preserve"> Moldovan Alexandru</w:t>
      </w:r>
    </w:p>
    <w:p w14:paraId="16B0D0DD" w14:textId="1CD28CB8" w:rsidR="000F5ADF" w:rsidRDefault="000F5ADF">
      <w:pPr>
        <w:spacing w:line="259" w:lineRule="auto"/>
        <w:jc w:val="left"/>
      </w:pPr>
      <w:proofErr w:type="gramStart"/>
      <w:r>
        <w:t>Module :</w:t>
      </w:r>
      <w:proofErr w:type="gramEnd"/>
      <w:r>
        <w:t xml:space="preserve"> Legal </w:t>
      </w:r>
      <w:proofErr w:type="spellStart"/>
      <w:r>
        <w:t>Proces</w:t>
      </w:r>
      <w:proofErr w:type="spellEnd"/>
    </w:p>
    <w:p w14:paraId="1399CE40" w14:textId="0E8A2154" w:rsidR="000F5ADF" w:rsidRDefault="000F5ADF" w:rsidP="000F5ADF">
      <w:pPr>
        <w:spacing w:before="120" w:after="120"/>
        <w:jc w:val="left"/>
        <w:rPr>
          <w:rFonts w:cs="Arial"/>
          <w:b/>
          <w:sz w:val="22"/>
        </w:rPr>
      </w:pPr>
      <w:r>
        <w:t xml:space="preserve">Module code </w:t>
      </w:r>
      <w:r>
        <w:rPr>
          <w:rFonts w:cs="Arial"/>
          <w:b/>
          <w:sz w:val="22"/>
        </w:rPr>
        <w:t>BMPL4005, BMLW4006</w:t>
      </w:r>
    </w:p>
    <w:p w14:paraId="546D38CC" w14:textId="70747887" w:rsidR="000F5ADF" w:rsidRDefault="000F5ADF">
      <w:pPr>
        <w:spacing w:line="259" w:lineRule="auto"/>
        <w:jc w:val="left"/>
      </w:pPr>
    </w:p>
    <w:sdt>
      <w:sdtPr>
        <w:rPr>
          <w:rFonts w:ascii="Arial" w:eastAsiaTheme="minorHAnsi" w:hAnsi="Arial" w:cstheme="minorBidi"/>
          <w:color w:val="auto"/>
          <w:sz w:val="24"/>
          <w:szCs w:val="22"/>
          <w:lang w:val="en-GB"/>
        </w:rPr>
        <w:id w:val="2051573526"/>
        <w:docPartObj>
          <w:docPartGallery w:val="Table of Contents"/>
          <w:docPartUnique/>
        </w:docPartObj>
      </w:sdtPr>
      <w:sdtEndPr>
        <w:rPr>
          <w:b/>
          <w:bCs/>
          <w:noProof/>
        </w:rPr>
      </w:sdtEndPr>
      <w:sdtContent>
        <w:p w14:paraId="4C3CE96D" w14:textId="77777777" w:rsidR="003565E0" w:rsidRDefault="003565E0">
          <w:pPr>
            <w:pStyle w:val="TOCHeading"/>
          </w:pPr>
          <w:r>
            <w:t>Contents</w:t>
          </w:r>
        </w:p>
        <w:p w14:paraId="57D3DFD3" w14:textId="77777777" w:rsidR="00451181" w:rsidRDefault="003565E0">
          <w:pPr>
            <w:pStyle w:val="TOC2"/>
            <w:tabs>
              <w:tab w:val="right" w:leader="dot" w:pos="9350"/>
            </w:tabs>
            <w:rPr>
              <w:rFonts w:asciiTheme="minorHAnsi" w:eastAsiaTheme="minorEastAsia" w:hAnsiTheme="minorHAnsi" w:cs="Vrinda"/>
              <w:noProof/>
              <w:szCs w:val="30"/>
              <w:lang w:eastAsia="ko-KR" w:bidi="bn-IN"/>
            </w:rPr>
          </w:pPr>
          <w:r>
            <w:rPr>
              <w:b/>
              <w:bCs/>
              <w:noProof/>
            </w:rPr>
            <w:fldChar w:fldCharType="begin"/>
          </w:r>
          <w:r>
            <w:rPr>
              <w:b/>
              <w:bCs/>
              <w:noProof/>
            </w:rPr>
            <w:instrText xml:space="preserve"> TOC \o "1-3" \h \z \u </w:instrText>
          </w:r>
          <w:r>
            <w:rPr>
              <w:b/>
              <w:bCs/>
              <w:noProof/>
            </w:rPr>
            <w:fldChar w:fldCharType="separate"/>
          </w:r>
          <w:hyperlink w:anchor="_Toc129699503" w:history="1">
            <w:r w:rsidR="00451181" w:rsidRPr="00DC6C0F">
              <w:rPr>
                <w:rStyle w:val="Hyperlink"/>
                <w:noProof/>
              </w:rPr>
              <w:t>Introduction</w:t>
            </w:r>
            <w:r w:rsidR="00451181">
              <w:rPr>
                <w:noProof/>
                <w:webHidden/>
              </w:rPr>
              <w:tab/>
            </w:r>
            <w:r w:rsidR="00451181">
              <w:rPr>
                <w:noProof/>
                <w:webHidden/>
              </w:rPr>
              <w:fldChar w:fldCharType="begin"/>
            </w:r>
            <w:r w:rsidR="00451181">
              <w:rPr>
                <w:noProof/>
                <w:webHidden/>
              </w:rPr>
              <w:instrText xml:space="preserve"> PAGEREF _Toc129699503 \h </w:instrText>
            </w:r>
            <w:r w:rsidR="00451181">
              <w:rPr>
                <w:noProof/>
                <w:webHidden/>
              </w:rPr>
            </w:r>
            <w:r w:rsidR="00451181">
              <w:rPr>
                <w:noProof/>
                <w:webHidden/>
              </w:rPr>
              <w:fldChar w:fldCharType="separate"/>
            </w:r>
            <w:r w:rsidR="00451181">
              <w:rPr>
                <w:noProof/>
                <w:webHidden/>
              </w:rPr>
              <w:t>3</w:t>
            </w:r>
            <w:r w:rsidR="00451181">
              <w:rPr>
                <w:noProof/>
                <w:webHidden/>
              </w:rPr>
              <w:fldChar w:fldCharType="end"/>
            </w:r>
          </w:hyperlink>
        </w:p>
        <w:p w14:paraId="763E8AB3" w14:textId="77777777" w:rsidR="00451181" w:rsidRDefault="00000000">
          <w:pPr>
            <w:pStyle w:val="TOC3"/>
            <w:tabs>
              <w:tab w:val="right" w:leader="dot" w:pos="9350"/>
            </w:tabs>
            <w:rPr>
              <w:rFonts w:asciiTheme="minorHAnsi" w:eastAsiaTheme="minorEastAsia" w:hAnsiTheme="minorHAnsi" w:cs="Vrinda"/>
              <w:noProof/>
              <w:szCs w:val="30"/>
              <w:lang w:eastAsia="ko-KR" w:bidi="bn-IN"/>
            </w:rPr>
          </w:pPr>
          <w:hyperlink w:anchor="_Toc129699504" w:history="1">
            <w:r w:rsidR="00451181" w:rsidRPr="00DC6C0F">
              <w:rPr>
                <w:rStyle w:val="Hyperlink"/>
                <w:noProof/>
              </w:rPr>
              <w:t>Common Law</w:t>
            </w:r>
            <w:r w:rsidR="00451181">
              <w:rPr>
                <w:noProof/>
                <w:webHidden/>
              </w:rPr>
              <w:tab/>
            </w:r>
            <w:r w:rsidR="00451181">
              <w:rPr>
                <w:noProof/>
                <w:webHidden/>
              </w:rPr>
              <w:fldChar w:fldCharType="begin"/>
            </w:r>
            <w:r w:rsidR="00451181">
              <w:rPr>
                <w:noProof/>
                <w:webHidden/>
              </w:rPr>
              <w:instrText xml:space="preserve"> PAGEREF _Toc129699504 \h </w:instrText>
            </w:r>
            <w:r w:rsidR="00451181">
              <w:rPr>
                <w:noProof/>
                <w:webHidden/>
              </w:rPr>
            </w:r>
            <w:r w:rsidR="00451181">
              <w:rPr>
                <w:noProof/>
                <w:webHidden/>
              </w:rPr>
              <w:fldChar w:fldCharType="separate"/>
            </w:r>
            <w:r w:rsidR="00451181">
              <w:rPr>
                <w:noProof/>
                <w:webHidden/>
              </w:rPr>
              <w:t>3</w:t>
            </w:r>
            <w:r w:rsidR="00451181">
              <w:rPr>
                <w:noProof/>
                <w:webHidden/>
              </w:rPr>
              <w:fldChar w:fldCharType="end"/>
            </w:r>
          </w:hyperlink>
        </w:p>
        <w:p w14:paraId="585BE831" w14:textId="77777777" w:rsidR="00451181" w:rsidRDefault="00000000">
          <w:pPr>
            <w:pStyle w:val="TOC3"/>
            <w:tabs>
              <w:tab w:val="right" w:leader="dot" w:pos="9350"/>
            </w:tabs>
            <w:rPr>
              <w:rFonts w:asciiTheme="minorHAnsi" w:eastAsiaTheme="minorEastAsia" w:hAnsiTheme="minorHAnsi" w:cs="Vrinda"/>
              <w:noProof/>
              <w:szCs w:val="30"/>
              <w:lang w:eastAsia="ko-KR" w:bidi="bn-IN"/>
            </w:rPr>
          </w:pPr>
          <w:hyperlink w:anchor="_Toc129699505" w:history="1">
            <w:r w:rsidR="00451181" w:rsidRPr="00DC6C0F">
              <w:rPr>
                <w:rStyle w:val="Hyperlink"/>
                <w:noProof/>
              </w:rPr>
              <w:t>Civil Law</w:t>
            </w:r>
            <w:r w:rsidR="00451181">
              <w:rPr>
                <w:noProof/>
                <w:webHidden/>
              </w:rPr>
              <w:tab/>
            </w:r>
            <w:r w:rsidR="00451181">
              <w:rPr>
                <w:noProof/>
                <w:webHidden/>
              </w:rPr>
              <w:fldChar w:fldCharType="begin"/>
            </w:r>
            <w:r w:rsidR="00451181">
              <w:rPr>
                <w:noProof/>
                <w:webHidden/>
              </w:rPr>
              <w:instrText xml:space="preserve"> PAGEREF _Toc129699505 \h </w:instrText>
            </w:r>
            <w:r w:rsidR="00451181">
              <w:rPr>
                <w:noProof/>
                <w:webHidden/>
              </w:rPr>
            </w:r>
            <w:r w:rsidR="00451181">
              <w:rPr>
                <w:noProof/>
                <w:webHidden/>
              </w:rPr>
              <w:fldChar w:fldCharType="separate"/>
            </w:r>
            <w:r w:rsidR="00451181">
              <w:rPr>
                <w:noProof/>
                <w:webHidden/>
              </w:rPr>
              <w:t>3</w:t>
            </w:r>
            <w:r w:rsidR="00451181">
              <w:rPr>
                <w:noProof/>
                <w:webHidden/>
              </w:rPr>
              <w:fldChar w:fldCharType="end"/>
            </w:r>
          </w:hyperlink>
        </w:p>
        <w:p w14:paraId="58E780AF" w14:textId="77777777" w:rsidR="00451181" w:rsidRDefault="00000000">
          <w:pPr>
            <w:pStyle w:val="TOC3"/>
            <w:tabs>
              <w:tab w:val="right" w:leader="dot" w:pos="9350"/>
            </w:tabs>
            <w:rPr>
              <w:rFonts w:asciiTheme="minorHAnsi" w:eastAsiaTheme="minorEastAsia" w:hAnsiTheme="minorHAnsi" w:cs="Vrinda"/>
              <w:noProof/>
              <w:szCs w:val="30"/>
              <w:lang w:eastAsia="ko-KR" w:bidi="bn-IN"/>
            </w:rPr>
          </w:pPr>
          <w:hyperlink w:anchor="_Toc129699506" w:history="1">
            <w:r w:rsidR="00451181" w:rsidRPr="00DC6C0F">
              <w:rPr>
                <w:rStyle w:val="Hyperlink"/>
                <w:noProof/>
              </w:rPr>
              <w:t>Contrast of Common Law and Civil Law</w:t>
            </w:r>
            <w:r w:rsidR="00451181">
              <w:rPr>
                <w:noProof/>
                <w:webHidden/>
              </w:rPr>
              <w:tab/>
            </w:r>
            <w:r w:rsidR="00451181">
              <w:rPr>
                <w:noProof/>
                <w:webHidden/>
              </w:rPr>
              <w:fldChar w:fldCharType="begin"/>
            </w:r>
            <w:r w:rsidR="00451181">
              <w:rPr>
                <w:noProof/>
                <w:webHidden/>
              </w:rPr>
              <w:instrText xml:space="preserve"> PAGEREF _Toc129699506 \h </w:instrText>
            </w:r>
            <w:r w:rsidR="00451181">
              <w:rPr>
                <w:noProof/>
                <w:webHidden/>
              </w:rPr>
            </w:r>
            <w:r w:rsidR="00451181">
              <w:rPr>
                <w:noProof/>
                <w:webHidden/>
              </w:rPr>
              <w:fldChar w:fldCharType="separate"/>
            </w:r>
            <w:r w:rsidR="00451181">
              <w:rPr>
                <w:noProof/>
                <w:webHidden/>
              </w:rPr>
              <w:t>4</w:t>
            </w:r>
            <w:r w:rsidR="00451181">
              <w:rPr>
                <w:noProof/>
                <w:webHidden/>
              </w:rPr>
              <w:fldChar w:fldCharType="end"/>
            </w:r>
          </w:hyperlink>
        </w:p>
        <w:p w14:paraId="44408E18" w14:textId="77777777" w:rsidR="00451181" w:rsidRDefault="00000000">
          <w:pPr>
            <w:pStyle w:val="TOC3"/>
            <w:tabs>
              <w:tab w:val="right" w:leader="dot" w:pos="9350"/>
            </w:tabs>
            <w:rPr>
              <w:rFonts w:asciiTheme="minorHAnsi" w:eastAsiaTheme="minorEastAsia" w:hAnsiTheme="minorHAnsi" w:cs="Vrinda"/>
              <w:noProof/>
              <w:szCs w:val="30"/>
              <w:lang w:eastAsia="ko-KR" w:bidi="bn-IN"/>
            </w:rPr>
          </w:pPr>
          <w:hyperlink w:anchor="_Toc129699507" w:history="1">
            <w:r w:rsidR="00451181" w:rsidRPr="00DC6C0F">
              <w:rPr>
                <w:rStyle w:val="Hyperlink"/>
                <w:noProof/>
              </w:rPr>
              <w:t>History of Common Law</w:t>
            </w:r>
            <w:r w:rsidR="00451181">
              <w:rPr>
                <w:noProof/>
                <w:webHidden/>
              </w:rPr>
              <w:tab/>
            </w:r>
            <w:r w:rsidR="00451181">
              <w:rPr>
                <w:noProof/>
                <w:webHidden/>
              </w:rPr>
              <w:fldChar w:fldCharType="begin"/>
            </w:r>
            <w:r w:rsidR="00451181">
              <w:rPr>
                <w:noProof/>
                <w:webHidden/>
              </w:rPr>
              <w:instrText xml:space="preserve"> PAGEREF _Toc129699507 \h </w:instrText>
            </w:r>
            <w:r w:rsidR="00451181">
              <w:rPr>
                <w:noProof/>
                <w:webHidden/>
              </w:rPr>
            </w:r>
            <w:r w:rsidR="00451181">
              <w:rPr>
                <w:noProof/>
                <w:webHidden/>
              </w:rPr>
              <w:fldChar w:fldCharType="separate"/>
            </w:r>
            <w:r w:rsidR="00451181">
              <w:rPr>
                <w:noProof/>
                <w:webHidden/>
              </w:rPr>
              <w:t>5</w:t>
            </w:r>
            <w:r w:rsidR="00451181">
              <w:rPr>
                <w:noProof/>
                <w:webHidden/>
              </w:rPr>
              <w:fldChar w:fldCharType="end"/>
            </w:r>
          </w:hyperlink>
        </w:p>
        <w:p w14:paraId="7B98045C" w14:textId="77777777" w:rsidR="00451181" w:rsidRDefault="00000000">
          <w:pPr>
            <w:pStyle w:val="TOC3"/>
            <w:tabs>
              <w:tab w:val="right" w:leader="dot" w:pos="9350"/>
            </w:tabs>
            <w:rPr>
              <w:rFonts w:asciiTheme="minorHAnsi" w:eastAsiaTheme="minorEastAsia" w:hAnsiTheme="minorHAnsi" w:cs="Vrinda"/>
              <w:noProof/>
              <w:szCs w:val="30"/>
              <w:lang w:eastAsia="ko-KR" w:bidi="bn-IN"/>
            </w:rPr>
          </w:pPr>
          <w:hyperlink w:anchor="_Toc129699508" w:history="1">
            <w:r w:rsidR="00451181" w:rsidRPr="00DC6C0F">
              <w:rPr>
                <w:rStyle w:val="Hyperlink"/>
                <w:noProof/>
              </w:rPr>
              <w:t>Examples of Common Law in Practice</w:t>
            </w:r>
            <w:r w:rsidR="00451181">
              <w:rPr>
                <w:noProof/>
                <w:webHidden/>
              </w:rPr>
              <w:tab/>
            </w:r>
            <w:r w:rsidR="00451181">
              <w:rPr>
                <w:noProof/>
                <w:webHidden/>
              </w:rPr>
              <w:fldChar w:fldCharType="begin"/>
            </w:r>
            <w:r w:rsidR="00451181">
              <w:rPr>
                <w:noProof/>
                <w:webHidden/>
              </w:rPr>
              <w:instrText xml:space="preserve"> PAGEREF _Toc129699508 \h </w:instrText>
            </w:r>
            <w:r w:rsidR="00451181">
              <w:rPr>
                <w:noProof/>
                <w:webHidden/>
              </w:rPr>
            </w:r>
            <w:r w:rsidR="00451181">
              <w:rPr>
                <w:noProof/>
                <w:webHidden/>
              </w:rPr>
              <w:fldChar w:fldCharType="separate"/>
            </w:r>
            <w:r w:rsidR="00451181">
              <w:rPr>
                <w:noProof/>
                <w:webHidden/>
              </w:rPr>
              <w:t>6</w:t>
            </w:r>
            <w:r w:rsidR="00451181">
              <w:rPr>
                <w:noProof/>
                <w:webHidden/>
              </w:rPr>
              <w:fldChar w:fldCharType="end"/>
            </w:r>
          </w:hyperlink>
        </w:p>
        <w:p w14:paraId="11EC2EDE" w14:textId="77777777" w:rsidR="00451181" w:rsidRDefault="00000000">
          <w:pPr>
            <w:pStyle w:val="TOC2"/>
            <w:tabs>
              <w:tab w:val="right" w:leader="dot" w:pos="9350"/>
            </w:tabs>
            <w:rPr>
              <w:rFonts w:asciiTheme="minorHAnsi" w:eastAsiaTheme="minorEastAsia" w:hAnsiTheme="minorHAnsi" w:cs="Vrinda"/>
              <w:noProof/>
              <w:szCs w:val="30"/>
              <w:lang w:eastAsia="ko-KR" w:bidi="bn-IN"/>
            </w:rPr>
          </w:pPr>
          <w:hyperlink w:anchor="_Toc129699509" w:history="1">
            <w:r w:rsidR="00451181" w:rsidRPr="00DC6C0F">
              <w:rPr>
                <w:rStyle w:val="Hyperlink"/>
                <w:noProof/>
              </w:rPr>
              <w:t>Conclusion</w:t>
            </w:r>
            <w:r w:rsidR="00451181">
              <w:rPr>
                <w:noProof/>
                <w:webHidden/>
              </w:rPr>
              <w:tab/>
            </w:r>
            <w:r w:rsidR="00451181">
              <w:rPr>
                <w:noProof/>
                <w:webHidden/>
              </w:rPr>
              <w:fldChar w:fldCharType="begin"/>
            </w:r>
            <w:r w:rsidR="00451181">
              <w:rPr>
                <w:noProof/>
                <w:webHidden/>
              </w:rPr>
              <w:instrText xml:space="preserve"> PAGEREF _Toc129699509 \h </w:instrText>
            </w:r>
            <w:r w:rsidR="00451181">
              <w:rPr>
                <w:noProof/>
                <w:webHidden/>
              </w:rPr>
            </w:r>
            <w:r w:rsidR="00451181">
              <w:rPr>
                <w:noProof/>
                <w:webHidden/>
              </w:rPr>
              <w:fldChar w:fldCharType="separate"/>
            </w:r>
            <w:r w:rsidR="00451181">
              <w:rPr>
                <w:noProof/>
                <w:webHidden/>
              </w:rPr>
              <w:t>6</w:t>
            </w:r>
            <w:r w:rsidR="00451181">
              <w:rPr>
                <w:noProof/>
                <w:webHidden/>
              </w:rPr>
              <w:fldChar w:fldCharType="end"/>
            </w:r>
          </w:hyperlink>
        </w:p>
        <w:p w14:paraId="2CCEAE6D" w14:textId="77777777" w:rsidR="00451181" w:rsidRDefault="00000000">
          <w:pPr>
            <w:pStyle w:val="TOC2"/>
            <w:tabs>
              <w:tab w:val="right" w:leader="dot" w:pos="9350"/>
            </w:tabs>
            <w:rPr>
              <w:rFonts w:asciiTheme="minorHAnsi" w:eastAsiaTheme="minorEastAsia" w:hAnsiTheme="minorHAnsi" w:cs="Vrinda"/>
              <w:noProof/>
              <w:szCs w:val="30"/>
              <w:lang w:eastAsia="ko-KR" w:bidi="bn-IN"/>
            </w:rPr>
          </w:pPr>
          <w:hyperlink w:anchor="_Toc129699510" w:history="1">
            <w:r w:rsidR="00451181" w:rsidRPr="00DC6C0F">
              <w:rPr>
                <w:rStyle w:val="Hyperlink"/>
                <w:noProof/>
              </w:rPr>
              <w:t>References</w:t>
            </w:r>
            <w:r w:rsidR="00451181">
              <w:rPr>
                <w:noProof/>
                <w:webHidden/>
              </w:rPr>
              <w:tab/>
            </w:r>
            <w:r w:rsidR="00451181">
              <w:rPr>
                <w:noProof/>
                <w:webHidden/>
              </w:rPr>
              <w:fldChar w:fldCharType="begin"/>
            </w:r>
            <w:r w:rsidR="00451181">
              <w:rPr>
                <w:noProof/>
                <w:webHidden/>
              </w:rPr>
              <w:instrText xml:space="preserve"> PAGEREF _Toc129699510 \h </w:instrText>
            </w:r>
            <w:r w:rsidR="00451181">
              <w:rPr>
                <w:noProof/>
                <w:webHidden/>
              </w:rPr>
            </w:r>
            <w:r w:rsidR="00451181">
              <w:rPr>
                <w:noProof/>
                <w:webHidden/>
              </w:rPr>
              <w:fldChar w:fldCharType="separate"/>
            </w:r>
            <w:r w:rsidR="00451181">
              <w:rPr>
                <w:noProof/>
                <w:webHidden/>
              </w:rPr>
              <w:t>8</w:t>
            </w:r>
            <w:r w:rsidR="00451181">
              <w:rPr>
                <w:noProof/>
                <w:webHidden/>
              </w:rPr>
              <w:fldChar w:fldCharType="end"/>
            </w:r>
          </w:hyperlink>
        </w:p>
        <w:p w14:paraId="100652C8" w14:textId="77777777" w:rsidR="003565E0" w:rsidRDefault="003565E0">
          <w:r>
            <w:rPr>
              <w:b/>
              <w:bCs/>
              <w:noProof/>
            </w:rPr>
            <w:fldChar w:fldCharType="end"/>
          </w:r>
        </w:p>
      </w:sdtContent>
    </w:sdt>
    <w:p w14:paraId="5DA28B8F" w14:textId="77777777" w:rsidR="00233E16" w:rsidRDefault="00233E16">
      <w:pPr>
        <w:spacing w:line="259" w:lineRule="auto"/>
        <w:jc w:val="left"/>
      </w:pPr>
      <w:r>
        <w:br w:type="page"/>
      </w:r>
    </w:p>
    <w:p w14:paraId="3FD0E309" w14:textId="77777777" w:rsidR="00233E16" w:rsidRDefault="006469A8" w:rsidP="00FF43DA">
      <w:pPr>
        <w:pStyle w:val="Heading2"/>
      </w:pPr>
      <w:bookmarkStart w:id="0" w:name="_Toc129699503"/>
      <w:r>
        <w:lastRenderedPageBreak/>
        <w:t>Introduction</w:t>
      </w:r>
      <w:bookmarkEnd w:id="0"/>
    </w:p>
    <w:p w14:paraId="4BA2B44C" w14:textId="77777777" w:rsidR="006469A8" w:rsidRDefault="006D69B8">
      <w:r>
        <w:t>The UK Law refers to a set of rules, courts enforcement, regulations of the Government of the state and the relationship of various subjects</w:t>
      </w:r>
      <w:r w:rsidR="00B86DE9">
        <w:t xml:space="preserve"> (</w:t>
      </w:r>
      <w:r w:rsidR="00B86DE9">
        <w:rPr>
          <w:shd w:val="clear" w:color="auto" w:fill="FFFFFF"/>
        </w:rPr>
        <w:t>Abel, et. al. 1988)</w:t>
      </w:r>
      <w:r>
        <w:t xml:space="preserve">. Moreover, it is a ruling body with various </w:t>
      </w:r>
      <w:r w:rsidR="00BC1762">
        <w:t>rules, which</w:t>
      </w:r>
      <w:r>
        <w:t xml:space="preserve"> are made by the legislature. The report will be highlighting on the Common Law, Civil Law, their relationships and some examples of the Common Law in practice.</w:t>
      </w:r>
    </w:p>
    <w:p w14:paraId="3BEBB442" w14:textId="77777777" w:rsidR="006469A8" w:rsidRDefault="006469A8" w:rsidP="00FF43DA">
      <w:pPr>
        <w:pStyle w:val="Heading3"/>
      </w:pPr>
      <w:bookmarkStart w:id="1" w:name="_Toc129699504"/>
      <w:r>
        <w:t>Common L</w:t>
      </w:r>
      <w:r w:rsidRPr="006469A8">
        <w:t>aw</w:t>
      </w:r>
      <w:bookmarkEnd w:id="1"/>
    </w:p>
    <w:p w14:paraId="5C6F09FD" w14:textId="77777777" w:rsidR="006469A8" w:rsidRDefault="006D69B8">
      <w:r>
        <w:t xml:space="preserve">Common Law is also recognised as the Case Law. The Law is used in UK because it is concerned to the </w:t>
      </w:r>
      <w:r w:rsidR="00BC1762">
        <w:t>precedents, which</w:t>
      </w:r>
      <w:r>
        <w:t xml:space="preserve"> allows the freedom for the interpretation. The common law’s value is adapted </w:t>
      </w:r>
      <w:r w:rsidR="00BC1762">
        <w:t>based on</w:t>
      </w:r>
      <w:r>
        <w:t xml:space="preserve"> the situations mostly. </w:t>
      </w:r>
      <w:r w:rsidR="00BC1762">
        <w:t>It</w:t>
      </w:r>
      <w:r>
        <w:t xml:space="preserve"> is a statutory </w:t>
      </w:r>
      <w:r w:rsidR="00BC1762">
        <w:t>body, which includes many conventions based on the legal,</w:t>
      </w:r>
      <w:r>
        <w:t xml:space="preserve"> precedes. These are established by the courts of UK. The Common Law has a concentration on the institutionalised opinions and the interpretation</w:t>
      </w:r>
      <w:r w:rsidR="00B86DE9">
        <w:t xml:space="preserve"> (</w:t>
      </w:r>
      <w:r w:rsidR="00B86DE9">
        <w:rPr>
          <w:shd w:val="clear" w:color="auto" w:fill="FFFFFF"/>
        </w:rPr>
        <w:t>Burrows, et. al. 2002)</w:t>
      </w:r>
      <w:r>
        <w:t xml:space="preserve">. This is controlled by the judicial Authorities and public Juries. New legislation is mostly introduced by the Common Laws. A person has done criminal activities. It will be recognised as a crime, of the judges consider it as a crime. For an example, assault, murder, robbery, manslaughter etc. The Law is derived from the custom and judicial precedent rather than the statutes. It helps to denote a partner in the </w:t>
      </w:r>
      <w:r w:rsidR="00BC1762">
        <w:t>marriage, which</w:t>
      </w:r>
      <w:r>
        <w:t xml:space="preserve"> is recognised in many jurisdictions. The British constitution has no written charter of the </w:t>
      </w:r>
      <w:r w:rsidR="00BC1762">
        <w:t>rights;</w:t>
      </w:r>
      <w:r>
        <w:t xml:space="preserve"> also, the courts are using the traditional system to defend the rights</w:t>
      </w:r>
      <w:r w:rsidR="00B86DE9">
        <w:t xml:space="preserve"> (</w:t>
      </w:r>
      <w:r w:rsidR="00B86DE9">
        <w:rPr>
          <w:shd w:val="clear" w:color="auto" w:fill="FFFFFF"/>
        </w:rPr>
        <w:t>Dainow, et. al. 1966)</w:t>
      </w:r>
      <w:r>
        <w:t xml:space="preserve">. The common Law is a Convention </w:t>
      </w:r>
      <w:r w:rsidR="00BC1762">
        <w:t>Right, which</w:t>
      </w:r>
      <w:r>
        <w:t xml:space="preserve"> has enacted the Human Rights Act 1998. As a result, it has become a charter of rights. </w:t>
      </w:r>
    </w:p>
    <w:p w14:paraId="2ADF09BA" w14:textId="77777777" w:rsidR="006469A8" w:rsidRDefault="006469A8" w:rsidP="00FF43DA">
      <w:pPr>
        <w:pStyle w:val="Heading3"/>
      </w:pPr>
      <w:bookmarkStart w:id="2" w:name="_Toc129699505"/>
      <w:r w:rsidRPr="006469A8">
        <w:t>Civil Law</w:t>
      </w:r>
      <w:bookmarkEnd w:id="2"/>
    </w:p>
    <w:p w14:paraId="4984DDBE" w14:textId="77777777" w:rsidR="006469A8" w:rsidRDefault="006D69B8">
      <w:r>
        <w:t>The law is highly concerned to make a good relationship between the community members instead of the military, criminal and religious affairs. The owners get a chance to prosecute people under this law trespassing</w:t>
      </w:r>
      <w:r w:rsidR="00896C98">
        <w:t xml:space="preserve"> (</w:t>
      </w:r>
      <w:r w:rsidR="00896C98">
        <w:rPr>
          <w:shd w:val="clear" w:color="auto" w:fill="FFFFFF"/>
        </w:rPr>
        <w:t>Gilbert, et. al. 2007)</w:t>
      </w:r>
      <w:r>
        <w:t xml:space="preserve">. Basically, it is known as a legal system which has been originated in Mainland, Europe. Most of the countries are following the law as well. The law has an aim to deal with the disputed between the organisations and individuals. It </w:t>
      </w:r>
      <w:r w:rsidR="00BC1762">
        <w:t>is involved</w:t>
      </w:r>
      <w:r>
        <w:t xml:space="preserve"> with the compensation or any agreement to judge the finances. Most of the time, these cases are filled by the private companies. </w:t>
      </w:r>
      <w:r w:rsidR="00BC1762">
        <w:t xml:space="preserve">In </w:t>
      </w:r>
      <w:r w:rsidR="00BC1762">
        <w:lastRenderedPageBreak/>
        <w:t>addition</w:t>
      </w:r>
      <w:r>
        <w:t xml:space="preserve">, the Government is responsible for filling the criminal cases. There are multiple advantages of the civil law practice, such </w:t>
      </w:r>
      <w:r w:rsidR="00BC1762">
        <w:t>as;</w:t>
      </w:r>
      <w:r>
        <w:t xml:space="preserve"> it helps to define various rights and responsibilities of people, and Government entities. </w:t>
      </w:r>
      <w:r w:rsidR="00BC1762">
        <w:t>In addition</w:t>
      </w:r>
      <w:r>
        <w:t xml:space="preserve">, the private and </w:t>
      </w:r>
      <w:r w:rsidR="00BC1762">
        <w:t>non-Governmental</w:t>
      </w:r>
      <w:r>
        <w:t xml:space="preserve"> organisations are able to interact with each other. Additionally, the breach of civil law does not become the criminal process and sanction.</w:t>
      </w:r>
    </w:p>
    <w:p w14:paraId="093B8C35" w14:textId="77777777" w:rsidR="006469A8" w:rsidRDefault="00E629A5" w:rsidP="00FF43DA">
      <w:pPr>
        <w:pStyle w:val="Heading3"/>
      </w:pPr>
      <w:bookmarkStart w:id="3" w:name="_Toc129699506"/>
      <w:r>
        <w:t>Contrast of Common Law a</w:t>
      </w:r>
      <w:r w:rsidRPr="00E629A5">
        <w:t>nd Civil Law</w:t>
      </w:r>
      <w:bookmarkEnd w:id="3"/>
    </w:p>
    <w:p w14:paraId="4C7E79FC" w14:textId="77777777" w:rsidR="00634B17" w:rsidRDefault="00451181">
      <w:r w:rsidRPr="00451181">
        <w:t xml:space="preserve">The legal system in the UK is a combination of common law and civil law. Common law is the system of law that originated in England and is based on the principles established by the courts over time, while civil law is the system of law that is based on a written legal code. </w:t>
      </w:r>
      <w:r w:rsidR="007C7525">
        <w:t xml:space="preserve">There are some similarities </w:t>
      </w:r>
      <w:r>
        <w:t>between</w:t>
      </w:r>
      <w:r w:rsidR="007C7525">
        <w:t xml:space="preserve"> the two laws, Common Law and Civil Law. Both have been enacted to control the legal practices in the country. </w:t>
      </w:r>
      <w:r>
        <w:t>Law</w:t>
      </w:r>
      <w:r w:rsidR="007C7525">
        <w:t xml:space="preserve"> adaptation is highly important to run any business in </w:t>
      </w:r>
      <w:r>
        <w:t xml:space="preserve">the </w:t>
      </w:r>
      <w:r w:rsidR="007C7525">
        <w:t xml:space="preserve">UK. </w:t>
      </w:r>
      <w:r w:rsidR="00841E0F">
        <w:t>The v</w:t>
      </w:r>
      <w:r w:rsidR="0038489C" w:rsidRPr="0038489C">
        <w:t xml:space="preserve">alue of common law is largely adapted based on circumstances. In essence, </w:t>
      </w:r>
      <w:r w:rsidR="00BC1762" w:rsidRPr="0038489C">
        <w:t>a statutory body</w:t>
      </w:r>
      <w:r w:rsidR="0038489C" w:rsidRPr="0038489C">
        <w:t xml:space="preserve"> contains numerous unwritten rules based on legal precedents. These have been formed by UK courts. The institutionalised views and </w:t>
      </w:r>
      <w:r>
        <w:t>interpretations</w:t>
      </w:r>
      <w:r w:rsidR="0038489C" w:rsidRPr="0038489C">
        <w:t xml:space="preserve"> are emphasised in </w:t>
      </w:r>
      <w:r>
        <w:t xml:space="preserve">the </w:t>
      </w:r>
      <w:r w:rsidR="0038489C" w:rsidRPr="0038489C">
        <w:t>common law. The judiciary and general juries are in charge of this</w:t>
      </w:r>
      <w:r w:rsidR="00896C98">
        <w:t xml:space="preserve"> (</w:t>
      </w:r>
      <w:r w:rsidR="00896C98">
        <w:rPr>
          <w:shd w:val="clear" w:color="auto" w:fill="FFFFFF"/>
        </w:rPr>
        <w:t>Holmes, et. al. 1991)</w:t>
      </w:r>
      <w:r w:rsidR="0038489C" w:rsidRPr="0038489C">
        <w:t xml:space="preserve">. The Common Laws are primarily responsible for creating new laws. Someone has engaged in criminal activity. If the judges deem it </w:t>
      </w:r>
      <w:r w:rsidR="00BC1762" w:rsidRPr="0038489C">
        <w:t>a</w:t>
      </w:r>
      <w:r w:rsidR="0038489C" w:rsidRPr="0038489C">
        <w:t xml:space="preserve"> crime, it will be recognised as such. Civil Law also aims to resolve conflicts between organisations and individuals. It is related to compensation or any agreement to assess the financial situation</w:t>
      </w:r>
      <w:r w:rsidR="00896C98">
        <w:t xml:space="preserve"> (</w:t>
      </w:r>
      <w:r w:rsidR="00896C98">
        <w:rPr>
          <w:shd w:val="clear" w:color="auto" w:fill="FFFFFF"/>
        </w:rPr>
        <w:t>Levy et. al. 1968)</w:t>
      </w:r>
      <w:r w:rsidR="0038489C" w:rsidRPr="0038489C">
        <w:t xml:space="preserve">. These situations are typically completed by private businesses. </w:t>
      </w:r>
      <w:r w:rsidR="00BC1762" w:rsidRPr="0038489C">
        <w:t>In addition</w:t>
      </w:r>
      <w:r w:rsidR="0038489C" w:rsidRPr="0038489C">
        <w:t>, the government is in charge of opening criminal prosecutions. The practise of civil law has many benefits, including the ability to specify various citizen and governmental rights and obligations.</w:t>
      </w:r>
    </w:p>
    <w:p w14:paraId="2B1AA33F" w14:textId="77777777" w:rsidR="00451181" w:rsidRPr="00451181" w:rsidRDefault="00451181" w:rsidP="00451181">
      <w:r w:rsidRPr="00451181">
        <w:t>Here is a detailed analysis of the differences between common law and civil law in the UK:</w:t>
      </w:r>
    </w:p>
    <w:p w14:paraId="37F5748A" w14:textId="77777777" w:rsidR="00451181" w:rsidRPr="00451181" w:rsidRDefault="00451181" w:rsidP="00451181">
      <w:pPr>
        <w:numPr>
          <w:ilvl w:val="0"/>
          <w:numId w:val="1"/>
        </w:numPr>
      </w:pPr>
      <w:r w:rsidRPr="00451181">
        <w:t>Sources of Law: Common law is based on the principle of precedent, which means that decisions made by higher courts are binding on lower courts. In other words, judges rely on previous decisions made by higher courts when making their own decisions. Civil law, on the other hand, is based on a written legal code that lays out the rules and principles of the law.</w:t>
      </w:r>
    </w:p>
    <w:p w14:paraId="5E84A501" w14:textId="77777777" w:rsidR="00451181" w:rsidRPr="00451181" w:rsidRDefault="00451181" w:rsidP="00451181">
      <w:pPr>
        <w:numPr>
          <w:ilvl w:val="0"/>
          <w:numId w:val="1"/>
        </w:numPr>
      </w:pPr>
      <w:r w:rsidRPr="00451181">
        <w:lastRenderedPageBreak/>
        <w:t>Role of Judges: In common law, judges play a significant role in shaping the law by interpreting and applying the principles established by previous court decisions. In civil law, judges are primarily responsible for applying the legal code to the case at hand.</w:t>
      </w:r>
    </w:p>
    <w:p w14:paraId="21BAED29" w14:textId="77777777" w:rsidR="00451181" w:rsidRPr="00451181" w:rsidRDefault="00451181" w:rsidP="00451181">
      <w:pPr>
        <w:numPr>
          <w:ilvl w:val="0"/>
          <w:numId w:val="1"/>
        </w:numPr>
      </w:pPr>
      <w:r w:rsidRPr="00451181">
        <w:t>Legal Procedure: Common law has a more adversarial legal system where two parties present their arguments and evidence to a judge or jury, who then make a decision based on the evidence presented. Civil law has an inquisitorial legal system where the judge plays an active role in the legal process by gathering evidence and questioning witnesses.</w:t>
      </w:r>
    </w:p>
    <w:p w14:paraId="1B28F08C" w14:textId="77777777" w:rsidR="00451181" w:rsidRPr="00451181" w:rsidRDefault="00451181" w:rsidP="00451181">
      <w:pPr>
        <w:numPr>
          <w:ilvl w:val="0"/>
          <w:numId w:val="1"/>
        </w:numPr>
      </w:pPr>
      <w:r w:rsidRPr="00451181">
        <w:t>Legal Remedies: In common law, legal remedies are typically monetary damages awarded to compensate for harm suffered. In civil law, legal remedies can also include injunctive relief, which is a court order that requires a party to stop or take certain actions.</w:t>
      </w:r>
    </w:p>
    <w:p w14:paraId="0CA0FC9C" w14:textId="77777777" w:rsidR="00451181" w:rsidRPr="00451181" w:rsidRDefault="00451181" w:rsidP="00451181">
      <w:pPr>
        <w:numPr>
          <w:ilvl w:val="0"/>
          <w:numId w:val="1"/>
        </w:numPr>
      </w:pPr>
      <w:r w:rsidRPr="00451181">
        <w:t>Role of Statutes: In common law, statutes enacted by Parliament can override common law principles. In civil law, statutes are the primary source of law and take precedence over any common law principles.</w:t>
      </w:r>
    </w:p>
    <w:p w14:paraId="1707A6AB" w14:textId="77777777" w:rsidR="00634B17" w:rsidRDefault="00634B17" w:rsidP="00FF43DA">
      <w:pPr>
        <w:pStyle w:val="Heading3"/>
      </w:pPr>
      <w:bookmarkStart w:id="4" w:name="_Toc129699507"/>
      <w:r>
        <w:t>History o</w:t>
      </w:r>
      <w:r w:rsidRPr="00634B17">
        <w:t>f Common Law</w:t>
      </w:r>
      <w:bookmarkEnd w:id="4"/>
    </w:p>
    <w:p w14:paraId="1B91B83A" w14:textId="77777777" w:rsidR="00451181" w:rsidRDefault="00451181" w:rsidP="00451181">
      <w:r>
        <w:t>It has been shown over the course of history that the Common Law has been in effect ever since 1536. It has been exerting a direct influence on the many aspects of some nations, such as Ireland. On the other hand, it is also having some effect on the forces that are at play in Scotland. Because the United Kingdom's judicial system was established in 1973, the country has the necessary background to successfully incorporate the legal framework of the European Union. It also has a significant influence on the legal system of the country (</w:t>
      </w:r>
      <w:proofErr w:type="spellStart"/>
      <w:r>
        <w:t>Pejovic</w:t>
      </w:r>
      <w:proofErr w:type="spellEnd"/>
      <w:r>
        <w:t>, et. al. 2001). Yet in the year 2020, the United Kingdom officially left the European Union as a member state. Since its adoption in 1950, the European Convention on Human Rights has served as a framework for protecting human rights. It is also prominent in the United Kingdom as a result of the Human Rights Act of 1998 being passed into legislation by the Parliament of the United Kingdom.</w:t>
      </w:r>
    </w:p>
    <w:p w14:paraId="40555533" w14:textId="77777777" w:rsidR="00D6329F" w:rsidRDefault="00451181" w:rsidP="00451181">
      <w:r>
        <w:lastRenderedPageBreak/>
        <w:t>In Europe, the traditions that date back to the mediaeval centuries gave rise to what is now known as the common law. It has been implemented across the continents by the British colonies. The term "Case Law" refers to another name for "Common Law." Since it is related to precedents, which provide for the flexibility of interpretation, the law is employed in the UK. The importance of common law is, to a large extent, determined by the circumstances (Pound, et. al. 1907). It is a statutory body that consists of several conventions based on the legal precedents that came before it. They are decided upon by the various courts in the UK. The focus of the Common Law is on the official interpretations and views that have been institutionalised. The Judicial Authorities and public Juries are in charge of controlling this. The Common Laws are often the source of new pieces of law</w:t>
      </w:r>
      <w:r w:rsidR="007C7525">
        <w:t>.</w:t>
      </w:r>
    </w:p>
    <w:p w14:paraId="24B24DFC" w14:textId="77777777" w:rsidR="00FF43DA" w:rsidRDefault="00D6329F" w:rsidP="00FF43DA">
      <w:pPr>
        <w:pStyle w:val="Heading3"/>
      </w:pPr>
      <w:bookmarkStart w:id="5" w:name="_Toc129699508"/>
      <w:r>
        <w:t>Examples of Common Law i</w:t>
      </w:r>
      <w:r w:rsidRPr="00D6329F">
        <w:t>n Practice</w:t>
      </w:r>
      <w:bookmarkEnd w:id="5"/>
    </w:p>
    <w:p w14:paraId="676688D2" w14:textId="77777777" w:rsidR="00FF43DA" w:rsidRDefault="00451181" w:rsidP="007C7525">
      <w:r w:rsidRPr="00451181">
        <w:t xml:space="preserve">The Common Law is a corpus of statutory law that encompasses a wide variety of customs that are predicated on the law. They are decided upon by the various courts in the UK. The focus of the Common Law is on the official interpretations and views that have been institutionalised. The Judicial Authorities and public Juries are in charge of controlling this. The Common Laws are often the source of new pieces of law (Rubin, et. al. 1977). A person has done criminal actions. If the courts decide that it is a crime, then it will be classified as a criminal offence. For instance, assault, murder, robbery, manslaughter, and so on are all examples of crimes. Instead of being based on legislation, the law is developed via judicial precedent and established practises. It is helpful in indicating a partner in the marriage, which is recognised in a lot of different countries. The rights that are guaranteed by the British constitution are not spelt out in a written charter, and the courts continue to rely on </w:t>
      </w:r>
      <w:proofErr w:type="spellStart"/>
      <w:r w:rsidRPr="00451181">
        <w:t>time-honored</w:t>
      </w:r>
      <w:proofErr w:type="spellEnd"/>
      <w:r w:rsidRPr="00451181">
        <w:t xml:space="preserve"> practises when defending these rights (Watkin, et. al. 2017). The Human Rights Act of 1998 was adopted as a result of Convention Rights, which are part of common law. As a direct consequence of this, it has evolved into a charter of rights</w:t>
      </w:r>
      <w:r w:rsidR="007C7525">
        <w:t xml:space="preserve">. </w:t>
      </w:r>
    </w:p>
    <w:p w14:paraId="639BDD0B" w14:textId="77777777" w:rsidR="00FF43DA" w:rsidRDefault="00FF43DA" w:rsidP="00FF43DA">
      <w:pPr>
        <w:pStyle w:val="Heading2"/>
      </w:pPr>
      <w:bookmarkStart w:id="6" w:name="_Toc129699509"/>
      <w:r>
        <w:t>Conclusion</w:t>
      </w:r>
      <w:bookmarkEnd w:id="6"/>
    </w:p>
    <w:p w14:paraId="6D7BD964" w14:textId="77777777" w:rsidR="00FF43DA" w:rsidRDefault="00451181" w:rsidP="00A66C2A">
      <w:r w:rsidRPr="00451181">
        <w:t xml:space="preserve">The rules that are enforced by the government of the UK are beneficial to all companies and to the general population. Since it is related to precedents, which </w:t>
      </w:r>
      <w:r>
        <w:t>provide</w:t>
      </w:r>
      <w:r w:rsidRPr="00451181">
        <w:t xml:space="preserve"> for the </w:t>
      </w:r>
      <w:r w:rsidRPr="00451181">
        <w:lastRenderedPageBreak/>
        <w:t>flexibility of interpretation, the law is employed in the UK. The importance of common law is, to a large extent, determined by the circumstances</w:t>
      </w:r>
      <w:r>
        <w:t>.</w:t>
      </w:r>
      <w:r w:rsidR="007C7525">
        <w:t xml:space="preserve"> </w:t>
      </w:r>
      <w:r w:rsidR="00FF43DA">
        <w:br w:type="page"/>
      </w:r>
    </w:p>
    <w:p w14:paraId="434FCED5" w14:textId="77777777" w:rsidR="004F3BB3" w:rsidRDefault="00FF43DA" w:rsidP="00FF43DA">
      <w:pPr>
        <w:pStyle w:val="Heading2"/>
      </w:pPr>
      <w:bookmarkStart w:id="7" w:name="_Toc129699510"/>
      <w:r>
        <w:lastRenderedPageBreak/>
        <w:t>References</w:t>
      </w:r>
      <w:bookmarkEnd w:id="7"/>
    </w:p>
    <w:p w14:paraId="67BEA4CF" w14:textId="77777777" w:rsidR="00DC1D15" w:rsidRDefault="00DC1D15" w:rsidP="00DC1D15">
      <w:pPr>
        <w:rPr>
          <w:shd w:val="clear" w:color="auto" w:fill="FFFFFF"/>
        </w:rPr>
      </w:pPr>
      <w:r>
        <w:rPr>
          <w:shd w:val="clear" w:color="auto" w:fill="FFFFFF"/>
        </w:rPr>
        <w:t>Abel, R.L. and Lewis, P.S.C. eds., 1988. </w:t>
      </w:r>
      <w:r>
        <w:rPr>
          <w:i/>
          <w:iCs/>
          <w:shd w:val="clear" w:color="auto" w:fill="FFFFFF"/>
        </w:rPr>
        <w:t>Lawyers in society: the civil law world</w:t>
      </w:r>
      <w:r>
        <w:rPr>
          <w:shd w:val="clear" w:color="auto" w:fill="FFFFFF"/>
        </w:rPr>
        <w:t>. Beard Books.</w:t>
      </w:r>
    </w:p>
    <w:p w14:paraId="17C57477" w14:textId="77777777" w:rsidR="00DC1D15" w:rsidRDefault="00DC1D15" w:rsidP="00DC1D15">
      <w:pPr>
        <w:rPr>
          <w:shd w:val="clear" w:color="auto" w:fill="FFFFFF"/>
        </w:rPr>
      </w:pPr>
      <w:r>
        <w:rPr>
          <w:shd w:val="clear" w:color="auto" w:fill="FFFFFF"/>
        </w:rPr>
        <w:t>Burrows, A., 2002. We do this at common law but that in equity. </w:t>
      </w:r>
      <w:r>
        <w:rPr>
          <w:i/>
          <w:iCs/>
          <w:shd w:val="clear" w:color="auto" w:fill="FFFFFF"/>
        </w:rPr>
        <w:t>Oxford Journal of Legal Studies</w:t>
      </w:r>
      <w:r>
        <w:rPr>
          <w:shd w:val="clear" w:color="auto" w:fill="FFFFFF"/>
        </w:rPr>
        <w:t>, </w:t>
      </w:r>
      <w:r>
        <w:rPr>
          <w:i/>
          <w:iCs/>
          <w:shd w:val="clear" w:color="auto" w:fill="FFFFFF"/>
        </w:rPr>
        <w:t>22</w:t>
      </w:r>
      <w:r>
        <w:rPr>
          <w:shd w:val="clear" w:color="auto" w:fill="FFFFFF"/>
        </w:rPr>
        <w:t>(1), pp.1-16.</w:t>
      </w:r>
    </w:p>
    <w:p w14:paraId="0D11B5DA" w14:textId="77777777" w:rsidR="00DC1D15" w:rsidRDefault="00DC1D15" w:rsidP="00DC1D15">
      <w:pPr>
        <w:rPr>
          <w:shd w:val="clear" w:color="auto" w:fill="FFFFFF"/>
        </w:rPr>
      </w:pPr>
      <w:r>
        <w:rPr>
          <w:shd w:val="clear" w:color="auto" w:fill="FFFFFF"/>
        </w:rPr>
        <w:t>Dainow, J., 1966. The civil law and the common law: some points of comparison. </w:t>
      </w:r>
      <w:r>
        <w:rPr>
          <w:i/>
          <w:iCs/>
          <w:shd w:val="clear" w:color="auto" w:fill="FFFFFF"/>
        </w:rPr>
        <w:t>Am. J. Comp. L.</w:t>
      </w:r>
      <w:r>
        <w:rPr>
          <w:shd w:val="clear" w:color="auto" w:fill="FFFFFF"/>
        </w:rPr>
        <w:t>, </w:t>
      </w:r>
      <w:r>
        <w:rPr>
          <w:i/>
          <w:iCs/>
          <w:shd w:val="clear" w:color="auto" w:fill="FFFFFF"/>
        </w:rPr>
        <w:t>15</w:t>
      </w:r>
      <w:r>
        <w:rPr>
          <w:shd w:val="clear" w:color="auto" w:fill="FFFFFF"/>
        </w:rPr>
        <w:t>, p.419.</w:t>
      </w:r>
    </w:p>
    <w:p w14:paraId="7B7A1DA5" w14:textId="77777777" w:rsidR="00DC1D15" w:rsidRDefault="00DC1D15" w:rsidP="00DC1D15">
      <w:pPr>
        <w:rPr>
          <w:shd w:val="clear" w:color="auto" w:fill="FFFFFF"/>
        </w:rPr>
      </w:pPr>
      <w:r>
        <w:rPr>
          <w:shd w:val="clear" w:color="auto" w:fill="FFFFFF"/>
        </w:rPr>
        <w:t>Gilbert, J., 2007. Historical indigenous peoples' land claims: a comparative and international approach to the common law doctrine on indigenous title. </w:t>
      </w:r>
      <w:r>
        <w:rPr>
          <w:i/>
          <w:iCs/>
          <w:shd w:val="clear" w:color="auto" w:fill="FFFFFF"/>
        </w:rPr>
        <w:t>International &amp; Comparative Law Quarterly</w:t>
      </w:r>
      <w:r>
        <w:rPr>
          <w:shd w:val="clear" w:color="auto" w:fill="FFFFFF"/>
        </w:rPr>
        <w:t>, </w:t>
      </w:r>
      <w:r>
        <w:rPr>
          <w:i/>
          <w:iCs/>
          <w:shd w:val="clear" w:color="auto" w:fill="FFFFFF"/>
        </w:rPr>
        <w:t>56</w:t>
      </w:r>
      <w:r>
        <w:rPr>
          <w:shd w:val="clear" w:color="auto" w:fill="FFFFFF"/>
        </w:rPr>
        <w:t>(3), pp.583-611.</w:t>
      </w:r>
    </w:p>
    <w:p w14:paraId="16D03EA7" w14:textId="77777777" w:rsidR="00DC1D15" w:rsidRDefault="00DC1D15" w:rsidP="00DC1D15">
      <w:pPr>
        <w:rPr>
          <w:shd w:val="clear" w:color="auto" w:fill="FFFFFF"/>
        </w:rPr>
      </w:pPr>
      <w:r>
        <w:rPr>
          <w:shd w:val="clear" w:color="auto" w:fill="FFFFFF"/>
        </w:rPr>
        <w:t>Holmes, O.W., 1991. </w:t>
      </w:r>
      <w:r>
        <w:rPr>
          <w:i/>
          <w:iCs/>
          <w:shd w:val="clear" w:color="auto" w:fill="FFFFFF"/>
        </w:rPr>
        <w:t>The common law</w:t>
      </w:r>
      <w:r>
        <w:rPr>
          <w:shd w:val="clear" w:color="auto" w:fill="FFFFFF"/>
        </w:rPr>
        <w:t>. Courier Corporation.</w:t>
      </w:r>
      <w:r w:rsidRPr="00DC1D15">
        <w:rPr>
          <w:shd w:val="clear" w:color="auto" w:fill="FFFFFF"/>
        </w:rPr>
        <w:t xml:space="preserve"> </w:t>
      </w:r>
    </w:p>
    <w:p w14:paraId="4E003BF2" w14:textId="77777777" w:rsidR="00DC1D15" w:rsidRDefault="00DC1D15" w:rsidP="00DC1D15">
      <w:pPr>
        <w:rPr>
          <w:shd w:val="clear" w:color="auto" w:fill="FFFFFF"/>
        </w:rPr>
      </w:pPr>
      <w:r>
        <w:rPr>
          <w:shd w:val="clear" w:color="auto" w:fill="FFFFFF"/>
        </w:rPr>
        <w:t>Levy Jr, N., 1968. Mesne Process in Personal Actions at Common Law and the Power Doctrine. </w:t>
      </w:r>
      <w:r>
        <w:rPr>
          <w:i/>
          <w:iCs/>
          <w:shd w:val="clear" w:color="auto" w:fill="FFFFFF"/>
        </w:rPr>
        <w:t>Yale LJ</w:t>
      </w:r>
      <w:r>
        <w:rPr>
          <w:shd w:val="clear" w:color="auto" w:fill="FFFFFF"/>
        </w:rPr>
        <w:t>, </w:t>
      </w:r>
      <w:r>
        <w:rPr>
          <w:i/>
          <w:iCs/>
          <w:shd w:val="clear" w:color="auto" w:fill="FFFFFF"/>
        </w:rPr>
        <w:t>78</w:t>
      </w:r>
      <w:r>
        <w:rPr>
          <w:shd w:val="clear" w:color="auto" w:fill="FFFFFF"/>
        </w:rPr>
        <w:t>, p.52.</w:t>
      </w:r>
    </w:p>
    <w:p w14:paraId="7A08A45A" w14:textId="77777777" w:rsidR="00DC1D15" w:rsidRDefault="00DC1D15" w:rsidP="00DC1D15">
      <w:pPr>
        <w:rPr>
          <w:shd w:val="clear" w:color="auto" w:fill="FFFFFF"/>
        </w:rPr>
      </w:pPr>
      <w:proofErr w:type="spellStart"/>
      <w:r>
        <w:rPr>
          <w:shd w:val="clear" w:color="auto" w:fill="FFFFFF"/>
        </w:rPr>
        <w:t>Pejovic</w:t>
      </w:r>
      <w:proofErr w:type="spellEnd"/>
      <w:r>
        <w:rPr>
          <w:shd w:val="clear" w:color="auto" w:fill="FFFFFF"/>
        </w:rPr>
        <w:t>, C., 2001. Civil law and common law: Two different paths leading to the same goal. </w:t>
      </w:r>
      <w:proofErr w:type="spellStart"/>
      <w:r>
        <w:rPr>
          <w:i/>
          <w:iCs/>
          <w:shd w:val="clear" w:color="auto" w:fill="FFFFFF"/>
        </w:rPr>
        <w:t>Poredbeno</w:t>
      </w:r>
      <w:proofErr w:type="spellEnd"/>
      <w:r>
        <w:rPr>
          <w:i/>
          <w:iCs/>
          <w:shd w:val="clear" w:color="auto" w:fill="FFFFFF"/>
        </w:rPr>
        <w:t xml:space="preserve"> </w:t>
      </w:r>
      <w:proofErr w:type="spellStart"/>
      <w:r>
        <w:rPr>
          <w:i/>
          <w:iCs/>
          <w:shd w:val="clear" w:color="auto" w:fill="FFFFFF"/>
        </w:rPr>
        <w:t>Pomorsko</w:t>
      </w:r>
      <w:proofErr w:type="spellEnd"/>
      <w:r>
        <w:rPr>
          <w:i/>
          <w:iCs/>
          <w:shd w:val="clear" w:color="auto" w:fill="FFFFFF"/>
        </w:rPr>
        <w:t xml:space="preserve"> </w:t>
      </w:r>
      <w:proofErr w:type="spellStart"/>
      <w:r>
        <w:rPr>
          <w:i/>
          <w:iCs/>
          <w:shd w:val="clear" w:color="auto" w:fill="FFFFFF"/>
        </w:rPr>
        <w:t>Pravo</w:t>
      </w:r>
      <w:proofErr w:type="spellEnd"/>
      <w:r>
        <w:rPr>
          <w:shd w:val="clear" w:color="auto" w:fill="FFFFFF"/>
        </w:rPr>
        <w:t>, </w:t>
      </w:r>
      <w:r>
        <w:rPr>
          <w:i/>
          <w:iCs/>
          <w:shd w:val="clear" w:color="auto" w:fill="FFFFFF"/>
        </w:rPr>
        <w:t>155</w:t>
      </w:r>
      <w:r>
        <w:rPr>
          <w:shd w:val="clear" w:color="auto" w:fill="FFFFFF"/>
        </w:rPr>
        <w:t>, p.7.</w:t>
      </w:r>
    </w:p>
    <w:p w14:paraId="3896110C" w14:textId="77777777" w:rsidR="00DC1D15" w:rsidRDefault="00DC1D15" w:rsidP="00DC1D15">
      <w:pPr>
        <w:rPr>
          <w:shd w:val="clear" w:color="auto" w:fill="FFFFFF"/>
        </w:rPr>
      </w:pPr>
      <w:r>
        <w:rPr>
          <w:shd w:val="clear" w:color="auto" w:fill="FFFFFF"/>
        </w:rPr>
        <w:t>Pound, R., 1907. Common law and legislation. </w:t>
      </w:r>
      <w:r>
        <w:rPr>
          <w:i/>
          <w:iCs/>
          <w:shd w:val="clear" w:color="auto" w:fill="FFFFFF"/>
        </w:rPr>
        <w:t>Harv. L. Rev.</w:t>
      </w:r>
      <w:r>
        <w:rPr>
          <w:shd w:val="clear" w:color="auto" w:fill="FFFFFF"/>
        </w:rPr>
        <w:t>, </w:t>
      </w:r>
      <w:r>
        <w:rPr>
          <w:i/>
          <w:iCs/>
          <w:shd w:val="clear" w:color="auto" w:fill="FFFFFF"/>
        </w:rPr>
        <w:t>21</w:t>
      </w:r>
      <w:r>
        <w:rPr>
          <w:shd w:val="clear" w:color="auto" w:fill="FFFFFF"/>
        </w:rPr>
        <w:t>, p.383.</w:t>
      </w:r>
    </w:p>
    <w:p w14:paraId="7018D90A" w14:textId="77777777" w:rsidR="00DC1D15" w:rsidRDefault="00DC1D15" w:rsidP="00DC1D15">
      <w:pPr>
        <w:rPr>
          <w:shd w:val="clear" w:color="auto" w:fill="FFFFFF"/>
        </w:rPr>
      </w:pPr>
      <w:r>
        <w:rPr>
          <w:shd w:val="clear" w:color="auto" w:fill="FFFFFF"/>
        </w:rPr>
        <w:t xml:space="preserve">Rubin, P.H., 1977. Why is the common law </w:t>
      </w:r>
      <w:proofErr w:type="gramStart"/>
      <w:r>
        <w:rPr>
          <w:shd w:val="clear" w:color="auto" w:fill="FFFFFF"/>
        </w:rPr>
        <w:t>efficient?.</w:t>
      </w:r>
      <w:proofErr w:type="gramEnd"/>
      <w:r>
        <w:rPr>
          <w:shd w:val="clear" w:color="auto" w:fill="FFFFFF"/>
        </w:rPr>
        <w:t> </w:t>
      </w:r>
      <w:r>
        <w:rPr>
          <w:i/>
          <w:iCs/>
          <w:shd w:val="clear" w:color="auto" w:fill="FFFFFF"/>
        </w:rPr>
        <w:t>The Journal of Legal Studies</w:t>
      </w:r>
      <w:r>
        <w:rPr>
          <w:shd w:val="clear" w:color="auto" w:fill="FFFFFF"/>
        </w:rPr>
        <w:t>, </w:t>
      </w:r>
      <w:r>
        <w:rPr>
          <w:i/>
          <w:iCs/>
          <w:shd w:val="clear" w:color="auto" w:fill="FFFFFF"/>
        </w:rPr>
        <w:t>6</w:t>
      </w:r>
      <w:r>
        <w:rPr>
          <w:shd w:val="clear" w:color="auto" w:fill="FFFFFF"/>
        </w:rPr>
        <w:t>(1), pp.51-63.</w:t>
      </w:r>
    </w:p>
    <w:p w14:paraId="044B531E" w14:textId="77777777" w:rsidR="00DC1D15" w:rsidRDefault="00DC1D15" w:rsidP="00DC1D15">
      <w:pPr>
        <w:rPr>
          <w:shd w:val="clear" w:color="auto" w:fill="FFFFFF"/>
        </w:rPr>
      </w:pPr>
      <w:r>
        <w:rPr>
          <w:shd w:val="clear" w:color="auto" w:fill="FFFFFF"/>
        </w:rPr>
        <w:t>Watkin, T.G., 2017. </w:t>
      </w:r>
      <w:r>
        <w:rPr>
          <w:i/>
          <w:iCs/>
          <w:shd w:val="clear" w:color="auto" w:fill="FFFFFF"/>
        </w:rPr>
        <w:t>An historical introduction to modern civil law</w:t>
      </w:r>
      <w:r>
        <w:rPr>
          <w:shd w:val="clear" w:color="auto" w:fill="FFFFFF"/>
        </w:rPr>
        <w:t>. Taylor &amp; Francis.</w:t>
      </w:r>
    </w:p>
    <w:p w14:paraId="6E4351EB" w14:textId="2D7FFE06" w:rsidR="00172AAA" w:rsidRDefault="00172AAA"/>
    <w:sectPr w:rsidR="00172AA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599A2" w14:textId="77777777" w:rsidR="00515F61" w:rsidRDefault="00515F61" w:rsidP="003565E0">
      <w:pPr>
        <w:spacing w:after="0" w:line="240" w:lineRule="auto"/>
      </w:pPr>
      <w:r>
        <w:separator/>
      </w:r>
    </w:p>
  </w:endnote>
  <w:endnote w:type="continuationSeparator" w:id="0">
    <w:p w14:paraId="06CCA4F0" w14:textId="77777777" w:rsidR="00515F61" w:rsidRDefault="00515F61" w:rsidP="00356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886724"/>
      <w:docPartObj>
        <w:docPartGallery w:val="Page Numbers (Bottom of Page)"/>
        <w:docPartUnique/>
      </w:docPartObj>
    </w:sdtPr>
    <w:sdtEndPr>
      <w:rPr>
        <w:noProof/>
      </w:rPr>
    </w:sdtEndPr>
    <w:sdtContent>
      <w:p w14:paraId="48F52259" w14:textId="77777777" w:rsidR="003565E0" w:rsidRDefault="003565E0">
        <w:pPr>
          <w:pStyle w:val="Footer"/>
          <w:jc w:val="right"/>
        </w:pPr>
        <w:r>
          <w:fldChar w:fldCharType="begin"/>
        </w:r>
        <w:r>
          <w:instrText xml:space="preserve"> PAGE   \* MERGEFORMAT </w:instrText>
        </w:r>
        <w:r>
          <w:fldChar w:fldCharType="separate"/>
        </w:r>
        <w:r w:rsidR="00BC1762">
          <w:rPr>
            <w:noProof/>
          </w:rPr>
          <w:t>7</w:t>
        </w:r>
        <w:r>
          <w:rPr>
            <w:noProof/>
          </w:rPr>
          <w:fldChar w:fldCharType="end"/>
        </w:r>
      </w:p>
    </w:sdtContent>
  </w:sdt>
  <w:p w14:paraId="7F338021" w14:textId="77777777" w:rsidR="003565E0" w:rsidRDefault="003565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08947" w14:textId="77777777" w:rsidR="00515F61" w:rsidRDefault="00515F61" w:rsidP="003565E0">
      <w:pPr>
        <w:spacing w:after="0" w:line="240" w:lineRule="auto"/>
      </w:pPr>
      <w:r>
        <w:separator/>
      </w:r>
    </w:p>
  </w:footnote>
  <w:footnote w:type="continuationSeparator" w:id="0">
    <w:p w14:paraId="1930D35C" w14:textId="77777777" w:rsidR="00515F61" w:rsidRDefault="00515F61" w:rsidP="00356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13DFF"/>
    <w:multiLevelType w:val="multilevel"/>
    <w:tmpl w:val="2D8843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175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0MDI1MAMiYzNjIyUdpeDU4uLM/DyQAqNaAAe7A+csAAAA"/>
  </w:docVars>
  <w:rsids>
    <w:rsidRoot w:val="006474A7"/>
    <w:rsid w:val="00000CC6"/>
    <w:rsid w:val="00052F6B"/>
    <w:rsid w:val="000C6052"/>
    <w:rsid w:val="000F5ADF"/>
    <w:rsid w:val="0013765B"/>
    <w:rsid w:val="00172AAA"/>
    <w:rsid w:val="002336CE"/>
    <w:rsid w:val="00233E16"/>
    <w:rsid w:val="002F3562"/>
    <w:rsid w:val="003565E0"/>
    <w:rsid w:val="0038489C"/>
    <w:rsid w:val="003916B1"/>
    <w:rsid w:val="00440007"/>
    <w:rsid w:val="00451181"/>
    <w:rsid w:val="004A78AF"/>
    <w:rsid w:val="004F3BB3"/>
    <w:rsid w:val="00515F61"/>
    <w:rsid w:val="00634B17"/>
    <w:rsid w:val="006469A8"/>
    <w:rsid w:val="006474A7"/>
    <w:rsid w:val="006B0838"/>
    <w:rsid w:val="006D69B8"/>
    <w:rsid w:val="007C7525"/>
    <w:rsid w:val="00816B41"/>
    <w:rsid w:val="00825B4C"/>
    <w:rsid w:val="00841E0F"/>
    <w:rsid w:val="00886CDC"/>
    <w:rsid w:val="00896C98"/>
    <w:rsid w:val="008E7687"/>
    <w:rsid w:val="00985960"/>
    <w:rsid w:val="009C34D0"/>
    <w:rsid w:val="009F16F1"/>
    <w:rsid w:val="009F2774"/>
    <w:rsid w:val="00A60A38"/>
    <w:rsid w:val="00A66C2A"/>
    <w:rsid w:val="00B86DE9"/>
    <w:rsid w:val="00BC1762"/>
    <w:rsid w:val="00CB6838"/>
    <w:rsid w:val="00CC0CC3"/>
    <w:rsid w:val="00CE76FA"/>
    <w:rsid w:val="00CF01D5"/>
    <w:rsid w:val="00D44691"/>
    <w:rsid w:val="00D6329F"/>
    <w:rsid w:val="00DC1D15"/>
    <w:rsid w:val="00DE0CC6"/>
    <w:rsid w:val="00E629A5"/>
    <w:rsid w:val="00FF1731"/>
    <w:rsid w:val="00FF43DA"/>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1F51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4A7"/>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rsid w:val="00A60A38"/>
    <w:pPr>
      <w:keepNext/>
      <w:keepLines/>
      <w:pBdr>
        <w:top w:val="single" w:sz="4" w:space="0" w:color="000000"/>
        <w:left w:val="single" w:sz="4" w:space="0" w:color="000000"/>
        <w:bottom w:val="single" w:sz="4" w:space="0" w:color="000000"/>
        <w:right w:val="single" w:sz="4" w:space="0" w:color="000000"/>
      </w:pBdr>
      <w:spacing w:before="240" w:after="0" w:line="241" w:lineRule="auto"/>
      <w:ind w:left="118" w:hanging="10"/>
      <w:jc w:val="left"/>
      <w:outlineLvl w:val="0"/>
    </w:pPr>
    <w:rPr>
      <w:rFonts w:eastAsiaTheme="majorEastAsia" w:cstheme="majorBidi"/>
      <w:b/>
      <w:color w:val="0070C0"/>
      <w:sz w:val="28"/>
      <w:szCs w:val="32"/>
      <w:lang w:val="en-US"/>
    </w:rPr>
  </w:style>
  <w:style w:type="paragraph" w:styleId="Heading2">
    <w:name w:val="heading 2"/>
    <w:basedOn w:val="Normal"/>
    <w:next w:val="Normal"/>
    <w:link w:val="Heading2Char"/>
    <w:autoRedefine/>
    <w:uiPriority w:val="9"/>
    <w:unhideWhenUsed/>
    <w:qFormat/>
    <w:rsid w:val="006474A7"/>
    <w:pPr>
      <w:keepNext/>
      <w:keepLines/>
      <w:spacing w:before="40"/>
      <w:outlineLvl w:val="1"/>
    </w:pPr>
    <w:rPr>
      <w:rFonts w:eastAsiaTheme="majorEastAsia" w:cstheme="majorBidi"/>
      <w:b/>
      <w:color w:val="002060"/>
      <w:sz w:val="28"/>
      <w:szCs w:val="26"/>
    </w:rPr>
  </w:style>
  <w:style w:type="paragraph" w:styleId="Heading3">
    <w:name w:val="heading 3"/>
    <w:basedOn w:val="Normal"/>
    <w:next w:val="Normal"/>
    <w:link w:val="Heading3Char"/>
    <w:autoRedefine/>
    <w:uiPriority w:val="9"/>
    <w:unhideWhenUsed/>
    <w:qFormat/>
    <w:rsid w:val="006474A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474A7"/>
    <w:rPr>
      <w:rFonts w:ascii="Arial" w:eastAsiaTheme="majorEastAsia" w:hAnsi="Arial" w:cstheme="majorBidi"/>
      <w:b/>
      <w:color w:val="002060"/>
      <w:sz w:val="28"/>
      <w:szCs w:val="26"/>
      <w:lang w:val="en-GB"/>
    </w:rPr>
  </w:style>
  <w:style w:type="character" w:customStyle="1" w:styleId="Heading1Char">
    <w:name w:val="Heading 1 Char"/>
    <w:basedOn w:val="DefaultParagraphFont"/>
    <w:link w:val="Heading1"/>
    <w:uiPriority w:val="9"/>
    <w:rsid w:val="00A60A38"/>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rsid w:val="006474A7"/>
    <w:rPr>
      <w:rFonts w:ascii="Arial" w:eastAsiaTheme="majorEastAsia" w:hAnsi="Arial" w:cstheme="majorBidi"/>
      <w:b/>
      <w:sz w:val="24"/>
      <w:szCs w:val="24"/>
      <w:lang w:val="en-GB"/>
    </w:rPr>
  </w:style>
  <w:style w:type="table" w:styleId="GridTable6Colorful-Accent5">
    <w:name w:val="Grid Table 6 Colorful Accent 5"/>
    <w:basedOn w:val="TableNormal"/>
    <w:uiPriority w:val="51"/>
    <w:rsid w:val="009F2774"/>
    <w:pPr>
      <w:spacing w:after="0" w:line="240" w:lineRule="auto"/>
    </w:pPr>
    <w:rPr>
      <w:color w:val="7030A0"/>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356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65E0"/>
    <w:rPr>
      <w:rFonts w:ascii="Arial" w:hAnsi="Arial"/>
      <w:sz w:val="24"/>
      <w:lang w:val="en-GB"/>
    </w:rPr>
  </w:style>
  <w:style w:type="paragraph" w:styleId="Footer">
    <w:name w:val="footer"/>
    <w:basedOn w:val="Normal"/>
    <w:link w:val="FooterChar"/>
    <w:uiPriority w:val="99"/>
    <w:unhideWhenUsed/>
    <w:rsid w:val="00356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65E0"/>
    <w:rPr>
      <w:rFonts w:ascii="Arial" w:hAnsi="Arial"/>
      <w:sz w:val="24"/>
      <w:lang w:val="en-GB"/>
    </w:rPr>
  </w:style>
  <w:style w:type="paragraph" w:styleId="TOCHeading">
    <w:name w:val="TOC Heading"/>
    <w:basedOn w:val="Heading1"/>
    <w:next w:val="Normal"/>
    <w:uiPriority w:val="39"/>
    <w:unhideWhenUsed/>
    <w:qFormat/>
    <w:rsid w:val="003565E0"/>
    <w:pPr>
      <w:pBdr>
        <w:top w:val="none" w:sz="0" w:space="0" w:color="auto"/>
        <w:left w:val="none" w:sz="0" w:space="0" w:color="auto"/>
        <w:bottom w:val="none" w:sz="0" w:space="0" w:color="auto"/>
        <w:right w:val="none" w:sz="0" w:space="0" w:color="auto"/>
      </w:pBdr>
      <w:spacing w:line="259" w:lineRule="auto"/>
      <w:ind w:left="0" w:firstLine="0"/>
      <w:outlineLvl w:val="9"/>
    </w:pPr>
    <w:rPr>
      <w:rFonts w:asciiTheme="majorHAnsi" w:hAnsiTheme="majorHAnsi"/>
      <w:b w:val="0"/>
      <w:color w:val="2E74B5" w:themeColor="accent1" w:themeShade="BF"/>
      <w:sz w:val="32"/>
    </w:rPr>
  </w:style>
  <w:style w:type="paragraph" w:styleId="TOC2">
    <w:name w:val="toc 2"/>
    <w:basedOn w:val="Normal"/>
    <w:next w:val="Normal"/>
    <w:autoRedefine/>
    <w:uiPriority w:val="39"/>
    <w:unhideWhenUsed/>
    <w:rsid w:val="003565E0"/>
    <w:pPr>
      <w:spacing w:after="100"/>
      <w:ind w:left="240"/>
    </w:pPr>
  </w:style>
  <w:style w:type="paragraph" w:styleId="TOC3">
    <w:name w:val="toc 3"/>
    <w:basedOn w:val="Normal"/>
    <w:next w:val="Normal"/>
    <w:autoRedefine/>
    <w:uiPriority w:val="39"/>
    <w:unhideWhenUsed/>
    <w:rsid w:val="003565E0"/>
    <w:pPr>
      <w:spacing w:after="100"/>
      <w:ind w:left="480"/>
    </w:pPr>
  </w:style>
  <w:style w:type="character" w:styleId="Hyperlink">
    <w:name w:val="Hyperlink"/>
    <w:basedOn w:val="DefaultParagraphFont"/>
    <w:uiPriority w:val="99"/>
    <w:unhideWhenUsed/>
    <w:rsid w:val="003565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87586">
      <w:bodyDiv w:val="1"/>
      <w:marLeft w:val="0"/>
      <w:marRight w:val="0"/>
      <w:marTop w:val="0"/>
      <w:marBottom w:val="0"/>
      <w:divBdr>
        <w:top w:val="none" w:sz="0" w:space="0" w:color="auto"/>
        <w:left w:val="none" w:sz="0" w:space="0" w:color="auto"/>
        <w:bottom w:val="none" w:sz="0" w:space="0" w:color="auto"/>
        <w:right w:val="none" w:sz="0" w:space="0" w:color="auto"/>
      </w:divBdr>
    </w:div>
    <w:div w:id="1360550896">
      <w:bodyDiv w:val="1"/>
      <w:marLeft w:val="0"/>
      <w:marRight w:val="0"/>
      <w:marTop w:val="0"/>
      <w:marBottom w:val="0"/>
      <w:divBdr>
        <w:top w:val="none" w:sz="0" w:space="0" w:color="auto"/>
        <w:left w:val="none" w:sz="0" w:space="0" w:color="auto"/>
        <w:bottom w:val="none" w:sz="0" w:space="0" w:color="auto"/>
        <w:right w:val="none" w:sz="0" w:space="0" w:color="auto"/>
      </w:divBdr>
    </w:div>
    <w:div w:id="1722944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85C09-4CB2-4385-9655-FB38F578D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1656</Words>
  <Characters>9445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2023-03-16T14:36:00Z</dcterms:created>
  <dcterms:modified xsi:type="dcterms:W3CDTF">2023-03-16T14:36:00Z</dcterms:modified>
</cp:coreProperties>
</file>