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950CA" w14:textId="4C0497CF" w:rsidR="005704E9" w:rsidRPr="002D6887" w:rsidRDefault="005704E9" w:rsidP="00C9757E">
      <w:pPr>
        <w:pStyle w:val="Title"/>
        <w:spacing w:line="360" w:lineRule="auto"/>
        <w:rPr>
          <w:rFonts w:ascii="Arial" w:eastAsia="Arial" w:hAnsi="Arial" w:cs="Arial"/>
          <w:sz w:val="22"/>
          <w:szCs w:val="22"/>
        </w:rPr>
      </w:pPr>
      <w:r w:rsidRPr="00D47751">
        <w:rPr>
          <w:rFonts w:ascii="Arial" w:eastAsia="Arial" w:hAnsi="Arial" w:cs="Arial"/>
          <w:bCs/>
          <w:sz w:val="22"/>
          <w:szCs w:val="22"/>
        </w:rPr>
        <w:t>Writing Mod</w:t>
      </w:r>
      <w:r w:rsidRPr="00C9757E">
        <w:rPr>
          <w:rFonts w:ascii="Arial" w:eastAsia="Arial" w:hAnsi="Arial" w:cs="Arial"/>
          <w:bCs/>
          <w:sz w:val="22"/>
          <w:szCs w:val="22"/>
        </w:rPr>
        <w:t xml:space="preserve">ule:  </w:t>
      </w:r>
      <w:r w:rsidRPr="00C9757E">
        <w:rPr>
          <w:rFonts w:ascii="Arial" w:hAnsi="Arial" w:cs="Arial"/>
          <w:color w:val="1D2228"/>
          <w:sz w:val="22"/>
          <w:szCs w:val="22"/>
        </w:rPr>
        <w:t>Community Engagement</w:t>
      </w:r>
      <w:r w:rsidRPr="00C9757E">
        <w:rPr>
          <w:rFonts w:ascii="Arial" w:hAnsi="Arial" w:cs="Arial"/>
          <w:b/>
          <w:bCs/>
          <w:color w:val="1D2228"/>
          <w:sz w:val="22"/>
          <w:szCs w:val="22"/>
        </w:rPr>
        <w:t xml:space="preserve"> </w:t>
      </w:r>
      <w:r w:rsidR="002D6887" w:rsidRPr="002D6887">
        <w:rPr>
          <w:rFonts w:ascii="Arial" w:hAnsi="Arial" w:cs="Arial"/>
          <w:color w:val="1D2228"/>
          <w:sz w:val="22"/>
          <w:szCs w:val="22"/>
        </w:rPr>
        <w:t>– Report 2</w:t>
      </w:r>
    </w:p>
    <w:p w14:paraId="61BD3271" w14:textId="77777777" w:rsidR="005704E9" w:rsidRPr="00C9757E" w:rsidRDefault="005704E9" w:rsidP="00C9757E">
      <w:pPr>
        <w:spacing w:line="360" w:lineRule="auto"/>
        <w:rPr>
          <w:rFonts w:ascii="Arial" w:eastAsia="Arial" w:hAnsi="Arial" w:cs="Arial"/>
          <w:color w:val="000000" w:themeColor="text1"/>
          <w:sz w:val="22"/>
          <w:szCs w:val="22"/>
        </w:rPr>
      </w:pPr>
    </w:p>
    <w:p w14:paraId="324509D2" w14:textId="77777777" w:rsidR="005704E9" w:rsidRPr="00C9757E" w:rsidRDefault="005704E9" w:rsidP="00C9757E">
      <w:pPr>
        <w:spacing w:line="360" w:lineRule="auto"/>
        <w:rPr>
          <w:rFonts w:ascii="Arial" w:hAnsi="Arial" w:cs="Arial"/>
          <w:sz w:val="22"/>
          <w:szCs w:val="22"/>
        </w:rPr>
      </w:pPr>
      <w:r w:rsidRPr="00C9757E">
        <w:rPr>
          <w:rFonts w:ascii="Arial" w:eastAsia="Arial" w:hAnsi="Arial" w:cs="Arial"/>
          <w:color w:val="000000" w:themeColor="text1"/>
          <w:sz w:val="22"/>
          <w:szCs w:val="22"/>
        </w:rPr>
        <w:t>Student Name: Renaldo Jose Juman</w:t>
      </w:r>
      <w:r w:rsidRPr="00C9757E">
        <w:rPr>
          <w:rFonts w:ascii="Arial" w:hAnsi="Arial" w:cs="Arial"/>
          <w:sz w:val="22"/>
          <w:szCs w:val="22"/>
        </w:rPr>
        <w:t xml:space="preserve"> </w:t>
      </w:r>
    </w:p>
    <w:p w14:paraId="1D967EEE" w14:textId="77777777" w:rsidR="005704E9" w:rsidRPr="00C9757E" w:rsidRDefault="005704E9" w:rsidP="00C9757E">
      <w:pPr>
        <w:spacing w:line="360" w:lineRule="auto"/>
        <w:rPr>
          <w:rFonts w:ascii="Arial" w:eastAsia="Arial" w:hAnsi="Arial" w:cs="Arial"/>
          <w:color w:val="000000" w:themeColor="text1"/>
          <w:sz w:val="22"/>
          <w:szCs w:val="22"/>
        </w:rPr>
      </w:pPr>
    </w:p>
    <w:p w14:paraId="3190286F" w14:textId="77777777" w:rsidR="005704E9" w:rsidRPr="00C9757E" w:rsidRDefault="005704E9" w:rsidP="00C9757E">
      <w:pPr>
        <w:spacing w:line="360" w:lineRule="auto"/>
        <w:rPr>
          <w:rFonts w:ascii="Arial" w:eastAsia="Arial" w:hAnsi="Arial" w:cs="Arial"/>
          <w:color w:val="000000" w:themeColor="text1"/>
          <w:sz w:val="22"/>
          <w:szCs w:val="22"/>
        </w:rPr>
      </w:pPr>
      <w:r w:rsidRPr="00C9757E">
        <w:rPr>
          <w:rFonts w:ascii="Arial" w:eastAsia="Arial" w:hAnsi="Arial" w:cs="Arial"/>
          <w:color w:val="000000" w:themeColor="text1"/>
          <w:sz w:val="22"/>
          <w:szCs w:val="22"/>
        </w:rPr>
        <w:t>Student ID: 2114362</w:t>
      </w:r>
    </w:p>
    <w:p w14:paraId="026BF81B" w14:textId="77777777" w:rsidR="005704E9" w:rsidRPr="00C9757E" w:rsidRDefault="005704E9" w:rsidP="00C9757E">
      <w:pPr>
        <w:spacing w:line="360" w:lineRule="auto"/>
        <w:rPr>
          <w:rFonts w:ascii="Arial" w:eastAsia="Arial" w:hAnsi="Arial" w:cs="Arial"/>
          <w:color w:val="000000" w:themeColor="text1"/>
          <w:sz w:val="22"/>
          <w:szCs w:val="22"/>
        </w:rPr>
      </w:pPr>
    </w:p>
    <w:p w14:paraId="0319C5C1" w14:textId="51A4EE3C" w:rsidR="005704E9" w:rsidRPr="00C9757E" w:rsidRDefault="005704E9" w:rsidP="00C9757E">
      <w:pPr>
        <w:spacing w:line="360" w:lineRule="auto"/>
        <w:rPr>
          <w:rFonts w:ascii="Arial" w:eastAsia="Arial" w:hAnsi="Arial" w:cs="Arial"/>
          <w:color w:val="000000" w:themeColor="text1"/>
          <w:sz w:val="22"/>
          <w:szCs w:val="22"/>
        </w:rPr>
      </w:pPr>
      <w:r w:rsidRPr="00C9757E">
        <w:rPr>
          <w:rFonts w:ascii="Arial" w:eastAsia="Arial" w:hAnsi="Arial" w:cs="Arial"/>
          <w:color w:val="000000" w:themeColor="text1"/>
          <w:sz w:val="22"/>
          <w:szCs w:val="22"/>
        </w:rPr>
        <w:t>Module Code: LCBB4002</w:t>
      </w:r>
    </w:p>
    <w:p w14:paraId="0EC43B76" w14:textId="77777777" w:rsidR="005704E9" w:rsidRPr="00C9757E" w:rsidRDefault="005704E9" w:rsidP="00C9757E">
      <w:pPr>
        <w:spacing w:line="360" w:lineRule="auto"/>
        <w:rPr>
          <w:rFonts w:ascii="Arial" w:eastAsia="Arial" w:hAnsi="Arial" w:cs="Arial"/>
          <w:color w:val="000000" w:themeColor="text1"/>
          <w:sz w:val="22"/>
          <w:szCs w:val="22"/>
        </w:rPr>
      </w:pPr>
    </w:p>
    <w:p w14:paraId="1929C6C7" w14:textId="441211A8" w:rsidR="005704E9" w:rsidRPr="00C9757E" w:rsidRDefault="005704E9" w:rsidP="00C9757E">
      <w:pPr>
        <w:spacing w:line="360" w:lineRule="auto"/>
        <w:rPr>
          <w:rFonts w:ascii="Arial" w:eastAsia="Arial" w:hAnsi="Arial" w:cs="Arial"/>
          <w:color w:val="000000" w:themeColor="text1"/>
          <w:sz w:val="22"/>
          <w:szCs w:val="22"/>
        </w:rPr>
      </w:pPr>
      <w:r w:rsidRPr="00C9757E">
        <w:rPr>
          <w:rFonts w:ascii="Arial" w:eastAsia="Arial" w:hAnsi="Arial" w:cs="Arial"/>
          <w:color w:val="000000" w:themeColor="text1"/>
          <w:sz w:val="22"/>
          <w:szCs w:val="22"/>
        </w:rPr>
        <w:t xml:space="preserve">Tutor: Dr </w:t>
      </w:r>
      <w:r w:rsidR="00A248A9">
        <w:rPr>
          <w:rFonts w:ascii="Arial" w:hAnsi="Arial" w:cs="Arial"/>
          <w:sz w:val="22"/>
          <w:szCs w:val="22"/>
        </w:rPr>
        <w:t>Akash Puranik</w:t>
      </w:r>
    </w:p>
    <w:p w14:paraId="72BB72E3" w14:textId="77777777" w:rsidR="005704E9" w:rsidRPr="00C9757E" w:rsidRDefault="005704E9" w:rsidP="00C9757E">
      <w:pPr>
        <w:spacing w:line="360" w:lineRule="auto"/>
        <w:rPr>
          <w:rFonts w:ascii="Arial" w:eastAsia="Arial" w:hAnsi="Arial" w:cs="Arial"/>
          <w:color w:val="000000" w:themeColor="text1"/>
          <w:sz w:val="22"/>
          <w:szCs w:val="22"/>
        </w:rPr>
      </w:pPr>
    </w:p>
    <w:p w14:paraId="1C3357C3" w14:textId="572B168E" w:rsidR="005704E9" w:rsidRPr="00C9757E" w:rsidRDefault="005704E9" w:rsidP="00A728A2">
      <w:pPr>
        <w:spacing w:line="360" w:lineRule="auto"/>
        <w:rPr>
          <w:rFonts w:ascii="Arial" w:hAnsi="Arial" w:cs="Arial"/>
          <w:b/>
          <w:bCs/>
          <w:color w:val="1D2228"/>
          <w:sz w:val="22"/>
          <w:szCs w:val="22"/>
        </w:rPr>
      </w:pPr>
      <w:r w:rsidRPr="00C9757E">
        <w:rPr>
          <w:rFonts w:ascii="Arial" w:eastAsia="Arial" w:hAnsi="Arial" w:cs="Arial"/>
          <w:color w:val="000000" w:themeColor="text1"/>
          <w:sz w:val="22"/>
          <w:szCs w:val="22"/>
        </w:rPr>
        <w:t xml:space="preserve">Assignment Title: </w:t>
      </w:r>
      <w:r w:rsidRPr="00C9757E">
        <w:rPr>
          <w:rFonts w:ascii="Arial" w:hAnsi="Arial" w:cs="Arial"/>
          <w:color w:val="1D2228"/>
          <w:sz w:val="22"/>
          <w:szCs w:val="22"/>
        </w:rPr>
        <w:t>Community Engagement</w:t>
      </w:r>
      <w:r w:rsidR="00A728A2">
        <w:rPr>
          <w:rFonts w:ascii="Arial" w:hAnsi="Arial" w:cs="Arial"/>
          <w:b/>
          <w:bCs/>
          <w:color w:val="1D2228"/>
          <w:sz w:val="22"/>
          <w:szCs w:val="22"/>
        </w:rPr>
        <w:t xml:space="preserve"> </w:t>
      </w:r>
      <w:r w:rsidR="00A728A2" w:rsidRPr="00A728A2">
        <w:rPr>
          <w:rFonts w:ascii="Arial" w:hAnsi="Arial" w:cs="Arial"/>
          <w:color w:val="1D2228"/>
          <w:sz w:val="22"/>
          <w:szCs w:val="22"/>
        </w:rPr>
        <w:t>Reflective Report</w:t>
      </w:r>
    </w:p>
    <w:p w14:paraId="1F285BBA" w14:textId="6A53A51E" w:rsidR="00545539" w:rsidRPr="00C9757E" w:rsidRDefault="00545539" w:rsidP="00C9757E">
      <w:pPr>
        <w:spacing w:line="360" w:lineRule="auto"/>
        <w:rPr>
          <w:rFonts w:ascii="Arial" w:hAnsi="Arial" w:cs="Arial"/>
          <w:b/>
          <w:bCs/>
          <w:color w:val="1D2228"/>
          <w:sz w:val="22"/>
          <w:szCs w:val="22"/>
        </w:rPr>
      </w:pPr>
    </w:p>
    <w:p w14:paraId="25F252BB" w14:textId="5C5C99D0" w:rsidR="00545539" w:rsidRPr="00C9757E" w:rsidRDefault="00545539" w:rsidP="00C9757E">
      <w:pPr>
        <w:spacing w:line="360" w:lineRule="auto"/>
        <w:rPr>
          <w:rFonts w:ascii="Arial" w:hAnsi="Arial" w:cs="Arial"/>
          <w:b/>
          <w:bCs/>
          <w:color w:val="1D2228"/>
          <w:sz w:val="22"/>
          <w:szCs w:val="22"/>
        </w:rPr>
      </w:pPr>
    </w:p>
    <w:p w14:paraId="67859E25" w14:textId="783661BF" w:rsidR="00545539" w:rsidRPr="00C9757E" w:rsidRDefault="00545539" w:rsidP="00C9757E">
      <w:pPr>
        <w:spacing w:line="360" w:lineRule="auto"/>
        <w:rPr>
          <w:rFonts w:ascii="Arial" w:hAnsi="Arial" w:cs="Arial"/>
          <w:b/>
          <w:bCs/>
          <w:color w:val="1D2228"/>
          <w:sz w:val="22"/>
          <w:szCs w:val="22"/>
        </w:rPr>
      </w:pPr>
    </w:p>
    <w:p w14:paraId="5950DE3D" w14:textId="77777777" w:rsidR="00545539" w:rsidRPr="00C9757E" w:rsidRDefault="00545539" w:rsidP="00C9757E">
      <w:pPr>
        <w:spacing w:line="360" w:lineRule="auto"/>
        <w:rPr>
          <w:rFonts w:ascii="Arial" w:hAnsi="Arial" w:cs="Arial"/>
          <w:b/>
          <w:bCs/>
          <w:color w:val="1D2228"/>
          <w:sz w:val="22"/>
          <w:szCs w:val="22"/>
        </w:rPr>
      </w:pPr>
      <w:r w:rsidRPr="00C9757E">
        <w:rPr>
          <w:rFonts w:ascii="Arial" w:hAnsi="Arial" w:cs="Arial"/>
          <w:b/>
          <w:bCs/>
          <w:color w:val="1D2228"/>
          <w:sz w:val="22"/>
          <w:szCs w:val="22"/>
        </w:rPr>
        <w:br w:type="page"/>
      </w:r>
    </w:p>
    <w:sdt>
      <w:sdtPr>
        <w:rPr>
          <w:rFonts w:ascii="Arial" w:eastAsia="Times New Roman" w:hAnsi="Arial" w:cs="Arial"/>
          <w:b w:val="0"/>
          <w:bCs w:val="0"/>
          <w:color w:val="auto"/>
          <w:sz w:val="22"/>
          <w:szCs w:val="22"/>
          <w:lang w:val="en-GB"/>
        </w:rPr>
        <w:id w:val="-1461713977"/>
        <w:docPartObj>
          <w:docPartGallery w:val="Table of Contents"/>
          <w:docPartUnique/>
        </w:docPartObj>
      </w:sdtPr>
      <w:sdtEndPr>
        <w:rPr>
          <w:noProof/>
        </w:rPr>
      </w:sdtEndPr>
      <w:sdtContent>
        <w:p w14:paraId="51061415" w14:textId="0F8DF806" w:rsidR="00545539" w:rsidRPr="00C9757E" w:rsidRDefault="00545539" w:rsidP="00C9757E">
          <w:pPr>
            <w:pStyle w:val="TOCHeading"/>
            <w:spacing w:line="360" w:lineRule="auto"/>
            <w:rPr>
              <w:rFonts w:ascii="Arial" w:hAnsi="Arial" w:cs="Arial"/>
              <w:sz w:val="22"/>
              <w:szCs w:val="22"/>
            </w:rPr>
          </w:pPr>
          <w:r w:rsidRPr="00C9757E">
            <w:rPr>
              <w:rFonts w:ascii="Arial" w:hAnsi="Arial" w:cs="Arial"/>
              <w:sz w:val="22"/>
              <w:szCs w:val="22"/>
            </w:rPr>
            <w:t>Table of Contents</w:t>
          </w:r>
        </w:p>
        <w:p w14:paraId="06106A04" w14:textId="756C0A3A" w:rsidR="00513259" w:rsidRDefault="00545539">
          <w:pPr>
            <w:pStyle w:val="TOC1"/>
            <w:rPr>
              <w:rFonts w:eastAsiaTheme="minorEastAsia" w:cstheme="minorBidi"/>
              <w:b w:val="0"/>
              <w:bCs w:val="0"/>
              <w:i w:val="0"/>
              <w:iCs w:val="0"/>
              <w:noProof/>
              <w:lang w:eastAsia="en-GB"/>
            </w:rPr>
          </w:pPr>
          <w:r w:rsidRPr="00C9757E">
            <w:rPr>
              <w:rFonts w:ascii="Arial" w:hAnsi="Arial" w:cs="Arial"/>
              <w:sz w:val="22"/>
              <w:szCs w:val="22"/>
            </w:rPr>
            <w:fldChar w:fldCharType="begin"/>
          </w:r>
          <w:r w:rsidRPr="00C9757E">
            <w:rPr>
              <w:rFonts w:ascii="Arial" w:hAnsi="Arial" w:cs="Arial"/>
              <w:sz w:val="22"/>
              <w:szCs w:val="22"/>
            </w:rPr>
            <w:instrText xml:space="preserve"> TOC \o "1-3" \h \z \u </w:instrText>
          </w:r>
          <w:r w:rsidRPr="00C9757E">
            <w:rPr>
              <w:rFonts w:ascii="Arial" w:hAnsi="Arial" w:cs="Arial"/>
              <w:sz w:val="22"/>
              <w:szCs w:val="22"/>
            </w:rPr>
            <w:fldChar w:fldCharType="separate"/>
          </w:r>
          <w:hyperlink w:anchor="_Toc130378142" w:history="1">
            <w:r w:rsidR="00513259" w:rsidRPr="00A250D8">
              <w:rPr>
                <w:rStyle w:val="Hyperlink"/>
                <w:rFonts w:ascii="Arial" w:eastAsia="Arial" w:hAnsi="Arial" w:cs="Arial"/>
                <w:noProof/>
              </w:rPr>
              <w:t xml:space="preserve">Introduction </w:t>
            </w:r>
            <w:r w:rsidR="00513259" w:rsidRPr="00A250D8">
              <w:rPr>
                <w:rStyle w:val="Hyperlink"/>
                <w:rFonts w:ascii="Arial" w:hAnsi="Arial" w:cs="Arial"/>
                <w:noProof/>
              </w:rPr>
              <w:t>Reflection Report on a Community Engagement</w:t>
            </w:r>
            <w:r w:rsidR="00513259">
              <w:rPr>
                <w:noProof/>
                <w:webHidden/>
              </w:rPr>
              <w:tab/>
            </w:r>
            <w:r w:rsidR="00513259">
              <w:rPr>
                <w:noProof/>
                <w:webHidden/>
              </w:rPr>
              <w:fldChar w:fldCharType="begin"/>
            </w:r>
            <w:r w:rsidR="00513259">
              <w:rPr>
                <w:noProof/>
                <w:webHidden/>
              </w:rPr>
              <w:instrText xml:space="preserve"> PAGEREF _Toc130378142 \h </w:instrText>
            </w:r>
            <w:r w:rsidR="00513259">
              <w:rPr>
                <w:noProof/>
                <w:webHidden/>
              </w:rPr>
            </w:r>
            <w:r w:rsidR="00513259">
              <w:rPr>
                <w:noProof/>
                <w:webHidden/>
              </w:rPr>
              <w:fldChar w:fldCharType="separate"/>
            </w:r>
            <w:r w:rsidR="00513259">
              <w:rPr>
                <w:noProof/>
                <w:webHidden/>
              </w:rPr>
              <w:t>4</w:t>
            </w:r>
            <w:r w:rsidR="00513259">
              <w:rPr>
                <w:noProof/>
                <w:webHidden/>
              </w:rPr>
              <w:fldChar w:fldCharType="end"/>
            </w:r>
          </w:hyperlink>
        </w:p>
        <w:p w14:paraId="3EBFC27E" w14:textId="23DEB2EB" w:rsidR="00513259" w:rsidRDefault="00513259">
          <w:pPr>
            <w:pStyle w:val="TOC1"/>
            <w:rPr>
              <w:rFonts w:eastAsiaTheme="minorEastAsia" w:cstheme="minorBidi"/>
              <w:b w:val="0"/>
              <w:bCs w:val="0"/>
              <w:i w:val="0"/>
              <w:iCs w:val="0"/>
              <w:noProof/>
              <w:lang w:eastAsia="en-GB"/>
            </w:rPr>
          </w:pPr>
          <w:hyperlink w:anchor="_Toc130378143" w:history="1">
            <w:r w:rsidRPr="00A250D8">
              <w:rPr>
                <w:rStyle w:val="Hyperlink"/>
                <w:rFonts w:ascii="Arial" w:hAnsi="Arial" w:cs="Arial"/>
                <w:noProof/>
              </w:rPr>
              <w:t>Description Cycle</w:t>
            </w:r>
            <w:r>
              <w:rPr>
                <w:noProof/>
                <w:webHidden/>
              </w:rPr>
              <w:tab/>
            </w:r>
            <w:r>
              <w:rPr>
                <w:noProof/>
                <w:webHidden/>
              </w:rPr>
              <w:fldChar w:fldCharType="begin"/>
            </w:r>
            <w:r>
              <w:rPr>
                <w:noProof/>
                <w:webHidden/>
              </w:rPr>
              <w:instrText xml:space="preserve"> PAGEREF _Toc130378143 \h </w:instrText>
            </w:r>
            <w:r>
              <w:rPr>
                <w:noProof/>
                <w:webHidden/>
              </w:rPr>
            </w:r>
            <w:r>
              <w:rPr>
                <w:noProof/>
                <w:webHidden/>
              </w:rPr>
              <w:fldChar w:fldCharType="separate"/>
            </w:r>
            <w:r>
              <w:rPr>
                <w:noProof/>
                <w:webHidden/>
              </w:rPr>
              <w:t>5</w:t>
            </w:r>
            <w:r>
              <w:rPr>
                <w:noProof/>
                <w:webHidden/>
              </w:rPr>
              <w:fldChar w:fldCharType="end"/>
            </w:r>
          </w:hyperlink>
        </w:p>
        <w:p w14:paraId="5D952799" w14:textId="676BF19C" w:rsidR="00513259" w:rsidRDefault="00513259">
          <w:pPr>
            <w:pStyle w:val="TOC1"/>
            <w:rPr>
              <w:rFonts w:eastAsiaTheme="minorEastAsia" w:cstheme="minorBidi"/>
              <w:b w:val="0"/>
              <w:bCs w:val="0"/>
              <w:i w:val="0"/>
              <w:iCs w:val="0"/>
              <w:noProof/>
              <w:lang w:eastAsia="en-GB"/>
            </w:rPr>
          </w:pPr>
          <w:hyperlink w:anchor="_Toc130378144" w:history="1">
            <w:r w:rsidRPr="00A250D8">
              <w:rPr>
                <w:rStyle w:val="Hyperlink"/>
                <w:rFonts w:ascii="Arial" w:hAnsi="Arial" w:cs="Arial"/>
                <w:noProof/>
              </w:rPr>
              <w:t>Feelings Cycle</w:t>
            </w:r>
            <w:r>
              <w:rPr>
                <w:noProof/>
                <w:webHidden/>
              </w:rPr>
              <w:tab/>
            </w:r>
            <w:r>
              <w:rPr>
                <w:noProof/>
                <w:webHidden/>
              </w:rPr>
              <w:fldChar w:fldCharType="begin"/>
            </w:r>
            <w:r>
              <w:rPr>
                <w:noProof/>
                <w:webHidden/>
              </w:rPr>
              <w:instrText xml:space="preserve"> PAGEREF _Toc130378144 \h </w:instrText>
            </w:r>
            <w:r>
              <w:rPr>
                <w:noProof/>
                <w:webHidden/>
              </w:rPr>
            </w:r>
            <w:r>
              <w:rPr>
                <w:noProof/>
                <w:webHidden/>
              </w:rPr>
              <w:fldChar w:fldCharType="separate"/>
            </w:r>
            <w:r>
              <w:rPr>
                <w:noProof/>
                <w:webHidden/>
              </w:rPr>
              <w:t>6</w:t>
            </w:r>
            <w:r>
              <w:rPr>
                <w:noProof/>
                <w:webHidden/>
              </w:rPr>
              <w:fldChar w:fldCharType="end"/>
            </w:r>
          </w:hyperlink>
        </w:p>
        <w:p w14:paraId="3E1D11E4" w14:textId="171D754E" w:rsidR="00513259" w:rsidRDefault="00513259">
          <w:pPr>
            <w:pStyle w:val="TOC1"/>
            <w:rPr>
              <w:rFonts w:eastAsiaTheme="minorEastAsia" w:cstheme="minorBidi"/>
              <w:b w:val="0"/>
              <w:bCs w:val="0"/>
              <w:i w:val="0"/>
              <w:iCs w:val="0"/>
              <w:noProof/>
              <w:lang w:eastAsia="en-GB"/>
            </w:rPr>
          </w:pPr>
          <w:hyperlink w:anchor="_Toc130378145" w:history="1">
            <w:r w:rsidRPr="00A250D8">
              <w:rPr>
                <w:rStyle w:val="Hyperlink"/>
                <w:rFonts w:ascii="Arial" w:hAnsi="Arial" w:cs="Arial"/>
                <w:noProof/>
              </w:rPr>
              <w:t>Evaluation Cycle</w:t>
            </w:r>
            <w:r>
              <w:rPr>
                <w:noProof/>
                <w:webHidden/>
              </w:rPr>
              <w:tab/>
            </w:r>
            <w:r>
              <w:rPr>
                <w:noProof/>
                <w:webHidden/>
              </w:rPr>
              <w:fldChar w:fldCharType="begin"/>
            </w:r>
            <w:r>
              <w:rPr>
                <w:noProof/>
                <w:webHidden/>
              </w:rPr>
              <w:instrText xml:space="preserve"> PAGEREF _Toc130378145 \h </w:instrText>
            </w:r>
            <w:r>
              <w:rPr>
                <w:noProof/>
                <w:webHidden/>
              </w:rPr>
            </w:r>
            <w:r>
              <w:rPr>
                <w:noProof/>
                <w:webHidden/>
              </w:rPr>
              <w:fldChar w:fldCharType="separate"/>
            </w:r>
            <w:r>
              <w:rPr>
                <w:noProof/>
                <w:webHidden/>
              </w:rPr>
              <w:t>7</w:t>
            </w:r>
            <w:r>
              <w:rPr>
                <w:noProof/>
                <w:webHidden/>
              </w:rPr>
              <w:fldChar w:fldCharType="end"/>
            </w:r>
          </w:hyperlink>
        </w:p>
        <w:p w14:paraId="7C443496" w14:textId="2B1ED0F5" w:rsidR="00513259" w:rsidRDefault="00513259">
          <w:pPr>
            <w:pStyle w:val="TOC1"/>
            <w:rPr>
              <w:rFonts w:eastAsiaTheme="minorEastAsia" w:cstheme="minorBidi"/>
              <w:b w:val="0"/>
              <w:bCs w:val="0"/>
              <w:i w:val="0"/>
              <w:iCs w:val="0"/>
              <w:noProof/>
              <w:lang w:eastAsia="en-GB"/>
            </w:rPr>
          </w:pPr>
          <w:hyperlink w:anchor="_Toc130378146" w:history="1">
            <w:r w:rsidRPr="00A250D8">
              <w:rPr>
                <w:rStyle w:val="Hyperlink"/>
                <w:rFonts w:ascii="Arial" w:hAnsi="Arial" w:cs="Arial"/>
                <w:noProof/>
              </w:rPr>
              <w:t>Analysis Cycle</w:t>
            </w:r>
            <w:r>
              <w:rPr>
                <w:noProof/>
                <w:webHidden/>
              </w:rPr>
              <w:tab/>
            </w:r>
            <w:r>
              <w:rPr>
                <w:noProof/>
                <w:webHidden/>
              </w:rPr>
              <w:fldChar w:fldCharType="begin"/>
            </w:r>
            <w:r>
              <w:rPr>
                <w:noProof/>
                <w:webHidden/>
              </w:rPr>
              <w:instrText xml:space="preserve"> PAGEREF _Toc130378146 \h </w:instrText>
            </w:r>
            <w:r>
              <w:rPr>
                <w:noProof/>
                <w:webHidden/>
              </w:rPr>
            </w:r>
            <w:r>
              <w:rPr>
                <w:noProof/>
                <w:webHidden/>
              </w:rPr>
              <w:fldChar w:fldCharType="separate"/>
            </w:r>
            <w:r>
              <w:rPr>
                <w:noProof/>
                <w:webHidden/>
              </w:rPr>
              <w:t>9</w:t>
            </w:r>
            <w:r>
              <w:rPr>
                <w:noProof/>
                <w:webHidden/>
              </w:rPr>
              <w:fldChar w:fldCharType="end"/>
            </w:r>
          </w:hyperlink>
        </w:p>
        <w:p w14:paraId="5FA259BF" w14:textId="35E3293F" w:rsidR="00513259" w:rsidRDefault="00513259">
          <w:pPr>
            <w:pStyle w:val="TOC1"/>
            <w:rPr>
              <w:rFonts w:eastAsiaTheme="minorEastAsia" w:cstheme="minorBidi"/>
              <w:b w:val="0"/>
              <w:bCs w:val="0"/>
              <w:i w:val="0"/>
              <w:iCs w:val="0"/>
              <w:noProof/>
              <w:lang w:eastAsia="en-GB"/>
            </w:rPr>
          </w:pPr>
          <w:hyperlink w:anchor="_Toc130378147" w:history="1">
            <w:r w:rsidRPr="00A250D8">
              <w:rPr>
                <w:rStyle w:val="Hyperlink"/>
                <w:rFonts w:ascii="Arial" w:hAnsi="Arial" w:cs="Arial"/>
                <w:noProof/>
              </w:rPr>
              <w:t>Action Plan Cycle</w:t>
            </w:r>
            <w:r>
              <w:rPr>
                <w:noProof/>
                <w:webHidden/>
              </w:rPr>
              <w:tab/>
            </w:r>
            <w:r>
              <w:rPr>
                <w:noProof/>
                <w:webHidden/>
              </w:rPr>
              <w:fldChar w:fldCharType="begin"/>
            </w:r>
            <w:r>
              <w:rPr>
                <w:noProof/>
                <w:webHidden/>
              </w:rPr>
              <w:instrText xml:space="preserve"> PAGEREF _Toc130378147 \h </w:instrText>
            </w:r>
            <w:r>
              <w:rPr>
                <w:noProof/>
                <w:webHidden/>
              </w:rPr>
            </w:r>
            <w:r>
              <w:rPr>
                <w:noProof/>
                <w:webHidden/>
              </w:rPr>
              <w:fldChar w:fldCharType="separate"/>
            </w:r>
            <w:r>
              <w:rPr>
                <w:noProof/>
                <w:webHidden/>
              </w:rPr>
              <w:t>11</w:t>
            </w:r>
            <w:r>
              <w:rPr>
                <w:noProof/>
                <w:webHidden/>
              </w:rPr>
              <w:fldChar w:fldCharType="end"/>
            </w:r>
          </w:hyperlink>
        </w:p>
        <w:p w14:paraId="7259ECF2" w14:textId="01ABC8C7" w:rsidR="00513259" w:rsidRDefault="00513259">
          <w:pPr>
            <w:pStyle w:val="TOC1"/>
            <w:rPr>
              <w:rFonts w:eastAsiaTheme="minorEastAsia" w:cstheme="minorBidi"/>
              <w:b w:val="0"/>
              <w:bCs w:val="0"/>
              <w:i w:val="0"/>
              <w:iCs w:val="0"/>
              <w:noProof/>
              <w:lang w:eastAsia="en-GB"/>
            </w:rPr>
          </w:pPr>
          <w:hyperlink w:anchor="_Toc130378148" w:history="1">
            <w:r w:rsidRPr="00A250D8">
              <w:rPr>
                <w:rStyle w:val="Hyperlink"/>
                <w:rFonts w:ascii="Arial" w:hAnsi="Arial" w:cs="Arial"/>
                <w:noProof/>
              </w:rPr>
              <w:t>Conclusion Cycle</w:t>
            </w:r>
            <w:r>
              <w:rPr>
                <w:noProof/>
                <w:webHidden/>
              </w:rPr>
              <w:tab/>
            </w:r>
            <w:r>
              <w:rPr>
                <w:noProof/>
                <w:webHidden/>
              </w:rPr>
              <w:fldChar w:fldCharType="begin"/>
            </w:r>
            <w:r>
              <w:rPr>
                <w:noProof/>
                <w:webHidden/>
              </w:rPr>
              <w:instrText xml:space="preserve"> PAGEREF _Toc130378148 \h </w:instrText>
            </w:r>
            <w:r>
              <w:rPr>
                <w:noProof/>
                <w:webHidden/>
              </w:rPr>
            </w:r>
            <w:r>
              <w:rPr>
                <w:noProof/>
                <w:webHidden/>
              </w:rPr>
              <w:fldChar w:fldCharType="separate"/>
            </w:r>
            <w:r>
              <w:rPr>
                <w:noProof/>
                <w:webHidden/>
              </w:rPr>
              <w:t>12</w:t>
            </w:r>
            <w:r>
              <w:rPr>
                <w:noProof/>
                <w:webHidden/>
              </w:rPr>
              <w:fldChar w:fldCharType="end"/>
            </w:r>
          </w:hyperlink>
        </w:p>
        <w:p w14:paraId="7EE3E3B7" w14:textId="40911BCE" w:rsidR="00513259" w:rsidRDefault="00513259">
          <w:pPr>
            <w:pStyle w:val="TOC1"/>
            <w:rPr>
              <w:rFonts w:eastAsiaTheme="minorEastAsia" w:cstheme="minorBidi"/>
              <w:b w:val="0"/>
              <w:bCs w:val="0"/>
              <w:i w:val="0"/>
              <w:iCs w:val="0"/>
              <w:noProof/>
              <w:lang w:eastAsia="en-GB"/>
            </w:rPr>
          </w:pPr>
          <w:hyperlink w:anchor="_Toc130378149" w:history="1">
            <w:r w:rsidRPr="00A250D8">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_Toc130378149 \h </w:instrText>
            </w:r>
            <w:r>
              <w:rPr>
                <w:noProof/>
                <w:webHidden/>
              </w:rPr>
            </w:r>
            <w:r>
              <w:rPr>
                <w:noProof/>
                <w:webHidden/>
              </w:rPr>
              <w:fldChar w:fldCharType="separate"/>
            </w:r>
            <w:r>
              <w:rPr>
                <w:noProof/>
                <w:webHidden/>
              </w:rPr>
              <w:t>13</w:t>
            </w:r>
            <w:r>
              <w:rPr>
                <w:noProof/>
                <w:webHidden/>
              </w:rPr>
              <w:fldChar w:fldCharType="end"/>
            </w:r>
          </w:hyperlink>
        </w:p>
        <w:p w14:paraId="713D4603" w14:textId="07A3E197" w:rsidR="00545539" w:rsidRPr="00C9757E" w:rsidRDefault="00545539" w:rsidP="00C9757E">
          <w:pPr>
            <w:spacing w:line="360" w:lineRule="auto"/>
            <w:rPr>
              <w:rFonts w:ascii="Arial" w:hAnsi="Arial" w:cs="Arial"/>
              <w:sz w:val="22"/>
              <w:szCs w:val="22"/>
            </w:rPr>
          </w:pPr>
          <w:r w:rsidRPr="00C9757E">
            <w:rPr>
              <w:rFonts w:ascii="Arial" w:hAnsi="Arial" w:cs="Arial"/>
              <w:b/>
              <w:bCs/>
              <w:noProof/>
              <w:sz w:val="22"/>
              <w:szCs w:val="22"/>
            </w:rPr>
            <w:fldChar w:fldCharType="end"/>
          </w:r>
        </w:p>
      </w:sdtContent>
    </w:sdt>
    <w:p w14:paraId="00528148" w14:textId="11313BE9" w:rsidR="00545539" w:rsidRPr="00C9757E" w:rsidRDefault="00545539" w:rsidP="00C9757E">
      <w:pPr>
        <w:spacing w:line="360" w:lineRule="auto"/>
        <w:rPr>
          <w:rFonts w:ascii="Arial" w:eastAsia="Arial" w:hAnsi="Arial" w:cs="Arial"/>
          <w:color w:val="000000" w:themeColor="text1"/>
          <w:sz w:val="22"/>
          <w:szCs w:val="22"/>
        </w:rPr>
      </w:pPr>
    </w:p>
    <w:p w14:paraId="28D4203B" w14:textId="43289530" w:rsidR="00B50117" w:rsidRDefault="00545539" w:rsidP="00C9757E">
      <w:pPr>
        <w:spacing w:line="360" w:lineRule="auto"/>
        <w:rPr>
          <w:rFonts w:ascii="Arial" w:eastAsia="Arial" w:hAnsi="Arial" w:cs="Arial"/>
          <w:color w:val="000000" w:themeColor="text1"/>
          <w:sz w:val="22"/>
          <w:szCs w:val="22"/>
        </w:rPr>
      </w:pPr>
      <w:r w:rsidRPr="00C9757E">
        <w:rPr>
          <w:rFonts w:ascii="Arial" w:eastAsia="Arial" w:hAnsi="Arial" w:cs="Arial"/>
          <w:color w:val="000000" w:themeColor="text1"/>
          <w:sz w:val="22"/>
          <w:szCs w:val="22"/>
        </w:rPr>
        <w:br w:type="page"/>
      </w:r>
    </w:p>
    <w:p w14:paraId="3A019ED8" w14:textId="7043E184" w:rsidR="00513259" w:rsidRDefault="00B50117">
      <w:pPr>
        <w:pStyle w:val="TableofFigures"/>
        <w:tabs>
          <w:tab w:val="right" w:leader="dot" w:pos="9010"/>
        </w:tabs>
        <w:rPr>
          <w:rFonts w:asciiTheme="minorHAnsi" w:eastAsiaTheme="minorEastAsia" w:hAnsiTheme="minorHAnsi" w:cstheme="minorBidi"/>
          <w:noProof/>
          <w:lang w:eastAsia="en-GB"/>
        </w:rPr>
      </w:pPr>
      <w:r>
        <w:rPr>
          <w:rFonts w:ascii="Arial" w:eastAsia="Arial" w:hAnsi="Arial" w:cs="Arial"/>
          <w:color w:val="000000" w:themeColor="text1"/>
          <w:sz w:val="22"/>
          <w:szCs w:val="22"/>
        </w:rPr>
        <w:lastRenderedPageBreak/>
        <w:fldChar w:fldCharType="begin"/>
      </w:r>
      <w:r>
        <w:rPr>
          <w:rFonts w:ascii="Arial" w:eastAsia="Arial" w:hAnsi="Arial" w:cs="Arial"/>
          <w:color w:val="000000" w:themeColor="text1"/>
          <w:sz w:val="22"/>
          <w:szCs w:val="22"/>
        </w:rPr>
        <w:instrText xml:space="preserve"> TOC \h \z \c "Figure" </w:instrText>
      </w:r>
      <w:r>
        <w:rPr>
          <w:rFonts w:ascii="Arial" w:eastAsia="Arial" w:hAnsi="Arial" w:cs="Arial"/>
          <w:color w:val="000000" w:themeColor="text1"/>
          <w:sz w:val="22"/>
          <w:szCs w:val="22"/>
        </w:rPr>
        <w:fldChar w:fldCharType="separate"/>
      </w:r>
      <w:hyperlink w:anchor="_Toc130378153" w:history="1">
        <w:r w:rsidR="00513259" w:rsidRPr="009B6A30">
          <w:rPr>
            <w:rStyle w:val="Hyperlink"/>
            <w:rFonts w:ascii="Arial" w:eastAsiaTheme="majorEastAsia" w:hAnsi="Arial" w:cs="Arial"/>
            <w:noProof/>
          </w:rPr>
          <w:t>Figure 1: Gibbs' Reflective Cycle</w:t>
        </w:r>
        <w:r w:rsidR="00513259">
          <w:rPr>
            <w:noProof/>
            <w:webHidden/>
          </w:rPr>
          <w:tab/>
        </w:r>
        <w:r w:rsidR="00513259">
          <w:rPr>
            <w:noProof/>
            <w:webHidden/>
          </w:rPr>
          <w:fldChar w:fldCharType="begin"/>
        </w:r>
        <w:r w:rsidR="00513259">
          <w:rPr>
            <w:noProof/>
            <w:webHidden/>
          </w:rPr>
          <w:instrText xml:space="preserve"> PAGEREF _Toc130378153 \h </w:instrText>
        </w:r>
        <w:r w:rsidR="00513259">
          <w:rPr>
            <w:noProof/>
            <w:webHidden/>
          </w:rPr>
        </w:r>
        <w:r w:rsidR="00513259">
          <w:rPr>
            <w:noProof/>
            <w:webHidden/>
          </w:rPr>
          <w:fldChar w:fldCharType="separate"/>
        </w:r>
        <w:r w:rsidR="00513259">
          <w:rPr>
            <w:noProof/>
            <w:webHidden/>
          </w:rPr>
          <w:t>5</w:t>
        </w:r>
        <w:r w:rsidR="00513259">
          <w:rPr>
            <w:noProof/>
            <w:webHidden/>
          </w:rPr>
          <w:fldChar w:fldCharType="end"/>
        </w:r>
      </w:hyperlink>
    </w:p>
    <w:p w14:paraId="06F01BDF" w14:textId="6B378F05" w:rsidR="00B50117" w:rsidRDefault="00B50117">
      <w:pPr>
        <w:rPr>
          <w:rFonts w:ascii="Arial" w:eastAsia="Arial" w:hAnsi="Arial" w:cs="Arial"/>
          <w:color w:val="000000" w:themeColor="text1"/>
          <w:sz w:val="22"/>
          <w:szCs w:val="22"/>
        </w:rPr>
      </w:pPr>
      <w:r>
        <w:rPr>
          <w:rFonts w:ascii="Arial" w:eastAsia="Arial" w:hAnsi="Arial" w:cs="Arial"/>
          <w:color w:val="000000" w:themeColor="text1"/>
          <w:sz w:val="22"/>
          <w:szCs w:val="22"/>
        </w:rPr>
        <w:fldChar w:fldCharType="end"/>
      </w:r>
      <w:r>
        <w:rPr>
          <w:rFonts w:ascii="Arial" w:eastAsia="Arial" w:hAnsi="Arial" w:cs="Arial"/>
          <w:color w:val="000000" w:themeColor="text1"/>
          <w:sz w:val="22"/>
          <w:szCs w:val="22"/>
        </w:rPr>
        <w:br w:type="page"/>
      </w:r>
    </w:p>
    <w:p w14:paraId="27E4683E" w14:textId="17790071" w:rsidR="00F973F1" w:rsidRPr="00F973F1" w:rsidRDefault="00545539" w:rsidP="00F973F1">
      <w:pPr>
        <w:pStyle w:val="Heading1"/>
        <w:spacing w:line="360" w:lineRule="auto"/>
        <w:rPr>
          <w:rFonts w:ascii="Arial" w:hAnsi="Arial" w:cs="Arial"/>
          <w:sz w:val="22"/>
          <w:szCs w:val="22"/>
        </w:rPr>
      </w:pPr>
      <w:bookmarkStart w:id="0" w:name="_Toc130378142"/>
      <w:r w:rsidRPr="00F973F1">
        <w:rPr>
          <w:rFonts w:ascii="Arial" w:eastAsia="Arial" w:hAnsi="Arial" w:cs="Arial"/>
          <w:sz w:val="22"/>
          <w:szCs w:val="22"/>
        </w:rPr>
        <w:lastRenderedPageBreak/>
        <w:t xml:space="preserve">Introduction </w:t>
      </w:r>
      <w:r w:rsidR="00F973F1" w:rsidRPr="00F973F1">
        <w:rPr>
          <w:rFonts w:ascii="Arial" w:hAnsi="Arial" w:cs="Arial"/>
          <w:sz w:val="22"/>
          <w:szCs w:val="22"/>
        </w:rPr>
        <w:t>Reflection Report on a Community Engagement</w:t>
      </w:r>
      <w:bookmarkEnd w:id="0"/>
      <w:r w:rsidR="00F973F1" w:rsidRPr="00F973F1">
        <w:rPr>
          <w:rFonts w:ascii="Arial" w:hAnsi="Arial" w:cs="Arial"/>
          <w:sz w:val="22"/>
          <w:szCs w:val="22"/>
        </w:rPr>
        <w:t xml:space="preserve"> </w:t>
      </w:r>
    </w:p>
    <w:p w14:paraId="1A080354" w14:textId="77777777" w:rsidR="00C9757E" w:rsidRPr="00C9757E" w:rsidRDefault="00C9757E" w:rsidP="00F973F1">
      <w:pPr>
        <w:spacing w:line="360" w:lineRule="auto"/>
        <w:rPr>
          <w:rFonts w:ascii="Arial" w:hAnsi="Arial" w:cs="Arial"/>
          <w:b/>
          <w:sz w:val="22"/>
          <w:szCs w:val="22"/>
        </w:rPr>
      </w:pPr>
    </w:p>
    <w:p w14:paraId="7101F6F7" w14:textId="0A3DA2DE" w:rsidR="00A728A2" w:rsidRPr="00A728A2" w:rsidRDefault="00350650" w:rsidP="00A728A2">
      <w:pPr>
        <w:spacing w:line="360" w:lineRule="auto"/>
        <w:ind w:firstLine="720"/>
        <w:rPr>
          <w:rFonts w:ascii="Arial" w:hAnsi="Arial" w:cs="Arial"/>
          <w:sz w:val="22"/>
          <w:szCs w:val="22"/>
        </w:rPr>
      </w:pPr>
      <w:r>
        <w:rPr>
          <w:rFonts w:ascii="Arial" w:hAnsi="Arial" w:cs="Arial"/>
          <w:sz w:val="22"/>
          <w:szCs w:val="22"/>
        </w:rPr>
        <w:t xml:space="preserve">         </w:t>
      </w:r>
      <w:r w:rsidR="00A728A2" w:rsidRPr="00A728A2">
        <w:rPr>
          <w:rFonts w:ascii="Arial" w:hAnsi="Arial" w:cs="Arial"/>
          <w:sz w:val="22"/>
          <w:szCs w:val="22"/>
        </w:rPr>
        <w:t xml:space="preserve">The scope of a programme's techniques to interact with its audience makes up a community engagement plan. Community outreach and community involvement are sometimes conflated, yet they differ significantly. Therefore, community outreach frequently employs a short-term attitude to persuade a target to do a specific action. Community engagement aims to create lasting bonds requiring both sides' involvement. A healthy community is one where its people are </w:t>
      </w:r>
      <w:r w:rsidR="00A728A2" w:rsidRPr="00A728A2">
        <w:rPr>
          <w:rFonts w:ascii="Arial" w:hAnsi="Arial" w:cs="Arial"/>
          <w:sz w:val="22"/>
          <w:szCs w:val="22"/>
        </w:rPr>
        <w:t>engaged but</w:t>
      </w:r>
      <w:r w:rsidR="00A728A2" w:rsidRPr="00A728A2">
        <w:rPr>
          <w:rFonts w:ascii="Arial" w:hAnsi="Arial" w:cs="Arial"/>
          <w:sz w:val="22"/>
          <w:szCs w:val="22"/>
        </w:rPr>
        <w:t xml:space="preserve"> maintaining that activity in a remote setting needs conscious planning, which is where community engagement techniques come in a factor (Burdon et al., 2022). Therefore, to effectively coordinate a community engagement programme, it is essential to have a clear understanding of the community's needs, desires, and expectations. </w:t>
      </w:r>
    </w:p>
    <w:p w14:paraId="736C436F" w14:textId="77777777" w:rsidR="00A728A2" w:rsidRP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Reflection has a significant positive impact on student learning. Although the community participation experience alone could be beneficial for personal growth, reflection is essential for cultivating abilities like critical thinking, a greater comprehension of the subject matter, empathy, and perspective shifting. Engagement and learning are connected and integrated via reflection. Using various tools and channels will be crucial to encouraging the broadest engagement from various interests (Burdon et al., 2022). Identifying community stakeholders, their specific needs and interests, and the most effective ways to interact with them should involve local community development networks and support organisations.</w:t>
      </w:r>
    </w:p>
    <w:p w14:paraId="1B63F422" w14:textId="77777777" w:rsidR="00A728A2" w:rsidRP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Graham Gibbs created the Gibbs Reflective Cycle in 1988 to organise learning from events. It provides a framework for analysing events and, given that it is cyclical, lends itself particularly well to repeated encounters, allowing you to draw lessons and make plans from both good and bad situations (The University of Edinburgh, 2020). This paradigm is useful for processing an experience. This might be a one-time occurrence or something you encounter repeatedly, like meetings with a team you need to work with. Although Gibbs first recommended using it in repetitive circumstances, the phases and concepts also hold true for one-time events.</w:t>
      </w:r>
    </w:p>
    <w:p w14:paraId="6AF3DE0E" w14:textId="77777777" w:rsidR="00B50117" w:rsidRDefault="00A728A2" w:rsidP="00B50117">
      <w:pPr>
        <w:keepNext/>
        <w:spacing w:line="360" w:lineRule="auto"/>
      </w:pPr>
      <w:r w:rsidRPr="00A728A2">
        <w:rPr>
          <w:rFonts w:ascii="Arial" w:hAnsi="Arial" w:cs="Arial"/>
          <w:noProof/>
          <w:sz w:val="22"/>
          <w:szCs w:val="22"/>
        </w:rPr>
        <w:lastRenderedPageBreak/>
        <w:drawing>
          <wp:inline distT="114300" distB="114300" distL="114300" distR="114300" wp14:anchorId="47FC5DF8" wp14:editId="228FEFCF">
            <wp:extent cx="2889885" cy="2643596"/>
            <wp:effectExtent l="0" t="0" r="5715" b="0"/>
            <wp:docPr id="2"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Diagram&#10;&#10;Description automatically generated"/>
                    <pic:cNvPicPr preferRelativeResize="0"/>
                  </pic:nvPicPr>
                  <pic:blipFill>
                    <a:blip r:embed="rId7"/>
                    <a:srcRect/>
                    <a:stretch>
                      <a:fillRect/>
                    </a:stretch>
                  </pic:blipFill>
                  <pic:spPr>
                    <a:xfrm>
                      <a:off x="0" y="0"/>
                      <a:ext cx="2903084" cy="2655670"/>
                    </a:xfrm>
                    <a:prstGeom prst="rect">
                      <a:avLst/>
                    </a:prstGeom>
                    <a:ln/>
                  </pic:spPr>
                </pic:pic>
              </a:graphicData>
            </a:graphic>
          </wp:inline>
        </w:drawing>
      </w:r>
    </w:p>
    <w:p w14:paraId="64998B19" w14:textId="58598AF1" w:rsidR="00A728A2" w:rsidRPr="00B50117" w:rsidRDefault="00B50117" w:rsidP="00B50117">
      <w:pPr>
        <w:pStyle w:val="Caption"/>
        <w:spacing w:line="360" w:lineRule="auto"/>
        <w:rPr>
          <w:rFonts w:ascii="Arial" w:hAnsi="Arial" w:cs="Arial"/>
          <w:sz w:val="22"/>
          <w:szCs w:val="22"/>
        </w:rPr>
      </w:pPr>
      <w:bookmarkStart w:id="1" w:name="_Toc130378153"/>
      <w:r w:rsidRPr="00B50117">
        <w:rPr>
          <w:rFonts w:ascii="Arial" w:hAnsi="Arial" w:cs="Arial"/>
          <w:sz w:val="22"/>
          <w:szCs w:val="22"/>
        </w:rPr>
        <w:t xml:space="preserve">Figure </w:t>
      </w:r>
      <w:r w:rsidRPr="00B50117">
        <w:rPr>
          <w:rFonts w:ascii="Arial" w:hAnsi="Arial" w:cs="Arial"/>
          <w:sz w:val="22"/>
          <w:szCs w:val="22"/>
        </w:rPr>
        <w:fldChar w:fldCharType="begin"/>
      </w:r>
      <w:r w:rsidRPr="00B50117">
        <w:rPr>
          <w:rFonts w:ascii="Arial" w:hAnsi="Arial" w:cs="Arial"/>
          <w:sz w:val="22"/>
          <w:szCs w:val="22"/>
        </w:rPr>
        <w:instrText xml:space="preserve"> SEQ Figure \* ARABIC </w:instrText>
      </w:r>
      <w:r w:rsidRPr="00B50117">
        <w:rPr>
          <w:rFonts w:ascii="Arial" w:hAnsi="Arial" w:cs="Arial"/>
          <w:sz w:val="22"/>
          <w:szCs w:val="22"/>
        </w:rPr>
        <w:fldChar w:fldCharType="separate"/>
      </w:r>
      <w:r w:rsidRPr="00B50117">
        <w:rPr>
          <w:rFonts w:ascii="Arial" w:hAnsi="Arial" w:cs="Arial"/>
          <w:noProof/>
          <w:sz w:val="22"/>
          <w:szCs w:val="22"/>
        </w:rPr>
        <w:t>1</w:t>
      </w:r>
      <w:r w:rsidRPr="00B50117">
        <w:rPr>
          <w:rFonts w:ascii="Arial" w:hAnsi="Arial" w:cs="Arial"/>
          <w:sz w:val="22"/>
          <w:szCs w:val="22"/>
        </w:rPr>
        <w:fldChar w:fldCharType="end"/>
      </w:r>
      <w:r w:rsidRPr="00B50117">
        <w:rPr>
          <w:rFonts w:ascii="Arial" w:hAnsi="Arial" w:cs="Arial"/>
          <w:sz w:val="22"/>
          <w:szCs w:val="22"/>
        </w:rPr>
        <w:t>: Gibbs' Reflective Cycle</w:t>
      </w:r>
      <w:bookmarkEnd w:id="1"/>
    </w:p>
    <w:p w14:paraId="717A3A9C" w14:textId="77777777" w:rsidR="00A728A2" w:rsidRPr="00A728A2" w:rsidRDefault="00A728A2" w:rsidP="00A728A2">
      <w:pPr>
        <w:spacing w:line="360" w:lineRule="auto"/>
        <w:ind w:firstLine="720"/>
        <w:rPr>
          <w:rFonts w:ascii="Arial" w:hAnsi="Arial" w:cs="Arial"/>
          <w:color w:val="0E101A"/>
          <w:sz w:val="22"/>
          <w:szCs w:val="22"/>
        </w:rPr>
      </w:pPr>
    </w:p>
    <w:p w14:paraId="78C8149F" w14:textId="3FCB1A6A" w:rsidR="00A728A2" w:rsidRDefault="00A728A2" w:rsidP="00935354">
      <w:pPr>
        <w:pStyle w:val="Heading1"/>
        <w:spacing w:line="360" w:lineRule="auto"/>
        <w:rPr>
          <w:rFonts w:ascii="Arial" w:hAnsi="Arial" w:cs="Arial"/>
          <w:sz w:val="22"/>
          <w:szCs w:val="22"/>
        </w:rPr>
      </w:pPr>
      <w:bookmarkStart w:id="2" w:name="_Toc130378143"/>
      <w:r w:rsidRPr="00935354">
        <w:rPr>
          <w:rFonts w:ascii="Arial" w:hAnsi="Arial" w:cs="Arial"/>
          <w:sz w:val="22"/>
          <w:szCs w:val="22"/>
        </w:rPr>
        <w:t>Description</w:t>
      </w:r>
      <w:r w:rsidR="00B50117">
        <w:rPr>
          <w:rFonts w:ascii="Arial" w:hAnsi="Arial" w:cs="Arial"/>
          <w:sz w:val="22"/>
          <w:szCs w:val="22"/>
        </w:rPr>
        <w:t xml:space="preserve"> Cycle</w:t>
      </w:r>
      <w:bookmarkEnd w:id="2"/>
    </w:p>
    <w:p w14:paraId="4A001084" w14:textId="77777777" w:rsidR="00935354" w:rsidRPr="00935354" w:rsidRDefault="00935354" w:rsidP="00935354"/>
    <w:p w14:paraId="2ECC010A" w14:textId="6FA8A111" w:rsidR="00A728A2" w:rsidRDefault="00350650" w:rsidP="00A728A2">
      <w:pPr>
        <w:spacing w:line="360" w:lineRule="auto"/>
        <w:ind w:firstLine="720"/>
        <w:rPr>
          <w:rFonts w:ascii="Arial" w:hAnsi="Arial" w:cs="Arial"/>
          <w:sz w:val="22"/>
          <w:szCs w:val="22"/>
        </w:rPr>
      </w:pPr>
      <w:r>
        <w:rPr>
          <w:rFonts w:ascii="Arial" w:hAnsi="Arial" w:cs="Arial"/>
          <w:sz w:val="22"/>
          <w:szCs w:val="22"/>
        </w:rPr>
        <w:t xml:space="preserve">              </w:t>
      </w:r>
      <w:r w:rsidR="00A728A2" w:rsidRPr="00A728A2">
        <w:rPr>
          <w:rFonts w:ascii="Arial" w:hAnsi="Arial" w:cs="Arial"/>
          <w:sz w:val="22"/>
          <w:szCs w:val="22"/>
        </w:rPr>
        <w:t xml:space="preserve">The New Community Centre Project (NCCP) is a social development effort that aims to provide a warm, welcoming space for the neighbourhood's people to meet for social gatherings, educational events, and recreational activities. The project results from the town's recognized need for a community centre to serve as a community hub. The proposed social and economic development project will entail the construction of a community centre in a poor region of Yorkshire. The community centre will provide several services and activities, such as after-school programs, social organisations, and health services. While it is understandable that I may not have a personal interest in community engagement, it is crucial to recognise its importance in social development projects like the NCCP. </w:t>
      </w:r>
    </w:p>
    <w:p w14:paraId="69C9F0FB" w14:textId="032EB809" w:rsidR="00935354" w:rsidRDefault="00935354" w:rsidP="00A728A2">
      <w:pPr>
        <w:spacing w:line="360" w:lineRule="auto"/>
        <w:ind w:firstLine="720"/>
        <w:rPr>
          <w:rFonts w:ascii="Arial" w:hAnsi="Arial" w:cs="Arial"/>
          <w:sz w:val="22"/>
          <w:szCs w:val="22"/>
        </w:rPr>
      </w:pPr>
    </w:p>
    <w:p w14:paraId="3256E57F" w14:textId="4AAF03C4" w:rsidR="00935354" w:rsidRDefault="00935354" w:rsidP="00A728A2">
      <w:pPr>
        <w:spacing w:line="360" w:lineRule="auto"/>
        <w:ind w:firstLine="720"/>
        <w:rPr>
          <w:rFonts w:ascii="Arial" w:hAnsi="Arial" w:cs="Arial"/>
          <w:sz w:val="22"/>
          <w:szCs w:val="22"/>
        </w:rPr>
      </w:pPr>
    </w:p>
    <w:p w14:paraId="373063C0" w14:textId="566F85A7" w:rsidR="00935354" w:rsidRDefault="00935354" w:rsidP="00A728A2">
      <w:pPr>
        <w:spacing w:line="360" w:lineRule="auto"/>
        <w:ind w:firstLine="720"/>
        <w:rPr>
          <w:rFonts w:ascii="Arial" w:hAnsi="Arial" w:cs="Arial"/>
          <w:sz w:val="22"/>
          <w:szCs w:val="22"/>
        </w:rPr>
      </w:pPr>
    </w:p>
    <w:p w14:paraId="0F674DC2" w14:textId="091EC925" w:rsidR="00935354" w:rsidRDefault="00935354" w:rsidP="00A728A2">
      <w:pPr>
        <w:spacing w:line="360" w:lineRule="auto"/>
        <w:ind w:firstLine="720"/>
        <w:rPr>
          <w:rFonts w:ascii="Arial" w:hAnsi="Arial" w:cs="Arial"/>
          <w:sz w:val="22"/>
          <w:szCs w:val="22"/>
        </w:rPr>
      </w:pPr>
    </w:p>
    <w:p w14:paraId="7D1756B9" w14:textId="0366DF96" w:rsidR="00935354" w:rsidRDefault="00935354" w:rsidP="00A728A2">
      <w:pPr>
        <w:spacing w:line="360" w:lineRule="auto"/>
        <w:ind w:firstLine="720"/>
        <w:rPr>
          <w:rFonts w:ascii="Arial" w:hAnsi="Arial" w:cs="Arial"/>
          <w:sz w:val="22"/>
          <w:szCs w:val="22"/>
        </w:rPr>
      </w:pPr>
    </w:p>
    <w:p w14:paraId="1C9C3205" w14:textId="2F37A9F5" w:rsidR="00935354" w:rsidRDefault="00935354" w:rsidP="00A728A2">
      <w:pPr>
        <w:spacing w:line="360" w:lineRule="auto"/>
        <w:ind w:firstLine="720"/>
        <w:rPr>
          <w:rFonts w:ascii="Arial" w:hAnsi="Arial" w:cs="Arial"/>
          <w:sz w:val="22"/>
          <w:szCs w:val="22"/>
        </w:rPr>
      </w:pPr>
    </w:p>
    <w:p w14:paraId="057FE211" w14:textId="16105349" w:rsidR="00935354" w:rsidRDefault="00935354" w:rsidP="00A728A2">
      <w:pPr>
        <w:spacing w:line="360" w:lineRule="auto"/>
        <w:ind w:firstLine="720"/>
        <w:rPr>
          <w:rFonts w:ascii="Arial" w:hAnsi="Arial" w:cs="Arial"/>
          <w:sz w:val="22"/>
          <w:szCs w:val="22"/>
        </w:rPr>
      </w:pPr>
    </w:p>
    <w:p w14:paraId="0B57D856" w14:textId="4413134A" w:rsidR="00935354" w:rsidRDefault="00935354" w:rsidP="00A728A2">
      <w:pPr>
        <w:spacing w:line="360" w:lineRule="auto"/>
        <w:ind w:firstLine="720"/>
        <w:rPr>
          <w:rFonts w:ascii="Arial" w:hAnsi="Arial" w:cs="Arial"/>
          <w:sz w:val="22"/>
          <w:szCs w:val="22"/>
        </w:rPr>
      </w:pPr>
    </w:p>
    <w:p w14:paraId="2AD7D2A1" w14:textId="34B82EAD" w:rsidR="00935354" w:rsidRDefault="00935354" w:rsidP="00A728A2">
      <w:pPr>
        <w:spacing w:line="360" w:lineRule="auto"/>
        <w:ind w:firstLine="720"/>
        <w:rPr>
          <w:rFonts w:ascii="Arial" w:hAnsi="Arial" w:cs="Arial"/>
          <w:sz w:val="22"/>
          <w:szCs w:val="22"/>
        </w:rPr>
      </w:pPr>
    </w:p>
    <w:p w14:paraId="18E36191" w14:textId="6622AC6C" w:rsidR="00935354" w:rsidRDefault="00935354" w:rsidP="00A728A2">
      <w:pPr>
        <w:spacing w:line="360" w:lineRule="auto"/>
        <w:ind w:firstLine="720"/>
        <w:rPr>
          <w:rFonts w:ascii="Arial" w:hAnsi="Arial" w:cs="Arial"/>
          <w:sz w:val="22"/>
          <w:szCs w:val="22"/>
        </w:rPr>
      </w:pPr>
    </w:p>
    <w:p w14:paraId="07D80C56" w14:textId="77777777" w:rsidR="00935354" w:rsidRDefault="00935354" w:rsidP="00A728A2">
      <w:pPr>
        <w:spacing w:line="360" w:lineRule="auto"/>
        <w:ind w:firstLine="720"/>
        <w:rPr>
          <w:rFonts w:ascii="Arial" w:hAnsi="Arial" w:cs="Arial"/>
          <w:sz w:val="22"/>
          <w:szCs w:val="22"/>
        </w:rPr>
      </w:pPr>
    </w:p>
    <w:p w14:paraId="364F09C7" w14:textId="28260BF8" w:rsidR="00935354" w:rsidRDefault="00935354" w:rsidP="00A728A2">
      <w:pPr>
        <w:spacing w:line="360" w:lineRule="auto"/>
        <w:ind w:firstLine="720"/>
        <w:rPr>
          <w:rFonts w:ascii="Arial" w:hAnsi="Arial" w:cs="Arial"/>
          <w:sz w:val="22"/>
          <w:szCs w:val="22"/>
        </w:rPr>
      </w:pPr>
      <w:r>
        <w:rPr>
          <w:rFonts w:ascii="Arial" w:hAnsi="Arial" w:cs="Arial"/>
          <w:sz w:val="22"/>
          <w:szCs w:val="22"/>
        </w:rPr>
        <w:lastRenderedPageBreak/>
        <w:t xml:space="preserve"> </w:t>
      </w:r>
    </w:p>
    <w:p w14:paraId="057ABB66" w14:textId="5FCB3D4C" w:rsidR="00935354" w:rsidRPr="00935354" w:rsidRDefault="00935354" w:rsidP="00935354">
      <w:pPr>
        <w:pStyle w:val="Heading1"/>
        <w:spacing w:line="360" w:lineRule="auto"/>
        <w:rPr>
          <w:rFonts w:ascii="Arial" w:hAnsi="Arial" w:cs="Arial"/>
          <w:sz w:val="22"/>
          <w:szCs w:val="22"/>
        </w:rPr>
      </w:pPr>
      <w:bookmarkStart w:id="3" w:name="_Toc130378144"/>
      <w:r w:rsidRPr="00935354">
        <w:rPr>
          <w:rFonts w:ascii="Arial" w:hAnsi="Arial" w:cs="Arial"/>
          <w:sz w:val="22"/>
          <w:szCs w:val="22"/>
        </w:rPr>
        <w:t>Feelings</w:t>
      </w:r>
      <w:r w:rsidR="00B50117">
        <w:rPr>
          <w:rFonts w:ascii="Arial" w:hAnsi="Arial" w:cs="Arial"/>
          <w:sz w:val="22"/>
          <w:szCs w:val="22"/>
        </w:rPr>
        <w:t xml:space="preserve"> Cycle</w:t>
      </w:r>
      <w:bookmarkEnd w:id="3"/>
    </w:p>
    <w:p w14:paraId="5C077C18" w14:textId="77777777" w:rsidR="00935354" w:rsidRDefault="00935354" w:rsidP="00935354">
      <w:pPr>
        <w:spacing w:line="360" w:lineRule="auto"/>
        <w:rPr>
          <w:rFonts w:ascii="Arial" w:hAnsi="Arial" w:cs="Arial"/>
          <w:sz w:val="22"/>
          <w:szCs w:val="22"/>
        </w:rPr>
      </w:pPr>
    </w:p>
    <w:p w14:paraId="6350980D" w14:textId="4C72F184" w:rsidR="00A728A2" w:rsidRPr="00A728A2" w:rsidRDefault="00935354" w:rsidP="00935354">
      <w:pPr>
        <w:spacing w:line="360" w:lineRule="auto"/>
        <w:rPr>
          <w:rFonts w:ascii="Arial" w:hAnsi="Arial" w:cs="Arial"/>
          <w:sz w:val="22"/>
          <w:szCs w:val="22"/>
        </w:rPr>
      </w:pPr>
      <w:r>
        <w:rPr>
          <w:rFonts w:ascii="Arial" w:hAnsi="Arial" w:cs="Arial"/>
          <w:sz w:val="22"/>
          <w:szCs w:val="22"/>
        </w:rPr>
        <w:t xml:space="preserve">            </w:t>
      </w:r>
      <w:r w:rsidR="00350650">
        <w:rPr>
          <w:rFonts w:ascii="Arial" w:hAnsi="Arial" w:cs="Arial"/>
          <w:sz w:val="22"/>
          <w:szCs w:val="22"/>
        </w:rPr>
        <w:t xml:space="preserve">        </w:t>
      </w:r>
      <w:r>
        <w:rPr>
          <w:rFonts w:ascii="Arial" w:hAnsi="Arial" w:cs="Arial"/>
          <w:sz w:val="22"/>
          <w:szCs w:val="22"/>
        </w:rPr>
        <w:t xml:space="preserve">  </w:t>
      </w:r>
      <w:r w:rsidR="00A728A2" w:rsidRPr="00A728A2">
        <w:rPr>
          <w:rFonts w:ascii="Arial" w:hAnsi="Arial" w:cs="Arial"/>
          <w:sz w:val="22"/>
          <w:szCs w:val="22"/>
        </w:rPr>
        <w:t xml:space="preserve">I </w:t>
      </w:r>
      <w:r w:rsidR="00350650">
        <w:rPr>
          <w:rFonts w:ascii="Arial" w:hAnsi="Arial" w:cs="Arial"/>
          <w:sz w:val="22"/>
          <w:szCs w:val="22"/>
        </w:rPr>
        <w:t xml:space="preserve">really </w:t>
      </w:r>
      <w:r w:rsidR="00A728A2" w:rsidRPr="00A728A2">
        <w:rPr>
          <w:rFonts w:ascii="Arial" w:hAnsi="Arial" w:cs="Arial"/>
          <w:sz w:val="22"/>
          <w:szCs w:val="22"/>
        </w:rPr>
        <w:t xml:space="preserve">do not see any purpose for community engagement in my </w:t>
      </w:r>
      <w:r w:rsidR="00F973F1" w:rsidRPr="00A728A2">
        <w:rPr>
          <w:rFonts w:ascii="Arial" w:hAnsi="Arial" w:cs="Arial"/>
          <w:sz w:val="22"/>
          <w:szCs w:val="22"/>
        </w:rPr>
        <w:t>life and</w:t>
      </w:r>
      <w:r w:rsidR="00A728A2" w:rsidRPr="00A728A2">
        <w:rPr>
          <w:rFonts w:ascii="Arial" w:hAnsi="Arial" w:cs="Arial"/>
          <w:sz w:val="22"/>
          <w:szCs w:val="22"/>
        </w:rPr>
        <w:t xml:space="preserve"> reflecting on it has only intensified my lack of interest. I can acknowledge that community engagement activities can be emotionally challenging for both the facilitators and participants. Furthermore, it is stressful to navigate the different opinions and perspectives of community members and ensure that their voices are heard. I also acknowledge that the programme may be useful, but it has no purpose in my life</w:t>
      </w:r>
      <w:r w:rsidR="00397605">
        <w:rPr>
          <w:rFonts w:ascii="Arial" w:hAnsi="Arial" w:cs="Arial"/>
          <w:sz w:val="22"/>
          <w:szCs w:val="22"/>
        </w:rPr>
        <w:t xml:space="preserve"> or in my future.</w:t>
      </w:r>
    </w:p>
    <w:p w14:paraId="25E60623" w14:textId="5F1BEDA5" w:rsidR="00A728A2" w:rsidRP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 xml:space="preserve">Even after the NCCP team came together and realised </w:t>
      </w:r>
      <w:r w:rsidR="00397605">
        <w:rPr>
          <w:rFonts w:ascii="Arial" w:hAnsi="Arial" w:cs="Arial"/>
          <w:sz w:val="22"/>
          <w:szCs w:val="22"/>
        </w:rPr>
        <w:t>they</w:t>
      </w:r>
      <w:r w:rsidRPr="00A728A2">
        <w:rPr>
          <w:rFonts w:ascii="Arial" w:hAnsi="Arial" w:cs="Arial"/>
          <w:sz w:val="22"/>
          <w:szCs w:val="22"/>
        </w:rPr>
        <w:t xml:space="preserve"> had a lot of work to do, I was quite demoralised and thought it had been smart</w:t>
      </w:r>
      <w:r w:rsidR="00397605">
        <w:rPr>
          <w:rFonts w:ascii="Arial" w:hAnsi="Arial" w:cs="Arial"/>
          <w:sz w:val="22"/>
          <w:szCs w:val="22"/>
        </w:rPr>
        <w:t>er</w:t>
      </w:r>
      <w:r w:rsidRPr="00A728A2">
        <w:rPr>
          <w:rFonts w:ascii="Arial" w:hAnsi="Arial" w:cs="Arial"/>
          <w:sz w:val="22"/>
          <w:szCs w:val="22"/>
        </w:rPr>
        <w:t xml:space="preserve"> if we </w:t>
      </w:r>
      <w:r w:rsidR="00397605">
        <w:rPr>
          <w:rFonts w:ascii="Arial" w:hAnsi="Arial" w:cs="Arial"/>
          <w:sz w:val="22"/>
          <w:szCs w:val="22"/>
        </w:rPr>
        <w:t xml:space="preserve">(classmates) </w:t>
      </w:r>
      <w:r w:rsidRPr="00A728A2">
        <w:rPr>
          <w:rFonts w:ascii="Arial" w:hAnsi="Arial" w:cs="Arial"/>
          <w:sz w:val="22"/>
          <w:szCs w:val="22"/>
        </w:rPr>
        <w:t xml:space="preserve">divided the work between us. When I realised that the assignment </w:t>
      </w:r>
      <w:r w:rsidR="00397605">
        <w:rPr>
          <w:rFonts w:ascii="Arial" w:hAnsi="Arial" w:cs="Arial"/>
          <w:sz w:val="22"/>
          <w:szCs w:val="22"/>
        </w:rPr>
        <w:t xml:space="preserve">was not a group project and </w:t>
      </w:r>
      <w:r w:rsidRPr="00A728A2">
        <w:rPr>
          <w:rFonts w:ascii="Arial" w:hAnsi="Arial" w:cs="Arial"/>
          <w:sz w:val="22"/>
          <w:szCs w:val="22"/>
        </w:rPr>
        <w:t>could not be submitted like it was, I got quite frustrated</w:t>
      </w:r>
      <w:r w:rsidR="00397605">
        <w:rPr>
          <w:rFonts w:ascii="Arial" w:hAnsi="Arial" w:cs="Arial"/>
          <w:sz w:val="22"/>
          <w:szCs w:val="22"/>
        </w:rPr>
        <w:t xml:space="preserve"> and even more negative about the topic</w:t>
      </w:r>
      <w:r w:rsidRPr="00A728A2">
        <w:rPr>
          <w:rFonts w:ascii="Arial" w:hAnsi="Arial" w:cs="Arial"/>
          <w:sz w:val="22"/>
          <w:szCs w:val="22"/>
        </w:rPr>
        <w:t xml:space="preserve">. I was certain it was </w:t>
      </w:r>
      <w:r w:rsidR="00397605">
        <w:rPr>
          <w:rFonts w:ascii="Arial" w:hAnsi="Arial" w:cs="Arial"/>
          <w:sz w:val="22"/>
          <w:szCs w:val="22"/>
        </w:rPr>
        <w:t xml:space="preserve">not </w:t>
      </w:r>
      <w:r w:rsidRPr="00A728A2">
        <w:rPr>
          <w:rFonts w:ascii="Arial" w:hAnsi="Arial" w:cs="Arial"/>
          <w:sz w:val="22"/>
          <w:szCs w:val="22"/>
        </w:rPr>
        <w:t xml:space="preserve">going to work, and therefore I had little motivation to actually do </w:t>
      </w:r>
      <w:r w:rsidR="00397605">
        <w:rPr>
          <w:rFonts w:ascii="Arial" w:hAnsi="Arial" w:cs="Arial"/>
          <w:sz w:val="22"/>
          <w:szCs w:val="22"/>
        </w:rPr>
        <w:t>the course</w:t>
      </w:r>
      <w:r w:rsidRPr="00A728A2">
        <w:rPr>
          <w:rFonts w:ascii="Arial" w:hAnsi="Arial" w:cs="Arial"/>
          <w:sz w:val="22"/>
          <w:szCs w:val="22"/>
        </w:rPr>
        <w:t>.</w:t>
      </w:r>
      <w:r w:rsidR="00397605">
        <w:rPr>
          <w:rFonts w:ascii="Arial" w:hAnsi="Arial" w:cs="Arial"/>
          <w:sz w:val="22"/>
          <w:szCs w:val="22"/>
        </w:rPr>
        <w:t xml:space="preserve"> But after asking a lot of question to understand the topic better. </w:t>
      </w:r>
      <w:r w:rsidRPr="00A728A2">
        <w:rPr>
          <w:rFonts w:ascii="Arial" w:hAnsi="Arial" w:cs="Arial"/>
          <w:sz w:val="22"/>
          <w:szCs w:val="22"/>
        </w:rPr>
        <w:t xml:space="preserve">I </w:t>
      </w:r>
      <w:r w:rsidR="00397605">
        <w:rPr>
          <w:rFonts w:ascii="Arial" w:hAnsi="Arial" w:cs="Arial"/>
          <w:sz w:val="22"/>
          <w:szCs w:val="22"/>
        </w:rPr>
        <w:t xml:space="preserve">decided </w:t>
      </w:r>
      <w:r w:rsidRPr="00A728A2">
        <w:rPr>
          <w:rFonts w:ascii="Arial" w:hAnsi="Arial" w:cs="Arial"/>
          <w:sz w:val="22"/>
          <w:szCs w:val="22"/>
        </w:rPr>
        <w:t>to cancel my plans</w:t>
      </w:r>
      <w:r w:rsidR="00397605">
        <w:rPr>
          <w:rFonts w:ascii="Arial" w:hAnsi="Arial" w:cs="Arial"/>
          <w:sz w:val="22"/>
          <w:szCs w:val="22"/>
        </w:rPr>
        <w:t xml:space="preserve">, make a better time management program, </w:t>
      </w:r>
      <w:r w:rsidRPr="00A728A2">
        <w:rPr>
          <w:rFonts w:ascii="Arial" w:hAnsi="Arial" w:cs="Arial"/>
          <w:sz w:val="22"/>
          <w:szCs w:val="22"/>
        </w:rPr>
        <w:t xml:space="preserve">to work harder in the evening </w:t>
      </w:r>
      <w:r w:rsidR="00397605">
        <w:rPr>
          <w:rFonts w:ascii="Arial" w:hAnsi="Arial" w:cs="Arial"/>
          <w:sz w:val="22"/>
          <w:szCs w:val="22"/>
        </w:rPr>
        <w:t xml:space="preserve">or at work </w:t>
      </w:r>
      <w:r w:rsidRPr="00A728A2">
        <w:rPr>
          <w:rFonts w:ascii="Arial" w:hAnsi="Arial" w:cs="Arial"/>
          <w:sz w:val="22"/>
          <w:szCs w:val="22"/>
        </w:rPr>
        <w:t xml:space="preserve">and get the </w:t>
      </w:r>
      <w:r w:rsidR="00397605">
        <w:rPr>
          <w:rFonts w:ascii="Arial" w:hAnsi="Arial" w:cs="Arial"/>
          <w:sz w:val="22"/>
          <w:szCs w:val="22"/>
        </w:rPr>
        <w:t>assignment’s</w:t>
      </w:r>
      <w:r w:rsidRPr="00A728A2">
        <w:rPr>
          <w:rFonts w:ascii="Arial" w:hAnsi="Arial" w:cs="Arial"/>
          <w:sz w:val="22"/>
          <w:szCs w:val="22"/>
        </w:rPr>
        <w:t xml:space="preserve"> done </w:t>
      </w:r>
      <w:r w:rsidR="00397605">
        <w:rPr>
          <w:rFonts w:ascii="Arial" w:hAnsi="Arial" w:cs="Arial"/>
          <w:sz w:val="22"/>
          <w:szCs w:val="22"/>
        </w:rPr>
        <w:t xml:space="preserve">as good and as </w:t>
      </w:r>
      <w:r w:rsidRPr="00A728A2">
        <w:rPr>
          <w:rFonts w:ascii="Arial" w:hAnsi="Arial" w:cs="Arial"/>
          <w:sz w:val="22"/>
          <w:szCs w:val="22"/>
        </w:rPr>
        <w:t>fast</w:t>
      </w:r>
      <w:r w:rsidR="00397605">
        <w:rPr>
          <w:rFonts w:ascii="Arial" w:hAnsi="Arial" w:cs="Arial"/>
          <w:sz w:val="22"/>
          <w:szCs w:val="22"/>
        </w:rPr>
        <w:t xml:space="preserve"> as I possibly can.</w:t>
      </w:r>
    </w:p>
    <w:p w14:paraId="767F5069" w14:textId="77777777" w:rsidR="00935354" w:rsidRDefault="00935354" w:rsidP="00A728A2">
      <w:pPr>
        <w:spacing w:line="360" w:lineRule="auto"/>
        <w:rPr>
          <w:rFonts w:ascii="Arial" w:hAnsi="Arial" w:cs="Arial"/>
          <w:b/>
          <w:sz w:val="22"/>
          <w:szCs w:val="22"/>
        </w:rPr>
      </w:pPr>
    </w:p>
    <w:p w14:paraId="2CC344B4" w14:textId="77777777" w:rsidR="007F0E53" w:rsidRDefault="007F0E53" w:rsidP="00935354">
      <w:pPr>
        <w:pStyle w:val="Heading1"/>
        <w:spacing w:line="360" w:lineRule="auto"/>
        <w:rPr>
          <w:rFonts w:ascii="Arial" w:hAnsi="Arial" w:cs="Arial"/>
          <w:sz w:val="22"/>
          <w:szCs w:val="22"/>
        </w:rPr>
      </w:pPr>
    </w:p>
    <w:p w14:paraId="6BC2BB58" w14:textId="77777777" w:rsidR="007F0E53" w:rsidRDefault="007F0E53" w:rsidP="00935354">
      <w:pPr>
        <w:pStyle w:val="Heading1"/>
        <w:spacing w:line="360" w:lineRule="auto"/>
        <w:rPr>
          <w:rFonts w:ascii="Arial" w:hAnsi="Arial" w:cs="Arial"/>
          <w:sz w:val="22"/>
          <w:szCs w:val="22"/>
        </w:rPr>
      </w:pPr>
    </w:p>
    <w:p w14:paraId="3BB06C79" w14:textId="77777777" w:rsidR="007F0E53" w:rsidRDefault="007F0E53" w:rsidP="00935354">
      <w:pPr>
        <w:pStyle w:val="Heading1"/>
        <w:spacing w:line="360" w:lineRule="auto"/>
        <w:rPr>
          <w:rFonts w:ascii="Arial" w:hAnsi="Arial" w:cs="Arial"/>
          <w:sz w:val="22"/>
          <w:szCs w:val="22"/>
        </w:rPr>
      </w:pPr>
    </w:p>
    <w:p w14:paraId="3FAD41C2" w14:textId="77777777" w:rsidR="007F0E53" w:rsidRDefault="007F0E53" w:rsidP="00935354">
      <w:pPr>
        <w:pStyle w:val="Heading1"/>
        <w:spacing w:line="360" w:lineRule="auto"/>
        <w:rPr>
          <w:rFonts w:ascii="Arial" w:hAnsi="Arial" w:cs="Arial"/>
          <w:sz w:val="22"/>
          <w:szCs w:val="22"/>
        </w:rPr>
      </w:pPr>
    </w:p>
    <w:p w14:paraId="16475DCB" w14:textId="77777777" w:rsidR="007F0E53" w:rsidRDefault="007F0E53" w:rsidP="00935354">
      <w:pPr>
        <w:pStyle w:val="Heading1"/>
        <w:spacing w:line="360" w:lineRule="auto"/>
        <w:rPr>
          <w:rFonts w:ascii="Arial" w:hAnsi="Arial" w:cs="Arial"/>
          <w:sz w:val="22"/>
          <w:szCs w:val="22"/>
        </w:rPr>
      </w:pPr>
    </w:p>
    <w:p w14:paraId="74B979F5" w14:textId="77777777" w:rsidR="007F0E53" w:rsidRDefault="007F0E53" w:rsidP="00935354">
      <w:pPr>
        <w:pStyle w:val="Heading1"/>
        <w:spacing w:line="360" w:lineRule="auto"/>
        <w:rPr>
          <w:rFonts w:ascii="Arial" w:hAnsi="Arial" w:cs="Arial"/>
          <w:sz w:val="22"/>
          <w:szCs w:val="22"/>
        </w:rPr>
      </w:pPr>
    </w:p>
    <w:p w14:paraId="36D90F4C" w14:textId="77777777" w:rsidR="007F0E53" w:rsidRDefault="007F0E53" w:rsidP="00935354">
      <w:pPr>
        <w:pStyle w:val="Heading1"/>
        <w:spacing w:line="360" w:lineRule="auto"/>
        <w:rPr>
          <w:rFonts w:ascii="Arial" w:hAnsi="Arial" w:cs="Arial"/>
          <w:sz w:val="22"/>
          <w:szCs w:val="22"/>
        </w:rPr>
      </w:pPr>
    </w:p>
    <w:p w14:paraId="0BC7F0FB" w14:textId="77777777" w:rsidR="007F0E53" w:rsidRDefault="007F0E53" w:rsidP="00935354">
      <w:pPr>
        <w:pStyle w:val="Heading1"/>
        <w:spacing w:line="360" w:lineRule="auto"/>
        <w:rPr>
          <w:rFonts w:ascii="Arial" w:hAnsi="Arial" w:cs="Arial"/>
          <w:sz w:val="22"/>
          <w:szCs w:val="22"/>
        </w:rPr>
      </w:pPr>
    </w:p>
    <w:p w14:paraId="6FD35469" w14:textId="77777777" w:rsidR="00350650" w:rsidRDefault="00350650" w:rsidP="007F0E53">
      <w:pPr>
        <w:pStyle w:val="Heading1"/>
        <w:spacing w:line="360" w:lineRule="auto"/>
        <w:rPr>
          <w:rFonts w:ascii="Arial" w:hAnsi="Arial" w:cs="Arial"/>
          <w:sz w:val="22"/>
          <w:szCs w:val="22"/>
        </w:rPr>
      </w:pPr>
    </w:p>
    <w:p w14:paraId="7B210785" w14:textId="54DA8DF0" w:rsidR="007F0E53" w:rsidRDefault="007F0E53" w:rsidP="00A728A2">
      <w:pPr>
        <w:spacing w:line="360" w:lineRule="auto"/>
        <w:rPr>
          <w:rFonts w:ascii="Arial" w:hAnsi="Arial" w:cs="Arial"/>
          <w:b/>
          <w:sz w:val="22"/>
          <w:szCs w:val="22"/>
        </w:rPr>
      </w:pPr>
    </w:p>
    <w:p w14:paraId="5F8411BE" w14:textId="68A992E4" w:rsidR="00350650" w:rsidRDefault="00350650" w:rsidP="00A728A2">
      <w:pPr>
        <w:spacing w:line="360" w:lineRule="auto"/>
        <w:rPr>
          <w:rFonts w:ascii="Arial" w:hAnsi="Arial" w:cs="Arial"/>
          <w:b/>
          <w:sz w:val="22"/>
          <w:szCs w:val="22"/>
        </w:rPr>
      </w:pPr>
    </w:p>
    <w:p w14:paraId="4C75321C" w14:textId="47102A9F" w:rsidR="00350650" w:rsidRDefault="00350650" w:rsidP="00A728A2">
      <w:pPr>
        <w:spacing w:line="360" w:lineRule="auto"/>
        <w:rPr>
          <w:rFonts w:ascii="Arial" w:hAnsi="Arial" w:cs="Arial"/>
          <w:b/>
          <w:sz w:val="22"/>
          <w:szCs w:val="22"/>
        </w:rPr>
      </w:pPr>
    </w:p>
    <w:p w14:paraId="7ADD4CD8" w14:textId="77777777" w:rsidR="00350650" w:rsidRPr="00935354" w:rsidRDefault="00350650" w:rsidP="00350650">
      <w:pPr>
        <w:pStyle w:val="Heading1"/>
        <w:spacing w:line="360" w:lineRule="auto"/>
        <w:rPr>
          <w:rFonts w:ascii="Arial" w:hAnsi="Arial" w:cs="Arial"/>
          <w:sz w:val="22"/>
          <w:szCs w:val="22"/>
        </w:rPr>
      </w:pPr>
      <w:bookmarkStart w:id="4" w:name="_Toc130378145"/>
      <w:r w:rsidRPr="00935354">
        <w:rPr>
          <w:rFonts w:ascii="Arial" w:hAnsi="Arial" w:cs="Arial"/>
          <w:sz w:val="22"/>
          <w:szCs w:val="22"/>
        </w:rPr>
        <w:lastRenderedPageBreak/>
        <w:t>Evaluation</w:t>
      </w:r>
      <w:r>
        <w:rPr>
          <w:rFonts w:ascii="Arial" w:hAnsi="Arial" w:cs="Arial"/>
          <w:sz w:val="22"/>
          <w:szCs w:val="22"/>
        </w:rPr>
        <w:t xml:space="preserve"> Cycle</w:t>
      </w:r>
      <w:bookmarkEnd w:id="4"/>
    </w:p>
    <w:p w14:paraId="523FF66B" w14:textId="77777777" w:rsidR="00350650" w:rsidRPr="00A728A2" w:rsidRDefault="00350650" w:rsidP="00A728A2">
      <w:pPr>
        <w:spacing w:line="360" w:lineRule="auto"/>
        <w:rPr>
          <w:rFonts w:ascii="Arial" w:hAnsi="Arial" w:cs="Arial"/>
          <w:b/>
          <w:sz w:val="22"/>
          <w:szCs w:val="22"/>
        </w:rPr>
      </w:pPr>
    </w:p>
    <w:p w14:paraId="2C0321A4" w14:textId="799B111D" w:rsidR="00A728A2" w:rsidRPr="00A728A2" w:rsidRDefault="00350650" w:rsidP="00A728A2">
      <w:pPr>
        <w:spacing w:line="360" w:lineRule="auto"/>
        <w:ind w:firstLine="720"/>
        <w:rPr>
          <w:rFonts w:ascii="Arial" w:hAnsi="Arial" w:cs="Arial"/>
          <w:sz w:val="22"/>
          <w:szCs w:val="22"/>
        </w:rPr>
      </w:pPr>
      <w:r>
        <w:rPr>
          <w:rFonts w:ascii="Arial" w:hAnsi="Arial" w:cs="Arial"/>
          <w:sz w:val="22"/>
          <w:szCs w:val="22"/>
        </w:rPr>
        <w:t xml:space="preserve">             </w:t>
      </w:r>
      <w:r w:rsidR="00A728A2" w:rsidRPr="00A728A2">
        <w:rPr>
          <w:rFonts w:ascii="Arial" w:hAnsi="Arial" w:cs="Arial"/>
          <w:sz w:val="22"/>
          <w:szCs w:val="22"/>
        </w:rPr>
        <w:t xml:space="preserve">The first step towards community engagement is identifying the community's concerns and aspirations by conducting a community needs assessment. The New Community Centre Project (NCCP) will be carried out in a manner that involves and empowers community members to share their thoughts, feelings, and ideas regarding the proposed community centre. NCCP will create several chances to find and communicate new knowledge using various modes of knowledge. According to Chilvers &amp; Kearnes (2019), accountability may improve community participation if everyone involved is prepared to take responsibility for the outcomes of their teamwork. Everyone can be held accountable for a portion of the work that must be done to reach a common objective. </w:t>
      </w:r>
    </w:p>
    <w:p w14:paraId="0F2E66AD" w14:textId="77777777" w:rsidR="00A728A2" w:rsidRP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 xml:space="preserve">According to research, monitoring and evaluation (M&amp;E) are critical to incorporating accountability and a learning process into development programs within and across communities and organisations. M&amp;E should be included in each phase of the community development process and in implementation planning as an actual M&amp;E plan developed by the community itself (Wallerstein et al., 2020). Funders and outside assessors prefer objective data to ensure that planned objectives are met, and resources are used efficiently. Evaluation of preparation and capacity for a community involvement process is crucial. For instance, NCCP will want to assess its internal systems, ways of operating, and culture before moving forward with community engagement. </w:t>
      </w:r>
    </w:p>
    <w:p w14:paraId="0225A303" w14:textId="77777777" w:rsidR="00A728A2" w:rsidRP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 xml:space="preserve">From my experience engaging with the project, I have learnt the importance of community engagement. Community engagement is a crucial step in social and economic development, as it allows for the voices of the community to be heard and for their needs to be addressed. I believe that it is important for people to be engaged with the development of their neighbourhood, as this can ensure that the project outcomes will be more beneficial for the community. The NCCP can then use this analysis to address or modify behaviours that can obstruct the development of the connections necessary for successful community involvement. </w:t>
      </w:r>
    </w:p>
    <w:p w14:paraId="78EB6B59" w14:textId="77777777" w:rsidR="00A728A2" w:rsidRP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Information on the determinants of health, for instance, should be provided in manners that are not unduly technical or laden with jargon before or after an assessment process. The NCCP and community stakeholders should provide opportunities for reciprocal learning so that data and information may be properly appreciated. The ability to devote resources to relationships and activities and a clear understanding of the nature and duration of the engagement are additional requirements for NCCP community participation (Green et al., 2021). It includes, but is not limited to, program activities, proper personnel, money, and information exchange.</w:t>
      </w:r>
    </w:p>
    <w:p w14:paraId="7A823D8D" w14:textId="2020451A" w:rsidR="00A728A2" w:rsidRDefault="00A728A2" w:rsidP="00A728A2">
      <w:pPr>
        <w:spacing w:line="360" w:lineRule="auto"/>
        <w:ind w:firstLine="720"/>
        <w:rPr>
          <w:rFonts w:ascii="Arial" w:hAnsi="Arial" w:cs="Arial"/>
          <w:sz w:val="22"/>
          <w:szCs w:val="22"/>
        </w:rPr>
      </w:pPr>
      <w:r w:rsidRPr="00A728A2">
        <w:rPr>
          <w:rFonts w:ascii="Arial" w:hAnsi="Arial" w:cs="Arial"/>
          <w:sz w:val="22"/>
          <w:szCs w:val="22"/>
        </w:rPr>
        <w:lastRenderedPageBreak/>
        <w:t xml:space="preserve">It is crucial to involve community members in the planning and decision-making processes. This means actively seeking input from stakeholders and involving them in developing the project plan (Green </w:t>
      </w:r>
      <w:r w:rsidRPr="00A728A2">
        <w:rPr>
          <w:rFonts w:ascii="Arial" w:hAnsi="Arial" w:cs="Arial"/>
          <w:i/>
          <w:sz w:val="22"/>
          <w:szCs w:val="22"/>
        </w:rPr>
        <w:t>et al.,</w:t>
      </w:r>
      <w:r w:rsidRPr="00A728A2">
        <w:rPr>
          <w:rFonts w:ascii="Arial" w:hAnsi="Arial" w:cs="Arial"/>
          <w:sz w:val="22"/>
          <w:szCs w:val="22"/>
        </w:rPr>
        <w:t xml:space="preserve"> 2021). Community members should be allowed to contribute their ideas and feedback throughout the project's lifecycle. Throughout the community engagement process, the community project will involve individuals and groups representative of the communities. A reasonable community involvement procedure is not developed without the participation of the community and other stakeholders. Thus, it is crucial to recognize, comprehend, and include individuals and groups managed by multicultural communities and constituents that serve these groups. The persons and organisations familiar with these communities and valued for their contributions must be identified as part of this process. </w:t>
      </w:r>
    </w:p>
    <w:p w14:paraId="1107BCBB" w14:textId="70E013F1" w:rsidR="007F0E53" w:rsidRDefault="007F0E53" w:rsidP="00A728A2">
      <w:pPr>
        <w:spacing w:line="360" w:lineRule="auto"/>
        <w:ind w:firstLine="720"/>
        <w:rPr>
          <w:rFonts w:ascii="Arial" w:hAnsi="Arial" w:cs="Arial"/>
          <w:sz w:val="22"/>
          <w:szCs w:val="22"/>
        </w:rPr>
      </w:pPr>
    </w:p>
    <w:p w14:paraId="5F6A05BA" w14:textId="016A901C" w:rsidR="007F0E53" w:rsidRDefault="007F0E53" w:rsidP="00A728A2">
      <w:pPr>
        <w:spacing w:line="360" w:lineRule="auto"/>
        <w:ind w:firstLine="720"/>
        <w:rPr>
          <w:rFonts w:ascii="Arial" w:hAnsi="Arial" w:cs="Arial"/>
          <w:sz w:val="22"/>
          <w:szCs w:val="22"/>
        </w:rPr>
      </w:pPr>
    </w:p>
    <w:p w14:paraId="702725FC" w14:textId="28E92E02" w:rsidR="007F0E53" w:rsidRDefault="007F0E53" w:rsidP="00A728A2">
      <w:pPr>
        <w:spacing w:line="360" w:lineRule="auto"/>
        <w:ind w:firstLine="720"/>
        <w:rPr>
          <w:rFonts w:ascii="Arial" w:hAnsi="Arial" w:cs="Arial"/>
          <w:sz w:val="22"/>
          <w:szCs w:val="22"/>
        </w:rPr>
      </w:pPr>
    </w:p>
    <w:p w14:paraId="1496D2AE" w14:textId="791D096A" w:rsidR="007F0E53" w:rsidRDefault="007F0E53" w:rsidP="00A728A2">
      <w:pPr>
        <w:spacing w:line="360" w:lineRule="auto"/>
        <w:ind w:firstLine="720"/>
        <w:rPr>
          <w:rFonts w:ascii="Arial" w:hAnsi="Arial" w:cs="Arial"/>
          <w:sz w:val="22"/>
          <w:szCs w:val="22"/>
        </w:rPr>
      </w:pPr>
    </w:p>
    <w:p w14:paraId="69FF2E27" w14:textId="7D9A77BD" w:rsidR="007F0E53" w:rsidRDefault="007F0E53" w:rsidP="00A728A2">
      <w:pPr>
        <w:spacing w:line="360" w:lineRule="auto"/>
        <w:ind w:firstLine="720"/>
        <w:rPr>
          <w:rFonts w:ascii="Arial" w:hAnsi="Arial" w:cs="Arial"/>
          <w:sz w:val="22"/>
          <w:szCs w:val="22"/>
        </w:rPr>
      </w:pPr>
    </w:p>
    <w:p w14:paraId="44ABBC0F" w14:textId="77777777" w:rsidR="00350650" w:rsidRDefault="00350650" w:rsidP="007F0E53">
      <w:pPr>
        <w:pStyle w:val="Heading1"/>
        <w:spacing w:line="360" w:lineRule="auto"/>
        <w:rPr>
          <w:rFonts w:ascii="Arial" w:hAnsi="Arial" w:cs="Arial"/>
          <w:sz w:val="22"/>
          <w:szCs w:val="22"/>
        </w:rPr>
      </w:pPr>
    </w:p>
    <w:p w14:paraId="2787A710" w14:textId="77777777" w:rsidR="00350650" w:rsidRDefault="00350650" w:rsidP="007F0E53">
      <w:pPr>
        <w:pStyle w:val="Heading1"/>
        <w:spacing w:line="360" w:lineRule="auto"/>
        <w:rPr>
          <w:rFonts w:ascii="Arial" w:hAnsi="Arial" w:cs="Arial"/>
          <w:sz w:val="22"/>
          <w:szCs w:val="22"/>
        </w:rPr>
      </w:pPr>
    </w:p>
    <w:p w14:paraId="79B1D30A" w14:textId="77777777" w:rsidR="00350650" w:rsidRDefault="00350650" w:rsidP="007F0E53">
      <w:pPr>
        <w:pStyle w:val="Heading1"/>
        <w:spacing w:line="360" w:lineRule="auto"/>
        <w:rPr>
          <w:rFonts w:ascii="Arial" w:hAnsi="Arial" w:cs="Arial"/>
          <w:sz w:val="22"/>
          <w:szCs w:val="22"/>
        </w:rPr>
      </w:pPr>
    </w:p>
    <w:p w14:paraId="55D97248" w14:textId="77777777" w:rsidR="00350650" w:rsidRDefault="00350650" w:rsidP="007F0E53">
      <w:pPr>
        <w:pStyle w:val="Heading1"/>
        <w:spacing w:line="360" w:lineRule="auto"/>
        <w:rPr>
          <w:rFonts w:ascii="Arial" w:hAnsi="Arial" w:cs="Arial"/>
          <w:sz w:val="22"/>
          <w:szCs w:val="22"/>
        </w:rPr>
      </w:pPr>
    </w:p>
    <w:p w14:paraId="76EABE42" w14:textId="77777777" w:rsidR="00350650" w:rsidRDefault="00350650" w:rsidP="007F0E53">
      <w:pPr>
        <w:pStyle w:val="Heading1"/>
        <w:spacing w:line="360" w:lineRule="auto"/>
        <w:rPr>
          <w:rFonts w:ascii="Arial" w:hAnsi="Arial" w:cs="Arial"/>
          <w:sz w:val="22"/>
          <w:szCs w:val="22"/>
        </w:rPr>
      </w:pPr>
    </w:p>
    <w:p w14:paraId="461CA088" w14:textId="77777777" w:rsidR="00350650" w:rsidRDefault="00350650" w:rsidP="007F0E53">
      <w:pPr>
        <w:pStyle w:val="Heading1"/>
        <w:spacing w:line="360" w:lineRule="auto"/>
        <w:rPr>
          <w:rFonts w:ascii="Arial" w:hAnsi="Arial" w:cs="Arial"/>
          <w:sz w:val="22"/>
          <w:szCs w:val="22"/>
        </w:rPr>
      </w:pPr>
    </w:p>
    <w:p w14:paraId="721D01B9" w14:textId="77777777" w:rsidR="00350650" w:rsidRDefault="00350650" w:rsidP="007F0E53">
      <w:pPr>
        <w:pStyle w:val="Heading1"/>
        <w:spacing w:line="360" w:lineRule="auto"/>
        <w:rPr>
          <w:rFonts w:ascii="Arial" w:hAnsi="Arial" w:cs="Arial"/>
          <w:sz w:val="22"/>
          <w:szCs w:val="22"/>
        </w:rPr>
      </w:pPr>
    </w:p>
    <w:p w14:paraId="4285127C" w14:textId="77777777" w:rsidR="00350650" w:rsidRDefault="00350650" w:rsidP="007F0E53">
      <w:pPr>
        <w:pStyle w:val="Heading1"/>
        <w:spacing w:line="360" w:lineRule="auto"/>
        <w:rPr>
          <w:rFonts w:ascii="Arial" w:hAnsi="Arial" w:cs="Arial"/>
          <w:sz w:val="22"/>
          <w:szCs w:val="22"/>
        </w:rPr>
      </w:pPr>
    </w:p>
    <w:p w14:paraId="07510707" w14:textId="77777777" w:rsidR="00350650" w:rsidRDefault="00350650" w:rsidP="007F0E53">
      <w:pPr>
        <w:pStyle w:val="Heading1"/>
        <w:spacing w:line="360" w:lineRule="auto"/>
        <w:rPr>
          <w:rFonts w:ascii="Arial" w:hAnsi="Arial" w:cs="Arial"/>
          <w:sz w:val="22"/>
          <w:szCs w:val="22"/>
        </w:rPr>
      </w:pPr>
    </w:p>
    <w:p w14:paraId="43CBAB30" w14:textId="77777777" w:rsidR="00350650" w:rsidRDefault="00350650" w:rsidP="007F0E53">
      <w:pPr>
        <w:pStyle w:val="Heading1"/>
        <w:spacing w:line="360" w:lineRule="auto"/>
        <w:rPr>
          <w:rFonts w:ascii="Arial" w:hAnsi="Arial" w:cs="Arial"/>
          <w:sz w:val="22"/>
          <w:szCs w:val="22"/>
        </w:rPr>
      </w:pPr>
    </w:p>
    <w:p w14:paraId="15C57304" w14:textId="77777777" w:rsidR="00350650" w:rsidRDefault="00350650" w:rsidP="007F0E53">
      <w:pPr>
        <w:pStyle w:val="Heading1"/>
        <w:spacing w:line="360" w:lineRule="auto"/>
        <w:rPr>
          <w:rFonts w:ascii="Arial" w:hAnsi="Arial" w:cs="Arial"/>
          <w:sz w:val="22"/>
          <w:szCs w:val="22"/>
        </w:rPr>
      </w:pPr>
    </w:p>
    <w:p w14:paraId="4D1CCFC5" w14:textId="0F7EE1DF" w:rsidR="007F0E53" w:rsidRDefault="007F0E53" w:rsidP="007F0E53"/>
    <w:p w14:paraId="11ABCFCD" w14:textId="77777777" w:rsidR="00350650" w:rsidRPr="007F0E53" w:rsidRDefault="00350650" w:rsidP="007F0E53"/>
    <w:p w14:paraId="1729A414" w14:textId="77777777" w:rsidR="00350650" w:rsidRDefault="00350650" w:rsidP="00A728A2">
      <w:pPr>
        <w:spacing w:line="360" w:lineRule="auto"/>
        <w:ind w:firstLine="720"/>
        <w:rPr>
          <w:rFonts w:ascii="Arial" w:hAnsi="Arial" w:cs="Arial"/>
          <w:sz w:val="22"/>
          <w:szCs w:val="22"/>
        </w:rPr>
      </w:pPr>
    </w:p>
    <w:p w14:paraId="3C4B2E53" w14:textId="77777777" w:rsidR="00350650" w:rsidRDefault="00350650" w:rsidP="00350650">
      <w:pPr>
        <w:pStyle w:val="Heading1"/>
        <w:spacing w:line="360" w:lineRule="auto"/>
        <w:rPr>
          <w:rFonts w:ascii="Arial" w:hAnsi="Arial" w:cs="Arial"/>
          <w:sz w:val="22"/>
          <w:szCs w:val="22"/>
        </w:rPr>
      </w:pPr>
      <w:bookmarkStart w:id="5" w:name="_Toc130378146"/>
      <w:r w:rsidRPr="007F0E53">
        <w:rPr>
          <w:rFonts w:ascii="Arial" w:hAnsi="Arial" w:cs="Arial"/>
          <w:sz w:val="22"/>
          <w:szCs w:val="22"/>
        </w:rPr>
        <w:lastRenderedPageBreak/>
        <w:t>Analysis</w:t>
      </w:r>
      <w:r>
        <w:rPr>
          <w:rFonts w:ascii="Arial" w:hAnsi="Arial" w:cs="Arial"/>
          <w:sz w:val="22"/>
          <w:szCs w:val="22"/>
        </w:rPr>
        <w:t xml:space="preserve"> Cycle</w:t>
      </w:r>
      <w:bookmarkEnd w:id="5"/>
    </w:p>
    <w:p w14:paraId="0F0E8D30" w14:textId="77777777" w:rsidR="00350650" w:rsidRDefault="00350650" w:rsidP="00A728A2">
      <w:pPr>
        <w:spacing w:line="360" w:lineRule="auto"/>
        <w:ind w:firstLine="720"/>
        <w:rPr>
          <w:rFonts w:ascii="Arial" w:hAnsi="Arial" w:cs="Arial"/>
          <w:sz w:val="22"/>
          <w:szCs w:val="22"/>
        </w:rPr>
      </w:pPr>
    </w:p>
    <w:p w14:paraId="60B154FB" w14:textId="54BC9319" w:rsidR="00A728A2" w:rsidRPr="00A728A2" w:rsidRDefault="00350650" w:rsidP="00A728A2">
      <w:pPr>
        <w:spacing w:line="360" w:lineRule="auto"/>
        <w:ind w:firstLine="720"/>
        <w:rPr>
          <w:rFonts w:ascii="Arial" w:hAnsi="Arial" w:cs="Arial"/>
          <w:sz w:val="22"/>
          <w:szCs w:val="22"/>
        </w:rPr>
      </w:pPr>
      <w:r>
        <w:rPr>
          <w:rFonts w:ascii="Arial" w:hAnsi="Arial" w:cs="Arial"/>
          <w:sz w:val="22"/>
          <w:szCs w:val="22"/>
        </w:rPr>
        <w:t xml:space="preserve">          </w:t>
      </w:r>
      <w:r w:rsidR="00A728A2" w:rsidRPr="00A728A2">
        <w:rPr>
          <w:rFonts w:ascii="Arial" w:hAnsi="Arial" w:cs="Arial"/>
          <w:sz w:val="22"/>
          <w:szCs w:val="22"/>
        </w:rPr>
        <w:t>Consequently, together with the NCCP team I will speak with local leaders to hear about problems and get to know other community members. By sharing pertinent information, community leaders may further the cause of communication. If a community involvement program is ongoing, spend more time in casual discussions and gathering areas than formal meetings and presentations (Nichols et al., 2020). Exemplary community engagement initiatives extend to other significant institutions that can cooperate for the community's sake, such as public health agencies.</w:t>
      </w:r>
    </w:p>
    <w:p w14:paraId="0E161B3F" w14:textId="77777777" w:rsidR="00A728A2" w:rsidRP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NCCP will explore engaging a community-based organisational partner to focus on and implement a community engagement process when it begins. This group might act as the process's hub in the neighbourhood. Such a partner can assist in planning and facilitating the community members' meaningful participation. Be prepared to mutually establish clear expectations for the roles and duties of this partner and the NCCP, establish continuous, socially acceptable information exchange on the partner's activities and desired results, and provide the financial resources this partner will need to collaborate with the hospital efficiently (Chilvers &amp; Kearnes, 2019). A partnership with a local administration may assist in guaranteeing that social inclusion is genuine and founded on mutual respect, learning, and responsibility when NCCP performs participatory activities as part of a community resources evaluation process. Get viewpoints and guidance from knowledgeable people who have the confidence of various groups in your community if an organisational partner is not readily accessible.</w:t>
      </w:r>
    </w:p>
    <w:p w14:paraId="011FEF3F" w14:textId="77777777" w:rsidR="00A728A2" w:rsidRP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 xml:space="preserve">It is crucial to consider developing community engagement activities to create a more formal partnership for action plans based on evaluating the requirements and resources for social work. For community benefit plans to comply with IRS standards, community participation is crucial for enhancing the authenticity and quality of the material. Assessments of community resources can expand the scope of community participation beyond advisory positions (Nichols et al., 2020). Along with other community stakeholders and individuals who took part in the community engagement evaluation phase, NCCP will set up a formal implementation partnership. </w:t>
      </w:r>
    </w:p>
    <w:p w14:paraId="4129EF92" w14:textId="77777777" w:rsidR="00A728A2" w:rsidRP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 xml:space="preserve">Consequently, if a local home base partner is already a part of this phase, NCCP can extend this collaborative partnership to other groups and community people. Creating a partnership to execute strategies to address health goals as an element of a community engagement process may be very beneficial. Assessments led by the community are one method to build authenticity and confidence in the community involvement process. Residents of the community and other stakeholders can contribute to determining and evaluating the scope and content of an evaluation of the needs and resources of the </w:t>
      </w:r>
      <w:r w:rsidRPr="00A728A2">
        <w:rPr>
          <w:rFonts w:ascii="Arial" w:hAnsi="Arial" w:cs="Arial"/>
          <w:sz w:val="22"/>
          <w:szCs w:val="22"/>
        </w:rPr>
        <w:lastRenderedPageBreak/>
        <w:t>community (Burdon et al., 2022). The community will understand that the situation requires immediate attention and will be more open to assistance.</w:t>
      </w:r>
    </w:p>
    <w:p w14:paraId="00D889EA" w14:textId="77777777" w:rsidR="00A728A2" w:rsidRP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 xml:space="preserve">The engagement programme will involve various methods to ensure a wide range of stakeholders is reached. This may include face-to-face meetings, focus groups, surveys, and online forums (Reed et al., 2017). Giving stakeholders in the community data supported by research on the most pressing problems affecting their neighbourhood is the quickest approach to winning their support. Utilise the statistics to make a case for why this issue must be addressed immediately at all critical community touchpoints, such as community meetings, school notice boards, and press releases. The NCCP team will poll people in the community to find out what they believe to be the main issue. Also, it is crucial to gather community stakeholders in smaller groups, if required, and ask them whether they concur with the analysis. Therefore, to ensure the neighbourhood is aware of the issue, the management team will inform the public via mass emails, text messages, and peer-to-peer text discussions. </w:t>
      </w:r>
    </w:p>
    <w:p w14:paraId="6BA86EB7" w14:textId="77777777" w:rsidR="00A67A17" w:rsidRDefault="00A728A2" w:rsidP="00A728A2">
      <w:pPr>
        <w:spacing w:line="360" w:lineRule="auto"/>
        <w:ind w:firstLine="720"/>
        <w:rPr>
          <w:rFonts w:ascii="Arial" w:hAnsi="Arial" w:cs="Arial"/>
          <w:sz w:val="22"/>
          <w:szCs w:val="22"/>
        </w:rPr>
      </w:pPr>
      <w:r w:rsidRPr="00A728A2">
        <w:rPr>
          <w:rFonts w:ascii="Arial" w:hAnsi="Arial" w:cs="Arial"/>
          <w:sz w:val="22"/>
          <w:szCs w:val="22"/>
        </w:rPr>
        <w:t xml:space="preserve">Communication materials should be written in clear English without complexity, be offered in accessible forms, and, where necessary, be supplied in an alternative language or language. Events where people may debate the concerns directly, are crucial given the solid oral tradition in many communities. Communication materials should offer specific examples or case studies of how the issue or proposed plan will likely affect various people and segments of society to maximise engagement levels. Publicise events using already-established community networks and channels of </w:t>
      </w:r>
      <w:r w:rsidR="00A67A17" w:rsidRPr="00A728A2">
        <w:rPr>
          <w:rFonts w:ascii="Arial" w:hAnsi="Arial" w:cs="Arial"/>
          <w:sz w:val="22"/>
          <w:szCs w:val="22"/>
        </w:rPr>
        <w:t>communication and</w:t>
      </w:r>
      <w:r w:rsidRPr="00A728A2">
        <w:rPr>
          <w:rFonts w:ascii="Arial" w:hAnsi="Arial" w:cs="Arial"/>
          <w:sz w:val="22"/>
          <w:szCs w:val="22"/>
        </w:rPr>
        <w:t xml:space="preserve"> look for chances to combine or align activities for maximum effect (Chilvers &amp; Kearnes, 2019). </w:t>
      </w:r>
    </w:p>
    <w:p w14:paraId="0E2F74BB" w14:textId="77777777" w:rsidR="00A728A2" w:rsidRDefault="00A728A2" w:rsidP="00A728A2">
      <w:pPr>
        <w:spacing w:line="360" w:lineRule="auto"/>
        <w:ind w:firstLine="720"/>
        <w:rPr>
          <w:rFonts w:ascii="Arial" w:hAnsi="Arial" w:cs="Arial"/>
          <w:sz w:val="22"/>
          <w:szCs w:val="22"/>
        </w:rPr>
      </w:pPr>
      <w:r w:rsidRPr="00A728A2">
        <w:rPr>
          <w:rFonts w:ascii="Arial" w:hAnsi="Arial" w:cs="Arial"/>
          <w:sz w:val="22"/>
          <w:szCs w:val="22"/>
        </w:rPr>
        <w:t>The use of social media and other digital platforms can also be an effective way to engage with the community and share information about the project. This will support active involvement and motivate stakeholders to stay involved as the engagement progresses. Expressing how stakeholder involvement affected, aided, or enhanced the overall engagement outcomes during feedback is crucial.</w:t>
      </w:r>
    </w:p>
    <w:p w14:paraId="69335DD6" w14:textId="72A3CDAE" w:rsidR="00A67A17" w:rsidRDefault="00A67A17" w:rsidP="00A728A2">
      <w:pPr>
        <w:spacing w:line="360" w:lineRule="auto"/>
        <w:ind w:firstLine="720"/>
        <w:rPr>
          <w:rFonts w:ascii="Arial" w:hAnsi="Arial" w:cs="Arial"/>
          <w:sz w:val="22"/>
          <w:szCs w:val="22"/>
        </w:rPr>
      </w:pPr>
    </w:p>
    <w:p w14:paraId="11167E7B" w14:textId="26FEE850" w:rsidR="00A67A17" w:rsidRDefault="00A67A17" w:rsidP="00A728A2">
      <w:pPr>
        <w:spacing w:line="360" w:lineRule="auto"/>
        <w:ind w:firstLine="720"/>
        <w:rPr>
          <w:rFonts w:ascii="Arial" w:hAnsi="Arial" w:cs="Arial"/>
          <w:sz w:val="22"/>
          <w:szCs w:val="22"/>
        </w:rPr>
      </w:pPr>
    </w:p>
    <w:p w14:paraId="1C22FE4F" w14:textId="0582EDDA" w:rsidR="00A67A17" w:rsidRDefault="00A67A17" w:rsidP="00A728A2">
      <w:pPr>
        <w:spacing w:line="360" w:lineRule="auto"/>
        <w:ind w:firstLine="720"/>
        <w:rPr>
          <w:rFonts w:ascii="Arial" w:hAnsi="Arial" w:cs="Arial"/>
          <w:sz w:val="22"/>
          <w:szCs w:val="22"/>
        </w:rPr>
      </w:pPr>
    </w:p>
    <w:p w14:paraId="0AEB6CCF" w14:textId="04BA05EA" w:rsidR="00A67A17" w:rsidRDefault="00A67A17" w:rsidP="00A728A2">
      <w:pPr>
        <w:spacing w:line="360" w:lineRule="auto"/>
        <w:ind w:firstLine="720"/>
        <w:rPr>
          <w:rFonts w:ascii="Arial" w:hAnsi="Arial" w:cs="Arial"/>
          <w:sz w:val="22"/>
          <w:szCs w:val="22"/>
        </w:rPr>
      </w:pPr>
    </w:p>
    <w:p w14:paraId="6F8184C6" w14:textId="655B84EB" w:rsidR="00A67A17" w:rsidRDefault="00A67A17" w:rsidP="00A728A2">
      <w:pPr>
        <w:spacing w:line="360" w:lineRule="auto"/>
        <w:ind w:firstLine="720"/>
        <w:rPr>
          <w:rFonts w:ascii="Arial" w:hAnsi="Arial" w:cs="Arial"/>
          <w:sz w:val="22"/>
          <w:szCs w:val="22"/>
        </w:rPr>
      </w:pPr>
    </w:p>
    <w:p w14:paraId="030708BC" w14:textId="3FE6D436" w:rsidR="007F0E53" w:rsidRDefault="007F0E53" w:rsidP="00A728A2">
      <w:pPr>
        <w:spacing w:line="360" w:lineRule="auto"/>
        <w:ind w:firstLine="720"/>
        <w:rPr>
          <w:rFonts w:ascii="Arial" w:hAnsi="Arial" w:cs="Arial"/>
          <w:sz w:val="22"/>
          <w:szCs w:val="22"/>
        </w:rPr>
      </w:pPr>
    </w:p>
    <w:p w14:paraId="1567F324" w14:textId="4FE75630" w:rsidR="007F0E53" w:rsidRDefault="007F0E53" w:rsidP="00A728A2">
      <w:pPr>
        <w:spacing w:line="360" w:lineRule="auto"/>
        <w:ind w:firstLine="720"/>
        <w:rPr>
          <w:rFonts w:ascii="Arial" w:hAnsi="Arial" w:cs="Arial"/>
          <w:sz w:val="22"/>
          <w:szCs w:val="22"/>
        </w:rPr>
      </w:pPr>
    </w:p>
    <w:p w14:paraId="78E24C6C" w14:textId="38CE69F8" w:rsidR="007F0E53" w:rsidRDefault="007F0E53" w:rsidP="00A728A2">
      <w:pPr>
        <w:spacing w:line="360" w:lineRule="auto"/>
        <w:ind w:firstLine="720"/>
        <w:rPr>
          <w:rFonts w:ascii="Arial" w:hAnsi="Arial" w:cs="Arial"/>
          <w:sz w:val="22"/>
          <w:szCs w:val="22"/>
        </w:rPr>
      </w:pPr>
    </w:p>
    <w:p w14:paraId="61C42602" w14:textId="6F59885C" w:rsidR="00B50117" w:rsidRDefault="00B50117" w:rsidP="00A728A2">
      <w:pPr>
        <w:spacing w:line="360" w:lineRule="auto"/>
        <w:ind w:firstLine="720"/>
        <w:rPr>
          <w:rFonts w:ascii="Arial" w:hAnsi="Arial" w:cs="Arial"/>
          <w:sz w:val="22"/>
          <w:szCs w:val="22"/>
        </w:rPr>
      </w:pPr>
    </w:p>
    <w:p w14:paraId="58D1136D" w14:textId="36C5F203" w:rsidR="00B50117" w:rsidRDefault="00B50117" w:rsidP="00A728A2">
      <w:pPr>
        <w:spacing w:line="360" w:lineRule="auto"/>
        <w:ind w:firstLine="720"/>
        <w:rPr>
          <w:rFonts w:ascii="Arial" w:hAnsi="Arial" w:cs="Arial"/>
          <w:sz w:val="22"/>
          <w:szCs w:val="22"/>
        </w:rPr>
      </w:pPr>
    </w:p>
    <w:p w14:paraId="62E2289E" w14:textId="77BC6784" w:rsidR="00B50117" w:rsidRDefault="00B50117" w:rsidP="00A728A2">
      <w:pPr>
        <w:spacing w:line="360" w:lineRule="auto"/>
        <w:ind w:firstLine="720"/>
        <w:rPr>
          <w:rFonts w:ascii="Arial" w:hAnsi="Arial" w:cs="Arial"/>
          <w:sz w:val="22"/>
          <w:szCs w:val="22"/>
        </w:rPr>
      </w:pPr>
    </w:p>
    <w:p w14:paraId="11DC3987" w14:textId="59C01C9E" w:rsidR="00B50117" w:rsidRDefault="00B50117" w:rsidP="00A728A2">
      <w:pPr>
        <w:spacing w:line="360" w:lineRule="auto"/>
        <w:ind w:firstLine="720"/>
        <w:rPr>
          <w:rFonts w:ascii="Arial" w:hAnsi="Arial" w:cs="Arial"/>
          <w:sz w:val="22"/>
          <w:szCs w:val="22"/>
        </w:rPr>
      </w:pPr>
    </w:p>
    <w:p w14:paraId="6888A2D9" w14:textId="77777777" w:rsidR="00350650" w:rsidRPr="00A67A17" w:rsidRDefault="00350650" w:rsidP="00350650">
      <w:pPr>
        <w:pStyle w:val="Heading1"/>
        <w:spacing w:line="360" w:lineRule="auto"/>
        <w:rPr>
          <w:rFonts w:ascii="Arial" w:hAnsi="Arial" w:cs="Arial"/>
          <w:sz w:val="22"/>
          <w:szCs w:val="22"/>
        </w:rPr>
      </w:pPr>
      <w:bookmarkStart w:id="6" w:name="_Toc130378147"/>
      <w:r w:rsidRPr="00A67A17">
        <w:rPr>
          <w:rFonts w:ascii="Arial" w:hAnsi="Arial" w:cs="Arial"/>
          <w:sz w:val="22"/>
          <w:szCs w:val="22"/>
        </w:rPr>
        <w:t>Action Plan</w:t>
      </w:r>
      <w:r>
        <w:rPr>
          <w:rFonts w:ascii="Arial" w:hAnsi="Arial" w:cs="Arial"/>
          <w:sz w:val="22"/>
          <w:szCs w:val="22"/>
        </w:rPr>
        <w:t xml:space="preserve"> Cycle</w:t>
      </w:r>
      <w:bookmarkEnd w:id="6"/>
    </w:p>
    <w:p w14:paraId="5CDC5CA3" w14:textId="77777777" w:rsidR="00350650" w:rsidRPr="00A728A2" w:rsidRDefault="00350650" w:rsidP="00350650">
      <w:pPr>
        <w:spacing w:line="360" w:lineRule="auto"/>
        <w:rPr>
          <w:rFonts w:ascii="Arial" w:hAnsi="Arial" w:cs="Arial"/>
          <w:b/>
          <w:sz w:val="22"/>
          <w:szCs w:val="22"/>
        </w:rPr>
      </w:pPr>
    </w:p>
    <w:p w14:paraId="0CDAB215" w14:textId="0570BE9C" w:rsidR="00350650" w:rsidRPr="00A728A2" w:rsidRDefault="00350650" w:rsidP="00350650">
      <w:pPr>
        <w:spacing w:line="360" w:lineRule="auto"/>
        <w:ind w:firstLine="720"/>
        <w:rPr>
          <w:rFonts w:ascii="Arial" w:hAnsi="Arial" w:cs="Arial"/>
          <w:sz w:val="22"/>
          <w:szCs w:val="22"/>
        </w:rPr>
      </w:pPr>
      <w:r>
        <w:rPr>
          <w:rFonts w:ascii="Arial" w:hAnsi="Arial" w:cs="Arial"/>
          <w:sz w:val="22"/>
          <w:szCs w:val="22"/>
        </w:rPr>
        <w:t xml:space="preserve">               </w:t>
      </w:r>
      <w:r w:rsidRPr="00A728A2">
        <w:rPr>
          <w:rFonts w:ascii="Arial" w:hAnsi="Arial" w:cs="Arial"/>
          <w:sz w:val="22"/>
          <w:szCs w:val="22"/>
        </w:rPr>
        <w:t>Since I have no emotions towards it</w:t>
      </w:r>
      <w:r>
        <w:rPr>
          <w:rFonts w:ascii="Arial" w:hAnsi="Arial" w:cs="Arial"/>
          <w:sz w:val="22"/>
          <w:szCs w:val="22"/>
        </w:rPr>
        <w:t xml:space="preserve"> or any drive to it in the future,</w:t>
      </w:r>
      <w:r w:rsidRPr="00A728A2">
        <w:rPr>
          <w:rFonts w:ascii="Arial" w:hAnsi="Arial" w:cs="Arial"/>
          <w:sz w:val="22"/>
          <w:szCs w:val="22"/>
        </w:rPr>
        <w:t xml:space="preserve"> there may not be any specific action plan</w:t>
      </w:r>
      <w:r>
        <w:rPr>
          <w:rFonts w:ascii="Arial" w:hAnsi="Arial" w:cs="Arial"/>
          <w:sz w:val="22"/>
          <w:szCs w:val="22"/>
        </w:rPr>
        <w:t xml:space="preserve"> right now</w:t>
      </w:r>
      <w:r w:rsidRPr="00A728A2">
        <w:rPr>
          <w:rFonts w:ascii="Arial" w:hAnsi="Arial" w:cs="Arial"/>
          <w:sz w:val="22"/>
          <w:szCs w:val="22"/>
        </w:rPr>
        <w:t xml:space="preserve">. </w:t>
      </w:r>
      <w:r>
        <w:rPr>
          <w:rFonts w:ascii="Arial" w:hAnsi="Arial" w:cs="Arial"/>
          <w:sz w:val="22"/>
          <w:szCs w:val="22"/>
        </w:rPr>
        <w:t>But h</w:t>
      </w:r>
      <w:r w:rsidRPr="00A728A2">
        <w:rPr>
          <w:rFonts w:ascii="Arial" w:hAnsi="Arial" w:cs="Arial"/>
          <w:sz w:val="22"/>
          <w:szCs w:val="22"/>
        </w:rPr>
        <w:t>owever, it is important to recognise that community engagement is essential in any social development effort and ensuring that community members' opinions and perspectives are heard can make a significant difference in the project's success. Therefore, the NCCP project team should continue to engage with community members and seek their feedback throughout the project's development and implementation.</w:t>
      </w:r>
    </w:p>
    <w:p w14:paraId="3A16ACCB" w14:textId="304A725B" w:rsidR="00B50117" w:rsidRDefault="00B50117" w:rsidP="00A728A2">
      <w:pPr>
        <w:spacing w:line="360" w:lineRule="auto"/>
        <w:ind w:firstLine="720"/>
        <w:rPr>
          <w:rFonts w:ascii="Arial" w:hAnsi="Arial" w:cs="Arial"/>
          <w:sz w:val="22"/>
          <w:szCs w:val="22"/>
        </w:rPr>
      </w:pPr>
    </w:p>
    <w:p w14:paraId="3311D4C4" w14:textId="4B589D06" w:rsidR="00B50117" w:rsidRDefault="00B50117" w:rsidP="00A728A2">
      <w:pPr>
        <w:spacing w:line="360" w:lineRule="auto"/>
        <w:ind w:firstLine="720"/>
        <w:rPr>
          <w:rFonts w:ascii="Arial" w:hAnsi="Arial" w:cs="Arial"/>
          <w:sz w:val="22"/>
          <w:szCs w:val="22"/>
        </w:rPr>
      </w:pPr>
    </w:p>
    <w:p w14:paraId="218CC32D" w14:textId="64D7A0E1" w:rsidR="00B50117" w:rsidRDefault="00B50117" w:rsidP="00A728A2">
      <w:pPr>
        <w:spacing w:line="360" w:lineRule="auto"/>
        <w:ind w:firstLine="720"/>
        <w:rPr>
          <w:rFonts w:ascii="Arial" w:hAnsi="Arial" w:cs="Arial"/>
          <w:sz w:val="22"/>
          <w:szCs w:val="22"/>
        </w:rPr>
      </w:pPr>
    </w:p>
    <w:p w14:paraId="3F43D000" w14:textId="7D3E85CF" w:rsidR="00B50117" w:rsidRDefault="00B50117" w:rsidP="00A728A2">
      <w:pPr>
        <w:spacing w:line="360" w:lineRule="auto"/>
        <w:ind w:firstLine="720"/>
        <w:rPr>
          <w:rFonts w:ascii="Arial" w:hAnsi="Arial" w:cs="Arial"/>
          <w:sz w:val="22"/>
          <w:szCs w:val="22"/>
        </w:rPr>
      </w:pPr>
    </w:p>
    <w:p w14:paraId="62A06456" w14:textId="656D1337" w:rsidR="00B50117" w:rsidRDefault="00B50117" w:rsidP="00A728A2">
      <w:pPr>
        <w:spacing w:line="360" w:lineRule="auto"/>
        <w:ind w:firstLine="720"/>
        <w:rPr>
          <w:rFonts w:ascii="Arial" w:hAnsi="Arial" w:cs="Arial"/>
          <w:sz w:val="22"/>
          <w:szCs w:val="22"/>
        </w:rPr>
      </w:pPr>
    </w:p>
    <w:p w14:paraId="248714A0" w14:textId="22B970B5" w:rsidR="00B50117" w:rsidRDefault="00B50117" w:rsidP="00A728A2">
      <w:pPr>
        <w:spacing w:line="360" w:lineRule="auto"/>
        <w:ind w:firstLine="720"/>
        <w:rPr>
          <w:rFonts w:ascii="Arial" w:hAnsi="Arial" w:cs="Arial"/>
          <w:sz w:val="22"/>
          <w:szCs w:val="22"/>
        </w:rPr>
      </w:pPr>
    </w:p>
    <w:p w14:paraId="3F25A685" w14:textId="5F777341" w:rsidR="00B50117" w:rsidRDefault="00B50117" w:rsidP="00A728A2">
      <w:pPr>
        <w:spacing w:line="360" w:lineRule="auto"/>
        <w:ind w:firstLine="720"/>
        <w:rPr>
          <w:rFonts w:ascii="Arial" w:hAnsi="Arial" w:cs="Arial"/>
          <w:sz w:val="22"/>
          <w:szCs w:val="22"/>
        </w:rPr>
      </w:pPr>
    </w:p>
    <w:p w14:paraId="048D6DAB" w14:textId="45DA4D07" w:rsidR="00B50117" w:rsidRDefault="00B50117" w:rsidP="00A728A2">
      <w:pPr>
        <w:spacing w:line="360" w:lineRule="auto"/>
        <w:ind w:firstLine="720"/>
        <w:rPr>
          <w:rFonts w:ascii="Arial" w:hAnsi="Arial" w:cs="Arial"/>
          <w:sz w:val="22"/>
          <w:szCs w:val="22"/>
        </w:rPr>
      </w:pPr>
    </w:p>
    <w:p w14:paraId="62C9DF61" w14:textId="30692897" w:rsidR="00B50117" w:rsidRDefault="00B50117" w:rsidP="00A728A2">
      <w:pPr>
        <w:spacing w:line="360" w:lineRule="auto"/>
        <w:ind w:firstLine="720"/>
        <w:rPr>
          <w:rFonts w:ascii="Arial" w:hAnsi="Arial" w:cs="Arial"/>
          <w:sz w:val="22"/>
          <w:szCs w:val="22"/>
        </w:rPr>
      </w:pPr>
    </w:p>
    <w:p w14:paraId="4D46FB93" w14:textId="77777777" w:rsidR="00B50117" w:rsidRPr="00A728A2" w:rsidRDefault="00B50117" w:rsidP="00A728A2">
      <w:pPr>
        <w:spacing w:line="360" w:lineRule="auto"/>
        <w:ind w:firstLine="720"/>
        <w:rPr>
          <w:rFonts w:ascii="Arial" w:hAnsi="Arial" w:cs="Arial"/>
          <w:sz w:val="22"/>
          <w:szCs w:val="22"/>
        </w:rPr>
      </w:pPr>
    </w:p>
    <w:p w14:paraId="071A86D8" w14:textId="77777777" w:rsidR="00204417" w:rsidRDefault="00204417" w:rsidP="00A728A2">
      <w:pPr>
        <w:spacing w:line="360" w:lineRule="auto"/>
        <w:ind w:firstLine="720"/>
        <w:rPr>
          <w:rFonts w:ascii="Arial" w:hAnsi="Arial" w:cs="Arial"/>
          <w:sz w:val="22"/>
          <w:szCs w:val="22"/>
        </w:rPr>
      </w:pPr>
    </w:p>
    <w:p w14:paraId="4DD77896" w14:textId="77777777" w:rsidR="00204417" w:rsidRDefault="00204417" w:rsidP="00A728A2">
      <w:pPr>
        <w:spacing w:line="360" w:lineRule="auto"/>
        <w:ind w:firstLine="720"/>
        <w:rPr>
          <w:rFonts w:ascii="Arial" w:hAnsi="Arial" w:cs="Arial"/>
          <w:sz w:val="22"/>
          <w:szCs w:val="22"/>
        </w:rPr>
      </w:pPr>
    </w:p>
    <w:p w14:paraId="6F1B0B53" w14:textId="77777777" w:rsidR="00204417" w:rsidRDefault="00204417" w:rsidP="00A728A2">
      <w:pPr>
        <w:spacing w:line="360" w:lineRule="auto"/>
        <w:ind w:firstLine="720"/>
        <w:rPr>
          <w:rFonts w:ascii="Arial" w:hAnsi="Arial" w:cs="Arial"/>
          <w:sz w:val="22"/>
          <w:szCs w:val="22"/>
        </w:rPr>
      </w:pPr>
    </w:p>
    <w:p w14:paraId="2036601F" w14:textId="77777777" w:rsidR="00204417" w:rsidRDefault="00204417" w:rsidP="00A728A2">
      <w:pPr>
        <w:spacing w:line="360" w:lineRule="auto"/>
        <w:ind w:firstLine="720"/>
        <w:rPr>
          <w:rFonts w:ascii="Arial" w:hAnsi="Arial" w:cs="Arial"/>
          <w:sz w:val="22"/>
          <w:szCs w:val="22"/>
        </w:rPr>
      </w:pPr>
    </w:p>
    <w:p w14:paraId="1533E406" w14:textId="77777777" w:rsidR="00204417" w:rsidRDefault="00204417" w:rsidP="00A728A2">
      <w:pPr>
        <w:spacing w:line="360" w:lineRule="auto"/>
        <w:ind w:firstLine="720"/>
        <w:rPr>
          <w:rFonts w:ascii="Arial" w:hAnsi="Arial" w:cs="Arial"/>
          <w:sz w:val="22"/>
          <w:szCs w:val="22"/>
        </w:rPr>
      </w:pPr>
    </w:p>
    <w:p w14:paraId="32F333F7" w14:textId="77777777" w:rsidR="00B50117" w:rsidRDefault="00B50117" w:rsidP="00204417">
      <w:pPr>
        <w:pStyle w:val="Heading1"/>
        <w:spacing w:line="360" w:lineRule="auto"/>
        <w:rPr>
          <w:rFonts w:ascii="Arial" w:hAnsi="Arial" w:cs="Arial"/>
          <w:sz w:val="22"/>
          <w:szCs w:val="22"/>
        </w:rPr>
      </w:pPr>
    </w:p>
    <w:p w14:paraId="7DE1841F" w14:textId="77777777" w:rsidR="00B50117" w:rsidRDefault="00B50117" w:rsidP="00204417">
      <w:pPr>
        <w:pStyle w:val="Heading1"/>
        <w:spacing w:line="360" w:lineRule="auto"/>
        <w:rPr>
          <w:rFonts w:ascii="Arial" w:hAnsi="Arial" w:cs="Arial"/>
          <w:sz w:val="22"/>
          <w:szCs w:val="22"/>
        </w:rPr>
      </w:pPr>
    </w:p>
    <w:p w14:paraId="5E9E8695" w14:textId="77777777" w:rsidR="00B50117" w:rsidRDefault="00B50117" w:rsidP="00204417">
      <w:pPr>
        <w:pStyle w:val="Heading1"/>
        <w:spacing w:line="360" w:lineRule="auto"/>
        <w:rPr>
          <w:rFonts w:ascii="Arial" w:hAnsi="Arial" w:cs="Arial"/>
          <w:sz w:val="22"/>
          <w:szCs w:val="22"/>
        </w:rPr>
      </w:pPr>
    </w:p>
    <w:p w14:paraId="7CECEC2F" w14:textId="77777777" w:rsidR="00B50117" w:rsidRDefault="00B50117" w:rsidP="00204417">
      <w:pPr>
        <w:pStyle w:val="Heading1"/>
        <w:spacing w:line="360" w:lineRule="auto"/>
        <w:rPr>
          <w:rFonts w:ascii="Arial" w:hAnsi="Arial" w:cs="Arial"/>
          <w:sz w:val="22"/>
          <w:szCs w:val="22"/>
        </w:rPr>
      </w:pPr>
    </w:p>
    <w:p w14:paraId="3582A0F0" w14:textId="77777777" w:rsidR="00350650" w:rsidRDefault="00350650" w:rsidP="00350650">
      <w:pPr>
        <w:spacing w:line="360" w:lineRule="auto"/>
        <w:rPr>
          <w:rFonts w:ascii="Arial" w:hAnsi="Arial" w:cs="Arial"/>
          <w:sz w:val="22"/>
          <w:szCs w:val="22"/>
        </w:rPr>
      </w:pPr>
    </w:p>
    <w:p w14:paraId="0DBED3E2" w14:textId="77777777" w:rsidR="00350650" w:rsidRDefault="00350650" w:rsidP="00350650">
      <w:pPr>
        <w:spacing w:line="360" w:lineRule="auto"/>
        <w:rPr>
          <w:rFonts w:ascii="Arial" w:hAnsi="Arial" w:cs="Arial"/>
          <w:sz w:val="22"/>
          <w:szCs w:val="22"/>
        </w:rPr>
      </w:pPr>
    </w:p>
    <w:p w14:paraId="7F424B05" w14:textId="77777777" w:rsidR="00350650" w:rsidRDefault="00350650" w:rsidP="00350650">
      <w:pPr>
        <w:spacing w:line="360" w:lineRule="auto"/>
        <w:rPr>
          <w:rFonts w:ascii="Arial" w:hAnsi="Arial" w:cs="Arial"/>
          <w:sz w:val="22"/>
          <w:szCs w:val="22"/>
        </w:rPr>
      </w:pPr>
    </w:p>
    <w:p w14:paraId="5E442755" w14:textId="77777777" w:rsidR="00350650" w:rsidRPr="00204417" w:rsidRDefault="00350650" w:rsidP="00350650">
      <w:pPr>
        <w:pStyle w:val="Heading1"/>
        <w:spacing w:line="360" w:lineRule="auto"/>
        <w:rPr>
          <w:rFonts w:ascii="Arial" w:hAnsi="Arial" w:cs="Arial"/>
          <w:sz w:val="22"/>
          <w:szCs w:val="22"/>
        </w:rPr>
      </w:pPr>
      <w:bookmarkStart w:id="7" w:name="_Toc130378148"/>
      <w:r w:rsidRPr="00204417">
        <w:rPr>
          <w:rFonts w:ascii="Arial" w:hAnsi="Arial" w:cs="Arial"/>
          <w:sz w:val="22"/>
          <w:szCs w:val="22"/>
        </w:rPr>
        <w:lastRenderedPageBreak/>
        <w:t xml:space="preserve">Conclusion </w:t>
      </w:r>
      <w:r>
        <w:rPr>
          <w:rFonts w:ascii="Arial" w:hAnsi="Arial" w:cs="Arial"/>
          <w:sz w:val="22"/>
          <w:szCs w:val="22"/>
        </w:rPr>
        <w:t>Cycle</w:t>
      </w:r>
      <w:bookmarkEnd w:id="7"/>
    </w:p>
    <w:p w14:paraId="4920C9C6" w14:textId="77777777" w:rsidR="00350650" w:rsidRDefault="00350650" w:rsidP="00350650">
      <w:pPr>
        <w:spacing w:line="360" w:lineRule="auto"/>
        <w:rPr>
          <w:rFonts w:ascii="Arial" w:hAnsi="Arial" w:cs="Arial"/>
          <w:sz w:val="22"/>
          <w:szCs w:val="22"/>
        </w:rPr>
      </w:pPr>
    </w:p>
    <w:p w14:paraId="51DE3EF7" w14:textId="0EFAAC00" w:rsidR="00A728A2" w:rsidRPr="00A728A2" w:rsidRDefault="00350650" w:rsidP="00350650">
      <w:pPr>
        <w:spacing w:line="360" w:lineRule="auto"/>
        <w:rPr>
          <w:rFonts w:ascii="Arial" w:hAnsi="Arial" w:cs="Arial"/>
          <w:sz w:val="22"/>
          <w:szCs w:val="22"/>
        </w:rPr>
      </w:pPr>
      <w:r>
        <w:rPr>
          <w:rFonts w:ascii="Arial" w:hAnsi="Arial" w:cs="Arial"/>
          <w:sz w:val="22"/>
          <w:szCs w:val="22"/>
        </w:rPr>
        <w:t xml:space="preserve">                           </w:t>
      </w:r>
      <w:r w:rsidR="00A728A2" w:rsidRPr="00A728A2">
        <w:rPr>
          <w:rFonts w:ascii="Arial" w:hAnsi="Arial" w:cs="Arial"/>
          <w:sz w:val="22"/>
          <w:szCs w:val="22"/>
        </w:rPr>
        <w:t xml:space="preserve">In conclusion, to effectively coordinate a community engagement programme for a project like the New Community Centre Project, it is vital to have a comprehensive understanding of the community's needs and expectations. Engaging community members through various methods, involving them in the planning and decision-making processes, and maintaining open and transparent communication are all essential elements of a thriving community engagement programme. Engagement with the community functions best when it is a continuous process that allows for developing and strengthening ties through time. Community </w:t>
      </w:r>
      <w:r w:rsidR="00284637">
        <w:rPr>
          <w:rFonts w:ascii="Arial" w:hAnsi="Arial" w:cs="Arial"/>
          <w:sz w:val="22"/>
          <w:szCs w:val="22"/>
        </w:rPr>
        <w:t xml:space="preserve">engagement </w:t>
      </w:r>
      <w:r w:rsidR="00A728A2" w:rsidRPr="00A728A2">
        <w:rPr>
          <w:rFonts w:ascii="Arial" w:hAnsi="Arial" w:cs="Arial"/>
          <w:sz w:val="22"/>
          <w:szCs w:val="22"/>
        </w:rPr>
        <w:t>or volunteer organisations may desire to get involved on various levels, from giving suggestions to co-designing the process, from carrying out certain engagement activities to executing projects to achieve some results.</w:t>
      </w:r>
    </w:p>
    <w:p w14:paraId="0315C9E7" w14:textId="3A859FE2" w:rsidR="00A728A2" w:rsidRDefault="00A728A2" w:rsidP="00A728A2">
      <w:pPr>
        <w:pStyle w:val="Heading1"/>
        <w:spacing w:line="360" w:lineRule="auto"/>
        <w:rPr>
          <w:rFonts w:ascii="Arial" w:hAnsi="Arial" w:cs="Arial"/>
          <w:sz w:val="22"/>
          <w:szCs w:val="22"/>
        </w:rPr>
      </w:pPr>
      <w:r w:rsidRPr="00A728A2">
        <w:br w:type="page"/>
      </w:r>
      <w:bookmarkStart w:id="8" w:name="_Toc130378149"/>
      <w:r w:rsidRPr="00A728A2">
        <w:rPr>
          <w:rFonts w:ascii="Arial" w:hAnsi="Arial" w:cs="Arial"/>
          <w:sz w:val="22"/>
          <w:szCs w:val="22"/>
        </w:rPr>
        <w:lastRenderedPageBreak/>
        <w:t>References</w:t>
      </w:r>
      <w:bookmarkEnd w:id="8"/>
    </w:p>
    <w:p w14:paraId="33537AF1" w14:textId="77777777" w:rsidR="00A728A2" w:rsidRPr="00A728A2" w:rsidRDefault="00A728A2" w:rsidP="00A728A2"/>
    <w:p w14:paraId="75EF459B" w14:textId="77777777" w:rsidR="00A728A2" w:rsidRPr="00A728A2" w:rsidRDefault="00A728A2" w:rsidP="00A728A2">
      <w:pPr>
        <w:spacing w:after="240" w:line="360" w:lineRule="auto"/>
        <w:ind w:left="720" w:hanging="720"/>
        <w:rPr>
          <w:rFonts w:ascii="Arial" w:hAnsi="Arial" w:cs="Arial"/>
          <w:sz w:val="22"/>
          <w:szCs w:val="22"/>
        </w:rPr>
      </w:pPr>
      <w:r w:rsidRPr="00A728A2">
        <w:rPr>
          <w:rFonts w:ascii="Arial" w:hAnsi="Arial" w:cs="Arial"/>
          <w:sz w:val="22"/>
          <w:szCs w:val="22"/>
        </w:rPr>
        <w:t xml:space="preserve">Burdon, D., Potts, T., Barnard, S., Boyes, S.J. and Lannin, A. (2022). Linking natural capital, benefits and beneficiaries: The role of participatory mapping and logic chains for community engagement. </w:t>
      </w:r>
      <w:r w:rsidRPr="00A728A2">
        <w:rPr>
          <w:rFonts w:ascii="Arial" w:hAnsi="Arial" w:cs="Arial"/>
          <w:i/>
          <w:sz w:val="22"/>
          <w:szCs w:val="22"/>
        </w:rPr>
        <w:t>Environmental Science &amp; Policy</w:t>
      </w:r>
      <w:r w:rsidRPr="00A728A2">
        <w:rPr>
          <w:rFonts w:ascii="Arial" w:hAnsi="Arial" w:cs="Arial"/>
          <w:sz w:val="22"/>
          <w:szCs w:val="22"/>
        </w:rPr>
        <w:t>, 134, pp.85–99.</w:t>
      </w:r>
    </w:p>
    <w:p w14:paraId="774E4F55" w14:textId="77777777" w:rsidR="00A728A2" w:rsidRPr="00A728A2" w:rsidRDefault="00A728A2" w:rsidP="00A728A2">
      <w:pPr>
        <w:spacing w:after="240" w:line="360" w:lineRule="auto"/>
        <w:ind w:left="720" w:hanging="720"/>
        <w:rPr>
          <w:rFonts w:ascii="Arial" w:hAnsi="Arial" w:cs="Arial"/>
          <w:sz w:val="22"/>
          <w:szCs w:val="22"/>
        </w:rPr>
      </w:pPr>
      <w:r w:rsidRPr="00A728A2">
        <w:rPr>
          <w:rFonts w:ascii="Arial" w:hAnsi="Arial" w:cs="Arial"/>
          <w:sz w:val="22"/>
          <w:szCs w:val="22"/>
        </w:rPr>
        <w:t xml:space="preserve">Chilvers, J. and Kearnes, M. (2019). Remaking Participation in Science and Democracy. </w:t>
      </w:r>
      <w:r w:rsidRPr="00A728A2">
        <w:rPr>
          <w:rFonts w:ascii="Arial" w:hAnsi="Arial" w:cs="Arial"/>
          <w:i/>
          <w:sz w:val="22"/>
          <w:szCs w:val="22"/>
        </w:rPr>
        <w:t>Science, Technology, &amp; Human Values</w:t>
      </w:r>
      <w:r w:rsidRPr="00A728A2">
        <w:rPr>
          <w:rFonts w:ascii="Arial" w:hAnsi="Arial" w:cs="Arial"/>
          <w:sz w:val="22"/>
          <w:szCs w:val="22"/>
        </w:rPr>
        <w:t>, 45(3), pp.347–380.</w:t>
      </w:r>
    </w:p>
    <w:p w14:paraId="124662BF" w14:textId="77777777" w:rsidR="00A728A2" w:rsidRPr="00A728A2" w:rsidRDefault="00A728A2" w:rsidP="00A728A2">
      <w:pPr>
        <w:spacing w:after="240" w:line="360" w:lineRule="auto"/>
        <w:ind w:left="720" w:hanging="720"/>
        <w:rPr>
          <w:rFonts w:ascii="Arial" w:hAnsi="Arial" w:cs="Arial"/>
          <w:sz w:val="22"/>
          <w:szCs w:val="22"/>
        </w:rPr>
      </w:pPr>
      <w:r w:rsidRPr="00A728A2">
        <w:rPr>
          <w:rFonts w:ascii="Arial" w:hAnsi="Arial" w:cs="Arial"/>
          <w:sz w:val="22"/>
          <w:szCs w:val="22"/>
        </w:rPr>
        <w:t xml:space="preserve">Green, P.M., Bergen, D.J., Stewart, C.P. and Nayve, C. (2021). An Engagement of Hope: A Framework and Equity-Centered Theory of Action for Community Engagement. </w:t>
      </w:r>
      <w:r w:rsidRPr="00A728A2">
        <w:rPr>
          <w:rFonts w:ascii="Arial" w:hAnsi="Arial" w:cs="Arial"/>
          <w:i/>
          <w:sz w:val="22"/>
          <w:szCs w:val="22"/>
        </w:rPr>
        <w:t>Metropolitan Universities</w:t>
      </w:r>
      <w:r w:rsidRPr="00A728A2">
        <w:rPr>
          <w:rFonts w:ascii="Arial" w:hAnsi="Arial" w:cs="Arial"/>
          <w:sz w:val="22"/>
          <w:szCs w:val="22"/>
        </w:rPr>
        <w:t>, [online] 32(2), pp.129–157. Available at: https://eric.ed.gov/?id=EJ1320850.</w:t>
      </w:r>
    </w:p>
    <w:p w14:paraId="3146FE66" w14:textId="77777777" w:rsidR="00A728A2" w:rsidRPr="00A728A2" w:rsidRDefault="00A728A2" w:rsidP="00A728A2">
      <w:pPr>
        <w:spacing w:after="240" w:line="360" w:lineRule="auto"/>
        <w:ind w:left="720" w:hanging="720"/>
        <w:rPr>
          <w:rFonts w:ascii="Arial" w:hAnsi="Arial" w:cs="Arial"/>
          <w:sz w:val="22"/>
          <w:szCs w:val="22"/>
        </w:rPr>
      </w:pPr>
      <w:r w:rsidRPr="00A728A2">
        <w:rPr>
          <w:rFonts w:ascii="Arial" w:hAnsi="Arial" w:cs="Arial"/>
          <w:sz w:val="22"/>
          <w:szCs w:val="22"/>
        </w:rPr>
        <w:t xml:space="preserve">Nichols, G., Findlay-King, L. and Forbes, D. (2020). The Community Asset Transfer of Leisure Facilities in the UK: A Review and Research Agenda. </w:t>
      </w:r>
      <w:r w:rsidRPr="00A728A2">
        <w:rPr>
          <w:rFonts w:ascii="Arial" w:hAnsi="Arial" w:cs="Arial"/>
          <w:i/>
          <w:sz w:val="22"/>
          <w:szCs w:val="22"/>
        </w:rPr>
        <w:t>VOLUNTAS: International Journal of Voluntary and Nonprofit Organizations</w:t>
      </w:r>
      <w:r w:rsidRPr="00A728A2">
        <w:rPr>
          <w:rFonts w:ascii="Arial" w:hAnsi="Arial" w:cs="Arial"/>
          <w:sz w:val="22"/>
          <w:szCs w:val="22"/>
        </w:rPr>
        <w:t>, 31(6), pp.1159–1172.</w:t>
      </w:r>
    </w:p>
    <w:p w14:paraId="0B9A4DB3" w14:textId="790007BB" w:rsidR="00A728A2" w:rsidRPr="00A728A2" w:rsidRDefault="00A728A2" w:rsidP="00A728A2">
      <w:pPr>
        <w:spacing w:after="240" w:line="360" w:lineRule="auto"/>
        <w:ind w:left="720" w:hanging="720"/>
        <w:rPr>
          <w:rFonts w:ascii="Arial" w:hAnsi="Arial" w:cs="Arial"/>
          <w:sz w:val="22"/>
          <w:szCs w:val="22"/>
        </w:rPr>
      </w:pPr>
      <w:r w:rsidRPr="00A728A2">
        <w:rPr>
          <w:rFonts w:ascii="Arial" w:hAnsi="Arial" w:cs="Arial"/>
          <w:sz w:val="22"/>
          <w:szCs w:val="22"/>
        </w:rPr>
        <w:t xml:space="preserve">Reed, M.S., Vella, S., Challies, E., de Vente, J., Frewer, L., Hohenwallner-Ries, D., Huber, T., Neumann, R.K., Oughton, E.A., Sidoli del Ceno, J. and van Delden, H. (2017). A theory of participation: what makes stakeholder and public engagement in environmental management work? </w:t>
      </w:r>
      <w:r w:rsidRPr="00A728A2">
        <w:rPr>
          <w:rFonts w:ascii="Arial" w:hAnsi="Arial" w:cs="Arial"/>
          <w:i/>
          <w:sz w:val="22"/>
          <w:szCs w:val="22"/>
        </w:rPr>
        <w:t>Restoration Ecology</w:t>
      </w:r>
      <w:r w:rsidRPr="00A728A2">
        <w:rPr>
          <w:rFonts w:ascii="Arial" w:hAnsi="Arial" w:cs="Arial"/>
          <w:sz w:val="22"/>
          <w:szCs w:val="22"/>
        </w:rPr>
        <w:t xml:space="preserve">, 26(S1), </w:t>
      </w:r>
      <w:r w:rsidR="00284637" w:rsidRPr="00A728A2">
        <w:rPr>
          <w:rFonts w:ascii="Arial" w:hAnsi="Arial" w:cs="Arial"/>
          <w:sz w:val="22"/>
          <w:szCs w:val="22"/>
        </w:rPr>
        <w:t>pp. S</w:t>
      </w:r>
      <w:r w:rsidRPr="00A728A2">
        <w:rPr>
          <w:rFonts w:ascii="Arial" w:hAnsi="Arial" w:cs="Arial"/>
          <w:sz w:val="22"/>
          <w:szCs w:val="22"/>
        </w:rPr>
        <w:t>7–S17.</w:t>
      </w:r>
    </w:p>
    <w:p w14:paraId="39A379CF" w14:textId="77777777" w:rsidR="00A728A2" w:rsidRPr="00A728A2" w:rsidRDefault="00A728A2" w:rsidP="00A728A2">
      <w:pPr>
        <w:spacing w:after="240" w:line="360" w:lineRule="auto"/>
        <w:ind w:left="720" w:hanging="720"/>
        <w:rPr>
          <w:rFonts w:ascii="Arial" w:hAnsi="Arial" w:cs="Arial"/>
          <w:sz w:val="22"/>
          <w:szCs w:val="22"/>
        </w:rPr>
      </w:pPr>
      <w:r w:rsidRPr="00A728A2">
        <w:rPr>
          <w:rFonts w:ascii="Arial" w:hAnsi="Arial" w:cs="Arial"/>
          <w:sz w:val="22"/>
          <w:szCs w:val="22"/>
        </w:rPr>
        <w:t xml:space="preserve">Taffere, G.R., Abebe, H.T., Zerihun, Z., Mallen, C., Price, H.P. and Mulugeta, A. (2023). Systematic review of community engagement approach in research: describing partnership approaches, challenges and benefits. </w:t>
      </w:r>
      <w:r w:rsidRPr="00A728A2">
        <w:rPr>
          <w:rFonts w:ascii="Arial" w:hAnsi="Arial" w:cs="Arial"/>
          <w:i/>
          <w:sz w:val="22"/>
          <w:szCs w:val="22"/>
        </w:rPr>
        <w:t>Journal of Public Health</w:t>
      </w:r>
      <w:r w:rsidRPr="00A728A2">
        <w:rPr>
          <w:rFonts w:ascii="Arial" w:hAnsi="Arial" w:cs="Arial"/>
          <w:sz w:val="22"/>
          <w:szCs w:val="22"/>
        </w:rPr>
        <w:t>.</w:t>
      </w:r>
    </w:p>
    <w:p w14:paraId="4F84D35D" w14:textId="77777777" w:rsidR="00A728A2" w:rsidRPr="00A728A2" w:rsidRDefault="00A728A2" w:rsidP="00A728A2">
      <w:pPr>
        <w:spacing w:after="240" w:line="360" w:lineRule="auto"/>
        <w:ind w:left="720" w:hanging="720"/>
        <w:rPr>
          <w:rFonts w:ascii="Arial" w:hAnsi="Arial" w:cs="Arial"/>
          <w:sz w:val="22"/>
          <w:szCs w:val="22"/>
        </w:rPr>
      </w:pPr>
      <w:r w:rsidRPr="00A728A2">
        <w:rPr>
          <w:rFonts w:ascii="Arial" w:hAnsi="Arial" w:cs="Arial"/>
          <w:sz w:val="22"/>
          <w:szCs w:val="22"/>
        </w:rPr>
        <w:t xml:space="preserve">The University of Edinburgh (2020). </w:t>
      </w:r>
      <w:r w:rsidRPr="00A728A2">
        <w:rPr>
          <w:rFonts w:ascii="Arial" w:hAnsi="Arial" w:cs="Arial"/>
          <w:i/>
          <w:sz w:val="22"/>
          <w:szCs w:val="22"/>
        </w:rPr>
        <w:t>Gibbs’ Reflective Cycle</w:t>
      </w:r>
      <w:r w:rsidRPr="00A728A2">
        <w:rPr>
          <w:rFonts w:ascii="Arial" w:hAnsi="Arial" w:cs="Arial"/>
          <w:sz w:val="22"/>
          <w:szCs w:val="22"/>
        </w:rPr>
        <w:t>. [online] The University of Edinburgh. Available at: https://www.ed.ac.uk/reflection/reflectors-toolkit/reflecting-on-experience/gibbs-reflective-cycle.</w:t>
      </w:r>
    </w:p>
    <w:p w14:paraId="35AD7678" w14:textId="0ADA8768" w:rsidR="00A728A2" w:rsidRPr="00A728A2" w:rsidRDefault="00A728A2" w:rsidP="00A728A2">
      <w:pPr>
        <w:spacing w:after="240" w:line="360" w:lineRule="auto"/>
        <w:ind w:left="720" w:hanging="720"/>
        <w:rPr>
          <w:rFonts w:ascii="Arial" w:hAnsi="Arial" w:cs="Arial"/>
          <w:sz w:val="22"/>
          <w:szCs w:val="22"/>
        </w:rPr>
      </w:pPr>
      <w:r w:rsidRPr="00A728A2">
        <w:rPr>
          <w:rFonts w:ascii="Arial" w:hAnsi="Arial" w:cs="Arial"/>
          <w:sz w:val="22"/>
          <w:szCs w:val="22"/>
        </w:rPr>
        <w:t xml:space="preserve">Wallerstein, N., Oetzel, J.G., Sanchez-Youngman, S., Boursaw, B., Dickson, E., Kastelic, S., Koegel, P., Lucero, J.E., Magarati, M., Ortiz, K., Parker, M., Peña, J., Richmond, A. and Duran, B. (2020). Engage for Equity: A Long-Term Study of Community-Based Participatory Research and Community-Engaged Research Practices and Outcomes. </w:t>
      </w:r>
      <w:r w:rsidRPr="00A728A2">
        <w:rPr>
          <w:rFonts w:ascii="Arial" w:hAnsi="Arial" w:cs="Arial"/>
          <w:i/>
          <w:sz w:val="22"/>
          <w:szCs w:val="22"/>
        </w:rPr>
        <w:t xml:space="preserve">Health Education &amp; </w:t>
      </w:r>
      <w:r w:rsidR="00284637" w:rsidRPr="00A728A2">
        <w:rPr>
          <w:rFonts w:ascii="Arial" w:hAnsi="Arial" w:cs="Arial"/>
          <w:i/>
          <w:sz w:val="22"/>
          <w:szCs w:val="22"/>
        </w:rPr>
        <w:t>Behaviour</w:t>
      </w:r>
      <w:r w:rsidRPr="00A728A2">
        <w:rPr>
          <w:rFonts w:ascii="Arial" w:hAnsi="Arial" w:cs="Arial"/>
          <w:sz w:val="22"/>
          <w:szCs w:val="22"/>
        </w:rPr>
        <w:t>, 47(3), pp.380–390.</w:t>
      </w:r>
    </w:p>
    <w:p w14:paraId="5AA6B1B5" w14:textId="77777777" w:rsidR="00A728A2" w:rsidRPr="00A728A2" w:rsidRDefault="00A728A2" w:rsidP="00A728A2">
      <w:pPr>
        <w:spacing w:line="360" w:lineRule="auto"/>
        <w:rPr>
          <w:rFonts w:ascii="Arial" w:hAnsi="Arial" w:cs="Arial"/>
          <w:sz w:val="22"/>
          <w:szCs w:val="22"/>
        </w:rPr>
      </w:pPr>
    </w:p>
    <w:p w14:paraId="7BB804D9" w14:textId="77777777" w:rsidR="00996AC2" w:rsidRDefault="00EA3772"/>
    <w:sectPr w:rsidR="00996AC2" w:rsidSect="008F1BF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1A47E" w14:textId="77777777" w:rsidR="009A138F" w:rsidRDefault="009A138F" w:rsidP="00D639A4">
      <w:r>
        <w:separator/>
      </w:r>
    </w:p>
  </w:endnote>
  <w:endnote w:type="continuationSeparator" w:id="0">
    <w:p w14:paraId="1FC3CA87" w14:textId="77777777" w:rsidR="009A138F" w:rsidRDefault="009A138F" w:rsidP="00D63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A6B5D" w14:textId="77777777" w:rsidR="009A138F" w:rsidRDefault="009A138F" w:rsidP="00D639A4">
      <w:r>
        <w:separator/>
      </w:r>
    </w:p>
  </w:footnote>
  <w:footnote w:type="continuationSeparator" w:id="0">
    <w:p w14:paraId="4BB6F90B" w14:textId="77777777" w:rsidR="009A138F" w:rsidRDefault="009A138F" w:rsidP="00D639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4E9"/>
    <w:rsid w:val="00034890"/>
    <w:rsid w:val="00051CC8"/>
    <w:rsid w:val="00115F71"/>
    <w:rsid w:val="001B0462"/>
    <w:rsid w:val="001D5167"/>
    <w:rsid w:val="00204417"/>
    <w:rsid w:val="002408A1"/>
    <w:rsid w:val="002530BB"/>
    <w:rsid w:val="00284637"/>
    <w:rsid w:val="002A757C"/>
    <w:rsid w:val="002B3DA1"/>
    <w:rsid w:val="002C6474"/>
    <w:rsid w:val="002D2689"/>
    <w:rsid w:val="002D6887"/>
    <w:rsid w:val="002F4844"/>
    <w:rsid w:val="003162CE"/>
    <w:rsid w:val="00337A47"/>
    <w:rsid w:val="00350650"/>
    <w:rsid w:val="003543B0"/>
    <w:rsid w:val="003577C8"/>
    <w:rsid w:val="00381212"/>
    <w:rsid w:val="00397605"/>
    <w:rsid w:val="0044064A"/>
    <w:rsid w:val="00461652"/>
    <w:rsid w:val="0046223F"/>
    <w:rsid w:val="004664C1"/>
    <w:rsid w:val="00476170"/>
    <w:rsid w:val="00513259"/>
    <w:rsid w:val="005214A2"/>
    <w:rsid w:val="00532C9C"/>
    <w:rsid w:val="00541333"/>
    <w:rsid w:val="00545539"/>
    <w:rsid w:val="005644DD"/>
    <w:rsid w:val="00567503"/>
    <w:rsid w:val="005704E9"/>
    <w:rsid w:val="005734C8"/>
    <w:rsid w:val="00585196"/>
    <w:rsid w:val="005864CA"/>
    <w:rsid w:val="00597090"/>
    <w:rsid w:val="005C66C6"/>
    <w:rsid w:val="00644AA9"/>
    <w:rsid w:val="00680370"/>
    <w:rsid w:val="00694890"/>
    <w:rsid w:val="006B3BAB"/>
    <w:rsid w:val="006C045E"/>
    <w:rsid w:val="006D74B5"/>
    <w:rsid w:val="006E45BE"/>
    <w:rsid w:val="0070543F"/>
    <w:rsid w:val="00715553"/>
    <w:rsid w:val="00770316"/>
    <w:rsid w:val="007767AC"/>
    <w:rsid w:val="007A4FB9"/>
    <w:rsid w:val="007A66D5"/>
    <w:rsid w:val="007C59B8"/>
    <w:rsid w:val="007F0E53"/>
    <w:rsid w:val="007F3869"/>
    <w:rsid w:val="00822B4E"/>
    <w:rsid w:val="008454C8"/>
    <w:rsid w:val="008747CF"/>
    <w:rsid w:val="008D05FC"/>
    <w:rsid w:val="008D0618"/>
    <w:rsid w:val="008D1600"/>
    <w:rsid w:val="008F1BF9"/>
    <w:rsid w:val="00923CE1"/>
    <w:rsid w:val="00935354"/>
    <w:rsid w:val="00944A0A"/>
    <w:rsid w:val="00967F16"/>
    <w:rsid w:val="009727E8"/>
    <w:rsid w:val="009A138F"/>
    <w:rsid w:val="009A5D0C"/>
    <w:rsid w:val="009E6C77"/>
    <w:rsid w:val="009F113E"/>
    <w:rsid w:val="00A148F7"/>
    <w:rsid w:val="00A248A9"/>
    <w:rsid w:val="00A24A33"/>
    <w:rsid w:val="00A271F4"/>
    <w:rsid w:val="00A67A17"/>
    <w:rsid w:val="00A728A2"/>
    <w:rsid w:val="00AA223D"/>
    <w:rsid w:val="00AA5592"/>
    <w:rsid w:val="00AC22FC"/>
    <w:rsid w:val="00AD7BFE"/>
    <w:rsid w:val="00B16FBB"/>
    <w:rsid w:val="00B4227C"/>
    <w:rsid w:val="00B50117"/>
    <w:rsid w:val="00B53FFC"/>
    <w:rsid w:val="00B64377"/>
    <w:rsid w:val="00B8094D"/>
    <w:rsid w:val="00C035D2"/>
    <w:rsid w:val="00C62916"/>
    <w:rsid w:val="00C939B3"/>
    <w:rsid w:val="00C9523B"/>
    <w:rsid w:val="00C9757E"/>
    <w:rsid w:val="00CA075D"/>
    <w:rsid w:val="00CD26C6"/>
    <w:rsid w:val="00CE32C1"/>
    <w:rsid w:val="00CE6351"/>
    <w:rsid w:val="00CF53F1"/>
    <w:rsid w:val="00CF5CA9"/>
    <w:rsid w:val="00D325EC"/>
    <w:rsid w:val="00D34BFF"/>
    <w:rsid w:val="00D37CCE"/>
    <w:rsid w:val="00D639A4"/>
    <w:rsid w:val="00D86A0D"/>
    <w:rsid w:val="00D86C87"/>
    <w:rsid w:val="00DE6AB0"/>
    <w:rsid w:val="00E25244"/>
    <w:rsid w:val="00E40CD7"/>
    <w:rsid w:val="00E87C07"/>
    <w:rsid w:val="00EA5500"/>
    <w:rsid w:val="00EB4060"/>
    <w:rsid w:val="00F00292"/>
    <w:rsid w:val="00F40035"/>
    <w:rsid w:val="00F5428F"/>
    <w:rsid w:val="00F57D65"/>
    <w:rsid w:val="00F64853"/>
    <w:rsid w:val="00F70525"/>
    <w:rsid w:val="00F83CE2"/>
    <w:rsid w:val="00F973F1"/>
    <w:rsid w:val="00FA2F1F"/>
    <w:rsid w:val="00FB6EF8"/>
    <w:rsid w:val="00FF1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444BF"/>
  <w15:chartTrackingRefBased/>
  <w15:docId w15:val="{87D637D8-C9F2-B044-B867-034931954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4E9"/>
    <w:rPr>
      <w:rFonts w:ascii="Times New Roman" w:eastAsia="Times New Roman" w:hAnsi="Times New Roman" w:cs="Times New Roman"/>
    </w:rPr>
  </w:style>
  <w:style w:type="paragraph" w:styleId="Heading1">
    <w:name w:val="heading 1"/>
    <w:basedOn w:val="Normal"/>
    <w:next w:val="Normal"/>
    <w:link w:val="Heading1Char"/>
    <w:uiPriority w:val="9"/>
    <w:qFormat/>
    <w:rsid w:val="0054553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04E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4E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455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553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9757E"/>
    <w:pPr>
      <w:tabs>
        <w:tab w:val="right" w:leader="dot" w:pos="9010"/>
      </w:tabs>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54553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4553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4553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4553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4553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4553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4553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45539"/>
    <w:pPr>
      <w:ind w:left="1920"/>
    </w:pPr>
    <w:rPr>
      <w:rFonts w:asciiTheme="minorHAnsi" w:hAnsiTheme="minorHAnsi" w:cstheme="minorHAnsi"/>
      <w:sz w:val="20"/>
      <w:szCs w:val="20"/>
    </w:rPr>
  </w:style>
  <w:style w:type="character" w:styleId="Hyperlink">
    <w:name w:val="Hyperlink"/>
    <w:basedOn w:val="DefaultParagraphFont"/>
    <w:uiPriority w:val="99"/>
    <w:unhideWhenUsed/>
    <w:rsid w:val="00545539"/>
    <w:rPr>
      <w:color w:val="0563C1" w:themeColor="hyperlink"/>
      <w:u w:val="single"/>
    </w:rPr>
  </w:style>
  <w:style w:type="paragraph" w:styleId="NoSpacing">
    <w:name w:val="No Spacing"/>
    <w:uiPriority w:val="1"/>
    <w:qFormat/>
    <w:rsid w:val="00D639A4"/>
    <w:rPr>
      <w:rFonts w:ascii="Times New Roman" w:eastAsia="Times New Roman" w:hAnsi="Times New Roman" w:cs="Times New Roman"/>
    </w:rPr>
  </w:style>
  <w:style w:type="character" w:customStyle="1" w:styleId="apple-converted-space">
    <w:name w:val="apple-converted-space"/>
    <w:basedOn w:val="DefaultParagraphFont"/>
    <w:rsid w:val="00D639A4"/>
  </w:style>
  <w:style w:type="character" w:styleId="Emphasis">
    <w:name w:val="Emphasis"/>
    <w:basedOn w:val="DefaultParagraphFont"/>
    <w:uiPriority w:val="20"/>
    <w:qFormat/>
    <w:rsid w:val="00D639A4"/>
    <w:rPr>
      <w:i/>
      <w:iCs/>
    </w:rPr>
  </w:style>
  <w:style w:type="paragraph" w:styleId="Header">
    <w:name w:val="header"/>
    <w:basedOn w:val="Normal"/>
    <w:link w:val="HeaderChar"/>
    <w:uiPriority w:val="99"/>
    <w:unhideWhenUsed/>
    <w:rsid w:val="00D639A4"/>
    <w:pPr>
      <w:tabs>
        <w:tab w:val="center" w:pos="4680"/>
        <w:tab w:val="right" w:pos="9360"/>
      </w:tabs>
    </w:pPr>
  </w:style>
  <w:style w:type="character" w:customStyle="1" w:styleId="HeaderChar">
    <w:name w:val="Header Char"/>
    <w:basedOn w:val="DefaultParagraphFont"/>
    <w:link w:val="Header"/>
    <w:uiPriority w:val="99"/>
    <w:rsid w:val="00D639A4"/>
    <w:rPr>
      <w:rFonts w:ascii="Times New Roman" w:eastAsia="Times New Roman" w:hAnsi="Times New Roman" w:cs="Times New Roman"/>
    </w:rPr>
  </w:style>
  <w:style w:type="paragraph" w:styleId="Footer">
    <w:name w:val="footer"/>
    <w:basedOn w:val="Normal"/>
    <w:link w:val="FooterChar"/>
    <w:uiPriority w:val="99"/>
    <w:unhideWhenUsed/>
    <w:rsid w:val="00D639A4"/>
    <w:pPr>
      <w:tabs>
        <w:tab w:val="center" w:pos="4680"/>
        <w:tab w:val="right" w:pos="9360"/>
      </w:tabs>
    </w:pPr>
  </w:style>
  <w:style w:type="character" w:customStyle="1" w:styleId="FooterChar">
    <w:name w:val="Footer Char"/>
    <w:basedOn w:val="DefaultParagraphFont"/>
    <w:link w:val="Footer"/>
    <w:uiPriority w:val="99"/>
    <w:rsid w:val="00D639A4"/>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C9757E"/>
    <w:rPr>
      <w:sz w:val="16"/>
      <w:szCs w:val="16"/>
    </w:rPr>
  </w:style>
  <w:style w:type="paragraph" w:styleId="CommentText">
    <w:name w:val="annotation text"/>
    <w:basedOn w:val="Normal"/>
    <w:link w:val="CommentTextChar"/>
    <w:uiPriority w:val="99"/>
    <w:semiHidden/>
    <w:unhideWhenUsed/>
    <w:rsid w:val="00C9757E"/>
    <w:rPr>
      <w:sz w:val="20"/>
      <w:szCs w:val="20"/>
    </w:rPr>
  </w:style>
  <w:style w:type="character" w:customStyle="1" w:styleId="CommentTextChar">
    <w:name w:val="Comment Text Char"/>
    <w:basedOn w:val="DefaultParagraphFont"/>
    <w:link w:val="CommentText"/>
    <w:uiPriority w:val="99"/>
    <w:semiHidden/>
    <w:rsid w:val="00C975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9757E"/>
    <w:rPr>
      <w:b/>
      <w:bCs/>
    </w:rPr>
  </w:style>
  <w:style w:type="character" w:customStyle="1" w:styleId="CommentSubjectChar">
    <w:name w:val="Comment Subject Char"/>
    <w:basedOn w:val="CommentTextChar"/>
    <w:link w:val="CommentSubject"/>
    <w:uiPriority w:val="99"/>
    <w:semiHidden/>
    <w:rsid w:val="00C9757E"/>
    <w:rPr>
      <w:rFonts w:ascii="Times New Roman" w:eastAsia="Times New Roman" w:hAnsi="Times New Roman" w:cs="Times New Roman"/>
      <w:b/>
      <w:bCs/>
      <w:sz w:val="20"/>
      <w:szCs w:val="20"/>
    </w:rPr>
  </w:style>
  <w:style w:type="paragraph" w:styleId="Caption">
    <w:name w:val="caption"/>
    <w:basedOn w:val="Normal"/>
    <w:next w:val="Normal"/>
    <w:uiPriority w:val="35"/>
    <w:unhideWhenUsed/>
    <w:qFormat/>
    <w:rsid w:val="00B50117"/>
    <w:pPr>
      <w:spacing w:after="200"/>
    </w:pPr>
    <w:rPr>
      <w:i/>
      <w:iCs/>
      <w:color w:val="44546A" w:themeColor="text2"/>
      <w:sz w:val="18"/>
      <w:szCs w:val="18"/>
    </w:rPr>
  </w:style>
  <w:style w:type="paragraph" w:styleId="TableofFigures">
    <w:name w:val="table of figures"/>
    <w:basedOn w:val="Normal"/>
    <w:next w:val="Normal"/>
    <w:uiPriority w:val="99"/>
    <w:unhideWhenUsed/>
    <w:rsid w:val="00B501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A36DD4-E79F-2448-B2CA-D54FA1A29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Pages>
  <Words>2667</Words>
  <Characters>15207</Characters>
  <Application>Microsoft Office Word</Application>
  <DocSecurity>0</DocSecurity>
  <Lines>126</Lines>
  <Paragraphs>35</Paragraphs>
  <ScaleCrop>false</ScaleCrop>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169</cp:revision>
  <dcterms:created xsi:type="dcterms:W3CDTF">2023-02-23T10:10:00Z</dcterms:created>
  <dcterms:modified xsi:type="dcterms:W3CDTF">2023-03-22T11:53:00Z</dcterms:modified>
</cp:coreProperties>
</file>