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D6F851" w14:textId="23F444B2" w:rsidR="002663D0" w:rsidRDefault="002663D0">
      <w:pPr>
        <w:pStyle w:val="NoSpacing"/>
      </w:pPr>
      <w:r>
        <w:rPr>
          <w:noProof/>
        </w:rPr>
        <mc:AlternateContent>
          <mc:Choice Requires="wpg">
            <w:drawing>
              <wp:anchor distT="0" distB="0" distL="114300" distR="114300" simplePos="0" relativeHeight="251659264" behindDoc="1" locked="0" layoutInCell="1" allowOverlap="1" wp14:anchorId="72CD3734" wp14:editId="4A939057">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33600" cy="9125585"/>
                <wp:effectExtent l="0" t="0" r="19050" b="15240"/>
                <wp:wrapNone/>
                <wp:docPr id="2" name="Group 26"/>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631467"/>
                            <a:ext cx="1809750" cy="591034"/>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7-02T00:00:00Z">
                                  <w:dateFormat w:val="M/d/yyyy"/>
                                  <w:lid w:val="en-US"/>
                                  <w:storeMappedDataAs w:val="dateTime"/>
                                  <w:calendar w:val="gregorian"/>
                                </w:date>
                              </w:sdtPr>
                              <w:sdtContent>
                                <w:p w14:paraId="0625A774" w14:textId="1F705E41" w:rsidR="002663D0" w:rsidRDefault="00D0254C">
                                  <w:pPr>
                                    <w:pStyle w:val="NoSpacing"/>
                                    <w:jc w:val="right"/>
                                    <w:rPr>
                                      <w:color w:val="FFFFFF" w:themeColor="background1"/>
                                      <w:sz w:val="28"/>
                                      <w:szCs w:val="28"/>
                                    </w:rPr>
                                  </w:pPr>
                                  <w:r>
                                    <w:rPr>
                                      <w:color w:val="FFFFFF" w:themeColor="background1"/>
                                      <w:sz w:val="28"/>
                                      <w:szCs w:val="28"/>
                                    </w:rPr>
                                    <w:t>7/2/2026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72CD3734" id="Group 26" o:spid="_x0000_s1026" style="position:absolute;margin-left:0;margin-top:0;width:168pt;height:718.55pt;z-index:-251657216;mso-height-percent:950;mso-left-percent:40;mso-position-horizontal-relative:page;mso-position-vertical:center;mso-position-vertical-relative:page;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6314;width:18097;height:59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" adj="1807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7-02T00:00:00Z">
                            <w:dateFormat w:val="M/d/yyyy"/>
                            <w:lid w:val="en-US"/>
                            <w:storeMappedDataAs w:val="dateTime"/>
                            <w:calendar w:val="gregorian"/>
                          </w:date>
                        </w:sdtPr>
                        <w:sdtContent>
                          <w:p w14:paraId="0625A774" w14:textId="1F705E41" w:rsidR="002663D0" w:rsidRDefault="00D0254C">
                            <w:pPr>
                              <w:pStyle w:val="NoSpacing"/>
                              <w:jc w:val="right"/>
                              <w:rPr>
                                <w:color w:val="FFFFFF" w:themeColor="background1"/>
                                <w:sz w:val="28"/>
                                <w:szCs w:val="28"/>
                              </w:rPr>
                            </w:pPr>
                            <w:r>
                              <w:rPr>
                                <w:color w:val="FFFFFF" w:themeColor="background1"/>
                                <w:sz w:val="28"/>
                                <w:szCs w:val="28"/>
                              </w:rPr>
                              <w:t>7/2/2026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sdt>
      <w:sdtPr>
        <w:rPr>
          <w:rFonts w:eastAsiaTheme="minorHAnsi"/>
          <w:kern w:val="2"/>
          <w:sz w:val="24"/>
          <w:szCs w:val="24"/>
          <w:lang w:val="en-GB"/>
          <w14:ligatures w14:val="standardContextual"/>
        </w:rPr>
        <w:id w:val="1783756063"/>
        <w:docPartObj>
          <w:docPartGallery w:val="Cover Pages"/>
          <w:docPartUnique/>
        </w:docPartObj>
      </w:sdtPr>
      <w:sdtContent>
        <w:p w14:paraId="2227FACC" w14:textId="7BB9DA2F" w:rsidR="002663D0" w:rsidRDefault="002663D0">
          <w:pPr>
            <w:pStyle w:val="NoSpacing"/>
          </w:pPr>
        </w:p>
        <w:p w14:paraId="6518FF6E" w14:textId="1814066D" w:rsidR="002663D0" w:rsidRDefault="00561F44">
          <w:r>
            <w:rPr>
              <w:noProof/>
            </w:rPr>
            <mc:AlternateContent>
              <mc:Choice Requires="wps">
                <w:drawing>
                  <wp:anchor distT="0" distB="0" distL="114300" distR="114300" simplePos="0" relativeHeight="251661312" behindDoc="0" locked="0" layoutInCell="1" allowOverlap="1" wp14:anchorId="32425D82" wp14:editId="53472F48">
                    <wp:simplePos x="0" y="0"/>
                    <wp:positionH relativeFrom="margin">
                      <wp:align>right</wp:align>
                    </wp:positionH>
                    <wp:positionV relativeFrom="page">
                      <wp:posOffset>9124950</wp:posOffset>
                    </wp:positionV>
                    <wp:extent cx="3910330" cy="368300"/>
                    <wp:effectExtent l="0" t="0" r="13970" b="12700"/>
                    <wp:wrapNone/>
                    <wp:docPr id="32" name="Text Box 28"/>
                    <wp:cNvGraphicFramePr/>
                    <a:graphic xmlns:a="http://schemas.openxmlformats.org/drawingml/2006/main">
                      <a:graphicData uri="http://schemas.microsoft.com/office/word/2010/wordprocessingShape">
                        <wps:wsp>
                          <wps:cNvSpPr txBox="1"/>
                          <wps:spPr>
                            <a:xfrm>
                              <a:off x="0" y="0"/>
                              <a:ext cx="3910330" cy="368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589B962" w14:textId="28F09136" w:rsidR="002663D0" w:rsidRPr="002663D0" w:rsidRDefault="00000000">
                                <w:pPr>
                                  <w:pStyle w:val="NoSpacing"/>
                                  <w:rPr>
                                    <w:rFonts w:ascii="Arial" w:hAnsi="Arial" w:cs="Arial"/>
                                    <w:color w:val="4472C4" w:themeColor="accent1"/>
                                    <w:sz w:val="48"/>
                                    <w:szCs w:val="48"/>
                                  </w:rPr>
                                </w:pPr>
                                <w:sdt>
                                  <w:sdtPr>
                                    <w:rPr>
                                      <w:rFonts w:ascii="Arial" w:hAnsi="Arial" w:cs="Arial"/>
                                      <w:color w:val="4472C4" w:themeColor="accent1"/>
                                      <w:sz w:val="48"/>
                                      <w:szCs w:val="48"/>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2663D0" w:rsidRPr="002663D0">
                                      <w:rPr>
                                        <w:rFonts w:ascii="Arial" w:hAnsi="Arial" w:cs="Arial"/>
                                        <w:color w:val="4472C4" w:themeColor="accent1"/>
                                        <w:sz w:val="48"/>
                                        <w:szCs w:val="48"/>
                                      </w:rPr>
                                      <w:t>Haleemah Akhtar (2432717)</w:t>
                                    </w:r>
                                  </w:sdtContent>
                                </w:sdt>
                              </w:p>
                              <w:p w14:paraId="2F99A245" w14:textId="5F704907" w:rsidR="002663D0" w:rsidRDefault="002663D0">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32425D82" id="_x0000_t202" coordsize="21600,21600" o:spt="202" path="m,l,21600r21600,l21600,xe">
                    <v:stroke joinstyle="miter"/>
                    <v:path gradientshapeok="t" o:connecttype="rect"/>
                  </v:shapetype>
                  <v:shape id="Text Box 28" o:spid="_x0000_s1055" type="#_x0000_t202" style="position:absolute;margin-left:256.7pt;margin-top:718.5pt;width:307.9pt;height:29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" filled="f" stroked="f" strokeweight=".5pt">
                    <v:textbox inset="0,0,0,0">
                      <w:txbxContent>
                        <w:p w14:paraId="2589B962" w14:textId="28F09136" w:rsidR="002663D0" w:rsidRPr="002663D0" w:rsidRDefault="00000000">
                          <w:pPr>
                            <w:pStyle w:val="NoSpacing"/>
                            <w:rPr>
                              <w:rFonts w:ascii="Arial" w:hAnsi="Arial" w:cs="Arial"/>
                              <w:color w:val="4472C4" w:themeColor="accent1"/>
                              <w:sz w:val="48"/>
                              <w:szCs w:val="48"/>
                            </w:rPr>
                          </w:pPr>
                          <w:sdt>
                            <w:sdtPr>
                              <w:rPr>
                                <w:rFonts w:ascii="Arial" w:hAnsi="Arial" w:cs="Arial"/>
                                <w:color w:val="4472C4" w:themeColor="accent1"/>
                                <w:sz w:val="48"/>
                                <w:szCs w:val="48"/>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2663D0" w:rsidRPr="002663D0">
                                <w:rPr>
                                  <w:rFonts w:ascii="Arial" w:hAnsi="Arial" w:cs="Arial"/>
                                  <w:color w:val="4472C4" w:themeColor="accent1"/>
                                  <w:sz w:val="48"/>
                                  <w:szCs w:val="48"/>
                                </w:rPr>
                                <w:t>Haleemah Akhtar (2432717)</w:t>
                              </w:r>
                            </w:sdtContent>
                          </w:sdt>
                        </w:p>
                        <w:p w14:paraId="2F99A245" w14:textId="5F704907" w:rsidR="002663D0" w:rsidRDefault="002663D0">
                          <w:pPr>
                            <w:pStyle w:val="NoSpacing"/>
                            <w:rPr>
                              <w:color w:val="595959" w:themeColor="text1" w:themeTint="A6"/>
                              <w:sz w:val="20"/>
                              <w:szCs w:val="20"/>
                            </w:rPr>
                          </w:pPr>
                        </w:p>
                      </w:txbxContent>
                    </v:textbox>
                    <w10:wrap anchorx="margin" anchory="page"/>
                  </v:shape>
                </w:pict>
              </mc:Fallback>
            </mc:AlternateContent>
          </w:r>
          <w:r>
            <w:rPr>
              <w:noProof/>
            </w:rPr>
            <mc:AlternateContent>
              <mc:Choice Requires="wps">
                <w:drawing>
                  <wp:anchor distT="45720" distB="45720" distL="114300" distR="114300" simplePos="0" relativeHeight="251663360" behindDoc="0" locked="0" layoutInCell="1" allowOverlap="1" wp14:anchorId="5CB840F9" wp14:editId="634BC8A8">
                    <wp:simplePos x="0" y="0"/>
                    <wp:positionH relativeFrom="column">
                      <wp:posOffset>2495550</wp:posOffset>
                    </wp:positionH>
                    <wp:positionV relativeFrom="paragraph">
                      <wp:posOffset>8265631</wp:posOffset>
                    </wp:positionV>
                    <wp:extent cx="2360930" cy="2540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540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1AFEA2F" w14:textId="03BD29EA" w:rsidR="00561F44" w:rsidRPr="00561F44" w:rsidRDefault="00561F44">
                                <w:pPr>
                                  <w:rPr>
                                    <w:lang w:val="en-US"/>
                                  </w:rPr>
                                </w:pPr>
                                <w:r>
                                  <w:rPr>
                                    <w:lang w:val="en-US"/>
                                  </w:rPr>
                                  <w:t>Word Count:</w:t>
                                </w:r>
                                <w:r w:rsidR="00331490">
                                  <w:rPr>
                                    <w:lang w:val="en-US"/>
                                  </w:rPr>
                                  <w:t xml:space="preserve"> 2200</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5CB840F9" id="Text Box 2" o:spid="_x0000_s1056" type="#_x0000_t202" style="position:absolute;margin-left:196.5pt;margin-top:650.85pt;width:185.9pt;height:20pt;z-index:25166336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" filled="f" stroked="f">
                    <v:textbox>
                      <w:txbxContent>
                        <w:p w14:paraId="31AFEA2F" w14:textId="03BD29EA" w:rsidR="00561F44" w:rsidRPr="00561F44" w:rsidRDefault="00561F44">
                          <w:pPr>
                            <w:rPr>
                              <w:lang w:val="en-US"/>
                            </w:rPr>
                          </w:pPr>
                          <w:r>
                            <w:rPr>
                              <w:lang w:val="en-US"/>
                            </w:rPr>
                            <w:t>Word Count:</w:t>
                          </w:r>
                          <w:r w:rsidR="00331490">
                            <w:rPr>
                              <w:lang w:val="en-US"/>
                            </w:rPr>
                            <w:t xml:space="preserve"> 2200</w:t>
                          </w:r>
                        </w:p>
                      </w:txbxContent>
                    </v:textbox>
                    <w10:wrap type="square"/>
                  </v:shape>
                </w:pict>
              </mc:Fallback>
            </mc:AlternateContent>
          </w:r>
          <w:r w:rsidR="002663D0">
            <w:rPr>
              <w:noProof/>
            </w:rPr>
            <mc:AlternateContent>
              <mc:Choice Requires="wps">
                <w:drawing>
                  <wp:anchor distT="0" distB="0" distL="114300" distR="114300" simplePos="0" relativeHeight="251660288" behindDoc="0" locked="0" layoutInCell="1" allowOverlap="1" wp14:anchorId="1924EFE1" wp14:editId="46EA4655">
                    <wp:simplePos x="0" y="0"/>
                    <wp:positionH relativeFrom="page">
                      <wp:posOffset>2197100</wp:posOffset>
                    </wp:positionH>
                    <wp:positionV relativeFrom="page">
                      <wp:posOffset>1803400</wp:posOffset>
                    </wp:positionV>
                    <wp:extent cx="4933950" cy="1295400"/>
                    <wp:effectExtent l="0" t="0" r="0" b="0"/>
                    <wp:wrapNone/>
                    <wp:docPr id="1" name="Text Box 30"/>
                    <wp:cNvGraphicFramePr/>
                    <a:graphic xmlns:a="http://schemas.openxmlformats.org/drawingml/2006/main">
                      <a:graphicData uri="http://schemas.microsoft.com/office/word/2010/wordprocessingShape">
                        <wps:wsp>
                          <wps:cNvSpPr txBox="1"/>
                          <wps:spPr>
                            <a:xfrm>
                              <a:off x="0" y="0"/>
                              <a:ext cx="4933950" cy="1295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B07F9B6" w14:textId="06A0AA64" w:rsidR="002663D0" w:rsidRPr="002663D0" w:rsidRDefault="00000000" w:rsidP="002663D0">
                                <w:pPr>
                                  <w:pStyle w:val="NoSpacing"/>
                                  <w:jc w:val="center"/>
                                  <w:rPr>
                                    <w:rFonts w:ascii="Arial" w:eastAsiaTheme="majorEastAsia" w:hAnsi="Arial" w:cs="Arial"/>
                                    <w:color w:val="262626" w:themeColor="text1" w:themeTint="D9"/>
                                    <w:sz w:val="56"/>
                                    <w:szCs w:val="56"/>
                                  </w:rPr>
                                </w:pPr>
                                <w:sdt>
                                  <w:sdtPr>
                                    <w:rPr>
                                      <w:rFonts w:ascii="Arial" w:eastAsiaTheme="majorEastAsia" w:hAnsi="Arial" w:cs="Arial"/>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2663D0" w:rsidRPr="002663D0">
                                      <w:rPr>
                                        <w:rFonts w:ascii="Arial" w:eastAsiaTheme="majorEastAsia" w:hAnsi="Arial" w:cs="Arial"/>
                                        <w:color w:val="262626" w:themeColor="text1" w:themeTint="D9"/>
                                        <w:sz w:val="56"/>
                                        <w:szCs w:val="56"/>
                                      </w:rPr>
                                      <w:t>Principles of Health and Social Care Practice BMHP5016</w:t>
                                    </w:r>
                                  </w:sdtContent>
                                </w:sdt>
                              </w:p>
                              <w:p w14:paraId="4C036F91" w14:textId="0F9FA7E2" w:rsidR="002663D0" w:rsidRDefault="00000000">
                                <w:pPr>
                                  <w:spacing w:before="120"/>
                                  <w:rPr>
                                    <w:color w:val="404040" w:themeColor="text1" w:themeTint="BF"/>
                                    <w:sz w:val="36"/>
                                    <w:szCs w:val="36"/>
                                  </w:rPr>
                                </w:pPr>
                                <w:sdt>
                                  <w:sdtPr>
                                    <w:rPr>
                                      <w:rFonts w:ascii="Arial" w:hAnsi="Arial" w:cs="Arial"/>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D0254C">
                                      <w:rPr>
                                        <w:rFonts w:ascii="Arial" w:hAnsi="Arial" w:cs="Arial"/>
                                        <w:color w:val="404040" w:themeColor="text1" w:themeTint="BF"/>
                                        <w:sz w:val="36"/>
                                        <w:szCs w:val="36"/>
                                      </w:rPr>
                                      <w:t>Component 2: Written Assignment (Report)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924EFE1" id="Text Box 30" o:spid="_x0000_s1057" type="#_x0000_t202" style="position:absolute;margin-left:173pt;margin-top:142pt;width:388.5pt;height:102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" filled="f" stroked="f" strokeweight=".5pt">
                    <v:textbox inset="0,0,0,0">
                      <w:txbxContent>
                        <w:p w14:paraId="0B07F9B6" w14:textId="06A0AA64" w:rsidR="002663D0" w:rsidRPr="002663D0" w:rsidRDefault="00000000" w:rsidP="002663D0">
                          <w:pPr>
                            <w:pStyle w:val="NoSpacing"/>
                            <w:jc w:val="center"/>
                            <w:rPr>
                              <w:rFonts w:ascii="Arial" w:eastAsiaTheme="majorEastAsia" w:hAnsi="Arial" w:cs="Arial"/>
                              <w:color w:val="262626" w:themeColor="text1" w:themeTint="D9"/>
                              <w:sz w:val="56"/>
                              <w:szCs w:val="56"/>
                            </w:rPr>
                          </w:pPr>
                          <w:sdt>
                            <w:sdtPr>
                              <w:rPr>
                                <w:rFonts w:ascii="Arial" w:eastAsiaTheme="majorEastAsia" w:hAnsi="Arial" w:cs="Arial"/>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2663D0" w:rsidRPr="002663D0">
                                <w:rPr>
                                  <w:rFonts w:ascii="Arial" w:eastAsiaTheme="majorEastAsia" w:hAnsi="Arial" w:cs="Arial"/>
                                  <w:color w:val="262626" w:themeColor="text1" w:themeTint="D9"/>
                                  <w:sz w:val="56"/>
                                  <w:szCs w:val="56"/>
                                </w:rPr>
                                <w:t>Principles of Health and Social Care Practice BMHP5016</w:t>
                              </w:r>
                            </w:sdtContent>
                          </w:sdt>
                        </w:p>
                        <w:p w14:paraId="4C036F91" w14:textId="0F9FA7E2" w:rsidR="002663D0" w:rsidRDefault="00000000">
                          <w:pPr>
                            <w:spacing w:before="120"/>
                            <w:rPr>
                              <w:color w:val="404040" w:themeColor="text1" w:themeTint="BF"/>
                              <w:sz w:val="36"/>
                              <w:szCs w:val="36"/>
                            </w:rPr>
                          </w:pPr>
                          <w:sdt>
                            <w:sdtPr>
                              <w:rPr>
                                <w:rFonts w:ascii="Arial" w:hAnsi="Arial" w:cs="Arial"/>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D0254C">
                                <w:rPr>
                                  <w:rFonts w:ascii="Arial" w:hAnsi="Arial" w:cs="Arial"/>
                                  <w:color w:val="404040" w:themeColor="text1" w:themeTint="BF"/>
                                  <w:sz w:val="36"/>
                                  <w:szCs w:val="36"/>
                                </w:rPr>
                                <w:t>Component 2: Written Assignment (Report)</w:t>
                              </w:r>
                            </w:sdtContent>
                          </w:sdt>
                        </w:p>
                      </w:txbxContent>
                    </v:textbox>
                    <w10:wrap anchorx="page" anchory="page"/>
                  </v:shape>
                </w:pict>
              </mc:Fallback>
            </mc:AlternateContent>
          </w:r>
          <w:r w:rsidR="002663D0">
            <w:br w:type="page"/>
          </w:r>
        </w:p>
      </w:sdtContent>
    </w:sdt>
    <w:p w14:paraId="1E8CA11D" w14:textId="55EEAF02" w:rsidR="004A1781" w:rsidRPr="00331490" w:rsidRDefault="008113CE" w:rsidP="00331490">
      <w:pPr>
        <w:spacing w:line="360" w:lineRule="auto"/>
        <w:rPr>
          <w:rFonts w:ascii="Arial" w:hAnsi="Arial" w:cs="Arial"/>
          <w:b/>
          <w:bCs/>
          <w:sz w:val="22"/>
          <w:szCs w:val="22"/>
          <w:u w:val="single"/>
        </w:rPr>
      </w:pPr>
      <w:r w:rsidRPr="00331490">
        <w:rPr>
          <w:rFonts w:ascii="Arial" w:hAnsi="Arial" w:cs="Arial"/>
          <w:b/>
          <w:bCs/>
          <w:sz w:val="22"/>
          <w:szCs w:val="22"/>
          <w:u w:val="single"/>
        </w:rPr>
        <w:lastRenderedPageBreak/>
        <w:t>Abstract</w:t>
      </w:r>
    </w:p>
    <w:p w14:paraId="140D9F1E" w14:textId="046225D2" w:rsidR="004A1781" w:rsidRPr="00331490" w:rsidRDefault="004A1781" w:rsidP="00331490">
      <w:pPr>
        <w:spacing w:line="360" w:lineRule="auto"/>
        <w:rPr>
          <w:rFonts w:ascii="Arial" w:hAnsi="Arial" w:cs="Arial"/>
          <w:sz w:val="22"/>
          <w:szCs w:val="22"/>
        </w:rPr>
      </w:pPr>
      <w:r w:rsidRPr="00331490">
        <w:rPr>
          <w:rFonts w:ascii="Arial" w:hAnsi="Arial" w:cs="Arial"/>
          <w:sz w:val="22"/>
          <w:szCs w:val="22"/>
        </w:rPr>
        <w:t xml:space="preserve">Person-centred care (PCC) and partnership working (PW) are central to effective health and social care practice in the UK. This report examines these principles within adult social care for older adults living in the community. It explores the benefits and limitations of PCC, evaluates </w:t>
      </w:r>
      <w:proofErr w:type="spellStart"/>
      <w:r w:rsidRPr="00331490">
        <w:rPr>
          <w:rFonts w:ascii="Arial" w:hAnsi="Arial" w:cs="Arial"/>
          <w:sz w:val="22"/>
          <w:szCs w:val="22"/>
        </w:rPr>
        <w:t>Kitwood’s</w:t>
      </w:r>
      <w:proofErr w:type="spellEnd"/>
      <w:r w:rsidRPr="00331490">
        <w:rPr>
          <w:rFonts w:ascii="Arial" w:hAnsi="Arial" w:cs="Arial"/>
          <w:sz w:val="22"/>
          <w:szCs w:val="22"/>
        </w:rPr>
        <w:t xml:space="preserve"> Person-Centred Theory and considers the ethical principles that influence professional decision-making. The report also examines the role of partnership working and the impact of key legislation, including the Care Act 2014 and Health and Care Act 2022. </w:t>
      </w:r>
      <w:r w:rsidR="00EC5E85" w:rsidRPr="00331490">
        <w:rPr>
          <w:rFonts w:ascii="Arial" w:hAnsi="Arial" w:cs="Arial"/>
          <w:sz w:val="22"/>
          <w:szCs w:val="22"/>
        </w:rPr>
        <w:t>R</w:t>
      </w:r>
      <w:r w:rsidRPr="00331490">
        <w:rPr>
          <w:rFonts w:ascii="Arial" w:hAnsi="Arial" w:cs="Arial"/>
          <w:sz w:val="22"/>
          <w:szCs w:val="22"/>
        </w:rPr>
        <w:t>ecommendations are made to support future improvements in practice, including workforce development, better information sharing and increased investment in community-based services. Overall, the report argues that while PCC and PW can improve outcomes and quality of care, their effectiveness depends on successful implementation, collaboration and adequate resources.</w:t>
      </w:r>
    </w:p>
    <w:p w14:paraId="38737487" w14:textId="77777777" w:rsidR="000742F8" w:rsidRPr="00331490" w:rsidRDefault="000742F8" w:rsidP="00331490">
      <w:pPr>
        <w:spacing w:line="360" w:lineRule="auto"/>
        <w:rPr>
          <w:rFonts w:ascii="Arial" w:hAnsi="Arial" w:cs="Arial"/>
          <w:sz w:val="22"/>
          <w:szCs w:val="22"/>
        </w:rPr>
      </w:pPr>
    </w:p>
    <w:p w14:paraId="62CF34B2" w14:textId="09AE9EDA" w:rsidR="004A1781" w:rsidRPr="00331490" w:rsidRDefault="008113CE" w:rsidP="00331490">
      <w:pPr>
        <w:spacing w:line="360" w:lineRule="auto"/>
        <w:rPr>
          <w:rFonts w:ascii="Arial" w:hAnsi="Arial" w:cs="Arial"/>
          <w:b/>
          <w:bCs/>
          <w:sz w:val="22"/>
          <w:szCs w:val="22"/>
          <w:u w:val="single"/>
        </w:rPr>
      </w:pPr>
      <w:r w:rsidRPr="00331490">
        <w:rPr>
          <w:rFonts w:ascii="Arial" w:hAnsi="Arial" w:cs="Arial"/>
          <w:b/>
          <w:bCs/>
          <w:sz w:val="22"/>
          <w:szCs w:val="22"/>
          <w:u w:val="single"/>
        </w:rPr>
        <w:t>Introduction</w:t>
      </w:r>
    </w:p>
    <w:p w14:paraId="42256E1A" w14:textId="2D7FEA79" w:rsidR="004A1781" w:rsidRPr="00331490" w:rsidRDefault="004A1781" w:rsidP="00331490">
      <w:pPr>
        <w:spacing w:line="360" w:lineRule="auto"/>
        <w:rPr>
          <w:rFonts w:ascii="Arial" w:hAnsi="Arial" w:cs="Arial"/>
          <w:sz w:val="22"/>
          <w:szCs w:val="22"/>
        </w:rPr>
      </w:pPr>
      <w:r w:rsidRPr="00331490">
        <w:rPr>
          <w:rFonts w:ascii="Arial" w:hAnsi="Arial" w:cs="Arial"/>
          <w:sz w:val="22"/>
          <w:szCs w:val="22"/>
        </w:rPr>
        <w:t>Person-centred care and partnership working are central to modern health and social care practice. Increasingly complex health needs, an ageing population and growing expectations around choice and involvement have contributed to a move away from traditional service-led approaches towards more personalised and collaborative models of care (NHS England, 2024). Within adult social care, these principles are particularly important as older adults often require support from a range of professionals while maintaining independence</w:t>
      </w:r>
      <w:r w:rsidR="00EC5E85" w:rsidRPr="00331490">
        <w:rPr>
          <w:rFonts w:ascii="Arial" w:hAnsi="Arial" w:cs="Arial"/>
          <w:sz w:val="22"/>
          <w:szCs w:val="22"/>
        </w:rPr>
        <w:t>.</w:t>
      </w:r>
    </w:p>
    <w:p w14:paraId="30FDA254" w14:textId="1F297685" w:rsidR="004A1781" w:rsidRPr="00331490" w:rsidRDefault="004A1781" w:rsidP="00331490">
      <w:pPr>
        <w:spacing w:line="360" w:lineRule="auto"/>
        <w:rPr>
          <w:rFonts w:ascii="Arial" w:hAnsi="Arial" w:cs="Arial"/>
          <w:sz w:val="22"/>
          <w:szCs w:val="22"/>
        </w:rPr>
      </w:pPr>
      <w:r w:rsidRPr="00331490">
        <w:rPr>
          <w:rFonts w:ascii="Arial" w:hAnsi="Arial" w:cs="Arial"/>
          <w:sz w:val="22"/>
          <w:szCs w:val="22"/>
        </w:rPr>
        <w:t xml:space="preserve">This report critically examines person-centred care and partnership working within adult social care for older adults living </w:t>
      </w:r>
      <w:r w:rsidR="00EE2C4C" w:rsidRPr="00331490">
        <w:rPr>
          <w:rFonts w:ascii="Arial" w:hAnsi="Arial" w:cs="Arial"/>
          <w:sz w:val="22"/>
          <w:szCs w:val="22"/>
        </w:rPr>
        <w:t>independently</w:t>
      </w:r>
      <w:r w:rsidRPr="00331490">
        <w:rPr>
          <w:rFonts w:ascii="Arial" w:hAnsi="Arial" w:cs="Arial"/>
          <w:sz w:val="22"/>
          <w:szCs w:val="22"/>
        </w:rPr>
        <w:t xml:space="preserve">. It explores the benefits and limitations of person-centred care, examines </w:t>
      </w:r>
      <w:proofErr w:type="spellStart"/>
      <w:r w:rsidRPr="00331490">
        <w:rPr>
          <w:rFonts w:ascii="Arial" w:hAnsi="Arial" w:cs="Arial"/>
          <w:sz w:val="22"/>
          <w:szCs w:val="22"/>
        </w:rPr>
        <w:t>Kitwood's</w:t>
      </w:r>
      <w:proofErr w:type="spellEnd"/>
      <w:r w:rsidRPr="00331490">
        <w:rPr>
          <w:rFonts w:ascii="Arial" w:hAnsi="Arial" w:cs="Arial"/>
          <w:sz w:val="22"/>
          <w:szCs w:val="22"/>
        </w:rPr>
        <w:t xml:space="preserve"> Person-Centred Theory and considers the ethical principles that influence professional decision-making. The report also evaluates partnership working, discusses the impact of relevant legislation and policy, and makes recommendations for future development within UK health and social care services.</w:t>
      </w:r>
    </w:p>
    <w:p w14:paraId="7BADCF85" w14:textId="77777777" w:rsidR="000742F8" w:rsidRPr="00331490" w:rsidRDefault="000742F8" w:rsidP="00331490">
      <w:pPr>
        <w:spacing w:line="360" w:lineRule="auto"/>
        <w:rPr>
          <w:rFonts w:ascii="Arial" w:hAnsi="Arial" w:cs="Arial"/>
          <w:sz w:val="22"/>
          <w:szCs w:val="22"/>
        </w:rPr>
      </w:pPr>
    </w:p>
    <w:p w14:paraId="7D3D934C" w14:textId="77777777" w:rsidR="008113CE" w:rsidRPr="00331490" w:rsidRDefault="008113CE" w:rsidP="00331490">
      <w:pPr>
        <w:spacing w:line="360" w:lineRule="auto"/>
        <w:rPr>
          <w:rFonts w:ascii="Arial" w:hAnsi="Arial" w:cs="Arial"/>
          <w:b/>
          <w:bCs/>
          <w:sz w:val="22"/>
          <w:szCs w:val="22"/>
          <w:u w:val="single"/>
        </w:rPr>
      </w:pPr>
      <w:r w:rsidRPr="00331490">
        <w:rPr>
          <w:rFonts w:ascii="Arial" w:hAnsi="Arial" w:cs="Arial"/>
          <w:b/>
          <w:bCs/>
          <w:sz w:val="22"/>
          <w:szCs w:val="22"/>
          <w:u w:val="single"/>
        </w:rPr>
        <w:t>1. Person-Centred Care: Definition, Benefits and Limitations</w:t>
      </w:r>
    </w:p>
    <w:p w14:paraId="2F6C6F8D" w14:textId="370846F4" w:rsidR="00EE2C4C" w:rsidRPr="00331490" w:rsidRDefault="00EE2C4C" w:rsidP="00331490">
      <w:pPr>
        <w:spacing w:line="360" w:lineRule="auto"/>
        <w:rPr>
          <w:rFonts w:ascii="Arial" w:hAnsi="Arial" w:cs="Arial"/>
          <w:sz w:val="22"/>
          <w:szCs w:val="22"/>
        </w:rPr>
      </w:pPr>
      <w:r w:rsidRPr="00331490">
        <w:rPr>
          <w:rFonts w:ascii="Arial" w:hAnsi="Arial" w:cs="Arial"/>
          <w:sz w:val="22"/>
          <w:szCs w:val="22"/>
        </w:rPr>
        <w:t xml:space="preserve">Person-centred care (PCC) is an approach that places individuals at the centre of decisions about their care and support. Rather than focusing solely on a person's condition or service needs, PCC seeks to understand their preferences and desired outcomes. NHS England (2024) describes personalised care as giving people greater choice and control over decisions affecting their health and wellbeing. Similarly, the Social Care Institute for </w:t>
      </w:r>
      <w:r w:rsidRPr="00331490">
        <w:rPr>
          <w:rFonts w:ascii="Arial" w:hAnsi="Arial" w:cs="Arial"/>
          <w:sz w:val="22"/>
          <w:szCs w:val="22"/>
        </w:rPr>
        <w:lastRenderedPageBreak/>
        <w:t>Excellence (SCIE, 2023) argues that care should focus on what matters most to the individual. Within adult social care, this is particularly important as older adults often require ongoing support while wishing to maintain as much independence as possible.</w:t>
      </w:r>
    </w:p>
    <w:p w14:paraId="6E004E22" w14:textId="77777777" w:rsidR="00EE2C4C" w:rsidRPr="00331490" w:rsidRDefault="00EE2C4C" w:rsidP="00331490">
      <w:pPr>
        <w:spacing w:line="360" w:lineRule="auto"/>
        <w:rPr>
          <w:rFonts w:ascii="Arial" w:hAnsi="Arial" w:cs="Arial"/>
          <w:sz w:val="22"/>
          <w:szCs w:val="22"/>
        </w:rPr>
      </w:pPr>
      <w:r w:rsidRPr="00331490">
        <w:rPr>
          <w:rFonts w:ascii="Arial" w:hAnsi="Arial" w:cs="Arial"/>
          <w:sz w:val="22"/>
          <w:szCs w:val="22"/>
        </w:rPr>
        <w:t>A key benefit of PCC is that it promotes dignity, autonomy and involvement in decision-making. Santana et al. (2018) suggest that involving individuals in their care can improve engagement and health outcomes. Barry and Edgman-Levitan (2012) further argue that shared decision-making is central to person-centred practice because it recognises individuals as active participants in their care. As a result, PCC can contribute to improved wellbeing and greater confidence in managing health and social care needs.</w:t>
      </w:r>
    </w:p>
    <w:p w14:paraId="1CC26D5C" w14:textId="77777777" w:rsidR="00EE2C4C" w:rsidRPr="00331490" w:rsidRDefault="00EE2C4C" w:rsidP="00331490">
      <w:pPr>
        <w:spacing w:line="360" w:lineRule="auto"/>
        <w:rPr>
          <w:rFonts w:ascii="Arial" w:hAnsi="Arial" w:cs="Arial"/>
          <w:sz w:val="22"/>
          <w:szCs w:val="22"/>
        </w:rPr>
      </w:pPr>
      <w:r w:rsidRPr="00331490">
        <w:rPr>
          <w:rFonts w:ascii="Arial" w:hAnsi="Arial" w:cs="Arial"/>
          <w:sz w:val="22"/>
          <w:szCs w:val="22"/>
        </w:rPr>
        <w:t>Despite these benefits, PCC can be difficult to achieve consistently in practice. Workforce shortages, increasing demand and financial pressures can limit the ability of services to provide genuinely personalised care. Although policies promote individual choice, the options available may be restricted by local resources, raising questions about whether genuine choice can always be achieved.</w:t>
      </w:r>
    </w:p>
    <w:p w14:paraId="69EA1166" w14:textId="77777777" w:rsidR="00EE2C4C" w:rsidRPr="00331490" w:rsidRDefault="00EE2C4C" w:rsidP="00331490">
      <w:pPr>
        <w:spacing w:line="360" w:lineRule="auto"/>
        <w:rPr>
          <w:rFonts w:ascii="Arial" w:hAnsi="Arial" w:cs="Arial"/>
          <w:sz w:val="22"/>
          <w:szCs w:val="22"/>
        </w:rPr>
      </w:pPr>
      <w:r w:rsidRPr="00331490">
        <w:rPr>
          <w:rFonts w:ascii="Arial" w:hAnsi="Arial" w:cs="Arial"/>
          <w:sz w:val="22"/>
          <w:szCs w:val="22"/>
        </w:rPr>
        <w:t>PCC can also create tensions between respecting autonomy and managing risk. While professionals should support informed decision-making, they also have a responsibility to promote safety and wellbeing. Consequently, balancing personal preferences with professional responsibilities can be challenging. Although PCC remains a key principle of modern health and social care, its success depends on adequate resources, skilled professionals and organisational commitment (CQC, 2024). Therefore, its effectiveness is influenced not only by professional practice but also by wider pressures within adult social care.</w:t>
      </w:r>
    </w:p>
    <w:p w14:paraId="1124EA2F" w14:textId="77777777" w:rsidR="000742F8" w:rsidRPr="00331490" w:rsidRDefault="000742F8" w:rsidP="00331490">
      <w:pPr>
        <w:spacing w:line="360" w:lineRule="auto"/>
        <w:rPr>
          <w:rFonts w:ascii="Arial" w:hAnsi="Arial" w:cs="Arial"/>
          <w:sz w:val="22"/>
          <w:szCs w:val="22"/>
        </w:rPr>
      </w:pPr>
    </w:p>
    <w:p w14:paraId="3CFBB6C2" w14:textId="77777777" w:rsidR="000742F8" w:rsidRPr="00331490" w:rsidRDefault="000742F8" w:rsidP="00331490">
      <w:pPr>
        <w:spacing w:line="360" w:lineRule="auto"/>
        <w:rPr>
          <w:rFonts w:ascii="Arial" w:hAnsi="Arial" w:cs="Arial"/>
          <w:b/>
          <w:bCs/>
          <w:sz w:val="22"/>
          <w:szCs w:val="22"/>
          <w:u w:val="single"/>
        </w:rPr>
      </w:pPr>
      <w:r w:rsidRPr="00331490">
        <w:rPr>
          <w:rFonts w:ascii="Arial" w:hAnsi="Arial" w:cs="Arial"/>
          <w:b/>
          <w:bCs/>
          <w:sz w:val="22"/>
          <w:szCs w:val="22"/>
          <w:u w:val="single"/>
        </w:rPr>
        <w:t>2. Theory Underpinning Person-Centred Care</w:t>
      </w:r>
    </w:p>
    <w:p w14:paraId="5E70167C" w14:textId="04488DCA" w:rsidR="00EE2C4C" w:rsidRPr="00331490" w:rsidRDefault="00EE2C4C" w:rsidP="00331490">
      <w:pPr>
        <w:spacing w:line="360" w:lineRule="auto"/>
        <w:rPr>
          <w:rFonts w:ascii="Arial" w:hAnsi="Arial" w:cs="Arial"/>
          <w:sz w:val="22"/>
          <w:szCs w:val="22"/>
        </w:rPr>
      </w:pPr>
      <w:proofErr w:type="spellStart"/>
      <w:r w:rsidRPr="00331490">
        <w:rPr>
          <w:rFonts w:ascii="Arial" w:hAnsi="Arial" w:cs="Arial"/>
          <w:sz w:val="22"/>
          <w:szCs w:val="22"/>
        </w:rPr>
        <w:t>Kitwood's</w:t>
      </w:r>
      <w:proofErr w:type="spellEnd"/>
      <w:r w:rsidRPr="00331490">
        <w:rPr>
          <w:rFonts w:ascii="Arial" w:hAnsi="Arial" w:cs="Arial"/>
          <w:sz w:val="22"/>
          <w:szCs w:val="22"/>
        </w:rPr>
        <w:t xml:space="preserve"> Person-Centred Theory is commonly associated with person-centred care. Although developed within dementia care, it has influenced wider health and social care practice. </w:t>
      </w:r>
      <w:proofErr w:type="spellStart"/>
      <w:r w:rsidRPr="00331490">
        <w:rPr>
          <w:rFonts w:ascii="Arial" w:hAnsi="Arial" w:cs="Arial"/>
          <w:sz w:val="22"/>
          <w:szCs w:val="22"/>
        </w:rPr>
        <w:t>Kitwood</w:t>
      </w:r>
      <w:proofErr w:type="spellEnd"/>
      <w:r w:rsidRPr="00331490">
        <w:rPr>
          <w:rFonts w:ascii="Arial" w:hAnsi="Arial" w:cs="Arial"/>
          <w:sz w:val="22"/>
          <w:szCs w:val="22"/>
        </w:rPr>
        <w:t xml:space="preserve"> (1997) argued that individuals should be viewed as unique people with their own identity</w:t>
      </w:r>
      <w:r w:rsidR="00331490" w:rsidRPr="00331490">
        <w:rPr>
          <w:rFonts w:ascii="Arial" w:hAnsi="Arial" w:cs="Arial"/>
          <w:sz w:val="22"/>
          <w:szCs w:val="22"/>
        </w:rPr>
        <w:t xml:space="preserve"> </w:t>
      </w:r>
      <w:r w:rsidRPr="00331490">
        <w:rPr>
          <w:rFonts w:ascii="Arial" w:hAnsi="Arial" w:cs="Arial"/>
          <w:sz w:val="22"/>
          <w:szCs w:val="22"/>
        </w:rPr>
        <w:t>and experiences rather than being defined by illness or care needs. Central to the theory is the concept of personhood, which emphasises dignity, respect and meaningful relationships.</w:t>
      </w:r>
    </w:p>
    <w:p w14:paraId="0D1B7342" w14:textId="77777777" w:rsidR="00EE2C4C" w:rsidRPr="00331490" w:rsidRDefault="00EE2C4C" w:rsidP="00331490">
      <w:pPr>
        <w:spacing w:line="360" w:lineRule="auto"/>
        <w:rPr>
          <w:rFonts w:ascii="Arial" w:hAnsi="Arial" w:cs="Arial"/>
          <w:sz w:val="22"/>
          <w:szCs w:val="22"/>
        </w:rPr>
      </w:pPr>
      <w:r w:rsidRPr="00331490">
        <w:rPr>
          <w:rFonts w:ascii="Arial" w:hAnsi="Arial" w:cs="Arial"/>
          <w:sz w:val="22"/>
          <w:szCs w:val="22"/>
        </w:rPr>
        <w:t xml:space="preserve">A key strength of the theory is its focus on seeing the person beyond their condition. Within adult social care, older adults may require support with personal care, mobility or medication, yet the theory encourages professionals to consider social, emotional and psychological needs alongside physical needs. Santana et al. (2018) similarly argue that person-centred </w:t>
      </w:r>
      <w:r w:rsidRPr="00331490">
        <w:rPr>
          <w:rFonts w:ascii="Arial" w:hAnsi="Arial" w:cs="Arial"/>
          <w:sz w:val="22"/>
          <w:szCs w:val="22"/>
        </w:rPr>
        <w:lastRenderedPageBreak/>
        <w:t>care is most effective when support is tailored to an individual's values and desired outcomes. This supports a more holistic approach to care.</w:t>
      </w:r>
    </w:p>
    <w:p w14:paraId="71216724" w14:textId="77777777" w:rsidR="00EE2C4C" w:rsidRPr="00331490" w:rsidRDefault="00EE2C4C" w:rsidP="00331490">
      <w:pPr>
        <w:spacing w:line="360" w:lineRule="auto"/>
        <w:rPr>
          <w:rFonts w:ascii="Arial" w:hAnsi="Arial" w:cs="Arial"/>
          <w:sz w:val="22"/>
          <w:szCs w:val="22"/>
        </w:rPr>
      </w:pPr>
      <w:r w:rsidRPr="00331490">
        <w:rPr>
          <w:rFonts w:ascii="Arial" w:hAnsi="Arial" w:cs="Arial"/>
          <w:sz w:val="22"/>
          <w:szCs w:val="22"/>
        </w:rPr>
        <w:t>The theory also highlights the importance of positive relationships between service users, families and professionals, which can improve trust, communication and engagement with services.</w:t>
      </w:r>
    </w:p>
    <w:p w14:paraId="297ECAD0" w14:textId="77777777" w:rsidR="00EE2C4C" w:rsidRPr="00331490" w:rsidRDefault="00EE2C4C" w:rsidP="00331490">
      <w:pPr>
        <w:spacing w:line="360" w:lineRule="auto"/>
        <w:rPr>
          <w:rFonts w:ascii="Arial" w:hAnsi="Arial" w:cs="Arial"/>
          <w:sz w:val="22"/>
          <w:szCs w:val="22"/>
        </w:rPr>
      </w:pPr>
      <w:r w:rsidRPr="00331490">
        <w:rPr>
          <w:rFonts w:ascii="Arial" w:hAnsi="Arial" w:cs="Arial"/>
          <w:sz w:val="22"/>
          <w:szCs w:val="22"/>
        </w:rPr>
        <w:t xml:space="preserve">However, there are limitations when applying the theory in practice. Workforce shortages, limited resources and increasing demand can restrict opportunities for genuinely individualised care. In addition, </w:t>
      </w:r>
      <w:proofErr w:type="spellStart"/>
      <w:r w:rsidRPr="00331490">
        <w:rPr>
          <w:rFonts w:ascii="Arial" w:hAnsi="Arial" w:cs="Arial"/>
          <w:sz w:val="22"/>
          <w:szCs w:val="22"/>
        </w:rPr>
        <w:t>Kitwood</w:t>
      </w:r>
      <w:proofErr w:type="spellEnd"/>
      <w:r w:rsidRPr="00331490">
        <w:rPr>
          <w:rFonts w:ascii="Arial" w:hAnsi="Arial" w:cs="Arial"/>
          <w:sz w:val="22"/>
          <w:szCs w:val="22"/>
        </w:rPr>
        <w:t xml:space="preserve"> provides limited guidance on how professionals should respond when a person's preferences conflict with issues of risk or safeguarding. Therefore, while the theory offers a useful framework for person-centred care, its success depends on whether organisations have the resources and capacity to put its principles into practice.</w:t>
      </w:r>
    </w:p>
    <w:p w14:paraId="1FFF05D7" w14:textId="77777777" w:rsidR="000742F8" w:rsidRPr="00331490" w:rsidRDefault="000742F8" w:rsidP="00331490">
      <w:pPr>
        <w:spacing w:line="360" w:lineRule="auto"/>
        <w:rPr>
          <w:rFonts w:ascii="Arial" w:hAnsi="Arial" w:cs="Arial"/>
          <w:sz w:val="22"/>
          <w:szCs w:val="22"/>
        </w:rPr>
      </w:pPr>
    </w:p>
    <w:p w14:paraId="62DCDFB6" w14:textId="77777777" w:rsidR="000742F8" w:rsidRPr="00331490" w:rsidRDefault="000742F8" w:rsidP="00331490">
      <w:pPr>
        <w:spacing w:line="360" w:lineRule="auto"/>
        <w:rPr>
          <w:rFonts w:ascii="Arial" w:hAnsi="Arial" w:cs="Arial"/>
          <w:b/>
          <w:bCs/>
          <w:sz w:val="22"/>
          <w:szCs w:val="22"/>
          <w:u w:val="single"/>
        </w:rPr>
      </w:pPr>
      <w:r w:rsidRPr="00331490">
        <w:rPr>
          <w:rFonts w:ascii="Arial" w:hAnsi="Arial" w:cs="Arial"/>
          <w:b/>
          <w:bCs/>
          <w:sz w:val="22"/>
          <w:szCs w:val="22"/>
          <w:u w:val="single"/>
        </w:rPr>
        <w:t>3. Ethical Fundamentals of Health and Social Care</w:t>
      </w:r>
    </w:p>
    <w:p w14:paraId="66A96236" w14:textId="77777777" w:rsidR="00EE2C4C" w:rsidRPr="00331490" w:rsidRDefault="00EE2C4C" w:rsidP="00331490">
      <w:pPr>
        <w:spacing w:line="360" w:lineRule="auto"/>
        <w:rPr>
          <w:rFonts w:ascii="Arial" w:hAnsi="Arial" w:cs="Arial"/>
          <w:sz w:val="22"/>
          <w:szCs w:val="22"/>
        </w:rPr>
      </w:pPr>
      <w:r w:rsidRPr="00331490">
        <w:rPr>
          <w:rFonts w:ascii="Arial" w:hAnsi="Arial" w:cs="Arial"/>
          <w:sz w:val="22"/>
          <w:szCs w:val="22"/>
        </w:rPr>
        <w:t>Ethical principles play an important role in guiding decision-making within health and social care, particularly when professionals must balance individual preferences with their duty of care. Beauchamp and Childress (2019) identify four key principles that underpin professional practice: autonomy, beneficence, non-maleficence and justice. Together, these principles support person-centred care and partnership working by promoting fair and respectful decision-making.</w:t>
      </w:r>
    </w:p>
    <w:p w14:paraId="0B299C78" w14:textId="77777777" w:rsidR="00EE2C4C" w:rsidRPr="00331490" w:rsidRDefault="00EE2C4C" w:rsidP="00331490">
      <w:pPr>
        <w:spacing w:line="360" w:lineRule="auto"/>
        <w:rPr>
          <w:rFonts w:ascii="Arial" w:hAnsi="Arial" w:cs="Arial"/>
          <w:sz w:val="22"/>
          <w:szCs w:val="22"/>
        </w:rPr>
      </w:pPr>
      <w:r w:rsidRPr="00331490">
        <w:rPr>
          <w:rFonts w:ascii="Arial" w:hAnsi="Arial" w:cs="Arial"/>
          <w:sz w:val="22"/>
          <w:szCs w:val="22"/>
        </w:rPr>
        <w:t>Autonomy refers to an individual's right to make informed decisions about their own care. Within adult social care, an older adult may choose to decline support or treatment despite professional advice. Respecting these decisions is central to person-centred care, although professionals may also have concerns about potential risks, creating tension between autonomy and duty of care.</w:t>
      </w:r>
    </w:p>
    <w:p w14:paraId="56645BD1" w14:textId="77777777" w:rsidR="00EE2C4C" w:rsidRPr="00331490" w:rsidRDefault="00EE2C4C" w:rsidP="00331490">
      <w:pPr>
        <w:spacing w:line="360" w:lineRule="auto"/>
        <w:rPr>
          <w:rFonts w:ascii="Arial" w:hAnsi="Arial" w:cs="Arial"/>
          <w:sz w:val="22"/>
          <w:szCs w:val="22"/>
        </w:rPr>
      </w:pPr>
      <w:r w:rsidRPr="00331490">
        <w:rPr>
          <w:rFonts w:ascii="Arial" w:hAnsi="Arial" w:cs="Arial"/>
          <w:sz w:val="22"/>
          <w:szCs w:val="22"/>
        </w:rPr>
        <w:t>Beneficence and non-maleficence require professionals to promote wellbeing while avoiding harm. Applying these principles can be challenging when different views exist about what is in a person's best interests. For example, an older adult may see additional support as a threat to their independence, while professionals view it as beneficial. In such situations, effective partnership working and shared decision-making can help reach balanced outcomes.</w:t>
      </w:r>
    </w:p>
    <w:p w14:paraId="632351EA" w14:textId="77777777" w:rsidR="00EE2C4C" w:rsidRPr="00331490" w:rsidRDefault="00EE2C4C" w:rsidP="00331490">
      <w:pPr>
        <w:spacing w:line="360" w:lineRule="auto"/>
        <w:rPr>
          <w:rFonts w:ascii="Arial" w:hAnsi="Arial" w:cs="Arial"/>
          <w:sz w:val="22"/>
          <w:szCs w:val="22"/>
        </w:rPr>
      </w:pPr>
      <w:r w:rsidRPr="00331490">
        <w:rPr>
          <w:rFonts w:ascii="Arial" w:hAnsi="Arial" w:cs="Arial"/>
          <w:sz w:val="22"/>
          <w:szCs w:val="22"/>
        </w:rPr>
        <w:t xml:space="preserve">The principle of justice focuses on fairness, equality and access to services. This is supported by the Equality Act 2010 and Human Rights Act 1998, which promote equal </w:t>
      </w:r>
      <w:r w:rsidRPr="00331490">
        <w:rPr>
          <w:rFonts w:ascii="Arial" w:hAnsi="Arial" w:cs="Arial"/>
          <w:sz w:val="22"/>
          <w:szCs w:val="22"/>
        </w:rPr>
        <w:lastRenderedPageBreak/>
        <w:t>treatment, dignity and respect. However, limited resources can affect service provision, meaning ethical decisions often involve balancing competing priorities rather than applying simple rules.</w:t>
      </w:r>
    </w:p>
    <w:p w14:paraId="5D0A7AE9" w14:textId="77777777" w:rsidR="00EE2C4C" w:rsidRPr="00331490" w:rsidRDefault="00EE2C4C" w:rsidP="00331490">
      <w:pPr>
        <w:spacing w:line="360" w:lineRule="auto"/>
        <w:rPr>
          <w:rFonts w:ascii="Arial" w:hAnsi="Arial" w:cs="Arial"/>
          <w:sz w:val="22"/>
          <w:szCs w:val="22"/>
        </w:rPr>
      </w:pPr>
      <w:r w:rsidRPr="00331490">
        <w:rPr>
          <w:rFonts w:ascii="Arial" w:hAnsi="Arial" w:cs="Arial"/>
          <w:sz w:val="22"/>
          <w:szCs w:val="22"/>
        </w:rPr>
        <w:t>Overall, ethical principles support person-centred and collaborative practice, but applying them in real situations often requires professional judgement and negotiation between different viewpoints.</w:t>
      </w:r>
    </w:p>
    <w:p w14:paraId="2800BA22" w14:textId="77777777" w:rsidR="000742F8" w:rsidRPr="00331490" w:rsidRDefault="000742F8" w:rsidP="00331490">
      <w:pPr>
        <w:spacing w:line="360" w:lineRule="auto"/>
        <w:rPr>
          <w:rFonts w:ascii="Arial" w:hAnsi="Arial" w:cs="Arial"/>
          <w:sz w:val="22"/>
          <w:szCs w:val="22"/>
        </w:rPr>
      </w:pPr>
    </w:p>
    <w:p w14:paraId="384ACFF3" w14:textId="77777777" w:rsidR="000742F8" w:rsidRPr="00331490" w:rsidRDefault="000742F8" w:rsidP="00331490">
      <w:pPr>
        <w:spacing w:line="360" w:lineRule="auto"/>
        <w:rPr>
          <w:rFonts w:ascii="Arial" w:hAnsi="Arial" w:cs="Arial"/>
          <w:b/>
          <w:bCs/>
          <w:sz w:val="22"/>
          <w:szCs w:val="22"/>
          <w:u w:val="single"/>
        </w:rPr>
      </w:pPr>
      <w:r w:rsidRPr="00331490">
        <w:rPr>
          <w:rFonts w:ascii="Arial" w:hAnsi="Arial" w:cs="Arial"/>
          <w:b/>
          <w:bCs/>
          <w:sz w:val="22"/>
          <w:szCs w:val="22"/>
          <w:u w:val="single"/>
        </w:rPr>
        <w:t>4. Evaluation of Partnership Working</w:t>
      </w:r>
    </w:p>
    <w:p w14:paraId="406B750A" w14:textId="77777777" w:rsidR="00EE2C4C" w:rsidRPr="00331490" w:rsidRDefault="00EE2C4C" w:rsidP="00331490">
      <w:pPr>
        <w:spacing w:line="360" w:lineRule="auto"/>
        <w:rPr>
          <w:rFonts w:ascii="Arial" w:hAnsi="Arial" w:cs="Arial"/>
          <w:sz w:val="22"/>
          <w:szCs w:val="22"/>
        </w:rPr>
      </w:pPr>
      <w:r w:rsidRPr="00331490">
        <w:rPr>
          <w:rFonts w:ascii="Arial" w:hAnsi="Arial" w:cs="Arial"/>
          <w:sz w:val="22"/>
          <w:szCs w:val="22"/>
        </w:rPr>
        <w:t>Partnership working involves professionals, organisations, service users and families working together to improve outcomes. It has become increasingly important as health and social care needs have become more complex and often require support from multiple services. The World Health Organization (WHO, 2023) argues that integrated, people-centred services can improve care quality by reducing fragmentation between providers. Similarly, the Health and Care Act 2022 introduced Integrated Care Systems (ICSs) to strengthen collaboration across health and social care services in England.</w:t>
      </w:r>
    </w:p>
    <w:p w14:paraId="7575E542" w14:textId="77777777" w:rsidR="00EE2C4C" w:rsidRPr="00331490" w:rsidRDefault="00EE2C4C" w:rsidP="00331490">
      <w:pPr>
        <w:spacing w:line="360" w:lineRule="auto"/>
        <w:rPr>
          <w:rFonts w:ascii="Arial" w:hAnsi="Arial" w:cs="Arial"/>
          <w:sz w:val="22"/>
          <w:szCs w:val="22"/>
        </w:rPr>
      </w:pPr>
      <w:r w:rsidRPr="00331490">
        <w:rPr>
          <w:rFonts w:ascii="Arial" w:hAnsi="Arial" w:cs="Arial"/>
          <w:sz w:val="22"/>
          <w:szCs w:val="22"/>
        </w:rPr>
        <w:t>A key benefit of partnership working is that it allows professionals to combine their knowledge and expertise when addressing complex needs. Reeves et al. (2017) suggest that effective interprofessional collaboration can improve communication, reduce duplication and enhance care quality. Within adult social care, collaborative working can help ensure support is coordinated and responsive to changing needs.</w:t>
      </w:r>
    </w:p>
    <w:p w14:paraId="46E91302" w14:textId="77777777" w:rsidR="00EE2C4C" w:rsidRPr="00331490" w:rsidRDefault="00EE2C4C" w:rsidP="00331490">
      <w:pPr>
        <w:spacing w:line="360" w:lineRule="auto"/>
        <w:rPr>
          <w:rFonts w:ascii="Arial" w:hAnsi="Arial" w:cs="Arial"/>
          <w:sz w:val="22"/>
          <w:szCs w:val="22"/>
        </w:rPr>
      </w:pPr>
      <w:r w:rsidRPr="00331490">
        <w:rPr>
          <w:rFonts w:ascii="Arial" w:hAnsi="Arial" w:cs="Arial"/>
          <w:sz w:val="22"/>
          <w:szCs w:val="22"/>
        </w:rPr>
        <w:t>Partnership working also supports person-centred care. Glasby and Dickinson (2014) argue that integrated services are better able to focus on the needs of individuals rather than organisational boundaries. Effective communication between professionals can improve continuity of care and reduce delays in support.</w:t>
      </w:r>
    </w:p>
    <w:p w14:paraId="768AFB48" w14:textId="43B5E8B1" w:rsidR="00EE2C4C" w:rsidRPr="00331490" w:rsidRDefault="00EE2C4C" w:rsidP="00331490">
      <w:pPr>
        <w:spacing w:line="360" w:lineRule="auto"/>
        <w:rPr>
          <w:rFonts w:ascii="Arial" w:hAnsi="Arial" w:cs="Arial"/>
          <w:sz w:val="22"/>
          <w:szCs w:val="22"/>
        </w:rPr>
      </w:pPr>
      <w:r w:rsidRPr="00331490">
        <w:rPr>
          <w:rFonts w:ascii="Arial" w:hAnsi="Arial" w:cs="Arial"/>
          <w:sz w:val="22"/>
          <w:szCs w:val="22"/>
        </w:rPr>
        <w:t>However, partnership working is not always achieved in practice. Communication difficulties, information-sharing barriers and differing professional priorities can affect collaboration between services. Reeves et al. (2017) note that different approaches to decision-making may create tensions when agreeing care priorities. In addition, resource pressures can make coordinated working more difficult. Although Integrated Care Systems aim to address these issues, legislation alone cannot guarantee effective collaboration.</w:t>
      </w:r>
    </w:p>
    <w:p w14:paraId="4CD6E4E7" w14:textId="77777777" w:rsidR="00EE2C4C" w:rsidRPr="00331490" w:rsidRDefault="00EE2C4C" w:rsidP="00331490">
      <w:pPr>
        <w:spacing w:line="360" w:lineRule="auto"/>
        <w:rPr>
          <w:rFonts w:ascii="Arial" w:hAnsi="Arial" w:cs="Arial"/>
          <w:sz w:val="22"/>
          <w:szCs w:val="22"/>
        </w:rPr>
      </w:pPr>
      <w:r w:rsidRPr="00331490">
        <w:rPr>
          <w:rFonts w:ascii="Arial" w:hAnsi="Arial" w:cs="Arial"/>
          <w:sz w:val="22"/>
          <w:szCs w:val="22"/>
        </w:rPr>
        <w:t xml:space="preserve">Therefore, while partnership working can improve service delivery and outcomes, its success depends on effective communication, mutual trust and a shared commitment to </w:t>
      </w:r>
      <w:r w:rsidRPr="00331490">
        <w:rPr>
          <w:rFonts w:ascii="Arial" w:hAnsi="Arial" w:cs="Arial"/>
          <w:sz w:val="22"/>
          <w:szCs w:val="22"/>
        </w:rPr>
        <w:lastRenderedPageBreak/>
        <w:t>person-centred care. Without these factors, services may become fragmented, affecting the quality and continuity of support available to individuals.</w:t>
      </w:r>
    </w:p>
    <w:p w14:paraId="7E0C90F1" w14:textId="77777777" w:rsidR="000742F8" w:rsidRPr="00331490" w:rsidRDefault="000742F8" w:rsidP="00331490">
      <w:pPr>
        <w:spacing w:line="360" w:lineRule="auto"/>
        <w:rPr>
          <w:rFonts w:ascii="Arial" w:hAnsi="Arial" w:cs="Arial"/>
          <w:sz w:val="22"/>
          <w:szCs w:val="22"/>
        </w:rPr>
      </w:pPr>
    </w:p>
    <w:p w14:paraId="5E183F3F" w14:textId="77777777" w:rsidR="000742F8" w:rsidRPr="00331490" w:rsidRDefault="000742F8" w:rsidP="00331490">
      <w:pPr>
        <w:spacing w:line="360" w:lineRule="auto"/>
        <w:rPr>
          <w:rFonts w:ascii="Arial" w:hAnsi="Arial" w:cs="Arial"/>
          <w:b/>
          <w:bCs/>
          <w:sz w:val="22"/>
          <w:szCs w:val="22"/>
          <w:u w:val="single"/>
        </w:rPr>
      </w:pPr>
      <w:r w:rsidRPr="00331490">
        <w:rPr>
          <w:rFonts w:ascii="Arial" w:hAnsi="Arial" w:cs="Arial"/>
          <w:b/>
          <w:bCs/>
          <w:sz w:val="22"/>
          <w:szCs w:val="22"/>
          <w:u w:val="single"/>
        </w:rPr>
        <w:t>5. Application of Partnership Working in Adult Social Care Practice</w:t>
      </w:r>
    </w:p>
    <w:p w14:paraId="5AB17AE7" w14:textId="77777777" w:rsidR="00D0149A" w:rsidRPr="00331490" w:rsidRDefault="00D0149A" w:rsidP="00331490">
      <w:pPr>
        <w:spacing w:line="360" w:lineRule="auto"/>
        <w:rPr>
          <w:rFonts w:ascii="Arial" w:hAnsi="Arial" w:cs="Arial"/>
          <w:sz w:val="22"/>
          <w:szCs w:val="22"/>
        </w:rPr>
      </w:pPr>
      <w:r w:rsidRPr="00331490">
        <w:rPr>
          <w:rFonts w:ascii="Arial" w:hAnsi="Arial" w:cs="Arial"/>
          <w:sz w:val="22"/>
          <w:szCs w:val="22"/>
        </w:rPr>
        <w:t>The link between person-centred care and partnership working is evident within adult social care services supporting older adults in the community. Many individuals require support from multiple services, making coordinated and personalised care essential.</w:t>
      </w:r>
    </w:p>
    <w:p w14:paraId="65C4D837" w14:textId="77777777" w:rsidR="00D0149A" w:rsidRPr="00331490" w:rsidRDefault="00D0149A" w:rsidP="00331490">
      <w:pPr>
        <w:spacing w:line="360" w:lineRule="auto"/>
        <w:rPr>
          <w:rFonts w:ascii="Arial" w:hAnsi="Arial" w:cs="Arial"/>
          <w:sz w:val="22"/>
          <w:szCs w:val="22"/>
        </w:rPr>
      </w:pPr>
      <w:r w:rsidRPr="00331490">
        <w:rPr>
          <w:rFonts w:ascii="Arial" w:hAnsi="Arial" w:cs="Arial"/>
          <w:sz w:val="22"/>
          <w:szCs w:val="22"/>
        </w:rPr>
        <w:t>Person-centred care ensures support is based on an individual's needs, preferences and desired outcomes rather than organisational priorities. NHS England (2024) emphasises involving individuals in decisions about their care, while NICE (2022) highlights the importance of care planning that reflects what matters most to the person. In practice, this may involve older adults making decisions about daily routines, levels of support and future care arrangements.</w:t>
      </w:r>
    </w:p>
    <w:p w14:paraId="4BA7B030" w14:textId="77777777" w:rsidR="00D0149A" w:rsidRPr="00331490" w:rsidRDefault="00D0149A" w:rsidP="00331490">
      <w:pPr>
        <w:spacing w:line="360" w:lineRule="auto"/>
        <w:rPr>
          <w:rFonts w:ascii="Arial" w:hAnsi="Arial" w:cs="Arial"/>
          <w:sz w:val="22"/>
          <w:szCs w:val="22"/>
        </w:rPr>
      </w:pPr>
      <w:r w:rsidRPr="00331490">
        <w:rPr>
          <w:rFonts w:ascii="Arial" w:hAnsi="Arial" w:cs="Arial"/>
          <w:sz w:val="22"/>
          <w:szCs w:val="22"/>
        </w:rPr>
        <w:t>Partnership working helps deliver these personalised approaches effectively. Older adults may receive support from care workers, GPs, district nurses, occupational therapists and family members. The Care Act 2014 promotes coordinated care that responds to individual circumstances. Effective communication between professionals can improve continuity of care and ensure changing needs are identified promptly.</w:t>
      </w:r>
    </w:p>
    <w:p w14:paraId="7B1F0517" w14:textId="77777777" w:rsidR="00D0149A" w:rsidRPr="00331490" w:rsidRDefault="00D0149A" w:rsidP="00331490">
      <w:pPr>
        <w:spacing w:line="360" w:lineRule="auto"/>
        <w:rPr>
          <w:rFonts w:ascii="Arial" w:hAnsi="Arial" w:cs="Arial"/>
          <w:sz w:val="22"/>
          <w:szCs w:val="22"/>
        </w:rPr>
      </w:pPr>
      <w:r w:rsidRPr="00331490">
        <w:rPr>
          <w:rFonts w:ascii="Arial" w:hAnsi="Arial" w:cs="Arial"/>
          <w:sz w:val="22"/>
          <w:szCs w:val="22"/>
        </w:rPr>
        <w:t>However, implementing person-centred care and partnership working is not without challenges. Information-sharing difficulties, staffing pressures and limited resources can affect collaboration between services. Professionals may also need to balance individual preferences with safeguarding responsibilities. Despite these challenges, both approaches remain essential to delivering coordinated and responsive support within adult social care.</w:t>
      </w:r>
    </w:p>
    <w:p w14:paraId="42B3BFFD" w14:textId="77777777" w:rsidR="000742F8" w:rsidRPr="00331490" w:rsidRDefault="000742F8" w:rsidP="00331490">
      <w:pPr>
        <w:spacing w:line="360" w:lineRule="auto"/>
        <w:rPr>
          <w:rFonts w:ascii="Arial" w:hAnsi="Arial" w:cs="Arial"/>
          <w:sz w:val="22"/>
          <w:szCs w:val="22"/>
        </w:rPr>
      </w:pPr>
    </w:p>
    <w:p w14:paraId="557A8D0D" w14:textId="77777777" w:rsidR="000742F8" w:rsidRPr="00331490" w:rsidRDefault="000742F8" w:rsidP="00331490">
      <w:pPr>
        <w:spacing w:line="360" w:lineRule="auto"/>
        <w:rPr>
          <w:rFonts w:ascii="Arial" w:hAnsi="Arial" w:cs="Arial"/>
          <w:b/>
          <w:bCs/>
          <w:sz w:val="22"/>
          <w:szCs w:val="22"/>
          <w:u w:val="single"/>
        </w:rPr>
      </w:pPr>
      <w:r w:rsidRPr="00331490">
        <w:rPr>
          <w:rFonts w:ascii="Arial" w:hAnsi="Arial" w:cs="Arial"/>
          <w:b/>
          <w:bCs/>
          <w:sz w:val="22"/>
          <w:szCs w:val="22"/>
          <w:u w:val="single"/>
        </w:rPr>
        <w:t>6. Policy and Legislation</w:t>
      </w:r>
    </w:p>
    <w:p w14:paraId="434A3800" w14:textId="77777777" w:rsidR="00EE2C4C" w:rsidRPr="00331490" w:rsidRDefault="00EE2C4C" w:rsidP="00331490">
      <w:pPr>
        <w:spacing w:line="360" w:lineRule="auto"/>
        <w:rPr>
          <w:rFonts w:ascii="Arial" w:hAnsi="Arial" w:cs="Arial"/>
          <w:sz w:val="22"/>
          <w:szCs w:val="22"/>
        </w:rPr>
      </w:pPr>
      <w:r w:rsidRPr="00331490">
        <w:rPr>
          <w:rFonts w:ascii="Arial" w:hAnsi="Arial" w:cs="Arial"/>
          <w:sz w:val="22"/>
          <w:szCs w:val="22"/>
        </w:rPr>
        <w:t>Legislation and policy play an important role in promoting person-centred care and partnership working within health and social care. They provide a framework for professional practice, protect individual rights and encourage collaboration between organisations. However, legislation alone cannot guarantee effective care, as implementation depends on resources, workforce capacity and organisational commitment.</w:t>
      </w:r>
    </w:p>
    <w:p w14:paraId="1153330B" w14:textId="77777777" w:rsidR="00EE2C4C" w:rsidRPr="00331490" w:rsidRDefault="00EE2C4C" w:rsidP="00331490">
      <w:pPr>
        <w:spacing w:line="360" w:lineRule="auto"/>
        <w:rPr>
          <w:rFonts w:ascii="Arial" w:hAnsi="Arial" w:cs="Arial"/>
          <w:sz w:val="22"/>
          <w:szCs w:val="22"/>
        </w:rPr>
      </w:pPr>
      <w:r w:rsidRPr="00331490">
        <w:rPr>
          <w:rFonts w:ascii="Arial" w:hAnsi="Arial" w:cs="Arial"/>
          <w:sz w:val="22"/>
          <w:szCs w:val="22"/>
        </w:rPr>
        <w:t xml:space="preserve">The Care Act 2014 is particularly influential within adult social care as it places wellbeing at the centre of care planning and promotes involvement in decisions about care and support. It </w:t>
      </w:r>
      <w:r w:rsidRPr="00331490">
        <w:rPr>
          <w:rFonts w:ascii="Arial" w:hAnsi="Arial" w:cs="Arial"/>
          <w:sz w:val="22"/>
          <w:szCs w:val="22"/>
        </w:rPr>
        <w:lastRenderedPageBreak/>
        <w:t>also encourages cooperation between organisations to meet complex needs. However, financial pressures and increasing demand can limit how far these principles are achieved in practice.</w:t>
      </w:r>
    </w:p>
    <w:p w14:paraId="3FD9D4B5" w14:textId="77777777" w:rsidR="00EE2C4C" w:rsidRPr="00331490" w:rsidRDefault="00EE2C4C" w:rsidP="00331490">
      <w:pPr>
        <w:spacing w:line="360" w:lineRule="auto"/>
        <w:rPr>
          <w:rFonts w:ascii="Arial" w:hAnsi="Arial" w:cs="Arial"/>
          <w:sz w:val="22"/>
          <w:szCs w:val="22"/>
        </w:rPr>
      </w:pPr>
      <w:r w:rsidRPr="00331490">
        <w:rPr>
          <w:rFonts w:ascii="Arial" w:hAnsi="Arial" w:cs="Arial"/>
          <w:sz w:val="22"/>
          <w:szCs w:val="22"/>
        </w:rPr>
        <w:t>The Health and Social Care Act 2012 and Health and Care Act 2022 strengthened expectations around partnership working. The introduction of Integrated Care Systems (ICSs) reflects an attempt to improve coordination and reduce fragmented care. While integrated working can improve outcomes, information-sharing difficulties, workforce pressures and differing organisational priorities continue to affect implementation.</w:t>
      </w:r>
    </w:p>
    <w:p w14:paraId="22C207EF" w14:textId="77777777" w:rsidR="00EE2C4C" w:rsidRPr="00331490" w:rsidRDefault="00EE2C4C" w:rsidP="00331490">
      <w:pPr>
        <w:spacing w:line="360" w:lineRule="auto"/>
        <w:rPr>
          <w:rFonts w:ascii="Arial" w:hAnsi="Arial" w:cs="Arial"/>
          <w:sz w:val="22"/>
          <w:szCs w:val="22"/>
        </w:rPr>
      </w:pPr>
      <w:r w:rsidRPr="00331490">
        <w:rPr>
          <w:rFonts w:ascii="Arial" w:hAnsi="Arial" w:cs="Arial"/>
          <w:sz w:val="22"/>
          <w:szCs w:val="22"/>
        </w:rPr>
        <w:t>The Human Rights Act 1998 and Equality Act 2010 further support person-centred care by promoting dignity, fairness and equal access to services. However, professionals may still face challenges when balancing individual rights with issues of risk, safeguarding and limited resources.</w:t>
      </w:r>
    </w:p>
    <w:p w14:paraId="08B7300C" w14:textId="77777777" w:rsidR="00EE2C4C" w:rsidRPr="00331490" w:rsidRDefault="00EE2C4C" w:rsidP="00331490">
      <w:pPr>
        <w:spacing w:line="360" w:lineRule="auto"/>
        <w:rPr>
          <w:rFonts w:ascii="Arial" w:hAnsi="Arial" w:cs="Arial"/>
          <w:sz w:val="22"/>
          <w:szCs w:val="22"/>
        </w:rPr>
      </w:pPr>
      <w:r w:rsidRPr="00331490">
        <w:rPr>
          <w:rFonts w:ascii="Arial" w:hAnsi="Arial" w:cs="Arial"/>
          <w:sz w:val="22"/>
          <w:szCs w:val="22"/>
        </w:rPr>
        <w:t>Overall, legislation provides an important foundation for person-centred care and partnership working. Nevertheless, meaningful improvements depend not only on policy but also on how effectively these principles are implemented in everyday practice.</w:t>
      </w:r>
    </w:p>
    <w:p w14:paraId="409B3B10" w14:textId="77777777" w:rsidR="000742F8" w:rsidRPr="00331490" w:rsidRDefault="000742F8" w:rsidP="00331490">
      <w:pPr>
        <w:spacing w:line="360" w:lineRule="auto"/>
        <w:rPr>
          <w:rFonts w:ascii="Arial" w:hAnsi="Arial" w:cs="Arial"/>
          <w:sz w:val="22"/>
          <w:szCs w:val="22"/>
        </w:rPr>
      </w:pPr>
    </w:p>
    <w:p w14:paraId="091D4C2A" w14:textId="77777777" w:rsidR="000742F8" w:rsidRPr="00331490" w:rsidRDefault="000742F8" w:rsidP="00331490">
      <w:pPr>
        <w:spacing w:line="360" w:lineRule="auto"/>
        <w:rPr>
          <w:rFonts w:ascii="Arial" w:hAnsi="Arial" w:cs="Arial"/>
          <w:b/>
          <w:bCs/>
          <w:sz w:val="22"/>
          <w:szCs w:val="22"/>
          <w:u w:val="single"/>
        </w:rPr>
      </w:pPr>
      <w:r w:rsidRPr="00331490">
        <w:rPr>
          <w:rFonts w:ascii="Arial" w:hAnsi="Arial" w:cs="Arial"/>
          <w:b/>
          <w:bCs/>
          <w:sz w:val="22"/>
          <w:szCs w:val="22"/>
          <w:u w:val="single"/>
        </w:rPr>
        <w:t>7. Recommendations</w:t>
      </w:r>
    </w:p>
    <w:p w14:paraId="22005AD0" w14:textId="77777777" w:rsidR="00EE2C4C" w:rsidRPr="00331490" w:rsidRDefault="00EE2C4C" w:rsidP="00331490">
      <w:pPr>
        <w:spacing w:line="360" w:lineRule="auto"/>
        <w:rPr>
          <w:rFonts w:ascii="Arial" w:hAnsi="Arial" w:cs="Arial"/>
          <w:sz w:val="22"/>
          <w:szCs w:val="22"/>
        </w:rPr>
      </w:pPr>
      <w:r w:rsidRPr="00331490">
        <w:rPr>
          <w:rFonts w:ascii="Arial" w:hAnsi="Arial" w:cs="Arial"/>
          <w:sz w:val="22"/>
          <w:szCs w:val="22"/>
        </w:rPr>
        <w:t>Although person-centred care and partnership working are well established within UK health and social care policy, further improvements are needed to ensure consistent implementation within adult social care. One area for development is workforce training. Ongoing training in person-centred approaches, communication and collaborative working could help professionals involve individuals more effectively in decision-making and strengthen partnership working across services. The Care Quality Commission (CQC, 2024) highlights the importance of responsive care, although delivering additional training may be challenging due to staffing shortages and financial pressures.</w:t>
      </w:r>
    </w:p>
    <w:p w14:paraId="02A8AC64" w14:textId="300CD7DD" w:rsidR="00EE2C4C" w:rsidRPr="00331490" w:rsidRDefault="00EE2C4C" w:rsidP="00331490">
      <w:pPr>
        <w:spacing w:line="360" w:lineRule="auto"/>
        <w:rPr>
          <w:rFonts w:ascii="Arial" w:hAnsi="Arial" w:cs="Arial"/>
          <w:sz w:val="22"/>
          <w:szCs w:val="22"/>
        </w:rPr>
      </w:pPr>
      <w:r w:rsidRPr="00331490">
        <w:rPr>
          <w:rFonts w:ascii="Arial" w:hAnsi="Arial" w:cs="Arial"/>
          <w:sz w:val="22"/>
          <w:szCs w:val="22"/>
        </w:rPr>
        <w:t>A second recommendation is improved information sharing through integrated digital systems. Effective partnership working relies on access to accurate and up-to-date information, yet communication barriers remain common. The World Health Organization (WHO, 2023) suggests that integrated services can improve continuity of care and reduce fragmentation between organisations. Improved digital systems could support more coordinated decision-making, although implementation require investment and careful management of data protection concerns.</w:t>
      </w:r>
    </w:p>
    <w:p w14:paraId="1BEA2F1A" w14:textId="77777777" w:rsidR="00EE2C4C" w:rsidRPr="00331490" w:rsidRDefault="00EE2C4C" w:rsidP="00331490">
      <w:pPr>
        <w:spacing w:line="360" w:lineRule="auto"/>
        <w:rPr>
          <w:rFonts w:ascii="Arial" w:hAnsi="Arial" w:cs="Arial"/>
          <w:sz w:val="22"/>
          <w:szCs w:val="22"/>
        </w:rPr>
      </w:pPr>
      <w:r w:rsidRPr="00331490">
        <w:rPr>
          <w:rFonts w:ascii="Arial" w:hAnsi="Arial" w:cs="Arial"/>
          <w:sz w:val="22"/>
          <w:szCs w:val="22"/>
        </w:rPr>
        <w:lastRenderedPageBreak/>
        <w:t>Finally, greater investment in community-based services could strengthen both person-centred care and partnership working. Supporting older adults to remain independent at home reflects the principles of the Care Act 2014 and may reduce avoidable hospital admissions. However, expanding these services would require long-term funding during a period of increasing demand and resource pressures.</w:t>
      </w:r>
    </w:p>
    <w:p w14:paraId="021DC9D3" w14:textId="74B86090" w:rsidR="00EE2C4C" w:rsidRPr="00331490" w:rsidRDefault="00EE2C4C" w:rsidP="00331490">
      <w:pPr>
        <w:spacing w:line="360" w:lineRule="auto"/>
        <w:rPr>
          <w:rFonts w:ascii="Arial" w:hAnsi="Arial" w:cs="Arial"/>
          <w:sz w:val="22"/>
          <w:szCs w:val="22"/>
        </w:rPr>
      </w:pPr>
      <w:r w:rsidRPr="00331490">
        <w:rPr>
          <w:rFonts w:ascii="Arial" w:hAnsi="Arial" w:cs="Arial"/>
          <w:sz w:val="22"/>
          <w:szCs w:val="22"/>
        </w:rPr>
        <w:t>Overall, these recommendations could strengthen person-centred care and partnership working within adult social care, although their success would depend on adequate funding and effective implementation.</w:t>
      </w:r>
    </w:p>
    <w:p w14:paraId="2F4A2897" w14:textId="59CFC8F7" w:rsidR="000742F8" w:rsidRPr="00331490" w:rsidRDefault="000742F8" w:rsidP="00331490">
      <w:pPr>
        <w:spacing w:line="360" w:lineRule="auto"/>
        <w:rPr>
          <w:rFonts w:ascii="Arial" w:hAnsi="Arial" w:cs="Arial"/>
          <w:sz w:val="22"/>
          <w:szCs w:val="22"/>
        </w:rPr>
      </w:pPr>
    </w:p>
    <w:p w14:paraId="62AFBB6D" w14:textId="77777777" w:rsidR="000742F8" w:rsidRPr="00331490" w:rsidRDefault="000742F8" w:rsidP="00331490">
      <w:pPr>
        <w:spacing w:line="360" w:lineRule="auto"/>
        <w:rPr>
          <w:rFonts w:ascii="Arial" w:hAnsi="Arial" w:cs="Arial"/>
          <w:b/>
          <w:bCs/>
          <w:sz w:val="22"/>
          <w:szCs w:val="22"/>
          <w:u w:val="single"/>
        </w:rPr>
      </w:pPr>
      <w:r w:rsidRPr="00331490">
        <w:rPr>
          <w:rFonts w:ascii="Arial" w:hAnsi="Arial" w:cs="Arial"/>
          <w:b/>
          <w:bCs/>
          <w:sz w:val="22"/>
          <w:szCs w:val="22"/>
          <w:u w:val="single"/>
        </w:rPr>
        <w:t>Conclusion</w:t>
      </w:r>
    </w:p>
    <w:p w14:paraId="33F294A2" w14:textId="77777777" w:rsidR="00D0149A" w:rsidRPr="00331490" w:rsidRDefault="00D0149A" w:rsidP="00331490">
      <w:pPr>
        <w:spacing w:line="360" w:lineRule="auto"/>
        <w:rPr>
          <w:rFonts w:ascii="Arial" w:hAnsi="Arial" w:cs="Arial"/>
          <w:sz w:val="22"/>
          <w:szCs w:val="22"/>
        </w:rPr>
      </w:pPr>
      <w:r w:rsidRPr="00331490">
        <w:rPr>
          <w:rFonts w:ascii="Arial" w:hAnsi="Arial" w:cs="Arial"/>
          <w:sz w:val="22"/>
          <w:szCs w:val="22"/>
        </w:rPr>
        <w:t>In conclusion, person-centred care and partnership working are fundamental to effective health and social care services. This report has shown that person-centred approaches can promote dignity, independence and improved outcomes by ensuring care reflects the needs and preferences of the individual. It has also demonstrated that partnership working enables professionals and organisations to combine their expertise to provide more coordinated support.</w:t>
      </w:r>
    </w:p>
    <w:p w14:paraId="25AA79C5" w14:textId="5B8E340E" w:rsidR="000742F8" w:rsidRPr="00331490" w:rsidRDefault="00D0149A" w:rsidP="00331490">
      <w:pPr>
        <w:spacing w:line="360" w:lineRule="auto"/>
        <w:rPr>
          <w:rFonts w:ascii="Arial" w:hAnsi="Arial" w:cs="Arial"/>
          <w:sz w:val="22"/>
          <w:szCs w:val="22"/>
        </w:rPr>
      </w:pPr>
      <w:r w:rsidRPr="00331490">
        <w:rPr>
          <w:rFonts w:ascii="Arial" w:hAnsi="Arial" w:cs="Arial"/>
          <w:sz w:val="22"/>
          <w:szCs w:val="22"/>
        </w:rPr>
        <w:t>The report highlighted the importance of ethical principles in guiding professional decision-making and examined how legislation such as the Care Act 2014 and Health and Care Act 2022 supports person-centred and collaborative practice within adult social care. While these approaches offer clear benefits, challenges relating to resources and workforce capacity remain. Therefore, continued investment in training, integrated working and community-based services will be important in strengthening person-centred care and partnership working across the UK.</w:t>
      </w:r>
    </w:p>
    <w:p w14:paraId="0CA24C88" w14:textId="77777777" w:rsidR="000742F8" w:rsidRPr="000742F8" w:rsidRDefault="000742F8" w:rsidP="000742F8">
      <w:pPr>
        <w:rPr>
          <w:rFonts w:ascii="Arial" w:hAnsi="Arial" w:cs="Arial"/>
          <w:sz w:val="22"/>
          <w:szCs w:val="22"/>
        </w:rPr>
      </w:pPr>
    </w:p>
    <w:p w14:paraId="1AC17923" w14:textId="77777777" w:rsidR="000742F8" w:rsidRPr="000742F8" w:rsidRDefault="000742F8" w:rsidP="000742F8">
      <w:pPr>
        <w:rPr>
          <w:rFonts w:ascii="Arial" w:hAnsi="Arial" w:cs="Arial"/>
          <w:sz w:val="22"/>
          <w:szCs w:val="22"/>
        </w:rPr>
      </w:pPr>
    </w:p>
    <w:p w14:paraId="7470D760" w14:textId="77777777" w:rsidR="000742F8" w:rsidRDefault="000742F8" w:rsidP="000742F8">
      <w:pPr>
        <w:rPr>
          <w:rFonts w:ascii="Arial" w:hAnsi="Arial" w:cs="Arial"/>
          <w:sz w:val="22"/>
          <w:szCs w:val="22"/>
        </w:rPr>
      </w:pPr>
    </w:p>
    <w:p w14:paraId="3BC0394F" w14:textId="77777777" w:rsidR="000742F8" w:rsidRPr="000742F8" w:rsidRDefault="000742F8" w:rsidP="000742F8">
      <w:pPr>
        <w:rPr>
          <w:rFonts w:ascii="Arial" w:hAnsi="Arial" w:cs="Arial"/>
          <w:sz w:val="22"/>
          <w:szCs w:val="22"/>
        </w:rPr>
      </w:pPr>
    </w:p>
    <w:p w14:paraId="46D7EB13" w14:textId="77777777" w:rsidR="000742F8" w:rsidRPr="008113CE" w:rsidRDefault="000742F8" w:rsidP="008113CE">
      <w:pPr>
        <w:rPr>
          <w:rFonts w:ascii="Arial" w:hAnsi="Arial" w:cs="Arial"/>
          <w:sz w:val="22"/>
          <w:szCs w:val="22"/>
        </w:rPr>
      </w:pPr>
    </w:p>
    <w:p w14:paraId="5B29F04D" w14:textId="77777777" w:rsidR="001B0684" w:rsidRDefault="001B0684">
      <w:pPr>
        <w:rPr>
          <w:rFonts w:ascii="Arial" w:hAnsi="Arial" w:cs="Arial"/>
          <w:b/>
          <w:bCs/>
          <w:sz w:val="22"/>
          <w:szCs w:val="22"/>
          <w:u w:val="single"/>
        </w:rPr>
      </w:pPr>
    </w:p>
    <w:p w14:paraId="306F0F57" w14:textId="77777777" w:rsidR="001B0684" w:rsidRDefault="001B0684">
      <w:pPr>
        <w:rPr>
          <w:rFonts w:ascii="Arial" w:hAnsi="Arial" w:cs="Arial"/>
          <w:b/>
          <w:bCs/>
          <w:sz w:val="22"/>
          <w:szCs w:val="22"/>
          <w:u w:val="single"/>
        </w:rPr>
      </w:pPr>
    </w:p>
    <w:p w14:paraId="01CDA178" w14:textId="77777777" w:rsidR="001B0684" w:rsidRDefault="001B0684">
      <w:pPr>
        <w:rPr>
          <w:rFonts w:ascii="Arial" w:hAnsi="Arial" w:cs="Arial"/>
          <w:b/>
          <w:bCs/>
          <w:sz w:val="22"/>
          <w:szCs w:val="22"/>
          <w:u w:val="single"/>
        </w:rPr>
      </w:pPr>
    </w:p>
    <w:p w14:paraId="0AAF9DA7" w14:textId="77777777" w:rsidR="00331490" w:rsidRDefault="00331490">
      <w:pPr>
        <w:rPr>
          <w:rFonts w:ascii="Arial" w:hAnsi="Arial" w:cs="Arial"/>
          <w:b/>
          <w:bCs/>
          <w:sz w:val="22"/>
          <w:szCs w:val="22"/>
          <w:u w:val="single"/>
        </w:rPr>
      </w:pPr>
    </w:p>
    <w:p w14:paraId="08260A65" w14:textId="2E799E03" w:rsidR="008774CA" w:rsidRPr="001B0684" w:rsidRDefault="001B0684">
      <w:pPr>
        <w:rPr>
          <w:rFonts w:ascii="Arial" w:hAnsi="Arial" w:cs="Arial"/>
          <w:b/>
          <w:bCs/>
          <w:sz w:val="22"/>
          <w:szCs w:val="22"/>
          <w:u w:val="single"/>
        </w:rPr>
      </w:pPr>
      <w:r w:rsidRPr="001B0684">
        <w:rPr>
          <w:rFonts w:ascii="Arial" w:hAnsi="Arial" w:cs="Arial"/>
          <w:b/>
          <w:bCs/>
          <w:sz w:val="22"/>
          <w:szCs w:val="22"/>
          <w:u w:val="single"/>
        </w:rPr>
        <w:lastRenderedPageBreak/>
        <w:t xml:space="preserve">Reference List: </w:t>
      </w:r>
    </w:p>
    <w:p w14:paraId="195B6400" w14:textId="41D06B36" w:rsidR="001B0684" w:rsidRDefault="001B0684" w:rsidP="001B0684">
      <w:pPr>
        <w:spacing w:line="360" w:lineRule="auto"/>
        <w:rPr>
          <w:rFonts w:ascii="Arial" w:hAnsi="Arial" w:cs="Arial"/>
          <w:sz w:val="22"/>
          <w:szCs w:val="22"/>
        </w:rPr>
      </w:pPr>
      <w:r w:rsidRPr="001B0684">
        <w:rPr>
          <w:rFonts w:ascii="Arial" w:hAnsi="Arial" w:cs="Arial"/>
          <w:sz w:val="22"/>
          <w:szCs w:val="22"/>
        </w:rPr>
        <w:t>Barry, M.J. and Edgman-Levitan, S. (2012) ‘Shared decision making — the pinnacle of patient-</w:t>
      </w:r>
      <w:proofErr w:type="spellStart"/>
      <w:r w:rsidRPr="001B0684">
        <w:rPr>
          <w:rFonts w:ascii="Arial" w:hAnsi="Arial" w:cs="Arial"/>
          <w:sz w:val="22"/>
          <w:szCs w:val="22"/>
        </w:rPr>
        <w:t>centered</w:t>
      </w:r>
      <w:proofErr w:type="spellEnd"/>
      <w:r w:rsidRPr="001B0684">
        <w:rPr>
          <w:rFonts w:ascii="Arial" w:hAnsi="Arial" w:cs="Arial"/>
          <w:sz w:val="22"/>
          <w:szCs w:val="22"/>
        </w:rPr>
        <w:t xml:space="preserve"> care’, New England Journal of Medicine, 366(9), pp. 780–781. Available at: </w:t>
      </w:r>
      <w:hyperlink r:id="rId7" w:history="1">
        <w:r w:rsidRPr="001B0684">
          <w:rPr>
            <w:rStyle w:val="Hyperlink"/>
            <w:rFonts w:ascii="Arial" w:hAnsi="Arial" w:cs="Arial"/>
            <w:sz w:val="22"/>
            <w:szCs w:val="22"/>
          </w:rPr>
          <w:t>https://www.nejm.org/doi/full/10.1056/NEJMp1109283</w:t>
        </w:r>
      </w:hyperlink>
      <w:r w:rsidRPr="001B0684">
        <w:rPr>
          <w:rFonts w:ascii="Arial" w:hAnsi="Arial" w:cs="Arial"/>
          <w:sz w:val="22"/>
          <w:szCs w:val="22"/>
        </w:rPr>
        <w:t xml:space="preserve"> (Accessed: 1</w:t>
      </w:r>
      <w:r w:rsidR="0096631E">
        <w:rPr>
          <w:rFonts w:ascii="Arial" w:hAnsi="Arial" w:cs="Arial"/>
          <w:sz w:val="22"/>
          <w:szCs w:val="22"/>
        </w:rPr>
        <w:t xml:space="preserve">9 </w:t>
      </w:r>
      <w:r w:rsidRPr="001B0684">
        <w:rPr>
          <w:rFonts w:ascii="Arial" w:hAnsi="Arial" w:cs="Arial"/>
          <w:sz w:val="22"/>
          <w:szCs w:val="22"/>
        </w:rPr>
        <w:t>June 2026).</w:t>
      </w:r>
    </w:p>
    <w:p w14:paraId="062D1A6A" w14:textId="3275D39C" w:rsidR="008113CE" w:rsidRPr="001B0684" w:rsidRDefault="008113CE" w:rsidP="001B0684">
      <w:pPr>
        <w:spacing w:line="360" w:lineRule="auto"/>
        <w:rPr>
          <w:rFonts w:ascii="Arial" w:hAnsi="Arial" w:cs="Arial"/>
          <w:sz w:val="22"/>
          <w:szCs w:val="22"/>
        </w:rPr>
      </w:pPr>
      <w:r w:rsidRPr="008113CE">
        <w:rPr>
          <w:rFonts w:ascii="Arial" w:hAnsi="Arial" w:cs="Arial"/>
          <w:sz w:val="22"/>
          <w:szCs w:val="22"/>
        </w:rPr>
        <w:t xml:space="preserve">Beauchamp, T.L. and Childress, J.F. (2019) </w:t>
      </w:r>
      <w:r w:rsidRPr="008113CE">
        <w:rPr>
          <w:rFonts w:ascii="Arial" w:hAnsi="Arial" w:cs="Arial"/>
          <w:i/>
          <w:iCs/>
          <w:sz w:val="22"/>
          <w:szCs w:val="22"/>
        </w:rPr>
        <w:t>Principles of Biomedical Ethics</w:t>
      </w:r>
      <w:r w:rsidRPr="008113CE">
        <w:rPr>
          <w:rFonts w:ascii="Arial" w:hAnsi="Arial" w:cs="Arial"/>
          <w:sz w:val="22"/>
          <w:szCs w:val="22"/>
        </w:rPr>
        <w:t xml:space="preserve">. 8th </w:t>
      </w:r>
      <w:proofErr w:type="spellStart"/>
      <w:r w:rsidRPr="008113CE">
        <w:rPr>
          <w:rFonts w:ascii="Arial" w:hAnsi="Arial" w:cs="Arial"/>
          <w:sz w:val="22"/>
          <w:szCs w:val="22"/>
        </w:rPr>
        <w:t>edn</w:t>
      </w:r>
      <w:proofErr w:type="spellEnd"/>
      <w:r w:rsidRPr="008113CE">
        <w:rPr>
          <w:rFonts w:ascii="Arial" w:hAnsi="Arial" w:cs="Arial"/>
          <w:sz w:val="22"/>
          <w:szCs w:val="22"/>
        </w:rPr>
        <w:t>. New York: Oxford University Press.</w:t>
      </w:r>
    </w:p>
    <w:p w14:paraId="7E4BAE82" w14:textId="54CF8A09" w:rsidR="001B0684" w:rsidRPr="001B0684" w:rsidRDefault="001B0684" w:rsidP="001B0684">
      <w:pPr>
        <w:spacing w:line="360" w:lineRule="auto"/>
        <w:rPr>
          <w:rFonts w:ascii="Arial" w:hAnsi="Arial" w:cs="Arial"/>
          <w:sz w:val="22"/>
          <w:szCs w:val="22"/>
        </w:rPr>
      </w:pPr>
      <w:r w:rsidRPr="001B0684">
        <w:rPr>
          <w:rFonts w:ascii="Arial" w:hAnsi="Arial" w:cs="Arial"/>
          <w:sz w:val="22"/>
          <w:szCs w:val="22"/>
        </w:rPr>
        <w:t xml:space="preserve">Department of Health and Social Care (2014) </w:t>
      </w:r>
      <w:r w:rsidRPr="008113CE">
        <w:rPr>
          <w:rFonts w:ascii="Arial" w:hAnsi="Arial" w:cs="Arial"/>
          <w:i/>
          <w:iCs/>
          <w:sz w:val="22"/>
          <w:szCs w:val="22"/>
        </w:rPr>
        <w:t>Care Act 2014</w:t>
      </w:r>
      <w:r w:rsidRPr="001B0684">
        <w:rPr>
          <w:rFonts w:ascii="Arial" w:hAnsi="Arial" w:cs="Arial"/>
          <w:sz w:val="22"/>
          <w:szCs w:val="22"/>
        </w:rPr>
        <w:t xml:space="preserve">. Available at: </w:t>
      </w:r>
      <w:hyperlink r:id="rId8" w:history="1">
        <w:r w:rsidRPr="001B0684">
          <w:rPr>
            <w:rStyle w:val="Hyperlink"/>
            <w:rFonts w:ascii="Arial" w:hAnsi="Arial" w:cs="Arial"/>
            <w:sz w:val="22"/>
            <w:szCs w:val="22"/>
          </w:rPr>
          <w:t>https://www.legislation.gov.uk/ukpga/2014/23/contents</w:t>
        </w:r>
      </w:hyperlink>
      <w:r w:rsidRPr="001B0684">
        <w:rPr>
          <w:rFonts w:ascii="Arial" w:hAnsi="Arial" w:cs="Arial"/>
          <w:sz w:val="22"/>
          <w:szCs w:val="22"/>
        </w:rPr>
        <w:t xml:space="preserve"> (Accessed: 1</w:t>
      </w:r>
      <w:r w:rsidR="0096631E">
        <w:rPr>
          <w:rFonts w:ascii="Arial" w:hAnsi="Arial" w:cs="Arial"/>
          <w:sz w:val="22"/>
          <w:szCs w:val="22"/>
        </w:rPr>
        <w:t xml:space="preserve">2 </w:t>
      </w:r>
      <w:r w:rsidRPr="001B0684">
        <w:rPr>
          <w:rFonts w:ascii="Arial" w:hAnsi="Arial" w:cs="Arial"/>
          <w:sz w:val="22"/>
          <w:szCs w:val="22"/>
        </w:rPr>
        <w:t>June 2026).</w:t>
      </w:r>
    </w:p>
    <w:p w14:paraId="3872A5AA" w14:textId="37B55225" w:rsidR="001B0684" w:rsidRDefault="001B0684" w:rsidP="001B0684">
      <w:pPr>
        <w:spacing w:line="360" w:lineRule="auto"/>
        <w:rPr>
          <w:rFonts w:ascii="Arial" w:hAnsi="Arial" w:cs="Arial"/>
          <w:sz w:val="22"/>
          <w:szCs w:val="22"/>
        </w:rPr>
      </w:pPr>
      <w:r w:rsidRPr="001B0684">
        <w:rPr>
          <w:rFonts w:ascii="Arial" w:hAnsi="Arial" w:cs="Arial"/>
          <w:sz w:val="22"/>
          <w:szCs w:val="22"/>
        </w:rPr>
        <w:t xml:space="preserve">Department of Health and Social Care (2022) </w:t>
      </w:r>
      <w:r w:rsidRPr="008113CE">
        <w:rPr>
          <w:rFonts w:ascii="Arial" w:hAnsi="Arial" w:cs="Arial"/>
          <w:i/>
          <w:iCs/>
          <w:sz w:val="22"/>
          <w:szCs w:val="22"/>
        </w:rPr>
        <w:t>Health and Care Act 2022</w:t>
      </w:r>
      <w:r w:rsidRPr="001B0684">
        <w:rPr>
          <w:rFonts w:ascii="Arial" w:hAnsi="Arial" w:cs="Arial"/>
          <w:sz w:val="22"/>
          <w:szCs w:val="22"/>
        </w:rPr>
        <w:t xml:space="preserve">. Available at: </w:t>
      </w:r>
      <w:hyperlink r:id="rId9" w:history="1">
        <w:r w:rsidRPr="001B0684">
          <w:rPr>
            <w:rStyle w:val="Hyperlink"/>
            <w:rFonts w:ascii="Arial" w:hAnsi="Arial" w:cs="Arial"/>
            <w:sz w:val="22"/>
            <w:szCs w:val="22"/>
          </w:rPr>
          <w:t>https://www.legislation.gov.uk/ukpga/2022/31/contents</w:t>
        </w:r>
      </w:hyperlink>
      <w:r w:rsidRPr="001B0684">
        <w:rPr>
          <w:rFonts w:ascii="Arial" w:hAnsi="Arial" w:cs="Arial"/>
          <w:sz w:val="22"/>
          <w:szCs w:val="22"/>
        </w:rPr>
        <w:t xml:space="preserve"> (Accessed: 1</w:t>
      </w:r>
      <w:r w:rsidR="0096631E">
        <w:rPr>
          <w:rFonts w:ascii="Arial" w:hAnsi="Arial" w:cs="Arial"/>
          <w:sz w:val="22"/>
          <w:szCs w:val="22"/>
        </w:rPr>
        <w:t xml:space="preserve">2 </w:t>
      </w:r>
      <w:r w:rsidRPr="001B0684">
        <w:rPr>
          <w:rFonts w:ascii="Arial" w:hAnsi="Arial" w:cs="Arial"/>
          <w:sz w:val="22"/>
          <w:szCs w:val="22"/>
        </w:rPr>
        <w:t>June 2026).</w:t>
      </w:r>
    </w:p>
    <w:p w14:paraId="6C8BE0F5" w14:textId="5F417221" w:rsidR="00971D82" w:rsidRDefault="00971D82" w:rsidP="001B0684">
      <w:pPr>
        <w:spacing w:line="360" w:lineRule="auto"/>
        <w:rPr>
          <w:rFonts w:ascii="Arial" w:hAnsi="Arial" w:cs="Arial"/>
          <w:sz w:val="22"/>
          <w:szCs w:val="22"/>
        </w:rPr>
      </w:pPr>
      <w:r w:rsidRPr="00971D82">
        <w:rPr>
          <w:rFonts w:ascii="Arial" w:hAnsi="Arial" w:cs="Arial"/>
          <w:sz w:val="22"/>
          <w:szCs w:val="22"/>
        </w:rPr>
        <w:t xml:space="preserve">UK Government (2010) </w:t>
      </w:r>
      <w:r w:rsidRPr="00971D82">
        <w:rPr>
          <w:rFonts w:ascii="Arial" w:hAnsi="Arial" w:cs="Arial"/>
          <w:i/>
          <w:iCs/>
          <w:sz w:val="22"/>
          <w:szCs w:val="22"/>
        </w:rPr>
        <w:t>Equality Act 2010</w:t>
      </w:r>
      <w:r w:rsidRPr="00971D82">
        <w:rPr>
          <w:rFonts w:ascii="Arial" w:hAnsi="Arial" w:cs="Arial"/>
          <w:sz w:val="22"/>
          <w:szCs w:val="22"/>
        </w:rPr>
        <w:t xml:space="preserve">. Available at: </w:t>
      </w:r>
      <w:hyperlink r:id="rId10" w:tgtFrame="_new" w:history="1">
        <w:r w:rsidRPr="00971D82">
          <w:rPr>
            <w:rStyle w:val="Hyperlink"/>
            <w:rFonts w:ascii="Arial" w:hAnsi="Arial" w:cs="Arial"/>
            <w:sz w:val="22"/>
            <w:szCs w:val="22"/>
          </w:rPr>
          <w:t>https://www.legislation.gov.uk/ukpga/2010/15/contents</w:t>
        </w:r>
      </w:hyperlink>
      <w:r w:rsidRPr="00971D82">
        <w:rPr>
          <w:rFonts w:ascii="Arial" w:hAnsi="Arial" w:cs="Arial"/>
          <w:sz w:val="22"/>
          <w:szCs w:val="22"/>
        </w:rPr>
        <w:t xml:space="preserve"> (Accessed: 1</w:t>
      </w:r>
      <w:r w:rsidR="0096631E">
        <w:rPr>
          <w:rFonts w:ascii="Arial" w:hAnsi="Arial" w:cs="Arial"/>
          <w:sz w:val="22"/>
          <w:szCs w:val="22"/>
        </w:rPr>
        <w:t>2</w:t>
      </w:r>
      <w:r w:rsidRPr="00971D82">
        <w:rPr>
          <w:rFonts w:ascii="Arial" w:hAnsi="Arial" w:cs="Arial"/>
          <w:sz w:val="22"/>
          <w:szCs w:val="22"/>
        </w:rPr>
        <w:t xml:space="preserve"> June 2026).</w:t>
      </w:r>
    </w:p>
    <w:p w14:paraId="33D4C397" w14:textId="04454160" w:rsidR="008113CE" w:rsidRPr="001B0684" w:rsidRDefault="008113CE" w:rsidP="001B0684">
      <w:pPr>
        <w:spacing w:line="360" w:lineRule="auto"/>
        <w:rPr>
          <w:rFonts w:ascii="Arial" w:hAnsi="Arial" w:cs="Arial"/>
          <w:sz w:val="22"/>
          <w:szCs w:val="22"/>
        </w:rPr>
      </w:pPr>
      <w:r w:rsidRPr="008113CE">
        <w:rPr>
          <w:rFonts w:ascii="Arial" w:hAnsi="Arial" w:cs="Arial"/>
          <w:sz w:val="22"/>
          <w:szCs w:val="22"/>
        </w:rPr>
        <w:t xml:space="preserve">Glasby, J. and Dickinson, H. (2014) </w:t>
      </w:r>
      <w:r w:rsidRPr="008113CE">
        <w:rPr>
          <w:rFonts w:ascii="Arial" w:hAnsi="Arial" w:cs="Arial"/>
          <w:i/>
          <w:iCs/>
          <w:sz w:val="22"/>
          <w:szCs w:val="22"/>
        </w:rPr>
        <w:t>Partnership Working in Health and Social Care: What Is Integrated Care and How Can We Deliver It?</w:t>
      </w:r>
      <w:r w:rsidRPr="008113CE">
        <w:rPr>
          <w:rFonts w:ascii="Arial" w:hAnsi="Arial" w:cs="Arial"/>
          <w:sz w:val="22"/>
          <w:szCs w:val="22"/>
        </w:rPr>
        <w:t xml:space="preserve"> 2nd </w:t>
      </w:r>
      <w:proofErr w:type="spellStart"/>
      <w:r w:rsidRPr="008113CE">
        <w:rPr>
          <w:rFonts w:ascii="Arial" w:hAnsi="Arial" w:cs="Arial"/>
          <w:sz w:val="22"/>
          <w:szCs w:val="22"/>
        </w:rPr>
        <w:t>edn</w:t>
      </w:r>
      <w:proofErr w:type="spellEnd"/>
      <w:r w:rsidRPr="008113CE">
        <w:rPr>
          <w:rFonts w:ascii="Arial" w:hAnsi="Arial" w:cs="Arial"/>
          <w:sz w:val="22"/>
          <w:szCs w:val="22"/>
        </w:rPr>
        <w:t>. Bristol: Policy Press.</w:t>
      </w:r>
    </w:p>
    <w:p w14:paraId="775735A8" w14:textId="6876F780" w:rsidR="00971D82" w:rsidRDefault="00971D82" w:rsidP="001B0684">
      <w:pPr>
        <w:spacing w:line="360" w:lineRule="auto"/>
        <w:rPr>
          <w:rFonts w:ascii="Arial" w:hAnsi="Arial" w:cs="Arial"/>
          <w:sz w:val="22"/>
          <w:szCs w:val="22"/>
        </w:rPr>
      </w:pPr>
      <w:r w:rsidRPr="00971D82">
        <w:rPr>
          <w:rFonts w:ascii="Arial" w:hAnsi="Arial" w:cs="Arial"/>
          <w:sz w:val="22"/>
          <w:szCs w:val="22"/>
        </w:rPr>
        <w:t xml:space="preserve">UK Government (1998) </w:t>
      </w:r>
      <w:r w:rsidRPr="00971D82">
        <w:rPr>
          <w:rFonts w:ascii="Arial" w:hAnsi="Arial" w:cs="Arial"/>
          <w:i/>
          <w:iCs/>
          <w:sz w:val="22"/>
          <w:szCs w:val="22"/>
        </w:rPr>
        <w:t>Human Rights Act 1998</w:t>
      </w:r>
      <w:r w:rsidRPr="00971D82">
        <w:rPr>
          <w:rFonts w:ascii="Arial" w:hAnsi="Arial" w:cs="Arial"/>
          <w:sz w:val="22"/>
          <w:szCs w:val="22"/>
        </w:rPr>
        <w:t xml:space="preserve">. Available at: </w:t>
      </w:r>
      <w:hyperlink r:id="rId11" w:tgtFrame="_new" w:history="1">
        <w:r w:rsidRPr="00971D82">
          <w:rPr>
            <w:rStyle w:val="Hyperlink"/>
            <w:rFonts w:ascii="Arial" w:hAnsi="Arial" w:cs="Arial"/>
            <w:sz w:val="22"/>
            <w:szCs w:val="22"/>
          </w:rPr>
          <w:t>https://www.legislation.gov.uk/ukpga/1998/42/contents</w:t>
        </w:r>
      </w:hyperlink>
      <w:r w:rsidRPr="00971D82">
        <w:rPr>
          <w:rFonts w:ascii="Arial" w:hAnsi="Arial" w:cs="Arial"/>
          <w:sz w:val="22"/>
          <w:szCs w:val="22"/>
        </w:rPr>
        <w:t xml:space="preserve"> (Accessed: 1</w:t>
      </w:r>
      <w:r w:rsidR="0096631E">
        <w:rPr>
          <w:rFonts w:ascii="Arial" w:hAnsi="Arial" w:cs="Arial"/>
          <w:sz w:val="22"/>
          <w:szCs w:val="22"/>
        </w:rPr>
        <w:t>3</w:t>
      </w:r>
      <w:r w:rsidRPr="00971D82">
        <w:rPr>
          <w:rFonts w:ascii="Arial" w:hAnsi="Arial" w:cs="Arial"/>
          <w:sz w:val="22"/>
          <w:szCs w:val="22"/>
        </w:rPr>
        <w:t xml:space="preserve"> June 2026).</w:t>
      </w:r>
    </w:p>
    <w:p w14:paraId="098C5838" w14:textId="495FBBE3" w:rsidR="008113CE" w:rsidRPr="001B0684" w:rsidRDefault="008113CE" w:rsidP="001B0684">
      <w:pPr>
        <w:spacing w:line="360" w:lineRule="auto"/>
        <w:rPr>
          <w:rFonts w:ascii="Arial" w:hAnsi="Arial" w:cs="Arial"/>
          <w:sz w:val="22"/>
          <w:szCs w:val="22"/>
        </w:rPr>
      </w:pPr>
      <w:proofErr w:type="spellStart"/>
      <w:r w:rsidRPr="008113CE">
        <w:rPr>
          <w:rFonts w:ascii="Arial" w:hAnsi="Arial" w:cs="Arial"/>
          <w:sz w:val="22"/>
          <w:szCs w:val="22"/>
        </w:rPr>
        <w:t>Kitwood</w:t>
      </w:r>
      <w:proofErr w:type="spellEnd"/>
      <w:r w:rsidRPr="008113CE">
        <w:rPr>
          <w:rFonts w:ascii="Arial" w:hAnsi="Arial" w:cs="Arial"/>
          <w:sz w:val="22"/>
          <w:szCs w:val="22"/>
        </w:rPr>
        <w:t xml:space="preserve">, T. (1997) </w:t>
      </w:r>
      <w:r w:rsidRPr="008113CE">
        <w:rPr>
          <w:rFonts w:ascii="Arial" w:hAnsi="Arial" w:cs="Arial"/>
          <w:i/>
          <w:iCs/>
          <w:sz w:val="22"/>
          <w:szCs w:val="22"/>
        </w:rPr>
        <w:t>Dementia Reconsidered: The Person Comes First</w:t>
      </w:r>
      <w:r w:rsidRPr="008113CE">
        <w:rPr>
          <w:rFonts w:ascii="Arial" w:hAnsi="Arial" w:cs="Arial"/>
          <w:sz w:val="22"/>
          <w:szCs w:val="22"/>
        </w:rPr>
        <w:t>. Buckingham: Open University Press.</w:t>
      </w:r>
    </w:p>
    <w:p w14:paraId="4A68698D" w14:textId="4278A14C" w:rsidR="001B0684" w:rsidRPr="001B0684" w:rsidRDefault="001B0684" w:rsidP="001B0684">
      <w:pPr>
        <w:spacing w:line="360" w:lineRule="auto"/>
        <w:rPr>
          <w:rFonts w:ascii="Arial" w:hAnsi="Arial" w:cs="Arial"/>
          <w:sz w:val="22"/>
          <w:szCs w:val="22"/>
        </w:rPr>
      </w:pPr>
      <w:r w:rsidRPr="001B0684">
        <w:rPr>
          <w:rFonts w:ascii="Arial" w:hAnsi="Arial" w:cs="Arial"/>
          <w:sz w:val="22"/>
          <w:szCs w:val="22"/>
        </w:rPr>
        <w:t xml:space="preserve">NHS England (2024) Personalised Care. Available at: </w:t>
      </w:r>
      <w:hyperlink r:id="rId12" w:history="1">
        <w:r w:rsidRPr="001B0684">
          <w:rPr>
            <w:rStyle w:val="Hyperlink"/>
            <w:rFonts w:ascii="Arial" w:hAnsi="Arial" w:cs="Arial"/>
            <w:sz w:val="22"/>
            <w:szCs w:val="22"/>
          </w:rPr>
          <w:t>https://www.england.nhs.uk/personalisedcare/</w:t>
        </w:r>
      </w:hyperlink>
      <w:r w:rsidRPr="001B0684">
        <w:rPr>
          <w:rFonts w:ascii="Arial" w:hAnsi="Arial" w:cs="Arial"/>
          <w:sz w:val="22"/>
          <w:szCs w:val="22"/>
        </w:rPr>
        <w:t xml:space="preserve"> (Accessed: 1</w:t>
      </w:r>
      <w:r w:rsidR="0096631E">
        <w:rPr>
          <w:rFonts w:ascii="Arial" w:hAnsi="Arial" w:cs="Arial"/>
          <w:sz w:val="22"/>
          <w:szCs w:val="22"/>
        </w:rPr>
        <w:t>5</w:t>
      </w:r>
      <w:r w:rsidRPr="001B0684">
        <w:rPr>
          <w:rFonts w:ascii="Arial" w:hAnsi="Arial" w:cs="Arial"/>
          <w:sz w:val="22"/>
          <w:szCs w:val="22"/>
        </w:rPr>
        <w:t xml:space="preserve"> June 2026).</w:t>
      </w:r>
    </w:p>
    <w:p w14:paraId="22A620D0" w14:textId="77777777" w:rsidR="001B0684" w:rsidRPr="001B0684" w:rsidRDefault="001B0684" w:rsidP="001B0684">
      <w:pPr>
        <w:spacing w:line="360" w:lineRule="auto"/>
        <w:rPr>
          <w:rFonts w:ascii="Arial" w:hAnsi="Arial" w:cs="Arial"/>
          <w:sz w:val="22"/>
          <w:szCs w:val="22"/>
        </w:rPr>
      </w:pPr>
      <w:r w:rsidRPr="001B0684">
        <w:rPr>
          <w:rFonts w:ascii="Arial" w:hAnsi="Arial" w:cs="Arial"/>
          <w:sz w:val="22"/>
          <w:szCs w:val="22"/>
        </w:rPr>
        <w:t xml:space="preserve">Reeves, S., </w:t>
      </w:r>
      <w:proofErr w:type="spellStart"/>
      <w:r w:rsidRPr="001B0684">
        <w:rPr>
          <w:rFonts w:ascii="Arial" w:hAnsi="Arial" w:cs="Arial"/>
          <w:sz w:val="22"/>
          <w:szCs w:val="22"/>
        </w:rPr>
        <w:t>Pelone</w:t>
      </w:r>
      <w:proofErr w:type="spellEnd"/>
      <w:r w:rsidRPr="001B0684">
        <w:rPr>
          <w:rFonts w:ascii="Arial" w:hAnsi="Arial" w:cs="Arial"/>
          <w:sz w:val="22"/>
          <w:szCs w:val="22"/>
        </w:rPr>
        <w:t xml:space="preserve">, F., Harrison, R., Goldman, J. and </w:t>
      </w:r>
      <w:proofErr w:type="spellStart"/>
      <w:r w:rsidRPr="001B0684">
        <w:rPr>
          <w:rFonts w:ascii="Arial" w:hAnsi="Arial" w:cs="Arial"/>
          <w:sz w:val="22"/>
          <w:szCs w:val="22"/>
        </w:rPr>
        <w:t>Zwarenstein</w:t>
      </w:r>
      <w:proofErr w:type="spellEnd"/>
      <w:r w:rsidRPr="001B0684">
        <w:rPr>
          <w:rFonts w:ascii="Arial" w:hAnsi="Arial" w:cs="Arial"/>
          <w:sz w:val="22"/>
          <w:szCs w:val="22"/>
        </w:rPr>
        <w:t>, M. (2017) Interprofessional collaboration to improve professional practice and healthcare outcomes. Cochrane Database of Systematic Reviews, 6(6).</w:t>
      </w:r>
    </w:p>
    <w:p w14:paraId="5A459631" w14:textId="02C470BA" w:rsidR="001B0684" w:rsidRPr="001B0684" w:rsidRDefault="001B0684" w:rsidP="001B0684">
      <w:pPr>
        <w:spacing w:line="360" w:lineRule="auto"/>
        <w:rPr>
          <w:rFonts w:ascii="Arial" w:hAnsi="Arial" w:cs="Arial"/>
          <w:sz w:val="22"/>
          <w:szCs w:val="22"/>
        </w:rPr>
      </w:pPr>
      <w:r w:rsidRPr="001B0684">
        <w:rPr>
          <w:rFonts w:ascii="Arial" w:hAnsi="Arial" w:cs="Arial"/>
          <w:sz w:val="22"/>
          <w:szCs w:val="22"/>
        </w:rPr>
        <w:t xml:space="preserve">Santana, M.J., Manalili, K., Jolley, R.J., Zelinsky, S., Quan, H. and Lu, M. (2018) ‘How to practice person-centred care: A conceptual framework’, Health Expectations, 21(2), pp. 429–440. Available at: </w:t>
      </w:r>
      <w:hyperlink r:id="rId13" w:history="1">
        <w:r w:rsidRPr="001B0684">
          <w:rPr>
            <w:rStyle w:val="Hyperlink"/>
            <w:rFonts w:ascii="Arial" w:hAnsi="Arial" w:cs="Arial"/>
            <w:sz w:val="22"/>
            <w:szCs w:val="22"/>
          </w:rPr>
          <w:t>https://onlinelibrary.wiley.com/doi/full/10.1111/hex.12640</w:t>
        </w:r>
      </w:hyperlink>
      <w:r w:rsidRPr="001B0684">
        <w:rPr>
          <w:rFonts w:ascii="Arial" w:hAnsi="Arial" w:cs="Arial"/>
          <w:sz w:val="22"/>
          <w:szCs w:val="22"/>
        </w:rPr>
        <w:t xml:space="preserve"> (Accessed: </w:t>
      </w:r>
      <w:r w:rsidR="0096631E">
        <w:rPr>
          <w:rFonts w:ascii="Arial" w:hAnsi="Arial" w:cs="Arial"/>
          <w:sz w:val="22"/>
          <w:szCs w:val="22"/>
        </w:rPr>
        <w:t>21</w:t>
      </w:r>
      <w:r w:rsidRPr="001B0684">
        <w:rPr>
          <w:rFonts w:ascii="Arial" w:hAnsi="Arial" w:cs="Arial"/>
          <w:sz w:val="22"/>
          <w:szCs w:val="22"/>
        </w:rPr>
        <w:t xml:space="preserve"> June 2026).</w:t>
      </w:r>
    </w:p>
    <w:p w14:paraId="1AA37DF1" w14:textId="51436974" w:rsidR="001B0684" w:rsidRPr="001B0684" w:rsidRDefault="001B0684" w:rsidP="001B0684">
      <w:pPr>
        <w:spacing w:line="360" w:lineRule="auto"/>
        <w:rPr>
          <w:rFonts w:ascii="Arial" w:hAnsi="Arial" w:cs="Arial"/>
          <w:sz w:val="22"/>
          <w:szCs w:val="22"/>
        </w:rPr>
      </w:pPr>
      <w:r w:rsidRPr="001B0684">
        <w:rPr>
          <w:rFonts w:ascii="Arial" w:hAnsi="Arial" w:cs="Arial"/>
          <w:sz w:val="22"/>
          <w:szCs w:val="22"/>
        </w:rPr>
        <w:t xml:space="preserve">Social Care Institute for Excellence (SCIE) (2023) Person-centred care. Available at: </w:t>
      </w:r>
      <w:hyperlink r:id="rId14" w:history="1">
        <w:r w:rsidRPr="001B0684">
          <w:rPr>
            <w:rStyle w:val="Hyperlink"/>
            <w:rFonts w:ascii="Arial" w:hAnsi="Arial" w:cs="Arial"/>
            <w:sz w:val="22"/>
            <w:szCs w:val="22"/>
          </w:rPr>
          <w:t>https://www.scie.org.uk/person-centred-care</w:t>
        </w:r>
      </w:hyperlink>
      <w:r w:rsidRPr="001B0684">
        <w:rPr>
          <w:rFonts w:ascii="Arial" w:hAnsi="Arial" w:cs="Arial"/>
          <w:sz w:val="22"/>
          <w:szCs w:val="22"/>
        </w:rPr>
        <w:t xml:space="preserve"> (Accessed: 1</w:t>
      </w:r>
      <w:r w:rsidR="00331490">
        <w:rPr>
          <w:rFonts w:ascii="Arial" w:hAnsi="Arial" w:cs="Arial"/>
          <w:sz w:val="22"/>
          <w:szCs w:val="22"/>
        </w:rPr>
        <w:t xml:space="preserve">9 </w:t>
      </w:r>
      <w:r w:rsidRPr="001B0684">
        <w:rPr>
          <w:rFonts w:ascii="Arial" w:hAnsi="Arial" w:cs="Arial"/>
          <w:sz w:val="22"/>
          <w:szCs w:val="22"/>
        </w:rPr>
        <w:t>June 2026).</w:t>
      </w:r>
    </w:p>
    <w:p w14:paraId="50BB9C3E" w14:textId="27C53BC3" w:rsidR="001B0684" w:rsidRDefault="00971D82" w:rsidP="001B0684">
      <w:pPr>
        <w:spacing w:line="360" w:lineRule="auto"/>
        <w:rPr>
          <w:rFonts w:ascii="Arial" w:hAnsi="Arial" w:cs="Arial"/>
          <w:sz w:val="22"/>
          <w:szCs w:val="22"/>
        </w:rPr>
      </w:pPr>
      <w:r w:rsidRPr="00971D82">
        <w:rPr>
          <w:rFonts w:ascii="Arial" w:hAnsi="Arial" w:cs="Arial"/>
          <w:sz w:val="22"/>
          <w:szCs w:val="22"/>
        </w:rPr>
        <w:lastRenderedPageBreak/>
        <w:t xml:space="preserve">Care Quality Commission (CQC) (2024) Person-centred care. Available at: </w:t>
      </w:r>
      <w:hyperlink r:id="rId15" w:history="1">
        <w:r w:rsidRPr="00971D82">
          <w:rPr>
            <w:rStyle w:val="Hyperlink"/>
            <w:rFonts w:ascii="Arial" w:hAnsi="Arial" w:cs="Arial"/>
            <w:sz w:val="22"/>
            <w:szCs w:val="22"/>
          </w:rPr>
          <w:t>https://www.cqc.org.uk/guidance-providers/regulations-enforcement/regulation-9-person-centred-care</w:t>
        </w:r>
      </w:hyperlink>
      <w:r w:rsidRPr="00971D82">
        <w:rPr>
          <w:rFonts w:ascii="Arial" w:hAnsi="Arial" w:cs="Arial"/>
          <w:sz w:val="22"/>
          <w:szCs w:val="22"/>
        </w:rPr>
        <w:t xml:space="preserve"> (Accessed: 1</w:t>
      </w:r>
      <w:r w:rsidR="00331490">
        <w:rPr>
          <w:rFonts w:ascii="Arial" w:hAnsi="Arial" w:cs="Arial"/>
          <w:sz w:val="22"/>
          <w:szCs w:val="22"/>
        </w:rPr>
        <w:t>2</w:t>
      </w:r>
      <w:r w:rsidRPr="00971D82">
        <w:rPr>
          <w:rFonts w:ascii="Arial" w:hAnsi="Arial" w:cs="Arial"/>
          <w:sz w:val="22"/>
          <w:szCs w:val="22"/>
        </w:rPr>
        <w:t xml:space="preserve"> June 2026).</w:t>
      </w:r>
    </w:p>
    <w:p w14:paraId="1DAC9B18" w14:textId="2417D7DE" w:rsidR="00971D82" w:rsidRDefault="00971D82" w:rsidP="001B0684">
      <w:pPr>
        <w:spacing w:line="360" w:lineRule="auto"/>
        <w:rPr>
          <w:rFonts w:ascii="Arial" w:hAnsi="Arial" w:cs="Arial"/>
          <w:sz w:val="22"/>
          <w:szCs w:val="22"/>
        </w:rPr>
      </w:pPr>
      <w:r w:rsidRPr="00971D82">
        <w:rPr>
          <w:rFonts w:ascii="Arial" w:hAnsi="Arial" w:cs="Arial"/>
          <w:sz w:val="22"/>
          <w:szCs w:val="22"/>
        </w:rPr>
        <w:t xml:space="preserve">National Institute for Health and Care Excellence (NICE) (2022) People's experience in adult social care: improving the experience of care and support for people using adult social care services. NICE Guideline NG86. Available at: </w:t>
      </w:r>
      <w:hyperlink r:id="rId16" w:history="1">
        <w:r w:rsidRPr="00971D82">
          <w:rPr>
            <w:rStyle w:val="Hyperlink"/>
            <w:rFonts w:ascii="Arial" w:hAnsi="Arial" w:cs="Arial"/>
            <w:sz w:val="22"/>
            <w:szCs w:val="22"/>
          </w:rPr>
          <w:t>https://www.nice.org.uk/guidance/ng86</w:t>
        </w:r>
      </w:hyperlink>
      <w:r w:rsidRPr="00971D82">
        <w:rPr>
          <w:rFonts w:ascii="Arial" w:hAnsi="Arial" w:cs="Arial"/>
          <w:sz w:val="22"/>
          <w:szCs w:val="22"/>
        </w:rPr>
        <w:t xml:space="preserve"> (Accessed: 1</w:t>
      </w:r>
      <w:r w:rsidR="00331490">
        <w:rPr>
          <w:rFonts w:ascii="Arial" w:hAnsi="Arial" w:cs="Arial"/>
          <w:sz w:val="22"/>
          <w:szCs w:val="22"/>
        </w:rPr>
        <w:t>5</w:t>
      </w:r>
      <w:r w:rsidRPr="00971D82">
        <w:rPr>
          <w:rFonts w:ascii="Arial" w:hAnsi="Arial" w:cs="Arial"/>
          <w:sz w:val="22"/>
          <w:szCs w:val="22"/>
        </w:rPr>
        <w:t xml:space="preserve"> June 2026).</w:t>
      </w:r>
    </w:p>
    <w:p w14:paraId="6DA1E922" w14:textId="5D92CCA7" w:rsidR="00971D82" w:rsidRDefault="00971D82" w:rsidP="001B0684">
      <w:pPr>
        <w:spacing w:line="360" w:lineRule="auto"/>
        <w:rPr>
          <w:rFonts w:ascii="Arial" w:hAnsi="Arial" w:cs="Arial"/>
          <w:sz w:val="22"/>
          <w:szCs w:val="22"/>
        </w:rPr>
      </w:pPr>
      <w:r w:rsidRPr="00971D82">
        <w:rPr>
          <w:rFonts w:ascii="Arial" w:hAnsi="Arial" w:cs="Arial"/>
          <w:sz w:val="22"/>
          <w:szCs w:val="22"/>
        </w:rPr>
        <w:t xml:space="preserve">World Health Organization (WHO) (2023) Framework on integrated people-centred health services. Available at: </w:t>
      </w:r>
      <w:hyperlink r:id="rId17" w:history="1">
        <w:r w:rsidRPr="00971D82">
          <w:rPr>
            <w:rStyle w:val="Hyperlink"/>
            <w:rFonts w:ascii="Arial" w:hAnsi="Arial" w:cs="Arial"/>
            <w:sz w:val="22"/>
            <w:szCs w:val="22"/>
          </w:rPr>
          <w:t>https://www.who.int/teams/integrated-health-services</w:t>
        </w:r>
      </w:hyperlink>
      <w:r w:rsidRPr="00971D82">
        <w:rPr>
          <w:rFonts w:ascii="Arial" w:hAnsi="Arial" w:cs="Arial"/>
          <w:sz w:val="22"/>
          <w:szCs w:val="22"/>
        </w:rPr>
        <w:t xml:space="preserve"> (Accessed: 1</w:t>
      </w:r>
      <w:r w:rsidR="00331490">
        <w:rPr>
          <w:rFonts w:ascii="Arial" w:hAnsi="Arial" w:cs="Arial"/>
          <w:sz w:val="22"/>
          <w:szCs w:val="22"/>
        </w:rPr>
        <w:t>5</w:t>
      </w:r>
      <w:r w:rsidRPr="00971D82">
        <w:rPr>
          <w:rFonts w:ascii="Arial" w:hAnsi="Arial" w:cs="Arial"/>
          <w:sz w:val="22"/>
          <w:szCs w:val="22"/>
        </w:rPr>
        <w:t xml:space="preserve"> June 2026).</w:t>
      </w:r>
    </w:p>
    <w:p w14:paraId="2631EA26" w14:textId="43EBCBF0" w:rsidR="00971D82" w:rsidRPr="001B0684" w:rsidRDefault="008113CE" w:rsidP="001B0684">
      <w:pPr>
        <w:spacing w:line="360" w:lineRule="auto"/>
        <w:rPr>
          <w:rFonts w:ascii="Arial" w:hAnsi="Arial" w:cs="Arial"/>
          <w:sz w:val="22"/>
          <w:szCs w:val="22"/>
        </w:rPr>
      </w:pPr>
      <w:r w:rsidRPr="008113CE">
        <w:rPr>
          <w:rFonts w:ascii="Arial" w:hAnsi="Arial" w:cs="Arial"/>
          <w:sz w:val="22"/>
          <w:szCs w:val="22"/>
        </w:rPr>
        <w:t xml:space="preserve">UK Government (2012) </w:t>
      </w:r>
      <w:r w:rsidRPr="008113CE">
        <w:rPr>
          <w:rFonts w:ascii="Arial" w:hAnsi="Arial" w:cs="Arial"/>
          <w:i/>
          <w:iCs/>
          <w:sz w:val="22"/>
          <w:szCs w:val="22"/>
        </w:rPr>
        <w:t>Health and Social Care Act 2012</w:t>
      </w:r>
      <w:r w:rsidRPr="008113CE">
        <w:rPr>
          <w:rFonts w:ascii="Arial" w:hAnsi="Arial" w:cs="Arial"/>
          <w:sz w:val="22"/>
          <w:szCs w:val="22"/>
        </w:rPr>
        <w:t xml:space="preserve">. Available at: </w:t>
      </w:r>
      <w:hyperlink r:id="rId18" w:tgtFrame="_new" w:history="1">
        <w:r w:rsidRPr="008113CE">
          <w:rPr>
            <w:rStyle w:val="Hyperlink"/>
            <w:rFonts w:ascii="Arial" w:hAnsi="Arial" w:cs="Arial"/>
            <w:sz w:val="22"/>
            <w:szCs w:val="22"/>
          </w:rPr>
          <w:t>https://www.legislation.gov.uk/ukpga/2012/7/contents</w:t>
        </w:r>
      </w:hyperlink>
      <w:r w:rsidRPr="008113CE">
        <w:rPr>
          <w:rFonts w:ascii="Arial" w:hAnsi="Arial" w:cs="Arial"/>
          <w:sz w:val="22"/>
          <w:szCs w:val="22"/>
        </w:rPr>
        <w:t xml:space="preserve"> (Accessed: 18 June 2026).</w:t>
      </w:r>
    </w:p>
    <w:sectPr w:rsidR="00971D82" w:rsidRPr="001B0684" w:rsidSect="002663D0">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E38173" w14:textId="77777777" w:rsidR="00C20A19" w:rsidRDefault="00C20A19" w:rsidP="00D0254C">
      <w:pPr>
        <w:spacing w:after="0" w:line="240" w:lineRule="auto"/>
      </w:pPr>
      <w:r>
        <w:separator/>
      </w:r>
    </w:p>
  </w:endnote>
  <w:endnote w:type="continuationSeparator" w:id="0">
    <w:p w14:paraId="60FC555B" w14:textId="77777777" w:rsidR="00C20A19" w:rsidRDefault="00C20A19" w:rsidP="00D025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7135291"/>
      <w:docPartObj>
        <w:docPartGallery w:val="Page Numbers (Bottom of Page)"/>
        <w:docPartUnique/>
      </w:docPartObj>
    </w:sdtPr>
    <w:sdtEndPr>
      <w:rPr>
        <w:noProof/>
      </w:rPr>
    </w:sdtEndPr>
    <w:sdtContent>
      <w:p w14:paraId="717240B6" w14:textId="1F3827C8" w:rsidR="00D0254C" w:rsidRDefault="00D0254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6213C6B" w14:textId="77777777" w:rsidR="00D0254C" w:rsidRDefault="00D025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E50C06" w14:textId="77777777" w:rsidR="00C20A19" w:rsidRDefault="00C20A19" w:rsidP="00D0254C">
      <w:pPr>
        <w:spacing w:after="0" w:line="240" w:lineRule="auto"/>
      </w:pPr>
      <w:r>
        <w:separator/>
      </w:r>
    </w:p>
  </w:footnote>
  <w:footnote w:type="continuationSeparator" w:id="0">
    <w:p w14:paraId="24CC4531" w14:textId="77777777" w:rsidR="00C20A19" w:rsidRDefault="00C20A19" w:rsidP="00D0254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63D0"/>
    <w:rsid w:val="000742F8"/>
    <w:rsid w:val="001B0684"/>
    <w:rsid w:val="002663D0"/>
    <w:rsid w:val="00331490"/>
    <w:rsid w:val="003D767D"/>
    <w:rsid w:val="004A1781"/>
    <w:rsid w:val="00561F44"/>
    <w:rsid w:val="008113CE"/>
    <w:rsid w:val="0086180B"/>
    <w:rsid w:val="008774CA"/>
    <w:rsid w:val="00887A39"/>
    <w:rsid w:val="0096631E"/>
    <w:rsid w:val="00971D82"/>
    <w:rsid w:val="00C20A19"/>
    <w:rsid w:val="00D0149A"/>
    <w:rsid w:val="00D0254C"/>
    <w:rsid w:val="00EC5E85"/>
    <w:rsid w:val="00EE2C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0E755"/>
  <w15:chartTrackingRefBased/>
  <w15:docId w15:val="{D5C31ABD-74DE-40D8-B108-53EF0E65B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63D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663D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663D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663D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663D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663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63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63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63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63D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663D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663D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663D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663D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663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63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63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63D0"/>
    <w:rPr>
      <w:rFonts w:eastAsiaTheme="majorEastAsia" w:cstheme="majorBidi"/>
      <w:color w:val="272727" w:themeColor="text1" w:themeTint="D8"/>
    </w:rPr>
  </w:style>
  <w:style w:type="paragraph" w:styleId="Title">
    <w:name w:val="Title"/>
    <w:basedOn w:val="Normal"/>
    <w:next w:val="Normal"/>
    <w:link w:val="TitleChar"/>
    <w:uiPriority w:val="10"/>
    <w:qFormat/>
    <w:rsid w:val="002663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63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63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63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63D0"/>
    <w:pPr>
      <w:spacing w:before="160"/>
      <w:jc w:val="center"/>
    </w:pPr>
    <w:rPr>
      <w:i/>
      <w:iCs/>
      <w:color w:val="404040" w:themeColor="text1" w:themeTint="BF"/>
    </w:rPr>
  </w:style>
  <w:style w:type="character" w:customStyle="1" w:styleId="QuoteChar">
    <w:name w:val="Quote Char"/>
    <w:basedOn w:val="DefaultParagraphFont"/>
    <w:link w:val="Quote"/>
    <w:uiPriority w:val="29"/>
    <w:rsid w:val="002663D0"/>
    <w:rPr>
      <w:i/>
      <w:iCs/>
      <w:color w:val="404040" w:themeColor="text1" w:themeTint="BF"/>
    </w:rPr>
  </w:style>
  <w:style w:type="paragraph" w:styleId="ListParagraph">
    <w:name w:val="List Paragraph"/>
    <w:basedOn w:val="Normal"/>
    <w:uiPriority w:val="34"/>
    <w:qFormat/>
    <w:rsid w:val="002663D0"/>
    <w:pPr>
      <w:ind w:left="720"/>
      <w:contextualSpacing/>
    </w:pPr>
  </w:style>
  <w:style w:type="character" w:styleId="IntenseEmphasis">
    <w:name w:val="Intense Emphasis"/>
    <w:basedOn w:val="DefaultParagraphFont"/>
    <w:uiPriority w:val="21"/>
    <w:qFormat/>
    <w:rsid w:val="002663D0"/>
    <w:rPr>
      <w:i/>
      <w:iCs/>
      <w:color w:val="2F5496" w:themeColor="accent1" w:themeShade="BF"/>
    </w:rPr>
  </w:style>
  <w:style w:type="paragraph" w:styleId="IntenseQuote">
    <w:name w:val="Intense Quote"/>
    <w:basedOn w:val="Normal"/>
    <w:next w:val="Normal"/>
    <w:link w:val="IntenseQuoteChar"/>
    <w:uiPriority w:val="30"/>
    <w:qFormat/>
    <w:rsid w:val="002663D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663D0"/>
    <w:rPr>
      <w:i/>
      <w:iCs/>
      <w:color w:val="2F5496" w:themeColor="accent1" w:themeShade="BF"/>
    </w:rPr>
  </w:style>
  <w:style w:type="character" w:styleId="IntenseReference">
    <w:name w:val="Intense Reference"/>
    <w:basedOn w:val="DefaultParagraphFont"/>
    <w:uiPriority w:val="32"/>
    <w:qFormat/>
    <w:rsid w:val="002663D0"/>
    <w:rPr>
      <w:b/>
      <w:bCs/>
      <w:smallCaps/>
      <w:color w:val="2F5496" w:themeColor="accent1" w:themeShade="BF"/>
      <w:spacing w:val="5"/>
    </w:rPr>
  </w:style>
  <w:style w:type="paragraph" w:styleId="NoSpacing">
    <w:name w:val="No Spacing"/>
    <w:link w:val="NoSpacingChar"/>
    <w:uiPriority w:val="1"/>
    <w:qFormat/>
    <w:rsid w:val="002663D0"/>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2663D0"/>
    <w:rPr>
      <w:rFonts w:eastAsiaTheme="minorEastAsia"/>
      <w:kern w:val="0"/>
      <w:sz w:val="22"/>
      <w:szCs w:val="22"/>
      <w:lang w:val="en-US"/>
      <w14:ligatures w14:val="none"/>
    </w:rPr>
  </w:style>
  <w:style w:type="character" w:styleId="Hyperlink">
    <w:name w:val="Hyperlink"/>
    <w:basedOn w:val="DefaultParagraphFont"/>
    <w:uiPriority w:val="99"/>
    <w:unhideWhenUsed/>
    <w:rsid w:val="001B0684"/>
    <w:rPr>
      <w:color w:val="0563C1" w:themeColor="hyperlink"/>
      <w:u w:val="single"/>
    </w:rPr>
  </w:style>
  <w:style w:type="character" w:styleId="UnresolvedMention">
    <w:name w:val="Unresolved Mention"/>
    <w:basedOn w:val="DefaultParagraphFont"/>
    <w:uiPriority w:val="99"/>
    <w:semiHidden/>
    <w:unhideWhenUsed/>
    <w:rsid w:val="001B0684"/>
    <w:rPr>
      <w:color w:val="605E5C"/>
      <w:shd w:val="clear" w:color="auto" w:fill="E1DFDD"/>
    </w:rPr>
  </w:style>
  <w:style w:type="character" w:styleId="FollowedHyperlink">
    <w:name w:val="FollowedHyperlink"/>
    <w:basedOn w:val="DefaultParagraphFont"/>
    <w:uiPriority w:val="99"/>
    <w:semiHidden/>
    <w:unhideWhenUsed/>
    <w:rsid w:val="00971D82"/>
    <w:rPr>
      <w:color w:val="954F72" w:themeColor="followedHyperlink"/>
      <w:u w:val="single"/>
    </w:rPr>
  </w:style>
  <w:style w:type="paragraph" w:styleId="Header">
    <w:name w:val="header"/>
    <w:basedOn w:val="Normal"/>
    <w:link w:val="HeaderChar"/>
    <w:uiPriority w:val="99"/>
    <w:unhideWhenUsed/>
    <w:rsid w:val="00D025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254C"/>
  </w:style>
  <w:style w:type="paragraph" w:styleId="Footer">
    <w:name w:val="footer"/>
    <w:basedOn w:val="Normal"/>
    <w:link w:val="FooterChar"/>
    <w:uiPriority w:val="99"/>
    <w:unhideWhenUsed/>
    <w:rsid w:val="00D025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25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14/23/contents" TargetMode="External"/><Relationship Id="rId13" Type="http://schemas.openxmlformats.org/officeDocument/2006/relationships/hyperlink" Target="https://onlinelibrary.wiley.com/doi/full/10.1111/hex.12640" TargetMode="External"/><Relationship Id="rId18" Type="http://schemas.openxmlformats.org/officeDocument/2006/relationships/hyperlink" Target="https://www.legislation.gov.uk/ukpga/2012/7/contents"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nejm.org/doi/full/10.1056/NEJMp1109283" TargetMode="External"/><Relationship Id="rId12" Type="http://schemas.openxmlformats.org/officeDocument/2006/relationships/hyperlink" Target="https://www.england.nhs.uk/personalisedcare/" TargetMode="External"/><Relationship Id="rId17" Type="http://schemas.openxmlformats.org/officeDocument/2006/relationships/hyperlink" Target="https://www.who.int/teams/integrated-health-services" TargetMode="External"/><Relationship Id="rId2" Type="http://schemas.openxmlformats.org/officeDocument/2006/relationships/styles" Target="styles.xml"/><Relationship Id="rId16" Type="http://schemas.openxmlformats.org/officeDocument/2006/relationships/hyperlink" Target="https://www.nice.org.uk/guidance/ng86"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legislation.gov.uk/ukpga/1998/42/contents" TargetMode="External"/><Relationship Id="rId5" Type="http://schemas.openxmlformats.org/officeDocument/2006/relationships/footnotes" Target="footnotes.xml"/><Relationship Id="rId15" Type="http://schemas.openxmlformats.org/officeDocument/2006/relationships/hyperlink" Target="https://www.cqc.org.uk/guidance-providers/regulations-enforcement/regulation-9-person-centred-care" TargetMode="External"/><Relationship Id="rId10" Type="http://schemas.openxmlformats.org/officeDocument/2006/relationships/hyperlink" Target="https://www.legislation.gov.uk/ukpga/2010/15/contents"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legislation.gov.uk/ukpga/2022/31/contents" TargetMode="External"/><Relationship Id="rId14" Type="http://schemas.openxmlformats.org/officeDocument/2006/relationships/hyperlink" Target="https://www.scie.org.uk/person-centred-c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2026-07-02T00:00:00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10</Pages>
  <Words>3008</Words>
  <Characters>17148</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Principles of Health and Social Care Practice BMHP5016</dc:title>
  <dc:subject>Component 2: Written Assignment (Report)</dc:subject>
  <dc:creator>Haleemah Akhtar (2432717)</dc:creator>
  <cp:keywords/>
  <dc:description/>
  <cp:lastModifiedBy>Haleemah Akhtar (2432717)</cp:lastModifiedBy>
  <cp:revision>2</cp:revision>
  <dcterms:created xsi:type="dcterms:W3CDTF">2026-06-18T09:05:00Z</dcterms:created>
  <dcterms:modified xsi:type="dcterms:W3CDTF">2026-06-18T11:04:00Z</dcterms:modified>
</cp:coreProperties>
</file>