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17961" w14:textId="4F09BCEB" w:rsidR="009B0E7C" w:rsidRDefault="00FB6D55" w:rsidP="007F019B">
      <w:pPr>
        <w:spacing w:line="360" w:lineRule="auto"/>
      </w:pPr>
      <w:r>
        <w:rPr>
          <w:noProof/>
        </w:rPr>
        <w:drawing>
          <wp:inline distT="0" distB="0" distL="0" distR="0" wp14:anchorId="770CA564" wp14:editId="3CC783F8">
            <wp:extent cx="2621280" cy="1164590"/>
            <wp:effectExtent l="0" t="0" r="7620" b="0"/>
            <wp:docPr id="1814549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696FEE06" w14:textId="77777777" w:rsidR="00FB6D55" w:rsidRPr="00FB6D55" w:rsidRDefault="00FB6D55" w:rsidP="007F019B">
      <w:pPr>
        <w:spacing w:line="360" w:lineRule="auto"/>
        <w:rPr>
          <w:sz w:val="26"/>
          <w:szCs w:val="26"/>
        </w:rPr>
      </w:pPr>
    </w:p>
    <w:p w14:paraId="5AC13306" w14:textId="521C2834" w:rsidR="00FB6D55" w:rsidRPr="00FB6D55" w:rsidRDefault="00FB6D55" w:rsidP="007F019B">
      <w:pPr>
        <w:spacing w:line="360" w:lineRule="auto"/>
        <w:jc w:val="center"/>
        <w:rPr>
          <w:rFonts w:ascii="Arial" w:hAnsi="Arial" w:cs="Arial"/>
          <w:b/>
          <w:bCs/>
          <w:sz w:val="26"/>
          <w:szCs w:val="26"/>
        </w:rPr>
      </w:pPr>
      <w:r w:rsidRPr="00FB6D55">
        <w:rPr>
          <w:rFonts w:ascii="Arial" w:hAnsi="Arial" w:cs="Arial"/>
          <w:b/>
          <w:bCs/>
          <w:sz w:val="26"/>
          <w:szCs w:val="26"/>
        </w:rPr>
        <w:t>Diabetes Management: A Patient Education Report for Practice Nurses</w:t>
      </w:r>
    </w:p>
    <w:p w14:paraId="31C9B05F" w14:textId="77777777" w:rsidR="00FB6D55" w:rsidRDefault="00FB6D55" w:rsidP="007F019B">
      <w:pPr>
        <w:spacing w:line="360" w:lineRule="auto"/>
        <w:jc w:val="center"/>
        <w:rPr>
          <w:rFonts w:ascii="Arial" w:hAnsi="Arial" w:cs="Arial"/>
          <w:b/>
          <w:bCs/>
          <w:sz w:val="28"/>
          <w:szCs w:val="28"/>
        </w:rPr>
      </w:pPr>
    </w:p>
    <w:p w14:paraId="36860D1E" w14:textId="77777777" w:rsidR="00FB6D55" w:rsidRPr="00FB6D55" w:rsidRDefault="00FB6D55" w:rsidP="00EB443B">
      <w:pPr>
        <w:spacing w:line="360" w:lineRule="auto"/>
        <w:rPr>
          <w:rFonts w:ascii="Arial" w:hAnsi="Arial" w:cs="Arial"/>
          <w:b/>
          <w:bCs/>
          <w:sz w:val="28"/>
          <w:szCs w:val="28"/>
        </w:rPr>
      </w:pPr>
    </w:p>
    <w:p w14:paraId="40CF5495" w14:textId="55A9C635" w:rsidR="00FB6D55" w:rsidRPr="00FB6D55" w:rsidRDefault="00FB6D55" w:rsidP="007F019B">
      <w:pPr>
        <w:spacing w:line="360" w:lineRule="auto"/>
        <w:rPr>
          <w:rFonts w:ascii="Arial" w:hAnsi="Arial" w:cs="Arial"/>
          <w:b/>
          <w:bCs/>
          <w:sz w:val="28"/>
          <w:szCs w:val="28"/>
        </w:rPr>
      </w:pPr>
      <w:r w:rsidRPr="00FB6D55">
        <w:rPr>
          <w:rFonts w:ascii="Arial" w:hAnsi="Arial" w:cs="Arial"/>
          <w:b/>
          <w:bCs/>
          <w:sz w:val="28"/>
          <w:szCs w:val="28"/>
        </w:rPr>
        <w:t>Name:</w:t>
      </w:r>
      <w:r w:rsidRPr="00FB6D55">
        <w:rPr>
          <w:rFonts w:ascii="Arial" w:hAnsi="Arial" w:cs="Arial"/>
          <w:b/>
          <w:bCs/>
          <w:sz w:val="28"/>
          <w:szCs w:val="28"/>
        </w:rPr>
        <w:tab/>
      </w:r>
      <w:r w:rsidRPr="00FB6D55">
        <w:rPr>
          <w:rFonts w:ascii="Arial" w:hAnsi="Arial" w:cs="Arial"/>
          <w:b/>
          <w:bCs/>
          <w:sz w:val="28"/>
          <w:szCs w:val="28"/>
        </w:rPr>
        <w:tab/>
      </w:r>
      <w:r w:rsidR="00F945C5">
        <w:rPr>
          <w:rFonts w:ascii="Arial" w:hAnsi="Arial" w:cs="Arial"/>
          <w:b/>
          <w:bCs/>
          <w:sz w:val="28"/>
          <w:szCs w:val="28"/>
        </w:rPr>
        <w:tab/>
      </w:r>
      <w:r w:rsidRPr="00FB6D55">
        <w:rPr>
          <w:rFonts w:ascii="Arial" w:hAnsi="Arial" w:cs="Arial"/>
          <w:sz w:val="28"/>
          <w:szCs w:val="28"/>
        </w:rPr>
        <w:t>Mimi Alero Imo</w:t>
      </w:r>
    </w:p>
    <w:p w14:paraId="6CECA514" w14:textId="6D25C48E" w:rsidR="00FB6D55" w:rsidRPr="00FB6D55" w:rsidRDefault="00FB6D55" w:rsidP="007F019B">
      <w:pPr>
        <w:spacing w:line="360" w:lineRule="auto"/>
        <w:rPr>
          <w:rFonts w:ascii="Arial" w:hAnsi="Arial" w:cs="Arial"/>
          <w:sz w:val="28"/>
          <w:szCs w:val="28"/>
        </w:rPr>
      </w:pPr>
      <w:r w:rsidRPr="00FB6D55">
        <w:rPr>
          <w:rFonts w:ascii="Arial" w:hAnsi="Arial" w:cs="Arial"/>
          <w:b/>
          <w:bCs/>
          <w:sz w:val="28"/>
          <w:szCs w:val="28"/>
        </w:rPr>
        <w:t>Student ID:</w:t>
      </w:r>
      <w:r w:rsidRPr="00FB6D55">
        <w:rPr>
          <w:rFonts w:ascii="Arial" w:hAnsi="Arial" w:cs="Arial"/>
          <w:b/>
          <w:bCs/>
          <w:sz w:val="28"/>
          <w:szCs w:val="28"/>
        </w:rPr>
        <w:tab/>
        <w:t xml:space="preserve"> </w:t>
      </w:r>
      <w:r w:rsidR="00F945C5">
        <w:rPr>
          <w:rFonts w:ascii="Arial" w:hAnsi="Arial" w:cs="Arial"/>
          <w:b/>
          <w:bCs/>
          <w:sz w:val="28"/>
          <w:szCs w:val="28"/>
        </w:rPr>
        <w:tab/>
      </w:r>
      <w:r w:rsidRPr="00FB6D55">
        <w:rPr>
          <w:rFonts w:ascii="Arial" w:hAnsi="Arial" w:cs="Arial"/>
          <w:sz w:val="28"/>
          <w:szCs w:val="28"/>
        </w:rPr>
        <w:t>2414781</w:t>
      </w:r>
    </w:p>
    <w:p w14:paraId="4D85DF02" w14:textId="5CF26B9A" w:rsidR="00FB6D55" w:rsidRPr="001F0696" w:rsidRDefault="00FB6D55" w:rsidP="007F019B">
      <w:pPr>
        <w:spacing w:line="360" w:lineRule="auto"/>
        <w:rPr>
          <w:rFonts w:ascii="Arial" w:hAnsi="Arial" w:cs="Arial"/>
          <w:sz w:val="28"/>
          <w:szCs w:val="28"/>
        </w:rPr>
      </w:pPr>
      <w:r w:rsidRPr="00FB6D55">
        <w:rPr>
          <w:rFonts w:ascii="Arial" w:hAnsi="Arial" w:cs="Arial"/>
          <w:b/>
          <w:bCs/>
          <w:sz w:val="28"/>
          <w:szCs w:val="28"/>
        </w:rPr>
        <w:t>Module Code:</w:t>
      </w:r>
      <w:r w:rsidRPr="00FB6D55">
        <w:rPr>
          <w:rFonts w:ascii="Arial" w:hAnsi="Arial" w:cs="Arial"/>
          <w:b/>
          <w:bCs/>
          <w:sz w:val="28"/>
          <w:szCs w:val="28"/>
        </w:rPr>
        <w:tab/>
      </w:r>
      <w:r w:rsidR="00F945C5">
        <w:rPr>
          <w:rFonts w:ascii="Arial" w:hAnsi="Arial" w:cs="Arial"/>
          <w:b/>
          <w:bCs/>
          <w:sz w:val="28"/>
          <w:szCs w:val="28"/>
        </w:rPr>
        <w:tab/>
      </w:r>
      <w:r w:rsidRPr="001F0696">
        <w:rPr>
          <w:rFonts w:ascii="Arial" w:hAnsi="Arial" w:cs="Arial"/>
          <w:sz w:val="28"/>
          <w:szCs w:val="28"/>
        </w:rPr>
        <w:t>BMHP5023</w:t>
      </w:r>
    </w:p>
    <w:p w14:paraId="23C93B8D" w14:textId="5B16E210" w:rsidR="00FB6D55" w:rsidRPr="00FB6D55" w:rsidRDefault="00FB6D55" w:rsidP="007F019B">
      <w:pPr>
        <w:spacing w:line="360" w:lineRule="auto"/>
        <w:rPr>
          <w:rFonts w:ascii="Arial" w:hAnsi="Arial" w:cs="Arial"/>
          <w:b/>
          <w:bCs/>
          <w:sz w:val="28"/>
          <w:szCs w:val="28"/>
        </w:rPr>
      </w:pPr>
      <w:r w:rsidRPr="00FB6D55">
        <w:rPr>
          <w:rFonts w:ascii="Arial" w:hAnsi="Arial" w:cs="Arial"/>
          <w:b/>
          <w:bCs/>
          <w:sz w:val="28"/>
          <w:szCs w:val="28"/>
        </w:rPr>
        <w:t>Module Title:</w:t>
      </w:r>
      <w:r w:rsidRPr="00FB6D55">
        <w:rPr>
          <w:rFonts w:ascii="Arial" w:hAnsi="Arial" w:cs="Arial"/>
          <w:b/>
          <w:bCs/>
          <w:sz w:val="28"/>
          <w:szCs w:val="28"/>
        </w:rPr>
        <w:tab/>
      </w:r>
      <w:r w:rsidR="00F945C5">
        <w:rPr>
          <w:rFonts w:ascii="Arial" w:hAnsi="Arial" w:cs="Arial"/>
          <w:b/>
          <w:bCs/>
          <w:sz w:val="28"/>
          <w:szCs w:val="28"/>
        </w:rPr>
        <w:tab/>
      </w:r>
      <w:r w:rsidRPr="001F0696">
        <w:rPr>
          <w:rFonts w:ascii="Arial" w:hAnsi="Arial" w:cs="Arial"/>
          <w:sz w:val="28"/>
          <w:szCs w:val="28"/>
        </w:rPr>
        <w:t>Introduction to Physiology</w:t>
      </w:r>
    </w:p>
    <w:p w14:paraId="79FE524E" w14:textId="17EB67F7" w:rsidR="00FB6D55" w:rsidRPr="00FB6D55" w:rsidRDefault="00FB6D55" w:rsidP="007F019B">
      <w:pPr>
        <w:spacing w:line="360" w:lineRule="auto"/>
        <w:rPr>
          <w:rFonts w:ascii="Arial" w:hAnsi="Arial" w:cs="Arial"/>
          <w:b/>
          <w:bCs/>
          <w:sz w:val="28"/>
          <w:szCs w:val="28"/>
        </w:rPr>
      </w:pPr>
      <w:r w:rsidRPr="00FB6D55">
        <w:rPr>
          <w:rFonts w:ascii="Arial" w:hAnsi="Arial" w:cs="Arial"/>
          <w:b/>
          <w:bCs/>
          <w:sz w:val="28"/>
          <w:szCs w:val="28"/>
        </w:rPr>
        <w:t>Lecturer:</w:t>
      </w:r>
      <w:r w:rsidRPr="00FB6D55">
        <w:rPr>
          <w:rFonts w:ascii="Arial" w:hAnsi="Arial" w:cs="Arial"/>
          <w:b/>
          <w:bCs/>
          <w:sz w:val="28"/>
          <w:szCs w:val="28"/>
        </w:rPr>
        <w:tab/>
      </w:r>
      <w:r w:rsidRPr="00FB6D55">
        <w:rPr>
          <w:rFonts w:ascii="Arial" w:hAnsi="Arial" w:cs="Arial"/>
          <w:b/>
          <w:bCs/>
          <w:sz w:val="28"/>
          <w:szCs w:val="28"/>
        </w:rPr>
        <w:tab/>
      </w:r>
      <w:r w:rsidR="00F945C5">
        <w:rPr>
          <w:rFonts w:ascii="Arial" w:hAnsi="Arial" w:cs="Arial"/>
          <w:b/>
          <w:bCs/>
          <w:sz w:val="28"/>
          <w:szCs w:val="28"/>
        </w:rPr>
        <w:tab/>
      </w:r>
      <w:r w:rsidRPr="001F0696">
        <w:rPr>
          <w:rFonts w:ascii="Arial" w:hAnsi="Arial" w:cs="Arial"/>
          <w:sz w:val="28"/>
          <w:szCs w:val="28"/>
        </w:rPr>
        <w:t>Shaila Hussain</w:t>
      </w:r>
    </w:p>
    <w:p w14:paraId="2CA8827B" w14:textId="3D0034A4" w:rsidR="00FB6D55" w:rsidRPr="00FB6D55" w:rsidRDefault="00FB6D55" w:rsidP="007F019B">
      <w:pPr>
        <w:spacing w:line="360" w:lineRule="auto"/>
        <w:rPr>
          <w:rFonts w:ascii="Arial" w:hAnsi="Arial" w:cs="Arial"/>
          <w:b/>
          <w:bCs/>
          <w:sz w:val="28"/>
          <w:szCs w:val="28"/>
        </w:rPr>
      </w:pPr>
      <w:r w:rsidRPr="00FB6D55">
        <w:rPr>
          <w:rFonts w:ascii="Arial" w:hAnsi="Arial" w:cs="Arial"/>
          <w:b/>
          <w:bCs/>
          <w:sz w:val="28"/>
          <w:szCs w:val="28"/>
        </w:rPr>
        <w:t xml:space="preserve">Word Count:   </w:t>
      </w:r>
      <w:r w:rsidRPr="00FB6D55">
        <w:rPr>
          <w:rFonts w:ascii="Arial" w:hAnsi="Arial" w:cs="Arial"/>
          <w:b/>
          <w:bCs/>
          <w:sz w:val="28"/>
          <w:szCs w:val="28"/>
        </w:rPr>
        <w:tab/>
      </w:r>
      <w:r w:rsidR="00F945C5">
        <w:rPr>
          <w:rFonts w:ascii="Arial" w:hAnsi="Arial" w:cs="Arial"/>
          <w:b/>
          <w:bCs/>
          <w:sz w:val="28"/>
          <w:szCs w:val="28"/>
        </w:rPr>
        <w:tab/>
      </w:r>
      <w:r w:rsidRPr="001F0696">
        <w:rPr>
          <w:rFonts w:ascii="Arial" w:hAnsi="Arial" w:cs="Arial"/>
          <w:sz w:val="28"/>
          <w:szCs w:val="28"/>
        </w:rPr>
        <w:t>2,000</w:t>
      </w:r>
    </w:p>
    <w:p w14:paraId="57A2842B" w14:textId="77777777" w:rsidR="00FB6D55" w:rsidRPr="00FB6D55" w:rsidRDefault="00FB6D55" w:rsidP="007F019B">
      <w:pPr>
        <w:spacing w:line="360" w:lineRule="auto"/>
        <w:rPr>
          <w:rFonts w:ascii="Arial" w:hAnsi="Arial" w:cs="Arial"/>
          <w:sz w:val="28"/>
          <w:szCs w:val="28"/>
        </w:rPr>
      </w:pPr>
    </w:p>
    <w:p w14:paraId="10B55D82" w14:textId="77777777" w:rsidR="00FB6D55" w:rsidRPr="00FB6D55" w:rsidRDefault="00FB6D55" w:rsidP="007F019B">
      <w:pPr>
        <w:spacing w:line="360" w:lineRule="auto"/>
        <w:rPr>
          <w:rFonts w:ascii="Arial" w:hAnsi="Arial" w:cs="Arial"/>
          <w:sz w:val="28"/>
          <w:szCs w:val="28"/>
        </w:rPr>
      </w:pPr>
    </w:p>
    <w:p w14:paraId="73775BA5" w14:textId="77777777" w:rsidR="00CE798D" w:rsidRDefault="00CE798D" w:rsidP="007F019B">
      <w:pPr>
        <w:spacing w:line="360" w:lineRule="auto"/>
        <w:rPr>
          <w:rFonts w:ascii="Arial" w:hAnsi="Arial" w:cs="Arial"/>
          <w:sz w:val="28"/>
          <w:szCs w:val="28"/>
        </w:rPr>
      </w:pPr>
    </w:p>
    <w:p w14:paraId="0440BF2F" w14:textId="77777777" w:rsidR="00EB443B" w:rsidRDefault="00EB443B" w:rsidP="00EB443B">
      <w:pPr>
        <w:spacing w:line="360" w:lineRule="auto"/>
        <w:rPr>
          <w:rFonts w:ascii="Arial" w:hAnsi="Arial" w:cs="Arial"/>
          <w:b/>
          <w:bCs/>
          <w:sz w:val="28"/>
          <w:szCs w:val="28"/>
        </w:rPr>
      </w:pPr>
    </w:p>
    <w:p w14:paraId="34560F0F" w14:textId="234AB64F" w:rsidR="001F0696" w:rsidRDefault="00FB6D55" w:rsidP="00331903">
      <w:pPr>
        <w:spacing w:line="360" w:lineRule="auto"/>
        <w:ind w:left="3600" w:firstLine="720"/>
        <w:rPr>
          <w:rFonts w:ascii="Arial" w:hAnsi="Arial" w:cs="Arial"/>
          <w:sz w:val="28"/>
          <w:szCs w:val="28"/>
        </w:rPr>
      </w:pPr>
      <w:r w:rsidRPr="001F0696">
        <w:rPr>
          <w:rFonts w:ascii="Arial" w:hAnsi="Arial" w:cs="Arial"/>
          <w:b/>
          <w:bCs/>
          <w:sz w:val="28"/>
          <w:szCs w:val="28"/>
        </w:rPr>
        <w:t>Submission Date</w:t>
      </w:r>
      <w:r w:rsidRPr="00FB6D55">
        <w:rPr>
          <w:rFonts w:ascii="Arial" w:hAnsi="Arial" w:cs="Arial"/>
          <w:sz w:val="28"/>
          <w:szCs w:val="28"/>
        </w:rPr>
        <w:t>: 05/12/2025</w:t>
      </w:r>
    </w:p>
    <w:p w14:paraId="182AF655" w14:textId="77777777" w:rsidR="00EB443B" w:rsidRDefault="00EB443B" w:rsidP="00331903">
      <w:pPr>
        <w:spacing w:line="360" w:lineRule="auto"/>
        <w:ind w:left="3600" w:firstLine="720"/>
        <w:rPr>
          <w:rFonts w:ascii="Arial" w:hAnsi="Arial" w:cs="Arial"/>
          <w:sz w:val="28"/>
          <w:szCs w:val="28"/>
        </w:rPr>
      </w:pPr>
    </w:p>
    <w:p w14:paraId="762BC0E6" w14:textId="77777777" w:rsidR="00EB443B" w:rsidRDefault="00EB443B" w:rsidP="00331903">
      <w:pPr>
        <w:spacing w:line="360" w:lineRule="auto"/>
        <w:ind w:left="3600" w:firstLine="720"/>
        <w:rPr>
          <w:rFonts w:ascii="Arial" w:hAnsi="Arial" w:cs="Arial"/>
          <w:sz w:val="28"/>
          <w:szCs w:val="28"/>
        </w:rPr>
      </w:pPr>
    </w:p>
    <w:p w14:paraId="5B292ADC" w14:textId="77777777" w:rsidR="00EB443B" w:rsidRDefault="00EB443B" w:rsidP="00331903">
      <w:pPr>
        <w:spacing w:line="360" w:lineRule="auto"/>
        <w:ind w:left="3600" w:firstLine="720"/>
        <w:rPr>
          <w:rFonts w:ascii="Arial" w:hAnsi="Arial" w:cs="Arial"/>
          <w:sz w:val="28"/>
          <w:szCs w:val="28"/>
        </w:rPr>
      </w:pPr>
    </w:p>
    <w:p w14:paraId="07A1D4F9" w14:textId="2E8A7F3D" w:rsidR="001F0696" w:rsidRPr="00EB7780" w:rsidRDefault="00EB7780" w:rsidP="007F019B">
      <w:pPr>
        <w:pStyle w:val="Heading1"/>
        <w:spacing w:line="360" w:lineRule="auto"/>
        <w:rPr>
          <w:rFonts w:ascii="Arial" w:hAnsi="Arial" w:cs="Arial"/>
          <w:b/>
          <w:bCs/>
          <w:color w:val="auto"/>
          <w:sz w:val="22"/>
          <w:szCs w:val="22"/>
        </w:rPr>
      </w:pPr>
      <w:r>
        <w:rPr>
          <w:rFonts w:ascii="Arial" w:hAnsi="Arial" w:cs="Arial"/>
          <w:b/>
          <w:bCs/>
          <w:color w:val="auto"/>
          <w:sz w:val="22"/>
          <w:szCs w:val="22"/>
        </w:rPr>
        <w:lastRenderedPageBreak/>
        <w:t xml:space="preserve">1.0 </w:t>
      </w:r>
      <w:r w:rsidR="001F0696" w:rsidRPr="00EB7780">
        <w:rPr>
          <w:rFonts w:ascii="Arial" w:hAnsi="Arial" w:cs="Arial"/>
          <w:b/>
          <w:bCs/>
          <w:color w:val="auto"/>
          <w:sz w:val="22"/>
          <w:szCs w:val="22"/>
        </w:rPr>
        <w:t>Introduction</w:t>
      </w:r>
    </w:p>
    <w:p w14:paraId="4AA95AB5" w14:textId="5032DAC5" w:rsidR="00FF7BD3" w:rsidRDefault="00FF7BD3" w:rsidP="007F019B">
      <w:pPr>
        <w:spacing w:line="360" w:lineRule="auto"/>
        <w:jc w:val="both"/>
        <w:rPr>
          <w:rFonts w:ascii="Arial" w:hAnsi="Arial" w:cs="Arial"/>
          <w:sz w:val="22"/>
          <w:szCs w:val="22"/>
        </w:rPr>
      </w:pPr>
      <w:r>
        <w:rPr>
          <w:rFonts w:ascii="Arial" w:hAnsi="Arial" w:cs="Arial"/>
          <w:sz w:val="22"/>
          <w:szCs w:val="22"/>
        </w:rPr>
        <w:t>Diabetes mellitus is a chronic metabolic disorder characterised by persistent high blood sugar levels due to issues with insulin secretion or action (World Health Organisation, 2019). Approximately 537 million adults are affected globally, with projections of 783 million by 2045 (International Diabetes Federation, 2021). In the UK, over 4.9 million people have diabetes, with Type 2 diabetes comprising about 90% of cases (Diabetes UK, 2023).</w:t>
      </w:r>
    </w:p>
    <w:p w14:paraId="7C1A6524" w14:textId="5CF8D9F1" w:rsidR="001F0696" w:rsidRDefault="00FF7BD3" w:rsidP="007F019B">
      <w:pPr>
        <w:spacing w:line="360" w:lineRule="auto"/>
        <w:jc w:val="both"/>
        <w:rPr>
          <w:rFonts w:ascii="Arial" w:hAnsi="Arial" w:cs="Arial"/>
          <w:sz w:val="22"/>
          <w:szCs w:val="22"/>
        </w:rPr>
      </w:pPr>
      <w:r>
        <w:rPr>
          <w:rFonts w:ascii="Arial" w:hAnsi="Arial" w:cs="Arial"/>
          <w:sz w:val="22"/>
          <w:szCs w:val="22"/>
        </w:rPr>
        <w:t>There are several forms of diabetes: Type 1 results from autoimmune destruction of pancreatic beta cells, while Type 2 develops from insulin resistance and deficiency (American Diabetes Association, 2023). Gestational diabetes occurs during pregnancy and usually resolves after delivery, but it raises the future diabetes risk for both mother and child (National Institute for Health and Care Excellence, 2020).</w:t>
      </w:r>
    </w:p>
    <w:p w14:paraId="04B4DC45" w14:textId="7A966BC4" w:rsidR="00552D66" w:rsidRPr="00552D66" w:rsidRDefault="00FF7BD3" w:rsidP="007F019B">
      <w:pPr>
        <w:spacing w:line="360" w:lineRule="auto"/>
        <w:jc w:val="both"/>
        <w:rPr>
          <w:rFonts w:ascii="Arial" w:hAnsi="Arial" w:cs="Arial"/>
          <w:sz w:val="18"/>
          <w:szCs w:val="18"/>
        </w:rPr>
      </w:pPr>
      <w:r>
        <w:rPr>
          <w:rFonts w:ascii="Arial" w:hAnsi="Arial" w:cs="Arial"/>
          <w:noProof/>
          <w:sz w:val="22"/>
          <w:szCs w:val="22"/>
        </w:rPr>
        <w:drawing>
          <wp:anchor distT="0" distB="0" distL="114300" distR="114300" simplePos="0" relativeHeight="251658240" behindDoc="1" locked="0" layoutInCell="1" allowOverlap="1" wp14:anchorId="7D6F3A33" wp14:editId="140653F3">
            <wp:simplePos x="0" y="0"/>
            <wp:positionH relativeFrom="margin">
              <wp:align>left</wp:align>
            </wp:positionH>
            <wp:positionV relativeFrom="page">
              <wp:posOffset>3869055</wp:posOffset>
            </wp:positionV>
            <wp:extent cx="5562600" cy="3223260"/>
            <wp:effectExtent l="0" t="0" r="0" b="0"/>
            <wp:wrapTight wrapText="bothSides">
              <wp:wrapPolygon edited="0">
                <wp:start x="0" y="0"/>
                <wp:lineTo x="0" y="21447"/>
                <wp:lineTo x="21526" y="21447"/>
                <wp:lineTo x="21526" y="0"/>
                <wp:lineTo x="0" y="0"/>
              </wp:wrapPolygon>
            </wp:wrapTight>
            <wp:docPr id="447594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2600" cy="3223260"/>
                    </a:xfrm>
                    <a:prstGeom prst="rect">
                      <a:avLst/>
                    </a:prstGeom>
                    <a:noFill/>
                  </pic:spPr>
                </pic:pic>
              </a:graphicData>
            </a:graphic>
          </wp:anchor>
        </w:drawing>
      </w:r>
      <w:r w:rsidR="00552D66" w:rsidRPr="00552D66">
        <w:rPr>
          <w:rFonts w:ascii="Arial" w:hAnsi="Arial" w:cs="Arial"/>
          <w:sz w:val="18"/>
          <w:szCs w:val="18"/>
        </w:rPr>
        <w:t xml:space="preserve">Figure 1: Flow chart of Diabetes </w:t>
      </w:r>
      <w:r w:rsidR="00C92FC0">
        <w:rPr>
          <w:rFonts w:ascii="Arial" w:hAnsi="Arial" w:cs="Arial"/>
          <w:sz w:val="18"/>
          <w:szCs w:val="18"/>
        </w:rPr>
        <w:t>(</w:t>
      </w:r>
      <w:r w:rsidR="00D8298E">
        <w:rPr>
          <w:rFonts w:ascii="Arial" w:hAnsi="Arial" w:cs="Arial"/>
          <w:sz w:val="18"/>
          <w:szCs w:val="18"/>
        </w:rPr>
        <w:t>©</w:t>
      </w:r>
      <w:r w:rsidR="00C92FC0">
        <w:rPr>
          <w:rFonts w:ascii="Arial" w:hAnsi="Arial" w:cs="Arial"/>
          <w:sz w:val="18"/>
          <w:szCs w:val="18"/>
        </w:rPr>
        <w:t>Merck Healthcare)</w:t>
      </w:r>
    </w:p>
    <w:p w14:paraId="74E64CCF" w14:textId="7C30E38C" w:rsidR="00552D66" w:rsidRPr="001F0696" w:rsidRDefault="00552D66" w:rsidP="007F019B">
      <w:pPr>
        <w:spacing w:line="360" w:lineRule="auto"/>
        <w:jc w:val="both"/>
        <w:rPr>
          <w:rFonts w:ascii="Arial" w:hAnsi="Arial" w:cs="Arial"/>
          <w:sz w:val="22"/>
          <w:szCs w:val="22"/>
        </w:rPr>
      </w:pPr>
    </w:p>
    <w:p w14:paraId="46B9BEB0" w14:textId="16178298" w:rsidR="00552D66" w:rsidRPr="00EB7780" w:rsidRDefault="00EB7780" w:rsidP="007F019B">
      <w:pPr>
        <w:pStyle w:val="Heading1"/>
        <w:spacing w:line="360" w:lineRule="auto"/>
        <w:rPr>
          <w:rFonts w:ascii="Arial" w:hAnsi="Arial" w:cs="Arial"/>
          <w:b/>
          <w:bCs/>
          <w:color w:val="auto"/>
          <w:sz w:val="22"/>
          <w:szCs w:val="22"/>
        </w:rPr>
      </w:pPr>
      <w:r w:rsidRPr="00EB7780">
        <w:rPr>
          <w:rFonts w:ascii="Arial" w:hAnsi="Arial" w:cs="Arial"/>
          <w:b/>
          <w:bCs/>
          <w:color w:val="auto"/>
          <w:sz w:val="22"/>
          <w:szCs w:val="22"/>
        </w:rPr>
        <w:t xml:space="preserve">1.1 </w:t>
      </w:r>
      <w:r w:rsidR="00552D66" w:rsidRPr="00EB7780">
        <w:rPr>
          <w:rFonts w:ascii="Arial" w:hAnsi="Arial" w:cs="Arial"/>
          <w:b/>
          <w:bCs/>
          <w:color w:val="auto"/>
          <w:sz w:val="22"/>
          <w:szCs w:val="22"/>
        </w:rPr>
        <w:t>Risk Factors for Type 2 Diabetes</w:t>
      </w:r>
    </w:p>
    <w:p w14:paraId="5ED54C5D" w14:textId="70333F22" w:rsidR="00552D66" w:rsidRPr="00552D66" w:rsidRDefault="00552D66" w:rsidP="007F019B">
      <w:pPr>
        <w:spacing w:line="360" w:lineRule="auto"/>
        <w:jc w:val="both"/>
        <w:rPr>
          <w:rFonts w:ascii="Arial" w:hAnsi="Arial" w:cs="Arial"/>
          <w:sz w:val="22"/>
          <w:szCs w:val="22"/>
        </w:rPr>
      </w:pPr>
      <w:r w:rsidRPr="00552D66">
        <w:rPr>
          <w:rFonts w:ascii="Arial" w:hAnsi="Arial" w:cs="Arial"/>
          <w:sz w:val="22"/>
          <w:szCs w:val="22"/>
        </w:rPr>
        <w:t xml:space="preserve">The aetiology of Type 2 diabetes is multifactorial, encompassing both modifiable and non-modifiable risk factors. Non-modifiable risk factors include advancing age (particularly over 40 years), ethnicity (with higher prevalence in South Asian, African-Caribbean, and Black African populations), and family history of diabetes (Diabetes UK, 2023; </w:t>
      </w:r>
      <w:proofErr w:type="spellStart"/>
      <w:r w:rsidRPr="00552D66">
        <w:rPr>
          <w:rFonts w:ascii="Arial" w:hAnsi="Arial" w:cs="Arial"/>
          <w:sz w:val="22"/>
          <w:szCs w:val="22"/>
        </w:rPr>
        <w:t>Bellou</w:t>
      </w:r>
      <w:proofErr w:type="spellEnd"/>
      <w:r w:rsidRPr="00552D66">
        <w:rPr>
          <w:rFonts w:ascii="Arial" w:hAnsi="Arial" w:cs="Arial"/>
          <w:sz w:val="22"/>
          <w:szCs w:val="22"/>
        </w:rPr>
        <w:t xml:space="preserve"> et al., 2018). Genetic predisposition plays a significant role, with individuals having a first-degree relative with diabetes facing a </w:t>
      </w:r>
      <w:r w:rsidR="00EB7780" w:rsidRPr="00552D66">
        <w:rPr>
          <w:rFonts w:ascii="Arial" w:hAnsi="Arial" w:cs="Arial"/>
          <w:sz w:val="22"/>
          <w:szCs w:val="22"/>
        </w:rPr>
        <w:t>2-6-fold</w:t>
      </w:r>
      <w:r w:rsidRPr="00552D66">
        <w:rPr>
          <w:rFonts w:ascii="Arial" w:hAnsi="Arial" w:cs="Arial"/>
          <w:sz w:val="22"/>
          <w:szCs w:val="22"/>
        </w:rPr>
        <w:t xml:space="preserve"> increased risk (</w:t>
      </w:r>
      <w:proofErr w:type="spellStart"/>
      <w:r w:rsidRPr="00552D66">
        <w:rPr>
          <w:rFonts w:ascii="Arial" w:hAnsi="Arial" w:cs="Arial"/>
          <w:sz w:val="22"/>
          <w:szCs w:val="22"/>
        </w:rPr>
        <w:t>InterAct</w:t>
      </w:r>
      <w:proofErr w:type="spellEnd"/>
      <w:r w:rsidRPr="00552D66">
        <w:rPr>
          <w:rFonts w:ascii="Arial" w:hAnsi="Arial" w:cs="Arial"/>
          <w:sz w:val="22"/>
          <w:szCs w:val="22"/>
        </w:rPr>
        <w:t xml:space="preserve"> Consortium, 2013).</w:t>
      </w:r>
    </w:p>
    <w:p w14:paraId="7BB05B1C" w14:textId="37DF713D" w:rsidR="00FB6D55" w:rsidRDefault="00552D66" w:rsidP="007F019B">
      <w:pPr>
        <w:spacing w:line="360" w:lineRule="auto"/>
        <w:jc w:val="both"/>
        <w:rPr>
          <w:rFonts w:ascii="Arial" w:hAnsi="Arial" w:cs="Arial"/>
          <w:sz w:val="22"/>
          <w:szCs w:val="22"/>
        </w:rPr>
      </w:pPr>
      <w:r w:rsidRPr="00552D66">
        <w:rPr>
          <w:rFonts w:ascii="Arial" w:hAnsi="Arial" w:cs="Arial"/>
          <w:sz w:val="22"/>
          <w:szCs w:val="22"/>
        </w:rPr>
        <w:lastRenderedPageBreak/>
        <w:t>Modifiable risk factors present crucial opportunities for prevention and intervention. Obesity, particularly central adiposity, represents the most significant modifiable risk factor, with approximately 80-85% of Type 2 diabetes risk attributable to overweight and obesity (Guh et al., 2009). Physical inactivity, poor dietary habits characterised by high consumption of refined carbohydrates and saturated fats, smoking, and excessive alcohol consumption all contribute substantially to diabetes development (Hu et al., 2001; Willi et al., 2007). Additionally, conditions such as hypertension, dyslipidaemia, and polycystic ovary syndrome increase diabetes risk (</w:t>
      </w:r>
      <w:proofErr w:type="spellStart"/>
      <w:r w:rsidRPr="00552D66">
        <w:rPr>
          <w:rFonts w:ascii="Arial" w:hAnsi="Arial" w:cs="Arial"/>
          <w:sz w:val="22"/>
          <w:szCs w:val="22"/>
        </w:rPr>
        <w:t>Bellou</w:t>
      </w:r>
      <w:proofErr w:type="spellEnd"/>
      <w:r w:rsidRPr="00552D66">
        <w:rPr>
          <w:rFonts w:ascii="Arial" w:hAnsi="Arial" w:cs="Arial"/>
          <w:sz w:val="22"/>
          <w:szCs w:val="22"/>
        </w:rPr>
        <w:t xml:space="preserve"> et al., 2018).</w:t>
      </w:r>
    </w:p>
    <w:p w14:paraId="751BD9DA" w14:textId="24D0AFEB" w:rsidR="00C92FC0" w:rsidRPr="00C92FC0" w:rsidRDefault="00C92FC0" w:rsidP="007F019B">
      <w:pPr>
        <w:pStyle w:val="Heading1"/>
        <w:spacing w:line="360" w:lineRule="auto"/>
        <w:rPr>
          <w:rFonts w:ascii="Arial" w:hAnsi="Arial" w:cs="Arial"/>
          <w:b/>
          <w:bCs/>
          <w:color w:val="auto"/>
          <w:sz w:val="22"/>
          <w:szCs w:val="22"/>
        </w:rPr>
      </w:pPr>
      <w:r w:rsidRPr="00C92FC0">
        <w:rPr>
          <w:rFonts w:ascii="Arial" w:hAnsi="Arial" w:cs="Arial"/>
          <w:b/>
          <w:bCs/>
          <w:color w:val="auto"/>
          <w:sz w:val="22"/>
          <w:szCs w:val="22"/>
        </w:rPr>
        <w:t>1.2 Blood Sugar Regulation: Homeostatic Mechanisms</w:t>
      </w:r>
    </w:p>
    <w:p w14:paraId="642CB5C8" w14:textId="27658591" w:rsidR="00C92FC0" w:rsidRDefault="00C92FC0" w:rsidP="007F019B">
      <w:pPr>
        <w:spacing w:line="360" w:lineRule="auto"/>
        <w:jc w:val="both"/>
        <w:rPr>
          <w:rFonts w:ascii="Arial" w:hAnsi="Arial" w:cs="Arial"/>
          <w:sz w:val="22"/>
          <w:szCs w:val="22"/>
        </w:rPr>
      </w:pPr>
      <w:r>
        <w:rPr>
          <w:rFonts w:ascii="Arial" w:hAnsi="Arial" w:cs="Arial"/>
          <w:sz w:val="22"/>
          <w:szCs w:val="22"/>
        </w:rPr>
        <w:t>Maintaining blood glucose levels within a narrow physiological range (approximately 4.0-7.8 mmol/L) is</w:t>
      </w:r>
      <w:r w:rsidRPr="00C92FC0">
        <w:rPr>
          <w:rFonts w:ascii="Arial" w:hAnsi="Arial" w:cs="Arial"/>
          <w:sz w:val="22"/>
          <w:szCs w:val="22"/>
        </w:rPr>
        <w:t xml:space="preserve"> a critical homeostatic function essential for cellular metabolism and organ function (Hall and Hall, 2020). This complex regulatory system involves multiple organs, hormones, and feedback mechanisms working in concert to ensure adequate glucose availability whilst preventing harmful hyperglycaemia or hypoglycaemia.</w:t>
      </w:r>
    </w:p>
    <w:p w14:paraId="6AADEF5D" w14:textId="6D7FAD1C" w:rsidR="00C92FC0" w:rsidRDefault="00C92FC0" w:rsidP="007F019B">
      <w:pPr>
        <w:spacing w:line="360" w:lineRule="auto"/>
        <w:jc w:val="both"/>
        <w:rPr>
          <w:rFonts w:ascii="Arial" w:hAnsi="Arial" w:cs="Arial"/>
          <w:sz w:val="22"/>
          <w:szCs w:val="22"/>
        </w:rPr>
      </w:pPr>
    </w:p>
    <w:p w14:paraId="40F6A3E5" w14:textId="56210168" w:rsidR="00C92FC0" w:rsidRDefault="00302F88" w:rsidP="007F019B">
      <w:pPr>
        <w:spacing w:line="360" w:lineRule="auto"/>
        <w:jc w:val="both"/>
        <w:rPr>
          <w:rFonts w:ascii="Arial" w:hAnsi="Arial" w:cs="Arial"/>
          <w:sz w:val="22"/>
          <w:szCs w:val="22"/>
        </w:rPr>
      </w:pPr>
      <w:r w:rsidRPr="00C92FC0">
        <w:rPr>
          <w:rFonts w:ascii="Arial" w:hAnsi="Arial" w:cs="Arial"/>
          <w:noProof/>
          <w:sz w:val="18"/>
          <w:szCs w:val="18"/>
        </w:rPr>
        <w:drawing>
          <wp:anchor distT="0" distB="0" distL="114300" distR="114300" simplePos="0" relativeHeight="251659264" behindDoc="1" locked="0" layoutInCell="1" allowOverlap="1" wp14:anchorId="1C3C4E8B" wp14:editId="5BBC9D4A">
            <wp:simplePos x="0" y="0"/>
            <wp:positionH relativeFrom="margin">
              <wp:align>left</wp:align>
            </wp:positionH>
            <wp:positionV relativeFrom="page">
              <wp:posOffset>5129530</wp:posOffset>
            </wp:positionV>
            <wp:extent cx="6004560" cy="3474720"/>
            <wp:effectExtent l="0" t="0" r="0" b="0"/>
            <wp:wrapTight wrapText="bothSides">
              <wp:wrapPolygon edited="0">
                <wp:start x="0" y="0"/>
                <wp:lineTo x="0" y="21434"/>
                <wp:lineTo x="21518" y="21434"/>
                <wp:lineTo x="21518" y="0"/>
                <wp:lineTo x="0" y="0"/>
              </wp:wrapPolygon>
            </wp:wrapTight>
            <wp:docPr id="18466995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4560" cy="3474720"/>
                    </a:xfrm>
                    <a:prstGeom prst="rect">
                      <a:avLst/>
                    </a:prstGeom>
                    <a:noFill/>
                  </pic:spPr>
                </pic:pic>
              </a:graphicData>
            </a:graphic>
            <wp14:sizeRelH relativeFrom="margin">
              <wp14:pctWidth>0</wp14:pctWidth>
            </wp14:sizeRelH>
            <wp14:sizeRelV relativeFrom="margin">
              <wp14:pctHeight>0</wp14:pctHeight>
            </wp14:sizeRelV>
          </wp:anchor>
        </w:drawing>
      </w:r>
    </w:p>
    <w:p w14:paraId="3D475589" w14:textId="1E4E0D01" w:rsidR="00C92FC0" w:rsidRDefault="00C92FC0" w:rsidP="007F019B">
      <w:pPr>
        <w:spacing w:line="360" w:lineRule="auto"/>
        <w:jc w:val="both"/>
        <w:rPr>
          <w:rFonts w:ascii="Arial" w:hAnsi="Arial" w:cs="Arial"/>
          <w:sz w:val="18"/>
          <w:szCs w:val="18"/>
        </w:rPr>
      </w:pPr>
      <w:r w:rsidRPr="00C92FC0">
        <w:rPr>
          <w:rFonts w:ascii="Arial" w:hAnsi="Arial" w:cs="Arial"/>
          <w:sz w:val="18"/>
          <w:szCs w:val="18"/>
        </w:rPr>
        <w:t>Figure 2: Hormonal Regulation of Blood Sugar</w:t>
      </w:r>
      <w:r>
        <w:rPr>
          <w:rFonts w:ascii="Arial" w:hAnsi="Arial" w:cs="Arial"/>
          <w:sz w:val="18"/>
          <w:szCs w:val="18"/>
        </w:rPr>
        <w:t xml:space="preserve"> </w:t>
      </w:r>
      <w:r w:rsidR="00D8298E">
        <w:rPr>
          <w:rFonts w:ascii="Arial" w:hAnsi="Arial" w:cs="Arial"/>
          <w:sz w:val="18"/>
          <w:szCs w:val="18"/>
        </w:rPr>
        <w:t>(©</w:t>
      </w:r>
      <w:proofErr w:type="spellStart"/>
      <w:r>
        <w:rPr>
          <w:rFonts w:ascii="Arial" w:hAnsi="Arial" w:cs="Arial"/>
          <w:sz w:val="18"/>
          <w:szCs w:val="18"/>
        </w:rPr>
        <w:t>Calstate</w:t>
      </w:r>
      <w:proofErr w:type="spellEnd"/>
      <w:r>
        <w:rPr>
          <w:rFonts w:ascii="Arial" w:hAnsi="Arial" w:cs="Arial"/>
          <w:sz w:val="18"/>
          <w:szCs w:val="18"/>
        </w:rPr>
        <w:t xml:space="preserve"> Pressbook Network)</w:t>
      </w:r>
    </w:p>
    <w:p w14:paraId="3FAFE0F9" w14:textId="2300CD70" w:rsidR="00002B53" w:rsidRPr="00002B53" w:rsidRDefault="00002B53" w:rsidP="007F019B">
      <w:pPr>
        <w:pStyle w:val="Heading1"/>
        <w:spacing w:line="360" w:lineRule="auto"/>
        <w:rPr>
          <w:rFonts w:ascii="Arial" w:hAnsi="Arial" w:cs="Arial"/>
          <w:b/>
          <w:bCs/>
          <w:color w:val="auto"/>
          <w:sz w:val="22"/>
          <w:szCs w:val="22"/>
        </w:rPr>
      </w:pPr>
      <w:r>
        <w:rPr>
          <w:rFonts w:ascii="Arial" w:hAnsi="Arial" w:cs="Arial"/>
          <w:b/>
          <w:bCs/>
          <w:color w:val="auto"/>
          <w:sz w:val="22"/>
          <w:szCs w:val="22"/>
        </w:rPr>
        <w:lastRenderedPageBreak/>
        <w:t xml:space="preserve">1.3 </w:t>
      </w:r>
      <w:r w:rsidRPr="00002B53">
        <w:rPr>
          <w:rFonts w:ascii="Arial" w:hAnsi="Arial" w:cs="Arial"/>
          <w:b/>
          <w:bCs/>
          <w:color w:val="auto"/>
          <w:sz w:val="22"/>
          <w:szCs w:val="22"/>
        </w:rPr>
        <w:t>The Role of Insulin and Glucagon</w:t>
      </w:r>
    </w:p>
    <w:p w14:paraId="1A18B9D2" w14:textId="664DC0E0" w:rsidR="00FF7BD3" w:rsidRDefault="00FF7BD3" w:rsidP="007F019B">
      <w:pPr>
        <w:spacing w:line="360" w:lineRule="auto"/>
        <w:jc w:val="both"/>
        <w:rPr>
          <w:rFonts w:ascii="Arial" w:hAnsi="Arial" w:cs="Arial"/>
          <w:sz w:val="22"/>
          <w:szCs w:val="22"/>
        </w:rPr>
      </w:pPr>
      <w:r>
        <w:rPr>
          <w:rFonts w:ascii="Arial" w:hAnsi="Arial" w:cs="Arial"/>
          <w:sz w:val="22"/>
          <w:szCs w:val="22"/>
        </w:rPr>
        <w:t>The pancreas regulates glucose homeostasis primarily through its endocrine function. Beta cells in the islets of Langerhans secrete insulin in response to high blood glucose levels, promoting glucose uptake in cells, especially in skeletal muscle and adipose tissue, by translocating GLUT4 transporters (Huang and Czech, 2007). Insulin also stimulates glycogenesis in the liver and muscles while inhibiting gluconeogenesis and glycogenolysis (Petersen and Shulman, 2018).</w:t>
      </w:r>
    </w:p>
    <w:p w14:paraId="68159681" w14:textId="691697C6" w:rsidR="00002B53" w:rsidRPr="00002B53" w:rsidRDefault="00FF7BD3" w:rsidP="007F019B">
      <w:pPr>
        <w:spacing w:line="360" w:lineRule="auto"/>
        <w:jc w:val="both"/>
        <w:rPr>
          <w:rFonts w:ascii="Arial" w:hAnsi="Arial" w:cs="Arial"/>
          <w:sz w:val="22"/>
          <w:szCs w:val="22"/>
        </w:rPr>
      </w:pPr>
      <w:r>
        <w:rPr>
          <w:rFonts w:ascii="Arial" w:hAnsi="Arial" w:cs="Arial"/>
          <w:sz w:val="22"/>
          <w:szCs w:val="22"/>
        </w:rPr>
        <w:t>Conversely, during fasting or low blood glucose, alpha cells secrete glucagon, which stimulates hepatic glycogenolysis to release glucose and promotes gluconeogenesis from non-carbohydrate precursors (Röder et al., 2016). This balance between insulin's anabolic effects and glucagon's catabolic actions maintains appropriate glucose levels for the body's needs.</w:t>
      </w:r>
    </w:p>
    <w:p w14:paraId="1F3BB9E4" w14:textId="07B869CE" w:rsidR="00002B53" w:rsidRPr="00012C65" w:rsidRDefault="00012C65" w:rsidP="007F019B">
      <w:pPr>
        <w:pStyle w:val="Heading1"/>
        <w:spacing w:line="360" w:lineRule="auto"/>
        <w:rPr>
          <w:rFonts w:ascii="Arial" w:hAnsi="Arial" w:cs="Arial"/>
          <w:b/>
          <w:bCs/>
          <w:color w:val="auto"/>
          <w:sz w:val="22"/>
          <w:szCs w:val="22"/>
        </w:rPr>
      </w:pPr>
      <w:r w:rsidRPr="00012C65">
        <w:rPr>
          <w:rFonts w:ascii="Arial" w:hAnsi="Arial" w:cs="Arial"/>
          <w:b/>
          <w:bCs/>
          <w:color w:val="auto"/>
          <w:sz w:val="22"/>
          <w:szCs w:val="22"/>
        </w:rPr>
        <w:t xml:space="preserve">1.4 </w:t>
      </w:r>
      <w:r w:rsidR="00002B53" w:rsidRPr="00012C65">
        <w:rPr>
          <w:rFonts w:ascii="Arial" w:hAnsi="Arial" w:cs="Arial"/>
          <w:b/>
          <w:bCs/>
          <w:color w:val="auto"/>
          <w:sz w:val="22"/>
          <w:szCs w:val="22"/>
        </w:rPr>
        <w:t>Additional Regulatory Mechanisms</w:t>
      </w:r>
    </w:p>
    <w:p w14:paraId="5157304D" w14:textId="161E57C0" w:rsidR="00002B53" w:rsidRPr="00002B53" w:rsidRDefault="00002B53" w:rsidP="007F019B">
      <w:pPr>
        <w:spacing w:line="360" w:lineRule="auto"/>
        <w:jc w:val="both"/>
        <w:rPr>
          <w:rFonts w:ascii="Arial" w:hAnsi="Arial" w:cs="Arial"/>
          <w:sz w:val="22"/>
          <w:szCs w:val="22"/>
        </w:rPr>
      </w:pPr>
      <w:r w:rsidRPr="00002B53">
        <w:rPr>
          <w:rFonts w:ascii="Arial" w:hAnsi="Arial" w:cs="Arial"/>
          <w:sz w:val="22"/>
          <w:szCs w:val="22"/>
        </w:rPr>
        <w:t xml:space="preserve">Beyond insulin and glucagon, several other hormones contribute to glucose regulation. Cortisol, growth hormone, and adrenaline act as counter-regulatory hormones, raising blood glucose during stress or prolonged fasting (Cryer, 2008). The incretin hormones, particularly glucagon-like peptide-1 (GLP-1), enhance insulin secretion in response to oral glucose intake, </w:t>
      </w:r>
      <w:r w:rsidR="00A47BEC">
        <w:rPr>
          <w:rFonts w:ascii="Arial" w:hAnsi="Arial" w:cs="Arial"/>
          <w:sz w:val="22"/>
          <w:szCs w:val="22"/>
        </w:rPr>
        <w:t xml:space="preserve">making them an important therapeutic target in the management of Type 2 diabetes </w:t>
      </w:r>
      <w:r w:rsidRPr="00002B53">
        <w:rPr>
          <w:rFonts w:ascii="Arial" w:hAnsi="Arial" w:cs="Arial"/>
          <w:sz w:val="22"/>
          <w:szCs w:val="22"/>
        </w:rPr>
        <w:t>(Holst, 2007).</w:t>
      </w:r>
    </w:p>
    <w:p w14:paraId="18E4D6F6" w14:textId="624810BF" w:rsidR="00002B53" w:rsidRPr="00002B53" w:rsidRDefault="00002B53" w:rsidP="007F019B">
      <w:pPr>
        <w:spacing w:line="360" w:lineRule="auto"/>
        <w:jc w:val="both"/>
        <w:rPr>
          <w:rFonts w:ascii="Arial" w:hAnsi="Arial" w:cs="Arial"/>
          <w:sz w:val="22"/>
          <w:szCs w:val="22"/>
        </w:rPr>
      </w:pPr>
      <w:r w:rsidRPr="00002B53">
        <w:rPr>
          <w:rFonts w:ascii="Arial" w:hAnsi="Arial" w:cs="Arial"/>
          <w:sz w:val="22"/>
          <w:szCs w:val="22"/>
        </w:rPr>
        <w:t>In Type 2 diabetes, this elegant regulatory system becomes disrupted. Insulin resistance develops in peripheral tissues, requiring increasingly higher insulin concentrations to achieve glucose uptake (DeFronzo et al., 2015). Simultaneously, pancreatic beta cells gradually lose their capacity to produce sufficient insulin, leading to relative insulin deficiency. This dual defect results in chronic hyperglycaemia, which damages blood vessels, nerves, and organs over time through multiple pathological mechanisms</w:t>
      </w:r>
      <w:r w:rsidR="00A47BEC">
        <w:rPr>
          <w:rFonts w:ascii="Arial" w:hAnsi="Arial" w:cs="Arial"/>
          <w:sz w:val="22"/>
          <w:szCs w:val="22"/>
        </w:rPr>
        <w:t>,</w:t>
      </w:r>
      <w:r w:rsidRPr="00002B53">
        <w:rPr>
          <w:rFonts w:ascii="Arial" w:hAnsi="Arial" w:cs="Arial"/>
          <w:sz w:val="22"/>
          <w:szCs w:val="22"/>
        </w:rPr>
        <w:t xml:space="preserve"> including oxidative stress, inflammation, and non-enzymatic glycation of proteins (Forbes and Cooper, 2013).</w:t>
      </w:r>
    </w:p>
    <w:p w14:paraId="1E175ECE" w14:textId="42442888" w:rsidR="00002B53" w:rsidRPr="00A47BEC" w:rsidRDefault="00A47BEC" w:rsidP="007F019B">
      <w:pPr>
        <w:pStyle w:val="Heading1"/>
        <w:spacing w:line="360" w:lineRule="auto"/>
        <w:rPr>
          <w:rFonts w:ascii="Arial" w:hAnsi="Arial" w:cs="Arial"/>
          <w:b/>
          <w:bCs/>
          <w:color w:val="auto"/>
          <w:sz w:val="22"/>
          <w:szCs w:val="22"/>
        </w:rPr>
      </w:pPr>
      <w:r w:rsidRPr="00A47BEC">
        <w:rPr>
          <w:rFonts w:ascii="Arial" w:hAnsi="Arial" w:cs="Arial"/>
          <w:b/>
          <w:bCs/>
          <w:color w:val="auto"/>
          <w:sz w:val="22"/>
          <w:szCs w:val="22"/>
        </w:rPr>
        <w:t xml:space="preserve">2.0 </w:t>
      </w:r>
      <w:r w:rsidR="00002B53" w:rsidRPr="00A47BEC">
        <w:rPr>
          <w:rFonts w:ascii="Arial" w:hAnsi="Arial" w:cs="Arial"/>
          <w:b/>
          <w:bCs/>
          <w:color w:val="auto"/>
          <w:sz w:val="22"/>
          <w:szCs w:val="22"/>
        </w:rPr>
        <w:t>Cellular Metabolism: Energy Production from Glucose and Oxygen</w:t>
      </w:r>
    </w:p>
    <w:p w14:paraId="6B2CB66B" w14:textId="019CCA99" w:rsidR="00C92FC0" w:rsidRDefault="00002B53" w:rsidP="007F019B">
      <w:pPr>
        <w:spacing w:line="360" w:lineRule="auto"/>
        <w:jc w:val="both"/>
        <w:rPr>
          <w:rFonts w:ascii="Arial" w:hAnsi="Arial" w:cs="Arial"/>
          <w:sz w:val="22"/>
          <w:szCs w:val="22"/>
        </w:rPr>
      </w:pPr>
      <w:r w:rsidRPr="00002B53">
        <w:rPr>
          <w:rFonts w:ascii="Arial" w:hAnsi="Arial" w:cs="Arial"/>
          <w:sz w:val="22"/>
          <w:szCs w:val="22"/>
        </w:rPr>
        <w:t>The production of adenosine triphosphate (ATP), the universal energy currency of cells, fundamentally depends on the availability of glucose and oxygen. Understanding this process elucidates why diabetes, which impairs glucose utilisation, has such profound effects on cellular function and overall health.</w:t>
      </w:r>
    </w:p>
    <w:p w14:paraId="6BADB9B3" w14:textId="12CFB0CE" w:rsidR="00E94070" w:rsidRPr="00E94070" w:rsidRDefault="00E94070" w:rsidP="007F019B">
      <w:pPr>
        <w:pStyle w:val="Heading1"/>
        <w:spacing w:line="360" w:lineRule="auto"/>
        <w:rPr>
          <w:rFonts w:ascii="Arial" w:hAnsi="Arial" w:cs="Arial"/>
          <w:b/>
          <w:bCs/>
          <w:color w:val="auto"/>
          <w:sz w:val="22"/>
          <w:szCs w:val="22"/>
        </w:rPr>
      </w:pPr>
      <w:r w:rsidRPr="00E94070">
        <w:rPr>
          <w:rFonts w:ascii="Arial" w:hAnsi="Arial" w:cs="Arial"/>
          <w:b/>
          <w:bCs/>
          <w:color w:val="auto"/>
          <w:sz w:val="22"/>
          <w:szCs w:val="22"/>
        </w:rPr>
        <w:lastRenderedPageBreak/>
        <w:t>2.1 Glycolysis: The Initial Pathway</w:t>
      </w:r>
    </w:p>
    <w:p w14:paraId="02BA0636" w14:textId="77777777" w:rsidR="00E94070" w:rsidRPr="00E94070" w:rsidRDefault="00E94070" w:rsidP="007F019B">
      <w:pPr>
        <w:spacing w:line="360" w:lineRule="auto"/>
        <w:jc w:val="both"/>
        <w:rPr>
          <w:rFonts w:ascii="Arial" w:hAnsi="Arial" w:cs="Arial"/>
          <w:sz w:val="22"/>
          <w:szCs w:val="22"/>
        </w:rPr>
      </w:pPr>
      <w:r w:rsidRPr="00E94070">
        <w:rPr>
          <w:rFonts w:ascii="Arial" w:hAnsi="Arial" w:cs="Arial"/>
          <w:sz w:val="22"/>
          <w:szCs w:val="22"/>
        </w:rPr>
        <w:t>Cellular respiration begins with glycolysis, occurring in the cytoplasm, where one glucose molecule (C</w:t>
      </w:r>
      <w:r w:rsidRPr="00E94070">
        <w:rPr>
          <w:rFonts w:ascii="Cambria Math" w:hAnsi="Cambria Math" w:cs="Cambria Math"/>
          <w:sz w:val="22"/>
          <w:szCs w:val="22"/>
        </w:rPr>
        <w:t>₆</w:t>
      </w:r>
      <w:r w:rsidRPr="00E94070">
        <w:rPr>
          <w:rFonts w:ascii="Arial" w:hAnsi="Arial" w:cs="Arial"/>
          <w:sz w:val="22"/>
          <w:szCs w:val="22"/>
        </w:rPr>
        <w:t>H</w:t>
      </w:r>
      <w:r w:rsidRPr="00E94070">
        <w:rPr>
          <w:rFonts w:ascii="Cambria Math" w:hAnsi="Cambria Math" w:cs="Cambria Math"/>
          <w:sz w:val="22"/>
          <w:szCs w:val="22"/>
        </w:rPr>
        <w:t>₁₂</w:t>
      </w:r>
      <w:r w:rsidRPr="00E94070">
        <w:rPr>
          <w:rFonts w:ascii="Arial" w:hAnsi="Arial" w:cs="Arial"/>
          <w:sz w:val="22"/>
          <w:szCs w:val="22"/>
        </w:rPr>
        <w:t>O</w:t>
      </w:r>
      <w:r w:rsidRPr="00E94070">
        <w:rPr>
          <w:rFonts w:ascii="Cambria Math" w:hAnsi="Cambria Math" w:cs="Cambria Math"/>
          <w:sz w:val="22"/>
          <w:szCs w:val="22"/>
        </w:rPr>
        <w:t>₆</w:t>
      </w:r>
      <w:r w:rsidRPr="00E94070">
        <w:rPr>
          <w:rFonts w:ascii="Arial" w:hAnsi="Arial" w:cs="Arial"/>
          <w:sz w:val="22"/>
          <w:szCs w:val="22"/>
        </w:rPr>
        <w:t>) undergoes a series of enzymatic reactions to produce two pyruvate molecules, two ATP molecules, and two NADH molecules (Berg et al., 2015). This anaerobic process does not require oxygen and represents the only energy-producing pathway available to cells during oxygen deprivation. However, glycolysis alone yields minimal ATP compared to aerobic respiration.</w:t>
      </w:r>
    </w:p>
    <w:p w14:paraId="358CF499" w14:textId="527949E5" w:rsidR="00E94070" w:rsidRPr="00E94070" w:rsidRDefault="00E94070" w:rsidP="007F019B">
      <w:pPr>
        <w:pStyle w:val="Heading1"/>
        <w:spacing w:line="360" w:lineRule="auto"/>
        <w:rPr>
          <w:rFonts w:ascii="Arial" w:hAnsi="Arial" w:cs="Arial"/>
          <w:b/>
          <w:bCs/>
          <w:color w:val="auto"/>
          <w:sz w:val="22"/>
          <w:szCs w:val="22"/>
        </w:rPr>
      </w:pPr>
      <w:r w:rsidRPr="00E94070">
        <w:rPr>
          <w:rFonts w:ascii="Arial" w:hAnsi="Arial" w:cs="Arial"/>
          <w:b/>
          <w:bCs/>
          <w:color w:val="auto"/>
          <w:sz w:val="22"/>
          <w:szCs w:val="22"/>
        </w:rPr>
        <w:t>2.2 Aerobic Respiration: Krebs Cycle and Oxidative Phosphorylation</w:t>
      </w:r>
    </w:p>
    <w:p w14:paraId="30E08533" w14:textId="4D95D104" w:rsidR="00E94070" w:rsidRPr="00E94070" w:rsidRDefault="00FF7BD3" w:rsidP="007F019B">
      <w:pPr>
        <w:spacing w:line="360" w:lineRule="auto"/>
        <w:jc w:val="both"/>
        <w:rPr>
          <w:rFonts w:ascii="Arial" w:hAnsi="Arial" w:cs="Arial"/>
          <w:sz w:val="22"/>
          <w:szCs w:val="22"/>
        </w:rPr>
      </w:pPr>
      <w:r>
        <w:rPr>
          <w:rFonts w:ascii="Arial" w:hAnsi="Arial" w:cs="Arial"/>
          <w:sz w:val="22"/>
          <w:szCs w:val="22"/>
        </w:rPr>
        <w:t>In the presence of oxygen, pyruvate is converted into acetyl-CoA in the mitochondria and enters the Krebs cycle, generating NADH and FADH</w:t>
      </w:r>
      <w:r>
        <w:rPr>
          <w:rFonts w:ascii="Cambria Math" w:hAnsi="Cambria Math" w:cs="Cambria Math"/>
          <w:sz w:val="22"/>
          <w:szCs w:val="22"/>
        </w:rPr>
        <w:t>₂</w:t>
      </w:r>
      <w:r>
        <w:rPr>
          <w:rFonts w:ascii="Arial" w:hAnsi="Arial" w:cs="Arial"/>
          <w:sz w:val="22"/>
          <w:szCs w:val="22"/>
        </w:rPr>
        <w:t>, which are crucial for the electron transport chain (Nelson and Cox, 2017). This chain, located in the inner mitochondrial membrane, produces the majority of ATP during cellular respiration—approximately 32-34 ATP per glucose molecule—by creating a proton gradient for ATP synthesis (Rich, 2003). Oxygen serves as the final electron acceptor, forming water. Aerobic respiration of one glucose molecule yields about 30-32 ATP, compared to only 2 ATP from glycolysis alone, underscoring oxygen's importance in energy production (Berg et al., 2015). In diabetes, impaired glucose entry leads to reduced ATP production, resulting in fatigue and muscle weakness.</w:t>
      </w:r>
    </w:p>
    <w:p w14:paraId="3062D5A9" w14:textId="37BC129D" w:rsidR="00E94070" w:rsidRPr="001774C5" w:rsidRDefault="00E94070" w:rsidP="007F019B">
      <w:pPr>
        <w:pStyle w:val="Heading1"/>
        <w:spacing w:line="360" w:lineRule="auto"/>
        <w:rPr>
          <w:rFonts w:ascii="Arial" w:hAnsi="Arial" w:cs="Arial"/>
          <w:b/>
          <w:bCs/>
          <w:color w:val="auto"/>
          <w:sz w:val="22"/>
          <w:szCs w:val="22"/>
        </w:rPr>
      </w:pPr>
      <w:r w:rsidRPr="001774C5">
        <w:rPr>
          <w:rFonts w:ascii="Arial" w:hAnsi="Arial" w:cs="Arial"/>
          <w:b/>
          <w:bCs/>
          <w:color w:val="auto"/>
          <w:sz w:val="22"/>
          <w:szCs w:val="22"/>
        </w:rPr>
        <w:t>2.3 The Importance of Blood Glucose Monitoring in Type 2 Diabetes</w:t>
      </w:r>
    </w:p>
    <w:p w14:paraId="5AAB8FF5" w14:textId="77777777" w:rsidR="00E94070" w:rsidRPr="00E94070" w:rsidRDefault="00E94070" w:rsidP="007F019B">
      <w:pPr>
        <w:spacing w:line="360" w:lineRule="auto"/>
        <w:jc w:val="both"/>
        <w:rPr>
          <w:rFonts w:ascii="Arial" w:hAnsi="Arial" w:cs="Arial"/>
          <w:sz w:val="22"/>
          <w:szCs w:val="22"/>
        </w:rPr>
      </w:pPr>
      <w:r w:rsidRPr="00E94070">
        <w:rPr>
          <w:rFonts w:ascii="Arial" w:hAnsi="Arial" w:cs="Arial"/>
          <w:sz w:val="22"/>
          <w:szCs w:val="22"/>
        </w:rPr>
        <w:t>Self-monitoring of blood glucose (SMBG) constitutes a cornerstone of diabetes self-management, providing individuals with immediate feedback about their glycaemic control and empowering informed decision-making regarding diet, physical activity, and medication (American Diabetes Association, 2023).</w:t>
      </w:r>
    </w:p>
    <w:p w14:paraId="02BE8280" w14:textId="4B3A5A27" w:rsidR="00E94070" w:rsidRPr="0085018F" w:rsidRDefault="001774C5" w:rsidP="007F019B">
      <w:pPr>
        <w:pStyle w:val="Heading1"/>
        <w:spacing w:line="360" w:lineRule="auto"/>
        <w:rPr>
          <w:rFonts w:ascii="Arial" w:hAnsi="Arial" w:cs="Arial"/>
          <w:b/>
          <w:bCs/>
          <w:color w:val="auto"/>
          <w:sz w:val="22"/>
          <w:szCs w:val="22"/>
        </w:rPr>
      </w:pPr>
      <w:r w:rsidRPr="0085018F">
        <w:rPr>
          <w:rFonts w:ascii="Arial" w:hAnsi="Arial" w:cs="Arial"/>
          <w:b/>
          <w:bCs/>
          <w:color w:val="auto"/>
          <w:sz w:val="22"/>
          <w:szCs w:val="22"/>
        </w:rPr>
        <w:t xml:space="preserve">2.4 </w:t>
      </w:r>
      <w:r w:rsidR="00E94070" w:rsidRPr="0085018F">
        <w:rPr>
          <w:rFonts w:ascii="Arial" w:hAnsi="Arial" w:cs="Arial"/>
          <w:b/>
          <w:bCs/>
          <w:color w:val="auto"/>
          <w:sz w:val="22"/>
          <w:szCs w:val="22"/>
        </w:rPr>
        <w:t>Benefits of Regular Monitoring</w:t>
      </w:r>
    </w:p>
    <w:p w14:paraId="0A8F6BF0" w14:textId="0105D1FE" w:rsidR="00504B3F" w:rsidRDefault="00FF7BD3" w:rsidP="007F019B">
      <w:pPr>
        <w:spacing w:line="360" w:lineRule="auto"/>
        <w:jc w:val="both"/>
        <w:rPr>
          <w:rFonts w:ascii="Arial" w:hAnsi="Arial" w:cs="Arial"/>
          <w:sz w:val="22"/>
          <w:szCs w:val="22"/>
        </w:rPr>
      </w:pPr>
      <w:r>
        <w:rPr>
          <w:rFonts w:ascii="Arial" w:hAnsi="Arial" w:cs="Arial"/>
          <w:sz w:val="22"/>
          <w:szCs w:val="22"/>
        </w:rPr>
        <w:t>Regular blood glucose monitoring helps individuals identify how meals, activity, stress, and medications affect their glycaemic responses (Polonsky et al., 2011). This allows for timely management adjustments, preventing issues like hypoglycaemia and chronic high blood sugar. Structured self-monitoring blood glucose (SMBG) combined with education can improve glycaemic control, lowering HbA1c levels by 0.3-0.6% in Type 2 diabetes patients (Farmer et al., 2012; Young et al., 2017). It also enables early detection of hypoglycaemia for those on insulin or sulfonylureas (Seaquist et al., 2013) and can enhance self-efficacy and self-care engagement within a supportive educational framework (Barnard et al., 2010).</w:t>
      </w:r>
    </w:p>
    <w:p w14:paraId="42985788" w14:textId="267AAB1D" w:rsidR="000A4486" w:rsidRPr="000A4486" w:rsidRDefault="000A4486" w:rsidP="007F019B">
      <w:pPr>
        <w:pStyle w:val="Heading1"/>
        <w:spacing w:line="360" w:lineRule="auto"/>
        <w:rPr>
          <w:rFonts w:ascii="Arial" w:hAnsi="Arial" w:cs="Arial"/>
          <w:b/>
          <w:bCs/>
          <w:color w:val="auto"/>
          <w:sz w:val="22"/>
          <w:szCs w:val="22"/>
        </w:rPr>
      </w:pPr>
      <w:r w:rsidRPr="000A4486">
        <w:rPr>
          <w:rFonts w:ascii="Arial" w:hAnsi="Arial" w:cs="Arial"/>
          <w:b/>
          <w:bCs/>
          <w:color w:val="auto"/>
          <w:sz w:val="22"/>
          <w:szCs w:val="22"/>
        </w:rPr>
        <w:lastRenderedPageBreak/>
        <w:t>2.5 Contemporary Monitoring Technologies</w:t>
      </w:r>
    </w:p>
    <w:p w14:paraId="6962D412" w14:textId="481DFB42" w:rsidR="000A4486" w:rsidRPr="000A4486" w:rsidRDefault="000A4486" w:rsidP="007F019B">
      <w:pPr>
        <w:spacing w:line="360" w:lineRule="auto"/>
        <w:jc w:val="both"/>
        <w:rPr>
          <w:rFonts w:ascii="Arial" w:hAnsi="Arial" w:cs="Arial"/>
          <w:sz w:val="22"/>
          <w:szCs w:val="22"/>
        </w:rPr>
      </w:pPr>
      <w:r w:rsidRPr="000A4486">
        <w:rPr>
          <w:rFonts w:ascii="Arial" w:hAnsi="Arial" w:cs="Arial"/>
          <w:sz w:val="22"/>
          <w:szCs w:val="22"/>
        </w:rPr>
        <w:t xml:space="preserve">Whilst traditional fingerstick blood glucose meters remain widely </w:t>
      </w:r>
      <w:r w:rsidR="00D2526A" w:rsidRPr="000A4486">
        <w:rPr>
          <w:rFonts w:ascii="Arial" w:hAnsi="Arial" w:cs="Arial"/>
          <w:sz w:val="22"/>
          <w:szCs w:val="22"/>
        </w:rPr>
        <w:t>used;</w:t>
      </w:r>
      <w:r w:rsidRPr="000A4486">
        <w:rPr>
          <w:rFonts w:ascii="Arial" w:hAnsi="Arial" w:cs="Arial"/>
          <w:sz w:val="22"/>
          <w:szCs w:val="22"/>
        </w:rPr>
        <w:t xml:space="preserve"> continuous glucose monitoring (CGM) systems represent a significant technological advancement. CGM devices measure interstitial glucose levels continuously, providing comprehensive glucose profiles including overnight readings and trends unavailable through intermittent testing (</w:t>
      </w:r>
      <w:proofErr w:type="spellStart"/>
      <w:r w:rsidRPr="000A4486">
        <w:rPr>
          <w:rFonts w:ascii="Arial" w:hAnsi="Arial" w:cs="Arial"/>
          <w:sz w:val="22"/>
          <w:szCs w:val="22"/>
        </w:rPr>
        <w:t>Rodbard</w:t>
      </w:r>
      <w:proofErr w:type="spellEnd"/>
      <w:r w:rsidRPr="000A4486">
        <w:rPr>
          <w:rFonts w:ascii="Arial" w:hAnsi="Arial" w:cs="Arial"/>
          <w:sz w:val="22"/>
          <w:szCs w:val="22"/>
        </w:rPr>
        <w:t xml:space="preserve">, 2016). Flash glucose monitoring systems, such as </w:t>
      </w:r>
      <w:proofErr w:type="spellStart"/>
      <w:r w:rsidRPr="000A4486">
        <w:rPr>
          <w:rFonts w:ascii="Arial" w:hAnsi="Arial" w:cs="Arial"/>
          <w:sz w:val="22"/>
          <w:szCs w:val="22"/>
        </w:rPr>
        <w:t>FreeStyle</w:t>
      </w:r>
      <w:proofErr w:type="spellEnd"/>
      <w:r w:rsidRPr="000A4486">
        <w:rPr>
          <w:rFonts w:ascii="Arial" w:hAnsi="Arial" w:cs="Arial"/>
          <w:sz w:val="22"/>
          <w:szCs w:val="22"/>
        </w:rPr>
        <w:t xml:space="preserve"> Libre, offer a middle ground, requiring scanning rather than continuous transmission whilst avoiding routine fingerstick testing (Bolinder et al., 2016). These technologies, increasingly available through the NHS, may enhance adherence and improve glycaemic outcomes, though their cost-effectiveness continues to be evaluated.</w:t>
      </w:r>
    </w:p>
    <w:p w14:paraId="55872D63" w14:textId="77777777" w:rsidR="000A4486" w:rsidRDefault="000A4486" w:rsidP="007F019B">
      <w:pPr>
        <w:spacing w:line="360" w:lineRule="auto"/>
        <w:jc w:val="both"/>
        <w:rPr>
          <w:rFonts w:ascii="Arial" w:hAnsi="Arial" w:cs="Arial"/>
          <w:sz w:val="22"/>
          <w:szCs w:val="22"/>
        </w:rPr>
      </w:pPr>
    </w:p>
    <w:p w14:paraId="0F6EA450" w14:textId="0F063199" w:rsidR="000A4486" w:rsidRPr="000A4486" w:rsidRDefault="000A4486" w:rsidP="007F019B">
      <w:pPr>
        <w:pStyle w:val="Heading1"/>
        <w:spacing w:line="360" w:lineRule="auto"/>
        <w:rPr>
          <w:rFonts w:ascii="Arial" w:hAnsi="Arial" w:cs="Arial"/>
          <w:b/>
          <w:bCs/>
          <w:color w:val="auto"/>
          <w:sz w:val="22"/>
          <w:szCs w:val="22"/>
        </w:rPr>
      </w:pPr>
      <w:r w:rsidRPr="000A4486">
        <w:rPr>
          <w:rFonts w:ascii="Arial" w:hAnsi="Arial" w:cs="Arial"/>
          <w:b/>
          <w:bCs/>
          <w:color w:val="auto"/>
          <w:sz w:val="22"/>
          <w:szCs w:val="22"/>
        </w:rPr>
        <w:t>3.0 Evidence-Based Lifestyle Interventions</w:t>
      </w:r>
    </w:p>
    <w:p w14:paraId="22A24883" w14:textId="77777777" w:rsidR="000A4486" w:rsidRPr="000A4486" w:rsidRDefault="000A4486" w:rsidP="007F019B">
      <w:pPr>
        <w:spacing w:line="360" w:lineRule="auto"/>
        <w:jc w:val="both"/>
        <w:rPr>
          <w:rFonts w:ascii="Arial" w:hAnsi="Arial" w:cs="Arial"/>
          <w:sz w:val="22"/>
          <w:szCs w:val="22"/>
        </w:rPr>
      </w:pPr>
      <w:r w:rsidRPr="000A4486">
        <w:rPr>
          <w:rFonts w:ascii="Arial" w:hAnsi="Arial" w:cs="Arial"/>
          <w:sz w:val="22"/>
          <w:szCs w:val="22"/>
        </w:rPr>
        <w:t>Lifestyle modification represents the foundation of Type 2 diabetes management, with robust evidence demonstrating that comprehensive lifestyle interventions can prevent diabetes development in high-risk individuals and improve glycaemic control in those with established disease (Knowler et al., 2002; Davies et al., 2018).</w:t>
      </w:r>
    </w:p>
    <w:p w14:paraId="46C48CF3" w14:textId="32212B42" w:rsidR="000A4486" w:rsidRPr="000A4486" w:rsidRDefault="000A4486" w:rsidP="007F019B">
      <w:pPr>
        <w:pStyle w:val="Heading1"/>
        <w:spacing w:line="360" w:lineRule="auto"/>
        <w:rPr>
          <w:rFonts w:ascii="Arial" w:hAnsi="Arial" w:cs="Arial"/>
          <w:b/>
          <w:bCs/>
          <w:color w:val="auto"/>
          <w:sz w:val="22"/>
          <w:szCs w:val="22"/>
        </w:rPr>
      </w:pPr>
      <w:r w:rsidRPr="000A4486">
        <w:rPr>
          <w:rFonts w:ascii="Arial" w:hAnsi="Arial" w:cs="Arial"/>
          <w:b/>
          <w:bCs/>
          <w:color w:val="auto"/>
          <w:sz w:val="22"/>
          <w:szCs w:val="22"/>
        </w:rPr>
        <w:t>3.1 Dietary Modifications</w:t>
      </w:r>
    </w:p>
    <w:p w14:paraId="7D602B6D" w14:textId="77777777" w:rsidR="000A4486" w:rsidRPr="000A4486" w:rsidRDefault="000A4486" w:rsidP="007F019B">
      <w:pPr>
        <w:spacing w:line="360" w:lineRule="auto"/>
        <w:jc w:val="both"/>
        <w:rPr>
          <w:rFonts w:ascii="Arial" w:hAnsi="Arial" w:cs="Arial"/>
          <w:sz w:val="22"/>
          <w:szCs w:val="22"/>
        </w:rPr>
      </w:pPr>
      <w:r w:rsidRPr="000A4486">
        <w:rPr>
          <w:rFonts w:ascii="Arial" w:hAnsi="Arial" w:cs="Arial"/>
          <w:sz w:val="22"/>
          <w:szCs w:val="22"/>
        </w:rPr>
        <w:t>Optimal dietary management emphasises overall dietary patterns rather than rigid prescriptions. The Mediterranean diet, characterised by high consumption of vegetables, fruits, whole grains, legumes, nuts, and olive oil, with moderate fish and poultry intake and limited red meat, demonstrates strong evidence for improving glycaemic control and reducing cardiovascular risk (Esposito et al., 2015). Low-carbohydrate diets may be effective for weight loss and glycaemic control, though sustainability and nutritional adequacy require careful consideration (Snorgaard et al., 2017).</w:t>
      </w:r>
    </w:p>
    <w:p w14:paraId="4BFB0793" w14:textId="6D6EFD0A" w:rsidR="000A4486" w:rsidRDefault="000A4486" w:rsidP="007F019B">
      <w:pPr>
        <w:spacing w:line="360" w:lineRule="auto"/>
        <w:jc w:val="both"/>
        <w:rPr>
          <w:rFonts w:ascii="Arial" w:hAnsi="Arial" w:cs="Arial"/>
          <w:sz w:val="22"/>
          <w:szCs w:val="22"/>
        </w:rPr>
      </w:pPr>
      <w:r w:rsidRPr="000A4486">
        <w:rPr>
          <w:rFonts w:ascii="Arial" w:hAnsi="Arial" w:cs="Arial"/>
          <w:sz w:val="22"/>
          <w:szCs w:val="22"/>
        </w:rPr>
        <w:t>Specific dietary recommendations include prioritising low glycaemic index foods, which produce gradual rather than rapid blood glucose rises, increasing dietary fibre intake to at least 30g daily, and ensuring adequate protein distribution across meals to support satiety and muscle preservation (National Institute for Health and Care Excellence, 2022). Portion control and reduction of sugar-sweetened beverages represent straightforward yet impactful interventions (Malik et al., 2010).</w:t>
      </w:r>
    </w:p>
    <w:p w14:paraId="3F752396" w14:textId="46567A8A" w:rsidR="000A4486" w:rsidRPr="000A4486" w:rsidRDefault="000A4486" w:rsidP="007F019B">
      <w:pPr>
        <w:pStyle w:val="Heading1"/>
        <w:spacing w:line="360" w:lineRule="auto"/>
        <w:rPr>
          <w:rFonts w:ascii="Arial" w:hAnsi="Arial" w:cs="Arial"/>
          <w:b/>
          <w:bCs/>
          <w:color w:val="auto"/>
          <w:sz w:val="22"/>
          <w:szCs w:val="22"/>
        </w:rPr>
      </w:pPr>
      <w:r w:rsidRPr="000A4486">
        <w:rPr>
          <w:rFonts w:ascii="Arial" w:hAnsi="Arial" w:cs="Arial"/>
          <w:b/>
          <w:bCs/>
          <w:color w:val="auto"/>
          <w:sz w:val="22"/>
          <w:szCs w:val="22"/>
        </w:rPr>
        <w:lastRenderedPageBreak/>
        <w:t>3.2 Physical Activity</w:t>
      </w:r>
    </w:p>
    <w:p w14:paraId="4F4BB23F" w14:textId="6B3BA9FC" w:rsidR="00421142" w:rsidRDefault="00421142" w:rsidP="007F019B">
      <w:pPr>
        <w:spacing w:line="360" w:lineRule="auto"/>
        <w:jc w:val="both"/>
        <w:rPr>
          <w:rFonts w:ascii="Arial" w:hAnsi="Arial" w:cs="Arial"/>
          <w:sz w:val="22"/>
          <w:szCs w:val="22"/>
        </w:rPr>
      </w:pPr>
      <w:r>
        <w:rPr>
          <w:rFonts w:ascii="Arial" w:hAnsi="Arial" w:cs="Arial"/>
          <w:sz w:val="22"/>
          <w:szCs w:val="22"/>
        </w:rPr>
        <w:t>Regular physical activity enhances insulin sensitivity, aids in weight management, and lowers cardiovascular risk. Guidelines recommend at least 150 minutes of moderate or 75 minutes of vigorous aerobic activity per week, spread over at least 3 days, with no more than 2 consecutive inactive days (Colberg et al., 2016). Engaging in resistance training at least twice a week also boosts muscle mass and glucose disposal (Church et al., 2010).</w:t>
      </w:r>
    </w:p>
    <w:p w14:paraId="1FD4D1F3" w14:textId="6B84204B" w:rsidR="000A4486" w:rsidRPr="000A4486" w:rsidRDefault="00421142" w:rsidP="007F019B">
      <w:pPr>
        <w:spacing w:line="360" w:lineRule="auto"/>
        <w:jc w:val="both"/>
        <w:rPr>
          <w:rFonts w:ascii="Arial" w:hAnsi="Arial" w:cs="Arial"/>
          <w:sz w:val="22"/>
          <w:szCs w:val="22"/>
        </w:rPr>
      </w:pPr>
      <w:r>
        <w:rPr>
          <w:rFonts w:ascii="Arial" w:hAnsi="Arial" w:cs="Arial"/>
          <w:sz w:val="22"/>
          <w:szCs w:val="22"/>
        </w:rPr>
        <w:t xml:space="preserve">The benefits of exercise stem from various mechanisms. Muscle contractions promote glucose uptake through AMPK activation and GLUT4 translocation, offering immediate blood glucose reduction (Richter and Hargreaves, 2013). Long-term training adaptations include better mitochondrial function, increased capillary density, and improved insulin </w:t>
      </w:r>
      <w:r w:rsidR="005250DC">
        <w:rPr>
          <w:rFonts w:ascii="Arial" w:hAnsi="Arial" w:cs="Arial"/>
          <w:sz w:val="22"/>
          <w:szCs w:val="22"/>
        </w:rPr>
        <w:t>signalling</w:t>
      </w:r>
      <w:r>
        <w:rPr>
          <w:rFonts w:ascii="Arial" w:hAnsi="Arial" w:cs="Arial"/>
          <w:sz w:val="22"/>
          <w:szCs w:val="22"/>
        </w:rPr>
        <w:t xml:space="preserve"> (Hawley et al., 2014). Importantly, physical activity can include everyday activities like walking or gardening, which significantly enhance metabolic health (Dempsey et al., 2016).</w:t>
      </w:r>
    </w:p>
    <w:p w14:paraId="42872354" w14:textId="676D069B" w:rsidR="000A4486" w:rsidRPr="000A4486" w:rsidRDefault="000A4486" w:rsidP="007F019B">
      <w:pPr>
        <w:pStyle w:val="Heading1"/>
        <w:spacing w:line="360" w:lineRule="auto"/>
        <w:rPr>
          <w:rFonts w:ascii="Arial" w:hAnsi="Arial" w:cs="Arial"/>
          <w:b/>
          <w:bCs/>
          <w:color w:val="auto"/>
          <w:sz w:val="22"/>
          <w:szCs w:val="22"/>
        </w:rPr>
      </w:pPr>
      <w:r w:rsidRPr="000A4486">
        <w:rPr>
          <w:rFonts w:ascii="Arial" w:hAnsi="Arial" w:cs="Arial"/>
          <w:b/>
          <w:bCs/>
          <w:color w:val="auto"/>
          <w:sz w:val="22"/>
          <w:szCs w:val="22"/>
        </w:rPr>
        <w:t>3.3 Smoking Cessation</w:t>
      </w:r>
    </w:p>
    <w:p w14:paraId="5A03278C" w14:textId="21912764" w:rsidR="000A4486" w:rsidRPr="000A4486" w:rsidRDefault="00421142" w:rsidP="007F019B">
      <w:pPr>
        <w:spacing w:line="360" w:lineRule="auto"/>
        <w:jc w:val="both"/>
        <w:rPr>
          <w:rFonts w:ascii="Arial" w:hAnsi="Arial" w:cs="Arial"/>
          <w:sz w:val="22"/>
          <w:szCs w:val="22"/>
        </w:rPr>
      </w:pPr>
      <w:r>
        <w:rPr>
          <w:rFonts w:ascii="Arial" w:hAnsi="Arial" w:cs="Arial"/>
          <w:sz w:val="22"/>
          <w:szCs w:val="22"/>
        </w:rPr>
        <w:t xml:space="preserve">Smoking significantly raises the risk of diabetes-related complications, especially cardiovascular disease, the leading cause of death among diabetics (Pan et al., 2015). It impairs insulin sensitivity and worsens glycaemic control, accelerating microvascular issues like retinopathy and nephropathy (Willi et al., 2007). </w:t>
      </w:r>
      <w:r w:rsidR="005250DC">
        <w:rPr>
          <w:rFonts w:ascii="Arial" w:hAnsi="Arial" w:cs="Arial"/>
          <w:sz w:val="22"/>
          <w:szCs w:val="22"/>
        </w:rPr>
        <w:t>Prioritising</w:t>
      </w:r>
      <w:r>
        <w:rPr>
          <w:rFonts w:ascii="Arial" w:hAnsi="Arial" w:cs="Arial"/>
          <w:sz w:val="22"/>
          <w:szCs w:val="22"/>
        </w:rPr>
        <w:t xml:space="preserve"> smoking cessation is crucial, supported by behavioural counselling and pharmacotherapy options such as varenicline or nicotine replacement (National Institute for Health and Care Excellence, 2021). While some may experience temporary weight gain after quitting, the long-term benefits, including reduced cardiovascular and cancer risk, far outweigh these short-term challenges (Clair et al., 2013).</w:t>
      </w:r>
    </w:p>
    <w:p w14:paraId="4610FBE1" w14:textId="6E7C27F6" w:rsidR="000A4486" w:rsidRPr="008E12F9" w:rsidRDefault="008E12F9" w:rsidP="007F019B">
      <w:pPr>
        <w:pStyle w:val="Heading1"/>
        <w:spacing w:line="360" w:lineRule="auto"/>
        <w:rPr>
          <w:rFonts w:ascii="Arial" w:hAnsi="Arial" w:cs="Arial"/>
          <w:b/>
          <w:bCs/>
          <w:color w:val="auto"/>
          <w:sz w:val="22"/>
          <w:szCs w:val="22"/>
        </w:rPr>
      </w:pPr>
      <w:r w:rsidRPr="008E12F9">
        <w:rPr>
          <w:rFonts w:ascii="Arial" w:hAnsi="Arial" w:cs="Arial"/>
          <w:b/>
          <w:bCs/>
          <w:color w:val="auto"/>
          <w:sz w:val="22"/>
          <w:szCs w:val="22"/>
        </w:rPr>
        <w:t xml:space="preserve">3.4 </w:t>
      </w:r>
      <w:r w:rsidR="000A4486" w:rsidRPr="008E12F9">
        <w:rPr>
          <w:rFonts w:ascii="Arial" w:hAnsi="Arial" w:cs="Arial"/>
          <w:b/>
          <w:bCs/>
          <w:color w:val="auto"/>
          <w:sz w:val="22"/>
          <w:szCs w:val="22"/>
        </w:rPr>
        <w:t>Weight Management</w:t>
      </w:r>
    </w:p>
    <w:p w14:paraId="337A5EFE" w14:textId="7FEB532D" w:rsidR="000A4486" w:rsidRPr="000A4486" w:rsidRDefault="00421142" w:rsidP="007F019B">
      <w:pPr>
        <w:spacing w:line="360" w:lineRule="auto"/>
        <w:jc w:val="both"/>
        <w:rPr>
          <w:rFonts w:ascii="Arial" w:hAnsi="Arial" w:cs="Arial"/>
          <w:sz w:val="22"/>
          <w:szCs w:val="22"/>
        </w:rPr>
      </w:pPr>
      <w:r>
        <w:rPr>
          <w:rFonts w:ascii="Arial" w:hAnsi="Arial" w:cs="Arial"/>
          <w:sz w:val="22"/>
          <w:szCs w:val="22"/>
        </w:rPr>
        <w:t xml:space="preserve">Weight loss of 5-10% can significantly improve glycaemic control, blood pressure, and lipid profiles (Wing et al., 2011). The Diabetes Prevention Program found that a 5-7% weight loss through lifestyle changes reduced diabetes incidence by 58% in high-risk individuals (Knowler et al., 2002). For those with Type 2 diabetes, substantial weight loss via lifestyle changes or bariatric surgery can lead to diabetes remission (Lean et al., 2018). Effective weight management involves sustained behaviour change, focusing on diet and physical activity. Very low-calorie diets (800-900 kcal/day) in the </w:t>
      </w:r>
      <w:proofErr w:type="spellStart"/>
      <w:r>
        <w:rPr>
          <w:rFonts w:ascii="Arial" w:hAnsi="Arial" w:cs="Arial"/>
          <w:sz w:val="22"/>
          <w:szCs w:val="22"/>
        </w:rPr>
        <w:t>DiRECT</w:t>
      </w:r>
      <w:proofErr w:type="spellEnd"/>
      <w:r>
        <w:rPr>
          <w:rFonts w:ascii="Arial" w:hAnsi="Arial" w:cs="Arial"/>
          <w:sz w:val="22"/>
          <w:szCs w:val="22"/>
        </w:rPr>
        <w:t xml:space="preserve"> trial led to significant weight loss and diabetes remission for nearly half of participants, but long-term success requires ongoing support (Lean et al., 2018). Behavioural strategies like self-monitoring and </w:t>
      </w:r>
      <w:proofErr w:type="gramStart"/>
      <w:r>
        <w:rPr>
          <w:rFonts w:ascii="Arial" w:hAnsi="Arial" w:cs="Arial"/>
          <w:sz w:val="22"/>
          <w:szCs w:val="22"/>
        </w:rPr>
        <w:t>goal-setting</w:t>
      </w:r>
      <w:proofErr w:type="gramEnd"/>
      <w:r>
        <w:rPr>
          <w:rFonts w:ascii="Arial" w:hAnsi="Arial" w:cs="Arial"/>
          <w:sz w:val="22"/>
          <w:szCs w:val="22"/>
        </w:rPr>
        <w:t xml:space="preserve"> can improve adherence and outcomes (Look AHEAD Research Group, 2013).</w:t>
      </w:r>
    </w:p>
    <w:p w14:paraId="789B17C1" w14:textId="70B25599" w:rsidR="000A4486" w:rsidRPr="008E12F9" w:rsidRDefault="008E12F9" w:rsidP="007F019B">
      <w:pPr>
        <w:pStyle w:val="Heading1"/>
        <w:spacing w:line="360" w:lineRule="auto"/>
        <w:rPr>
          <w:rFonts w:ascii="Arial" w:hAnsi="Arial" w:cs="Arial"/>
          <w:b/>
          <w:bCs/>
          <w:color w:val="auto"/>
          <w:sz w:val="22"/>
          <w:szCs w:val="22"/>
        </w:rPr>
      </w:pPr>
      <w:r w:rsidRPr="008E12F9">
        <w:rPr>
          <w:rFonts w:ascii="Arial" w:hAnsi="Arial" w:cs="Arial"/>
          <w:b/>
          <w:bCs/>
          <w:color w:val="auto"/>
          <w:sz w:val="22"/>
          <w:szCs w:val="22"/>
        </w:rPr>
        <w:lastRenderedPageBreak/>
        <w:t xml:space="preserve">3.5 </w:t>
      </w:r>
      <w:r w:rsidR="000A4486" w:rsidRPr="008E12F9">
        <w:rPr>
          <w:rFonts w:ascii="Arial" w:hAnsi="Arial" w:cs="Arial"/>
          <w:b/>
          <w:bCs/>
          <w:color w:val="auto"/>
          <w:sz w:val="22"/>
          <w:szCs w:val="22"/>
        </w:rPr>
        <w:t>Alcohol Consumption</w:t>
      </w:r>
    </w:p>
    <w:p w14:paraId="70EB2D03" w14:textId="77777777" w:rsidR="000A4486" w:rsidRPr="000A4486" w:rsidRDefault="000A4486" w:rsidP="007F019B">
      <w:pPr>
        <w:spacing w:line="360" w:lineRule="auto"/>
        <w:jc w:val="both"/>
        <w:rPr>
          <w:rFonts w:ascii="Arial" w:hAnsi="Arial" w:cs="Arial"/>
          <w:sz w:val="22"/>
          <w:szCs w:val="22"/>
        </w:rPr>
      </w:pPr>
      <w:r w:rsidRPr="000A4486">
        <w:rPr>
          <w:rFonts w:ascii="Arial" w:hAnsi="Arial" w:cs="Arial"/>
          <w:sz w:val="22"/>
          <w:szCs w:val="22"/>
        </w:rPr>
        <w:t>Alcohol consumption requires careful consideration in diabetes management. Moderate intake (up to 14 units weekly, spread over at least 3 days) is not prohibited and may confer some cardiovascular benefits, but excessive consumption increases hypoglycaemia risk, particularly with insulin or sulfonylureas, contributes to weight gain, and may worsen glycaemic control (Emanuele et al., 1998). Individuals should be educated about carbohydrate content in alcoholic beverages, the importance of consuming alcohol with food, and recognition of delayed hypoglycaemia, which can occur up to 24 hours after drinking (National Institute for Health and Care Excellence, 2022).</w:t>
      </w:r>
    </w:p>
    <w:p w14:paraId="092ACD7F" w14:textId="7F5DE1C8" w:rsidR="000A4486" w:rsidRPr="008E12F9" w:rsidRDefault="008E12F9" w:rsidP="007F019B">
      <w:pPr>
        <w:pStyle w:val="Heading1"/>
        <w:spacing w:line="360" w:lineRule="auto"/>
        <w:rPr>
          <w:rFonts w:ascii="Arial" w:hAnsi="Arial" w:cs="Arial"/>
          <w:b/>
          <w:bCs/>
          <w:color w:val="auto"/>
          <w:sz w:val="22"/>
          <w:szCs w:val="22"/>
        </w:rPr>
      </w:pPr>
      <w:r w:rsidRPr="008E12F9">
        <w:rPr>
          <w:rFonts w:ascii="Arial" w:hAnsi="Arial" w:cs="Arial"/>
          <w:b/>
          <w:bCs/>
          <w:color w:val="auto"/>
          <w:sz w:val="22"/>
          <w:szCs w:val="22"/>
        </w:rPr>
        <w:t xml:space="preserve">3.6 </w:t>
      </w:r>
      <w:r w:rsidR="000A4486" w:rsidRPr="008E12F9">
        <w:rPr>
          <w:rFonts w:ascii="Arial" w:hAnsi="Arial" w:cs="Arial"/>
          <w:b/>
          <w:bCs/>
          <w:color w:val="auto"/>
          <w:sz w:val="22"/>
          <w:szCs w:val="22"/>
        </w:rPr>
        <w:t>Sleep and Stress Management</w:t>
      </w:r>
    </w:p>
    <w:p w14:paraId="4A1A28EC" w14:textId="5894407D" w:rsidR="000A4486" w:rsidRPr="000A4486" w:rsidRDefault="000A4486" w:rsidP="007F019B">
      <w:pPr>
        <w:spacing w:line="360" w:lineRule="auto"/>
        <w:jc w:val="both"/>
        <w:rPr>
          <w:rFonts w:ascii="Arial" w:hAnsi="Arial" w:cs="Arial"/>
          <w:sz w:val="22"/>
          <w:szCs w:val="22"/>
        </w:rPr>
      </w:pPr>
      <w:r w:rsidRPr="000A4486">
        <w:rPr>
          <w:rFonts w:ascii="Arial" w:hAnsi="Arial" w:cs="Arial"/>
          <w:sz w:val="22"/>
          <w:szCs w:val="22"/>
        </w:rPr>
        <w:t xml:space="preserve">Emerging evidence highlights the importance of sleep quality and duration for metabolic health. Both insufficient sleep (&lt;6 hours nightly) and excessive sleep (&gt;9 hours) </w:t>
      </w:r>
      <w:r w:rsidR="006843E5">
        <w:rPr>
          <w:rFonts w:ascii="Arial" w:hAnsi="Arial" w:cs="Arial"/>
          <w:sz w:val="22"/>
          <w:szCs w:val="22"/>
        </w:rPr>
        <w:t>are associated</w:t>
      </w:r>
      <w:r w:rsidRPr="000A4486">
        <w:rPr>
          <w:rFonts w:ascii="Arial" w:hAnsi="Arial" w:cs="Arial"/>
          <w:sz w:val="22"/>
          <w:szCs w:val="22"/>
        </w:rPr>
        <w:t xml:space="preserve"> with increased diabetes risk and poorer glycaemic control (Cappuccio et al., 2010). Sleep disorders, particularly obstructive sleep apnoea, which affects 40-80% of individuals with Type 2 diabetes, should be identified and treated (</w:t>
      </w:r>
      <w:proofErr w:type="spellStart"/>
      <w:r w:rsidRPr="000A4486">
        <w:rPr>
          <w:rFonts w:ascii="Arial" w:hAnsi="Arial" w:cs="Arial"/>
          <w:sz w:val="22"/>
          <w:szCs w:val="22"/>
        </w:rPr>
        <w:t>Reutrakul</w:t>
      </w:r>
      <w:proofErr w:type="spellEnd"/>
      <w:r w:rsidRPr="000A4486">
        <w:rPr>
          <w:rFonts w:ascii="Arial" w:hAnsi="Arial" w:cs="Arial"/>
          <w:sz w:val="22"/>
          <w:szCs w:val="22"/>
        </w:rPr>
        <w:t xml:space="preserve"> and </w:t>
      </w:r>
      <w:proofErr w:type="spellStart"/>
      <w:r w:rsidRPr="000A4486">
        <w:rPr>
          <w:rFonts w:ascii="Arial" w:hAnsi="Arial" w:cs="Arial"/>
          <w:sz w:val="22"/>
          <w:szCs w:val="22"/>
        </w:rPr>
        <w:t>Mokhlesi</w:t>
      </w:r>
      <w:proofErr w:type="spellEnd"/>
      <w:r w:rsidRPr="000A4486">
        <w:rPr>
          <w:rFonts w:ascii="Arial" w:hAnsi="Arial" w:cs="Arial"/>
          <w:sz w:val="22"/>
          <w:szCs w:val="22"/>
        </w:rPr>
        <w:t>, 2017).</w:t>
      </w:r>
    </w:p>
    <w:p w14:paraId="78008CC8" w14:textId="1823700C" w:rsidR="000A4486" w:rsidRDefault="000A4486" w:rsidP="007F019B">
      <w:pPr>
        <w:spacing w:line="360" w:lineRule="auto"/>
        <w:jc w:val="both"/>
        <w:rPr>
          <w:rFonts w:ascii="Arial" w:hAnsi="Arial" w:cs="Arial"/>
          <w:sz w:val="22"/>
          <w:szCs w:val="22"/>
        </w:rPr>
      </w:pPr>
      <w:r w:rsidRPr="000A4486">
        <w:rPr>
          <w:rFonts w:ascii="Arial" w:hAnsi="Arial" w:cs="Arial"/>
          <w:sz w:val="22"/>
          <w:szCs w:val="22"/>
        </w:rPr>
        <w:t>Chronic psychological stress elevates counter-regulatory hormones</w:t>
      </w:r>
      <w:r w:rsidR="006843E5">
        <w:rPr>
          <w:rFonts w:ascii="Arial" w:hAnsi="Arial" w:cs="Arial"/>
          <w:sz w:val="22"/>
          <w:szCs w:val="22"/>
        </w:rPr>
        <w:t>,</w:t>
      </w:r>
      <w:r w:rsidRPr="000A4486">
        <w:rPr>
          <w:rFonts w:ascii="Arial" w:hAnsi="Arial" w:cs="Arial"/>
          <w:sz w:val="22"/>
          <w:szCs w:val="22"/>
        </w:rPr>
        <w:t xml:space="preserve"> including cortisol and catecholamines, promoting insulin resistance and hyperglycaemia (Hackett and Steptoe, 2017). Stress management techniques</w:t>
      </w:r>
      <w:r w:rsidR="006843E5">
        <w:rPr>
          <w:rFonts w:ascii="Arial" w:hAnsi="Arial" w:cs="Arial"/>
          <w:sz w:val="22"/>
          <w:szCs w:val="22"/>
        </w:rPr>
        <w:t>,</w:t>
      </w:r>
      <w:r w:rsidRPr="000A4486">
        <w:rPr>
          <w:rFonts w:ascii="Arial" w:hAnsi="Arial" w:cs="Arial"/>
          <w:sz w:val="22"/>
          <w:szCs w:val="22"/>
        </w:rPr>
        <w:t xml:space="preserve"> including mindfulness-based stress reduction, cognitive-behavioural therapy, and relaxation techniques</w:t>
      </w:r>
      <w:r w:rsidR="006843E5">
        <w:rPr>
          <w:rFonts w:ascii="Arial" w:hAnsi="Arial" w:cs="Arial"/>
          <w:sz w:val="22"/>
          <w:szCs w:val="22"/>
        </w:rPr>
        <w:t>,</w:t>
      </w:r>
      <w:r w:rsidRPr="000A4486">
        <w:rPr>
          <w:rFonts w:ascii="Arial" w:hAnsi="Arial" w:cs="Arial"/>
          <w:sz w:val="22"/>
          <w:szCs w:val="22"/>
        </w:rPr>
        <w:t xml:space="preserve"> may improve both psychological </w:t>
      </w:r>
      <w:r w:rsidR="006843E5">
        <w:rPr>
          <w:rFonts w:ascii="Arial" w:hAnsi="Arial" w:cs="Arial"/>
          <w:sz w:val="22"/>
          <w:szCs w:val="22"/>
        </w:rPr>
        <w:t>well-being</w:t>
      </w:r>
      <w:r w:rsidRPr="000A4486">
        <w:rPr>
          <w:rFonts w:ascii="Arial" w:hAnsi="Arial" w:cs="Arial"/>
          <w:sz w:val="22"/>
          <w:szCs w:val="22"/>
        </w:rPr>
        <w:t xml:space="preserve"> and glycaemic control (Uchendu and Blake, 2017).</w:t>
      </w:r>
    </w:p>
    <w:p w14:paraId="70B15505" w14:textId="77777777" w:rsidR="0088521D" w:rsidRDefault="0088521D" w:rsidP="007F019B">
      <w:pPr>
        <w:spacing w:line="360" w:lineRule="auto"/>
        <w:jc w:val="both"/>
        <w:rPr>
          <w:rFonts w:ascii="Arial" w:hAnsi="Arial" w:cs="Arial"/>
          <w:sz w:val="22"/>
          <w:szCs w:val="22"/>
        </w:rPr>
      </w:pPr>
    </w:p>
    <w:p w14:paraId="46F72320" w14:textId="77777777" w:rsidR="0088521D" w:rsidRDefault="0088521D" w:rsidP="007F019B">
      <w:pPr>
        <w:spacing w:line="360" w:lineRule="auto"/>
        <w:jc w:val="both"/>
        <w:rPr>
          <w:rFonts w:ascii="Arial" w:hAnsi="Arial" w:cs="Arial"/>
          <w:sz w:val="22"/>
          <w:szCs w:val="22"/>
        </w:rPr>
      </w:pPr>
    </w:p>
    <w:p w14:paraId="573AC62C" w14:textId="77777777" w:rsidR="0088521D" w:rsidRDefault="0088521D" w:rsidP="007F019B">
      <w:pPr>
        <w:spacing w:line="360" w:lineRule="auto"/>
        <w:jc w:val="both"/>
        <w:rPr>
          <w:rFonts w:ascii="Arial" w:hAnsi="Arial" w:cs="Arial"/>
          <w:sz w:val="22"/>
          <w:szCs w:val="22"/>
        </w:rPr>
      </w:pPr>
    </w:p>
    <w:p w14:paraId="6F4D53B6" w14:textId="77777777" w:rsidR="0088521D" w:rsidRDefault="0088521D" w:rsidP="007F019B">
      <w:pPr>
        <w:spacing w:line="360" w:lineRule="auto"/>
        <w:jc w:val="both"/>
        <w:rPr>
          <w:rFonts w:ascii="Arial" w:hAnsi="Arial" w:cs="Arial"/>
          <w:sz w:val="22"/>
          <w:szCs w:val="22"/>
        </w:rPr>
      </w:pPr>
    </w:p>
    <w:p w14:paraId="56250243" w14:textId="77777777" w:rsidR="0088521D" w:rsidRDefault="0088521D" w:rsidP="007F019B">
      <w:pPr>
        <w:spacing w:line="360" w:lineRule="auto"/>
        <w:jc w:val="both"/>
        <w:rPr>
          <w:rFonts w:ascii="Arial" w:hAnsi="Arial" w:cs="Arial"/>
          <w:sz w:val="22"/>
          <w:szCs w:val="22"/>
        </w:rPr>
      </w:pPr>
    </w:p>
    <w:p w14:paraId="4D54AA68" w14:textId="77777777" w:rsidR="0088521D" w:rsidRDefault="0088521D" w:rsidP="007F019B">
      <w:pPr>
        <w:spacing w:line="360" w:lineRule="auto"/>
        <w:jc w:val="both"/>
        <w:rPr>
          <w:rFonts w:ascii="Arial" w:hAnsi="Arial" w:cs="Arial"/>
          <w:sz w:val="22"/>
          <w:szCs w:val="22"/>
        </w:rPr>
      </w:pPr>
    </w:p>
    <w:p w14:paraId="3C41CEAF" w14:textId="77777777" w:rsidR="0088521D" w:rsidRDefault="0088521D" w:rsidP="007F019B">
      <w:pPr>
        <w:spacing w:line="360" w:lineRule="auto"/>
        <w:jc w:val="both"/>
        <w:rPr>
          <w:rFonts w:ascii="Arial" w:hAnsi="Arial" w:cs="Arial"/>
          <w:sz w:val="22"/>
          <w:szCs w:val="22"/>
        </w:rPr>
      </w:pPr>
    </w:p>
    <w:p w14:paraId="5B268196" w14:textId="77777777" w:rsidR="0088521D" w:rsidRDefault="0088521D" w:rsidP="007F019B">
      <w:pPr>
        <w:spacing w:line="360" w:lineRule="auto"/>
        <w:jc w:val="both"/>
        <w:rPr>
          <w:rFonts w:ascii="Arial" w:hAnsi="Arial" w:cs="Arial"/>
          <w:sz w:val="22"/>
          <w:szCs w:val="22"/>
        </w:rPr>
      </w:pPr>
    </w:p>
    <w:p w14:paraId="72B43D7D" w14:textId="77777777" w:rsidR="0088521D" w:rsidRDefault="0088521D" w:rsidP="007F019B">
      <w:pPr>
        <w:spacing w:line="360" w:lineRule="auto"/>
        <w:jc w:val="both"/>
        <w:rPr>
          <w:rFonts w:ascii="Arial" w:hAnsi="Arial" w:cs="Arial"/>
          <w:sz w:val="22"/>
          <w:szCs w:val="22"/>
        </w:rPr>
      </w:pPr>
    </w:p>
    <w:p w14:paraId="75E141ED" w14:textId="77777777" w:rsidR="0088521D" w:rsidRPr="00002B53" w:rsidRDefault="0088521D" w:rsidP="007F019B">
      <w:pPr>
        <w:spacing w:line="360" w:lineRule="auto"/>
        <w:jc w:val="both"/>
        <w:rPr>
          <w:rFonts w:ascii="Arial" w:hAnsi="Arial" w:cs="Arial"/>
          <w:sz w:val="22"/>
          <w:szCs w:val="22"/>
        </w:rPr>
      </w:pPr>
    </w:p>
    <w:p w14:paraId="78EA2777" w14:textId="16BA6193" w:rsidR="006B126E" w:rsidRPr="006B126E" w:rsidRDefault="006B126E" w:rsidP="007F019B">
      <w:pPr>
        <w:pStyle w:val="Heading1"/>
        <w:spacing w:line="360" w:lineRule="auto"/>
        <w:rPr>
          <w:rFonts w:ascii="Arial" w:hAnsi="Arial" w:cs="Arial"/>
          <w:b/>
          <w:bCs/>
          <w:color w:val="auto"/>
          <w:sz w:val="22"/>
          <w:szCs w:val="22"/>
        </w:rPr>
      </w:pPr>
      <w:r w:rsidRPr="006B126E">
        <w:rPr>
          <w:rFonts w:ascii="Arial" w:hAnsi="Arial" w:cs="Arial"/>
          <w:b/>
          <w:bCs/>
          <w:color w:val="auto"/>
          <w:sz w:val="22"/>
          <w:szCs w:val="22"/>
        </w:rPr>
        <w:lastRenderedPageBreak/>
        <w:t>4. Conclusion</w:t>
      </w:r>
    </w:p>
    <w:p w14:paraId="33ADEFF0" w14:textId="149E855B" w:rsidR="00421142" w:rsidRDefault="00421142" w:rsidP="007F019B">
      <w:pPr>
        <w:spacing w:line="360" w:lineRule="auto"/>
        <w:jc w:val="both"/>
        <w:rPr>
          <w:rFonts w:ascii="Arial" w:hAnsi="Arial" w:cs="Arial"/>
          <w:sz w:val="22"/>
          <w:szCs w:val="22"/>
        </w:rPr>
      </w:pPr>
      <w:r>
        <w:rPr>
          <w:rFonts w:ascii="Arial" w:hAnsi="Arial" w:cs="Arial"/>
          <w:sz w:val="22"/>
          <w:szCs w:val="22"/>
        </w:rPr>
        <w:t>Type 2 diabetes is a complex, chronic condition that requires effective management of both medication and lifestyle factors. Healthcare professionals play a key role in educating patients about glucose homeostasis and metabolism, helping them engage actively in their care.</w:t>
      </w:r>
    </w:p>
    <w:p w14:paraId="6CB418A0" w14:textId="206EAD4E" w:rsidR="00421142" w:rsidRDefault="00421142" w:rsidP="007F019B">
      <w:pPr>
        <w:spacing w:line="360" w:lineRule="auto"/>
        <w:jc w:val="both"/>
        <w:rPr>
          <w:rFonts w:ascii="Arial" w:hAnsi="Arial" w:cs="Arial"/>
          <w:sz w:val="22"/>
          <w:szCs w:val="22"/>
        </w:rPr>
      </w:pPr>
      <w:r>
        <w:rPr>
          <w:rFonts w:ascii="Arial" w:hAnsi="Arial" w:cs="Arial"/>
          <w:sz w:val="22"/>
          <w:szCs w:val="22"/>
        </w:rPr>
        <w:t>Regular blood glucose monitoring is vital as it offers feedback on how lifestyle choices impact glycaemic control, allowing for informed decisions regarding diet, exercise, and medication. Advanced monitoring technologies, such as continuous glucose monitors (CGM) and flash glucose monitoring, help identify patterns and improve management strategies.</w:t>
      </w:r>
    </w:p>
    <w:p w14:paraId="59973A63" w14:textId="50FB5A7C" w:rsidR="00421142" w:rsidRDefault="00421142" w:rsidP="007F019B">
      <w:pPr>
        <w:spacing w:line="360" w:lineRule="auto"/>
        <w:jc w:val="both"/>
        <w:rPr>
          <w:rFonts w:ascii="Arial" w:hAnsi="Arial" w:cs="Arial"/>
          <w:sz w:val="22"/>
          <w:szCs w:val="22"/>
        </w:rPr>
      </w:pPr>
      <w:r>
        <w:rPr>
          <w:rFonts w:ascii="Arial" w:hAnsi="Arial" w:cs="Arial"/>
          <w:sz w:val="22"/>
          <w:szCs w:val="22"/>
        </w:rPr>
        <w:t>Evidence-based lifestyle interventions—including dietary changes, increased physical activity, weight management, smoking cessation, and attention to sleep and stress—are effective in enhancing glycaemic control and preventing complications. Research shows that even small lifestyle changes can lead to significant improvements in health and quality of life.</w:t>
      </w:r>
    </w:p>
    <w:p w14:paraId="35B2DDED" w14:textId="3DB90398" w:rsidR="00C92FC0" w:rsidRDefault="00421142" w:rsidP="007F019B">
      <w:pPr>
        <w:spacing w:line="360" w:lineRule="auto"/>
        <w:jc w:val="both"/>
        <w:rPr>
          <w:rFonts w:ascii="Arial" w:hAnsi="Arial" w:cs="Arial"/>
          <w:sz w:val="22"/>
          <w:szCs w:val="22"/>
        </w:rPr>
      </w:pPr>
      <w:r>
        <w:rPr>
          <w:rFonts w:ascii="Arial" w:hAnsi="Arial" w:cs="Arial"/>
          <w:sz w:val="22"/>
          <w:szCs w:val="22"/>
        </w:rPr>
        <w:t>As practice nurses, creating a supportive and non-judgmental environment that recognises the challenges of behaviour change is crucial. Individualised care plans that consider personal preferences and social circumstances optimise patient engagement and adherence. With comprehensive education and support, individuals with Type 2 diabetes can effectively manage their condition and maintain their quality of life.</w:t>
      </w:r>
    </w:p>
    <w:p w14:paraId="2CAFDA48" w14:textId="77777777" w:rsidR="006B126E" w:rsidRDefault="006B126E" w:rsidP="007F019B">
      <w:pPr>
        <w:spacing w:line="360" w:lineRule="auto"/>
        <w:jc w:val="both"/>
        <w:rPr>
          <w:rFonts w:ascii="Arial" w:hAnsi="Arial" w:cs="Arial"/>
          <w:sz w:val="22"/>
          <w:szCs w:val="22"/>
        </w:rPr>
      </w:pPr>
    </w:p>
    <w:p w14:paraId="0147F41F" w14:textId="77777777" w:rsidR="006B126E" w:rsidRDefault="006B126E" w:rsidP="007F019B">
      <w:pPr>
        <w:spacing w:line="360" w:lineRule="auto"/>
        <w:jc w:val="both"/>
        <w:rPr>
          <w:rFonts w:ascii="Arial" w:hAnsi="Arial" w:cs="Arial"/>
          <w:sz w:val="22"/>
          <w:szCs w:val="22"/>
        </w:rPr>
      </w:pPr>
    </w:p>
    <w:p w14:paraId="2D8DCE57" w14:textId="77777777" w:rsidR="006B126E" w:rsidRDefault="006B126E" w:rsidP="007F019B">
      <w:pPr>
        <w:spacing w:line="360" w:lineRule="auto"/>
        <w:jc w:val="both"/>
        <w:rPr>
          <w:rFonts w:ascii="Arial" w:hAnsi="Arial" w:cs="Arial"/>
          <w:sz w:val="22"/>
          <w:szCs w:val="22"/>
        </w:rPr>
      </w:pPr>
    </w:p>
    <w:p w14:paraId="338560F5" w14:textId="77777777" w:rsidR="006B126E" w:rsidRDefault="006B126E" w:rsidP="007F019B">
      <w:pPr>
        <w:spacing w:line="360" w:lineRule="auto"/>
        <w:jc w:val="both"/>
        <w:rPr>
          <w:rFonts w:ascii="Arial" w:hAnsi="Arial" w:cs="Arial"/>
          <w:sz w:val="22"/>
          <w:szCs w:val="22"/>
        </w:rPr>
      </w:pPr>
    </w:p>
    <w:p w14:paraId="428B0A64" w14:textId="77777777" w:rsidR="00C042B3" w:rsidRDefault="00C042B3" w:rsidP="007F019B">
      <w:pPr>
        <w:spacing w:line="360" w:lineRule="auto"/>
        <w:jc w:val="both"/>
        <w:rPr>
          <w:rFonts w:ascii="Arial" w:hAnsi="Arial" w:cs="Arial"/>
          <w:sz w:val="22"/>
          <w:szCs w:val="22"/>
        </w:rPr>
      </w:pPr>
    </w:p>
    <w:p w14:paraId="70084C3B" w14:textId="77777777" w:rsidR="00C042B3" w:rsidRDefault="00C042B3" w:rsidP="007F019B">
      <w:pPr>
        <w:spacing w:line="360" w:lineRule="auto"/>
        <w:jc w:val="both"/>
        <w:rPr>
          <w:rFonts w:ascii="Arial" w:hAnsi="Arial" w:cs="Arial"/>
          <w:sz w:val="22"/>
          <w:szCs w:val="22"/>
        </w:rPr>
      </w:pPr>
    </w:p>
    <w:p w14:paraId="7AFA01D2" w14:textId="77777777" w:rsidR="00C042B3" w:rsidRDefault="00C042B3" w:rsidP="007F019B">
      <w:pPr>
        <w:spacing w:line="360" w:lineRule="auto"/>
        <w:jc w:val="both"/>
        <w:rPr>
          <w:rFonts w:ascii="Arial" w:hAnsi="Arial" w:cs="Arial"/>
          <w:sz w:val="22"/>
          <w:szCs w:val="22"/>
        </w:rPr>
      </w:pPr>
    </w:p>
    <w:p w14:paraId="7295464F" w14:textId="77777777" w:rsidR="00C042B3" w:rsidRDefault="00C042B3" w:rsidP="007F019B">
      <w:pPr>
        <w:spacing w:line="360" w:lineRule="auto"/>
        <w:jc w:val="both"/>
        <w:rPr>
          <w:rFonts w:ascii="Arial" w:hAnsi="Arial" w:cs="Arial"/>
          <w:sz w:val="22"/>
          <w:szCs w:val="22"/>
        </w:rPr>
      </w:pPr>
    </w:p>
    <w:p w14:paraId="093FBF38" w14:textId="77777777" w:rsidR="00C042B3" w:rsidRDefault="00C042B3" w:rsidP="007F019B">
      <w:pPr>
        <w:spacing w:line="360" w:lineRule="auto"/>
        <w:jc w:val="both"/>
        <w:rPr>
          <w:rFonts w:ascii="Arial" w:hAnsi="Arial" w:cs="Arial"/>
          <w:sz w:val="22"/>
          <w:szCs w:val="22"/>
        </w:rPr>
      </w:pPr>
    </w:p>
    <w:p w14:paraId="64F6D6FD" w14:textId="77777777" w:rsidR="00C042B3" w:rsidRDefault="00C042B3" w:rsidP="007F019B">
      <w:pPr>
        <w:spacing w:line="360" w:lineRule="auto"/>
        <w:jc w:val="both"/>
        <w:rPr>
          <w:rFonts w:ascii="Arial" w:hAnsi="Arial" w:cs="Arial"/>
          <w:sz w:val="22"/>
          <w:szCs w:val="22"/>
        </w:rPr>
      </w:pPr>
    </w:p>
    <w:p w14:paraId="33E21732" w14:textId="77777777" w:rsidR="00C042B3" w:rsidRDefault="00C042B3" w:rsidP="007F019B">
      <w:pPr>
        <w:spacing w:line="360" w:lineRule="auto"/>
        <w:jc w:val="both"/>
        <w:rPr>
          <w:rFonts w:ascii="Arial" w:hAnsi="Arial" w:cs="Arial"/>
          <w:sz w:val="22"/>
          <w:szCs w:val="22"/>
        </w:rPr>
      </w:pPr>
    </w:p>
    <w:p w14:paraId="7B3C1038" w14:textId="77777777" w:rsidR="006B126E" w:rsidRPr="006B126E" w:rsidRDefault="006B126E" w:rsidP="007F019B">
      <w:pPr>
        <w:pStyle w:val="Heading1"/>
        <w:spacing w:line="360" w:lineRule="auto"/>
        <w:rPr>
          <w:rFonts w:ascii="Arial" w:hAnsi="Arial" w:cs="Arial"/>
          <w:b/>
          <w:bCs/>
          <w:color w:val="auto"/>
          <w:sz w:val="22"/>
          <w:szCs w:val="22"/>
        </w:rPr>
      </w:pPr>
      <w:r w:rsidRPr="006B126E">
        <w:rPr>
          <w:rFonts w:ascii="Arial" w:hAnsi="Arial" w:cs="Arial"/>
          <w:b/>
          <w:bCs/>
          <w:color w:val="auto"/>
          <w:sz w:val="22"/>
          <w:szCs w:val="22"/>
        </w:rPr>
        <w:lastRenderedPageBreak/>
        <w:t>References</w:t>
      </w:r>
    </w:p>
    <w:p w14:paraId="4A472D94"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American Diabetes Association (2023) 'Standards of medical care in diabetes—2023', Diabetes Care, 46(Supplement 1), pp. S1-S291.</w:t>
      </w:r>
    </w:p>
    <w:p w14:paraId="27AC5CB6"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Barnard, K.D., Wysocki, T. and Ully, V. (2010) 'Self-monitoring of blood glucose in type 2 diabetes', Diabetes Spectrum, 23(2), pp. 69-75.</w:t>
      </w:r>
    </w:p>
    <w:p w14:paraId="1A6D72B5"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Bellou, V., </w:t>
      </w:r>
      <w:proofErr w:type="spellStart"/>
      <w:r w:rsidRPr="006B126E">
        <w:rPr>
          <w:rFonts w:ascii="Arial" w:hAnsi="Arial" w:cs="Arial"/>
          <w:sz w:val="22"/>
          <w:szCs w:val="22"/>
        </w:rPr>
        <w:t>Belbasis</w:t>
      </w:r>
      <w:proofErr w:type="spellEnd"/>
      <w:r w:rsidRPr="006B126E">
        <w:rPr>
          <w:rFonts w:ascii="Arial" w:hAnsi="Arial" w:cs="Arial"/>
          <w:sz w:val="22"/>
          <w:szCs w:val="22"/>
        </w:rPr>
        <w:t xml:space="preserve">, L., </w:t>
      </w:r>
      <w:proofErr w:type="spellStart"/>
      <w:r w:rsidRPr="006B126E">
        <w:rPr>
          <w:rFonts w:ascii="Arial" w:hAnsi="Arial" w:cs="Arial"/>
          <w:sz w:val="22"/>
          <w:szCs w:val="22"/>
        </w:rPr>
        <w:t>Tzoulaki</w:t>
      </w:r>
      <w:proofErr w:type="spellEnd"/>
      <w:r w:rsidRPr="006B126E">
        <w:rPr>
          <w:rFonts w:ascii="Arial" w:hAnsi="Arial" w:cs="Arial"/>
          <w:sz w:val="22"/>
          <w:szCs w:val="22"/>
        </w:rPr>
        <w:t xml:space="preserve">, I. and Evangelou, E. (2018) 'Risk factors for type 2 diabetes mellitus: an exposure-wide umbrella review of meta-analyses', </w:t>
      </w:r>
      <w:proofErr w:type="spellStart"/>
      <w:r w:rsidRPr="006B126E">
        <w:rPr>
          <w:rFonts w:ascii="Arial" w:hAnsi="Arial" w:cs="Arial"/>
          <w:sz w:val="22"/>
          <w:szCs w:val="22"/>
        </w:rPr>
        <w:t>PLoS</w:t>
      </w:r>
      <w:proofErr w:type="spellEnd"/>
      <w:r w:rsidRPr="006B126E">
        <w:rPr>
          <w:rFonts w:ascii="Arial" w:hAnsi="Arial" w:cs="Arial"/>
          <w:sz w:val="22"/>
          <w:szCs w:val="22"/>
        </w:rPr>
        <w:t xml:space="preserve"> One, 13(3), p. e0194127.</w:t>
      </w:r>
    </w:p>
    <w:p w14:paraId="73D65341"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Berg, J.M., Tymoczko, J.L., Gatto, G.J. and </w:t>
      </w:r>
      <w:proofErr w:type="spellStart"/>
      <w:r w:rsidRPr="006B126E">
        <w:rPr>
          <w:rFonts w:ascii="Arial" w:hAnsi="Arial" w:cs="Arial"/>
          <w:sz w:val="22"/>
          <w:szCs w:val="22"/>
        </w:rPr>
        <w:t>Stryer</w:t>
      </w:r>
      <w:proofErr w:type="spellEnd"/>
      <w:r w:rsidRPr="006B126E">
        <w:rPr>
          <w:rFonts w:ascii="Arial" w:hAnsi="Arial" w:cs="Arial"/>
          <w:sz w:val="22"/>
          <w:szCs w:val="22"/>
        </w:rPr>
        <w:t xml:space="preserve">, L. (2015) Biochemistry. 8th </w:t>
      </w:r>
      <w:proofErr w:type="spellStart"/>
      <w:r w:rsidRPr="006B126E">
        <w:rPr>
          <w:rFonts w:ascii="Arial" w:hAnsi="Arial" w:cs="Arial"/>
          <w:sz w:val="22"/>
          <w:szCs w:val="22"/>
        </w:rPr>
        <w:t>edn</w:t>
      </w:r>
      <w:proofErr w:type="spellEnd"/>
      <w:r w:rsidRPr="006B126E">
        <w:rPr>
          <w:rFonts w:ascii="Arial" w:hAnsi="Arial" w:cs="Arial"/>
          <w:sz w:val="22"/>
          <w:szCs w:val="22"/>
        </w:rPr>
        <w:t>. New York: W.H. Freeman.</w:t>
      </w:r>
    </w:p>
    <w:p w14:paraId="0044EC16"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Bolinder, J., Antuna, R., Geelhoed-</w:t>
      </w:r>
      <w:proofErr w:type="spellStart"/>
      <w:r w:rsidRPr="006B126E">
        <w:rPr>
          <w:rFonts w:ascii="Arial" w:hAnsi="Arial" w:cs="Arial"/>
          <w:sz w:val="22"/>
          <w:szCs w:val="22"/>
        </w:rPr>
        <w:t>Duijvestijn</w:t>
      </w:r>
      <w:proofErr w:type="spellEnd"/>
      <w:r w:rsidRPr="006B126E">
        <w:rPr>
          <w:rFonts w:ascii="Arial" w:hAnsi="Arial" w:cs="Arial"/>
          <w:sz w:val="22"/>
          <w:szCs w:val="22"/>
        </w:rPr>
        <w:t xml:space="preserve">, P., Kröger, J. and </w:t>
      </w:r>
      <w:proofErr w:type="spellStart"/>
      <w:r w:rsidRPr="006B126E">
        <w:rPr>
          <w:rFonts w:ascii="Arial" w:hAnsi="Arial" w:cs="Arial"/>
          <w:sz w:val="22"/>
          <w:szCs w:val="22"/>
        </w:rPr>
        <w:t>Weitgasser</w:t>
      </w:r>
      <w:proofErr w:type="spellEnd"/>
      <w:r w:rsidRPr="006B126E">
        <w:rPr>
          <w:rFonts w:ascii="Arial" w:hAnsi="Arial" w:cs="Arial"/>
          <w:sz w:val="22"/>
          <w:szCs w:val="22"/>
        </w:rPr>
        <w:t>, R. (2016) 'Novel glucose-sensing technology and hypoglycaemia in type 1 diabetes: a multicentre, non-masked, randomised controlled trial', The Lancet, 388(10057), pp. 2254-2263.</w:t>
      </w:r>
    </w:p>
    <w:p w14:paraId="6F21CB0D"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Cappuccio, F.P., D'Elia, L., Strazzullo, P. and Miller, M.A. (2010) 'Quantity and quality of sleep and incidence of type 2 diabetes', Diabetes Care, 33(2), pp. 414-420.</w:t>
      </w:r>
    </w:p>
    <w:p w14:paraId="7E77A15D" w14:textId="23ECEB24"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Church, T.S., Blair, S.N., </w:t>
      </w:r>
      <w:proofErr w:type="spellStart"/>
      <w:r w:rsidRPr="006B126E">
        <w:rPr>
          <w:rFonts w:ascii="Arial" w:hAnsi="Arial" w:cs="Arial"/>
          <w:sz w:val="22"/>
          <w:szCs w:val="22"/>
        </w:rPr>
        <w:t>Cocreham</w:t>
      </w:r>
      <w:proofErr w:type="spellEnd"/>
      <w:r w:rsidRPr="006B126E">
        <w:rPr>
          <w:rFonts w:ascii="Arial" w:hAnsi="Arial" w:cs="Arial"/>
          <w:sz w:val="22"/>
          <w:szCs w:val="22"/>
        </w:rPr>
        <w:t xml:space="preserve">, S., Johannsen, N., Johnson, W., Kramer, K., Mikus, C.R., Myers, V., Nauta, M., Rodarte, R.Q. and Sparks, L. (2010) 'Effects of aerobic and resistance training on </w:t>
      </w:r>
      <w:r w:rsidR="00FF7BD3">
        <w:rPr>
          <w:rFonts w:ascii="Arial" w:hAnsi="Arial" w:cs="Arial"/>
          <w:sz w:val="22"/>
          <w:szCs w:val="22"/>
        </w:rPr>
        <w:t>haemoglobin</w:t>
      </w:r>
      <w:r w:rsidRPr="006B126E">
        <w:rPr>
          <w:rFonts w:ascii="Arial" w:hAnsi="Arial" w:cs="Arial"/>
          <w:sz w:val="22"/>
          <w:szCs w:val="22"/>
        </w:rPr>
        <w:t xml:space="preserve"> A1c levels in patients with type 2 diabetes', JAMA, 304(20), pp. 2253-2262.</w:t>
      </w:r>
    </w:p>
    <w:p w14:paraId="4E766DBC"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Clair, C., Rigotti, N.A., </w:t>
      </w:r>
      <w:proofErr w:type="spellStart"/>
      <w:r w:rsidRPr="006B126E">
        <w:rPr>
          <w:rFonts w:ascii="Arial" w:hAnsi="Arial" w:cs="Arial"/>
          <w:sz w:val="22"/>
          <w:szCs w:val="22"/>
        </w:rPr>
        <w:t>Porneala</w:t>
      </w:r>
      <w:proofErr w:type="spellEnd"/>
      <w:r w:rsidRPr="006B126E">
        <w:rPr>
          <w:rFonts w:ascii="Arial" w:hAnsi="Arial" w:cs="Arial"/>
          <w:sz w:val="22"/>
          <w:szCs w:val="22"/>
        </w:rPr>
        <w:t xml:space="preserve">, B., Fox, C.S., D'Agostino, R.B., </w:t>
      </w:r>
      <w:proofErr w:type="spellStart"/>
      <w:r w:rsidRPr="006B126E">
        <w:rPr>
          <w:rFonts w:ascii="Arial" w:hAnsi="Arial" w:cs="Arial"/>
          <w:sz w:val="22"/>
          <w:szCs w:val="22"/>
        </w:rPr>
        <w:t>Pencina</w:t>
      </w:r>
      <w:proofErr w:type="spellEnd"/>
      <w:r w:rsidRPr="006B126E">
        <w:rPr>
          <w:rFonts w:ascii="Arial" w:hAnsi="Arial" w:cs="Arial"/>
          <w:sz w:val="22"/>
          <w:szCs w:val="22"/>
        </w:rPr>
        <w:t>, M.J. and Meigs, J.B. (2013) 'Association of smoking cessation and weight change with cardiovascular disease among adults with and without diabetes', JAMA, 309(10), pp. 1014-1021.</w:t>
      </w:r>
    </w:p>
    <w:p w14:paraId="305CB65D"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Colberg, S.R., Sigal, R.J., Yardley, J.E., Riddell, M.C., Dunstan, D.W., Dempsey, P.C., Horton, E.S., Castorino, K. and Tate, D.F. (2016) 'Physical activity/exercise and diabetes: a position statement of the American Diabetes Association', Diabetes Care, 39(11), pp. 2065-2079.</w:t>
      </w:r>
    </w:p>
    <w:p w14:paraId="6FCCEB4B"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Cryer, P.E. (2008) 'The barrier of </w:t>
      </w:r>
      <w:proofErr w:type="spellStart"/>
      <w:r w:rsidRPr="006B126E">
        <w:rPr>
          <w:rFonts w:ascii="Arial" w:hAnsi="Arial" w:cs="Arial"/>
          <w:sz w:val="22"/>
          <w:szCs w:val="22"/>
        </w:rPr>
        <w:t>hypoglycemia</w:t>
      </w:r>
      <w:proofErr w:type="spellEnd"/>
      <w:r w:rsidRPr="006B126E">
        <w:rPr>
          <w:rFonts w:ascii="Arial" w:hAnsi="Arial" w:cs="Arial"/>
          <w:sz w:val="22"/>
          <w:szCs w:val="22"/>
        </w:rPr>
        <w:t xml:space="preserve"> in diabetes', Diabetes, 57(12), pp. 3169-3176.</w:t>
      </w:r>
    </w:p>
    <w:p w14:paraId="236B9076" w14:textId="4832BBEA"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Davies, M.J., D'Alessio, D.A., Fradkin, J., Kernan, W.N., Mathieu, C., Mingrone, G., Rossing, P., </w:t>
      </w:r>
      <w:proofErr w:type="spellStart"/>
      <w:r w:rsidRPr="006B126E">
        <w:rPr>
          <w:rFonts w:ascii="Arial" w:hAnsi="Arial" w:cs="Arial"/>
          <w:sz w:val="22"/>
          <w:szCs w:val="22"/>
        </w:rPr>
        <w:t>Tsapas</w:t>
      </w:r>
      <w:proofErr w:type="spellEnd"/>
      <w:r w:rsidRPr="006B126E">
        <w:rPr>
          <w:rFonts w:ascii="Arial" w:hAnsi="Arial" w:cs="Arial"/>
          <w:sz w:val="22"/>
          <w:szCs w:val="22"/>
        </w:rPr>
        <w:t>, A., Wexler, D.J. and Buse, J.B. (2018)</w:t>
      </w:r>
      <w:r w:rsidR="00FF7BD3">
        <w:rPr>
          <w:rFonts w:ascii="Arial" w:hAnsi="Arial" w:cs="Arial"/>
          <w:sz w:val="22"/>
          <w:szCs w:val="22"/>
        </w:rPr>
        <w:t xml:space="preserve">. </w:t>
      </w:r>
      <w:r w:rsidRPr="006B126E">
        <w:rPr>
          <w:rFonts w:ascii="Arial" w:hAnsi="Arial" w:cs="Arial"/>
          <w:sz w:val="22"/>
          <w:szCs w:val="22"/>
        </w:rPr>
        <w:t xml:space="preserve">Management of hyperglycaemia in type 2 diabetes, 2018. A consensus report by the American Diabetes Association (ADA) and the European Association for the Study of Diabetes (EASD), </w:t>
      </w:r>
      <w:proofErr w:type="spellStart"/>
      <w:r w:rsidRPr="006B126E">
        <w:rPr>
          <w:rFonts w:ascii="Arial" w:hAnsi="Arial" w:cs="Arial"/>
          <w:sz w:val="22"/>
          <w:szCs w:val="22"/>
        </w:rPr>
        <w:t>Diabetologia</w:t>
      </w:r>
      <w:proofErr w:type="spellEnd"/>
      <w:r w:rsidRPr="006B126E">
        <w:rPr>
          <w:rFonts w:ascii="Arial" w:hAnsi="Arial" w:cs="Arial"/>
          <w:sz w:val="22"/>
          <w:szCs w:val="22"/>
        </w:rPr>
        <w:t>, 61(12), pp. 2461-2498.</w:t>
      </w:r>
    </w:p>
    <w:p w14:paraId="7091CE37"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DeFronzo, R.A., </w:t>
      </w:r>
      <w:proofErr w:type="spellStart"/>
      <w:r w:rsidRPr="006B126E">
        <w:rPr>
          <w:rFonts w:ascii="Arial" w:hAnsi="Arial" w:cs="Arial"/>
          <w:sz w:val="22"/>
          <w:szCs w:val="22"/>
        </w:rPr>
        <w:t>Ferrannini</w:t>
      </w:r>
      <w:proofErr w:type="spellEnd"/>
      <w:r w:rsidRPr="006B126E">
        <w:rPr>
          <w:rFonts w:ascii="Arial" w:hAnsi="Arial" w:cs="Arial"/>
          <w:sz w:val="22"/>
          <w:szCs w:val="22"/>
        </w:rPr>
        <w:t>, E., Groop, L., Henry, R.R., Herman, W.H., Holst, J.J., Hu, F.B., Kahn, C.R., Raz, I., Shulman, G.I. and Simonson, D.C. (2015) 'Type 2 diabetes mellitus', Nature Reviews Disease Primers, 1(1), pp. 1-22.</w:t>
      </w:r>
    </w:p>
    <w:p w14:paraId="24A0FB89"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lastRenderedPageBreak/>
        <w:t xml:space="preserve">Dempsey, P.C., Owen, N., Yates, T.E., </w:t>
      </w:r>
      <w:proofErr w:type="spellStart"/>
      <w:r w:rsidRPr="006B126E">
        <w:rPr>
          <w:rFonts w:ascii="Arial" w:hAnsi="Arial" w:cs="Arial"/>
          <w:sz w:val="22"/>
          <w:szCs w:val="22"/>
        </w:rPr>
        <w:t>Kingwell</w:t>
      </w:r>
      <w:proofErr w:type="spellEnd"/>
      <w:r w:rsidRPr="006B126E">
        <w:rPr>
          <w:rFonts w:ascii="Arial" w:hAnsi="Arial" w:cs="Arial"/>
          <w:sz w:val="22"/>
          <w:szCs w:val="22"/>
        </w:rPr>
        <w:t>, B.A. and Dunstan, D.W. (2016) 'Sitting less and moving more: improved glycaemic control for type 2 diabetes prevention and management', Current Diabetes Reports, 16(11), p. 114.</w:t>
      </w:r>
    </w:p>
    <w:p w14:paraId="4EDE6B72"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Diabetes UK (2023) Facts and figures. Available at: https://www.diabetes.org.uk/professionals/position-statements-reports/statistics (Accessed: 15 October 2024).</w:t>
      </w:r>
    </w:p>
    <w:p w14:paraId="45CCC27D"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Emanuele, N., Swade, T.F. and Emanuele, M.A. (1998) 'Consequences of alcohol use in diabetics', Alcohol Health and Research World, 22(3), pp. 211-219.</w:t>
      </w:r>
    </w:p>
    <w:p w14:paraId="5B4E1997"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Esposito, K., Maiorino, M.I., </w:t>
      </w:r>
      <w:proofErr w:type="spellStart"/>
      <w:r w:rsidRPr="006B126E">
        <w:rPr>
          <w:rFonts w:ascii="Arial" w:hAnsi="Arial" w:cs="Arial"/>
          <w:sz w:val="22"/>
          <w:szCs w:val="22"/>
        </w:rPr>
        <w:t>Bellastella</w:t>
      </w:r>
      <w:proofErr w:type="spellEnd"/>
      <w:r w:rsidRPr="006B126E">
        <w:rPr>
          <w:rFonts w:ascii="Arial" w:hAnsi="Arial" w:cs="Arial"/>
          <w:sz w:val="22"/>
          <w:szCs w:val="22"/>
        </w:rPr>
        <w:t xml:space="preserve">, G., Chiodini, P., </w:t>
      </w:r>
      <w:proofErr w:type="spellStart"/>
      <w:r w:rsidRPr="006B126E">
        <w:rPr>
          <w:rFonts w:ascii="Arial" w:hAnsi="Arial" w:cs="Arial"/>
          <w:sz w:val="22"/>
          <w:szCs w:val="22"/>
        </w:rPr>
        <w:t>Panagiotakos</w:t>
      </w:r>
      <w:proofErr w:type="spellEnd"/>
      <w:r w:rsidRPr="006B126E">
        <w:rPr>
          <w:rFonts w:ascii="Arial" w:hAnsi="Arial" w:cs="Arial"/>
          <w:sz w:val="22"/>
          <w:szCs w:val="22"/>
        </w:rPr>
        <w:t>, D. and Giugliano, D. (2015) 'A journey into a Mediterranean diet and type 2 diabetes: a systematic review with meta-analyses', BMJ Open, 5(8), p. e008222.</w:t>
      </w:r>
    </w:p>
    <w:p w14:paraId="5E388A13"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Farmer, A.J., Perera, R., Ward, A., Heneghan, C., Oke, J., Barnett, A.H., Davidson, M.B., Guerci, B., Coates, V., Schwedes, U. and O'Malley, S. (2012) 'Meta-analysis of individual patient data in randomised trials of </w:t>
      </w:r>
      <w:proofErr w:type="spellStart"/>
      <w:r w:rsidRPr="006B126E">
        <w:rPr>
          <w:rFonts w:ascii="Arial" w:hAnsi="Arial" w:cs="Arial"/>
          <w:sz w:val="22"/>
          <w:szCs w:val="22"/>
        </w:rPr>
        <w:t>self monitoring</w:t>
      </w:r>
      <w:proofErr w:type="spellEnd"/>
      <w:r w:rsidRPr="006B126E">
        <w:rPr>
          <w:rFonts w:ascii="Arial" w:hAnsi="Arial" w:cs="Arial"/>
          <w:sz w:val="22"/>
          <w:szCs w:val="22"/>
        </w:rPr>
        <w:t xml:space="preserve"> of blood glucose in people with non-insulin treated type 2 diabetes', BMJ, 344, p. e486.</w:t>
      </w:r>
    </w:p>
    <w:p w14:paraId="3A15DB09"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Forbes, J.M. and Cooper, M.E. (2013) 'Mechanisms of diabetic complications', Physiological Reviews, 93(1), pp. 137-188.</w:t>
      </w:r>
    </w:p>
    <w:p w14:paraId="7380C3D4"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Guh, D.P., Zhang, W., </w:t>
      </w:r>
      <w:proofErr w:type="spellStart"/>
      <w:r w:rsidRPr="006B126E">
        <w:rPr>
          <w:rFonts w:ascii="Arial" w:hAnsi="Arial" w:cs="Arial"/>
          <w:sz w:val="22"/>
          <w:szCs w:val="22"/>
        </w:rPr>
        <w:t>Bansback</w:t>
      </w:r>
      <w:proofErr w:type="spellEnd"/>
      <w:r w:rsidRPr="006B126E">
        <w:rPr>
          <w:rFonts w:ascii="Arial" w:hAnsi="Arial" w:cs="Arial"/>
          <w:sz w:val="22"/>
          <w:szCs w:val="22"/>
        </w:rPr>
        <w:t>, N., Amarsi, Z., Birmingham, C.L. and Anis, A.H. (2009) 'The incidence of co-morbidities related to obesity and overweight: a systematic review and meta-analysis', BMC Public Health, 9(1), p. 88.</w:t>
      </w:r>
    </w:p>
    <w:p w14:paraId="2DE59ADF"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Hackett, R.A. and Steptoe, A. (2017) 'Type 2 diabetes mellitus and psychological stress—a modifiable risk factor', Nature Reviews Endocrinology, 13(9), pp. 547-560.</w:t>
      </w:r>
    </w:p>
    <w:p w14:paraId="5C73246B" w14:textId="1ABA02FC"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Hall, J.E. and Hall, M.E. (2020)</w:t>
      </w:r>
      <w:r w:rsidR="00FF7BD3">
        <w:rPr>
          <w:rFonts w:ascii="Arial" w:hAnsi="Arial" w:cs="Arial"/>
          <w:sz w:val="22"/>
          <w:szCs w:val="22"/>
        </w:rPr>
        <w:t>.</w:t>
      </w:r>
      <w:r w:rsidRPr="006B126E">
        <w:rPr>
          <w:rFonts w:ascii="Arial" w:hAnsi="Arial" w:cs="Arial"/>
          <w:sz w:val="22"/>
          <w:szCs w:val="22"/>
        </w:rPr>
        <w:t xml:space="preserve"> Guyton and </w:t>
      </w:r>
      <w:r w:rsidR="00FF7BD3">
        <w:rPr>
          <w:rFonts w:ascii="Arial" w:hAnsi="Arial" w:cs="Arial"/>
          <w:sz w:val="22"/>
          <w:szCs w:val="22"/>
        </w:rPr>
        <w:t>Hall's</w:t>
      </w:r>
      <w:r w:rsidRPr="006B126E">
        <w:rPr>
          <w:rFonts w:ascii="Arial" w:hAnsi="Arial" w:cs="Arial"/>
          <w:sz w:val="22"/>
          <w:szCs w:val="22"/>
        </w:rPr>
        <w:t xml:space="preserve"> textbook of medical physiology. 14th </w:t>
      </w:r>
      <w:proofErr w:type="spellStart"/>
      <w:r w:rsidRPr="006B126E">
        <w:rPr>
          <w:rFonts w:ascii="Arial" w:hAnsi="Arial" w:cs="Arial"/>
          <w:sz w:val="22"/>
          <w:szCs w:val="22"/>
        </w:rPr>
        <w:t>edn</w:t>
      </w:r>
      <w:proofErr w:type="spellEnd"/>
      <w:r w:rsidRPr="006B126E">
        <w:rPr>
          <w:rFonts w:ascii="Arial" w:hAnsi="Arial" w:cs="Arial"/>
          <w:sz w:val="22"/>
          <w:szCs w:val="22"/>
        </w:rPr>
        <w:t>. Philadelphia: Elsevier.</w:t>
      </w:r>
    </w:p>
    <w:p w14:paraId="4848FAAE"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Hawley, J.A., Hargreaves, M., Joyner, M.J. and Zierath, J.R. (2014) 'Integrative biology of exercise', Cell, 159(4), pp. 738-749.</w:t>
      </w:r>
    </w:p>
    <w:p w14:paraId="32C5CEF0"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Holst, J.J. (2007) 'The physiology of glucagon-like peptide 1', Physiological Reviews, 87(4), pp. 1409-1439.</w:t>
      </w:r>
    </w:p>
    <w:p w14:paraId="69A08BFA"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Hu, F.B., Manson, J.E., Stampfer, M.J., Colditz, G., Liu, S., Solomon, C.G. and Willett, W.C. (2001) 'Diet, lifestyle, and the risk of type 2 diabetes mellitus in women', New England Journal of Medicine, 345(11), pp. 790-797.</w:t>
      </w:r>
    </w:p>
    <w:p w14:paraId="4F26D7E7"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lastRenderedPageBreak/>
        <w:t>Huang, S. and Czech, M.P. (2007) 'The GLUT4 glucose transporter', Cell Metabolism, 5(4), pp. 237-252.</w:t>
      </w:r>
    </w:p>
    <w:p w14:paraId="203589D8" w14:textId="77777777" w:rsidR="006B126E" w:rsidRPr="006B126E" w:rsidRDefault="006B126E" w:rsidP="007F019B">
      <w:pPr>
        <w:spacing w:line="360" w:lineRule="auto"/>
        <w:jc w:val="both"/>
        <w:rPr>
          <w:rFonts w:ascii="Arial" w:hAnsi="Arial" w:cs="Arial"/>
          <w:sz w:val="22"/>
          <w:szCs w:val="22"/>
        </w:rPr>
      </w:pPr>
      <w:proofErr w:type="spellStart"/>
      <w:r w:rsidRPr="006B126E">
        <w:rPr>
          <w:rFonts w:ascii="Arial" w:hAnsi="Arial" w:cs="Arial"/>
          <w:sz w:val="22"/>
          <w:szCs w:val="22"/>
        </w:rPr>
        <w:t>InterAct</w:t>
      </w:r>
      <w:proofErr w:type="spellEnd"/>
      <w:r w:rsidRPr="006B126E">
        <w:rPr>
          <w:rFonts w:ascii="Arial" w:hAnsi="Arial" w:cs="Arial"/>
          <w:sz w:val="22"/>
          <w:szCs w:val="22"/>
        </w:rPr>
        <w:t xml:space="preserve"> Consortium (2013) 'The link between family history and risk of type 2 diabetes is not explained by anthropometric, lifestyle or genetic risk factors: the EPIC-</w:t>
      </w:r>
      <w:proofErr w:type="spellStart"/>
      <w:r w:rsidRPr="006B126E">
        <w:rPr>
          <w:rFonts w:ascii="Arial" w:hAnsi="Arial" w:cs="Arial"/>
          <w:sz w:val="22"/>
          <w:szCs w:val="22"/>
        </w:rPr>
        <w:t>InterAct</w:t>
      </w:r>
      <w:proofErr w:type="spellEnd"/>
      <w:r w:rsidRPr="006B126E">
        <w:rPr>
          <w:rFonts w:ascii="Arial" w:hAnsi="Arial" w:cs="Arial"/>
          <w:sz w:val="22"/>
          <w:szCs w:val="22"/>
        </w:rPr>
        <w:t xml:space="preserve"> study', </w:t>
      </w:r>
      <w:proofErr w:type="spellStart"/>
      <w:r w:rsidRPr="006B126E">
        <w:rPr>
          <w:rFonts w:ascii="Arial" w:hAnsi="Arial" w:cs="Arial"/>
          <w:sz w:val="22"/>
          <w:szCs w:val="22"/>
        </w:rPr>
        <w:t>Diabetologia</w:t>
      </w:r>
      <w:proofErr w:type="spellEnd"/>
      <w:r w:rsidRPr="006B126E">
        <w:rPr>
          <w:rFonts w:ascii="Arial" w:hAnsi="Arial" w:cs="Arial"/>
          <w:sz w:val="22"/>
          <w:szCs w:val="22"/>
        </w:rPr>
        <w:t>, 56(1), pp. 60-69.</w:t>
      </w:r>
    </w:p>
    <w:p w14:paraId="40F5DD8A"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International Diabetes Federation (2021) IDF Diabetes Atlas. 10th </w:t>
      </w:r>
      <w:proofErr w:type="spellStart"/>
      <w:r w:rsidRPr="006B126E">
        <w:rPr>
          <w:rFonts w:ascii="Arial" w:hAnsi="Arial" w:cs="Arial"/>
          <w:sz w:val="22"/>
          <w:szCs w:val="22"/>
        </w:rPr>
        <w:t>edn</w:t>
      </w:r>
      <w:proofErr w:type="spellEnd"/>
      <w:r w:rsidRPr="006B126E">
        <w:rPr>
          <w:rFonts w:ascii="Arial" w:hAnsi="Arial" w:cs="Arial"/>
          <w:sz w:val="22"/>
          <w:szCs w:val="22"/>
        </w:rPr>
        <w:t>. Brussels: International Diabetes Federation.</w:t>
      </w:r>
    </w:p>
    <w:p w14:paraId="3340C835"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Knowler, W.C., Barrett-Connor, E., Fowler, S.E., Hamman, R.F., Lachin, J.M., Walker, E.A. and Nathan, D.M. (2002) 'Reduction in the incidence of type 2 diabetes with lifestyle intervention or metformin', New England Journal of Medicine, 346(6), pp. 393-403.</w:t>
      </w:r>
    </w:p>
    <w:p w14:paraId="574D6142"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Lean, M.E., Leslie, W.S., Barnes, A.C., Brosnahan, N., Thom, G., McCombie, L., Peters, C., </w:t>
      </w:r>
      <w:proofErr w:type="spellStart"/>
      <w:r w:rsidRPr="006B126E">
        <w:rPr>
          <w:rFonts w:ascii="Arial" w:hAnsi="Arial" w:cs="Arial"/>
          <w:sz w:val="22"/>
          <w:szCs w:val="22"/>
        </w:rPr>
        <w:t>Zhyzhneuskaya</w:t>
      </w:r>
      <w:proofErr w:type="spellEnd"/>
      <w:r w:rsidRPr="006B126E">
        <w:rPr>
          <w:rFonts w:ascii="Arial" w:hAnsi="Arial" w:cs="Arial"/>
          <w:sz w:val="22"/>
          <w:szCs w:val="22"/>
        </w:rPr>
        <w:t>, S., Al-</w:t>
      </w:r>
      <w:proofErr w:type="spellStart"/>
      <w:r w:rsidRPr="006B126E">
        <w:rPr>
          <w:rFonts w:ascii="Arial" w:hAnsi="Arial" w:cs="Arial"/>
          <w:sz w:val="22"/>
          <w:szCs w:val="22"/>
        </w:rPr>
        <w:t>Mrabeh</w:t>
      </w:r>
      <w:proofErr w:type="spellEnd"/>
      <w:r w:rsidRPr="006B126E">
        <w:rPr>
          <w:rFonts w:ascii="Arial" w:hAnsi="Arial" w:cs="Arial"/>
          <w:sz w:val="22"/>
          <w:szCs w:val="22"/>
        </w:rPr>
        <w:t>, A., Hollingsworth, K.G. and Rodrigues, A.M. (2018) 'Primary care-led weight management for remission of type 2 diabetes (</w:t>
      </w:r>
      <w:proofErr w:type="spellStart"/>
      <w:r w:rsidRPr="006B126E">
        <w:rPr>
          <w:rFonts w:ascii="Arial" w:hAnsi="Arial" w:cs="Arial"/>
          <w:sz w:val="22"/>
          <w:szCs w:val="22"/>
        </w:rPr>
        <w:t>DiRECT</w:t>
      </w:r>
      <w:proofErr w:type="spellEnd"/>
      <w:r w:rsidRPr="006B126E">
        <w:rPr>
          <w:rFonts w:ascii="Arial" w:hAnsi="Arial" w:cs="Arial"/>
          <w:sz w:val="22"/>
          <w:szCs w:val="22"/>
        </w:rPr>
        <w:t>): an open-label, cluster-randomised trial', The Lancet, 391(10120), pp. 541-551.</w:t>
      </w:r>
    </w:p>
    <w:p w14:paraId="4E99102B"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Look AHEAD Research Group (2013) 'Cardiovascular effects of intensive lifestyle intervention in type 2 diabetes', New England Journal of Medicine, 369(2), pp. 145-154.</w:t>
      </w:r>
    </w:p>
    <w:p w14:paraId="610E30BD"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Malik, V.S., Popkin, B.M., Bray, G.A., Després, J.P., Willett, W.C. and Hu, F.B. (2010) 'Sugar-sweetened beverages and risk of metabolic syndrome and type 2 diabetes', Diabetes Care, 33(11), pp. 2477-2483.</w:t>
      </w:r>
    </w:p>
    <w:p w14:paraId="7870AACF" w14:textId="70B0578F"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National Institute for Health and Care Excellence (2020)</w:t>
      </w:r>
      <w:r w:rsidR="00FF7BD3">
        <w:rPr>
          <w:rFonts w:ascii="Arial" w:hAnsi="Arial" w:cs="Arial"/>
          <w:sz w:val="22"/>
          <w:szCs w:val="22"/>
        </w:rPr>
        <w:t>.</w:t>
      </w:r>
      <w:r w:rsidRPr="006B126E">
        <w:rPr>
          <w:rFonts w:ascii="Arial" w:hAnsi="Arial" w:cs="Arial"/>
          <w:sz w:val="22"/>
          <w:szCs w:val="22"/>
        </w:rPr>
        <w:t xml:space="preserve"> Diabetes in pregnancy: management from preconception to the postnatal period. NG3. London: NICE.</w:t>
      </w:r>
    </w:p>
    <w:p w14:paraId="1555B379"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National Institute for Health and Care Excellence (2021) Tobacco: preventing uptake, promoting quitting and treating dependence. NG209. London: NICE.</w:t>
      </w:r>
    </w:p>
    <w:p w14:paraId="13D2EE92" w14:textId="56F7FCEB"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National Institute for Health and Care Excellence (2022)</w:t>
      </w:r>
      <w:r w:rsidR="00FF7BD3">
        <w:rPr>
          <w:rFonts w:ascii="Arial" w:hAnsi="Arial" w:cs="Arial"/>
          <w:sz w:val="22"/>
          <w:szCs w:val="22"/>
        </w:rPr>
        <w:t>.</w:t>
      </w:r>
      <w:r w:rsidRPr="006B126E">
        <w:rPr>
          <w:rFonts w:ascii="Arial" w:hAnsi="Arial" w:cs="Arial"/>
          <w:sz w:val="22"/>
          <w:szCs w:val="22"/>
        </w:rPr>
        <w:t xml:space="preserve"> Type 2 diabetes in adults: management. NG28. London: NICE.</w:t>
      </w:r>
    </w:p>
    <w:p w14:paraId="1E1700B4" w14:textId="25AE9280"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Nelson, D.L. and Cox, M.M. (2017)</w:t>
      </w:r>
      <w:r w:rsidR="00FF7BD3">
        <w:rPr>
          <w:rFonts w:ascii="Arial" w:hAnsi="Arial" w:cs="Arial"/>
          <w:sz w:val="22"/>
          <w:szCs w:val="22"/>
        </w:rPr>
        <w:t>.</w:t>
      </w:r>
      <w:r w:rsidRPr="006B126E">
        <w:rPr>
          <w:rFonts w:ascii="Arial" w:hAnsi="Arial" w:cs="Arial"/>
          <w:sz w:val="22"/>
          <w:szCs w:val="22"/>
        </w:rPr>
        <w:t xml:space="preserve"> </w:t>
      </w:r>
      <w:proofErr w:type="spellStart"/>
      <w:r w:rsidR="00FF7BD3">
        <w:rPr>
          <w:rFonts w:ascii="Arial" w:hAnsi="Arial" w:cs="Arial"/>
          <w:sz w:val="22"/>
          <w:szCs w:val="22"/>
        </w:rPr>
        <w:t>Lehninger's</w:t>
      </w:r>
      <w:proofErr w:type="spellEnd"/>
      <w:r w:rsidRPr="006B126E">
        <w:rPr>
          <w:rFonts w:ascii="Arial" w:hAnsi="Arial" w:cs="Arial"/>
          <w:sz w:val="22"/>
          <w:szCs w:val="22"/>
        </w:rPr>
        <w:t xml:space="preserve"> principles of biochemistry. 7th </w:t>
      </w:r>
      <w:proofErr w:type="spellStart"/>
      <w:r w:rsidRPr="006B126E">
        <w:rPr>
          <w:rFonts w:ascii="Arial" w:hAnsi="Arial" w:cs="Arial"/>
          <w:sz w:val="22"/>
          <w:szCs w:val="22"/>
        </w:rPr>
        <w:t>edn</w:t>
      </w:r>
      <w:proofErr w:type="spellEnd"/>
      <w:r w:rsidRPr="006B126E">
        <w:rPr>
          <w:rFonts w:ascii="Arial" w:hAnsi="Arial" w:cs="Arial"/>
          <w:sz w:val="22"/>
          <w:szCs w:val="22"/>
        </w:rPr>
        <w:t>. New York: W.H. Freeman.</w:t>
      </w:r>
    </w:p>
    <w:p w14:paraId="7382AC90"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Pan, A., Wang, Y., Talaei, M. and Hu, F.B. (2015) 'Relation of smoking with total mortality and cardiovascular events among patients with diabetes mellitus', Circulation, 132(19), pp. 1795-1804.</w:t>
      </w:r>
    </w:p>
    <w:p w14:paraId="772312D6"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Petersen, M.C. and Shulman, G.I. (2018) 'Mechanisms of insulin action and insulin resistance', Physiological Reviews, 98(4), pp. 2133-2223.</w:t>
      </w:r>
    </w:p>
    <w:p w14:paraId="179685C5"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lastRenderedPageBreak/>
        <w:t xml:space="preserve">Polonsky, W.H., Fisher, L., </w:t>
      </w:r>
      <w:proofErr w:type="spellStart"/>
      <w:r w:rsidRPr="006B126E">
        <w:rPr>
          <w:rFonts w:ascii="Arial" w:hAnsi="Arial" w:cs="Arial"/>
          <w:sz w:val="22"/>
          <w:szCs w:val="22"/>
        </w:rPr>
        <w:t>Schikman</w:t>
      </w:r>
      <w:proofErr w:type="spellEnd"/>
      <w:r w:rsidRPr="006B126E">
        <w:rPr>
          <w:rFonts w:ascii="Arial" w:hAnsi="Arial" w:cs="Arial"/>
          <w:sz w:val="22"/>
          <w:szCs w:val="22"/>
        </w:rPr>
        <w:t>, C.H., Hinnen, D.A., Parkin, C.G., Jelsovsky, Z., Petersen, B., Schweitzer, M. and Wagner, R.S. (2011) 'Structured self-monitoring of blood glucose significantly reduces A1C levels in poorly controlled, noninsulin-treated type 2 diabetes', Diabetes Care, 34(2), pp. 262-267.</w:t>
      </w:r>
    </w:p>
    <w:p w14:paraId="04968AF2" w14:textId="77777777" w:rsidR="006B126E" w:rsidRPr="006B126E" w:rsidRDefault="006B126E" w:rsidP="007F019B">
      <w:pPr>
        <w:spacing w:line="360" w:lineRule="auto"/>
        <w:jc w:val="both"/>
        <w:rPr>
          <w:rFonts w:ascii="Arial" w:hAnsi="Arial" w:cs="Arial"/>
          <w:sz w:val="22"/>
          <w:szCs w:val="22"/>
        </w:rPr>
      </w:pPr>
      <w:proofErr w:type="spellStart"/>
      <w:r w:rsidRPr="006B126E">
        <w:rPr>
          <w:rFonts w:ascii="Arial" w:hAnsi="Arial" w:cs="Arial"/>
          <w:sz w:val="22"/>
          <w:szCs w:val="22"/>
        </w:rPr>
        <w:t>Reutrakul</w:t>
      </w:r>
      <w:proofErr w:type="spellEnd"/>
      <w:r w:rsidRPr="006B126E">
        <w:rPr>
          <w:rFonts w:ascii="Arial" w:hAnsi="Arial" w:cs="Arial"/>
          <w:sz w:val="22"/>
          <w:szCs w:val="22"/>
        </w:rPr>
        <w:t xml:space="preserve">, S. and </w:t>
      </w:r>
      <w:proofErr w:type="spellStart"/>
      <w:r w:rsidRPr="006B126E">
        <w:rPr>
          <w:rFonts w:ascii="Arial" w:hAnsi="Arial" w:cs="Arial"/>
          <w:sz w:val="22"/>
          <w:szCs w:val="22"/>
        </w:rPr>
        <w:t>Mokhlesi</w:t>
      </w:r>
      <w:proofErr w:type="spellEnd"/>
      <w:r w:rsidRPr="006B126E">
        <w:rPr>
          <w:rFonts w:ascii="Arial" w:hAnsi="Arial" w:cs="Arial"/>
          <w:sz w:val="22"/>
          <w:szCs w:val="22"/>
        </w:rPr>
        <w:t xml:space="preserve">, B. (2017) 'Obstructive sleep </w:t>
      </w:r>
      <w:proofErr w:type="spellStart"/>
      <w:r w:rsidRPr="006B126E">
        <w:rPr>
          <w:rFonts w:ascii="Arial" w:hAnsi="Arial" w:cs="Arial"/>
          <w:sz w:val="22"/>
          <w:szCs w:val="22"/>
        </w:rPr>
        <w:t>apnea</w:t>
      </w:r>
      <w:proofErr w:type="spellEnd"/>
      <w:r w:rsidRPr="006B126E">
        <w:rPr>
          <w:rFonts w:ascii="Arial" w:hAnsi="Arial" w:cs="Arial"/>
          <w:sz w:val="22"/>
          <w:szCs w:val="22"/>
        </w:rPr>
        <w:t xml:space="preserve"> and diabetes: a </w:t>
      </w:r>
      <w:proofErr w:type="gramStart"/>
      <w:r w:rsidRPr="006B126E">
        <w:rPr>
          <w:rFonts w:ascii="Arial" w:hAnsi="Arial" w:cs="Arial"/>
          <w:sz w:val="22"/>
          <w:szCs w:val="22"/>
        </w:rPr>
        <w:t>state of the art</w:t>
      </w:r>
      <w:proofErr w:type="gramEnd"/>
      <w:r w:rsidRPr="006B126E">
        <w:rPr>
          <w:rFonts w:ascii="Arial" w:hAnsi="Arial" w:cs="Arial"/>
          <w:sz w:val="22"/>
          <w:szCs w:val="22"/>
        </w:rPr>
        <w:t xml:space="preserve"> review', Chest, 152(5), pp. 1070-1086.</w:t>
      </w:r>
    </w:p>
    <w:p w14:paraId="1E5D181E"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Rich, P.R. (2003) 'The molecular machinery of Keltch's respiratory chain', Biochemical Society Transactions, 31(6), pp. 1095-1105.</w:t>
      </w:r>
    </w:p>
    <w:p w14:paraId="74730532"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Richter, E.A. and Hargreaves, M. (2013) 'Exercise, GLUT4, and skeletal muscle glucose uptake', Physiological Reviews, 93(3), pp. 993-1017.</w:t>
      </w:r>
    </w:p>
    <w:p w14:paraId="7B9B483F" w14:textId="77777777" w:rsidR="006B126E" w:rsidRPr="006B126E" w:rsidRDefault="006B126E" w:rsidP="007F019B">
      <w:pPr>
        <w:spacing w:line="360" w:lineRule="auto"/>
        <w:jc w:val="both"/>
        <w:rPr>
          <w:rFonts w:ascii="Arial" w:hAnsi="Arial" w:cs="Arial"/>
          <w:sz w:val="22"/>
          <w:szCs w:val="22"/>
        </w:rPr>
      </w:pPr>
      <w:proofErr w:type="spellStart"/>
      <w:r w:rsidRPr="006B126E">
        <w:rPr>
          <w:rFonts w:ascii="Arial" w:hAnsi="Arial" w:cs="Arial"/>
          <w:sz w:val="22"/>
          <w:szCs w:val="22"/>
        </w:rPr>
        <w:t>Rodbard</w:t>
      </w:r>
      <w:proofErr w:type="spellEnd"/>
      <w:r w:rsidRPr="006B126E">
        <w:rPr>
          <w:rFonts w:ascii="Arial" w:hAnsi="Arial" w:cs="Arial"/>
          <w:sz w:val="22"/>
          <w:szCs w:val="22"/>
        </w:rPr>
        <w:t>, D. (2016) 'Continuous glucose monitoring: a review of successes, challenges, and opportunities', Diabetes Technology &amp; Therapeutics, 18(S2), pp. S2-3-S2-13.</w:t>
      </w:r>
    </w:p>
    <w:p w14:paraId="0F2F871C"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Röder, P.V., Wu, B., Liu, Y. and Han, W. (2016) 'Pancreatic regulation of glucose homeostasis', Experimental &amp; Molecular Medicine, 48(3), pp. e219-e219.</w:t>
      </w:r>
    </w:p>
    <w:p w14:paraId="2D5EF824"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Seaquist, E.R., Anderson, J., Childs, B., Cryer, P., </w:t>
      </w:r>
      <w:proofErr w:type="spellStart"/>
      <w:r w:rsidRPr="006B126E">
        <w:rPr>
          <w:rFonts w:ascii="Arial" w:hAnsi="Arial" w:cs="Arial"/>
          <w:sz w:val="22"/>
          <w:szCs w:val="22"/>
        </w:rPr>
        <w:t>Dagogo</w:t>
      </w:r>
      <w:proofErr w:type="spellEnd"/>
      <w:r w:rsidRPr="006B126E">
        <w:rPr>
          <w:rFonts w:ascii="Arial" w:hAnsi="Arial" w:cs="Arial"/>
          <w:sz w:val="22"/>
          <w:szCs w:val="22"/>
        </w:rPr>
        <w:t>-Jack, S., Fish, L., Heller, S.R., Rodriguez, H., Rosenzweig, J. and Vigersky, R. (2013) '</w:t>
      </w:r>
      <w:proofErr w:type="spellStart"/>
      <w:r w:rsidRPr="006B126E">
        <w:rPr>
          <w:rFonts w:ascii="Arial" w:hAnsi="Arial" w:cs="Arial"/>
          <w:sz w:val="22"/>
          <w:szCs w:val="22"/>
        </w:rPr>
        <w:t>Hypoglycemia</w:t>
      </w:r>
      <w:proofErr w:type="spellEnd"/>
      <w:r w:rsidRPr="006B126E">
        <w:rPr>
          <w:rFonts w:ascii="Arial" w:hAnsi="Arial" w:cs="Arial"/>
          <w:sz w:val="22"/>
          <w:szCs w:val="22"/>
        </w:rPr>
        <w:t xml:space="preserve"> and diabetes: a report of a workgroup of the American Diabetes Association and the Endocrine Society', Diabetes Care, 36(5), pp. 1384-1395.</w:t>
      </w:r>
    </w:p>
    <w:p w14:paraId="2F62550C"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Snorgaard, O., Poulsen, G.M., Andersen, H.K. and Astrup, A. (2017) 'Systematic review and meta-analysis of dietary carbohydrate restriction in patients with type 2 diabetes', BMJ Open Diabetes Research and Care, 5(1), p. e000354.</w:t>
      </w:r>
    </w:p>
    <w:p w14:paraId="6A656A46" w14:textId="15336FCE"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 xml:space="preserve">Uchendu, C. and Blake, H. (2017) 'Effectiveness of cognitive–behavioural therapy on glycaemic control and psychological outcomes in adults with diabetes mellitus: a systematic review and meta-analysis of </w:t>
      </w:r>
      <w:r w:rsidR="00FF7BD3">
        <w:rPr>
          <w:rFonts w:ascii="Arial" w:hAnsi="Arial" w:cs="Arial"/>
          <w:sz w:val="22"/>
          <w:szCs w:val="22"/>
        </w:rPr>
        <w:t>randomised</w:t>
      </w:r>
      <w:r w:rsidRPr="006B126E">
        <w:rPr>
          <w:rFonts w:ascii="Arial" w:hAnsi="Arial" w:cs="Arial"/>
          <w:sz w:val="22"/>
          <w:szCs w:val="22"/>
        </w:rPr>
        <w:t xml:space="preserve"> controlled trials', Diabetic Medicine, 34(3), pp. 328-339.</w:t>
      </w:r>
    </w:p>
    <w:p w14:paraId="4FAAF31E"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Willi, C., Bodenmann, P., Ghali, W.A., Faris, P.D. and Cornuz, J. (2007) 'Active smoking and the risk of type 2 diabetes', JAMA, 298(22), pp. 2654-2664.</w:t>
      </w:r>
    </w:p>
    <w:p w14:paraId="6C3DB11E" w14:textId="77777777"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Wing, R.R., Lang, W., Wadden, T.A., Safford, M., Knowler, W.C., Bertoni, A.G., Hill, J.O., Brancati, F.L., Peters, A., Wagenknecht, L. and Look AHEAD Research Group (2011) 'Benefits of modest weight loss in improving cardiovascular risk factors in overweight and obese individuals with type 2 diabetes', Diabetes Care, 34(7), pp. 1481-1486.</w:t>
      </w:r>
    </w:p>
    <w:p w14:paraId="15C0C955" w14:textId="3E7155BB"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lastRenderedPageBreak/>
        <w:t xml:space="preserve">World Health </w:t>
      </w:r>
      <w:r w:rsidR="00FF7BD3">
        <w:rPr>
          <w:rFonts w:ascii="Arial" w:hAnsi="Arial" w:cs="Arial"/>
          <w:sz w:val="22"/>
          <w:szCs w:val="22"/>
        </w:rPr>
        <w:t>Organisation</w:t>
      </w:r>
      <w:r w:rsidRPr="006B126E">
        <w:rPr>
          <w:rFonts w:ascii="Arial" w:hAnsi="Arial" w:cs="Arial"/>
          <w:sz w:val="22"/>
          <w:szCs w:val="22"/>
        </w:rPr>
        <w:t xml:space="preserve"> (2019) Classification of diabetes mellitus. Geneva: World Health </w:t>
      </w:r>
      <w:r w:rsidR="00FF7BD3">
        <w:rPr>
          <w:rFonts w:ascii="Arial" w:hAnsi="Arial" w:cs="Arial"/>
          <w:sz w:val="22"/>
          <w:szCs w:val="22"/>
        </w:rPr>
        <w:t>Organisation</w:t>
      </w:r>
      <w:r w:rsidRPr="006B126E">
        <w:rPr>
          <w:rFonts w:ascii="Arial" w:hAnsi="Arial" w:cs="Arial"/>
          <w:sz w:val="22"/>
          <w:szCs w:val="22"/>
        </w:rPr>
        <w:t>.</w:t>
      </w:r>
    </w:p>
    <w:p w14:paraId="1FF8780E" w14:textId="16CCFDE5" w:rsidR="006B126E" w:rsidRPr="006B126E" w:rsidRDefault="006B126E" w:rsidP="007F019B">
      <w:pPr>
        <w:spacing w:line="360" w:lineRule="auto"/>
        <w:jc w:val="both"/>
        <w:rPr>
          <w:rFonts w:ascii="Arial" w:hAnsi="Arial" w:cs="Arial"/>
          <w:sz w:val="22"/>
          <w:szCs w:val="22"/>
        </w:rPr>
      </w:pPr>
      <w:r w:rsidRPr="006B126E">
        <w:rPr>
          <w:rFonts w:ascii="Arial" w:hAnsi="Arial" w:cs="Arial"/>
          <w:sz w:val="22"/>
          <w:szCs w:val="22"/>
        </w:rPr>
        <w:t>Young, L.A., Buse, J.B., Weaver, M.A., Vu, M.B., Mitchell, C.M., Blakeney, T., Grimm, K., Rees, J., Niedzwiecki, M., Sarabu, N. and Donahue, K.E. (2017) 'Glucose self-monitoring in non–</w:t>
      </w:r>
      <w:r w:rsidR="00FF7BD3">
        <w:rPr>
          <w:rFonts w:ascii="Arial" w:hAnsi="Arial" w:cs="Arial"/>
          <w:sz w:val="22"/>
          <w:szCs w:val="22"/>
        </w:rPr>
        <w:t>non-insulin-treated</w:t>
      </w:r>
      <w:r w:rsidRPr="006B126E">
        <w:rPr>
          <w:rFonts w:ascii="Arial" w:hAnsi="Arial" w:cs="Arial"/>
          <w:sz w:val="22"/>
          <w:szCs w:val="22"/>
        </w:rPr>
        <w:t xml:space="preserve"> patients with type 2 diabetes in primary care settings', JAMA Internal Medicine, 177(7), pp. 920-929.</w:t>
      </w:r>
    </w:p>
    <w:p w14:paraId="475D1B38" w14:textId="77777777" w:rsidR="006B126E" w:rsidRPr="006B126E" w:rsidRDefault="006B126E" w:rsidP="006B126E">
      <w:pPr>
        <w:jc w:val="both"/>
        <w:rPr>
          <w:rFonts w:ascii="Arial" w:hAnsi="Arial" w:cs="Arial"/>
          <w:sz w:val="22"/>
          <w:szCs w:val="22"/>
        </w:rPr>
      </w:pPr>
    </w:p>
    <w:sectPr w:rsidR="006B126E" w:rsidRPr="006B126E" w:rsidSect="009344C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0E71B" w14:textId="77777777" w:rsidR="005723FA" w:rsidRDefault="005723FA" w:rsidP="009344C0">
      <w:pPr>
        <w:spacing w:after="0" w:line="240" w:lineRule="auto"/>
      </w:pPr>
      <w:r>
        <w:separator/>
      </w:r>
    </w:p>
  </w:endnote>
  <w:endnote w:type="continuationSeparator" w:id="0">
    <w:p w14:paraId="1523E5BB" w14:textId="77777777" w:rsidR="005723FA" w:rsidRDefault="005723FA" w:rsidP="009344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888389"/>
      <w:docPartObj>
        <w:docPartGallery w:val="Page Numbers (Bottom of Page)"/>
        <w:docPartUnique/>
      </w:docPartObj>
    </w:sdtPr>
    <w:sdtContent>
      <w:p w14:paraId="449977E8" w14:textId="7EC3D096" w:rsidR="009344C0" w:rsidRDefault="009344C0">
        <w:pPr>
          <w:pStyle w:val="Footer"/>
          <w:jc w:val="right"/>
        </w:pPr>
        <w:r>
          <w:fldChar w:fldCharType="begin"/>
        </w:r>
        <w:r>
          <w:instrText>PAGE   \* MERGEFORMAT</w:instrText>
        </w:r>
        <w:r>
          <w:fldChar w:fldCharType="separate"/>
        </w:r>
        <w:r>
          <w:t>2</w:t>
        </w:r>
        <w:r>
          <w:fldChar w:fldCharType="end"/>
        </w:r>
      </w:p>
    </w:sdtContent>
  </w:sdt>
  <w:p w14:paraId="4E0558E8" w14:textId="77777777" w:rsidR="009344C0" w:rsidRDefault="00934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CD4DF" w14:textId="77777777" w:rsidR="005723FA" w:rsidRDefault="005723FA" w:rsidP="009344C0">
      <w:pPr>
        <w:spacing w:after="0" w:line="240" w:lineRule="auto"/>
      </w:pPr>
      <w:r>
        <w:separator/>
      </w:r>
    </w:p>
  </w:footnote>
  <w:footnote w:type="continuationSeparator" w:id="0">
    <w:p w14:paraId="6FBEC836" w14:textId="77777777" w:rsidR="005723FA" w:rsidRDefault="005723FA" w:rsidP="009344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D55"/>
    <w:rsid w:val="00002B53"/>
    <w:rsid w:val="00012C65"/>
    <w:rsid w:val="0008203B"/>
    <w:rsid w:val="000A4486"/>
    <w:rsid w:val="001774C5"/>
    <w:rsid w:val="001F0696"/>
    <w:rsid w:val="00302F88"/>
    <w:rsid w:val="00331903"/>
    <w:rsid w:val="00421142"/>
    <w:rsid w:val="004C38A8"/>
    <w:rsid w:val="004E09B9"/>
    <w:rsid w:val="00504B3F"/>
    <w:rsid w:val="005250DC"/>
    <w:rsid w:val="005452D5"/>
    <w:rsid w:val="00552D66"/>
    <w:rsid w:val="005723FA"/>
    <w:rsid w:val="006843E5"/>
    <w:rsid w:val="006B126E"/>
    <w:rsid w:val="007D6E43"/>
    <w:rsid w:val="007F019B"/>
    <w:rsid w:val="00817A7F"/>
    <w:rsid w:val="0085018F"/>
    <w:rsid w:val="0088521D"/>
    <w:rsid w:val="008E12F9"/>
    <w:rsid w:val="009344C0"/>
    <w:rsid w:val="009B0E7C"/>
    <w:rsid w:val="009C6073"/>
    <w:rsid w:val="00A22AC8"/>
    <w:rsid w:val="00A47BEC"/>
    <w:rsid w:val="00AB0EDC"/>
    <w:rsid w:val="00C042B3"/>
    <w:rsid w:val="00C92FC0"/>
    <w:rsid w:val="00CE798D"/>
    <w:rsid w:val="00D2526A"/>
    <w:rsid w:val="00D8298E"/>
    <w:rsid w:val="00DA5EDF"/>
    <w:rsid w:val="00E94070"/>
    <w:rsid w:val="00EB09AC"/>
    <w:rsid w:val="00EB443B"/>
    <w:rsid w:val="00EB7780"/>
    <w:rsid w:val="00F945C5"/>
    <w:rsid w:val="00FB6D55"/>
    <w:rsid w:val="00FF7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8EF458"/>
  <w15:chartTrackingRefBased/>
  <w15:docId w15:val="{5E69CA8B-7DAF-41F1-B9C8-AEC11C691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D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D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D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D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D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D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D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D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D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D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D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D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D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D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D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D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D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D55"/>
    <w:rPr>
      <w:rFonts w:eastAsiaTheme="majorEastAsia" w:cstheme="majorBidi"/>
      <w:color w:val="272727" w:themeColor="text1" w:themeTint="D8"/>
    </w:rPr>
  </w:style>
  <w:style w:type="paragraph" w:styleId="Title">
    <w:name w:val="Title"/>
    <w:basedOn w:val="Normal"/>
    <w:next w:val="Normal"/>
    <w:link w:val="TitleChar"/>
    <w:uiPriority w:val="10"/>
    <w:qFormat/>
    <w:rsid w:val="00FB6D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D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D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D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D55"/>
    <w:pPr>
      <w:spacing w:before="160"/>
      <w:jc w:val="center"/>
    </w:pPr>
    <w:rPr>
      <w:i/>
      <w:iCs/>
      <w:color w:val="404040" w:themeColor="text1" w:themeTint="BF"/>
    </w:rPr>
  </w:style>
  <w:style w:type="character" w:customStyle="1" w:styleId="QuoteChar">
    <w:name w:val="Quote Char"/>
    <w:basedOn w:val="DefaultParagraphFont"/>
    <w:link w:val="Quote"/>
    <w:uiPriority w:val="29"/>
    <w:rsid w:val="00FB6D55"/>
    <w:rPr>
      <w:i/>
      <w:iCs/>
      <w:color w:val="404040" w:themeColor="text1" w:themeTint="BF"/>
    </w:rPr>
  </w:style>
  <w:style w:type="paragraph" w:styleId="ListParagraph">
    <w:name w:val="List Paragraph"/>
    <w:basedOn w:val="Normal"/>
    <w:uiPriority w:val="34"/>
    <w:qFormat/>
    <w:rsid w:val="00FB6D55"/>
    <w:pPr>
      <w:ind w:left="720"/>
      <w:contextualSpacing/>
    </w:pPr>
  </w:style>
  <w:style w:type="character" w:styleId="IntenseEmphasis">
    <w:name w:val="Intense Emphasis"/>
    <w:basedOn w:val="DefaultParagraphFont"/>
    <w:uiPriority w:val="21"/>
    <w:qFormat/>
    <w:rsid w:val="00FB6D55"/>
    <w:rPr>
      <w:i/>
      <w:iCs/>
      <w:color w:val="0F4761" w:themeColor="accent1" w:themeShade="BF"/>
    </w:rPr>
  </w:style>
  <w:style w:type="paragraph" w:styleId="IntenseQuote">
    <w:name w:val="Intense Quote"/>
    <w:basedOn w:val="Normal"/>
    <w:next w:val="Normal"/>
    <w:link w:val="IntenseQuoteChar"/>
    <w:uiPriority w:val="30"/>
    <w:qFormat/>
    <w:rsid w:val="00FB6D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D55"/>
    <w:rPr>
      <w:i/>
      <w:iCs/>
      <w:color w:val="0F4761" w:themeColor="accent1" w:themeShade="BF"/>
    </w:rPr>
  </w:style>
  <w:style w:type="character" w:styleId="IntenseReference">
    <w:name w:val="Intense Reference"/>
    <w:basedOn w:val="DefaultParagraphFont"/>
    <w:uiPriority w:val="32"/>
    <w:qFormat/>
    <w:rsid w:val="00FB6D55"/>
    <w:rPr>
      <w:b/>
      <w:bCs/>
      <w:smallCaps/>
      <w:color w:val="0F4761" w:themeColor="accent1" w:themeShade="BF"/>
      <w:spacing w:val="5"/>
    </w:rPr>
  </w:style>
  <w:style w:type="paragraph" w:styleId="Header">
    <w:name w:val="header"/>
    <w:basedOn w:val="Normal"/>
    <w:link w:val="HeaderChar"/>
    <w:uiPriority w:val="99"/>
    <w:unhideWhenUsed/>
    <w:rsid w:val="009344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4C0"/>
  </w:style>
  <w:style w:type="paragraph" w:styleId="Footer">
    <w:name w:val="footer"/>
    <w:basedOn w:val="Normal"/>
    <w:link w:val="FooterChar"/>
    <w:uiPriority w:val="99"/>
    <w:unhideWhenUsed/>
    <w:rsid w:val="009344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4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14</Pages>
  <Words>3472</Words>
  <Characters>22052</Characters>
  <Application>Microsoft Office Word</Application>
  <DocSecurity>0</DocSecurity>
  <Lines>373</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Taiwo-Badejo | Age UK Bristol</dc:creator>
  <cp:keywords/>
  <dc:description/>
  <cp:lastModifiedBy>Abosede Taiwo-Badejo | Age UK Bristol</cp:lastModifiedBy>
  <cp:revision>32</cp:revision>
  <dcterms:created xsi:type="dcterms:W3CDTF">2025-11-14T23:59:00Z</dcterms:created>
  <dcterms:modified xsi:type="dcterms:W3CDTF">2025-11-15T02:04:00Z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ae34d5d6-c1b4-4b8a-b284-1e8a43c43163</vt:lpwstr>
  </property>
</Properties>
</file>