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7167D" w14:textId="5037CAD6" w:rsidR="00022E07" w:rsidRDefault="00761066" w:rsidP="00E21119">
      <w:pPr>
        <w:rPr>
          <w:b/>
          <w:bCs/>
        </w:rPr>
      </w:pPr>
      <w:r w:rsidRPr="005055D8">
        <w:rPr>
          <w:rFonts w:ascii="Aptos" w:hAnsi="Aptos"/>
          <w:b/>
          <w:noProof/>
        </w:rPr>
        <w:drawing>
          <wp:inline distT="0" distB="0" distL="0" distR="0" wp14:anchorId="076D563D" wp14:editId="08921FE8">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462494E5" w14:textId="77777777" w:rsidR="00022E07" w:rsidRDefault="00022E07" w:rsidP="00E21119">
      <w:pPr>
        <w:rPr>
          <w:b/>
          <w:bCs/>
        </w:rPr>
      </w:pPr>
    </w:p>
    <w:p w14:paraId="4B96549E" w14:textId="217DE529" w:rsidR="00761066" w:rsidRDefault="00761066" w:rsidP="00A001A2">
      <w:pPr>
        <w:jc w:val="center"/>
        <w:rPr>
          <w:b/>
          <w:bCs/>
        </w:rPr>
      </w:pPr>
      <w:bookmarkStart w:id="0" w:name="_Toc225113342"/>
      <w:r w:rsidRPr="005055D8">
        <w:t>Applied Leadership and Management in the Workplace</w:t>
      </w:r>
      <w:r w:rsidRPr="005055D8">
        <w:br/>
        <w:t>Module Assignment Submission</w:t>
      </w:r>
      <w:bookmarkEnd w:id="0"/>
    </w:p>
    <w:tbl>
      <w:tblPr>
        <w:tblpPr w:leftFromText="180" w:rightFromText="180" w:vertAnchor="page" w:horzAnchor="margin" w:tblpY="4382"/>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001A2" w:rsidRPr="005055D8" w14:paraId="6AF555E5" w14:textId="77777777" w:rsidTr="00A001A2">
        <w:tc>
          <w:tcPr>
            <w:tcW w:w="3438" w:type="dxa"/>
            <w:shd w:val="clear" w:color="auto" w:fill="D9D9D9"/>
          </w:tcPr>
          <w:p w14:paraId="1925A0D1"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Student Name:</w:t>
            </w:r>
          </w:p>
        </w:tc>
        <w:tc>
          <w:tcPr>
            <w:tcW w:w="6055" w:type="dxa"/>
          </w:tcPr>
          <w:p w14:paraId="539735BC"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Naphtali Ojala</w:t>
            </w:r>
          </w:p>
        </w:tc>
      </w:tr>
      <w:tr w:rsidR="00A001A2" w:rsidRPr="005055D8" w14:paraId="5C208F19" w14:textId="77777777" w:rsidTr="00A001A2">
        <w:tc>
          <w:tcPr>
            <w:tcW w:w="3438" w:type="dxa"/>
            <w:shd w:val="clear" w:color="auto" w:fill="D9D9D9"/>
          </w:tcPr>
          <w:p w14:paraId="60ED21E8"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Student Number:</w:t>
            </w:r>
          </w:p>
        </w:tc>
        <w:tc>
          <w:tcPr>
            <w:tcW w:w="6055" w:type="dxa"/>
          </w:tcPr>
          <w:p w14:paraId="043ABAE5"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2431554</w:t>
            </w:r>
          </w:p>
        </w:tc>
      </w:tr>
      <w:tr w:rsidR="00A001A2" w:rsidRPr="005055D8" w14:paraId="7E5B2075" w14:textId="77777777" w:rsidTr="00A001A2">
        <w:tc>
          <w:tcPr>
            <w:tcW w:w="3438" w:type="dxa"/>
            <w:shd w:val="clear" w:color="auto" w:fill="D9D9D9"/>
          </w:tcPr>
          <w:p w14:paraId="681E9CDA"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Module No:</w:t>
            </w:r>
          </w:p>
        </w:tc>
        <w:tc>
          <w:tcPr>
            <w:tcW w:w="6055" w:type="dxa"/>
          </w:tcPr>
          <w:p w14:paraId="7974512D"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BMSK</w:t>
            </w:r>
            <w:r>
              <w:rPr>
                <w:rFonts w:ascii="Aptos" w:eastAsia="Tahoma" w:hAnsi="Aptos" w:cs="Tahoma"/>
              </w:rPr>
              <w:t>5</w:t>
            </w:r>
            <w:r w:rsidRPr="005055D8">
              <w:rPr>
                <w:rFonts w:ascii="Aptos" w:eastAsia="Tahoma" w:hAnsi="Aptos" w:cs="Tahoma"/>
              </w:rPr>
              <w:t>011</w:t>
            </w:r>
          </w:p>
        </w:tc>
      </w:tr>
      <w:tr w:rsidR="00A001A2" w:rsidRPr="005055D8" w14:paraId="0F5D291C" w14:textId="77777777" w:rsidTr="00A001A2">
        <w:trPr>
          <w:trHeight w:val="413"/>
        </w:trPr>
        <w:tc>
          <w:tcPr>
            <w:tcW w:w="3438" w:type="dxa"/>
            <w:shd w:val="clear" w:color="auto" w:fill="D9D9D9"/>
          </w:tcPr>
          <w:p w14:paraId="08F9251D"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Module Title:</w:t>
            </w:r>
          </w:p>
        </w:tc>
        <w:tc>
          <w:tcPr>
            <w:tcW w:w="6055" w:type="dxa"/>
          </w:tcPr>
          <w:p w14:paraId="59117FB5" w14:textId="77777777" w:rsidR="00A001A2" w:rsidRPr="001F154F" w:rsidRDefault="00A001A2" w:rsidP="00A001A2">
            <w:pPr>
              <w:spacing w:before="120" w:after="120" w:line="360" w:lineRule="auto"/>
              <w:rPr>
                <w:rFonts w:ascii="Aptos" w:eastAsia="Tahoma" w:hAnsi="Aptos" w:cs="Tahoma"/>
              </w:rPr>
            </w:pPr>
            <w:r w:rsidRPr="001F154F">
              <w:rPr>
                <w:rFonts w:ascii="Aptos" w:eastAsia="Tahoma" w:hAnsi="Aptos" w:cs="Tahoma"/>
              </w:rPr>
              <w:t>Developing Workplace Critical Thinking</w:t>
            </w:r>
          </w:p>
        </w:tc>
      </w:tr>
      <w:tr w:rsidR="00A001A2" w:rsidRPr="005055D8" w14:paraId="3965DC6E" w14:textId="77777777" w:rsidTr="00A001A2">
        <w:trPr>
          <w:trHeight w:val="413"/>
        </w:trPr>
        <w:tc>
          <w:tcPr>
            <w:tcW w:w="3438" w:type="dxa"/>
            <w:shd w:val="clear" w:color="auto" w:fill="D9D9D9"/>
          </w:tcPr>
          <w:p w14:paraId="03FECF4C" w14:textId="45B136DC" w:rsidR="00A001A2" w:rsidRPr="005055D8" w:rsidRDefault="00867E31" w:rsidP="00A001A2">
            <w:pPr>
              <w:spacing w:before="120" w:after="120" w:line="360" w:lineRule="auto"/>
              <w:rPr>
                <w:rFonts w:ascii="Aptos" w:eastAsia="Tahoma" w:hAnsi="Aptos" w:cs="Tahoma"/>
              </w:rPr>
            </w:pPr>
            <w:r>
              <w:rPr>
                <w:rFonts w:ascii="Aptos" w:eastAsia="Tahoma" w:hAnsi="Aptos" w:cs="Tahoma"/>
              </w:rPr>
              <w:t>Report Title</w:t>
            </w:r>
            <w:r w:rsidR="00A001A2">
              <w:rPr>
                <w:rFonts w:ascii="Aptos" w:eastAsia="Tahoma" w:hAnsi="Aptos" w:cs="Tahoma"/>
              </w:rPr>
              <w:t>:</w:t>
            </w:r>
          </w:p>
        </w:tc>
        <w:tc>
          <w:tcPr>
            <w:tcW w:w="6055" w:type="dxa"/>
          </w:tcPr>
          <w:p w14:paraId="61634BF5" w14:textId="77777777" w:rsidR="00A001A2" w:rsidRPr="00B458A1" w:rsidRDefault="00A001A2" w:rsidP="00A001A2">
            <w:r w:rsidRPr="00B458A1">
              <w:t>Beliefs, Attitudes and Values as Drivers of Workplace Behaviour in HMRC Compliance Casework</w:t>
            </w:r>
          </w:p>
        </w:tc>
      </w:tr>
      <w:tr w:rsidR="00A001A2" w:rsidRPr="005055D8" w14:paraId="18A7ACE3" w14:textId="77777777" w:rsidTr="00A001A2">
        <w:trPr>
          <w:trHeight w:val="413"/>
        </w:trPr>
        <w:tc>
          <w:tcPr>
            <w:tcW w:w="3438" w:type="dxa"/>
            <w:shd w:val="clear" w:color="auto" w:fill="D9D9D9"/>
          </w:tcPr>
          <w:p w14:paraId="13C64D6B"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Lecturer:</w:t>
            </w:r>
          </w:p>
        </w:tc>
        <w:tc>
          <w:tcPr>
            <w:tcW w:w="6055" w:type="dxa"/>
          </w:tcPr>
          <w:p w14:paraId="3994B31A" w14:textId="77777777" w:rsidR="00A001A2" w:rsidRPr="005055D8" w:rsidRDefault="00A001A2" w:rsidP="00A001A2">
            <w:pPr>
              <w:spacing w:before="120" w:after="120" w:line="360" w:lineRule="auto"/>
              <w:rPr>
                <w:rFonts w:ascii="Aptos" w:eastAsia="Tahoma" w:hAnsi="Aptos" w:cs="Tahoma"/>
              </w:rPr>
            </w:pPr>
            <w:r>
              <w:rPr>
                <w:rFonts w:ascii="Aptos" w:eastAsia="Tahoma" w:hAnsi="Aptos" w:cs="Tahoma"/>
              </w:rPr>
              <w:t>Paul Tinkler</w:t>
            </w:r>
          </w:p>
        </w:tc>
      </w:tr>
      <w:tr w:rsidR="00A001A2" w:rsidRPr="005055D8" w14:paraId="6079EE70" w14:textId="77777777" w:rsidTr="00A001A2">
        <w:trPr>
          <w:trHeight w:val="413"/>
        </w:trPr>
        <w:tc>
          <w:tcPr>
            <w:tcW w:w="3438" w:type="dxa"/>
            <w:shd w:val="clear" w:color="auto" w:fill="D9D9D9"/>
          </w:tcPr>
          <w:p w14:paraId="73A03C08"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Word Count:</w:t>
            </w:r>
          </w:p>
        </w:tc>
        <w:tc>
          <w:tcPr>
            <w:tcW w:w="6055" w:type="dxa"/>
          </w:tcPr>
          <w:p w14:paraId="652BE841" w14:textId="3981A694" w:rsidR="00A001A2" w:rsidRPr="005055D8" w:rsidRDefault="00A001A2" w:rsidP="00A001A2">
            <w:pPr>
              <w:spacing w:before="120" w:after="120" w:line="360" w:lineRule="auto"/>
              <w:rPr>
                <w:rFonts w:ascii="Aptos" w:eastAsia="Tahoma" w:hAnsi="Aptos" w:cs="Tahoma"/>
              </w:rPr>
            </w:pPr>
            <w:r>
              <w:rPr>
                <w:rFonts w:ascii="Aptos" w:eastAsia="Tahoma" w:hAnsi="Aptos" w:cs="Tahoma"/>
              </w:rPr>
              <w:t>4,2</w:t>
            </w:r>
            <w:r w:rsidR="00A47E00">
              <w:rPr>
                <w:rFonts w:ascii="Aptos" w:eastAsia="Tahoma" w:hAnsi="Aptos" w:cs="Tahoma"/>
              </w:rPr>
              <w:t>95</w:t>
            </w:r>
          </w:p>
        </w:tc>
      </w:tr>
      <w:tr w:rsidR="00A001A2" w:rsidRPr="005055D8" w14:paraId="1F5BE16C" w14:textId="77777777" w:rsidTr="00A001A2">
        <w:trPr>
          <w:trHeight w:val="413"/>
        </w:trPr>
        <w:tc>
          <w:tcPr>
            <w:tcW w:w="3438" w:type="dxa"/>
            <w:shd w:val="clear" w:color="auto" w:fill="D9D9D9"/>
          </w:tcPr>
          <w:p w14:paraId="40BD1CF3"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Submission Date:</w:t>
            </w:r>
          </w:p>
        </w:tc>
        <w:tc>
          <w:tcPr>
            <w:tcW w:w="6055" w:type="dxa"/>
          </w:tcPr>
          <w:p w14:paraId="320C5D16" w14:textId="77777777" w:rsidR="00A001A2" w:rsidRPr="005055D8" w:rsidRDefault="00A001A2" w:rsidP="00A001A2">
            <w:pPr>
              <w:spacing w:before="120" w:after="120" w:line="360" w:lineRule="auto"/>
              <w:rPr>
                <w:rFonts w:ascii="Aptos" w:eastAsia="Tahoma" w:hAnsi="Aptos" w:cs="Tahoma"/>
              </w:rPr>
            </w:pPr>
            <w:r w:rsidRPr="005055D8">
              <w:rPr>
                <w:rFonts w:ascii="Aptos" w:eastAsia="Tahoma" w:hAnsi="Aptos" w:cs="Tahoma"/>
              </w:rPr>
              <w:t>2</w:t>
            </w:r>
            <w:r>
              <w:rPr>
                <w:rFonts w:ascii="Aptos" w:eastAsia="Tahoma" w:hAnsi="Aptos" w:cs="Tahoma"/>
              </w:rPr>
              <w:t>2</w:t>
            </w:r>
            <w:r w:rsidRPr="005055D8">
              <w:rPr>
                <w:rFonts w:ascii="Aptos" w:eastAsia="Tahoma" w:hAnsi="Aptos" w:cs="Tahoma"/>
              </w:rPr>
              <w:t>/</w:t>
            </w:r>
            <w:r>
              <w:rPr>
                <w:rFonts w:ascii="Aptos" w:eastAsia="Tahoma" w:hAnsi="Aptos" w:cs="Tahoma"/>
              </w:rPr>
              <w:t>03</w:t>
            </w:r>
            <w:r w:rsidRPr="005055D8">
              <w:rPr>
                <w:rFonts w:ascii="Aptos" w:eastAsia="Tahoma" w:hAnsi="Aptos" w:cs="Tahoma"/>
              </w:rPr>
              <w:t>/202</w:t>
            </w:r>
            <w:r>
              <w:rPr>
                <w:rFonts w:ascii="Aptos" w:eastAsia="Tahoma" w:hAnsi="Aptos" w:cs="Tahoma"/>
              </w:rPr>
              <w:t>6</w:t>
            </w:r>
          </w:p>
        </w:tc>
      </w:tr>
    </w:tbl>
    <w:p w14:paraId="6BBE1C26" w14:textId="77777777" w:rsidR="00761066" w:rsidRDefault="00761066" w:rsidP="00E21119">
      <w:pPr>
        <w:rPr>
          <w:b/>
          <w:bCs/>
        </w:rPr>
      </w:pPr>
    </w:p>
    <w:p w14:paraId="130548B0" w14:textId="77777777" w:rsidR="00A001A2" w:rsidRDefault="00A001A2" w:rsidP="00E21119">
      <w:pPr>
        <w:rPr>
          <w:b/>
          <w:bCs/>
        </w:rPr>
      </w:pPr>
    </w:p>
    <w:p w14:paraId="75D462B4" w14:textId="77777777" w:rsidR="004A10FF" w:rsidRPr="004A10FF" w:rsidRDefault="004A10FF" w:rsidP="004A10FF">
      <w:pPr>
        <w:spacing w:after="0" w:line="360" w:lineRule="auto"/>
        <w:rPr>
          <w:rFonts w:ascii="Aptos" w:eastAsia="Tahoma" w:hAnsi="Aptos" w:cs="Tahoma"/>
          <w:b/>
          <w:sz w:val="22"/>
          <w:szCs w:val="22"/>
        </w:rPr>
      </w:pPr>
      <w:r w:rsidRPr="004A10FF">
        <w:rPr>
          <w:rFonts w:ascii="Aptos" w:eastAsia="Tahoma" w:hAnsi="Aptos" w:cs="Tahoma"/>
          <w:b/>
          <w:sz w:val="22"/>
          <w:szCs w:val="22"/>
        </w:rPr>
        <w:t>Statement of Confirmation of Authenticity</w:t>
      </w:r>
    </w:p>
    <w:p w14:paraId="6FDB86A1" w14:textId="77777777" w:rsidR="004A10FF" w:rsidRPr="004A10FF" w:rsidRDefault="004A10FF" w:rsidP="00263114">
      <w:pPr>
        <w:spacing w:after="0" w:line="360" w:lineRule="auto"/>
        <w:jc w:val="both"/>
        <w:rPr>
          <w:rFonts w:ascii="Aptos" w:eastAsia="Tahoma" w:hAnsi="Aptos" w:cs="Tahoma"/>
          <w:sz w:val="22"/>
          <w:szCs w:val="22"/>
        </w:rPr>
      </w:pPr>
      <w:r w:rsidRPr="004A10FF">
        <w:rPr>
          <w:rFonts w:ascii="Aptos" w:eastAsia="Tahoma" w:hAnsi="Aptos" w:cs="Tahoma"/>
          <w:sz w:val="22"/>
          <w:szCs w:val="22"/>
        </w:rPr>
        <w:t>I, Naphtali Ojala, declare by the act of making this submission, that this is my own work.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I acknowledge that an assessment offence has been committed.</w:t>
      </w:r>
    </w:p>
    <w:p w14:paraId="53C8B66A" w14:textId="77777777" w:rsidR="004A10FF" w:rsidRPr="004A10FF" w:rsidRDefault="004A10FF" w:rsidP="00263114">
      <w:pPr>
        <w:spacing w:after="0" w:line="360" w:lineRule="auto"/>
        <w:jc w:val="both"/>
        <w:rPr>
          <w:rFonts w:ascii="Aptos" w:eastAsia="Tahoma" w:hAnsi="Aptos" w:cs="Tahoma"/>
          <w:sz w:val="22"/>
          <w:szCs w:val="22"/>
        </w:rPr>
      </w:pPr>
      <w:r w:rsidRPr="004A10FF">
        <w:rPr>
          <w:rFonts w:ascii="Aptos" w:eastAsia="Tahoma" w:hAnsi="Aptos" w:cs="Tahoma"/>
          <w:sz w:val="22"/>
          <w:szCs w:val="22"/>
        </w:rPr>
        <w:t>Attention is drawn to the plagiarism and unfair practice policies of both the University and of ILM.</w:t>
      </w:r>
    </w:p>
    <w:p w14:paraId="397BCEBE" w14:textId="68AC5EFD" w:rsidR="001A3A7E" w:rsidRDefault="001A3A7E" w:rsidP="00263114">
      <w:pPr>
        <w:jc w:val="both"/>
        <w:rPr>
          <w:b/>
          <w:bCs/>
        </w:rPr>
        <w:sectPr w:rsidR="001A3A7E" w:rsidSect="001A3A7E">
          <w:footerReference w:type="default" r:id="rId8"/>
          <w:pgSz w:w="11906" w:h="16838"/>
          <w:pgMar w:top="1440" w:right="1440" w:bottom="1440" w:left="1440" w:header="708" w:footer="708" w:gutter="0"/>
          <w:pgNumType w:start="1"/>
          <w:cols w:space="708"/>
          <w:titlePg/>
          <w:docGrid w:linePitch="360"/>
        </w:sectPr>
      </w:pPr>
    </w:p>
    <w:sdt>
      <w:sdtPr>
        <w:rPr>
          <w:rFonts w:asciiTheme="minorHAnsi" w:eastAsiaTheme="minorHAnsi" w:hAnsiTheme="minorHAnsi" w:cstheme="minorBidi"/>
          <w:color w:val="auto"/>
          <w:kern w:val="2"/>
          <w:sz w:val="24"/>
          <w:szCs w:val="24"/>
          <w:lang w:val="en-GB"/>
          <w14:ligatures w14:val="standardContextual"/>
        </w:rPr>
        <w:id w:val="2034311276"/>
        <w:docPartObj>
          <w:docPartGallery w:val="Table of Contents"/>
          <w:docPartUnique/>
        </w:docPartObj>
      </w:sdtPr>
      <w:sdtEndPr>
        <w:rPr>
          <w:b/>
          <w:bCs/>
          <w:noProof/>
        </w:rPr>
      </w:sdtEndPr>
      <w:sdtContent>
        <w:p w14:paraId="2B425504" w14:textId="3B5B6793" w:rsidR="00EB7CDB" w:rsidRPr="007541C2" w:rsidRDefault="00EB7CDB">
          <w:pPr>
            <w:pStyle w:val="TOCHeading"/>
            <w:rPr>
              <w:rStyle w:val="Heading1Char"/>
            </w:rPr>
          </w:pPr>
          <w:r w:rsidRPr="007541C2">
            <w:rPr>
              <w:rStyle w:val="Heading1Char"/>
            </w:rPr>
            <w:t>Table of Contents</w:t>
          </w:r>
        </w:p>
        <w:p w14:paraId="3E67E78F" w14:textId="09BE1C30" w:rsidR="00A84556" w:rsidRDefault="00EB7C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114897" w:history="1">
            <w:r w:rsidR="00A84556" w:rsidRPr="00313ECF">
              <w:rPr>
                <w:rStyle w:val="Hyperlink"/>
                <w:noProof/>
              </w:rPr>
              <w:t>Introduction</w:t>
            </w:r>
            <w:r w:rsidR="00A84556">
              <w:rPr>
                <w:noProof/>
                <w:webHidden/>
              </w:rPr>
              <w:tab/>
            </w:r>
            <w:r w:rsidR="00A84556">
              <w:rPr>
                <w:noProof/>
                <w:webHidden/>
              </w:rPr>
              <w:fldChar w:fldCharType="begin"/>
            </w:r>
            <w:r w:rsidR="00A84556">
              <w:rPr>
                <w:noProof/>
                <w:webHidden/>
              </w:rPr>
              <w:instrText xml:space="preserve"> PAGEREF _Toc225114897 \h </w:instrText>
            </w:r>
            <w:r w:rsidR="00A84556">
              <w:rPr>
                <w:noProof/>
                <w:webHidden/>
              </w:rPr>
            </w:r>
            <w:r w:rsidR="00A84556">
              <w:rPr>
                <w:noProof/>
                <w:webHidden/>
              </w:rPr>
              <w:fldChar w:fldCharType="separate"/>
            </w:r>
            <w:r w:rsidR="00A84556">
              <w:rPr>
                <w:noProof/>
                <w:webHidden/>
              </w:rPr>
              <w:t>1</w:t>
            </w:r>
            <w:r w:rsidR="00A84556">
              <w:rPr>
                <w:noProof/>
                <w:webHidden/>
              </w:rPr>
              <w:fldChar w:fldCharType="end"/>
            </w:r>
          </w:hyperlink>
        </w:p>
        <w:p w14:paraId="332B357D" w14:textId="4BDB1F8A" w:rsidR="00A84556" w:rsidRDefault="00A84556">
          <w:pPr>
            <w:pStyle w:val="TOC1"/>
            <w:tabs>
              <w:tab w:val="right" w:leader="dot" w:pos="9016"/>
            </w:tabs>
            <w:rPr>
              <w:rFonts w:eastAsiaTheme="minorEastAsia"/>
              <w:noProof/>
              <w:lang w:eastAsia="en-GB"/>
            </w:rPr>
          </w:pPr>
          <w:hyperlink w:anchor="_Toc225114898" w:history="1">
            <w:r w:rsidRPr="00313ECF">
              <w:rPr>
                <w:rStyle w:val="Hyperlink"/>
                <w:noProof/>
              </w:rPr>
              <w:t>1. Conceptualising Beliefs, Attitudes and Values in the Workplace</w:t>
            </w:r>
            <w:r>
              <w:rPr>
                <w:noProof/>
                <w:webHidden/>
              </w:rPr>
              <w:tab/>
            </w:r>
            <w:r>
              <w:rPr>
                <w:noProof/>
                <w:webHidden/>
              </w:rPr>
              <w:fldChar w:fldCharType="begin"/>
            </w:r>
            <w:r>
              <w:rPr>
                <w:noProof/>
                <w:webHidden/>
              </w:rPr>
              <w:instrText xml:space="preserve"> PAGEREF _Toc225114898 \h </w:instrText>
            </w:r>
            <w:r>
              <w:rPr>
                <w:noProof/>
                <w:webHidden/>
              </w:rPr>
            </w:r>
            <w:r>
              <w:rPr>
                <w:noProof/>
                <w:webHidden/>
              </w:rPr>
              <w:fldChar w:fldCharType="separate"/>
            </w:r>
            <w:r>
              <w:rPr>
                <w:noProof/>
                <w:webHidden/>
              </w:rPr>
              <w:t>2</w:t>
            </w:r>
            <w:r>
              <w:rPr>
                <w:noProof/>
                <w:webHidden/>
              </w:rPr>
              <w:fldChar w:fldCharType="end"/>
            </w:r>
          </w:hyperlink>
        </w:p>
        <w:p w14:paraId="1BAFBC67" w14:textId="66DCBE2E" w:rsidR="00A84556" w:rsidRDefault="00A84556">
          <w:pPr>
            <w:pStyle w:val="TOC1"/>
            <w:tabs>
              <w:tab w:val="right" w:leader="dot" w:pos="9016"/>
            </w:tabs>
            <w:rPr>
              <w:rFonts w:eastAsiaTheme="minorEastAsia"/>
              <w:noProof/>
              <w:lang w:eastAsia="en-GB"/>
            </w:rPr>
          </w:pPr>
          <w:hyperlink w:anchor="_Toc225114899" w:history="1">
            <w:r w:rsidRPr="00313ECF">
              <w:rPr>
                <w:rStyle w:val="Hyperlink"/>
                <w:noProof/>
              </w:rPr>
              <w:t>2. Critical Assessment of My Beliefs, Attitudes and Values in HMRC Compliance Casework</w:t>
            </w:r>
            <w:r>
              <w:rPr>
                <w:noProof/>
                <w:webHidden/>
              </w:rPr>
              <w:tab/>
            </w:r>
            <w:r>
              <w:rPr>
                <w:noProof/>
                <w:webHidden/>
              </w:rPr>
              <w:fldChar w:fldCharType="begin"/>
            </w:r>
            <w:r>
              <w:rPr>
                <w:noProof/>
                <w:webHidden/>
              </w:rPr>
              <w:instrText xml:space="preserve"> PAGEREF _Toc225114899 \h </w:instrText>
            </w:r>
            <w:r>
              <w:rPr>
                <w:noProof/>
                <w:webHidden/>
              </w:rPr>
            </w:r>
            <w:r>
              <w:rPr>
                <w:noProof/>
                <w:webHidden/>
              </w:rPr>
              <w:fldChar w:fldCharType="separate"/>
            </w:r>
            <w:r>
              <w:rPr>
                <w:noProof/>
                <w:webHidden/>
              </w:rPr>
              <w:t>3</w:t>
            </w:r>
            <w:r>
              <w:rPr>
                <w:noProof/>
                <w:webHidden/>
              </w:rPr>
              <w:fldChar w:fldCharType="end"/>
            </w:r>
          </w:hyperlink>
        </w:p>
        <w:p w14:paraId="3FDB738A" w14:textId="5D5E23CA" w:rsidR="00A84556" w:rsidRDefault="00A84556">
          <w:pPr>
            <w:pStyle w:val="TOC1"/>
            <w:tabs>
              <w:tab w:val="right" w:leader="dot" w:pos="9016"/>
            </w:tabs>
            <w:rPr>
              <w:rFonts w:eastAsiaTheme="minorEastAsia"/>
              <w:noProof/>
              <w:lang w:eastAsia="en-GB"/>
            </w:rPr>
          </w:pPr>
          <w:hyperlink w:anchor="_Toc225114900" w:history="1">
            <w:r w:rsidRPr="00313ECF">
              <w:rPr>
                <w:rStyle w:val="Hyperlink"/>
                <w:noProof/>
              </w:rPr>
              <w:t>3. The impact of my beliefs, attitudes and values on my workplace behaviour</w:t>
            </w:r>
            <w:r>
              <w:rPr>
                <w:noProof/>
                <w:webHidden/>
              </w:rPr>
              <w:tab/>
            </w:r>
            <w:r>
              <w:rPr>
                <w:noProof/>
                <w:webHidden/>
              </w:rPr>
              <w:fldChar w:fldCharType="begin"/>
            </w:r>
            <w:r>
              <w:rPr>
                <w:noProof/>
                <w:webHidden/>
              </w:rPr>
              <w:instrText xml:space="preserve"> PAGEREF _Toc225114900 \h </w:instrText>
            </w:r>
            <w:r>
              <w:rPr>
                <w:noProof/>
                <w:webHidden/>
              </w:rPr>
            </w:r>
            <w:r>
              <w:rPr>
                <w:noProof/>
                <w:webHidden/>
              </w:rPr>
              <w:fldChar w:fldCharType="separate"/>
            </w:r>
            <w:r>
              <w:rPr>
                <w:noProof/>
                <w:webHidden/>
              </w:rPr>
              <w:t>5</w:t>
            </w:r>
            <w:r>
              <w:rPr>
                <w:noProof/>
                <w:webHidden/>
              </w:rPr>
              <w:fldChar w:fldCharType="end"/>
            </w:r>
          </w:hyperlink>
        </w:p>
        <w:p w14:paraId="60EC50D8" w14:textId="4E75BF38" w:rsidR="00A84556" w:rsidRDefault="00A84556">
          <w:pPr>
            <w:pStyle w:val="TOC1"/>
            <w:tabs>
              <w:tab w:val="right" w:leader="dot" w:pos="9016"/>
            </w:tabs>
            <w:rPr>
              <w:rFonts w:eastAsiaTheme="minorEastAsia"/>
              <w:noProof/>
              <w:lang w:eastAsia="en-GB"/>
            </w:rPr>
          </w:pPr>
          <w:hyperlink w:anchor="_Toc225114901" w:history="1">
            <w:r w:rsidRPr="00313ECF">
              <w:rPr>
                <w:rStyle w:val="Hyperlink"/>
                <w:noProof/>
              </w:rPr>
              <w:t>4. Contingency Theory and its relevance to the HMRC compliance environment</w:t>
            </w:r>
            <w:r>
              <w:rPr>
                <w:noProof/>
                <w:webHidden/>
              </w:rPr>
              <w:tab/>
            </w:r>
            <w:r>
              <w:rPr>
                <w:noProof/>
                <w:webHidden/>
              </w:rPr>
              <w:fldChar w:fldCharType="begin"/>
            </w:r>
            <w:r>
              <w:rPr>
                <w:noProof/>
                <w:webHidden/>
              </w:rPr>
              <w:instrText xml:space="preserve"> PAGEREF _Toc225114901 \h </w:instrText>
            </w:r>
            <w:r>
              <w:rPr>
                <w:noProof/>
                <w:webHidden/>
              </w:rPr>
            </w:r>
            <w:r>
              <w:rPr>
                <w:noProof/>
                <w:webHidden/>
              </w:rPr>
              <w:fldChar w:fldCharType="separate"/>
            </w:r>
            <w:r>
              <w:rPr>
                <w:noProof/>
                <w:webHidden/>
              </w:rPr>
              <w:t>7</w:t>
            </w:r>
            <w:r>
              <w:rPr>
                <w:noProof/>
                <w:webHidden/>
              </w:rPr>
              <w:fldChar w:fldCharType="end"/>
            </w:r>
          </w:hyperlink>
        </w:p>
        <w:p w14:paraId="64E654E5" w14:textId="24EDBD4C" w:rsidR="00A84556" w:rsidRDefault="00A84556">
          <w:pPr>
            <w:pStyle w:val="TOC1"/>
            <w:tabs>
              <w:tab w:val="right" w:leader="dot" w:pos="9016"/>
            </w:tabs>
            <w:rPr>
              <w:rFonts w:eastAsiaTheme="minorEastAsia"/>
              <w:noProof/>
              <w:lang w:eastAsia="en-GB"/>
            </w:rPr>
          </w:pPr>
          <w:hyperlink w:anchor="_Toc225114902" w:history="1">
            <w:r w:rsidRPr="00313ECF">
              <w:rPr>
                <w:rStyle w:val="Hyperlink"/>
                <w:noProof/>
              </w:rPr>
              <w:t>5. Critical evaluation of the relationship between Contingency Theory and my beliefs, attitudes and values</w:t>
            </w:r>
            <w:r>
              <w:rPr>
                <w:noProof/>
                <w:webHidden/>
              </w:rPr>
              <w:tab/>
            </w:r>
            <w:r>
              <w:rPr>
                <w:noProof/>
                <w:webHidden/>
              </w:rPr>
              <w:fldChar w:fldCharType="begin"/>
            </w:r>
            <w:r>
              <w:rPr>
                <w:noProof/>
                <w:webHidden/>
              </w:rPr>
              <w:instrText xml:space="preserve"> PAGEREF _Toc225114902 \h </w:instrText>
            </w:r>
            <w:r>
              <w:rPr>
                <w:noProof/>
                <w:webHidden/>
              </w:rPr>
            </w:r>
            <w:r>
              <w:rPr>
                <w:noProof/>
                <w:webHidden/>
              </w:rPr>
              <w:fldChar w:fldCharType="separate"/>
            </w:r>
            <w:r>
              <w:rPr>
                <w:noProof/>
                <w:webHidden/>
              </w:rPr>
              <w:t>8</w:t>
            </w:r>
            <w:r>
              <w:rPr>
                <w:noProof/>
                <w:webHidden/>
              </w:rPr>
              <w:fldChar w:fldCharType="end"/>
            </w:r>
          </w:hyperlink>
        </w:p>
        <w:p w14:paraId="7353BAA4" w14:textId="0E780621" w:rsidR="00A84556" w:rsidRDefault="00A84556">
          <w:pPr>
            <w:pStyle w:val="TOC1"/>
            <w:tabs>
              <w:tab w:val="right" w:leader="dot" w:pos="9016"/>
            </w:tabs>
            <w:rPr>
              <w:rFonts w:eastAsiaTheme="minorEastAsia"/>
              <w:noProof/>
              <w:lang w:eastAsia="en-GB"/>
            </w:rPr>
          </w:pPr>
          <w:hyperlink w:anchor="_Toc225114903" w:history="1">
            <w:r w:rsidRPr="00313ECF">
              <w:rPr>
                <w:rStyle w:val="Hyperlink"/>
                <w:noProof/>
              </w:rPr>
              <w:t>Conclusion</w:t>
            </w:r>
            <w:r>
              <w:rPr>
                <w:noProof/>
                <w:webHidden/>
              </w:rPr>
              <w:tab/>
            </w:r>
            <w:r>
              <w:rPr>
                <w:noProof/>
                <w:webHidden/>
              </w:rPr>
              <w:fldChar w:fldCharType="begin"/>
            </w:r>
            <w:r>
              <w:rPr>
                <w:noProof/>
                <w:webHidden/>
              </w:rPr>
              <w:instrText xml:space="preserve"> PAGEREF _Toc225114903 \h </w:instrText>
            </w:r>
            <w:r>
              <w:rPr>
                <w:noProof/>
                <w:webHidden/>
              </w:rPr>
            </w:r>
            <w:r>
              <w:rPr>
                <w:noProof/>
                <w:webHidden/>
              </w:rPr>
              <w:fldChar w:fldCharType="separate"/>
            </w:r>
            <w:r>
              <w:rPr>
                <w:noProof/>
                <w:webHidden/>
              </w:rPr>
              <w:t>10</w:t>
            </w:r>
            <w:r>
              <w:rPr>
                <w:noProof/>
                <w:webHidden/>
              </w:rPr>
              <w:fldChar w:fldCharType="end"/>
            </w:r>
          </w:hyperlink>
        </w:p>
        <w:p w14:paraId="6E2C2388" w14:textId="043430F0" w:rsidR="00A84556" w:rsidRDefault="00A84556">
          <w:pPr>
            <w:pStyle w:val="TOC1"/>
            <w:tabs>
              <w:tab w:val="right" w:leader="dot" w:pos="9016"/>
            </w:tabs>
            <w:rPr>
              <w:rFonts w:eastAsiaTheme="minorEastAsia"/>
              <w:noProof/>
              <w:lang w:eastAsia="en-GB"/>
            </w:rPr>
          </w:pPr>
          <w:hyperlink w:anchor="_Toc225114904" w:history="1">
            <w:r w:rsidRPr="00313ECF">
              <w:rPr>
                <w:rStyle w:val="Hyperlink"/>
                <w:noProof/>
              </w:rPr>
              <w:t>References</w:t>
            </w:r>
            <w:r>
              <w:rPr>
                <w:noProof/>
                <w:webHidden/>
              </w:rPr>
              <w:tab/>
            </w:r>
            <w:r>
              <w:rPr>
                <w:noProof/>
                <w:webHidden/>
              </w:rPr>
              <w:fldChar w:fldCharType="begin"/>
            </w:r>
            <w:r>
              <w:rPr>
                <w:noProof/>
                <w:webHidden/>
              </w:rPr>
              <w:instrText xml:space="preserve"> PAGEREF _Toc225114904 \h </w:instrText>
            </w:r>
            <w:r>
              <w:rPr>
                <w:noProof/>
                <w:webHidden/>
              </w:rPr>
            </w:r>
            <w:r>
              <w:rPr>
                <w:noProof/>
                <w:webHidden/>
              </w:rPr>
              <w:fldChar w:fldCharType="separate"/>
            </w:r>
            <w:r>
              <w:rPr>
                <w:noProof/>
                <w:webHidden/>
              </w:rPr>
              <w:t>11</w:t>
            </w:r>
            <w:r>
              <w:rPr>
                <w:noProof/>
                <w:webHidden/>
              </w:rPr>
              <w:fldChar w:fldCharType="end"/>
            </w:r>
          </w:hyperlink>
        </w:p>
        <w:p w14:paraId="2AC44EC0" w14:textId="2E5BFF49" w:rsidR="00EB7CDB" w:rsidRDefault="00EB7CDB">
          <w:r>
            <w:rPr>
              <w:b/>
              <w:bCs/>
              <w:noProof/>
            </w:rPr>
            <w:fldChar w:fldCharType="end"/>
          </w:r>
        </w:p>
      </w:sdtContent>
    </w:sdt>
    <w:p w14:paraId="37C4F630" w14:textId="77777777" w:rsidR="000159CC" w:rsidRDefault="000159CC" w:rsidP="00263114">
      <w:pPr>
        <w:jc w:val="both"/>
        <w:rPr>
          <w:b/>
          <w:bCs/>
        </w:rPr>
        <w:sectPr w:rsidR="000159CC" w:rsidSect="00A57B57">
          <w:footerReference w:type="default" r:id="rId9"/>
          <w:pgSz w:w="11906" w:h="16838"/>
          <w:pgMar w:top="1440" w:right="1440" w:bottom="1440" w:left="1440" w:header="708" w:footer="708" w:gutter="0"/>
          <w:pgNumType w:start="1"/>
          <w:cols w:space="708"/>
          <w:docGrid w:linePitch="360"/>
        </w:sectPr>
      </w:pPr>
    </w:p>
    <w:p w14:paraId="4A806D12" w14:textId="01126365" w:rsidR="00E21119" w:rsidRPr="00E21119" w:rsidRDefault="00E21119" w:rsidP="00263114">
      <w:pPr>
        <w:pStyle w:val="Heading1"/>
        <w:jc w:val="both"/>
      </w:pPr>
      <w:bookmarkStart w:id="1" w:name="_Toc225113343"/>
      <w:bookmarkStart w:id="2" w:name="_Toc225114897"/>
      <w:r w:rsidRPr="00E21119">
        <w:lastRenderedPageBreak/>
        <w:t>Introduction</w:t>
      </w:r>
      <w:bookmarkEnd w:id="1"/>
      <w:bookmarkEnd w:id="2"/>
    </w:p>
    <w:p w14:paraId="74262953" w14:textId="77777777" w:rsidR="00DC5A17" w:rsidRPr="00DC5A17" w:rsidRDefault="00DC5A17" w:rsidP="00263114">
      <w:pPr>
        <w:jc w:val="both"/>
      </w:pPr>
      <w:r w:rsidRPr="00DC5A17">
        <w:t xml:space="preserve">This report critically evaluates the influence of my beliefs, attitudes and values on my workplace behaviour in HM Revenue and Customs compliance casework. The role requires the review of financial and digital records, the application of legislation and internal guidance, the preparation of accurate case notes, and clear communication with taxpayers and agents. It is therefore a professional setting in which judgement, consistency and accountability are essential. Effective performance depends not only on technical knowledge, but also on how evidence is interpreted, how uncertainty is managed, and how decisions are justified in practice. In this sense, critical thinking is central to workplace effectiveness because it involves disciplined analysis, evaluation and reflection rather than untested assumptions or routine responses (Dewey, 1910; </w:t>
      </w:r>
      <w:proofErr w:type="spellStart"/>
      <w:r w:rsidRPr="00DC5A17">
        <w:t>Facione</w:t>
      </w:r>
      <w:proofErr w:type="spellEnd"/>
      <w:r w:rsidRPr="00DC5A17">
        <w:t>, 1990).</w:t>
      </w:r>
    </w:p>
    <w:p w14:paraId="770C56C6" w14:textId="77777777" w:rsidR="00DC5A17" w:rsidRPr="00DC5A17" w:rsidRDefault="00DC5A17" w:rsidP="00263114">
      <w:pPr>
        <w:jc w:val="both"/>
      </w:pPr>
      <w:r w:rsidRPr="00DC5A17">
        <w:t>Beliefs, attitudes and values are closely related, but they perform different functions in shaping behaviour. Beliefs influence what an individual accepts as true, values shape what they regard as important, and attitudes affect how they respond to people, tasks and situations (Rokeach, 1973; Ajzen, 1991; Schwartz, 1992). In a regulated environment such as HMRC, these internal drivers can strengthen professional judgement by encouraging fairness, care and consistency, but they can also create limitations if they lead to over-caution, inflexibility or unexamined assumptions. For that reason, this report examines both the strengths and the constraints they create in practice (Brookfield, 2012).</w:t>
      </w:r>
    </w:p>
    <w:p w14:paraId="2F69F36D" w14:textId="77777777" w:rsidR="00DC5A17" w:rsidRPr="00DC5A17" w:rsidRDefault="00DC5A17" w:rsidP="00263114">
      <w:pPr>
        <w:jc w:val="both"/>
      </w:pPr>
      <w:r w:rsidRPr="00DC5A17">
        <w:t>My workplace behaviour appears to be shaped by a strong belief in evidence-based judgement, together with values of integrity, fairness, accountability, confidentiality and accuracy. These qualities support careful reasoning and defensible decision-making, but they may also encourage a cautious and highly analytical approach that can slow decisions or reduce flexibility when cases involve ambiguity or competing pressures. To develop this argument, the report first distinguishes beliefs, attitudes and values in a workplace context, then evaluates how they shape my behaviour in HMRC compliance casework. It finally applies Contingency Theory, which argues that effective action depends on situational fit rather than one fixed approach (Fiedler, 1967; Donaldson, 2001). The report argues that while my beliefs, attitudes and values support fairness and professional responsibility, they must be balanced by adaptability and critical self-awareness to remain effective in complex workplace settings.</w:t>
      </w:r>
    </w:p>
    <w:p w14:paraId="19BA9587" w14:textId="77777777" w:rsidR="00A40F98" w:rsidRPr="00A40F98" w:rsidRDefault="00A40F98" w:rsidP="00263114">
      <w:pPr>
        <w:pStyle w:val="Heading1"/>
        <w:jc w:val="both"/>
      </w:pPr>
      <w:bookmarkStart w:id="3" w:name="_Toc225113344"/>
      <w:bookmarkStart w:id="4" w:name="_Toc225114898"/>
      <w:r w:rsidRPr="00A40F98">
        <w:lastRenderedPageBreak/>
        <w:t>1. Conceptualising Beliefs, Attitudes and Values in the Workplace</w:t>
      </w:r>
      <w:bookmarkEnd w:id="3"/>
      <w:bookmarkEnd w:id="4"/>
    </w:p>
    <w:p w14:paraId="75628A8D" w14:textId="0D101FD9" w:rsidR="00024D70" w:rsidRPr="00024D70" w:rsidRDefault="00A40F98" w:rsidP="00024D70">
      <w:pPr>
        <w:jc w:val="both"/>
      </w:pPr>
      <w:r w:rsidRPr="00A40F98">
        <w:t>Beliefs</w:t>
      </w:r>
      <w:r w:rsidR="00024D70" w:rsidRPr="00024D70">
        <w:t>, attitudes and values are closely related, but they should not be treated as interchangeable. In academic and workplace analysis, failing to distinguish them weakens critical evaluation because each influences behaviour in a different way. Beliefs refer to what an individual accepts as true about people, situations or how the world operates. Values are deeper and more enduring principles concerning what is important or desirable. Attitudes are more immediate evaluative tendencies, shaping how a person responds favourably or unfavourably to a task, issue or person (Rokeach, 1973; Ajzen, 1991; Schwartz, 1992). This distinction matters because workplace behaviour is rarely driven by one factor alone. For example, an employee may value fairness, believe that consistency is necessary to achieve fairness, and therefore develop a cautious attitude towards discretion or exceptions. Moise (n.d.) similarly argues that beliefs, values and attitudes are distinct but interrelated, with beliefs shaping values and both influencing attitudes and behaviour in workplace settings.</w:t>
      </w:r>
    </w:p>
    <w:p w14:paraId="606A2AB2" w14:textId="77777777" w:rsidR="00024D70" w:rsidRPr="00024D70" w:rsidRDefault="00024D70" w:rsidP="00024D70">
      <w:pPr>
        <w:jc w:val="both"/>
      </w:pPr>
      <w:r w:rsidRPr="00024D70">
        <w:t>These concepts influence behaviour at different levels. Values often operate as broad organising principles that guide judgement across situations, while beliefs shape how individuals interpret events, evidence and responsibility. Attitudes are usually more visible because they are expressed through day-to-day responses such as patience, scepticism, openness or defensiveness. In organisational settings, these personal orientations do not exist in isolation. Schein and Schein (2018) argue that workplace culture reflects and reinforces underlying assumptions and values, meaning that individuals both shape and are shaped by their organisational environment. In regulated workplaces, this interaction can support professionalism, consistency and ethical conduct. However, it can also encourage rigid patterns of thought if established procedures are followed without reflection.</w:t>
      </w:r>
    </w:p>
    <w:p w14:paraId="63F4E905" w14:textId="77777777" w:rsidR="00024D70" w:rsidRPr="00024D70" w:rsidRDefault="00024D70" w:rsidP="00024D70">
      <w:pPr>
        <w:jc w:val="both"/>
      </w:pPr>
      <w:r w:rsidRPr="00024D70">
        <w:t>It is also important to recognise that beliefs, attitudes and values are not fixed. They can develop through experience, reflection and exposure to challenge. Argyris and Schön (1978) argue that deeper learning occurs not only when people alter their actions, but when they question the assumptions that guide those actions. Schön (1983) similarly suggests that reflective practitioners do not simply apply rules mechanically. Instead, they reassess situations as they unfold and learn from the relationship between theory and practice. This is particularly relevant in the workplace, where problems are often ambiguous and cannot always be resolved through routine responses alone. If beliefs and values remain unexamined, individuals may become efficient within familiar processes while remaining unaware of the limits of their own reasoning.</w:t>
      </w:r>
    </w:p>
    <w:p w14:paraId="459C5668" w14:textId="77777777" w:rsidR="00024D70" w:rsidRPr="00024D70" w:rsidRDefault="00024D70" w:rsidP="00024D70">
      <w:pPr>
        <w:jc w:val="both"/>
      </w:pPr>
      <w:r w:rsidRPr="00024D70">
        <w:t xml:space="preserve">The relationship between values and behaviour is therefore significant, but not automatic. Bardi and Schwartz (2003) show that values do influence behaviour, although </w:t>
      </w:r>
      <w:r w:rsidRPr="00024D70">
        <w:lastRenderedPageBreak/>
        <w:t xml:space="preserve">the strength of that relationship depends on context, opportunity and competing demands. </w:t>
      </w:r>
      <w:proofErr w:type="spellStart"/>
      <w:r w:rsidRPr="00024D70">
        <w:t>Meglino</w:t>
      </w:r>
      <w:proofErr w:type="spellEnd"/>
      <w:r w:rsidRPr="00024D70">
        <w:t xml:space="preserve"> and Ravlin (1998) make a similar point by showing that values affect organisational behaviour in ways shaped by situational pressures and the degree of alignment between individual and organisational priorities. This helps explain why critical thinking is necessary in workplace practice. Holding a value such as fairness does not guarantee fair behaviour in every situation. Individuals must still examine whether their interpretation of fairness is evidence based, logically consistent and appropriate to the context. In that sense, critical thinking acts as a safeguard against </w:t>
      </w:r>
      <w:proofErr w:type="gramStart"/>
      <w:r w:rsidRPr="00024D70">
        <w:t>assuming that</w:t>
      </w:r>
      <w:proofErr w:type="gramEnd"/>
      <w:r w:rsidRPr="00024D70">
        <w:t xml:space="preserve"> good intentions automatically produce good judgement.</w:t>
      </w:r>
    </w:p>
    <w:p w14:paraId="19ABBBB6" w14:textId="77777777" w:rsidR="00024D70" w:rsidRPr="00024D70" w:rsidRDefault="00024D70" w:rsidP="00024D70">
      <w:pPr>
        <w:jc w:val="both"/>
      </w:pPr>
      <w:r w:rsidRPr="00024D70">
        <w:t>Overall, beliefs, attitudes and values should be understood as analytically distinct but interconnected influences on workplace behaviour. Beliefs shape interpretation, values guide judgement, and attitudes affect behavioural response. Together, they can support ethical, careful and well-reasoned professional practice. However, if they are not critically examined, they can also contribute to bias, rigidity and unchallenged assumptions. This conceptual distinction provides the foundation for the next section, which moves from general theory to a critical assessment of how these factors operate within my own HMRC compliance casework.</w:t>
      </w:r>
    </w:p>
    <w:p w14:paraId="2520F275" w14:textId="6C4CE61E" w:rsidR="00232550" w:rsidRPr="00024D70" w:rsidRDefault="00232550" w:rsidP="00024D70">
      <w:pPr>
        <w:pStyle w:val="Heading1"/>
      </w:pPr>
      <w:bookmarkStart w:id="5" w:name="_Toc225113345"/>
      <w:bookmarkStart w:id="6" w:name="_Toc225114899"/>
      <w:r w:rsidRPr="00024D70">
        <w:t>2. Critical Assessment of My Beliefs, Attitudes and Values in HMRC Compliance Casework</w:t>
      </w:r>
      <w:bookmarkEnd w:id="5"/>
      <w:bookmarkEnd w:id="6"/>
    </w:p>
    <w:p w14:paraId="23E20186" w14:textId="77777777" w:rsidR="00022E07" w:rsidRPr="00022E07" w:rsidRDefault="00022E07" w:rsidP="00263114">
      <w:pPr>
        <w:jc w:val="both"/>
      </w:pPr>
      <w:r w:rsidRPr="00022E07">
        <w:t xml:space="preserve">Within my role as a Compliance Caseworker at HM Revenue and Customs, my approach to work appears to be shaped by a strong belief that professional decisions should be grounded in evidence and capable of being justified under scrutiny. This belief is highly relevant in compliance casework because decisions affect case progression, communication with taxpayers and agents, and the credibility of the </w:t>
      </w:r>
      <w:proofErr w:type="gramStart"/>
      <w:r w:rsidRPr="00022E07">
        <w:t>final outcome</w:t>
      </w:r>
      <w:proofErr w:type="gramEnd"/>
      <w:r w:rsidRPr="00022E07">
        <w:t xml:space="preserve">. It also reflects the central features of critical thinking identified by </w:t>
      </w:r>
      <w:proofErr w:type="spellStart"/>
      <w:r w:rsidRPr="00022E07">
        <w:t>Facione</w:t>
      </w:r>
      <w:proofErr w:type="spellEnd"/>
      <w:r w:rsidRPr="00022E07">
        <w:t xml:space="preserve"> (1990), particularly analysis, evaluation and inference. In practice, this belief encourages me to review records carefully, identify inconsistencies and avoid conclusions that are not adequately supported by the available evidence.</w:t>
      </w:r>
    </w:p>
    <w:p w14:paraId="30613D0F" w14:textId="77777777" w:rsidR="00022E07" w:rsidRPr="00022E07" w:rsidRDefault="00022E07" w:rsidP="00263114">
      <w:pPr>
        <w:jc w:val="both"/>
      </w:pPr>
      <w:r w:rsidRPr="00022E07">
        <w:t xml:space="preserve">This belief is a strength, but it also requires critical examination. In a regulated environment, evidence-based reasoning protects fairness and strengthens accountability. However, casework is often carried out in conditions of incomplete information, conflicting explanations or time pressure. My preference for evidential certainty may therefore become limiting if it encourages delay whenever ambiguity remains. Kahneman (2011) shows that individuals often seek certainty even where the environment itself remains uncertain, while Halpern (2014) argues that effective critical thinking depends on sound judgement rather than endless analysis. In my case, a belief that appears wholly positive may also encourage over-analysis or excessive caution. The </w:t>
      </w:r>
      <w:r w:rsidRPr="00022E07">
        <w:lastRenderedPageBreak/>
        <w:t>issue is not whether evidence-based judgement is valuable, but whether I apply it proportionately.</w:t>
      </w:r>
    </w:p>
    <w:p w14:paraId="1D7037F3" w14:textId="77777777" w:rsidR="00022E07" w:rsidRPr="00022E07" w:rsidRDefault="00022E07" w:rsidP="00263114">
      <w:pPr>
        <w:jc w:val="both"/>
      </w:pPr>
      <w:r w:rsidRPr="00022E07">
        <w:t>A second belief shaping my practice is that fairness depends heavily on consistency. I am inclined to think that similar cases should be approached in similar ways and that deviation from standard process should be justified rather than assumed. This belief aligns with an important principle of public administration, since consistency helps reduce arbitrariness and supports transparent decision-making. Research on organisational justice similarly suggests that fairness is closely linked to consistency of process and the quality of decision-making procedures (Colquitt et al., 2001). In that sense, this belief supports disciplined professional practice and strengthens my commitment to applying guidance carefully.</w:t>
      </w:r>
    </w:p>
    <w:p w14:paraId="751F3466" w14:textId="77777777" w:rsidR="00022E07" w:rsidRPr="00022E07" w:rsidRDefault="00022E07" w:rsidP="00263114">
      <w:pPr>
        <w:jc w:val="both"/>
      </w:pPr>
      <w:r w:rsidRPr="00022E07">
        <w:t>At the same time, this belief can narrow my thinking if it is left unchallenged. Consistency is an important aspect of fairness, but it is not equivalent to fairness in every circumstance. Cases may appear similar at a surface level while differing in ways that are significant, including the complexity of the records, the quality of communication, or the practical barriers affecting compliance. If I equate fairness too closely with sameness of treatment, I may become reluctant to adapt my approach even where adaptation would be more reasonable. Brookfield (2012) argues that critical thinking requires individuals to question assumptions that have become so familiar that they appear self-evident. My belief that consistency protects fairness is understandable, but it may become restrictive if I assume that deviation is automatically unfair rather than sometimes necessary.</w:t>
      </w:r>
    </w:p>
    <w:p w14:paraId="492A2610" w14:textId="77777777" w:rsidR="00022E07" w:rsidRPr="00022E07" w:rsidRDefault="00022E07" w:rsidP="00263114">
      <w:pPr>
        <w:jc w:val="both"/>
      </w:pPr>
      <w:r w:rsidRPr="00022E07">
        <w:t>My values within this role appear to centre on integrity, fairness, accountability, confidentiality and accuracy. These values are closely aligned with the ethical demands of HMRC compliance casework. Integrity influences my desire to represent evidence honestly and avoid overstating conclusions. Fairness shapes my concern for proper process and consistent treatment. Accountability encourages me to ensure that reasoning is clear, defensible and capable of review. Confidentiality is essential because the role involves sensitive personal and financial information. Accuracy supports careful interpretation of records, internal guidance and legislation. Taken together, these values are highly appropriate to the responsibilities of the role and help explain why I approach work in a structured and cautious manner.</w:t>
      </w:r>
    </w:p>
    <w:p w14:paraId="71031B23" w14:textId="77777777" w:rsidR="00022E07" w:rsidRPr="00022E07" w:rsidRDefault="00022E07" w:rsidP="00263114">
      <w:pPr>
        <w:jc w:val="both"/>
      </w:pPr>
      <w:r w:rsidRPr="00022E07">
        <w:t xml:space="preserve">However, it would be too simplistic to present these values as entirely beneficial. A strong commitment to accuracy may improve judgement, yet it may also make me less comfortable progressing a case when uncertainty remains. A strong commitment to accountability may improve documentation, but it may also increase concern about challenge or error to the point that I become overly </w:t>
      </w:r>
      <w:proofErr w:type="gramStart"/>
      <w:r w:rsidRPr="00022E07">
        <w:t>risk-conscious</w:t>
      </w:r>
      <w:proofErr w:type="gramEnd"/>
      <w:r w:rsidRPr="00022E07">
        <w:t xml:space="preserve">. Likewise, confidentiality is central to professionalism, but if overemphasised it may contribute to an overly formal communication style. Treviño et al. (2006) note that ethical behaviour depends not only on possessing sound values, but also on how those values are framed </w:t>
      </w:r>
      <w:r w:rsidRPr="00022E07">
        <w:lastRenderedPageBreak/>
        <w:t xml:space="preserve">and prioritised </w:t>
      </w:r>
      <w:proofErr w:type="gramStart"/>
      <w:r w:rsidRPr="00022E07">
        <w:t>in particular situations</w:t>
      </w:r>
      <w:proofErr w:type="gramEnd"/>
      <w:r w:rsidRPr="00022E07">
        <w:t>. This matters in my case because the values I hold most strongly tend to favour control, caution and defensibility.</w:t>
      </w:r>
    </w:p>
    <w:p w14:paraId="1F34FA10" w14:textId="77777777" w:rsidR="00022E07" w:rsidRPr="00022E07" w:rsidRDefault="00022E07" w:rsidP="00263114">
      <w:pPr>
        <w:jc w:val="both"/>
      </w:pPr>
      <w:r w:rsidRPr="00022E07">
        <w:t xml:space="preserve">My attitudes at work can be described as analytical, cautious, disciplined and </w:t>
      </w:r>
      <w:proofErr w:type="gramStart"/>
      <w:r w:rsidRPr="00022E07">
        <w:t>improvement-focused</w:t>
      </w:r>
      <w:proofErr w:type="gramEnd"/>
      <w:r w:rsidRPr="00022E07">
        <w:t>. I tend to examine information closely, seek clarity before drawing conclusions and take responsibility for ensuring that work is properly reasoned. These attitudes are beneficial because they support seriousness of purpose and reduce the risk of careless judgement. Yet they also reveal potential limitations. My analytical attitude may strengthen reasoning, but it can become over-analysis if I spend too long refining issues that make limited difference to the overall decision. My cautious attitude may protect fairness, but it may also reduce decisiveness when proportionate action is required.</w:t>
      </w:r>
    </w:p>
    <w:p w14:paraId="4E6A0477" w14:textId="77777777" w:rsidR="00022E07" w:rsidRPr="00022E07" w:rsidRDefault="00022E07" w:rsidP="00263114">
      <w:pPr>
        <w:jc w:val="both"/>
      </w:pPr>
      <w:r w:rsidRPr="00022E07">
        <w:t>Overall, my beliefs, attitudes and values are broadly well suited to HMRC compliance casework because they support disciplined reasoning, ethical awareness and careful use of evidence. However, the same qualities that strengthen reliability may also encourage rigidity, slower decision-making and reduced flexibility if they are not actively examined. The key critical point is that my professional outlook is both enabling and constraining. Recognising that tension creates the basis for assessing how these beliefs, attitudes and values influence my workplace behaviour in practice.</w:t>
      </w:r>
    </w:p>
    <w:p w14:paraId="0F1733ED" w14:textId="77777777" w:rsidR="00E21119" w:rsidRPr="00E21119" w:rsidRDefault="00E21119" w:rsidP="00263114">
      <w:pPr>
        <w:pStyle w:val="Heading1"/>
        <w:jc w:val="both"/>
      </w:pPr>
      <w:bookmarkStart w:id="7" w:name="_Toc225113346"/>
      <w:bookmarkStart w:id="8" w:name="_Toc225114900"/>
      <w:r w:rsidRPr="00E21119">
        <w:t>3. The impact of my beliefs, attitudes and values on my workplace behaviour</w:t>
      </w:r>
      <w:bookmarkEnd w:id="7"/>
      <w:bookmarkEnd w:id="8"/>
    </w:p>
    <w:p w14:paraId="59741727" w14:textId="77777777" w:rsidR="00BB253C" w:rsidRPr="00BB253C" w:rsidRDefault="00DC5A17" w:rsidP="00BB253C">
      <w:pPr>
        <w:jc w:val="both"/>
      </w:pPr>
      <w:r w:rsidRPr="00DC5A17">
        <w:t>The</w:t>
      </w:r>
      <w:r w:rsidR="00D938AA" w:rsidRPr="00D938AA">
        <w:t xml:space="preserve"> </w:t>
      </w:r>
      <w:bookmarkStart w:id="9" w:name="_Toc225113347"/>
      <w:r w:rsidR="00BB253C" w:rsidRPr="00BB253C">
        <w:t>most visible influence of my beliefs, attitudes and values is on how I approach evidence in compliance casework. Because I believe decisions should be defensible, I examine records carefully, identify inconsistencies and avoid conclusions that are not adequately supported. This reduces the risk of superficial judgement and improves the quality of written case notes, since I am conscious that my reasoning may later be reviewed. Paul and Elder (2014) argue that sound reasoning depends on clarity, accuracy, relevance, depth, logic and fairness, and my approach supports these standards by encouraging careful evaluation of whether the evidence is sufficient and whether the conclusion genuinely follows. It also aligns with the RED model of critical thinking, which presents effective judgement as a process of recognising assumptions, evaluating arguments and drawing conclusions from the available evidence. The model stresses that people often accept information too easily when it appears credible or matches their existing views, making reflective scrutiny essential in workplace decision-making (Pearson Education, 2013). This is particularly relevant in compliance work, where decisions should rest on evidence rather than assumption.</w:t>
      </w:r>
    </w:p>
    <w:p w14:paraId="55A92788" w14:textId="77777777" w:rsidR="00BB253C" w:rsidRPr="00BB253C" w:rsidRDefault="00BB253C" w:rsidP="00BB253C">
      <w:pPr>
        <w:jc w:val="both"/>
      </w:pPr>
      <w:r w:rsidRPr="00BB253C">
        <w:t xml:space="preserve">This orientation also shapes how I communicate with taxpayers and agents. I tend to prioritise accuracy and precision when explaining rules or case decisions, which is </w:t>
      </w:r>
      <w:r w:rsidRPr="00BB253C">
        <w:lastRenderedPageBreak/>
        <w:t>beneficial in a role where errors of explanation can have practical consequences. Clear and accurate communication supports fairness because it reduces misunderstanding and helps ensure that decisions are explained on a proper evidential basis. However, precision alone does not guarantee effectiveness. If I focus too strongly on technical correctness, I may underemphasise the other person’s understanding or concerns. The Paul-Elder framework stresses fairness and intellectual empathy as well as accuracy, suggesting that effective workplace communication involves not only stating the correct position, but ensuring that it is understood appropriately (Paul &amp; Elder, 2014). My preference for precise reasoning therefore supports professionalism, but it may also make communication more formal and procedural than necessary.</w:t>
      </w:r>
    </w:p>
    <w:p w14:paraId="555E699E" w14:textId="77777777" w:rsidR="00BB253C" w:rsidRPr="00BB253C" w:rsidRDefault="00BB253C" w:rsidP="00BB253C">
      <w:pPr>
        <w:jc w:val="both"/>
      </w:pPr>
      <w:r w:rsidRPr="00BB253C">
        <w:t>My values also shape how I manage risk. Because I value accountability, fairness and accuracy, I am alert to the consequences of error and to the importance of documenting reasoning carefully. This is a strength in public-facing compliance work, where poorly justified decisions can weaken trust and organisational legitimacy. It also reflects the broader point that ethical behaviour in organisations depends on values such as fairness, accountability and responsibility, which influence trust and legitimacy in professional decision-making (Treviño et al., 2006). Proceeding carefully can therefore support lawful and ethical administration by reducing the likelihood of rushed conclusions and weakly reasoned outcomes.</w:t>
      </w:r>
    </w:p>
    <w:p w14:paraId="2206AABE" w14:textId="77777777" w:rsidR="00BB253C" w:rsidRPr="00BB253C" w:rsidRDefault="00BB253C" w:rsidP="00BB253C">
      <w:pPr>
        <w:jc w:val="both"/>
      </w:pPr>
      <w:r w:rsidRPr="00BB253C">
        <w:t>At the same time, risk awareness can become risk aversion. There is an important difference between recognising uncertainty and becoming hesitant whenever full certainty is unavailable. Festinger’s (1957) theory of cognitive dissonance is useful here because it explains the discomfort that occurs when competing commitments clash. In my case, a tension can arise between the value of accuracy and the operational need for timely case progression. Where evidence is substantial but not complete, moving forward may feel uncomfortable because it conflicts with my preference for certainty. This can create hesitation even when a proportionate decision is possible. In that sense, my internal standards may become stricter than the situation requires.</w:t>
      </w:r>
    </w:p>
    <w:p w14:paraId="74D0F46A" w14:textId="77777777" w:rsidR="00BB253C" w:rsidRPr="00BB253C" w:rsidRDefault="00BB253C" w:rsidP="00BB253C">
      <w:pPr>
        <w:jc w:val="both"/>
      </w:pPr>
      <w:r w:rsidRPr="00BB253C">
        <w:t>A further area of influence is workload management. My disciplined attitude supports organisation, case tracking and procedural follow-through. I am likely to take targets seriously and to treat workload management as part of professional responsibility. This is valuable because compliance work depends on both quality and throughput. However, a strong sense of responsibility can also make strategic prioritisation more difficult. If I treat every case as equally deserving of exhaustive attention, I may allocate time inefficiently. Paul and Elder (2014) note that good reasoning requires judgement about significance as well as depth, meaning that some issues require closer scrutiny than others. Without that balance, thoroughness may begin to undermine efficiency.</w:t>
      </w:r>
    </w:p>
    <w:p w14:paraId="0F3D8BF5" w14:textId="77777777" w:rsidR="00BB253C" w:rsidRPr="00BB253C" w:rsidRDefault="00BB253C" w:rsidP="00BB253C">
      <w:pPr>
        <w:jc w:val="both"/>
      </w:pPr>
      <w:r w:rsidRPr="00BB253C">
        <w:t xml:space="preserve">My beliefs and values also affect how I respond to disagreement or challenge. Because I place importance on evidence and logic, I am more likely to respect arguments that are </w:t>
      </w:r>
      <w:r w:rsidRPr="00BB253C">
        <w:lastRenderedPageBreak/>
        <w:t>clearly supported and more cautious about claims that appear vague or weakly evidenced. This is useful in a role where unsupported assumptions must often be questioned. However, the same tendency can make me appear overly sceptical or rigid if I dismiss perspectives too quickly because they are not presented in the form I prefer. Brookfield (2012) warns that critical thinking should involve openness to alternative viewpoints rather than simply identifying weaknesses in other people’s reasoning.</w:t>
      </w:r>
    </w:p>
    <w:p w14:paraId="472EFCD0" w14:textId="77777777" w:rsidR="00BB253C" w:rsidRPr="00BB253C" w:rsidRDefault="00BB253C" w:rsidP="00BB253C">
      <w:pPr>
        <w:jc w:val="both"/>
      </w:pPr>
      <w:r w:rsidRPr="00BB253C">
        <w:t>Overall, my workplace behaviour is positively shaped by beliefs, attitudes and values that support thoroughness, fairness, integrity and accountable reasoning. These qualities are highly relevant to HMRC casework and strengthen evidence review, documentation and ethical judgement. However, the same internal drivers also create risks, including over-analysis, slower decision-making, excessive attachment to consistency and reduced flexibility in communication or prioritisation. The key issue is therefore not whether my beliefs, attitudes and values are broadly appropriate, but whether I can apply them with sufficient adaptability and proportionality. This tension provides the basis for the next section, which considers how Contingency Theory explains both the strengths and limits of my approach.</w:t>
      </w:r>
    </w:p>
    <w:p w14:paraId="297CCE23" w14:textId="70A583FD" w:rsidR="00E21119" w:rsidRPr="00E21119" w:rsidRDefault="00E21119" w:rsidP="00BB253C">
      <w:pPr>
        <w:pStyle w:val="Heading1"/>
      </w:pPr>
      <w:bookmarkStart w:id="10" w:name="_Toc225114901"/>
      <w:r w:rsidRPr="00E21119">
        <w:t>4. Contingency Theory and its relevance to the HMRC compliance environment</w:t>
      </w:r>
      <w:bookmarkEnd w:id="9"/>
      <w:bookmarkEnd w:id="10"/>
    </w:p>
    <w:p w14:paraId="156F7D11" w14:textId="3BD2010F" w:rsidR="00457DCE" w:rsidRPr="00457DCE" w:rsidRDefault="00664100" w:rsidP="00457DCE">
      <w:pPr>
        <w:jc w:val="both"/>
      </w:pPr>
      <w:r w:rsidRPr="00664100">
        <w:t xml:space="preserve">Contingency </w:t>
      </w:r>
      <w:r w:rsidR="00457DCE" w:rsidRPr="00457DCE">
        <w:t>Theory argues that there is no single best way to manage people, tasks or organisational problems. Instead, effective action depends on the fit between approach and context. Early contingency theorists such as Fiedler (1967), Burns and Stalker (1961), and Lawrence and Lorsch (1967) challenged universal models of management by arguing that different situations require different responses. Factors such as task complexity, environmental uncertainty, organisational structure, technology and the needs of the people involved all shape what type of approach is likely to be effective. The central idea is therefore not flexibility for its own sake, but situational fit.</w:t>
      </w:r>
    </w:p>
    <w:p w14:paraId="711DAF18" w14:textId="77777777" w:rsidR="00457DCE" w:rsidRPr="00457DCE" w:rsidRDefault="00457DCE" w:rsidP="00457DCE">
      <w:pPr>
        <w:jc w:val="both"/>
      </w:pPr>
      <w:r w:rsidRPr="00457DCE">
        <w:t>This theory is highly relevant to HMRC compliance casework because the role operates within a structured but variable environment. On one hand, casework is governed by legislation, internal guidance, procedural rules and standards of accountability. This means consistency and control are essential. On the other hand, individual cases differ significantly in their complexity, evidential quality, communication demands and practical barriers to resolution. Some cases involve clear records and straightforward issues, while others involve conflicting explanations, incomplete information or a greater need for clarification and engagement. Although the regulatory framework remains stable, the circumstances in which it is applied are not always uniform. For that reason, a rigid assumption that the same method should be used in every case would be difficult to justify.</w:t>
      </w:r>
    </w:p>
    <w:p w14:paraId="1AD32396" w14:textId="77777777" w:rsidR="00457DCE" w:rsidRPr="00457DCE" w:rsidRDefault="00457DCE" w:rsidP="00457DCE">
      <w:pPr>
        <w:jc w:val="both"/>
      </w:pPr>
      <w:r w:rsidRPr="00457DCE">
        <w:lastRenderedPageBreak/>
        <w:t xml:space="preserve">Contingency Theory is useful in this context because it explains why effective compliance work requires both consistency of principle and flexibility of method. </w:t>
      </w:r>
      <w:proofErr w:type="spellStart"/>
      <w:r w:rsidRPr="00457DCE">
        <w:t>Olum</w:t>
      </w:r>
      <w:proofErr w:type="spellEnd"/>
      <w:r w:rsidRPr="00457DCE">
        <w:t xml:space="preserve"> (2004) describes the situational or contingency perspective as the view that managers must consider all aspects of the current situation and act on those that are most important, which is often summarised as the idea that “it depends.” This is particularly relevant in compliance casework, where the core principles of legality, fairness, accountability and accurate reasoning must remain constant, but the handling of a case may need to vary depending on the quality of evidence, the level of taxpayer understanding, the urgency of the issue or the degree of risk involved. In one case, effective action may require rapid evidential analysis and swift progression. In another, it may require closer clarification, more careful communication or a more proportionate pacing of action. In both cases, the principles remain stable, but the practical response may differ.</w:t>
      </w:r>
    </w:p>
    <w:p w14:paraId="310904E3" w14:textId="77777777" w:rsidR="00457DCE" w:rsidRPr="00457DCE" w:rsidRDefault="00457DCE" w:rsidP="00457DCE">
      <w:pPr>
        <w:jc w:val="both"/>
      </w:pPr>
      <w:r w:rsidRPr="00457DCE">
        <w:t>This makes Contingency Theory especially relevant to a public-sector compliance environment, where there is often tension between standardisation and judgement. Excessive standardisation may create procedural consistency, but it can also lead to inflexibility if it ignores important contextual differences. By contrast, excessive flexibility may undermine consistency and open the door to uneven treatment. The value of Contingency Theory lies in recognising that effective professional practice is not achieved by choosing one extreme over the other. It is achieved by determining what should remain consistent and what can adapt legitimately in response to the situation.</w:t>
      </w:r>
    </w:p>
    <w:p w14:paraId="420D58AC" w14:textId="77777777" w:rsidR="00457DCE" w:rsidRPr="00457DCE" w:rsidRDefault="00457DCE" w:rsidP="00457DCE">
      <w:pPr>
        <w:jc w:val="both"/>
      </w:pPr>
      <w:r w:rsidRPr="00457DCE">
        <w:t>In relation to my role, the theory provides a strong management lens because it reflects the practical reality of compliance casework more accurately than a one-size-fits-all approach. It helps explain why structured professional standards are necessary, while also recognising that different cases may require different forms of judgement, communication and prioritisation. This is important because it creates a basis for critically evaluating my own approach. My tendency towards caution, accuracy and consistency may align with the structured side of the role, but Contingency Theory also raises the question of whether I adapt sufficiently when the situation demands it. That tension is explored in the next section.</w:t>
      </w:r>
    </w:p>
    <w:p w14:paraId="6AC11085" w14:textId="150FA105" w:rsidR="00E21119" w:rsidRPr="00E21119" w:rsidRDefault="00E21119" w:rsidP="00457DCE">
      <w:pPr>
        <w:pStyle w:val="Heading1"/>
      </w:pPr>
      <w:bookmarkStart w:id="11" w:name="_Toc225113348"/>
      <w:bookmarkStart w:id="12" w:name="_Toc225114902"/>
      <w:r w:rsidRPr="00E21119">
        <w:t>5. Critical evaluation of the relationship between Contingency Theory and my beliefs, attitudes and values</w:t>
      </w:r>
      <w:bookmarkEnd w:id="11"/>
      <w:bookmarkEnd w:id="12"/>
    </w:p>
    <w:p w14:paraId="2214179F" w14:textId="057B95EE" w:rsidR="00A77D4B" w:rsidRPr="00A77D4B" w:rsidRDefault="00664100" w:rsidP="00A77D4B">
      <w:pPr>
        <w:jc w:val="both"/>
      </w:pPr>
      <w:r w:rsidRPr="00664100">
        <w:t>Contingency</w:t>
      </w:r>
      <w:r w:rsidR="00EA51AC">
        <w:t xml:space="preserve"> </w:t>
      </w:r>
      <w:r w:rsidR="00A77D4B" w:rsidRPr="00A77D4B">
        <w:t xml:space="preserve">Theory provides a useful lens for evaluating my professional outlook because it both supports and challenges the way I currently approach compliance casework. There is a clear point of alignment between the theory and my own beliefs and values. My analytical attitude means I already pay close attention to the nature of the case, the quality of the evidence and the potential consequences of error. In that sense, I do not approach work casually or assume that all situations are identical. My values of </w:t>
      </w:r>
      <w:r w:rsidR="00A77D4B" w:rsidRPr="00A77D4B">
        <w:lastRenderedPageBreak/>
        <w:t>fairness, accountability and accuracy also support the idea that decisions should be justified in relation to the circumstances rather than made mechanically. This suggests that my general orientation is compatible with the contingent view that effective action depends on situational judgement rather than blind routine.</w:t>
      </w:r>
    </w:p>
    <w:p w14:paraId="77DB024E" w14:textId="77777777" w:rsidR="00A77D4B" w:rsidRPr="00A77D4B" w:rsidRDefault="00A77D4B" w:rsidP="00A77D4B">
      <w:pPr>
        <w:jc w:val="both"/>
      </w:pPr>
      <w:r w:rsidRPr="00A77D4B">
        <w:t>However, the theory also exposes an important limitation in my approach. My strong belief that fairness depends heavily on consistency means I am naturally drawn towards standardisation and procedural stability. Contingency Theory challenges that instinct by arguing that effectiveness does not always come from applying the same method in the same way. Instead, it depends on identifying what should remain constant and what can justifiably adapt (Fiedler, 1967; Donaldson, 2001). This is where tension arises in my practice. I am comfortable with consistency of principle, but less naturally comfortable with variation in method. As a result, I may sometimes interpret deviation from routine as a potential risk before I interpret it as a legitimate response to context.</w:t>
      </w:r>
    </w:p>
    <w:p w14:paraId="27F4587B" w14:textId="77777777" w:rsidR="00A77D4B" w:rsidRPr="00A77D4B" w:rsidRDefault="00A77D4B" w:rsidP="00A77D4B">
      <w:pPr>
        <w:jc w:val="both"/>
      </w:pPr>
      <w:r w:rsidRPr="00A77D4B">
        <w:t xml:space="preserve">This tension matters because it shows that my beliefs and values do not simply support good practice. They also shape the way I read management theory itself. I am likely to interpret Contingency Theory in a cautious and bounded way, as support for limited adaptation within clear professional constraints. That interpretation has value because it protects fairness, accountability and defensible judgement. At the same time, it may also narrow the theory by making me more resistant to flexibility than the situation </w:t>
      </w:r>
      <w:proofErr w:type="gramStart"/>
      <w:r w:rsidRPr="00A77D4B">
        <w:t>actually requires</w:t>
      </w:r>
      <w:proofErr w:type="gramEnd"/>
      <w:r w:rsidRPr="00A77D4B">
        <w:t>. In other words, my own outlook filters the theory through a preference for control and consistency.</w:t>
      </w:r>
    </w:p>
    <w:p w14:paraId="63F3411F" w14:textId="77777777" w:rsidR="00A77D4B" w:rsidRPr="00A77D4B" w:rsidRDefault="00A77D4B" w:rsidP="00A77D4B">
      <w:pPr>
        <w:jc w:val="both"/>
      </w:pPr>
      <w:r w:rsidRPr="00A77D4B">
        <w:t xml:space="preserve">It is also important to recognise that someone with different beliefs, attitudes and values might interpret the same theory differently. A person who places greater value on speed, efficiency or innovation might view Contingency Theory as support for broader discretion and faster adaptation. Someone with a more relational orientation might emphasise empathy, communication and responsiveness more strongly than procedural consistency. This does not mean that such interpretations would automatically be wrong. Rather, it shows that management theories are not understood in a neutral way. They are interpreted through the values and assumptions of the individual applying them. Browne and Keeley (2006) make a useful distinction here by arguing that value assumptions shape how people judge what is important, desirable or preferable </w:t>
      </w:r>
      <w:proofErr w:type="gramStart"/>
      <w:r w:rsidRPr="00A77D4B">
        <w:t>in a given</w:t>
      </w:r>
      <w:proofErr w:type="gramEnd"/>
      <w:r w:rsidRPr="00A77D4B">
        <w:t xml:space="preserve"> situation. This is relevant because it helps explain why the same theory can appear sensible in different ways to different people.</w:t>
      </w:r>
    </w:p>
    <w:p w14:paraId="06162552" w14:textId="77777777" w:rsidR="00A77D4B" w:rsidRPr="00A77D4B" w:rsidRDefault="00A77D4B" w:rsidP="00A77D4B">
      <w:pPr>
        <w:jc w:val="both"/>
      </w:pPr>
      <w:r w:rsidRPr="00A77D4B">
        <w:t>Overall, Contingency Theory does not undermine my beliefs, attitudes and values, but it does require me to refine how I apply them. It suggests that consistency should remain a principle rather than become a habit of rigidity, and that defensible judgement should include sensitivity to context as well as accuracy of reasoning. For that reason, the theory is valuable not only because it fits my role, but because it challenges me to apply my strengths with greater flexibility and self-awareness.</w:t>
      </w:r>
    </w:p>
    <w:p w14:paraId="185AFA9E" w14:textId="1AA27336" w:rsidR="00E21119" w:rsidRPr="00E21119" w:rsidRDefault="00E21119" w:rsidP="00A77D4B">
      <w:pPr>
        <w:pStyle w:val="Heading1"/>
      </w:pPr>
      <w:bookmarkStart w:id="13" w:name="_Toc225113349"/>
      <w:bookmarkStart w:id="14" w:name="_Toc225114903"/>
      <w:r w:rsidRPr="00E21119">
        <w:lastRenderedPageBreak/>
        <w:t>Conclusion</w:t>
      </w:r>
      <w:bookmarkEnd w:id="13"/>
      <w:bookmarkEnd w:id="14"/>
    </w:p>
    <w:p w14:paraId="66A848A2" w14:textId="77777777" w:rsidR="00BB253C" w:rsidRPr="00BB253C" w:rsidRDefault="00BB253C" w:rsidP="00BB253C">
      <w:pPr>
        <w:jc w:val="both"/>
      </w:pPr>
      <w:bookmarkStart w:id="15" w:name="_Toc225113350"/>
      <w:r w:rsidRPr="00BB253C">
        <w:t>This report has evaluated the influence of my beliefs, attitudes and values on my workplace behaviour as a Compliance Caseworker at HM Revenue and Customs. It has shown that my belief in evidence-based and defensible judgement, together with values of integrity, fairness, accountability, confidentiality and accuracy, supports effective casework. These include careful evidence review, structured reasoning, ethical awareness, reliable documentation and a strong sense of professional responsibility. In a regulated public-sector environment, these are closely linked to the quality, credibility and legitimacy of workplace judgement.</w:t>
      </w:r>
    </w:p>
    <w:p w14:paraId="60F7635D" w14:textId="77777777" w:rsidR="00BB253C" w:rsidRPr="00BB253C" w:rsidRDefault="00BB253C" w:rsidP="00BB253C">
      <w:pPr>
        <w:jc w:val="both"/>
      </w:pPr>
      <w:r w:rsidRPr="00BB253C">
        <w:t>At the same time, the report has shown that the same internal drivers can also create limitations. A strong preference for certainty may encourage over-analysis, while a commitment to consistency may become restrictive if contextual differences are not sufficiently recognised. Likewise, a disciplined and cautious attitude can improve quality and reduce careless judgement, but it may also slow decision-making and make communication more procedural than effective. The critical issue, therefore, is not whether these beliefs, attitudes and values are appropriate in principle, but whether they are applied with sufficient reflection, proportionality and adaptability.</w:t>
      </w:r>
    </w:p>
    <w:p w14:paraId="0DABD1F0" w14:textId="77777777" w:rsidR="00BB253C" w:rsidRPr="00BB253C" w:rsidRDefault="00BB253C" w:rsidP="00BB253C">
      <w:pPr>
        <w:jc w:val="both"/>
      </w:pPr>
      <w:r w:rsidRPr="00BB253C">
        <w:t>Contingency Theory provided the most relevant management lens for this evaluation because it challenged the assumption that one fixed approach is always best. In the context of HMRC compliance casework, the theory highlighted that effective practice requires consistency of principle combined with situational responsiveness. This clarified the central tension in my professional outlook. I am naturally inclined towards order, structure and defensibility, yet effective casework also requires responsiveness to case complexity, evidential variation and human context. Contingency Theory therefore did not weaken my commitment to fairness. Rather, it reframed fairness as something that depends on judgement as well as consistency.</w:t>
      </w:r>
    </w:p>
    <w:p w14:paraId="13A18DED" w14:textId="77777777" w:rsidR="00BB253C" w:rsidRPr="00BB253C" w:rsidRDefault="00BB253C" w:rsidP="00BB253C">
      <w:pPr>
        <w:jc w:val="both"/>
      </w:pPr>
      <w:r w:rsidRPr="00BB253C">
        <w:t xml:space="preserve">The most significant conclusion of this report is developmental. My current beliefs, attitudes and values provide a strong ethical and professional foundation, but they must be applied with greater self-awareness </w:t>
      </w:r>
      <w:proofErr w:type="gramStart"/>
      <w:r w:rsidRPr="00BB253C">
        <w:t>in order to</w:t>
      </w:r>
      <w:proofErr w:type="gramEnd"/>
      <w:r w:rsidRPr="00BB253C">
        <w:t xml:space="preserve"> remain fully effective. This means questioning when caution is genuinely protecting quality and when it is simply delaying judgement. It also means distinguishing between relevant and irrelevant case </w:t>
      </w:r>
      <w:proofErr w:type="gramStart"/>
      <w:r w:rsidRPr="00BB253C">
        <w:t>differences, and</w:t>
      </w:r>
      <w:proofErr w:type="gramEnd"/>
      <w:r w:rsidRPr="00BB253C">
        <w:t xml:space="preserve"> communicating with both precision and sufficient empathy. The strongest professional improvement, therefore, lies not in abandoning my current values, but in applying them in a more reflective, proportionate and context-sensitive way. That would strengthen both my personal effectiveness and the quality of judgement I bring to the workplace.</w:t>
      </w:r>
    </w:p>
    <w:p w14:paraId="5EF877B2" w14:textId="77777777" w:rsidR="004E290C" w:rsidRDefault="004E290C" w:rsidP="00BB253C">
      <w:pPr>
        <w:jc w:val="both"/>
      </w:pPr>
    </w:p>
    <w:p w14:paraId="43BF152D" w14:textId="1787BF75" w:rsidR="00E21119" w:rsidRPr="00E21119" w:rsidRDefault="00E21119" w:rsidP="00CD6B3F">
      <w:pPr>
        <w:pStyle w:val="Heading1"/>
      </w:pPr>
      <w:bookmarkStart w:id="16" w:name="_Toc225114904"/>
      <w:r w:rsidRPr="00E21119">
        <w:lastRenderedPageBreak/>
        <w:t>References</w:t>
      </w:r>
      <w:bookmarkEnd w:id="15"/>
      <w:bookmarkEnd w:id="16"/>
    </w:p>
    <w:p w14:paraId="2915F4A0" w14:textId="77777777" w:rsidR="00D937C8" w:rsidRPr="00D937C8" w:rsidRDefault="00D937C8" w:rsidP="00D937C8">
      <w:r w:rsidRPr="00D937C8">
        <w:t xml:space="preserve">Ajzen, I. (1991). The theory of planned </w:t>
      </w:r>
      <w:proofErr w:type="spellStart"/>
      <w:r w:rsidRPr="00D937C8">
        <w:t>behavior</w:t>
      </w:r>
      <w:proofErr w:type="spellEnd"/>
      <w:r w:rsidRPr="00D937C8">
        <w:t xml:space="preserve">. </w:t>
      </w:r>
      <w:r w:rsidRPr="00D937C8">
        <w:rPr>
          <w:i/>
          <w:iCs/>
        </w:rPr>
        <w:t xml:space="preserve">Organizational </w:t>
      </w:r>
      <w:proofErr w:type="spellStart"/>
      <w:r w:rsidRPr="00D937C8">
        <w:rPr>
          <w:i/>
          <w:iCs/>
        </w:rPr>
        <w:t>Behavior</w:t>
      </w:r>
      <w:proofErr w:type="spellEnd"/>
      <w:r w:rsidRPr="00D937C8">
        <w:rPr>
          <w:i/>
          <w:iCs/>
        </w:rPr>
        <w:t xml:space="preserve"> and Human Decision Processes, 50</w:t>
      </w:r>
      <w:r w:rsidRPr="00D937C8">
        <w:t>(2), 179–211.</w:t>
      </w:r>
    </w:p>
    <w:p w14:paraId="4A566A7A" w14:textId="77777777" w:rsidR="00D937C8" w:rsidRPr="00D937C8" w:rsidRDefault="00D937C8" w:rsidP="00D937C8">
      <w:r w:rsidRPr="00D937C8">
        <w:t xml:space="preserve">Argyris, C., &amp; Schön, D. A. (1978). </w:t>
      </w:r>
      <w:r w:rsidRPr="00D937C8">
        <w:rPr>
          <w:i/>
          <w:iCs/>
        </w:rPr>
        <w:t>Organizational learning: A theory of action perspective</w:t>
      </w:r>
      <w:r w:rsidRPr="00D937C8">
        <w:t>. Addison-Wesley.</w:t>
      </w:r>
    </w:p>
    <w:p w14:paraId="703FA7AE" w14:textId="77777777" w:rsidR="00D937C8" w:rsidRPr="00D937C8" w:rsidRDefault="00D937C8" w:rsidP="00D937C8">
      <w:r w:rsidRPr="00D937C8">
        <w:t xml:space="preserve">Bardi, A., &amp; Schwartz, S. H. (2003). Values and </w:t>
      </w:r>
      <w:proofErr w:type="spellStart"/>
      <w:r w:rsidRPr="00D937C8">
        <w:t>behavior</w:t>
      </w:r>
      <w:proofErr w:type="spellEnd"/>
      <w:r w:rsidRPr="00D937C8">
        <w:t xml:space="preserve">: Strength and structure of relations. </w:t>
      </w:r>
      <w:r w:rsidRPr="00D937C8">
        <w:rPr>
          <w:i/>
          <w:iCs/>
        </w:rPr>
        <w:t>Personality and Social Psychology Bulletin, 29</w:t>
      </w:r>
      <w:r w:rsidRPr="00D937C8">
        <w:t>(10), 1207–1220.</w:t>
      </w:r>
    </w:p>
    <w:p w14:paraId="5510A47D" w14:textId="77777777" w:rsidR="00D937C8" w:rsidRPr="00D937C8" w:rsidRDefault="00D937C8" w:rsidP="00D937C8">
      <w:r w:rsidRPr="00D937C8">
        <w:t xml:space="preserve">Brookfield, S. D. (2012). </w:t>
      </w:r>
      <w:r w:rsidRPr="00D937C8">
        <w:rPr>
          <w:i/>
          <w:iCs/>
        </w:rPr>
        <w:t>Teaching for critical thinking: Tools and techniques to help students question their assumptions</w:t>
      </w:r>
      <w:r w:rsidRPr="00D937C8">
        <w:t>. Jossey-Bass.</w:t>
      </w:r>
    </w:p>
    <w:p w14:paraId="7A832700" w14:textId="77777777" w:rsidR="00D937C8" w:rsidRPr="00D937C8" w:rsidRDefault="00D937C8" w:rsidP="00D937C8">
      <w:r w:rsidRPr="00D937C8">
        <w:t xml:space="preserve">Browne, M. N., &amp; Keeley, S. M. (2007). </w:t>
      </w:r>
      <w:r w:rsidRPr="00D937C8">
        <w:rPr>
          <w:i/>
          <w:iCs/>
        </w:rPr>
        <w:t>Asking the right questions: A guide to critical thinking</w:t>
      </w:r>
      <w:r w:rsidRPr="00D937C8">
        <w:t xml:space="preserve"> (8th ed.). Pearson Prentice Hall.</w:t>
      </w:r>
    </w:p>
    <w:p w14:paraId="147C11CE" w14:textId="77777777" w:rsidR="00D937C8" w:rsidRPr="00D937C8" w:rsidRDefault="00D937C8" w:rsidP="00D937C8">
      <w:r w:rsidRPr="00D937C8">
        <w:t xml:space="preserve">Burns, T., &amp; Stalker, G. M. (1961). </w:t>
      </w:r>
      <w:r w:rsidRPr="00D937C8">
        <w:rPr>
          <w:i/>
          <w:iCs/>
        </w:rPr>
        <w:t>The management of innovation</w:t>
      </w:r>
      <w:r w:rsidRPr="00D937C8">
        <w:t>. Tavistock Publications.</w:t>
      </w:r>
    </w:p>
    <w:p w14:paraId="76C3C767" w14:textId="77777777" w:rsidR="00D937C8" w:rsidRPr="00D937C8" w:rsidRDefault="00D937C8" w:rsidP="00D937C8">
      <w:r w:rsidRPr="00D937C8">
        <w:t xml:space="preserve">Colquitt, J. A., Conlon, D. E., Wesson, M. J., Porter, C. O. L. H., &amp; Ng, K. Y. (2001). Justice at the millennium: A meta-analytic review of 25 years of organizational justice research. </w:t>
      </w:r>
      <w:r w:rsidRPr="00D937C8">
        <w:rPr>
          <w:i/>
          <w:iCs/>
        </w:rPr>
        <w:t>Journal of Applied Psychology, 86</w:t>
      </w:r>
      <w:r w:rsidRPr="00D937C8">
        <w:t>(3), 425–445.</w:t>
      </w:r>
    </w:p>
    <w:p w14:paraId="4FC5A3C4" w14:textId="77777777" w:rsidR="00D937C8" w:rsidRPr="00D937C8" w:rsidRDefault="00D937C8" w:rsidP="00D937C8">
      <w:r w:rsidRPr="00D937C8">
        <w:t xml:space="preserve">Dewey, J. (1910). </w:t>
      </w:r>
      <w:r w:rsidRPr="00D937C8">
        <w:rPr>
          <w:i/>
          <w:iCs/>
        </w:rPr>
        <w:t>How we think</w:t>
      </w:r>
      <w:r w:rsidRPr="00D937C8">
        <w:t>. D. C. Heath.</w:t>
      </w:r>
    </w:p>
    <w:p w14:paraId="6C287F07" w14:textId="77777777" w:rsidR="00D937C8" w:rsidRPr="00D937C8" w:rsidRDefault="00D937C8" w:rsidP="00D937C8">
      <w:r w:rsidRPr="00D937C8">
        <w:t xml:space="preserve">Donaldson, L. (2001). </w:t>
      </w:r>
      <w:r w:rsidRPr="00D937C8">
        <w:rPr>
          <w:i/>
          <w:iCs/>
        </w:rPr>
        <w:t>The contingency theory of organizations</w:t>
      </w:r>
      <w:r w:rsidRPr="00D937C8">
        <w:t>. Sage.</w:t>
      </w:r>
    </w:p>
    <w:p w14:paraId="689E0DCD" w14:textId="77777777" w:rsidR="00D937C8" w:rsidRPr="00D937C8" w:rsidRDefault="00D937C8" w:rsidP="00D937C8">
      <w:proofErr w:type="spellStart"/>
      <w:r w:rsidRPr="00D937C8">
        <w:t>Facione</w:t>
      </w:r>
      <w:proofErr w:type="spellEnd"/>
      <w:r w:rsidRPr="00D937C8">
        <w:t xml:space="preserve">, P. A. (1990). </w:t>
      </w:r>
      <w:r w:rsidRPr="00D937C8">
        <w:rPr>
          <w:i/>
          <w:iCs/>
        </w:rPr>
        <w:t>Critical thinking: A statement of expert consensus for purposes of educational assessment and instruction</w:t>
      </w:r>
      <w:r w:rsidRPr="00D937C8">
        <w:t>. The California Academic Press.</w:t>
      </w:r>
    </w:p>
    <w:p w14:paraId="12845ECC" w14:textId="77777777" w:rsidR="00D937C8" w:rsidRPr="00D937C8" w:rsidRDefault="00D937C8" w:rsidP="00D937C8">
      <w:r w:rsidRPr="00D937C8">
        <w:t xml:space="preserve">Festinger, L. (1957). </w:t>
      </w:r>
      <w:r w:rsidRPr="00D937C8">
        <w:rPr>
          <w:i/>
          <w:iCs/>
        </w:rPr>
        <w:t>A theory of cognitive dissonance</w:t>
      </w:r>
      <w:r w:rsidRPr="00D937C8">
        <w:t>. Stanford University Press.</w:t>
      </w:r>
    </w:p>
    <w:p w14:paraId="7B356C1B" w14:textId="77777777" w:rsidR="00D937C8" w:rsidRPr="00D937C8" w:rsidRDefault="00D937C8" w:rsidP="00D937C8">
      <w:r w:rsidRPr="00D937C8">
        <w:t xml:space="preserve">Fiedler, F. E. (1967). </w:t>
      </w:r>
      <w:r w:rsidRPr="00D937C8">
        <w:rPr>
          <w:i/>
          <w:iCs/>
        </w:rPr>
        <w:t>A theory of leadership effectiveness</w:t>
      </w:r>
      <w:r w:rsidRPr="00D937C8">
        <w:t>. McGraw-Hill.</w:t>
      </w:r>
    </w:p>
    <w:p w14:paraId="4B814A42" w14:textId="77777777" w:rsidR="00D937C8" w:rsidRPr="00D937C8" w:rsidRDefault="00D937C8" w:rsidP="00D937C8">
      <w:r w:rsidRPr="00D937C8">
        <w:t xml:space="preserve">Halpern, D. F. (2014). </w:t>
      </w:r>
      <w:r w:rsidRPr="00D937C8">
        <w:rPr>
          <w:i/>
          <w:iCs/>
        </w:rPr>
        <w:t>Thought and knowledge: An introduction to critical thinking</w:t>
      </w:r>
      <w:r w:rsidRPr="00D937C8">
        <w:t xml:space="preserve"> (5th ed.). Psychology Press.</w:t>
      </w:r>
    </w:p>
    <w:p w14:paraId="3A0AA8F5" w14:textId="77777777" w:rsidR="00D937C8" w:rsidRPr="00D937C8" w:rsidRDefault="00D937C8" w:rsidP="00D937C8">
      <w:r w:rsidRPr="00D937C8">
        <w:t xml:space="preserve">Kahneman, D. (2011). </w:t>
      </w:r>
      <w:r w:rsidRPr="00D937C8">
        <w:rPr>
          <w:i/>
          <w:iCs/>
        </w:rPr>
        <w:t>Thinking, fast and slow</w:t>
      </w:r>
      <w:r w:rsidRPr="00D937C8">
        <w:t>. Farrar, Straus and Giroux.</w:t>
      </w:r>
    </w:p>
    <w:p w14:paraId="460096D2" w14:textId="77777777" w:rsidR="00D937C8" w:rsidRPr="00D937C8" w:rsidRDefault="00D937C8" w:rsidP="00D937C8">
      <w:r w:rsidRPr="00D937C8">
        <w:t xml:space="preserve">Lawrence, P. R., &amp; Lorsch, J. W. (1967). </w:t>
      </w:r>
      <w:r w:rsidRPr="00D937C8">
        <w:rPr>
          <w:i/>
          <w:iCs/>
        </w:rPr>
        <w:t>Organization and environment: Managing differentiation and integration</w:t>
      </w:r>
      <w:r w:rsidRPr="00D937C8">
        <w:t>. Harvard University Press.</w:t>
      </w:r>
    </w:p>
    <w:p w14:paraId="1FA6CBA2" w14:textId="77777777" w:rsidR="00D937C8" w:rsidRPr="00D937C8" w:rsidRDefault="00D937C8" w:rsidP="00D937C8">
      <w:proofErr w:type="spellStart"/>
      <w:r w:rsidRPr="00D937C8">
        <w:t>Meglino</w:t>
      </w:r>
      <w:proofErr w:type="spellEnd"/>
      <w:r w:rsidRPr="00D937C8">
        <w:t xml:space="preserve">, B. M., &amp; Ravlin, E. C. (1998). Individual values in organizations: Concepts, controversies, and research. </w:t>
      </w:r>
      <w:r w:rsidRPr="00D937C8">
        <w:rPr>
          <w:i/>
          <w:iCs/>
        </w:rPr>
        <w:t>Journal of Management, 24</w:t>
      </w:r>
      <w:r w:rsidRPr="00D937C8">
        <w:t>(3), 351–389.</w:t>
      </w:r>
    </w:p>
    <w:p w14:paraId="5CDEDB6B" w14:textId="77777777" w:rsidR="00D937C8" w:rsidRPr="00D937C8" w:rsidRDefault="00D937C8" w:rsidP="00D937C8">
      <w:r w:rsidRPr="00D937C8">
        <w:t xml:space="preserve">Moise, C. (n.d.). </w:t>
      </w:r>
      <w:r w:rsidRPr="00D937C8">
        <w:rPr>
          <w:i/>
          <w:iCs/>
        </w:rPr>
        <w:t>Importance of beliefs, attitudes and values in the frame of human resource motivation</w:t>
      </w:r>
      <w:r w:rsidRPr="00D937C8">
        <w:t>.</w:t>
      </w:r>
    </w:p>
    <w:p w14:paraId="6C948258" w14:textId="77777777" w:rsidR="00D937C8" w:rsidRPr="00D937C8" w:rsidRDefault="00D937C8" w:rsidP="00D937C8">
      <w:proofErr w:type="spellStart"/>
      <w:r w:rsidRPr="00D937C8">
        <w:lastRenderedPageBreak/>
        <w:t>Olum</w:t>
      </w:r>
      <w:proofErr w:type="spellEnd"/>
      <w:r w:rsidRPr="00D937C8">
        <w:t xml:space="preserve">, Y. (2004). </w:t>
      </w:r>
      <w:r w:rsidRPr="00D937C8">
        <w:rPr>
          <w:i/>
          <w:iCs/>
        </w:rPr>
        <w:t>Modern management theories and practices: A critical overview</w:t>
      </w:r>
      <w:r w:rsidRPr="00D937C8">
        <w:t>. Makerere University.</w:t>
      </w:r>
    </w:p>
    <w:p w14:paraId="18594815" w14:textId="77777777" w:rsidR="00D937C8" w:rsidRPr="00D937C8" w:rsidRDefault="00D937C8" w:rsidP="00D937C8">
      <w:r w:rsidRPr="00D937C8">
        <w:t xml:space="preserve">Paul, R., &amp; Elder, L. (2014). </w:t>
      </w:r>
      <w:r w:rsidRPr="00D937C8">
        <w:rPr>
          <w:i/>
          <w:iCs/>
        </w:rPr>
        <w:t>Critical thinking: Tools for taking charge of your professional and personal life</w:t>
      </w:r>
      <w:r w:rsidRPr="00D937C8">
        <w:t xml:space="preserve"> (2nd ed.). Pearson.</w:t>
      </w:r>
    </w:p>
    <w:p w14:paraId="342F0680" w14:textId="77777777" w:rsidR="00D937C8" w:rsidRPr="00D937C8" w:rsidRDefault="00D937C8" w:rsidP="00D937C8">
      <w:r w:rsidRPr="00D937C8">
        <w:t xml:space="preserve">Pearson Education, Inc. (2013). </w:t>
      </w:r>
      <w:r w:rsidRPr="00D937C8">
        <w:rPr>
          <w:i/>
          <w:iCs/>
        </w:rPr>
        <w:t>How critical thinking works: Introduction to the RED model</w:t>
      </w:r>
      <w:r w:rsidRPr="00D937C8">
        <w:t>.</w:t>
      </w:r>
    </w:p>
    <w:p w14:paraId="0B19312C" w14:textId="77777777" w:rsidR="00D937C8" w:rsidRPr="00D937C8" w:rsidRDefault="00D937C8" w:rsidP="00D937C8">
      <w:r w:rsidRPr="00D937C8">
        <w:t xml:space="preserve">Rokeach, M. (1973). </w:t>
      </w:r>
      <w:r w:rsidRPr="00D937C8">
        <w:rPr>
          <w:i/>
          <w:iCs/>
        </w:rPr>
        <w:t>The nature of human values</w:t>
      </w:r>
      <w:r w:rsidRPr="00D937C8">
        <w:t>. Free Press.</w:t>
      </w:r>
    </w:p>
    <w:p w14:paraId="60802233" w14:textId="77777777" w:rsidR="00D937C8" w:rsidRPr="00D937C8" w:rsidRDefault="00D937C8" w:rsidP="00D937C8">
      <w:r w:rsidRPr="00D937C8">
        <w:t xml:space="preserve">Schein, E. H., &amp; Schein, P. A. (2018). </w:t>
      </w:r>
      <w:r w:rsidRPr="00D937C8">
        <w:rPr>
          <w:i/>
          <w:iCs/>
        </w:rPr>
        <w:t>Organizational culture and leadership</w:t>
      </w:r>
      <w:r w:rsidRPr="00D937C8">
        <w:t xml:space="preserve"> (5th ed.). Wiley.</w:t>
      </w:r>
    </w:p>
    <w:p w14:paraId="2EACE7BA" w14:textId="77777777" w:rsidR="00D937C8" w:rsidRPr="00D937C8" w:rsidRDefault="00D937C8" w:rsidP="00D937C8">
      <w:r w:rsidRPr="00D937C8">
        <w:t xml:space="preserve">Schön, D. A. (1983). </w:t>
      </w:r>
      <w:r w:rsidRPr="00D937C8">
        <w:rPr>
          <w:i/>
          <w:iCs/>
        </w:rPr>
        <w:t>The reflective practitioner: How professionals think in action</w:t>
      </w:r>
      <w:r w:rsidRPr="00D937C8">
        <w:t>. Basic Books.</w:t>
      </w:r>
    </w:p>
    <w:p w14:paraId="3A42A54F" w14:textId="77777777" w:rsidR="00D937C8" w:rsidRPr="00D937C8" w:rsidRDefault="00D937C8" w:rsidP="00D937C8">
      <w:r w:rsidRPr="00D937C8">
        <w:t xml:space="preserve">Schwartz, S. H. (1992). Universals in the content and structure of values: Theoretical advances and empirical tests in 20 countries. In M. P. Zanna (Ed.), </w:t>
      </w:r>
      <w:r w:rsidRPr="00D937C8">
        <w:rPr>
          <w:i/>
          <w:iCs/>
        </w:rPr>
        <w:t>Advances in experimental social psychology</w:t>
      </w:r>
      <w:r w:rsidRPr="00D937C8">
        <w:t xml:space="preserve"> (Vol. 25, pp. 1–65). Academic Press.</w:t>
      </w:r>
    </w:p>
    <w:p w14:paraId="29CCA044" w14:textId="77777777" w:rsidR="00D937C8" w:rsidRPr="00D937C8" w:rsidRDefault="00D937C8" w:rsidP="00D937C8">
      <w:r w:rsidRPr="00D937C8">
        <w:t xml:space="preserve">Treviño, L. K., Weaver, G. R., &amp; Reynolds, S. J. (2006). </w:t>
      </w:r>
      <w:proofErr w:type="spellStart"/>
      <w:r w:rsidRPr="00D937C8">
        <w:t>Behavioral</w:t>
      </w:r>
      <w:proofErr w:type="spellEnd"/>
      <w:r w:rsidRPr="00D937C8">
        <w:t xml:space="preserve"> ethics in organizations: A review. </w:t>
      </w:r>
      <w:r w:rsidRPr="00D937C8">
        <w:rPr>
          <w:i/>
          <w:iCs/>
        </w:rPr>
        <w:t>Journal of Management, 32</w:t>
      </w:r>
      <w:r w:rsidRPr="00D937C8">
        <w:t>(6), 951–990.</w:t>
      </w:r>
    </w:p>
    <w:p w14:paraId="6E71950E" w14:textId="4648573A" w:rsidR="00E21119" w:rsidRPr="00E21119" w:rsidRDefault="00E21119" w:rsidP="00D937C8"/>
    <w:sectPr w:rsidR="00E21119" w:rsidRPr="00E21119" w:rsidSect="00A57B57">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98976" w14:textId="77777777" w:rsidR="006A5951" w:rsidRDefault="006A5951" w:rsidP="00A57B57">
      <w:pPr>
        <w:spacing w:after="0" w:line="240" w:lineRule="auto"/>
      </w:pPr>
      <w:r>
        <w:separator/>
      </w:r>
    </w:p>
  </w:endnote>
  <w:endnote w:type="continuationSeparator" w:id="0">
    <w:p w14:paraId="1A671C25" w14:textId="77777777" w:rsidR="006A5951" w:rsidRDefault="006A5951" w:rsidP="00A57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C5DB" w14:textId="1B5397DB" w:rsidR="001A3A7E" w:rsidRDefault="001A3A7E" w:rsidP="001A3A7E">
    <w:pPr>
      <w:pStyle w:val="Footer"/>
      <w:tabs>
        <w:tab w:val="clear" w:pos="4513"/>
        <w:tab w:val="clear" w:pos="9026"/>
        <w:tab w:val="left" w:pos="7766"/>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D3F14" w14:textId="77777777" w:rsidR="000159CC" w:rsidRDefault="000159CC" w:rsidP="001A3A7E">
    <w:pPr>
      <w:pStyle w:val="Footer"/>
      <w:tabs>
        <w:tab w:val="clear" w:pos="4513"/>
        <w:tab w:val="clear" w:pos="9026"/>
        <w:tab w:val="left" w:pos="7766"/>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135765"/>
      <w:docPartObj>
        <w:docPartGallery w:val="Page Numbers (Bottom of Page)"/>
        <w:docPartUnique/>
      </w:docPartObj>
    </w:sdtPr>
    <w:sdtContent>
      <w:sdt>
        <w:sdtPr>
          <w:id w:val="-1769616900"/>
          <w:docPartObj>
            <w:docPartGallery w:val="Page Numbers (Top of Page)"/>
            <w:docPartUnique/>
          </w:docPartObj>
        </w:sdtPr>
        <w:sdtContent>
          <w:p w14:paraId="71F3D1B9" w14:textId="6A1A5E58" w:rsidR="000159CC" w:rsidRDefault="000159C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6D69F4F" w14:textId="52AA7FC0" w:rsidR="000159CC" w:rsidRDefault="000159CC" w:rsidP="001A3A7E">
    <w:pPr>
      <w:pStyle w:val="Footer"/>
      <w:tabs>
        <w:tab w:val="clear" w:pos="4513"/>
        <w:tab w:val="clear" w:pos="9026"/>
        <w:tab w:val="left" w:pos="776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B210D" w14:textId="77777777" w:rsidR="006A5951" w:rsidRDefault="006A5951" w:rsidP="00A57B57">
      <w:pPr>
        <w:spacing w:after="0" w:line="240" w:lineRule="auto"/>
      </w:pPr>
      <w:r>
        <w:separator/>
      </w:r>
    </w:p>
  </w:footnote>
  <w:footnote w:type="continuationSeparator" w:id="0">
    <w:p w14:paraId="70D7AC46" w14:textId="77777777" w:rsidR="006A5951" w:rsidRDefault="006A5951" w:rsidP="00A57B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119"/>
    <w:rsid w:val="000159CC"/>
    <w:rsid w:val="00022E07"/>
    <w:rsid w:val="00024D70"/>
    <w:rsid w:val="00105477"/>
    <w:rsid w:val="00154432"/>
    <w:rsid w:val="00182CD8"/>
    <w:rsid w:val="0019280E"/>
    <w:rsid w:val="001A3A7E"/>
    <w:rsid w:val="001F154F"/>
    <w:rsid w:val="00232550"/>
    <w:rsid w:val="00257769"/>
    <w:rsid w:val="00263114"/>
    <w:rsid w:val="00274ABA"/>
    <w:rsid w:val="00457DCE"/>
    <w:rsid w:val="004A10FF"/>
    <w:rsid w:val="004C5506"/>
    <w:rsid w:val="004E290C"/>
    <w:rsid w:val="004F7BAC"/>
    <w:rsid w:val="00597394"/>
    <w:rsid w:val="00611C11"/>
    <w:rsid w:val="00664100"/>
    <w:rsid w:val="006A5951"/>
    <w:rsid w:val="007060E8"/>
    <w:rsid w:val="007541C2"/>
    <w:rsid w:val="00761066"/>
    <w:rsid w:val="00812209"/>
    <w:rsid w:val="00867E31"/>
    <w:rsid w:val="008F52DF"/>
    <w:rsid w:val="00911AE8"/>
    <w:rsid w:val="00A001A2"/>
    <w:rsid w:val="00A40F98"/>
    <w:rsid w:val="00A47E00"/>
    <w:rsid w:val="00A57B57"/>
    <w:rsid w:val="00A77D4B"/>
    <w:rsid w:val="00A84556"/>
    <w:rsid w:val="00AB2710"/>
    <w:rsid w:val="00B458A1"/>
    <w:rsid w:val="00BB253C"/>
    <w:rsid w:val="00BD72BF"/>
    <w:rsid w:val="00CD6B3F"/>
    <w:rsid w:val="00D937C8"/>
    <w:rsid w:val="00D938AA"/>
    <w:rsid w:val="00DB0E79"/>
    <w:rsid w:val="00DC5A17"/>
    <w:rsid w:val="00DD7DAF"/>
    <w:rsid w:val="00E21119"/>
    <w:rsid w:val="00EA51AC"/>
    <w:rsid w:val="00EB7CDB"/>
    <w:rsid w:val="00F457E3"/>
    <w:rsid w:val="00FA5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A5315"/>
  <w15:chartTrackingRefBased/>
  <w15:docId w15:val="{03CA0D07-DA72-4806-8483-CB9B785BA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1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11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1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1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1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1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1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1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1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1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11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1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1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1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1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1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1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119"/>
    <w:rPr>
      <w:rFonts w:eastAsiaTheme="majorEastAsia" w:cstheme="majorBidi"/>
      <w:color w:val="272727" w:themeColor="text1" w:themeTint="D8"/>
    </w:rPr>
  </w:style>
  <w:style w:type="paragraph" w:styleId="Title">
    <w:name w:val="Title"/>
    <w:basedOn w:val="Normal"/>
    <w:next w:val="Normal"/>
    <w:link w:val="TitleChar"/>
    <w:uiPriority w:val="10"/>
    <w:qFormat/>
    <w:rsid w:val="00E211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1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1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1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119"/>
    <w:pPr>
      <w:spacing w:before="160"/>
      <w:jc w:val="center"/>
    </w:pPr>
    <w:rPr>
      <w:i/>
      <w:iCs/>
      <w:color w:val="404040" w:themeColor="text1" w:themeTint="BF"/>
    </w:rPr>
  </w:style>
  <w:style w:type="character" w:customStyle="1" w:styleId="QuoteChar">
    <w:name w:val="Quote Char"/>
    <w:basedOn w:val="DefaultParagraphFont"/>
    <w:link w:val="Quote"/>
    <w:uiPriority w:val="29"/>
    <w:rsid w:val="00E21119"/>
    <w:rPr>
      <w:i/>
      <w:iCs/>
      <w:color w:val="404040" w:themeColor="text1" w:themeTint="BF"/>
    </w:rPr>
  </w:style>
  <w:style w:type="paragraph" w:styleId="ListParagraph">
    <w:name w:val="List Paragraph"/>
    <w:basedOn w:val="Normal"/>
    <w:uiPriority w:val="34"/>
    <w:qFormat/>
    <w:rsid w:val="00E21119"/>
    <w:pPr>
      <w:ind w:left="720"/>
      <w:contextualSpacing/>
    </w:pPr>
  </w:style>
  <w:style w:type="character" w:styleId="IntenseEmphasis">
    <w:name w:val="Intense Emphasis"/>
    <w:basedOn w:val="DefaultParagraphFont"/>
    <w:uiPriority w:val="21"/>
    <w:qFormat/>
    <w:rsid w:val="00E21119"/>
    <w:rPr>
      <w:i/>
      <w:iCs/>
      <w:color w:val="0F4761" w:themeColor="accent1" w:themeShade="BF"/>
    </w:rPr>
  </w:style>
  <w:style w:type="paragraph" w:styleId="IntenseQuote">
    <w:name w:val="Intense Quote"/>
    <w:basedOn w:val="Normal"/>
    <w:next w:val="Normal"/>
    <w:link w:val="IntenseQuoteChar"/>
    <w:uiPriority w:val="30"/>
    <w:qFormat/>
    <w:rsid w:val="00E211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119"/>
    <w:rPr>
      <w:i/>
      <w:iCs/>
      <w:color w:val="0F4761" w:themeColor="accent1" w:themeShade="BF"/>
    </w:rPr>
  </w:style>
  <w:style w:type="character" w:styleId="IntenseReference">
    <w:name w:val="Intense Reference"/>
    <w:basedOn w:val="DefaultParagraphFont"/>
    <w:uiPriority w:val="32"/>
    <w:qFormat/>
    <w:rsid w:val="00E21119"/>
    <w:rPr>
      <w:b/>
      <w:bCs/>
      <w:smallCaps/>
      <w:color w:val="0F4761" w:themeColor="accent1" w:themeShade="BF"/>
      <w:spacing w:val="5"/>
    </w:rPr>
  </w:style>
  <w:style w:type="paragraph" w:styleId="Header">
    <w:name w:val="header"/>
    <w:basedOn w:val="Normal"/>
    <w:link w:val="HeaderChar"/>
    <w:uiPriority w:val="99"/>
    <w:unhideWhenUsed/>
    <w:rsid w:val="00A57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B57"/>
  </w:style>
  <w:style w:type="paragraph" w:styleId="Footer">
    <w:name w:val="footer"/>
    <w:basedOn w:val="Normal"/>
    <w:link w:val="FooterChar"/>
    <w:uiPriority w:val="99"/>
    <w:unhideWhenUsed/>
    <w:rsid w:val="00A57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B57"/>
  </w:style>
  <w:style w:type="paragraph" w:styleId="TOCHeading">
    <w:name w:val="TOC Heading"/>
    <w:basedOn w:val="Heading1"/>
    <w:next w:val="Normal"/>
    <w:uiPriority w:val="39"/>
    <w:unhideWhenUsed/>
    <w:qFormat/>
    <w:rsid w:val="0026311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63114"/>
    <w:pPr>
      <w:spacing w:after="100"/>
    </w:pPr>
  </w:style>
  <w:style w:type="character" w:styleId="Hyperlink">
    <w:name w:val="Hyperlink"/>
    <w:basedOn w:val="DefaultParagraphFont"/>
    <w:uiPriority w:val="99"/>
    <w:unhideWhenUsed/>
    <w:rsid w:val="00263114"/>
    <w:rPr>
      <w:color w:val="467886" w:themeColor="hyperlink"/>
      <w:u w:val="single"/>
    </w:rPr>
  </w:style>
  <w:style w:type="paragraph" w:styleId="NormalWeb">
    <w:name w:val="Normal (Web)"/>
    <w:basedOn w:val="Normal"/>
    <w:uiPriority w:val="99"/>
    <w:semiHidden/>
    <w:unhideWhenUsed/>
    <w:rsid w:val="00024D7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48B0C-3C47-4578-83E2-533019F1E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14</Pages>
  <Words>5218</Words>
  <Characters>29747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Naphtali Ojala (2431554)</dc:creator>
  <cp:keywords/>
  <dc:description/>
  <cp:lastModifiedBy>Naphtali Ojala (2431554)</cp:lastModifiedBy>
  <cp:revision>29</cp:revision>
  <dcterms:created xsi:type="dcterms:W3CDTF">2026-03-22T16:07:00Z</dcterms:created>
  <dcterms:modified xsi:type="dcterms:W3CDTF">2026-03-22T23:34:00Z</dcterms:modified>
</cp:coreProperties>
</file>