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109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5"/>
      </w:tblGrid>
      <w:tr w:rsidR="00943FDB" w:rsidRPr="005D3F07" w14:paraId="7AD75ACC" w14:textId="77777777" w:rsidTr="00054C37">
        <w:tc>
          <w:tcPr>
            <w:tcW w:w="10915" w:type="dxa"/>
            <w:shd w:val="clear" w:color="auto" w:fill="auto"/>
          </w:tcPr>
          <w:p w14:paraId="04438268" w14:textId="6E74423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054C37">
              <w:rPr>
                <w:rFonts w:ascii="Times New Roman" w:hAnsi="Times New Roman" w:cs="Times New Roman"/>
                <w:b/>
                <w:sz w:val="48"/>
              </w:rPr>
              <w:t>Tanya Williams</w:t>
            </w:r>
          </w:p>
          <w:p w14:paraId="2CEE7446" w14:textId="77777777" w:rsidR="00943FDB" w:rsidRDefault="00943FDB" w:rsidP="00415891">
            <w:pPr>
              <w:ind w:right="-957"/>
              <w:rPr>
                <w:rFonts w:ascii="Times New Roman" w:hAnsi="Times New Roman" w:cs="Times New Roman"/>
                <w:b/>
                <w:sz w:val="48"/>
              </w:rPr>
            </w:pPr>
          </w:p>
          <w:p w14:paraId="30D7BCF3" w14:textId="618D9FFE" w:rsidR="00054C37" w:rsidRDefault="00943FDB" w:rsidP="00634520">
            <w:pPr>
              <w:ind w:right="-957"/>
              <w:rPr>
                <w:rFonts w:ascii="Times New Roman" w:hAnsi="Times New Roman" w:cs="Times New Roman"/>
                <w:b/>
                <w:sz w:val="48"/>
              </w:rPr>
            </w:pPr>
            <w:r>
              <w:rPr>
                <w:rFonts w:ascii="Times New Roman" w:hAnsi="Times New Roman" w:cs="Times New Roman"/>
                <w:b/>
                <w:sz w:val="48"/>
              </w:rPr>
              <w:t>Email address:</w:t>
            </w:r>
            <w:r w:rsidR="00054C37">
              <w:rPr>
                <w:rFonts w:ascii="Times New Roman" w:hAnsi="Times New Roman" w:cs="Times New Roman"/>
                <w:b/>
                <w:sz w:val="48"/>
              </w:rPr>
              <w:t xml:space="preserve"> </w:t>
            </w:r>
            <w:r w:rsidR="001B35EA">
              <w:rPr>
                <w:rFonts w:ascii="Times New Roman" w:hAnsi="Times New Roman" w:cs="Times New Roman"/>
                <w:b/>
                <w:sz w:val="48"/>
              </w:rPr>
              <w:t>2320477@student.uwtsd.ac.uk</w:t>
            </w:r>
            <w:r w:rsidR="00054C37">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7D4253E1" w14:textId="77777777" w:rsidR="00054C3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054C37">
              <w:rPr>
                <w:rFonts w:ascii="Times New Roman" w:hAnsi="Times New Roman" w:cs="Times New Roman"/>
                <w:b/>
                <w:sz w:val="48"/>
              </w:rPr>
              <w:t xml:space="preserve"> </w:t>
            </w:r>
          </w:p>
          <w:p w14:paraId="4128B356" w14:textId="1C4AD10B" w:rsidR="00943FDB" w:rsidRPr="005D3F07" w:rsidRDefault="00054C37" w:rsidP="00415891">
            <w:pPr>
              <w:ind w:right="-957"/>
              <w:rPr>
                <w:rFonts w:ascii="Times New Roman" w:hAnsi="Times New Roman" w:cs="Times New Roman"/>
                <w:b/>
                <w:sz w:val="48"/>
              </w:rPr>
            </w:pPr>
            <w:r>
              <w:rPr>
                <w:rFonts w:ascii="Times New Roman" w:hAnsi="Times New Roman" w:cs="Times New Roman"/>
                <w:b/>
                <w:sz w:val="48"/>
              </w:rPr>
              <w:t>2320477</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0CB4BBC9" w:rsidR="004F0E93" w:rsidRDefault="004F0E93" w:rsidP="002D6B34">
            <w:pPr>
              <w:jc w:val="both"/>
              <w:rPr>
                <w:i/>
                <w:iCs/>
              </w:rPr>
            </w:pPr>
          </w:p>
          <w:p w14:paraId="135137AE" w14:textId="26C4C484" w:rsidR="006F7D40" w:rsidRDefault="00CE27D8" w:rsidP="00CE27D8">
            <w:pPr>
              <w:rPr>
                <w:rFonts w:cstheme="minorHAnsi"/>
                <w:color w:val="000000" w:themeColor="text1"/>
              </w:rPr>
            </w:pPr>
            <w:r w:rsidRPr="00CE27D8">
              <w:rPr>
                <w:rFonts w:cstheme="minorHAnsi"/>
                <w:color w:val="000000" w:themeColor="text1"/>
              </w:rPr>
              <w:t xml:space="preserve">During my first year in practice, I have been working in the Community Mental Health Team. My experience has been positive but has also brought challenges. During discussions with my mentor, future development needs were identified to ensure I continue to progress as a social worker. In this essay I will be reflecting on my first year in practice by using Borton’s (1970) model of reflection. The model is based on three questions: What, So What? Now What? </w:t>
            </w:r>
            <w:r w:rsidR="006F7D40">
              <w:rPr>
                <w:rFonts w:cstheme="minorHAnsi"/>
                <w:color w:val="000000" w:themeColor="text1"/>
              </w:rPr>
              <w:t xml:space="preserve">A feature of professional accountability </w:t>
            </w:r>
            <w:r w:rsidR="00384213">
              <w:rPr>
                <w:rFonts w:cstheme="minorHAnsi"/>
                <w:color w:val="000000" w:themeColor="text1"/>
              </w:rPr>
              <w:t>is to reflect on the effectiveness of our work (Trevithick, 2011).</w:t>
            </w:r>
          </w:p>
          <w:p w14:paraId="15821ADB" w14:textId="77777777" w:rsidR="00CE27D8" w:rsidRPr="00CE27D8" w:rsidRDefault="00CE27D8" w:rsidP="00CE27D8">
            <w:pPr>
              <w:rPr>
                <w:rFonts w:cstheme="minorHAnsi"/>
                <w:color w:val="000000" w:themeColor="text1"/>
              </w:rPr>
            </w:pPr>
          </w:p>
          <w:p w14:paraId="3B4D032C" w14:textId="328DD13A" w:rsidR="00CE27D8" w:rsidRPr="00CE27D8" w:rsidRDefault="00CE27D8" w:rsidP="00CE27D8">
            <w:pPr>
              <w:rPr>
                <w:rFonts w:cstheme="minorHAnsi"/>
                <w:color w:val="000000" w:themeColor="text1"/>
              </w:rPr>
            </w:pPr>
            <w:r w:rsidRPr="00CE27D8">
              <w:rPr>
                <w:color w:val="000000" w:themeColor="text1"/>
              </w:rPr>
              <w:t xml:space="preserve">The first step of Borton’s (1970) model is ‘What?’, it looks back on my experience and achievements during my first year in practice.  </w:t>
            </w:r>
            <w:r w:rsidRPr="00CE27D8">
              <w:rPr>
                <w:rFonts w:cstheme="minorHAnsi"/>
                <w:color w:val="000000" w:themeColor="text1"/>
              </w:rPr>
              <w:t xml:space="preserve">My confidence in my abilities as a social worker has increased throughout the year, where I have been able to express my professional judgement in our clinical </w:t>
            </w:r>
            <w:r w:rsidRPr="00CE27D8">
              <w:rPr>
                <w:rFonts w:cstheme="minorHAnsi"/>
                <w:color w:val="000000" w:themeColor="text1"/>
              </w:rPr>
              <w:lastRenderedPageBreak/>
              <w:t xml:space="preserve">meetings held weekly in our team, where it involves other professionals such as nurses, psychiatrist and occupational therapist. I have conducted urgent duty assessment in the community, under Part 1 of the Mental Health (Wales) Measure 2010. This has allowed me to utilise my communication skills to make individuals in times of distress feel comfortable, by showing empathy, listening, also by observing people closely. Observing individuals can gather a lot of information as highlighted by Trevithick (2011). Observing people’s appearance and behaviour is also essential to keep yourself safe, and to understand when to remove yourself from a potentially </w:t>
            </w:r>
            <w:r>
              <w:rPr>
                <w:rFonts w:cstheme="minorHAnsi"/>
                <w:color w:val="000000" w:themeColor="text1"/>
              </w:rPr>
              <w:t>high-risk</w:t>
            </w:r>
            <w:r w:rsidRPr="00CE27D8">
              <w:rPr>
                <w:rFonts w:cstheme="minorHAnsi"/>
                <w:color w:val="000000" w:themeColor="text1"/>
              </w:rPr>
              <w:t xml:space="preserve"> situation. My understanding of mental health diagnoses has increased over the year, which has allowed me to support individuals and their carers.</w:t>
            </w:r>
          </w:p>
          <w:p w14:paraId="147F90FE" w14:textId="77777777" w:rsidR="00CE27D8" w:rsidRPr="00CE27D8" w:rsidRDefault="00CE27D8" w:rsidP="00CE27D8">
            <w:pPr>
              <w:rPr>
                <w:rFonts w:cstheme="minorHAnsi"/>
                <w:color w:val="000000" w:themeColor="text1"/>
              </w:rPr>
            </w:pPr>
          </w:p>
          <w:p w14:paraId="7CEA2A39" w14:textId="77777777" w:rsidR="00CE27D8" w:rsidRPr="00CE27D8" w:rsidRDefault="00CE27D8" w:rsidP="00CE27D8">
            <w:pPr>
              <w:rPr>
                <w:rFonts w:cstheme="minorHAnsi"/>
                <w:color w:val="000000" w:themeColor="text1"/>
              </w:rPr>
            </w:pPr>
            <w:r w:rsidRPr="00CE27D8">
              <w:rPr>
                <w:rFonts w:cstheme="minorHAnsi"/>
                <w:color w:val="000000" w:themeColor="text1"/>
              </w:rPr>
              <w:t xml:space="preserve">The second step of Borton’s (1970) model is ‘So What’ this is the analysis of my experience to understand why I have identified these future developmental needs. Professional Curiosity is a skill I would like to further strengthen. Professional Curiosity seeks to uncover relevant information about risk of harm through asking questions, to verify information, and not to take accounts at face value (Philips </w:t>
            </w:r>
            <w:r w:rsidRPr="00CE27D8">
              <w:rPr>
                <w:rFonts w:cstheme="minorHAnsi"/>
                <w:i/>
                <w:iCs/>
                <w:color w:val="000000" w:themeColor="text1"/>
              </w:rPr>
              <w:t>et al,</w:t>
            </w:r>
            <w:r w:rsidRPr="00CE27D8">
              <w:rPr>
                <w:rFonts w:cstheme="minorHAnsi"/>
                <w:color w:val="000000" w:themeColor="text1"/>
              </w:rPr>
              <w:t xml:space="preserve"> 2021). I would like to be better at exploring, or challenging situations, as this will better inform my interventions. The reason for hesitation at times, is due to fear and hostility from individuals and their families at times where individuals might be in distress.</w:t>
            </w:r>
          </w:p>
          <w:p w14:paraId="3E62D7A0" w14:textId="77777777" w:rsidR="00CE27D8" w:rsidRPr="00CE27D8" w:rsidRDefault="00CE27D8" w:rsidP="00CE27D8">
            <w:pPr>
              <w:rPr>
                <w:rFonts w:cstheme="minorHAnsi"/>
                <w:color w:val="000000" w:themeColor="text1"/>
              </w:rPr>
            </w:pPr>
          </w:p>
          <w:p w14:paraId="70F6E5F8" w14:textId="0BB86B59" w:rsidR="00CE27D8" w:rsidRPr="00CE27D8" w:rsidRDefault="00CE27D8" w:rsidP="00CE27D8">
            <w:pPr>
              <w:rPr>
                <w:rFonts w:cstheme="minorHAnsi"/>
                <w:color w:val="000000" w:themeColor="text1"/>
              </w:rPr>
            </w:pPr>
            <w:r w:rsidRPr="00CE27D8">
              <w:rPr>
                <w:rFonts w:cstheme="minorHAnsi"/>
                <w:color w:val="000000" w:themeColor="text1"/>
              </w:rPr>
              <w:t xml:space="preserve">During supervision with my manager, we have identified complexities of supporting individuals with an eating disorder such as Anorexia. </w:t>
            </w:r>
            <w:r w:rsidR="004339A9">
              <w:rPr>
                <w:rFonts w:cstheme="minorHAnsi"/>
                <w:color w:val="000000" w:themeColor="text1"/>
              </w:rPr>
              <w:t>Davies and Jones (2016) states tha</w:t>
            </w:r>
            <w:r w:rsidR="00CD65DF">
              <w:rPr>
                <w:rFonts w:cstheme="minorHAnsi"/>
                <w:color w:val="000000" w:themeColor="text1"/>
              </w:rPr>
              <w:t xml:space="preserve">t supervision is important to allow opportunity to promote self awareness and examine our values and belief systems. </w:t>
            </w:r>
            <w:r w:rsidRPr="00CE27D8">
              <w:rPr>
                <w:rFonts w:cstheme="minorHAnsi"/>
                <w:color w:val="000000" w:themeColor="text1"/>
              </w:rPr>
              <w:t xml:space="preserve">Working collaboratively with the eating disorder team was identified in supervision as a way to better my understanding, Taylor and Brannan (2018) highlights the positive of collaborative working, to pool skills, knowledge and resources to provide effective support for individuals. I arranged training for our team specifically on Anorexia, to better our knowledge on how to best support individuals in the community, as part 6 of the codes of professionals practice highlights that we must be accountable for the quality of our work and take responsibility for maintaining and developing knowledge and skills. (Social Care Wales, 2017). </w:t>
            </w:r>
          </w:p>
          <w:p w14:paraId="4AE15AEC" w14:textId="77777777" w:rsidR="00CE27D8" w:rsidRPr="00CE27D8" w:rsidRDefault="00CE27D8" w:rsidP="00CE27D8">
            <w:pPr>
              <w:rPr>
                <w:rFonts w:cstheme="minorHAnsi"/>
                <w:color w:val="000000" w:themeColor="text1"/>
              </w:rPr>
            </w:pPr>
          </w:p>
          <w:p w14:paraId="4269E514" w14:textId="183FC359" w:rsidR="00CE27D8" w:rsidRPr="00CE27D8" w:rsidRDefault="00CE27D8" w:rsidP="00CE27D8">
            <w:pPr>
              <w:rPr>
                <w:rFonts w:cstheme="minorHAnsi"/>
                <w:color w:val="000000" w:themeColor="text1"/>
              </w:rPr>
            </w:pPr>
            <w:r w:rsidRPr="00CE27D8">
              <w:rPr>
                <w:rFonts w:cstheme="minorHAnsi"/>
                <w:color w:val="000000" w:themeColor="text1"/>
              </w:rPr>
              <w:t>A difficulty I can face working in a multi-disciplinary team with medical professionals, who at times follow the medical model</w:t>
            </w:r>
            <w:r>
              <w:rPr>
                <w:rFonts w:cstheme="minorHAnsi"/>
                <w:color w:val="000000" w:themeColor="text1"/>
              </w:rPr>
              <w:t xml:space="preserve"> is being assertive</w:t>
            </w:r>
            <w:r w:rsidRPr="00CE27D8">
              <w:rPr>
                <w:rFonts w:cstheme="minorHAnsi"/>
                <w:color w:val="000000" w:themeColor="text1"/>
              </w:rPr>
              <w:t xml:space="preserve">. Golightly and Goemans (2020) </w:t>
            </w:r>
            <w:r>
              <w:rPr>
                <w:rFonts w:cstheme="minorHAnsi"/>
                <w:color w:val="000000" w:themeColor="text1"/>
              </w:rPr>
              <w:t xml:space="preserve">state </w:t>
            </w:r>
            <w:r w:rsidRPr="00CE27D8">
              <w:rPr>
                <w:rFonts w:cstheme="minorHAnsi"/>
                <w:color w:val="000000" w:themeColor="text1"/>
              </w:rPr>
              <w:t>that the medical model has developed physical treatments designed to address mental illness, such as the use of medication. As a social worker, we aim to understanding the person’s life, and their circumstances, and to work with individuals to promote their well-being and recovery (Golightly and Goemans, 2020). Therefore, it is important I continue to build on my confidence to be able to advocate on behalf of individuals</w:t>
            </w:r>
            <w:r>
              <w:rPr>
                <w:rFonts w:cstheme="minorHAnsi"/>
                <w:color w:val="000000" w:themeColor="text1"/>
              </w:rPr>
              <w:t xml:space="preserve"> and raise concerns even if it</w:t>
            </w:r>
            <w:r w:rsidR="00F750F5">
              <w:rPr>
                <w:rFonts w:cstheme="minorHAnsi"/>
                <w:color w:val="000000" w:themeColor="text1"/>
              </w:rPr>
              <w:t xml:space="preserve"> is </w:t>
            </w:r>
            <w:r>
              <w:rPr>
                <w:rFonts w:cstheme="minorHAnsi"/>
                <w:color w:val="000000" w:themeColor="text1"/>
              </w:rPr>
              <w:t xml:space="preserve">against the opinion of my work colleagues. </w:t>
            </w:r>
            <w:r w:rsidRPr="00CE27D8">
              <w:rPr>
                <w:rFonts w:cstheme="minorHAnsi"/>
                <w:color w:val="000000" w:themeColor="text1"/>
              </w:rPr>
              <w:t xml:space="preserve">As Lindsey (2013) states that advocacy is representing individual’s needs to other agencies, negotiating on their behalf. </w:t>
            </w:r>
          </w:p>
          <w:p w14:paraId="738605D5" w14:textId="77777777" w:rsidR="00CE27D8" w:rsidRPr="00CE27D8" w:rsidRDefault="00CE27D8" w:rsidP="00CE27D8">
            <w:pPr>
              <w:rPr>
                <w:rFonts w:cstheme="minorHAnsi"/>
                <w:color w:val="000000" w:themeColor="text1"/>
              </w:rPr>
            </w:pPr>
          </w:p>
          <w:p w14:paraId="779AA6D9" w14:textId="15B074DC" w:rsidR="00CE27D8" w:rsidRPr="00CE27D8" w:rsidRDefault="00CE27D8" w:rsidP="00CE27D8">
            <w:pPr>
              <w:rPr>
                <w:rFonts w:cstheme="minorHAnsi"/>
                <w:color w:val="000000" w:themeColor="text1"/>
              </w:rPr>
            </w:pPr>
            <w:r w:rsidRPr="00CE27D8">
              <w:rPr>
                <w:rFonts w:cstheme="minorHAnsi"/>
                <w:color w:val="000000" w:themeColor="text1"/>
              </w:rPr>
              <w:t xml:space="preserve">‘Now What’ is the last stage of Borton’s (1979) reflection model, where I identify how I plan on achieving my future developmental needs. I plan to attend training on Professional Curiosity to further develop this skill, as Thacker </w:t>
            </w:r>
            <w:r w:rsidRPr="00CE27D8">
              <w:rPr>
                <w:rFonts w:cstheme="minorHAnsi"/>
                <w:i/>
                <w:iCs/>
                <w:color w:val="000000" w:themeColor="text1"/>
              </w:rPr>
              <w:t>et al</w:t>
            </w:r>
            <w:r w:rsidRPr="00CE27D8">
              <w:rPr>
                <w:rFonts w:cstheme="minorHAnsi"/>
                <w:color w:val="000000" w:themeColor="text1"/>
              </w:rPr>
              <w:t xml:space="preserve"> (2019) highlights lack of professional curiosity is often cited in serious case reviews and is a key skill to the reduction of risk. In the future, this skill will enable me to undertake my training to become an Approved Mental Health Practitioner (AMHP). Another outcome for myself is to continue to look into research about Anorexia to improve my understanding, as Edakubo and Fushim (2020) highlight that Anorexia has the highest mortality rate of all mental illnesses. This will allow me to work better </w:t>
            </w:r>
            <w:r w:rsidR="002C33E6">
              <w:rPr>
                <w:rFonts w:cstheme="minorHAnsi"/>
                <w:color w:val="000000" w:themeColor="text1"/>
              </w:rPr>
              <w:t>and inform my future interventions</w:t>
            </w:r>
            <w:r w:rsidRPr="00CE27D8">
              <w:rPr>
                <w:rFonts w:cstheme="minorHAnsi"/>
                <w:color w:val="000000" w:themeColor="text1"/>
              </w:rPr>
              <w:t xml:space="preserve">. I plan on attending assertiveness training to support me to demonstrate my professional opinions. Assertiveness is an </w:t>
            </w:r>
            <w:r w:rsidRPr="00CE27D8">
              <w:rPr>
                <w:rFonts w:cstheme="minorHAnsi"/>
                <w:color w:val="000000" w:themeColor="text1"/>
              </w:rPr>
              <w:lastRenderedPageBreak/>
              <w:t>essential social work skill, that enables us to express honest feelings comfortably to exercise individual rights without denying the rights of others (Parray and Kumar, 2016).</w:t>
            </w:r>
          </w:p>
          <w:p w14:paraId="02FFD762" w14:textId="77777777" w:rsidR="00CE27D8" w:rsidRPr="00CE27D8" w:rsidRDefault="00CE27D8" w:rsidP="00CE27D8">
            <w:pPr>
              <w:rPr>
                <w:rFonts w:cstheme="minorHAnsi"/>
                <w:color w:val="000000" w:themeColor="text1"/>
              </w:rPr>
            </w:pPr>
          </w:p>
          <w:p w14:paraId="0C94BE94" w14:textId="3FE558CB" w:rsidR="00CE27D8" w:rsidRPr="00CE27D8" w:rsidRDefault="00CE27D8" w:rsidP="002D6B34">
            <w:pPr>
              <w:jc w:val="both"/>
              <w:rPr>
                <w:i/>
                <w:iCs/>
              </w:rPr>
            </w:pPr>
            <w:r w:rsidRPr="00CE27D8">
              <w:rPr>
                <w:i/>
                <w:iCs/>
              </w:rPr>
              <w:t>Word Count: 8</w:t>
            </w:r>
            <w:r w:rsidR="00F750F5">
              <w:rPr>
                <w:i/>
                <w:iCs/>
              </w:rPr>
              <w:t>20.</w:t>
            </w:r>
          </w:p>
          <w:p w14:paraId="5E4ECD34" w14:textId="77777777" w:rsidR="004F0E93" w:rsidRPr="00CE27D8" w:rsidRDefault="004F0E93" w:rsidP="002D6B34">
            <w:pPr>
              <w:jc w:val="both"/>
              <w:rPr>
                <w:sz w:val="28"/>
                <w:szCs w:val="28"/>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BCB9079" w:rsidR="004F0E93" w:rsidRDefault="004F0E93" w:rsidP="002D6B34">
            <w:pPr>
              <w:jc w:val="both"/>
            </w:pPr>
            <w:r w:rsidRPr="00C0499C">
              <w:t>650 words</w:t>
            </w:r>
            <w:r>
              <w:t xml:space="preserve"> </w:t>
            </w:r>
            <w:r w:rsidR="00C0499C" w:rsidRPr="00C0499C">
              <w:t>(+/- 10%: include your actual word count at the end of each section).</w:t>
            </w:r>
          </w:p>
          <w:p w14:paraId="6B722129" w14:textId="146F0C5F" w:rsidR="00BD3DFC" w:rsidRDefault="00BD3DFC" w:rsidP="002D6B34">
            <w:pPr>
              <w:jc w:val="both"/>
            </w:pPr>
          </w:p>
          <w:p w14:paraId="6F28B314" w14:textId="77777777" w:rsidR="00BD3DFC" w:rsidRPr="00BD3DFC" w:rsidRDefault="00BD3DFC" w:rsidP="00BD3DFC">
            <w:pPr>
              <w:rPr>
                <w:rFonts w:cstheme="minorHAnsi"/>
                <w:color w:val="000000" w:themeColor="text1"/>
              </w:rPr>
            </w:pPr>
            <w:r w:rsidRPr="00BD3DFC">
              <w:rPr>
                <w:rFonts w:cstheme="minorHAnsi"/>
              </w:rPr>
              <w:t xml:space="preserve">I am going to be using </w:t>
            </w:r>
            <w:r w:rsidRPr="00BD3DFC">
              <w:rPr>
                <w:rFonts w:cstheme="minorHAnsi"/>
                <w:color w:val="000000" w:themeColor="text1"/>
              </w:rPr>
              <w:t xml:space="preserve">Schon’s (1991) reflection model, ‘reflection in action and reflection on action’. Reflection in action is the knowledge we already have that allows us to use remembered skills and experiences into play (Bolton, 2014). Since writing part, A, there has been a big shift in my role and team, as we started our own social services mental health team, and no longer in a multi-disciplinary team. This has been a big learning curve, as it has changed the way we conduct our work. I have been able to concentrate on the principle of the SSWB(W)A 2014, by working collaboratively, and in a person centered way. This has always been our values as social workers, but working in a health-based </w:t>
            </w:r>
            <w:r w:rsidRPr="00BD3DFC">
              <w:rPr>
                <w:rFonts w:cstheme="minorHAnsi"/>
                <w:color w:val="000000" w:themeColor="text1"/>
              </w:rPr>
              <w:lastRenderedPageBreak/>
              <w:t xml:space="preserve">environment, where it was heavily focused on the medical model, it was more difficult to achieve. Therefore, I believe this has been a positive experience and it has strengthened my skills a social worker. </w:t>
            </w:r>
          </w:p>
          <w:p w14:paraId="076AFD2F" w14:textId="77777777" w:rsidR="00BD3DFC" w:rsidRPr="00BD3DFC" w:rsidRDefault="00BD3DFC" w:rsidP="00BD3DFC">
            <w:pPr>
              <w:rPr>
                <w:rFonts w:cstheme="minorHAnsi"/>
                <w:color w:val="000000" w:themeColor="text1"/>
              </w:rPr>
            </w:pPr>
          </w:p>
          <w:p w14:paraId="2E7FA24E" w14:textId="77777777" w:rsidR="00BD3DFC" w:rsidRPr="00BD3DFC" w:rsidRDefault="00BD3DFC" w:rsidP="00BD3DFC">
            <w:pPr>
              <w:rPr>
                <w:rFonts w:cstheme="minorHAnsi"/>
                <w:color w:val="000000" w:themeColor="text1"/>
              </w:rPr>
            </w:pPr>
            <w:r w:rsidRPr="00BD3DFC">
              <w:rPr>
                <w:rFonts w:cstheme="minorHAnsi"/>
                <w:color w:val="000000" w:themeColor="text1"/>
              </w:rPr>
              <w:t xml:space="preserve">Professional curiosity was identified as something I would like to develop, I undertook training and found it extremely helpful, and allowed me to understand when to be curious, but also due to our role, when to keep yourself safe and it is not always appropriate to challenge and be curious with individuals in times of distress. I have noticed that my confidence has grown due to having a more variety of case load and that my professional curiosity has also strengthened as a result. Assertiveness skill was also identified as something I wanted to strengthen, as identified in task 3, I was able to advocate on behalf of an individuals and highlight my professional judgement and concerns in a complex situation. While I still don’t find being assertive comfortable at times, I do believe my communication skills have developed and I am able to put boundaries and highlight my concerns appropriately when required, and this is a skill that will continue to develop over the coming years with more experience and a variety of care load. </w:t>
            </w:r>
          </w:p>
          <w:p w14:paraId="718266F2" w14:textId="77777777" w:rsidR="00BD3DFC" w:rsidRPr="00BD3DFC" w:rsidRDefault="00BD3DFC" w:rsidP="00BD3DFC">
            <w:pPr>
              <w:rPr>
                <w:rFonts w:cstheme="minorHAnsi"/>
                <w:color w:val="000000" w:themeColor="text1"/>
              </w:rPr>
            </w:pPr>
          </w:p>
          <w:p w14:paraId="32B43F3C" w14:textId="1A994A2C" w:rsidR="00BD3DFC" w:rsidRDefault="00BD3DFC" w:rsidP="00BD3DFC">
            <w:pPr>
              <w:rPr>
                <w:rFonts w:cstheme="minorHAnsi"/>
                <w:color w:val="000000" w:themeColor="text1"/>
              </w:rPr>
            </w:pPr>
            <w:r w:rsidRPr="00BD3DFC">
              <w:rPr>
                <w:rFonts w:cstheme="minorHAnsi"/>
                <w:color w:val="000000" w:themeColor="text1"/>
              </w:rPr>
              <w:t xml:space="preserve">The change in my role has also strengthened working collaboratively, I am conducting more assessments under Part 3 of the SSWB(W)A 2014, and the main principle of the act is to work collaboratively with individuals, carers and professionals (Welsh Government, 2015). It is essential that we continue to work in partnership with our health colleagues in the </w:t>
            </w:r>
            <w:r w:rsidR="008E22D6">
              <w:rPr>
                <w:rFonts w:cstheme="minorHAnsi"/>
                <w:color w:val="000000" w:themeColor="text1"/>
              </w:rPr>
              <w:t>community mental health team</w:t>
            </w:r>
            <w:r w:rsidRPr="00BD3DFC">
              <w:rPr>
                <w:rFonts w:cstheme="minorHAnsi"/>
                <w:color w:val="000000" w:themeColor="text1"/>
              </w:rPr>
              <w:t xml:space="preserve"> as we still support the same individuals, but from a different perspective. I have found this positive, and feel it strengthens the support for the individuals, and also carers which is most important. Although there has been challenges in working with other professionals at times, I feel my communication skills has allowed me to de-escalate situations, and ensure the individual is at the centre. I have found supervision with manager essential to discuss complexities and how to address them, as the change in service is new and there are still learning curves for us as workers. </w:t>
            </w:r>
          </w:p>
          <w:p w14:paraId="714BADEF" w14:textId="77777777" w:rsidR="00A31FD3" w:rsidRDefault="00A31FD3" w:rsidP="00BD3DFC">
            <w:pPr>
              <w:rPr>
                <w:rFonts w:cstheme="minorHAnsi"/>
                <w:color w:val="000000" w:themeColor="text1"/>
              </w:rPr>
            </w:pPr>
          </w:p>
          <w:p w14:paraId="131DCFDB" w14:textId="069CE11E" w:rsidR="00BD3DFC" w:rsidRPr="00BD3DFC" w:rsidRDefault="00A31FD3" w:rsidP="00BD3DFC">
            <w:pPr>
              <w:rPr>
                <w:rFonts w:cstheme="minorHAnsi"/>
                <w:color w:val="000000" w:themeColor="text1"/>
              </w:rPr>
            </w:pPr>
            <w:r>
              <w:rPr>
                <w:rFonts w:cstheme="minorHAnsi"/>
                <w:color w:val="000000" w:themeColor="text1"/>
              </w:rPr>
              <w:t xml:space="preserve">In </w:t>
            </w:r>
            <w:r w:rsidRPr="00BD3DFC">
              <w:rPr>
                <w:rFonts w:cstheme="minorHAnsi"/>
                <w:color w:val="000000" w:themeColor="text1"/>
              </w:rPr>
              <w:t>Schon’s (1991) reflection model,</w:t>
            </w:r>
            <w:r w:rsidR="00481A3E">
              <w:rPr>
                <w:rFonts w:cstheme="minorHAnsi"/>
                <w:color w:val="000000" w:themeColor="text1"/>
              </w:rPr>
              <w:t xml:space="preserve"> reflection on action is reflection after an event, and it increase the effectiveness in action (Bolton, 2014). </w:t>
            </w:r>
            <w:r w:rsidR="00BD3DFC" w:rsidRPr="00BD3DFC">
              <w:rPr>
                <w:rFonts w:cstheme="minorHAnsi"/>
                <w:color w:val="000000" w:themeColor="text1"/>
              </w:rPr>
              <w:t>Having a discussion with my mentor and seeing their feedback has allowed me to reflect on the changes that has occurred in the last year, but I believe it has been beneficial for my development as a social worker and demonstrated my skills of being resilience and adaptable to change. I have identified in supervision that I would like to have more safeguarding cases to further strengthen my knowledge and understanding. Additionally, I want to continue building my confidence in myself as a worker, as this will allow me to be a better practitioner. I plan on doing this by continuing having a variety of case load which broadens my knowledge and experience. I plan on undertaking my training as an approved mental health practitioner (AMHP) in January, therefore continuing to look into research will be beneficial during the training to broaden my knowledge regarding mental health diagnosis and treatments. I believe this training will strengthen my assessment and intervention and allow me to make decision under the Mental Health Act 1983. It will also strengthen my skills of working collaboratively with individuals and concentrate on the least restrictive options and keep them at the centre of the situation in complex situations.</w:t>
            </w:r>
          </w:p>
          <w:p w14:paraId="79BBBCFA" w14:textId="77777777" w:rsidR="00BD3DFC" w:rsidRDefault="00BD3DFC" w:rsidP="00BD3DFC">
            <w:pPr>
              <w:rPr>
                <w:rFonts w:cstheme="minorHAnsi"/>
                <w:color w:val="000000" w:themeColor="text1"/>
                <w:sz w:val="22"/>
                <w:szCs w:val="22"/>
              </w:rPr>
            </w:pPr>
          </w:p>
          <w:p w14:paraId="324DBA68" w14:textId="3F720A0E" w:rsidR="00BD3DFC" w:rsidRDefault="00BD3DFC" w:rsidP="00BD3DFC">
            <w:pPr>
              <w:rPr>
                <w:rFonts w:cstheme="minorHAnsi"/>
                <w:color w:val="000000" w:themeColor="text1"/>
                <w:sz w:val="22"/>
                <w:szCs w:val="22"/>
              </w:rPr>
            </w:pPr>
            <w:r>
              <w:rPr>
                <w:rFonts w:cstheme="minorHAnsi"/>
                <w:color w:val="000000" w:themeColor="text1"/>
                <w:sz w:val="22"/>
                <w:szCs w:val="22"/>
              </w:rPr>
              <w:lastRenderedPageBreak/>
              <w:t>Word Count: 71</w:t>
            </w:r>
            <w:r w:rsidR="004449B0">
              <w:rPr>
                <w:rFonts w:cstheme="minorHAnsi"/>
                <w:color w:val="000000" w:themeColor="text1"/>
                <w:sz w:val="22"/>
                <w:szCs w:val="22"/>
              </w:rPr>
              <w:t>5.</w:t>
            </w:r>
          </w:p>
          <w:p w14:paraId="033A5056" w14:textId="77777777" w:rsidR="00BD3DFC" w:rsidRDefault="00BD3DFC"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1C9447BD" w14:textId="77777777" w:rsidR="00114776" w:rsidRDefault="00114776" w:rsidP="002D6B34">
            <w:pPr>
              <w:jc w:val="both"/>
            </w:pPr>
          </w:p>
          <w:p w14:paraId="3E2317B6" w14:textId="5D0EFA69" w:rsidR="004A711E" w:rsidRDefault="004A711E" w:rsidP="002D6B34">
            <w:pPr>
              <w:jc w:val="both"/>
            </w:pPr>
            <w:r>
              <w:t xml:space="preserve">I believe the feedback </w:t>
            </w:r>
            <w:r w:rsidR="00114776">
              <w:t>I received was</w:t>
            </w:r>
            <w:r>
              <w:t xml:space="preserve"> positive and was happy that 1 felt the visit was positive and felt listened to and found the session clear and liked the visual approach of having her old CTP in front of her. 1 stated that she did not know beforehand what the session would entail, we did have a conversation about renewing her CTP beforehand, however on reflection I should have explained again the day before when I ensured she still consented to mentor being present</w:t>
            </w:r>
            <w:r w:rsidR="00A873FC">
              <w:t xml:space="preserve">, therefore this experience has allowed me to </w:t>
            </w:r>
            <w:r w:rsidR="003965FF">
              <w:t>double check with individuals to ensure they are aware of everything.</w:t>
            </w:r>
          </w:p>
          <w:p w14:paraId="1C043C21" w14:textId="77777777" w:rsidR="00D31673" w:rsidRPr="00C0499C" w:rsidRDefault="00D31673" w:rsidP="002D6B34">
            <w:pPr>
              <w:jc w:val="both"/>
            </w:pPr>
          </w:p>
          <w:p w14:paraId="43ACF55A" w14:textId="0A2DB99E" w:rsidR="004A711E" w:rsidRPr="00C0499C" w:rsidRDefault="004A711E" w:rsidP="002D6B34">
            <w:pPr>
              <w:jc w:val="both"/>
              <w:rPr>
                <w:i/>
              </w:rPr>
            </w:pPr>
            <w:r>
              <w:rPr>
                <w:i/>
              </w:rPr>
              <w:t xml:space="preserve">Word Count: </w:t>
            </w:r>
            <w:r w:rsidR="004449B0">
              <w:rPr>
                <w:i/>
              </w:rPr>
              <w:t>103</w:t>
            </w:r>
          </w:p>
          <w:p w14:paraId="3EA2CE7A" w14:textId="77777777" w:rsidR="004A711E" w:rsidRDefault="004A711E" w:rsidP="002D6B34">
            <w:pPr>
              <w:jc w:val="both"/>
              <w:rPr>
                <w:i/>
              </w:rPr>
            </w:pPr>
          </w:p>
          <w:p w14:paraId="0816FC92" w14:textId="45508FA0"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0390FDCF" w14:textId="6C65A4DA" w:rsidR="004A711E" w:rsidRDefault="004A711E" w:rsidP="002D6B34">
            <w:pPr>
              <w:jc w:val="both"/>
            </w:pPr>
          </w:p>
          <w:p w14:paraId="12723809" w14:textId="63062DC3" w:rsidR="004A711E" w:rsidRPr="00C0499C" w:rsidRDefault="004A711E" w:rsidP="002D6B34">
            <w:pPr>
              <w:jc w:val="both"/>
            </w:pPr>
            <w:r>
              <w:t>Total Word count for part B: 8</w:t>
            </w:r>
            <w:r w:rsidR="00253987">
              <w:t>1</w:t>
            </w:r>
            <w:r w:rsidR="004449B0">
              <w:t>8</w:t>
            </w:r>
          </w:p>
          <w:p w14:paraId="70BA0C19" w14:textId="77777777" w:rsidR="00B930D3" w:rsidRPr="005E17F1" w:rsidRDefault="00B930D3" w:rsidP="002D6B34">
            <w:pPr>
              <w:jc w:val="both"/>
            </w:pPr>
          </w:p>
        </w:tc>
      </w:tr>
    </w:tbl>
    <w:p w14:paraId="3E5F404D" w14:textId="77777777" w:rsidR="00CA522A" w:rsidRDefault="00CA522A"/>
    <w:sectPr w:rsidR="00CA52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54C37"/>
    <w:rsid w:val="000A2AB5"/>
    <w:rsid w:val="00114776"/>
    <w:rsid w:val="001B35EA"/>
    <w:rsid w:val="001E3C41"/>
    <w:rsid w:val="00237B5B"/>
    <w:rsid w:val="00253987"/>
    <w:rsid w:val="002C33E6"/>
    <w:rsid w:val="00384213"/>
    <w:rsid w:val="003965FF"/>
    <w:rsid w:val="003E2053"/>
    <w:rsid w:val="004339A9"/>
    <w:rsid w:val="004449B0"/>
    <w:rsid w:val="00481A3E"/>
    <w:rsid w:val="004A711E"/>
    <w:rsid w:val="004F0E93"/>
    <w:rsid w:val="006037CE"/>
    <w:rsid w:val="00634520"/>
    <w:rsid w:val="00653641"/>
    <w:rsid w:val="006F7D40"/>
    <w:rsid w:val="00755451"/>
    <w:rsid w:val="007C6082"/>
    <w:rsid w:val="007F346B"/>
    <w:rsid w:val="008E22D6"/>
    <w:rsid w:val="00943FDB"/>
    <w:rsid w:val="009A4CCD"/>
    <w:rsid w:val="009F21E6"/>
    <w:rsid w:val="00A31FD3"/>
    <w:rsid w:val="00A73D0B"/>
    <w:rsid w:val="00A873FC"/>
    <w:rsid w:val="00AB232D"/>
    <w:rsid w:val="00B930D3"/>
    <w:rsid w:val="00BD3DFC"/>
    <w:rsid w:val="00C0499C"/>
    <w:rsid w:val="00C243FA"/>
    <w:rsid w:val="00C86002"/>
    <w:rsid w:val="00CA522A"/>
    <w:rsid w:val="00CB2131"/>
    <w:rsid w:val="00CD65DF"/>
    <w:rsid w:val="00CE27D8"/>
    <w:rsid w:val="00D27A91"/>
    <w:rsid w:val="00D31673"/>
    <w:rsid w:val="00DC3220"/>
    <w:rsid w:val="00DF2A2E"/>
    <w:rsid w:val="00E3085A"/>
    <w:rsid w:val="00E5092E"/>
    <w:rsid w:val="00F14D32"/>
    <w:rsid w:val="00F750F5"/>
    <w:rsid w:val="00FB4B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6</Pages>
  <Words>2004</Words>
  <Characters>11428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Tanya Marie Williams (OEDOLION)</cp:lastModifiedBy>
  <cp:revision>28</cp:revision>
  <cp:lastPrinted>2023-02-14T11:26:00Z</cp:lastPrinted>
  <dcterms:created xsi:type="dcterms:W3CDTF">2024-09-16T08:21:00Z</dcterms:created>
  <dcterms:modified xsi:type="dcterms:W3CDTF">2024-10-02T15:45:00Z</dcterms:modified>
</cp:coreProperties>
</file>