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6920" w:rsidP="00D46920" w:rsidRDefault="00D46920" w14:paraId="161E19F8" w14:textId="77777777">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D46920" w:rsidP="00D46920" w:rsidRDefault="00D46920" w14:paraId="20C87557" w14:textId="77777777">
      <w:pPr>
        <w:spacing w:line="360" w:lineRule="auto"/>
        <w:rPr>
          <w:rStyle w:val="Strong"/>
          <w:rFonts w:ascii="Arial" w:hAnsi="Arial" w:cs="Arial"/>
          <w:color w:val="1D2125"/>
          <w:sz w:val="36"/>
          <w:szCs w:val="36"/>
        </w:rPr>
      </w:pPr>
    </w:p>
    <w:p w:rsidR="00D46920" w:rsidP="00D46920" w:rsidRDefault="00D46920" w14:paraId="454A5F46"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D46920" w:rsidP="00D46920" w:rsidRDefault="00D46920" w14:paraId="5135E402"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rsidR="00D46920" w:rsidP="00D46920" w:rsidRDefault="00D46920" w14:paraId="1B7909EE" w14:textId="77777777">
      <w:pPr>
        <w:spacing w:line="360" w:lineRule="auto"/>
        <w:jc w:val="center"/>
        <w:rPr>
          <w:rStyle w:val="Strong"/>
          <w:rFonts w:ascii="Arial" w:hAnsi="Arial" w:cs="Arial"/>
          <w:color w:val="1D2125"/>
          <w:sz w:val="36"/>
          <w:szCs w:val="36"/>
        </w:rPr>
      </w:pPr>
    </w:p>
    <w:p w:rsidR="00D46920" w:rsidP="00D46920" w:rsidRDefault="00D46920" w14:paraId="0D7EA3D7" w14:textId="77777777">
      <w:pPr>
        <w:spacing w:line="360" w:lineRule="auto"/>
        <w:jc w:val="center"/>
        <w:rPr>
          <w:rStyle w:val="Strong"/>
          <w:rFonts w:ascii="Arial" w:hAnsi="Arial" w:cs="Arial"/>
          <w:color w:val="1D2125"/>
          <w:sz w:val="36"/>
          <w:szCs w:val="36"/>
        </w:rPr>
      </w:pPr>
    </w:p>
    <w:p w:rsidR="00D46920" w:rsidP="1303F556" w:rsidRDefault="00D46920" w14:paraId="4E60214F" w14:textId="3CC29BA7">
      <w:pPr>
        <w:spacing w:line="360" w:lineRule="auto"/>
        <w:rPr>
          <w:rFonts w:ascii="Arial" w:hAnsi="Arial" w:cs="Arial"/>
          <w:b w:val="1"/>
          <w:bCs w:val="1"/>
          <w:color w:val="000000" w:themeColor="text1" w:themeTint="FF" w:themeShade="FF"/>
          <w:sz w:val="32"/>
          <w:szCs w:val="32"/>
        </w:rPr>
      </w:pPr>
      <w:r w:rsidRPr="1303F556" w:rsidR="1A84CBFC">
        <w:rPr>
          <w:rFonts w:ascii="Arial" w:hAnsi="Arial" w:cs="Arial"/>
          <w:b w:val="1"/>
          <w:bCs w:val="1"/>
          <w:color w:val="000000" w:themeColor="text1" w:themeTint="FF" w:themeShade="FF"/>
          <w:sz w:val="32"/>
          <w:szCs w:val="32"/>
        </w:rPr>
        <w:t>Component</w:t>
      </w:r>
      <w:r w:rsidRPr="1303F556" w:rsidR="1A84CBFC">
        <w:rPr>
          <w:rFonts w:ascii="Arial" w:hAnsi="Arial" w:cs="Arial"/>
          <w:b w:val="1"/>
          <w:bCs w:val="1"/>
          <w:color w:val="000000" w:themeColor="text1" w:themeTint="FF" w:themeShade="FF"/>
          <w:sz w:val="32"/>
          <w:szCs w:val="32"/>
        </w:rPr>
        <w:t xml:space="preserve"> </w:t>
      </w:r>
      <w:r w:rsidRPr="1303F556" w:rsidR="52F65B62">
        <w:rPr>
          <w:rFonts w:ascii="Arial" w:hAnsi="Arial" w:cs="Arial"/>
          <w:b w:val="1"/>
          <w:bCs w:val="1"/>
          <w:color w:val="000000" w:themeColor="text1" w:themeTint="FF" w:themeShade="FF"/>
          <w:sz w:val="32"/>
          <w:szCs w:val="32"/>
        </w:rPr>
        <w:t>2: Poster and Pitch</w:t>
      </w:r>
    </w:p>
    <w:p w:rsidR="00D46920" w:rsidP="00D46920" w:rsidRDefault="00D46920" w14:paraId="58EAA200" w14:textId="77777777">
      <w:pPr>
        <w:spacing w:line="360" w:lineRule="auto"/>
        <w:rPr>
          <w:rStyle w:val="Strong"/>
          <w:rFonts w:ascii="Arial" w:hAnsi="Arial" w:cs="Arial"/>
          <w:color w:val="1D2125"/>
          <w:sz w:val="32"/>
          <w:szCs w:val="32"/>
        </w:rPr>
      </w:pPr>
    </w:p>
    <w:p w:rsidR="00D46920" w:rsidP="00D46920" w:rsidRDefault="00D46920" w14:paraId="3C55ACB9" w14:textId="4A761C68">
      <w:pPr>
        <w:spacing w:line="360" w:lineRule="auto"/>
        <w:rPr>
          <w:rStyle w:val="Strong"/>
          <w:rFonts w:ascii="Arial" w:hAnsi="Arial" w:cs="Arial"/>
          <w:color w:val="1D2125"/>
          <w:sz w:val="32"/>
          <w:szCs w:val="32"/>
        </w:rPr>
      </w:pPr>
      <w:r w:rsidRPr="1303F556" w:rsidR="1A84CBFC">
        <w:rPr>
          <w:rStyle w:val="Strong"/>
          <w:rFonts w:ascii="Arial" w:hAnsi="Arial" w:cs="Arial"/>
          <w:color w:val="1D2125"/>
          <w:sz w:val="32"/>
          <w:szCs w:val="32"/>
        </w:rPr>
        <w:t>Student name:</w:t>
      </w:r>
      <w:r w:rsidRPr="1303F556" w:rsidR="33FA8513">
        <w:rPr>
          <w:rStyle w:val="Strong"/>
          <w:rFonts w:ascii="Arial" w:hAnsi="Arial" w:cs="Arial"/>
          <w:color w:val="1D2125"/>
          <w:sz w:val="32"/>
          <w:szCs w:val="32"/>
        </w:rPr>
        <w:t xml:space="preserve"> Luize Kludzina</w:t>
      </w:r>
    </w:p>
    <w:p w:rsidR="00D46920" w:rsidP="00D46920" w:rsidRDefault="00D46920" w14:paraId="3DCFFD10" w14:textId="407DB243">
      <w:pPr>
        <w:spacing w:line="360" w:lineRule="auto"/>
        <w:rPr>
          <w:rStyle w:val="Strong"/>
          <w:rFonts w:ascii="Arial" w:hAnsi="Arial" w:cs="Arial"/>
          <w:color w:val="1D2125"/>
          <w:sz w:val="32"/>
          <w:szCs w:val="32"/>
        </w:rPr>
      </w:pPr>
      <w:r w:rsidRPr="1303F556" w:rsidR="1A84CBFC">
        <w:rPr>
          <w:rStyle w:val="Strong"/>
          <w:rFonts w:ascii="Arial" w:hAnsi="Arial" w:cs="Arial"/>
          <w:color w:val="1D2125"/>
          <w:sz w:val="32"/>
          <w:szCs w:val="32"/>
        </w:rPr>
        <w:t>Student number:</w:t>
      </w:r>
      <w:r w:rsidRPr="1303F556" w:rsidR="21CC4B2D">
        <w:rPr>
          <w:rStyle w:val="Strong"/>
          <w:rFonts w:ascii="Arial" w:hAnsi="Arial" w:cs="Arial"/>
          <w:color w:val="1D2125"/>
          <w:sz w:val="32"/>
          <w:szCs w:val="32"/>
        </w:rPr>
        <w:t xml:space="preserve"> 2422963</w:t>
      </w:r>
    </w:p>
    <w:p w:rsidR="00D46920" w:rsidP="00D46920" w:rsidRDefault="00D46920" w14:paraId="6F2C3011" w14:textId="06BF9CA7">
      <w:pPr>
        <w:spacing w:line="360" w:lineRule="auto"/>
        <w:rPr>
          <w:rStyle w:val="Strong"/>
          <w:rFonts w:ascii="Arial" w:hAnsi="Arial" w:cs="Arial"/>
          <w:color w:val="1D2125"/>
          <w:sz w:val="32"/>
          <w:szCs w:val="32"/>
        </w:rPr>
      </w:pPr>
      <w:r w:rsidRPr="1303F556" w:rsidR="1A84CBFC">
        <w:rPr>
          <w:rStyle w:val="Strong"/>
          <w:rFonts w:ascii="Arial" w:hAnsi="Arial" w:cs="Arial"/>
          <w:color w:val="1D2125"/>
          <w:sz w:val="32"/>
          <w:szCs w:val="32"/>
        </w:rPr>
        <w:t>Lecturer’s name:</w:t>
      </w:r>
      <w:r w:rsidRPr="1303F556" w:rsidR="6634C685">
        <w:rPr>
          <w:rStyle w:val="Strong"/>
          <w:rFonts w:ascii="Arial" w:hAnsi="Arial" w:cs="Arial"/>
          <w:color w:val="1D2125"/>
          <w:sz w:val="32"/>
          <w:szCs w:val="32"/>
        </w:rPr>
        <w:t xml:space="preserve"> Laila Surani </w:t>
      </w:r>
    </w:p>
    <w:p w:rsidR="00D46920" w:rsidP="00D46920" w:rsidRDefault="00D46920" w14:paraId="0D3CF38A" w14:textId="77777777">
      <w:pPr>
        <w:spacing w:line="360" w:lineRule="auto"/>
        <w:rPr>
          <w:sz w:val="36"/>
          <w:szCs w:val="36"/>
        </w:rPr>
      </w:pPr>
    </w:p>
    <w:p w:rsidR="00D46920" w:rsidP="00D46920" w:rsidRDefault="00D46920" w14:paraId="7657B63E" w14:textId="77777777">
      <w:pPr>
        <w:spacing w:line="360" w:lineRule="auto"/>
        <w:rPr>
          <w:rFonts w:ascii="Arial" w:hAnsi="Arial" w:cs="Arial"/>
          <w:sz w:val="36"/>
          <w:szCs w:val="36"/>
        </w:rPr>
      </w:pPr>
    </w:p>
    <w:p w:rsidR="00D46920" w:rsidP="00D46920" w:rsidRDefault="00D46920" w14:paraId="1DF762CF" w14:textId="77777777">
      <w:pPr>
        <w:spacing w:line="360" w:lineRule="auto"/>
        <w:rPr>
          <w:rFonts w:ascii="Arial" w:hAnsi="Arial" w:cs="Arial"/>
          <w:sz w:val="36"/>
          <w:szCs w:val="36"/>
        </w:rPr>
      </w:pPr>
    </w:p>
    <w:p w:rsidR="00D46920" w:rsidP="00D46920" w:rsidRDefault="00D46920" w14:paraId="36966376" w14:textId="77777777">
      <w:pPr>
        <w:spacing w:line="360" w:lineRule="auto"/>
        <w:rPr>
          <w:rFonts w:ascii="Arial" w:hAnsi="Arial" w:cs="Arial"/>
          <w:sz w:val="36"/>
          <w:szCs w:val="36"/>
        </w:rPr>
      </w:pPr>
    </w:p>
    <w:p w:rsidR="6634C685" w:rsidP="1303F556" w:rsidRDefault="6634C685" w14:paraId="116B5945" w14:textId="53620EA4">
      <w:pPr>
        <w:spacing w:line="360" w:lineRule="auto"/>
      </w:pPr>
      <w:r w:rsidRPr="1303F556" w:rsidR="6634C685">
        <w:rPr>
          <w:rFonts w:ascii="Arial" w:hAnsi="Arial" w:cs="Arial"/>
          <w:sz w:val="36"/>
          <w:szCs w:val="36"/>
        </w:rPr>
        <w:t>POSTER:</w:t>
      </w:r>
    </w:p>
    <w:p w:rsidR="6634C685" w:rsidP="1303F556" w:rsidRDefault="6634C685" w14:paraId="1D16D3B5" w14:textId="3FEB7C9F">
      <w:pPr>
        <w:spacing w:line="360" w:lineRule="auto"/>
        <w:rPr>
          <w:rFonts w:ascii="Arial" w:hAnsi="Arial" w:cs="Arial"/>
          <w:sz w:val="36"/>
          <w:szCs w:val="36"/>
        </w:rPr>
      </w:pPr>
      <w:r w:rsidR="6634C685">
        <w:drawing>
          <wp:inline wp14:editId="6E6EB275" wp14:anchorId="65233542">
            <wp:extent cx="5781017" cy="4078455"/>
            <wp:effectExtent l="0" t="0" r="0" b="0"/>
            <wp:docPr id="1740980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0980913" name="Picture 1740980913"/>
                    <pic:cNvPicPr/>
                  </pic:nvPicPr>
                  <pic:blipFill>
                    <a:blip xmlns:r="http://schemas.openxmlformats.org/officeDocument/2006/relationships" r:embed="rId1401523777">
                      <a:extLst>
                        <a:ext uri="{28A0092B-C50C-407E-A947-70E740481C1C}">
                          <a14:useLocalDpi xmlns:a14="http://schemas.microsoft.com/office/drawing/2010/main"/>
                        </a:ext>
                      </a:extLst>
                    </a:blip>
                    <a:stretch>
                      <a:fillRect/>
                    </a:stretch>
                  </pic:blipFill>
                  <pic:spPr>
                    <a:xfrm rot="0">
                      <a:off x="0" y="0"/>
                      <a:ext cx="5781017" cy="4078455"/>
                    </a:xfrm>
                    <a:prstGeom prst="rect">
                      <a:avLst/>
                    </a:prstGeom>
                  </pic:spPr>
                </pic:pic>
              </a:graphicData>
            </a:graphic>
          </wp:inline>
        </w:drawing>
      </w:r>
    </w:p>
    <w:p w:rsidR="00D46920" w:rsidP="005C28E8" w:rsidRDefault="00D46920" w14:paraId="2BB188C7" w14:textId="77777777">
      <w:pPr>
        <w:spacing w:line="360" w:lineRule="auto"/>
        <w:rPr>
          <w:rFonts w:ascii="Times New Roman" w:hAnsi="Times New Roman"/>
          <w:b/>
          <w:bCs/>
          <w:sz w:val="32"/>
          <w:szCs w:val="32"/>
        </w:rPr>
      </w:pPr>
    </w:p>
    <w:p w:rsidR="00D46920" w:rsidP="005C28E8" w:rsidRDefault="00D46920" w14:paraId="23C4321B" w14:textId="77777777">
      <w:pPr>
        <w:spacing w:line="360" w:lineRule="auto"/>
        <w:rPr>
          <w:rFonts w:ascii="Times New Roman" w:hAnsi="Times New Roman"/>
          <w:b/>
          <w:bCs/>
          <w:sz w:val="32"/>
          <w:szCs w:val="32"/>
        </w:rPr>
      </w:pPr>
    </w:p>
    <w:p w:rsidR="00D46920" w:rsidP="005C28E8" w:rsidRDefault="00D46920" w14:paraId="2DFFC7B2" w14:textId="77777777">
      <w:pPr>
        <w:spacing w:line="360" w:lineRule="auto"/>
        <w:rPr>
          <w:rFonts w:ascii="Times New Roman" w:hAnsi="Times New Roman"/>
          <w:b/>
          <w:bCs/>
          <w:sz w:val="32"/>
          <w:szCs w:val="32"/>
        </w:rPr>
      </w:pPr>
    </w:p>
    <w:p w:rsidR="00D46920" w:rsidP="005C28E8" w:rsidRDefault="00D46920" w14:paraId="3EC5A596" w14:textId="77777777">
      <w:pPr>
        <w:spacing w:line="360" w:lineRule="auto"/>
        <w:rPr>
          <w:rFonts w:ascii="Times New Roman" w:hAnsi="Times New Roman"/>
          <w:b/>
          <w:bCs/>
          <w:sz w:val="32"/>
          <w:szCs w:val="32"/>
        </w:rPr>
      </w:pPr>
    </w:p>
    <w:p w:rsidR="00D46920" w:rsidP="005C28E8" w:rsidRDefault="00D46920" w14:paraId="01DFDCA7" w14:textId="77777777">
      <w:pPr>
        <w:spacing w:line="360" w:lineRule="auto"/>
        <w:rPr>
          <w:rFonts w:ascii="Times New Roman" w:hAnsi="Times New Roman"/>
          <w:b/>
          <w:bCs/>
          <w:sz w:val="32"/>
          <w:szCs w:val="32"/>
        </w:rPr>
      </w:pPr>
    </w:p>
    <w:p w:rsidR="00D46920" w:rsidP="005C28E8" w:rsidRDefault="00D46920" w14:paraId="747B80A3" w14:textId="77777777">
      <w:pPr>
        <w:spacing w:line="360" w:lineRule="auto"/>
        <w:rPr>
          <w:rFonts w:ascii="Times New Roman" w:hAnsi="Times New Roman"/>
          <w:b/>
          <w:bCs/>
          <w:sz w:val="32"/>
          <w:szCs w:val="32"/>
        </w:rPr>
      </w:pPr>
    </w:p>
    <w:p w:rsidR="00D46920" w:rsidP="005C28E8" w:rsidRDefault="00D46920" w14:paraId="27B40D1D" w14:textId="77777777">
      <w:pPr>
        <w:spacing w:line="360" w:lineRule="auto"/>
        <w:rPr>
          <w:rFonts w:ascii="Times New Roman" w:hAnsi="Times New Roman"/>
          <w:b/>
          <w:bCs/>
          <w:sz w:val="32"/>
          <w:szCs w:val="32"/>
        </w:rPr>
      </w:pPr>
    </w:p>
    <w:p w:rsidR="00D46920" w:rsidP="005C28E8" w:rsidRDefault="00D46920" w14:paraId="4A02BBF4" w14:textId="77777777">
      <w:pPr>
        <w:spacing w:line="360" w:lineRule="auto"/>
        <w:rPr>
          <w:rFonts w:ascii="Times New Roman" w:hAnsi="Times New Roman"/>
          <w:b/>
          <w:bCs/>
          <w:sz w:val="32"/>
          <w:szCs w:val="32"/>
        </w:rPr>
      </w:pPr>
    </w:p>
    <w:p w:rsidR="00D46920" w:rsidP="005C28E8" w:rsidRDefault="00D46920" w14:paraId="76D7774B" w14:textId="77777777">
      <w:pPr>
        <w:spacing w:line="360" w:lineRule="auto"/>
        <w:rPr>
          <w:rFonts w:ascii="Times New Roman" w:hAnsi="Times New Roman"/>
          <w:b/>
          <w:bCs/>
          <w:sz w:val="32"/>
          <w:szCs w:val="32"/>
        </w:rPr>
      </w:pPr>
    </w:p>
    <w:p w:rsidR="00D46920" w:rsidP="005C28E8" w:rsidRDefault="00D46920" w14:paraId="34B45FF6" w14:textId="49CA16FD">
      <w:pPr>
        <w:spacing w:line="360" w:lineRule="auto"/>
      </w:pPr>
      <w:r w:rsidRPr="1303F556" w:rsidR="6634C685">
        <w:rPr>
          <w:rFonts w:ascii="Times New Roman" w:hAnsi="Times New Roman"/>
          <w:b w:val="1"/>
          <w:bCs w:val="1"/>
          <w:sz w:val="32"/>
          <w:szCs w:val="32"/>
        </w:rPr>
        <w:t xml:space="preserve">PITCH: </w:t>
      </w:r>
    </w:p>
    <w:p w:rsidR="00D46920" w:rsidP="005C28E8" w:rsidRDefault="00D46920" w14:paraId="4A1E3447" w14:textId="77777777">
      <w:pPr>
        <w:spacing w:line="360" w:lineRule="auto"/>
        <w:rPr>
          <w:rFonts w:ascii="Times New Roman" w:hAnsi="Times New Roman"/>
          <w:b w:val="1"/>
          <w:bCs w:val="1"/>
          <w:sz w:val="32"/>
          <w:szCs w:val="32"/>
        </w:rPr>
      </w:pPr>
    </w:p>
    <w:p w:rsidR="00D46920" w:rsidP="52A70BDD" w:rsidRDefault="00D46920" w14:paraId="101D3965" w14:textId="13C08BE2">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Research by Carr et al. (2026) suggests, the current healthcare system is struggling to effectively manage epilepsy due to increasing workload and limited resources. The study highlights several issues which negatively affect patient care. There is a shortage of healthcare professionals, particularly in rural areas, epilepsy remains highly stigmatised, and not everyone has an equal access to appropriate services and support. Although epilepsy is primarily treated with anti-seizure medication, medication does not prevent seizures in every patient, leaving many individuals at continued risk.</w:t>
      </w:r>
    </w:p>
    <w:p w:rsidR="00D46920" w:rsidP="52A70BDD" w:rsidRDefault="00D46920" w14:paraId="557317D7" w14:textId="61855D4D">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One of the vulnerable groups affected by epilepsy is children. According to Epilepsy Action (2023), approximately 1 in 200 children in the UK has epilepsy. They are at a greater risk of learning difficulties, as seizures can affect memory, concentration, and self-esteem (Williams, 2003). Furthermore, people living with epilepsy are more likely to experience social exclusion and unemployment of the challenges associated with managing the condition.</w:t>
      </w:r>
    </w:p>
    <w:p w:rsidR="00D46920" w:rsidP="52A70BDD" w:rsidRDefault="00D46920" w14:paraId="1998D84A" w14:textId="426D6298">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Epilepsy affects approximately 1 in 100 people in the UK, including young children and older adults, and around 30% of people with epilepsy experience uncontrolled seizures. This neurological condition has a significant impact on an individual's wellbeing, daily functioning, and, most importantly, mental health. The most common consequences of seizures are falls and physical injuries; however, in the most severe cases, epilepsy can lead to death due to Sudden Unexpected Death in Epilepsy (SUDEP), which affects approximately 1 in 1,000 people with epilepsy each year. (NICE,2026). Many people with epilepsy experience warning signs before a seizure during the prodrome or aura phase.</w:t>
      </w:r>
    </w:p>
    <w:p w:rsidR="00D46920" w:rsidP="52A70BDD" w:rsidRDefault="00D46920" w14:paraId="5310100F" w14:textId="552670C5">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Despite the high prevalence of the condition, not all individuals are able to access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appropriate care</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because of several challenges, such as a shortage of epilepsy specialists - especially in the rural areas- since the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appropriate follow</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up after a seizure is necessary. As well as mental health problems and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disability,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Carr et al., 2026) </w:t>
      </w:r>
    </w:p>
    <w:p w:rsidR="00D46920" w:rsidP="52A70BDD" w:rsidRDefault="00D46920" w14:paraId="1CA5AA2B" w14:textId="39EABE68">
      <w:pPr>
        <w:spacing w:before="0" w:beforeAutospacing="off" w:after="0" w:afterAutospacing="off" w:line="360" w:lineRule="auto"/>
        <w:rPr>
          <w:rFonts w:ascii="Times New Roman" w:hAnsi="Times New Roman" w:eastAsia="Times New Roman" w:cs="Times New Roman"/>
          <w:sz w:val="22"/>
          <w:szCs w:val="22"/>
        </w:rPr>
      </w:pPr>
    </w:p>
    <w:p w:rsidR="00D46920" w:rsidP="52A70BDD" w:rsidRDefault="00D46920" w14:paraId="6E721312" w14:textId="43CD409C">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This innovation is an implantable microchip that is inserted into the brain, depending on the area affected by epilepsy. However, in many cases, epilepsy affects both sides of the brain. Currently, the technology is primarily intended for people with focal epilepsy, where seizures originate in one area of the brain. A focal seizure can also act as a warning sign before a larger generalised seizure occurs. Nevertheless, seizures remain unpredictable and may happen at any time, including in potentially dangerous situations.As previously mentioned, people with epilepsy are commonly treated with anti-seizure medication. Although these medications can reduce the likelihood and frequency of seizures, they do not completely prevent them in all patients. In addition, some people with epilepsy rely on specially trained seizure alert or seizure response dogs to warn them of an upcoming seizure. However, these dogs are expensive, require extensive training, and are not accessible to everyone. Therefore, this implantable microchip could provide a valuable alternative that is available to a wider range of patients. However, not everyone recognises or understands these early warning signs and may ignore them, particularly children and older adults. Therefore, the mobile application could also be beneficial for teachers, carers, and support workers by providing an early warning and enabling them to respond appropriately, helping to improve patient safety and reduce the risk of seizure-related injuries.</w:t>
      </w:r>
    </w:p>
    <w:p w:rsidR="00D46920" w:rsidP="52A70BDD" w:rsidRDefault="00D46920" w14:paraId="2A403649" w14:textId="34B0EDF7">
      <w:pPr>
        <w:spacing w:before="0" w:beforeAutospacing="off" w:after="0" w:afterAutospacing="off" w:line="360" w:lineRule="auto"/>
        <w:rPr>
          <w:rFonts w:ascii="Times New Roman" w:hAnsi="Times New Roman" w:eastAsia="Times New Roman" w:cs="Times New Roman"/>
          <w:sz w:val="22"/>
          <w:szCs w:val="22"/>
        </w:rPr>
      </w:pPr>
    </w:p>
    <w:p w:rsidR="00D46920" w:rsidP="52A70BDD" w:rsidRDefault="00D46920" w14:paraId="3EFD80AE" w14:textId="70AD877F">
      <w:pPr>
        <w:spacing w:before="240" w:beforeAutospacing="off" w:after="180"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The device is connected to the brain through small electrodes that continuously monitor brain activity. The recorded data are transmitted via Bluetooth to a mobile application, where artificial intelligence analyses the information in real time. If abnormal brain activity suggesting an upcoming seizure is detected, the application can send an alert to the user up to 15 minutes before the seizure occurs, allowing sufficient time to move to a safer environment or seek assistance.</w:t>
      </w:r>
    </w:p>
    <w:p w:rsidR="00D46920" w:rsidP="52A70BDD" w:rsidRDefault="00D46920" w14:paraId="624A877B" w14:textId="32DA4F57">
      <w:pPr>
        <w:spacing w:before="0" w:beforeAutospacing="off" w:after="0" w:afterAutospacing="off" w:line="360" w:lineRule="auto"/>
        <w:rPr>
          <w:rFonts w:ascii="Times New Roman" w:hAnsi="Times New Roman" w:eastAsia="Times New Roman" w:cs="Times New Roman"/>
          <w:sz w:val="22"/>
          <w:szCs w:val="22"/>
        </w:rPr>
      </w:pPr>
    </w:p>
    <w:p w:rsidR="00D46920" w:rsidP="52A70BDD" w:rsidRDefault="00D46920" w14:paraId="486A72D5" w14:textId="483F11AD">
      <w:pPr>
        <w:spacing w:before="195" w:beforeAutospacing="off" w:after="195"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The implantable chip has the potential to improve the lives of people with epilepsy. It can reduce seizure-related injuries by detecting seizures early and enabling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timely</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emergency responses. For example, if the system predicts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a high risk</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of a severe seizure, it can alert the user and automatically notify emergency services, reducing the risk of serious complications or death. Moreover, it can increase independence for children, particularly in school settings, where teachers can receive real-time updates and respond appropriately if a seizure occurs. It can also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benefit</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adults living in care homes, as nurses on duty can continuously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monitor</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residents and act promptly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in the event of</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an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upcoming seizure</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Moreover, seizures can happen during the sleep, if the implanted device detects abnormal activity during the sleep, it can alert and wake the user. It would reduce the risks associated with serious risks and complications.</w:t>
      </w:r>
    </w:p>
    <w:p w:rsidR="00D46920" w:rsidP="52A70BDD" w:rsidRDefault="00D46920" w14:paraId="1377E97F" w14:textId="7032D97D">
      <w:pPr>
        <w:spacing w:before="195" w:beforeAutospacing="off" w:after="195"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Overall, this innovation has the potential to improve patient safety, promote independence in children, and as well where patients can manage their own disability and serve as an effective preventative tool for reducing seizure-related harm.</w:t>
      </w:r>
    </w:p>
    <w:p w:rsidR="00D46920" w:rsidP="52A70BDD" w:rsidRDefault="00D46920" w14:paraId="3BEE57A6" w14:textId="4EB0439C">
      <w:pPr>
        <w:spacing w:before="165" w:beforeAutospacing="off" w:after="75"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The public will be the main users of this innovation. Since the whole project is based on promoting safety and wellbeing, it is essential to engage service users and promote the innovation effectively. This can be achieved by encouraging doctors to have open discussions with patients. Epileptologists - specialist which specialise with patients who suffer from epilepsy, and neurologists should work in partnership with GP surgeries to raise awareness and promote the innovation. Moreover, it is important to involve charities, creating informative leaflets in promoting the innovation, as they can encourage engagement and help build trust among service users. Additionally, designing an interactive web platform would allow service users to access reliable information and make informed decisions about their care.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However,</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creating an app </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requires</w:t>
      </w:r>
      <w:r w:rsidRPr="52A70BDD" w:rsidR="3C42C7B1">
        <w:rPr>
          <w:rFonts w:ascii="Times New Roman" w:hAnsi="Times New Roman" w:eastAsia="Times New Roman" w:cs="Times New Roman"/>
          <w:i w:val="0"/>
          <w:iCs w:val="0"/>
          <w:noProof w:val="0"/>
          <w:color w:val="000000" w:themeColor="text1" w:themeTint="FF" w:themeShade="FF"/>
          <w:sz w:val="22"/>
          <w:szCs w:val="22"/>
          <w:lang w:val="en-GB"/>
        </w:rPr>
        <w:t xml:space="preserve"> to follow certain policies and legislations.</w:t>
      </w:r>
    </w:p>
    <w:p w:rsidR="00D46920" w:rsidP="52A70BDD" w:rsidRDefault="00D46920" w14:paraId="391CF40C" w14:textId="002CD66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2"/>
          <w:szCs w:val="22"/>
          <w:lang w:val="en-GB"/>
        </w:rPr>
      </w:pPr>
      <w:r w:rsidRPr="52A70BDD" w:rsidR="527228E0">
        <w:rPr>
          <w:rFonts w:ascii="Times New Roman" w:hAnsi="Times New Roman" w:eastAsia="Times New Roman" w:cs="Times New Roman"/>
          <w:noProof w:val="0"/>
          <w:color w:val="000000" w:themeColor="text1" w:themeTint="FF" w:themeShade="FF"/>
          <w:sz w:val="22"/>
          <w:szCs w:val="22"/>
          <w:lang w:val="en-GB"/>
        </w:rPr>
        <w:t>Furthermore, the innovation must comply with relevant policies and legislation to ensure it is safe, effective, and is ethically implemented. First and foremost, the innovation should follow the Access to Medical Treatments (Innovation) Act 2016, which supports responsible medical innovation by allowing healthcare professionals to access information about innovative and unlicensed medical treatments. The Act encourages innovation in healthcare while ensuring that patient safety remains a priority by reducing the risk of negligence and promoting appropriate clinical decision-making.</w:t>
      </w:r>
    </w:p>
    <w:p w:rsidR="00D46920" w:rsidP="52A70BDD" w:rsidRDefault="00D46920" w14:paraId="451DBD1C" w14:textId="7464BC5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2"/>
          <w:szCs w:val="22"/>
          <w:lang w:val="en-GB"/>
        </w:rPr>
      </w:pPr>
      <w:r w:rsidRPr="52A70BDD" w:rsidR="527228E0">
        <w:rPr>
          <w:rFonts w:ascii="Times New Roman" w:hAnsi="Times New Roman" w:eastAsia="Times New Roman" w:cs="Times New Roman"/>
          <w:noProof w:val="0"/>
          <w:color w:val="000000" w:themeColor="text1" w:themeTint="FF" w:themeShade="FF"/>
          <w:sz w:val="22"/>
          <w:szCs w:val="22"/>
          <w:lang w:val="en-GB"/>
        </w:rPr>
        <w:t>Additionally, the innovation must comply with the Medicines and Healthcare products Regulatory Agency (MHRA), which regulates the safety, quality, and performance of medical devices before they can be introduced into clinical practice. The MHRA operates under the Medicines and Medical Devices Act 2021 and enforces several key pieces of legislation, including the Human Medicines Regulations 2012, which govern the manufacture, authorisation, supply, and pharmacovigilance of medicines. It also enforces the Medical Devices Regulations 2002, which establish the regulatory framework for medical devices, including requirements for safety, performance, and conformity assessment. Furthermore, the Medicines for Human Use (Clinical Trials) Regulations 2004 ensures, the clinical trials involving medicinal products are conducted safely and ethically, while the Medicines and Medical Devices (Fees) Regulations outline the fees payable to the MHRA for regulatory services.</w:t>
      </w:r>
    </w:p>
    <w:p w:rsidR="00D46920" w:rsidP="52A70BDD" w:rsidRDefault="00D46920" w14:paraId="369BE613" w14:textId="1C81233A">
      <w:pPr>
        <w:spacing w:before="165" w:beforeAutospacing="off" w:after="165" w:afterAutospacing="off" w:line="360" w:lineRule="auto"/>
        <w:rPr>
          <w:rFonts w:ascii="Times New Roman" w:hAnsi="Times New Roman" w:eastAsia="Times New Roman" w:cs="Times New Roman"/>
          <w:i w:val="0"/>
          <w:iCs w:val="0"/>
          <w:noProof w:val="0"/>
          <w:color w:val="000000" w:themeColor="text1" w:themeTint="FF" w:themeShade="FF"/>
          <w:sz w:val="22"/>
          <w:szCs w:val="22"/>
          <w:lang w:val="en-GB"/>
        </w:rPr>
      </w:pPr>
      <w:r w:rsidRPr="52A70BDD" w:rsidR="527228E0">
        <w:rPr>
          <w:rFonts w:ascii="Times New Roman" w:hAnsi="Times New Roman" w:eastAsia="Times New Roman" w:cs="Times New Roman"/>
          <w:i w:val="0"/>
          <w:iCs w:val="0"/>
          <w:noProof w:val="0"/>
          <w:color w:val="000000" w:themeColor="text1" w:themeTint="FF" w:themeShade="FF"/>
          <w:sz w:val="22"/>
          <w:szCs w:val="22"/>
          <w:lang w:val="en-GB"/>
        </w:rPr>
        <w:t xml:space="preserve">In conclusion, epilepsy affects many people </w:t>
      </w:r>
      <w:r w:rsidRPr="52A70BDD" w:rsidR="527228E0">
        <w:rPr>
          <w:rFonts w:ascii="Times New Roman" w:hAnsi="Times New Roman" w:eastAsia="Times New Roman" w:cs="Times New Roman"/>
          <w:i w:val="0"/>
          <w:iCs w:val="0"/>
          <w:noProof w:val="0"/>
          <w:color w:val="000000" w:themeColor="text1" w:themeTint="FF" w:themeShade="FF"/>
          <w:sz w:val="22"/>
          <w:szCs w:val="22"/>
          <w:lang w:val="en-GB"/>
        </w:rPr>
        <w:t>daily and</w:t>
      </w:r>
      <w:r w:rsidRPr="52A70BDD" w:rsidR="527228E0">
        <w:rPr>
          <w:rFonts w:ascii="Times New Roman" w:hAnsi="Times New Roman" w:eastAsia="Times New Roman" w:cs="Times New Roman"/>
          <w:i w:val="0"/>
          <w:iCs w:val="0"/>
          <w:noProof w:val="0"/>
          <w:color w:val="000000" w:themeColor="text1" w:themeTint="FF" w:themeShade="FF"/>
          <w:sz w:val="22"/>
          <w:szCs w:val="22"/>
          <w:lang w:val="en-GB"/>
        </w:rPr>
        <w:t xml:space="preserve"> is a serious disease. Whilst, the innovation does not improve the illness or reduce seizures, it does help to notice the upcoming seizure and allows to people act accordingly</w:t>
      </w:r>
      <w:r w:rsidRPr="52A70BDD" w:rsidR="527228E0">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52A70BDD" w:rsidR="527228E0">
        <w:rPr>
          <w:rFonts w:ascii="Times New Roman" w:hAnsi="Times New Roman" w:eastAsia="Times New Roman" w:cs="Times New Roman"/>
          <w:i w:val="0"/>
          <w:iCs w:val="0"/>
          <w:noProof w:val="0"/>
          <w:color w:val="000000" w:themeColor="text1" w:themeTint="FF" w:themeShade="FF"/>
          <w:sz w:val="22"/>
          <w:szCs w:val="22"/>
          <w:lang w:val="en-GB"/>
        </w:rPr>
        <w:t>This innovation will allow to people lead more independent and safer lives.</w:t>
      </w:r>
    </w:p>
    <w:p w:rsidR="00D46920" w:rsidP="52A70BDD" w:rsidRDefault="00D46920" w14:paraId="7FC0129A" w14:textId="1B3A7C06">
      <w:pPr>
        <w:spacing w:line="360" w:lineRule="auto"/>
        <w:rPr>
          <w:rFonts w:ascii="Times New Roman" w:hAnsi="Times New Roman" w:eastAsia="Times New Roman" w:cs="Times New Roman"/>
          <w:b w:val="1"/>
          <w:bCs w:val="1"/>
          <w:sz w:val="22"/>
          <w:szCs w:val="22"/>
        </w:rPr>
      </w:pPr>
    </w:p>
    <w:p w:rsidR="52A70BDD" w:rsidP="52A70BDD" w:rsidRDefault="52A70BDD" w14:paraId="09723E09" w14:textId="57AB7E4F">
      <w:pPr>
        <w:spacing w:line="360" w:lineRule="auto"/>
        <w:rPr>
          <w:rFonts w:ascii="Times New Roman" w:hAnsi="Times New Roman" w:eastAsia="Times New Roman" w:cs="Times New Roman"/>
          <w:b w:val="1"/>
          <w:bCs w:val="1"/>
          <w:sz w:val="22"/>
          <w:szCs w:val="22"/>
        </w:rPr>
      </w:pPr>
    </w:p>
    <w:p w:rsidR="52A70BDD" w:rsidP="52A70BDD" w:rsidRDefault="52A70BDD" w14:paraId="1AA7C717" w14:textId="5E42AB31">
      <w:pPr>
        <w:spacing w:line="360" w:lineRule="auto"/>
        <w:rPr>
          <w:rFonts w:ascii="Times New Roman" w:hAnsi="Times New Roman" w:eastAsia="Times New Roman" w:cs="Times New Roman"/>
          <w:b w:val="1"/>
          <w:bCs w:val="1"/>
          <w:sz w:val="22"/>
          <w:szCs w:val="22"/>
        </w:rPr>
      </w:pPr>
    </w:p>
    <w:p w:rsidR="00D46920" w:rsidP="005C28E8" w:rsidRDefault="00D46920" w14:paraId="57F3AF5E" w14:textId="442C9BC3">
      <w:pPr>
        <w:spacing w:line="360" w:lineRule="auto"/>
      </w:pPr>
      <w:r w:rsidRPr="52A70BDD" w:rsidR="0B36DED8">
        <w:rPr>
          <w:rFonts w:ascii="Times New Roman" w:hAnsi="Times New Roman"/>
          <w:b w:val="1"/>
          <w:bCs w:val="1"/>
          <w:sz w:val="32"/>
          <w:szCs w:val="32"/>
        </w:rPr>
        <w:t xml:space="preserve">References : </w:t>
      </w:r>
    </w:p>
    <w:p w:rsidR="12BE30C7" w:rsidP="52A70BDD" w:rsidRDefault="12BE30C7" w14:paraId="5784025B" w14:textId="703BEC3E">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Access to medical treatments (innovation) act 2016. (2016). [online] </w:t>
      </w:r>
      <w:r w:rsidRPr="52A70BDD" w:rsidR="12BE30C7">
        <w:rPr>
          <w:rFonts w:ascii="Times New Roman" w:hAnsi="Times New Roman" w:eastAsia="Times New Roman" w:cs="Times New Roman"/>
          <w:i w:val="1"/>
          <w:iCs w:val="1"/>
          <w:noProof w:val="0"/>
          <w:color w:val="040102"/>
          <w:sz w:val="24"/>
          <w:szCs w:val="24"/>
          <w:lang w:val="en-GB"/>
        </w:rPr>
        <w:t>Legislation.gov.uk</w:t>
      </w:r>
      <w:r w:rsidRPr="52A70BDD" w:rsidR="12BE30C7">
        <w:rPr>
          <w:rFonts w:ascii="Times New Roman" w:hAnsi="Times New Roman" w:eastAsia="Times New Roman" w:cs="Times New Roman"/>
          <w:noProof w:val="0"/>
          <w:color w:val="040102"/>
          <w:sz w:val="24"/>
          <w:szCs w:val="24"/>
          <w:lang w:val="en-GB"/>
        </w:rPr>
        <w:t xml:space="preserve">. Available at: </w:t>
      </w:r>
      <w:hyperlink r:id="Rd26e158ea06644a1">
        <w:r w:rsidRPr="52A70BDD" w:rsidR="12BE30C7">
          <w:rPr>
            <w:rStyle w:val="Hyperlink"/>
            <w:noProof w:val="0"/>
            <w:lang w:val="en-GB"/>
          </w:rPr>
          <w:t>https://www.legislation.gov.uk/ukpga/2016/9/notes/division/3/index.htm</w:t>
        </w:r>
      </w:hyperlink>
      <w:r w:rsidRPr="52A70BDD" w:rsidR="12BE30C7">
        <w:rPr>
          <w:rFonts w:ascii="Times New Roman" w:hAnsi="Times New Roman" w:eastAsia="Times New Roman" w:cs="Times New Roman"/>
          <w:noProof w:val="0"/>
          <w:color w:val="040102"/>
          <w:sz w:val="24"/>
          <w:szCs w:val="24"/>
          <w:lang w:val="en-GB"/>
        </w:rPr>
        <w:t xml:space="preserve"> [Accessed 7 Aug. 2026].</w:t>
      </w:r>
    </w:p>
    <w:p w:rsidR="12BE30C7" w:rsidP="52A70BDD" w:rsidRDefault="12BE30C7" w14:paraId="11EBD1B3" w14:textId="3304733C">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and</w:t>
      </w:r>
      <w:r w:rsidRPr="52A70BDD" w:rsidR="12BE30C7">
        <w:rPr>
          <w:rFonts w:ascii="Times New Roman" w:hAnsi="Times New Roman" w:eastAsia="Times New Roman" w:cs="Times New Roman"/>
          <w:noProof w:val="0"/>
          <w:color w:val="040102"/>
          <w:sz w:val="24"/>
          <w:szCs w:val="24"/>
          <w:lang w:val="en-GB"/>
        </w:rPr>
        <w:t xml:space="preserve"> M. (2025). </w:t>
      </w:r>
      <w:r w:rsidRPr="52A70BDD" w:rsidR="12BE30C7">
        <w:rPr>
          <w:rFonts w:ascii="Times New Roman" w:hAnsi="Times New Roman" w:eastAsia="Times New Roman" w:cs="Times New Roman"/>
          <w:i w:val="1"/>
          <w:iCs w:val="1"/>
          <w:noProof w:val="0"/>
          <w:color w:val="040102"/>
          <w:sz w:val="24"/>
          <w:szCs w:val="24"/>
          <w:lang w:val="en-GB"/>
        </w:rPr>
        <w:t>First major overhaul of medical device regulation comes into force across Great Britain</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GOV.UK</w:t>
      </w:r>
      <w:r w:rsidRPr="52A70BDD" w:rsidR="12BE30C7">
        <w:rPr>
          <w:rFonts w:ascii="Times New Roman" w:hAnsi="Times New Roman" w:eastAsia="Times New Roman" w:cs="Times New Roman"/>
          <w:noProof w:val="0"/>
          <w:color w:val="040102"/>
          <w:sz w:val="24"/>
          <w:szCs w:val="24"/>
          <w:lang w:val="en-GB"/>
        </w:rPr>
        <w:t xml:space="preserve">. Available at: </w:t>
      </w:r>
      <w:hyperlink r:id="R2fcb5517d2da4ea4">
        <w:r w:rsidRPr="52A70BDD" w:rsidR="12BE30C7">
          <w:rPr>
            <w:rStyle w:val="Hyperlink"/>
            <w:noProof w:val="0"/>
            <w:lang w:val="en-GB"/>
          </w:rPr>
          <w:t>https://www.gov.uk/government/news/first-major-overhaul-of-medical-device-regulation-comes-into-force-across-great-britain</w:t>
        </w:r>
      </w:hyperlink>
      <w:r w:rsidRPr="52A70BDD" w:rsidR="12BE30C7">
        <w:rPr>
          <w:rFonts w:ascii="Times New Roman" w:hAnsi="Times New Roman" w:eastAsia="Times New Roman" w:cs="Times New Roman"/>
          <w:noProof w:val="0"/>
          <w:color w:val="040102"/>
          <w:sz w:val="24"/>
          <w:szCs w:val="24"/>
          <w:lang w:val="en-GB"/>
        </w:rPr>
        <w:t xml:space="preserve"> [Accessed 7 Aug. 2026].</w:t>
      </w:r>
    </w:p>
    <w:p w:rsidR="12BE30C7" w:rsidP="52A70BDD" w:rsidRDefault="12BE30C7" w14:paraId="67FE7949" w14:textId="27E1D7E3">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Carr, G., Fuller, A., McHale, K. and Carr, D.L. (2026). </w:t>
      </w:r>
      <w:r w:rsidRPr="52A70BDD" w:rsidR="12BE30C7">
        <w:rPr>
          <w:rFonts w:ascii="Times New Roman" w:hAnsi="Times New Roman" w:eastAsia="Times New Roman" w:cs="Times New Roman"/>
          <w:i w:val="1"/>
          <w:iCs w:val="1"/>
          <w:noProof w:val="0"/>
          <w:color w:val="040102"/>
          <w:sz w:val="24"/>
          <w:szCs w:val="24"/>
          <w:lang w:val="en-GB"/>
        </w:rPr>
        <w:t>A dangerous wait: Addressing the NHS epilepsy crisis</w:t>
      </w:r>
      <w:r w:rsidRPr="52A70BDD" w:rsidR="12BE30C7">
        <w:rPr>
          <w:rFonts w:ascii="Times New Roman" w:hAnsi="Times New Roman" w:eastAsia="Times New Roman" w:cs="Times New Roman"/>
          <w:noProof w:val="0"/>
          <w:color w:val="040102"/>
          <w:sz w:val="24"/>
          <w:szCs w:val="24"/>
          <w:lang w:val="en-GB"/>
        </w:rPr>
        <w:t xml:space="preserve">. [online] Available at: </w:t>
      </w:r>
      <w:hyperlink r:id="Re7f7998b6f2e48a4">
        <w:r w:rsidRPr="52A70BDD" w:rsidR="12BE30C7">
          <w:rPr>
            <w:rStyle w:val="Hyperlink"/>
            <w:noProof w:val="0"/>
            <w:lang w:val="en-GB"/>
          </w:rPr>
          <w:t>https://www.epilepsy.org.uk/app/uploads/2026/06/A-Dangerous-Wait-Addressing-the-NHS-Epilepsy-Crisis-Angelini-Pharma-compressed.pdf</w:t>
        </w:r>
      </w:hyperlink>
      <w:r w:rsidRPr="52A70BDD" w:rsidR="12BE30C7">
        <w:rPr>
          <w:rFonts w:ascii="Times New Roman" w:hAnsi="Times New Roman" w:eastAsia="Times New Roman" w:cs="Times New Roman"/>
          <w:noProof w:val="0"/>
          <w:color w:val="040102"/>
          <w:sz w:val="24"/>
          <w:szCs w:val="24"/>
          <w:lang w:val="en-GB"/>
        </w:rPr>
        <w:t xml:space="preserve"> [Accessed 6 Aug. 2026].</w:t>
      </w:r>
    </w:p>
    <w:p w:rsidR="12BE30C7" w:rsidP="52A70BDD" w:rsidRDefault="12BE30C7" w14:paraId="14474E03" w14:textId="47B1FE88">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Epilepsy Action (2023). </w:t>
      </w:r>
      <w:r w:rsidRPr="52A70BDD" w:rsidR="12BE30C7">
        <w:rPr>
          <w:rFonts w:ascii="Times New Roman" w:hAnsi="Times New Roman" w:eastAsia="Times New Roman" w:cs="Times New Roman"/>
          <w:i w:val="1"/>
          <w:iCs w:val="1"/>
          <w:noProof w:val="0"/>
          <w:color w:val="040102"/>
          <w:sz w:val="24"/>
          <w:szCs w:val="24"/>
          <w:lang w:val="en-GB"/>
        </w:rPr>
        <w:t>Epilepsy facts and terminology</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Epilepsy Action</w:t>
      </w:r>
      <w:r w:rsidRPr="52A70BDD" w:rsidR="12BE30C7">
        <w:rPr>
          <w:rFonts w:ascii="Times New Roman" w:hAnsi="Times New Roman" w:eastAsia="Times New Roman" w:cs="Times New Roman"/>
          <w:noProof w:val="0"/>
          <w:color w:val="040102"/>
          <w:sz w:val="24"/>
          <w:szCs w:val="24"/>
          <w:lang w:val="en-GB"/>
        </w:rPr>
        <w:t xml:space="preserve">. Available at: </w:t>
      </w:r>
      <w:hyperlink r:id="R90c9a382037042c1">
        <w:r w:rsidRPr="52A70BDD" w:rsidR="12BE30C7">
          <w:rPr>
            <w:rStyle w:val="Hyperlink"/>
            <w:noProof w:val="0"/>
            <w:lang w:val="en-GB"/>
          </w:rPr>
          <w:t>https://www.epilepsy.org.uk/press/epilepsy-facts-and-terminology</w:t>
        </w:r>
      </w:hyperlink>
      <w:r w:rsidRPr="52A70BDD" w:rsidR="12BE30C7">
        <w:rPr>
          <w:rFonts w:ascii="Times New Roman" w:hAnsi="Times New Roman" w:eastAsia="Times New Roman" w:cs="Times New Roman"/>
          <w:noProof w:val="0"/>
          <w:color w:val="040102"/>
          <w:sz w:val="24"/>
          <w:szCs w:val="24"/>
          <w:lang w:val="en-GB"/>
        </w:rPr>
        <w:t xml:space="preserve"> [Accessed 5 Aug. 2026].</w:t>
      </w:r>
    </w:p>
    <w:p w:rsidR="12BE30C7" w:rsidP="52A70BDD" w:rsidRDefault="12BE30C7" w14:paraId="7033E435" w14:textId="5058B38E">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Guidance on engaging the public with your research. (n.d.). [online] </w:t>
      </w:r>
      <w:hyperlink r:id="R904fe9d13fdf417c">
        <w:r w:rsidRPr="52A70BDD" w:rsidR="12BE30C7">
          <w:rPr>
            <w:rStyle w:val="Hyperlink"/>
            <w:i w:val="1"/>
            <w:iCs w:val="1"/>
            <w:noProof w:val="0"/>
            <w:lang w:val="en-GB"/>
          </w:rPr>
          <w:t>www.ukri.org</w:t>
        </w:r>
      </w:hyperlink>
      <w:r w:rsidRPr="52A70BDD" w:rsidR="12BE30C7">
        <w:rPr>
          <w:rFonts w:ascii="Times New Roman" w:hAnsi="Times New Roman" w:eastAsia="Times New Roman" w:cs="Times New Roman"/>
          <w:noProof w:val="0"/>
          <w:color w:val="040102"/>
          <w:sz w:val="24"/>
          <w:szCs w:val="24"/>
          <w:lang w:val="en-GB"/>
        </w:rPr>
        <w:t xml:space="preserve">. Available at: </w:t>
      </w:r>
      <w:hyperlink r:id="Rfd5d6fb5a9f14982">
        <w:r w:rsidRPr="52A70BDD" w:rsidR="12BE30C7">
          <w:rPr>
            <w:rStyle w:val="Hyperlink"/>
            <w:noProof w:val="0"/>
            <w:lang w:val="en-GB"/>
          </w:rPr>
          <w:t>https://www.ukri.org/manage-your-award/good-research-resource-hub/guidance-on-engaging-the-public-with-your-research/</w:t>
        </w:r>
      </w:hyperlink>
      <w:r w:rsidRPr="52A70BDD" w:rsidR="12BE30C7">
        <w:rPr>
          <w:rFonts w:ascii="Times New Roman" w:hAnsi="Times New Roman" w:eastAsia="Times New Roman" w:cs="Times New Roman"/>
          <w:noProof w:val="0"/>
          <w:color w:val="040102"/>
          <w:sz w:val="24"/>
          <w:szCs w:val="24"/>
          <w:lang w:val="en-GB"/>
        </w:rPr>
        <w:t xml:space="preserve"> [Accessed 5 Aug. 2026].</w:t>
      </w:r>
    </w:p>
    <w:p w:rsidR="12BE30C7" w:rsidP="52A70BDD" w:rsidRDefault="12BE30C7" w14:paraId="129C1ABC" w14:textId="300900D8">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NHS (2025). </w:t>
      </w:r>
      <w:r w:rsidRPr="52A70BDD" w:rsidR="12BE30C7">
        <w:rPr>
          <w:rFonts w:ascii="Times New Roman" w:hAnsi="Times New Roman" w:eastAsia="Times New Roman" w:cs="Times New Roman"/>
          <w:i w:val="1"/>
          <w:iCs w:val="1"/>
          <w:noProof w:val="0"/>
          <w:color w:val="040102"/>
          <w:sz w:val="24"/>
          <w:szCs w:val="24"/>
          <w:lang w:val="en-GB"/>
        </w:rPr>
        <w:t>Epilepsy</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NHS</w:t>
      </w:r>
      <w:r w:rsidRPr="52A70BDD" w:rsidR="12BE30C7">
        <w:rPr>
          <w:rFonts w:ascii="Times New Roman" w:hAnsi="Times New Roman" w:eastAsia="Times New Roman" w:cs="Times New Roman"/>
          <w:noProof w:val="0"/>
          <w:color w:val="040102"/>
          <w:sz w:val="24"/>
          <w:szCs w:val="24"/>
          <w:lang w:val="en-GB"/>
        </w:rPr>
        <w:t xml:space="preserve">. Available at: </w:t>
      </w:r>
      <w:hyperlink r:id="R019b414a6f8842e0">
        <w:r w:rsidRPr="52A70BDD" w:rsidR="12BE30C7">
          <w:rPr>
            <w:rStyle w:val="Hyperlink"/>
            <w:noProof w:val="0"/>
            <w:lang w:val="en-GB"/>
          </w:rPr>
          <w:t>https://www.nhs.uk/conditions/epilepsy/</w:t>
        </w:r>
      </w:hyperlink>
      <w:r w:rsidRPr="52A70BDD" w:rsidR="12BE30C7">
        <w:rPr>
          <w:rFonts w:ascii="Times New Roman" w:hAnsi="Times New Roman" w:eastAsia="Times New Roman" w:cs="Times New Roman"/>
          <w:noProof w:val="0"/>
          <w:color w:val="040102"/>
          <w:sz w:val="24"/>
          <w:szCs w:val="24"/>
          <w:lang w:val="en-GB"/>
        </w:rPr>
        <w:t xml:space="preserve"> [Accessed 6 Aug. 2026].</w:t>
      </w:r>
    </w:p>
    <w:p w:rsidR="12BE30C7" w:rsidP="52A70BDD" w:rsidRDefault="12BE30C7" w14:paraId="35966DBB" w14:textId="601CB481">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NICE (2025). </w:t>
      </w:r>
      <w:r w:rsidRPr="52A70BDD" w:rsidR="12BE30C7">
        <w:rPr>
          <w:rFonts w:ascii="Times New Roman" w:hAnsi="Times New Roman" w:eastAsia="Times New Roman" w:cs="Times New Roman"/>
          <w:i w:val="1"/>
          <w:iCs w:val="1"/>
          <w:noProof w:val="0"/>
          <w:color w:val="040102"/>
          <w:sz w:val="24"/>
          <w:szCs w:val="24"/>
          <w:lang w:val="en-GB"/>
        </w:rPr>
        <w:t xml:space="preserve">Epilepsy: How Common is it </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NICE</w:t>
      </w:r>
      <w:r w:rsidRPr="52A70BDD" w:rsidR="12BE30C7">
        <w:rPr>
          <w:rFonts w:ascii="Times New Roman" w:hAnsi="Times New Roman" w:eastAsia="Times New Roman" w:cs="Times New Roman"/>
          <w:noProof w:val="0"/>
          <w:color w:val="040102"/>
          <w:sz w:val="24"/>
          <w:szCs w:val="24"/>
          <w:lang w:val="en-GB"/>
        </w:rPr>
        <w:t xml:space="preserve">. Available at: </w:t>
      </w:r>
      <w:hyperlink r:id="R6da588f94d6e4408">
        <w:r w:rsidRPr="52A70BDD" w:rsidR="12BE30C7">
          <w:rPr>
            <w:rStyle w:val="Hyperlink"/>
            <w:noProof w:val="0"/>
            <w:lang w:val="en-GB"/>
          </w:rPr>
          <w:t>https://cks.nice.org.uk/topics/epilepsy/background-information/prevalence/</w:t>
        </w:r>
      </w:hyperlink>
      <w:r w:rsidRPr="52A70BDD" w:rsidR="12BE30C7">
        <w:rPr>
          <w:rFonts w:ascii="Times New Roman" w:hAnsi="Times New Roman" w:eastAsia="Times New Roman" w:cs="Times New Roman"/>
          <w:noProof w:val="0"/>
          <w:color w:val="040102"/>
          <w:sz w:val="24"/>
          <w:szCs w:val="24"/>
          <w:lang w:val="en-GB"/>
        </w:rPr>
        <w:t xml:space="preserve"> [Accessed 6 Aug. 2026].</w:t>
      </w:r>
    </w:p>
    <w:p w:rsidR="12BE30C7" w:rsidP="52A70BDD" w:rsidRDefault="12BE30C7" w14:paraId="72311319" w14:textId="5E71568B">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Patients and the public. (n.d.). [online] </w:t>
      </w:r>
      <w:hyperlink r:id="Rce777e70e80e4466">
        <w:r w:rsidRPr="52A70BDD" w:rsidR="12BE30C7">
          <w:rPr>
            <w:rStyle w:val="Hyperlink"/>
            <w:i w:val="1"/>
            <w:iCs w:val="1"/>
            <w:noProof w:val="0"/>
            <w:lang w:val="en-GB"/>
          </w:rPr>
          <w:t>www.ukri.org</w:t>
        </w:r>
      </w:hyperlink>
      <w:r w:rsidRPr="52A70BDD" w:rsidR="12BE30C7">
        <w:rPr>
          <w:rFonts w:ascii="Times New Roman" w:hAnsi="Times New Roman" w:eastAsia="Times New Roman" w:cs="Times New Roman"/>
          <w:noProof w:val="0"/>
          <w:color w:val="040102"/>
          <w:sz w:val="24"/>
          <w:szCs w:val="24"/>
          <w:lang w:val="en-GB"/>
        </w:rPr>
        <w:t xml:space="preserve">. Available at: </w:t>
      </w:r>
      <w:hyperlink r:id="R526dd0dbc3ec4af8">
        <w:r w:rsidRPr="52A70BDD" w:rsidR="12BE30C7">
          <w:rPr>
            <w:rStyle w:val="Hyperlink"/>
            <w:noProof w:val="0"/>
            <w:lang w:val="en-GB"/>
          </w:rPr>
          <w:t>https://www.ukri.org/councils/epsrc/guidance-for-applicants/what-to-include-in-your-proposal/health-technologies-impact-and-translation-toolkit/stakeholder-engagement/patients-and-the-public/</w:t>
        </w:r>
      </w:hyperlink>
      <w:r w:rsidRPr="52A70BDD" w:rsidR="12BE30C7">
        <w:rPr>
          <w:rFonts w:ascii="Times New Roman" w:hAnsi="Times New Roman" w:eastAsia="Times New Roman" w:cs="Times New Roman"/>
          <w:noProof w:val="0"/>
          <w:color w:val="040102"/>
          <w:sz w:val="24"/>
          <w:szCs w:val="24"/>
          <w:lang w:val="en-GB"/>
        </w:rPr>
        <w:t xml:space="preserve"> [Accessed 5 Aug. 2026].</w:t>
      </w:r>
    </w:p>
    <w:p w:rsidR="12BE30C7" w:rsidP="52A70BDD" w:rsidRDefault="12BE30C7" w14:paraId="7D8387ED" w14:textId="3DA40195">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Product development cost UK: Complete pricing guide. (2025). [online] </w:t>
      </w:r>
      <w:r w:rsidRPr="52A70BDD" w:rsidR="12BE30C7">
        <w:rPr>
          <w:rFonts w:ascii="Times New Roman" w:hAnsi="Times New Roman" w:eastAsia="Times New Roman" w:cs="Times New Roman"/>
          <w:i w:val="1"/>
          <w:iCs w:val="1"/>
          <w:noProof w:val="0"/>
          <w:color w:val="040102"/>
          <w:sz w:val="24"/>
          <w:szCs w:val="24"/>
          <w:lang w:val="en-GB"/>
        </w:rPr>
        <w:t>D2M Product Design</w:t>
      </w:r>
      <w:r w:rsidRPr="52A70BDD" w:rsidR="12BE30C7">
        <w:rPr>
          <w:rFonts w:ascii="Times New Roman" w:hAnsi="Times New Roman" w:eastAsia="Times New Roman" w:cs="Times New Roman"/>
          <w:noProof w:val="0"/>
          <w:color w:val="040102"/>
          <w:sz w:val="24"/>
          <w:szCs w:val="24"/>
          <w:lang w:val="en-GB"/>
        </w:rPr>
        <w:t xml:space="preserve">. Available at: </w:t>
      </w:r>
      <w:hyperlink r:id="Rd4934609800841c5">
        <w:r w:rsidRPr="52A70BDD" w:rsidR="12BE30C7">
          <w:rPr>
            <w:rStyle w:val="Hyperlink"/>
            <w:noProof w:val="0"/>
            <w:lang w:val="en-GB"/>
          </w:rPr>
          <w:t>https://www.design2market.co.uk/academy/how-much-does-it-cost-to-develop-a-new-physical-product-in-the-uk/</w:t>
        </w:r>
      </w:hyperlink>
      <w:r w:rsidRPr="52A70BDD" w:rsidR="12BE30C7">
        <w:rPr>
          <w:rFonts w:ascii="Times New Roman" w:hAnsi="Times New Roman" w:eastAsia="Times New Roman" w:cs="Times New Roman"/>
          <w:noProof w:val="0"/>
          <w:color w:val="040102"/>
          <w:sz w:val="24"/>
          <w:szCs w:val="24"/>
          <w:lang w:val="en-GB"/>
        </w:rPr>
        <w:t xml:space="preserve"> [Accessed 7 Aug. 2026].</w:t>
      </w:r>
    </w:p>
    <w:p w:rsidR="12BE30C7" w:rsidP="52A70BDD" w:rsidRDefault="12BE30C7" w14:paraId="78AEE4DD" w14:textId="552951A2">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Williams, J. (2003). Learning and behavior in children with epilepsy. </w:t>
      </w:r>
      <w:r w:rsidRPr="52A70BDD" w:rsidR="12BE30C7">
        <w:rPr>
          <w:rFonts w:ascii="Times New Roman" w:hAnsi="Times New Roman" w:eastAsia="Times New Roman" w:cs="Times New Roman"/>
          <w:i w:val="1"/>
          <w:iCs w:val="1"/>
          <w:noProof w:val="0"/>
          <w:color w:val="040102"/>
          <w:sz w:val="24"/>
          <w:szCs w:val="24"/>
          <w:lang w:val="en-GB"/>
        </w:rPr>
        <w:t>Epilepsy &amp; Behavior</w:t>
      </w:r>
      <w:r w:rsidRPr="52A70BDD" w:rsidR="12BE30C7">
        <w:rPr>
          <w:rFonts w:ascii="Times New Roman" w:hAnsi="Times New Roman" w:eastAsia="Times New Roman" w:cs="Times New Roman"/>
          <w:noProof w:val="0"/>
          <w:color w:val="040102"/>
          <w:sz w:val="24"/>
          <w:szCs w:val="24"/>
          <w:lang w:val="en-GB"/>
        </w:rPr>
        <w:t>, 4(2), pp.107–111. doi:10.1016/s1525-5050(03)00024-6.</w:t>
      </w:r>
    </w:p>
    <w:p w:rsidR="12BE30C7" w:rsidP="52A70BDD" w:rsidRDefault="12BE30C7" w14:paraId="41667444" w14:textId="28EDF99D">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World Health Organization (2024). </w:t>
      </w:r>
      <w:r w:rsidRPr="52A70BDD" w:rsidR="12BE30C7">
        <w:rPr>
          <w:rFonts w:ascii="Times New Roman" w:hAnsi="Times New Roman" w:eastAsia="Times New Roman" w:cs="Times New Roman"/>
          <w:i w:val="1"/>
          <w:iCs w:val="1"/>
          <w:noProof w:val="0"/>
          <w:color w:val="040102"/>
          <w:sz w:val="24"/>
          <w:szCs w:val="24"/>
          <w:lang w:val="en-GB"/>
        </w:rPr>
        <w:t>Assistive technology</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Who.int</w:t>
      </w:r>
      <w:r w:rsidRPr="52A70BDD" w:rsidR="12BE30C7">
        <w:rPr>
          <w:rFonts w:ascii="Times New Roman" w:hAnsi="Times New Roman" w:eastAsia="Times New Roman" w:cs="Times New Roman"/>
          <w:noProof w:val="0"/>
          <w:color w:val="040102"/>
          <w:sz w:val="24"/>
          <w:szCs w:val="24"/>
          <w:lang w:val="en-GB"/>
        </w:rPr>
        <w:t xml:space="preserve">. World Health Organization: WHO. Available at: </w:t>
      </w:r>
      <w:hyperlink r:id="R1bd7a77ed12a4e37">
        <w:r w:rsidRPr="52A70BDD" w:rsidR="12BE30C7">
          <w:rPr>
            <w:rStyle w:val="Hyperlink"/>
            <w:noProof w:val="0"/>
            <w:lang w:val="en-GB"/>
          </w:rPr>
          <w:t>https://www.who.int/news-room/fact-sheets/detail/assistive-technology</w:t>
        </w:r>
      </w:hyperlink>
      <w:r w:rsidRPr="52A70BDD" w:rsidR="12BE30C7">
        <w:rPr>
          <w:rFonts w:ascii="Times New Roman" w:hAnsi="Times New Roman" w:eastAsia="Times New Roman" w:cs="Times New Roman"/>
          <w:noProof w:val="0"/>
          <w:color w:val="040102"/>
          <w:sz w:val="24"/>
          <w:szCs w:val="24"/>
          <w:lang w:val="en-GB"/>
        </w:rPr>
        <w:t xml:space="preserve"> [Accessed 6 Aug. 2026].</w:t>
      </w:r>
    </w:p>
    <w:p w:rsidR="12BE30C7" w:rsidP="52A70BDD" w:rsidRDefault="12BE30C7" w14:paraId="009F52BB" w14:textId="112EBA1E">
      <w:pPr>
        <w:spacing w:before="0" w:beforeAutospacing="off" w:after="0" w:afterAutospacing="off" w:line="360" w:lineRule="auto"/>
      </w:pPr>
      <w:r w:rsidRPr="52A70BDD" w:rsidR="12BE30C7">
        <w:rPr>
          <w:rFonts w:ascii="Times New Roman" w:hAnsi="Times New Roman" w:eastAsia="Times New Roman" w:cs="Times New Roman"/>
          <w:noProof w:val="0"/>
          <w:color w:val="040102"/>
          <w:sz w:val="24"/>
          <w:szCs w:val="24"/>
          <w:lang w:val="en-GB"/>
        </w:rPr>
        <w:t xml:space="preserve">World, S. (2025). </w:t>
      </w:r>
      <w:r w:rsidRPr="52A70BDD" w:rsidR="12BE30C7">
        <w:rPr>
          <w:rFonts w:ascii="Times New Roman" w:hAnsi="Times New Roman" w:eastAsia="Times New Roman" w:cs="Times New Roman"/>
          <w:i w:val="1"/>
          <w:iCs w:val="1"/>
          <w:noProof w:val="0"/>
          <w:color w:val="040102"/>
          <w:sz w:val="24"/>
          <w:szCs w:val="24"/>
          <w:lang w:val="en-GB"/>
        </w:rPr>
        <w:t>Newcastle Hospitals to evaluate safety and functionality of brain computer interface technology - Newcastle Hospitals NHS Foundation Trust</w:t>
      </w:r>
      <w:r w:rsidRPr="52A70BDD" w:rsidR="12BE30C7">
        <w:rPr>
          <w:rFonts w:ascii="Times New Roman" w:hAnsi="Times New Roman" w:eastAsia="Times New Roman" w:cs="Times New Roman"/>
          <w:noProof w:val="0"/>
          <w:color w:val="040102"/>
          <w:sz w:val="24"/>
          <w:szCs w:val="24"/>
          <w:lang w:val="en-GB"/>
        </w:rPr>
        <w:t xml:space="preserve">. [online] </w:t>
      </w:r>
      <w:r w:rsidRPr="52A70BDD" w:rsidR="12BE30C7">
        <w:rPr>
          <w:rFonts w:ascii="Times New Roman" w:hAnsi="Times New Roman" w:eastAsia="Times New Roman" w:cs="Times New Roman"/>
          <w:i w:val="1"/>
          <w:iCs w:val="1"/>
          <w:noProof w:val="0"/>
          <w:color w:val="040102"/>
          <w:sz w:val="24"/>
          <w:szCs w:val="24"/>
          <w:lang w:val="en-GB"/>
        </w:rPr>
        <w:t>Newcastle Hospitals NHS Foundation Trust</w:t>
      </w:r>
      <w:r w:rsidRPr="52A70BDD" w:rsidR="12BE30C7">
        <w:rPr>
          <w:rFonts w:ascii="Times New Roman" w:hAnsi="Times New Roman" w:eastAsia="Times New Roman" w:cs="Times New Roman"/>
          <w:noProof w:val="0"/>
          <w:color w:val="040102"/>
          <w:sz w:val="24"/>
          <w:szCs w:val="24"/>
          <w:lang w:val="en-GB"/>
        </w:rPr>
        <w:t xml:space="preserve">. Available at: </w:t>
      </w:r>
      <w:hyperlink r:id="R1230c979e80d45a9">
        <w:r w:rsidRPr="52A70BDD" w:rsidR="12BE30C7">
          <w:rPr>
            <w:rStyle w:val="Hyperlink"/>
            <w:noProof w:val="0"/>
            <w:lang w:val="en-GB"/>
          </w:rPr>
          <w:t>https://www.newcastle-hospitals.nhs.uk/news/newcastle-hospitals-to-evaluate-safety-and-functionality-of-brain-computer-interface-technology/</w:t>
        </w:r>
      </w:hyperlink>
      <w:r w:rsidRPr="52A70BDD" w:rsidR="12BE30C7">
        <w:rPr>
          <w:rFonts w:ascii="Times New Roman" w:hAnsi="Times New Roman" w:eastAsia="Times New Roman" w:cs="Times New Roman"/>
          <w:noProof w:val="0"/>
          <w:color w:val="040102"/>
          <w:sz w:val="24"/>
          <w:szCs w:val="24"/>
          <w:lang w:val="en-GB"/>
        </w:rPr>
        <w:t xml:space="preserve"> [Accessed 5 Aug. 2026].</w:t>
      </w:r>
    </w:p>
    <w:p w:rsidR="52A70BDD" w:rsidP="52A70BDD" w:rsidRDefault="52A70BDD" w14:paraId="5BC7E647" w14:textId="43F85384">
      <w:pPr>
        <w:spacing w:line="360" w:lineRule="auto"/>
        <w:rPr>
          <w:rFonts w:ascii="Times New Roman" w:hAnsi="Times New Roman"/>
          <w:b w:val="1"/>
          <w:bCs w:val="1"/>
          <w:sz w:val="32"/>
          <w:szCs w:val="32"/>
        </w:rPr>
      </w:pPr>
    </w:p>
    <w:p w:rsidR="52A70BDD" w:rsidP="52A70BDD" w:rsidRDefault="52A70BDD" w14:paraId="5E55D04C" w14:textId="00A8CDD3">
      <w:pPr>
        <w:spacing w:line="360" w:lineRule="auto"/>
        <w:rPr>
          <w:rFonts w:ascii="Times New Roman" w:hAnsi="Times New Roman"/>
          <w:b w:val="1"/>
          <w:bCs w:val="1"/>
          <w:sz w:val="32"/>
          <w:szCs w:val="32"/>
        </w:rPr>
      </w:pPr>
    </w:p>
    <w:p w:rsidR="00D46920" w:rsidP="005C28E8" w:rsidRDefault="00D46920" w14:paraId="08169C61" w14:textId="77777777">
      <w:pPr>
        <w:spacing w:line="360" w:lineRule="auto"/>
        <w:rPr>
          <w:rFonts w:ascii="Times New Roman" w:hAnsi="Times New Roman"/>
          <w:b/>
          <w:bCs/>
          <w:sz w:val="32"/>
          <w:szCs w:val="32"/>
        </w:rPr>
      </w:pPr>
    </w:p>
    <w:p w:rsidR="00D46920" w:rsidP="005C28E8" w:rsidRDefault="00D46920" w14:paraId="2A6D6624" w14:textId="4D830B15">
      <w:pPr>
        <w:spacing w:line="360" w:lineRule="auto"/>
        <w:rPr>
          <w:rFonts w:ascii="Times New Roman" w:hAnsi="Times New Roman"/>
          <w:b w:val="1"/>
          <w:bCs w:val="1"/>
          <w:sz w:val="32"/>
          <w:szCs w:val="32"/>
        </w:rPr>
      </w:pPr>
    </w:p>
    <w:sectPr w:rsidR="0011419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5C28E8"/>
    <w:rsid w:val="007472D0"/>
    <w:rsid w:val="00804E06"/>
    <w:rsid w:val="00B44499"/>
    <w:rsid w:val="00D46920"/>
    <w:rsid w:val="00E831D8"/>
    <w:rsid w:val="054B4910"/>
    <w:rsid w:val="0B36DED8"/>
    <w:rsid w:val="0D2F87C5"/>
    <w:rsid w:val="0D704CE0"/>
    <w:rsid w:val="12BE30C7"/>
    <w:rsid w:val="1303F556"/>
    <w:rsid w:val="1A84CBFC"/>
    <w:rsid w:val="21CC4B2D"/>
    <w:rsid w:val="21D065B1"/>
    <w:rsid w:val="33FA8513"/>
    <w:rsid w:val="3BE0A940"/>
    <w:rsid w:val="3C42C7B1"/>
    <w:rsid w:val="4B7259FA"/>
    <w:rsid w:val="527228E0"/>
    <w:rsid w:val="52A70BDD"/>
    <w:rsid w:val="52F65B62"/>
    <w:rsid w:val="6634C685"/>
    <w:rsid w:val="677DC425"/>
    <w:rsid w:val="6E28C984"/>
    <w:rsid w:val="7C50BF42"/>
    <w:rsid w:val="7D9F67B4"/>
    <w:rsid w:val="7DB1C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4199"/>
    <w:rPr>
      <w:rFonts w:ascii="Aptos" w:hAnsi="Aptos" w:eastAsia="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0B1AFC"/>
  </w:style>
  <w:style w:type="character" w:styleId="Hyperlink">
    <w:uiPriority w:val="99"/>
    <w:name w:val="Hyperlink"/>
    <w:basedOn w:val="DefaultParagraphFont"/>
    <w:unhideWhenUsed/>
    <w:rsid w:val="52A70B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png" Id="rId1401523777" /><Relationship Type="http://schemas.openxmlformats.org/officeDocument/2006/relationships/hyperlink" Target="https://www.legislation.gov.uk/ukpga/2016/9/notes/division/3/index.htm" TargetMode="External" Id="Rd26e158ea06644a1" /><Relationship Type="http://schemas.openxmlformats.org/officeDocument/2006/relationships/hyperlink" Target="https://www.gov.uk/government/news/first-major-overhaul-of-medical-device-regulation-comes-into-force-across-great-britain" TargetMode="External" Id="R2fcb5517d2da4ea4" /><Relationship Type="http://schemas.openxmlformats.org/officeDocument/2006/relationships/hyperlink" Target="https://www.epilepsy.org.uk/app/uploads/2026/06/A-Dangerous-Wait-Addressing-the-NHS-Epilepsy-Crisis-Angelini-Pharma-compressed.pdf" TargetMode="External" Id="Re7f7998b6f2e48a4" /><Relationship Type="http://schemas.openxmlformats.org/officeDocument/2006/relationships/hyperlink" Target="https://www.epilepsy.org.uk/press/epilepsy-facts-and-terminology" TargetMode="External" Id="R90c9a382037042c1" /><Relationship Type="http://schemas.openxmlformats.org/officeDocument/2006/relationships/hyperlink" Target="https://www.ukri.org" TargetMode="External" Id="R904fe9d13fdf417c" /><Relationship Type="http://schemas.openxmlformats.org/officeDocument/2006/relationships/hyperlink" Target="https://www.ukri.org/manage-your-award/good-research-resource-hub/guidance-on-engaging-the-public-with-your-research/" TargetMode="External" Id="Rfd5d6fb5a9f14982" /><Relationship Type="http://schemas.openxmlformats.org/officeDocument/2006/relationships/hyperlink" Target="https://www.nhs.uk/conditions/epilepsy/" TargetMode="External" Id="R019b414a6f8842e0" /><Relationship Type="http://schemas.openxmlformats.org/officeDocument/2006/relationships/hyperlink" Target="https://cks.nice.org.uk/topics/epilepsy/background-information/prevalence/" TargetMode="External" Id="R6da588f94d6e4408" /><Relationship Type="http://schemas.openxmlformats.org/officeDocument/2006/relationships/hyperlink" Target="https://www.ukri.org" TargetMode="External" Id="Rce777e70e80e4466" /><Relationship Type="http://schemas.openxmlformats.org/officeDocument/2006/relationships/hyperlink" Target="https://www.ukri.org/councils/epsrc/guidance-for-applicants/what-to-include-in-your-proposal/health-technologies-impact-and-translation-toolkit/stakeholder-engagement/patients-and-the-public/" TargetMode="External" Id="R526dd0dbc3ec4af8" /><Relationship Type="http://schemas.openxmlformats.org/officeDocument/2006/relationships/hyperlink" Target="https://www.design2market.co.uk/academy/how-much-does-it-cost-to-develop-a-new-physical-product-in-the-uk/" TargetMode="External" Id="Rd4934609800841c5" /><Relationship Type="http://schemas.openxmlformats.org/officeDocument/2006/relationships/hyperlink" Target="https://www.who.int/news-room/fact-sheets/detail/assistive-technology" TargetMode="External" Id="R1bd7a77ed12a4e37" /><Relationship Type="http://schemas.openxmlformats.org/officeDocument/2006/relationships/hyperlink" Target="https://www.newcastle-hospitals.nhs.uk/news/newcastle-hospitals-to-evaluate-safety-and-functionality-of-brain-computer-interface-technology/" TargetMode="External" Id="R1230c979e80d45a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Luize Kludzina (2422963)</lastModifiedBy>
  <revision>3</revision>
  <dcterms:created xsi:type="dcterms:W3CDTF">2026-02-17T21:23:00.0000000Z</dcterms:created>
  <dcterms:modified xsi:type="dcterms:W3CDTF">2026-08-07T11:57:11.5519299Z</dcterms:modified>
</coreProperties>
</file>