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388656338"/>
        <w:docPartObj>
          <w:docPartGallery w:val="Cover Pages"/>
          <w:docPartUnique/>
        </w:docPartObj>
      </w:sdtPr>
      <w:sdtEndPr>
        <w:rPr>
          <w:rFonts w:asciiTheme="majorHAnsi" w:eastAsiaTheme="minorEastAsia" w:hAnsiTheme="majorHAnsi"/>
          <w:kern w:val="0"/>
          <w:sz w:val="160"/>
          <w:szCs w:val="160"/>
          <w:lang w:val="en-US" w:eastAsia="zh-CN"/>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14:ligatures w14:val="none"/>
        </w:rPr>
      </w:sdtEndPr>
      <w:sdtContent>
        <w:p w14:paraId="18E9CB14" w14:textId="1D76487B" w:rsidR="00C272EF" w:rsidRPr="00C272EF" w:rsidRDefault="00C272EF" w:rsidP="00FD4FD7">
          <w:pPr>
            <w:spacing w:line="259" w:lineRule="auto"/>
            <w:jc w:val="left"/>
            <w:rPr>
              <w:rFonts w:ascii="Algerian" w:hAnsi="Algerian" w:cs="Times New Roman"/>
              <w:sz w:val="22"/>
            </w:rPr>
          </w:pPr>
        </w:p>
        <w:p w14:paraId="7913B07D" w14:textId="781E338B" w:rsidR="00C272EF" w:rsidRPr="00C272EF" w:rsidRDefault="00C272EF" w:rsidP="00C272EF">
          <w:pPr>
            <w:spacing w:line="259" w:lineRule="auto"/>
            <w:jc w:val="left"/>
            <w:rPr>
              <w:rFonts w:ascii="Algerian" w:hAnsi="Algerian" w:cs="Times New Roman"/>
              <w:sz w:val="22"/>
            </w:rPr>
          </w:pPr>
          <w:r w:rsidRPr="00C272EF">
            <w:rPr>
              <w:rFonts w:ascii="Algerian" w:hAnsi="Algerian" w:cs="Times New Roman"/>
              <w:sz w:val="22"/>
            </w:rPr>
            <w:br w:type="page"/>
          </w:r>
        </w:p>
        <w:p w14:paraId="117C36D5" w14:textId="6C0B28D8" w:rsidR="00C71338" w:rsidRDefault="00C71338"/>
        <w:p w14:paraId="195B3333" w14:textId="77777777" w:rsidR="00813D91" w:rsidRDefault="00813D91"/>
        <w:p w14:paraId="43639CC6" w14:textId="77777777" w:rsidR="00813D91" w:rsidRDefault="00813D91"/>
        <w:p w14:paraId="1FE1AE12" w14:textId="77777777" w:rsidR="00813D91" w:rsidRDefault="00813D91"/>
        <w:p w14:paraId="31514D0A" w14:textId="77777777" w:rsidR="00813D91" w:rsidRDefault="00813D91"/>
        <w:p w14:paraId="3FFAD77F" w14:textId="77777777" w:rsidR="00813D91" w:rsidRDefault="00813D91"/>
        <w:p w14:paraId="03D2B76A" w14:textId="77777777" w:rsidR="00813D91" w:rsidRDefault="00813D91"/>
        <w:p w14:paraId="4D33E5BC" w14:textId="77777777" w:rsidR="00813D91" w:rsidRDefault="00813D91"/>
        <w:p w14:paraId="5B142FB6" w14:textId="77777777" w:rsidR="00813D91" w:rsidRDefault="00813D91"/>
        <w:p w14:paraId="67EAB2AC" w14:textId="77777777" w:rsidR="00813D91" w:rsidRDefault="00813D91"/>
        <w:p w14:paraId="643FA262" w14:textId="77777777" w:rsidR="00813D91" w:rsidRDefault="00813D91"/>
        <w:p w14:paraId="1CA80DD3" w14:textId="77777777" w:rsidR="00813D91" w:rsidRDefault="00813D91"/>
        <w:p w14:paraId="53F0F681" w14:textId="77777777" w:rsidR="00813D91" w:rsidRDefault="00813D91"/>
        <w:p w14:paraId="13DAAE4F" w14:textId="77777777" w:rsidR="00813D91" w:rsidRDefault="00813D91"/>
        <w:p w14:paraId="72A80FC2" w14:textId="77777777" w:rsidR="00813D91" w:rsidRDefault="00813D91"/>
        <w:p w14:paraId="00D4C4F7" w14:textId="77777777" w:rsidR="00813D91" w:rsidRDefault="00813D91"/>
        <w:p w14:paraId="52F0DA5E" w14:textId="77777777" w:rsidR="00813D91" w:rsidRDefault="00813D91"/>
        <w:p w14:paraId="0CE6D187" w14:textId="77777777" w:rsidR="00813D91" w:rsidRDefault="00813D91"/>
        <w:p w14:paraId="55172AC7" w14:textId="77777777" w:rsidR="00813D91" w:rsidRDefault="00813D91"/>
        <w:p w14:paraId="0DC825FA" w14:textId="77777777" w:rsidR="00813D91" w:rsidRDefault="00813D91"/>
        <w:p w14:paraId="1E9C08F0" w14:textId="77777777" w:rsidR="00813D91" w:rsidRDefault="00813D91"/>
        <w:p w14:paraId="01F31FBF" w14:textId="7500AB1F" w:rsidR="00351AC4" w:rsidRDefault="0088691E">
          <w:pPr>
            <w:spacing w:line="259" w:lineRule="auto"/>
            <w:jc w:val="left"/>
            <w:rPr>
              <w:noProof/>
              <w:sz w:val="52"/>
              <w:szCs w:val="52"/>
            </w:rPr>
          </w:pPr>
          <w:r w:rsidRPr="006B2C94">
            <w:rPr>
              <w:rFonts w:ascii="Algerian" w:hAnsi="Algerian"/>
              <w:noProof/>
              <w:sz w:val="144"/>
              <w:szCs w:val="144"/>
            </w:rPr>
            <w:lastRenderedPageBreak/>
            <w:t>Portfolio</w:t>
          </w:r>
          <w:r w:rsidRPr="006B2C94">
            <w:rPr>
              <w:noProof/>
              <w:sz w:val="52"/>
              <w:szCs w:val="52"/>
            </w:rPr>
            <w:t xml:space="preserve"> </w:t>
          </w:r>
          <w:r w:rsidR="006B2C94" w:rsidRPr="006B2C94">
            <w:rPr>
              <w:noProof/>
              <w:sz w:val="52"/>
              <w:szCs w:val="52"/>
            </w:rPr>
            <w:t>Two Task</w:t>
          </w:r>
        </w:p>
        <w:p w14:paraId="6DAADE75" w14:textId="77777777" w:rsidR="006B2C94" w:rsidRDefault="006B2C94">
          <w:pPr>
            <w:spacing w:line="259" w:lineRule="auto"/>
            <w:jc w:val="left"/>
            <w:rPr>
              <w:noProof/>
              <w:sz w:val="52"/>
              <w:szCs w:val="52"/>
            </w:rPr>
          </w:pPr>
        </w:p>
        <w:p w14:paraId="40AA2430" w14:textId="77777777" w:rsidR="006B2C94" w:rsidRDefault="006B2C94">
          <w:pPr>
            <w:spacing w:line="259" w:lineRule="auto"/>
            <w:jc w:val="left"/>
            <w:rPr>
              <w:noProof/>
              <w:sz w:val="52"/>
              <w:szCs w:val="52"/>
            </w:rPr>
          </w:pPr>
        </w:p>
        <w:p w14:paraId="26A4F591" w14:textId="77777777" w:rsidR="006B2C94" w:rsidRDefault="006B2C94">
          <w:pPr>
            <w:spacing w:line="259" w:lineRule="auto"/>
            <w:jc w:val="left"/>
            <w:rPr>
              <w:noProof/>
              <w:sz w:val="52"/>
              <w:szCs w:val="52"/>
            </w:rPr>
          </w:pPr>
        </w:p>
        <w:p w14:paraId="7F36D25C" w14:textId="77777777" w:rsidR="006B2C94" w:rsidRDefault="006B2C94">
          <w:pPr>
            <w:spacing w:line="259" w:lineRule="auto"/>
            <w:jc w:val="left"/>
            <w:rPr>
              <w:noProof/>
              <w:sz w:val="52"/>
              <w:szCs w:val="52"/>
            </w:rPr>
          </w:pPr>
        </w:p>
        <w:p w14:paraId="78713FC8" w14:textId="77777777" w:rsidR="006B2C94" w:rsidRDefault="006B2C94">
          <w:pPr>
            <w:spacing w:line="259" w:lineRule="auto"/>
            <w:jc w:val="left"/>
            <w:rPr>
              <w:noProof/>
              <w:sz w:val="52"/>
              <w:szCs w:val="52"/>
            </w:rPr>
          </w:pPr>
        </w:p>
        <w:p w14:paraId="092C8B7B" w14:textId="77777777" w:rsidR="006B2C94" w:rsidRDefault="006B2C94">
          <w:pPr>
            <w:spacing w:line="259" w:lineRule="auto"/>
            <w:jc w:val="left"/>
            <w:rPr>
              <w:noProof/>
              <w:sz w:val="52"/>
              <w:szCs w:val="52"/>
            </w:rPr>
          </w:pPr>
        </w:p>
        <w:p w14:paraId="613FC578" w14:textId="1BA9B993" w:rsidR="006B2C94" w:rsidRDefault="006B2C94">
          <w:pPr>
            <w:spacing w:line="259" w:lineRule="auto"/>
            <w:jc w:val="left"/>
            <w:rPr>
              <w:noProof/>
              <w:sz w:val="44"/>
              <w:szCs w:val="44"/>
            </w:rPr>
          </w:pPr>
          <w:r>
            <w:rPr>
              <w:noProof/>
              <w:sz w:val="44"/>
              <w:szCs w:val="44"/>
            </w:rPr>
            <w:t>Introduction to Health and Social Care</w:t>
          </w:r>
        </w:p>
        <w:p w14:paraId="4DCE2472" w14:textId="77777777" w:rsidR="008A1EB0" w:rsidRPr="008A1EB0" w:rsidRDefault="008A1EB0" w:rsidP="008A1EB0">
          <w:pPr>
            <w:pStyle w:val="p1"/>
            <w:rPr>
              <w:sz w:val="48"/>
              <w:szCs w:val="48"/>
            </w:rPr>
          </w:pPr>
          <w:r w:rsidRPr="008A1EB0">
            <w:rPr>
              <w:b/>
              <w:bCs/>
              <w:sz w:val="48"/>
              <w:szCs w:val="48"/>
            </w:rPr>
            <w:t>LCHS4003</w:t>
          </w:r>
          <w:r w:rsidRPr="008A1EB0">
            <w:rPr>
              <w:rStyle w:val="apple-converted-space"/>
              <w:rFonts w:eastAsiaTheme="majorEastAsia"/>
              <w:b/>
              <w:bCs/>
              <w:sz w:val="48"/>
              <w:szCs w:val="48"/>
            </w:rPr>
            <w:t> </w:t>
          </w:r>
        </w:p>
        <w:p w14:paraId="635CC61B" w14:textId="77777777" w:rsidR="008A1EB0" w:rsidRDefault="008A1EB0">
          <w:pPr>
            <w:spacing w:line="259" w:lineRule="auto"/>
            <w:jc w:val="left"/>
            <w:rPr>
              <w:noProof/>
              <w:sz w:val="44"/>
              <w:szCs w:val="44"/>
            </w:rPr>
          </w:pPr>
        </w:p>
        <w:p w14:paraId="72B7DBF1" w14:textId="649F88CB" w:rsidR="008A1EB0" w:rsidRDefault="008A1EB0">
          <w:pPr>
            <w:spacing w:line="259" w:lineRule="auto"/>
            <w:jc w:val="left"/>
            <w:rPr>
              <w:noProof/>
              <w:sz w:val="44"/>
              <w:szCs w:val="44"/>
            </w:rPr>
          </w:pPr>
          <w:r>
            <w:rPr>
              <w:noProof/>
              <w:sz w:val="44"/>
              <w:szCs w:val="44"/>
            </w:rPr>
            <w:t>Helen May Escoto Frial</w:t>
          </w:r>
        </w:p>
        <w:p w14:paraId="28AEAF0D" w14:textId="0534042B" w:rsidR="008A1EB0" w:rsidRDefault="0022640F">
          <w:pPr>
            <w:spacing w:line="259" w:lineRule="auto"/>
            <w:jc w:val="left"/>
            <w:rPr>
              <w:noProof/>
              <w:sz w:val="44"/>
              <w:szCs w:val="44"/>
            </w:rPr>
          </w:pPr>
          <w:r>
            <w:rPr>
              <w:noProof/>
              <w:sz w:val="44"/>
              <w:szCs w:val="44"/>
            </w:rPr>
            <w:t>2430209</w:t>
          </w:r>
        </w:p>
        <w:p w14:paraId="2B68E57B" w14:textId="25AFDAAD" w:rsidR="00BB00CD" w:rsidRDefault="000A20AC">
          <w:pPr>
            <w:spacing w:line="259" w:lineRule="auto"/>
            <w:jc w:val="left"/>
            <w:rPr>
              <w:noProof/>
              <w:sz w:val="44"/>
              <w:szCs w:val="44"/>
            </w:rPr>
          </w:pPr>
          <w:r>
            <w:rPr>
              <w:noProof/>
              <w:sz w:val="44"/>
              <w:szCs w:val="44"/>
            </w:rPr>
            <w:t>LECTURER: MARK  KANE</w:t>
          </w:r>
        </w:p>
        <w:p w14:paraId="7DEAD07F" w14:textId="77777777" w:rsidR="00BB00CD" w:rsidRDefault="00BB00CD">
          <w:pPr>
            <w:spacing w:line="259" w:lineRule="auto"/>
            <w:jc w:val="left"/>
            <w:rPr>
              <w:noProof/>
              <w:sz w:val="44"/>
              <w:szCs w:val="44"/>
            </w:rPr>
          </w:pPr>
        </w:p>
        <w:p w14:paraId="1F6FB811" w14:textId="77777777" w:rsidR="00BB00CD" w:rsidRDefault="00BB00CD">
          <w:pPr>
            <w:spacing w:line="259" w:lineRule="auto"/>
            <w:jc w:val="left"/>
            <w:rPr>
              <w:noProof/>
              <w:sz w:val="44"/>
              <w:szCs w:val="44"/>
            </w:rPr>
          </w:pPr>
        </w:p>
        <w:p w14:paraId="246295CD" w14:textId="77777777" w:rsidR="00BB00CD" w:rsidRDefault="00BB00CD">
          <w:pPr>
            <w:spacing w:line="259" w:lineRule="auto"/>
            <w:jc w:val="left"/>
            <w:rPr>
              <w:noProof/>
              <w:sz w:val="44"/>
              <w:szCs w:val="44"/>
            </w:rPr>
          </w:pPr>
        </w:p>
        <w:p w14:paraId="706C3602" w14:textId="77777777" w:rsidR="00BB00CD" w:rsidRDefault="00BB00CD">
          <w:pPr>
            <w:spacing w:line="259" w:lineRule="auto"/>
            <w:jc w:val="left"/>
            <w:rPr>
              <w:noProof/>
              <w:sz w:val="44"/>
              <w:szCs w:val="44"/>
            </w:rPr>
          </w:pPr>
        </w:p>
        <w:p w14:paraId="578F6755" w14:textId="77777777" w:rsidR="00BB00CD" w:rsidRDefault="00BB00CD">
          <w:pPr>
            <w:spacing w:line="259" w:lineRule="auto"/>
            <w:jc w:val="left"/>
            <w:rPr>
              <w:noProof/>
              <w:sz w:val="44"/>
              <w:szCs w:val="44"/>
            </w:rPr>
          </w:pPr>
        </w:p>
        <w:p w14:paraId="3940A2AA" w14:textId="77777777" w:rsidR="00BB00CD" w:rsidRDefault="00BB00CD">
          <w:pPr>
            <w:spacing w:line="259" w:lineRule="auto"/>
            <w:jc w:val="left"/>
            <w:rPr>
              <w:noProof/>
              <w:sz w:val="44"/>
              <w:szCs w:val="44"/>
            </w:rPr>
          </w:pPr>
        </w:p>
        <w:p w14:paraId="2F6AF2E5" w14:textId="77777777" w:rsidR="00BB00CD" w:rsidRDefault="00BB00CD">
          <w:pPr>
            <w:spacing w:line="259" w:lineRule="auto"/>
            <w:jc w:val="left"/>
            <w:rPr>
              <w:noProof/>
              <w:sz w:val="44"/>
              <w:szCs w:val="44"/>
            </w:rPr>
          </w:pPr>
        </w:p>
        <w:p w14:paraId="39E11DD2" w14:textId="77777777" w:rsidR="00BB00CD" w:rsidRDefault="00BB00CD">
          <w:pPr>
            <w:spacing w:line="259" w:lineRule="auto"/>
            <w:jc w:val="left"/>
            <w:rPr>
              <w:noProof/>
              <w:sz w:val="44"/>
              <w:szCs w:val="44"/>
            </w:rPr>
          </w:pPr>
        </w:p>
        <w:p w14:paraId="52DFB0EC" w14:textId="77777777" w:rsidR="00BB00CD" w:rsidRDefault="00BB00CD">
          <w:pPr>
            <w:spacing w:line="259" w:lineRule="auto"/>
            <w:jc w:val="left"/>
            <w:rPr>
              <w:noProof/>
              <w:sz w:val="44"/>
              <w:szCs w:val="44"/>
            </w:rPr>
          </w:pPr>
        </w:p>
        <w:p w14:paraId="2B19FBCD" w14:textId="77777777" w:rsidR="00BB00CD" w:rsidRDefault="00BB00CD">
          <w:pPr>
            <w:spacing w:line="259" w:lineRule="auto"/>
            <w:jc w:val="left"/>
            <w:rPr>
              <w:noProof/>
              <w:sz w:val="44"/>
              <w:szCs w:val="44"/>
            </w:rPr>
          </w:pPr>
        </w:p>
        <w:p w14:paraId="3734E673" w14:textId="77777777" w:rsidR="00BB00CD" w:rsidRDefault="00BB00CD">
          <w:pPr>
            <w:spacing w:line="259" w:lineRule="auto"/>
            <w:jc w:val="left"/>
            <w:rPr>
              <w:noProof/>
              <w:sz w:val="44"/>
              <w:szCs w:val="44"/>
            </w:rPr>
          </w:pPr>
        </w:p>
        <w:p w14:paraId="6B22461B" w14:textId="77777777" w:rsidR="00BB00CD" w:rsidRDefault="00BB00CD">
          <w:pPr>
            <w:spacing w:line="259" w:lineRule="auto"/>
            <w:jc w:val="left"/>
            <w:rPr>
              <w:noProof/>
              <w:sz w:val="44"/>
              <w:szCs w:val="44"/>
            </w:rPr>
          </w:pPr>
        </w:p>
        <w:p w14:paraId="19A4049F" w14:textId="77777777" w:rsidR="00BB00CD" w:rsidRDefault="00BB00CD">
          <w:pPr>
            <w:spacing w:line="259" w:lineRule="auto"/>
            <w:jc w:val="left"/>
            <w:rPr>
              <w:noProof/>
              <w:sz w:val="44"/>
              <w:szCs w:val="44"/>
            </w:rPr>
          </w:pPr>
        </w:p>
        <w:p w14:paraId="194277C6" w14:textId="77777777" w:rsidR="00BB00CD" w:rsidRDefault="00BB00CD">
          <w:pPr>
            <w:spacing w:line="259" w:lineRule="auto"/>
            <w:jc w:val="left"/>
            <w:rPr>
              <w:noProof/>
              <w:sz w:val="44"/>
              <w:szCs w:val="44"/>
            </w:rPr>
          </w:pPr>
        </w:p>
        <w:p w14:paraId="74717045" w14:textId="77777777" w:rsidR="00BB00CD" w:rsidRPr="006B2C94" w:rsidRDefault="00BB00CD">
          <w:pPr>
            <w:spacing w:line="259" w:lineRule="auto"/>
            <w:jc w:val="left"/>
            <w:rPr>
              <w:noProof/>
              <w:sz w:val="44"/>
              <w:szCs w:val="44"/>
            </w:rPr>
          </w:pPr>
        </w:p>
        <w:p w14:paraId="3054A502" w14:textId="579ABDC5" w:rsidR="00FD4FD7" w:rsidRDefault="007E1ECE" w:rsidP="00FD4FD7">
          <w:pPr>
            <w:spacing w:line="259" w:lineRule="auto"/>
            <w:jc w:val="left"/>
            <w:rPr>
              <w:rFonts w:asciiTheme="majorHAnsi" w:eastAsiaTheme="minorEastAsia" w:hAnsiTheme="majorHAnsi"/>
              <w:kern w:val="0"/>
              <w:sz w:val="160"/>
              <w:szCs w:val="160"/>
              <w:lang w:val="en-US" w:eastAsia="zh-CN"/>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14:ligatures w14:val="none"/>
            </w:rPr>
          </w:pPr>
          <w:r w:rsidRPr="00351AC4">
            <w:rPr>
              <w:rFonts w:ascii="Segoe UI" w:hAnsi="Segoe UI" w:cs="Segoe UI"/>
              <w:noProof/>
              <w:color w:val="FFFFFF"/>
            </w:rPr>
            <w:lastRenderedPageBreak/>
            <w:drawing>
              <wp:inline distT="0" distB="0" distL="0" distR="0" wp14:anchorId="666F0DF3" wp14:editId="4892745D">
                <wp:extent cx="5731510" cy="8105775"/>
                <wp:effectExtent l="0" t="0" r="0" b="0"/>
                <wp:docPr id="11231274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3127460" name=""/>
                        <pic:cNvPicPr/>
                      </pic:nvPicPr>
                      <pic:blipFill>
                        <a:blip r:embed="rId8"/>
                        <a:stretch>
                          <a:fillRect/>
                        </a:stretch>
                      </pic:blipFill>
                      <pic:spPr>
                        <a:xfrm>
                          <a:off x="0" y="0"/>
                          <a:ext cx="5731510" cy="8105775"/>
                        </a:xfrm>
                        <a:prstGeom prst="rect">
                          <a:avLst/>
                        </a:prstGeom>
                      </pic:spPr>
                    </pic:pic>
                  </a:graphicData>
                </a:graphic>
              </wp:inline>
            </w:drawing>
          </w:r>
          <w:r w:rsidR="00C71338">
            <w:rPr>
              <w:rFonts w:asciiTheme="majorHAnsi" w:eastAsiaTheme="minorEastAsia" w:hAnsiTheme="majorHAnsi"/>
              <w:kern w:val="0"/>
              <w:sz w:val="160"/>
              <w:szCs w:val="160"/>
              <w:lang w:val="en-US" w:eastAsia="zh-CN"/>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14:ligatures w14:val="none"/>
            </w:rPr>
            <w:br w:type="page"/>
          </w:r>
        </w:p>
      </w:sdtContent>
    </w:sdt>
    <w:p w14:paraId="12A3F162" w14:textId="2C373329" w:rsidR="004F03D7" w:rsidRPr="000A20AC" w:rsidRDefault="0005476D">
      <w:pPr>
        <w:spacing w:line="259" w:lineRule="auto"/>
        <w:jc w:val="left"/>
        <w:rPr>
          <w:rFonts w:ascii="Arial" w:hAnsi="Arial" w:cs="Arial"/>
          <w:color w:val="FFFFFF"/>
          <w:sz w:val="22"/>
        </w:rPr>
      </w:pPr>
      <w:proofErr w:type="spellStart"/>
      <w:r w:rsidRPr="000A20AC">
        <w:rPr>
          <w:rFonts w:ascii="Arial" w:hAnsi="Arial" w:cs="Arial"/>
          <w:color w:val="FFFFFF"/>
          <w:sz w:val="22"/>
        </w:rPr>
        <w:lastRenderedPageBreak/>
        <w:t>oduction</w:t>
      </w:r>
      <w:proofErr w:type="spellEnd"/>
      <w:r w:rsidRPr="000A20AC">
        <w:rPr>
          <w:rFonts w:ascii="Arial" w:hAnsi="Arial" w:cs="Arial"/>
          <w:color w:val="FFFFFF"/>
          <w:sz w:val="22"/>
        </w:rPr>
        <w:t xml:space="preserve"> to Health and Social Care (LCHS4003_LON)</w:t>
      </w:r>
    </w:p>
    <w:p w14:paraId="22C5DE56" w14:textId="2C2FEE2E" w:rsidR="000503B0" w:rsidRPr="000A20AC" w:rsidRDefault="000503B0" w:rsidP="00FD4FD7">
      <w:pPr>
        <w:spacing w:line="259" w:lineRule="auto"/>
        <w:jc w:val="left"/>
        <w:rPr>
          <w:rFonts w:ascii="Arial" w:eastAsiaTheme="minorEastAsia" w:hAnsi="Arial" w:cs="Arial"/>
          <w:b/>
          <w:color w:val="000000" w:themeColor="text1"/>
          <w:kern w:val="0"/>
          <w:sz w:val="22"/>
          <w:lang w:val="en-US" w:eastAsia="zh-CN"/>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14:ligatures w14:val="none"/>
        </w:rPr>
      </w:pPr>
      <w:r w:rsidRPr="000A20AC">
        <w:rPr>
          <w:rFonts w:ascii="Arial" w:hAnsi="Arial" w:cs="Arial"/>
          <w:sz w:val="22"/>
        </w:rPr>
        <w:t xml:space="preserve">Task 2 – Essay </w:t>
      </w:r>
    </w:p>
    <w:p w14:paraId="4945F379" w14:textId="77777777" w:rsidR="000503B0" w:rsidRPr="000A20AC" w:rsidRDefault="000503B0" w:rsidP="004E4BB6">
      <w:pPr>
        <w:pStyle w:val="Heading3"/>
        <w:rPr>
          <w:rStyle w:val="IntenseReference"/>
          <w:rFonts w:ascii="Arial" w:hAnsi="Arial" w:cs="Arial"/>
          <w:b w:val="0"/>
          <w:smallCaps w:val="0"/>
          <w:color w:val="000000" w:themeColor="text1"/>
          <w:spacing w:val="0"/>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A20AC">
        <w:rPr>
          <w:rStyle w:val="IntenseReference"/>
          <w:rFonts w:ascii="Arial" w:hAnsi="Arial" w:cs="Arial"/>
          <w:b w:val="0"/>
          <w:smallCaps w:val="0"/>
          <w:color w:val="000000" w:themeColor="text1"/>
          <w:spacing w:val="0"/>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Origins and Structure of the National Health Service (NHS)</w:t>
      </w:r>
    </w:p>
    <w:p w14:paraId="1E89232C" w14:textId="77777777" w:rsidR="004E4BB6" w:rsidRPr="000A20AC" w:rsidRDefault="004E4BB6" w:rsidP="009611BA">
      <w:pPr>
        <w:pStyle w:val="Heading2"/>
        <w:rPr>
          <w:rFonts w:ascii="Arial" w:hAnsi="Arial" w:cs="Arial"/>
          <w:sz w:val="22"/>
          <w:szCs w:val="22"/>
        </w:rPr>
      </w:pPr>
    </w:p>
    <w:p w14:paraId="09A50AE7" w14:textId="1A613709" w:rsidR="000503B0" w:rsidRPr="000A20AC" w:rsidRDefault="000503B0" w:rsidP="009611BA">
      <w:pPr>
        <w:pStyle w:val="Heading2"/>
        <w:rPr>
          <w:rFonts w:ascii="Arial" w:hAnsi="Arial" w:cs="Arial"/>
          <w:sz w:val="22"/>
          <w:szCs w:val="22"/>
        </w:rPr>
      </w:pPr>
      <w:r w:rsidRPr="000A20AC">
        <w:rPr>
          <w:rFonts w:ascii="Arial" w:hAnsi="Arial" w:cs="Arial"/>
          <w:sz w:val="22"/>
          <w:szCs w:val="22"/>
        </w:rPr>
        <w:t>1. Historical Context and Origins</w:t>
      </w:r>
    </w:p>
    <w:p w14:paraId="6409A730" w14:textId="64839F61" w:rsidR="000503B0" w:rsidRPr="000A20AC" w:rsidRDefault="00DC126F" w:rsidP="009611BA">
      <w:pPr>
        <w:rPr>
          <w:rFonts w:ascii="Arial" w:hAnsi="Arial" w:cs="Arial"/>
          <w:sz w:val="22"/>
        </w:rPr>
      </w:pPr>
      <w:r w:rsidRPr="000A20AC">
        <w:rPr>
          <w:rFonts w:ascii="Arial" w:hAnsi="Arial" w:cs="Arial"/>
          <w:sz w:val="22"/>
        </w:rPr>
        <w:t>Among the most radical social policies made in the British history is the creation of the National Health Service (NHS) in 1948. Its origin was due to the social injustices that was revealed in the inter-war era and the destruction of the Second World War. The Beveridge Report (1942) included disease in its five giant list that would be beaten in the reconstruction of post-war society and suggested a fully funded welfare state achieved by taxation.</w:t>
      </w:r>
    </w:p>
    <w:p w14:paraId="3133C435" w14:textId="62103C2C" w:rsidR="000503B0" w:rsidRPr="000A20AC" w:rsidRDefault="00DC126F" w:rsidP="009611BA">
      <w:pPr>
        <w:rPr>
          <w:rFonts w:ascii="Arial" w:hAnsi="Arial" w:cs="Arial"/>
          <w:sz w:val="22"/>
        </w:rPr>
      </w:pPr>
      <w:r w:rsidRPr="000A20AC">
        <w:rPr>
          <w:rFonts w:ascii="Arial" w:hAnsi="Arial" w:cs="Arial"/>
          <w:sz w:val="22"/>
        </w:rPr>
        <w:t>This vision was translated by Aneurin Bevan, the Minister of Health into the NHS that was based on the three major postulates:</w:t>
      </w:r>
    </w:p>
    <w:p w14:paraId="19253AEA" w14:textId="08EC3703" w:rsidR="000503B0" w:rsidRPr="000A20AC" w:rsidRDefault="000503B0" w:rsidP="009611BA">
      <w:pPr>
        <w:pStyle w:val="ListParagraph"/>
        <w:numPr>
          <w:ilvl w:val="0"/>
          <w:numId w:val="2"/>
        </w:numPr>
        <w:rPr>
          <w:rFonts w:ascii="Arial" w:hAnsi="Arial" w:cs="Arial"/>
          <w:sz w:val="22"/>
        </w:rPr>
      </w:pPr>
      <w:r w:rsidRPr="000A20AC">
        <w:rPr>
          <w:rFonts w:ascii="Arial" w:hAnsi="Arial" w:cs="Arial"/>
          <w:sz w:val="22"/>
        </w:rPr>
        <w:t>Healthcare should meet the needs of everyone.</w:t>
      </w:r>
    </w:p>
    <w:p w14:paraId="74B91767" w14:textId="2680DBFB" w:rsidR="000503B0" w:rsidRPr="000A20AC" w:rsidRDefault="000503B0" w:rsidP="009611BA">
      <w:pPr>
        <w:pStyle w:val="ListParagraph"/>
        <w:numPr>
          <w:ilvl w:val="0"/>
          <w:numId w:val="2"/>
        </w:numPr>
        <w:rPr>
          <w:rFonts w:ascii="Arial" w:hAnsi="Arial" w:cs="Arial"/>
          <w:sz w:val="22"/>
        </w:rPr>
      </w:pPr>
      <w:r w:rsidRPr="000A20AC">
        <w:rPr>
          <w:rFonts w:ascii="Arial" w:hAnsi="Arial" w:cs="Arial"/>
          <w:sz w:val="22"/>
        </w:rPr>
        <w:t>It should be free at the point of delivery.</w:t>
      </w:r>
    </w:p>
    <w:p w14:paraId="6EB77D42" w14:textId="44EFB800" w:rsidR="000503B0" w:rsidRPr="000A20AC" w:rsidRDefault="000503B0" w:rsidP="009611BA">
      <w:pPr>
        <w:pStyle w:val="ListParagraph"/>
        <w:numPr>
          <w:ilvl w:val="0"/>
          <w:numId w:val="2"/>
        </w:numPr>
        <w:rPr>
          <w:rFonts w:ascii="Arial" w:hAnsi="Arial" w:cs="Arial"/>
          <w:sz w:val="22"/>
        </w:rPr>
      </w:pPr>
      <w:r w:rsidRPr="000A20AC">
        <w:rPr>
          <w:rFonts w:ascii="Arial" w:hAnsi="Arial" w:cs="Arial"/>
          <w:sz w:val="22"/>
        </w:rPr>
        <w:t>It should be based on clinical need, not the ability to pay (Department of Health, 2018).</w:t>
      </w:r>
    </w:p>
    <w:p w14:paraId="6D2C4A45" w14:textId="77777777" w:rsidR="00CA5B36" w:rsidRDefault="00955E40" w:rsidP="00970082">
      <w:pPr>
        <w:rPr>
          <w:rFonts w:ascii="Arial" w:hAnsi="Arial" w:cs="Arial"/>
          <w:sz w:val="22"/>
        </w:rPr>
      </w:pPr>
      <w:r w:rsidRPr="000A20AC">
        <w:rPr>
          <w:rFonts w:ascii="Arial" w:hAnsi="Arial" w:cs="Arial"/>
          <w:sz w:val="22"/>
        </w:rPr>
        <w:t xml:space="preserve">These ideals were a moral and political devotion to joint duty. Before 1948, healthcare was largely a local government responsibility or targeted at the voluntary hospitals or even employment-based insurance and there were millions of people who had no proper cover. The NHS standardized these disjointed systems into one, publicly funded, system which ensured he </w:t>
      </w:r>
      <w:proofErr w:type="spellStart"/>
      <w:r w:rsidRPr="000A20AC">
        <w:rPr>
          <w:rFonts w:ascii="Arial" w:hAnsi="Arial" w:cs="Arial"/>
          <w:sz w:val="22"/>
        </w:rPr>
        <w:t>univeral</w:t>
      </w:r>
      <w:proofErr w:type="spellEnd"/>
      <w:r w:rsidRPr="000A20AC">
        <w:rPr>
          <w:rFonts w:ascii="Arial" w:hAnsi="Arial" w:cs="Arial"/>
          <w:sz w:val="22"/>
        </w:rPr>
        <w:t xml:space="preserve"> access.</w:t>
      </w:r>
    </w:p>
    <w:p w14:paraId="14E79FE0" w14:textId="1602315C" w:rsidR="000503B0" w:rsidRPr="00970082" w:rsidRDefault="000503B0" w:rsidP="00970082">
      <w:pPr>
        <w:rPr>
          <w:rFonts w:ascii="Arial" w:hAnsi="Arial" w:cs="Arial"/>
          <w:b/>
          <w:bCs/>
          <w:sz w:val="22"/>
        </w:rPr>
      </w:pPr>
      <w:r w:rsidRPr="00970082">
        <w:rPr>
          <w:rFonts w:ascii="Arial" w:hAnsi="Arial" w:cs="Arial"/>
          <w:b/>
          <w:bCs/>
          <w:sz w:val="22"/>
        </w:rPr>
        <w:t>2. Development and Reforms</w:t>
      </w:r>
    </w:p>
    <w:p w14:paraId="667DCEE8" w14:textId="18E6122A" w:rsidR="000503B0" w:rsidRPr="000A20AC" w:rsidRDefault="00955E40" w:rsidP="009611BA">
      <w:pPr>
        <w:rPr>
          <w:rFonts w:ascii="Arial" w:hAnsi="Arial" w:cs="Arial"/>
          <w:sz w:val="22"/>
        </w:rPr>
      </w:pPr>
      <w:r w:rsidRPr="000A20AC">
        <w:rPr>
          <w:rFonts w:ascii="Arial" w:hAnsi="Arial" w:cs="Arial"/>
          <w:sz w:val="22"/>
        </w:rPr>
        <w:t>The NHS has been under several structural reforms over the decades. In the 1974 reorganisation, regional health authorities were brought in to help in the coordination of hospital and community care. In the year 1990, the NHS and Community Care Act introduced the internal market, which separated the purchasers (commissioners) and the providers to increase efficiency. The Regulation introduced by the Health and Social Care Act 2012 further devolved the responsibility but introduced Clinical Commissioning Groups (CCGs) and encouraged choice among patients (Timmins, 2012).</w:t>
      </w:r>
    </w:p>
    <w:p w14:paraId="1A2729FF" w14:textId="45DB7291" w:rsidR="000503B0" w:rsidRPr="000A20AC" w:rsidRDefault="00955E40" w:rsidP="009611BA">
      <w:pPr>
        <w:rPr>
          <w:rFonts w:ascii="Arial" w:hAnsi="Arial" w:cs="Arial"/>
          <w:sz w:val="22"/>
        </w:rPr>
      </w:pPr>
      <w:proofErr w:type="gramStart"/>
      <w:r w:rsidRPr="000A20AC">
        <w:rPr>
          <w:rFonts w:ascii="Arial" w:hAnsi="Arial" w:cs="Arial"/>
          <w:sz w:val="22"/>
        </w:rPr>
        <w:t>In spite of</w:t>
      </w:r>
      <w:proofErr w:type="gramEnd"/>
      <w:r w:rsidRPr="000A20AC">
        <w:rPr>
          <w:rFonts w:ascii="Arial" w:hAnsi="Arial" w:cs="Arial"/>
          <w:sz w:val="22"/>
        </w:rPr>
        <w:t xml:space="preserve"> these reforms, NHS has continued to have its original ethos of universality and equity even adjusting to demographic and technological shifts and struggling with financial constraints.</w:t>
      </w:r>
    </w:p>
    <w:p w14:paraId="3849DC44" w14:textId="77777777" w:rsidR="00992414" w:rsidRPr="000A20AC" w:rsidRDefault="00992414" w:rsidP="009611BA">
      <w:pPr>
        <w:rPr>
          <w:rFonts w:ascii="Arial" w:hAnsi="Arial" w:cs="Arial"/>
          <w:sz w:val="22"/>
        </w:rPr>
      </w:pPr>
    </w:p>
    <w:p w14:paraId="13D4C2C5" w14:textId="3CC04CAA" w:rsidR="000503B0" w:rsidRPr="000A20AC" w:rsidRDefault="000503B0" w:rsidP="009611BA">
      <w:pPr>
        <w:pStyle w:val="Heading2"/>
        <w:rPr>
          <w:rFonts w:ascii="Arial" w:hAnsi="Arial" w:cs="Arial"/>
          <w:sz w:val="22"/>
          <w:szCs w:val="22"/>
        </w:rPr>
      </w:pPr>
      <w:r w:rsidRPr="000A20AC">
        <w:rPr>
          <w:rFonts w:ascii="Arial" w:hAnsi="Arial" w:cs="Arial"/>
          <w:sz w:val="22"/>
          <w:szCs w:val="22"/>
        </w:rPr>
        <w:lastRenderedPageBreak/>
        <w:t>3. Current Structure and Functioning</w:t>
      </w:r>
    </w:p>
    <w:p w14:paraId="24A25652" w14:textId="5555ED41" w:rsidR="000503B0" w:rsidRPr="000A20AC" w:rsidRDefault="00955E40" w:rsidP="009611BA">
      <w:pPr>
        <w:rPr>
          <w:rFonts w:ascii="Arial" w:hAnsi="Arial" w:cs="Arial"/>
          <w:sz w:val="22"/>
        </w:rPr>
      </w:pPr>
      <w:r w:rsidRPr="000A20AC">
        <w:rPr>
          <w:rFonts w:ascii="Arial" w:hAnsi="Arial" w:cs="Arial"/>
          <w:sz w:val="22"/>
        </w:rPr>
        <w:t>The current operation of the NHS is in form of four devolved bodies, namely NHS England, NHS Scotland, NHS Wales and Health and Social Care Northern Ireland. The management of every administration has its own budget and policy structure.</w:t>
      </w:r>
    </w:p>
    <w:p w14:paraId="72641213" w14:textId="52C98B19" w:rsidR="000503B0" w:rsidRPr="000A20AC" w:rsidRDefault="00955E40" w:rsidP="009611BA">
      <w:pPr>
        <w:rPr>
          <w:rFonts w:ascii="Arial" w:hAnsi="Arial" w:cs="Arial"/>
          <w:sz w:val="22"/>
        </w:rPr>
      </w:pPr>
      <w:r w:rsidRPr="000A20AC">
        <w:rPr>
          <w:rFonts w:ascii="Arial" w:hAnsi="Arial" w:cs="Arial"/>
          <w:sz w:val="22"/>
        </w:rPr>
        <w:t>Its largest constituent, NHS England, is designed to be cored to Integrated Care Systems (ICSs) launched in 2022. ICSs involve the unification of local authorities, hospitals, and community providers to achieve geographical area joined-up care (NHS England, 2022). The Department of Health and Social Care (DHSC) manages the national strategy and funding and regulates and holds the standards accountable through independent organizations like the Care Quality Commission (CQC).</w:t>
      </w:r>
    </w:p>
    <w:p w14:paraId="55111CCE" w14:textId="1568296C" w:rsidR="000503B0" w:rsidRPr="000A20AC" w:rsidRDefault="00955E40" w:rsidP="009611BA">
      <w:pPr>
        <w:rPr>
          <w:rFonts w:ascii="Arial" w:hAnsi="Arial" w:cs="Arial"/>
          <w:sz w:val="22"/>
        </w:rPr>
      </w:pPr>
      <w:r w:rsidRPr="000A20AC">
        <w:rPr>
          <w:rFonts w:ascii="Arial" w:hAnsi="Arial" w:cs="Arial"/>
          <w:sz w:val="22"/>
        </w:rPr>
        <w:t>In the UK, the main source of funding is through general taxation, which accounts to approximately 9.3% of the GDP of the country (Office for Budget Responsibility, 2024). NHS has more than 1.4 million employees, which is the fifth-largest employer in the world. The services are offered by free at the point of use and they include general practice, hospital, maternity, dental services as well as pharmaceutical services.</w:t>
      </w:r>
    </w:p>
    <w:p w14:paraId="0395539C" w14:textId="77777777" w:rsidR="00FD4FD7" w:rsidRPr="000A20AC" w:rsidRDefault="00FD4FD7" w:rsidP="009611BA">
      <w:pPr>
        <w:rPr>
          <w:rFonts w:ascii="Arial" w:hAnsi="Arial" w:cs="Arial"/>
          <w:sz w:val="22"/>
        </w:rPr>
      </w:pPr>
    </w:p>
    <w:p w14:paraId="0C8AFEC1" w14:textId="77777777" w:rsidR="000503B0" w:rsidRPr="000A20AC" w:rsidRDefault="000503B0" w:rsidP="009611BA">
      <w:pPr>
        <w:pStyle w:val="Heading2"/>
        <w:rPr>
          <w:rFonts w:ascii="Arial" w:hAnsi="Arial" w:cs="Arial"/>
          <w:sz w:val="22"/>
          <w:szCs w:val="22"/>
        </w:rPr>
      </w:pPr>
      <w:r w:rsidRPr="000A20AC">
        <w:rPr>
          <w:rFonts w:ascii="Arial" w:hAnsi="Arial" w:cs="Arial"/>
          <w:sz w:val="22"/>
          <w:szCs w:val="22"/>
        </w:rPr>
        <w:t>4. Current Challenges</w:t>
      </w:r>
    </w:p>
    <w:p w14:paraId="1F80C3A9" w14:textId="0596A3DF" w:rsidR="000503B0" w:rsidRPr="000A20AC" w:rsidRDefault="00955E40" w:rsidP="009611BA">
      <w:pPr>
        <w:rPr>
          <w:rFonts w:ascii="Arial" w:hAnsi="Arial" w:cs="Arial"/>
          <w:sz w:val="22"/>
        </w:rPr>
      </w:pPr>
      <w:r w:rsidRPr="000A20AC">
        <w:rPr>
          <w:rFonts w:ascii="Arial" w:hAnsi="Arial" w:cs="Arial"/>
          <w:sz w:val="22"/>
        </w:rPr>
        <w:t>The NHS is experiencing complex stressors such as the increased demand in the ageing population, high queues, and loss of workforce. These issues were tightened by the COVID-19 pandemic, which revealed weak points in the staffing and infrastructure structures (The King’s Fund, 2023). The question of financial sustainability is not be ignored because the growth of the real-term spending does not rise to the demands. Also, the disparity in health outcomes continues to exist throughout regions and social-economic lines</w:t>
      </w:r>
      <w:r w:rsidR="000503B0" w:rsidRPr="000A20AC">
        <w:rPr>
          <w:rFonts w:ascii="Arial" w:hAnsi="Arial" w:cs="Arial"/>
          <w:sz w:val="22"/>
        </w:rPr>
        <w:t>.</w:t>
      </w:r>
    </w:p>
    <w:p w14:paraId="29DEE18B" w14:textId="77777777" w:rsidR="000503B0" w:rsidRPr="000A20AC" w:rsidRDefault="000503B0" w:rsidP="009611BA">
      <w:pPr>
        <w:rPr>
          <w:rFonts w:ascii="Arial" w:hAnsi="Arial" w:cs="Arial"/>
          <w:sz w:val="22"/>
        </w:rPr>
      </w:pPr>
    </w:p>
    <w:p w14:paraId="3F79A89B" w14:textId="52D8CDFA" w:rsidR="000503B0" w:rsidRPr="000A20AC" w:rsidRDefault="000503B0" w:rsidP="00CA5B36">
      <w:pPr>
        <w:pStyle w:val="Heading2"/>
        <w:rPr>
          <w:rFonts w:ascii="Arial" w:hAnsi="Arial" w:cs="Arial"/>
          <w:sz w:val="22"/>
          <w:szCs w:val="22"/>
        </w:rPr>
      </w:pPr>
      <w:r w:rsidRPr="000A20AC">
        <w:rPr>
          <w:rFonts w:ascii="Arial" w:hAnsi="Arial" w:cs="Arial"/>
          <w:sz w:val="22"/>
          <w:szCs w:val="22"/>
        </w:rPr>
        <w:t>5. Conclusion</w:t>
      </w:r>
    </w:p>
    <w:p w14:paraId="724424B9" w14:textId="6BB7B7D8" w:rsidR="00992414" w:rsidRPr="000A20AC" w:rsidRDefault="00955E40" w:rsidP="00CA5B36">
      <w:pPr>
        <w:rPr>
          <w:rFonts w:ascii="Arial" w:hAnsi="Arial" w:cs="Arial"/>
          <w:sz w:val="22"/>
        </w:rPr>
      </w:pPr>
      <w:r w:rsidRPr="000A20AC">
        <w:rPr>
          <w:rFonts w:ascii="Arial" w:hAnsi="Arial" w:cs="Arial"/>
          <w:sz w:val="22"/>
        </w:rPr>
        <w:t>The NHS is the icon of social solidarity, the organization that is based on the principles that are still respected all over the world. As its historical development shows, it was able to change with the constantly changing political, economic, and demographic environment. However, to maintain its founding principles of universality and equality, it must continue to invest, go digital, and plan its workforce, it is necessary. The trade-off between fiscal accountability and fair access will be the key to the future of the NHS and its capacity to maintain its overall resilience and provide comprehensive, free healthcare services to everybody.</w:t>
      </w:r>
      <w:r w:rsidR="00992414" w:rsidRPr="000A20AC">
        <w:rPr>
          <w:rFonts w:ascii="Arial" w:hAnsi="Arial" w:cs="Arial"/>
          <w:sz w:val="22"/>
        </w:rPr>
        <w:br w:type="page"/>
      </w:r>
    </w:p>
    <w:p w14:paraId="1BB771C4" w14:textId="0D8E390C" w:rsidR="000503B0" w:rsidRPr="000A20AC" w:rsidRDefault="000503B0" w:rsidP="009611BA">
      <w:pPr>
        <w:pStyle w:val="Heading1"/>
        <w:rPr>
          <w:rFonts w:ascii="Arial" w:hAnsi="Arial" w:cs="Arial"/>
          <w:sz w:val="22"/>
          <w:szCs w:val="22"/>
        </w:rPr>
      </w:pPr>
      <w:r w:rsidRPr="000A20AC">
        <w:rPr>
          <w:rFonts w:ascii="Arial" w:hAnsi="Arial" w:cs="Arial"/>
          <w:sz w:val="22"/>
          <w:szCs w:val="22"/>
        </w:rPr>
        <w:lastRenderedPageBreak/>
        <w:t>Reference</w:t>
      </w:r>
      <w:r w:rsidR="00016E1F" w:rsidRPr="000A20AC">
        <w:rPr>
          <w:rFonts w:ascii="Arial" w:hAnsi="Arial" w:cs="Arial"/>
          <w:sz w:val="22"/>
          <w:szCs w:val="22"/>
        </w:rPr>
        <w:t>s</w:t>
      </w:r>
    </w:p>
    <w:p w14:paraId="75426D65" w14:textId="77777777" w:rsidR="000503B0" w:rsidRPr="000A20AC" w:rsidRDefault="000503B0" w:rsidP="009611BA">
      <w:pPr>
        <w:rPr>
          <w:rFonts w:ascii="Arial" w:hAnsi="Arial" w:cs="Arial"/>
          <w:sz w:val="22"/>
        </w:rPr>
      </w:pPr>
      <w:r w:rsidRPr="000A20AC">
        <w:rPr>
          <w:rFonts w:ascii="Arial" w:hAnsi="Arial" w:cs="Arial"/>
          <w:sz w:val="22"/>
        </w:rPr>
        <w:t>Department of Health (2018) The NHS Constitution for England. London: DHSC.</w:t>
      </w:r>
    </w:p>
    <w:p w14:paraId="760F4EED" w14:textId="77777777" w:rsidR="000503B0" w:rsidRPr="000A20AC" w:rsidRDefault="000503B0" w:rsidP="009611BA">
      <w:pPr>
        <w:rPr>
          <w:rFonts w:ascii="Arial" w:hAnsi="Arial" w:cs="Arial"/>
          <w:sz w:val="22"/>
        </w:rPr>
      </w:pPr>
      <w:r w:rsidRPr="000A20AC">
        <w:rPr>
          <w:rFonts w:ascii="Arial" w:hAnsi="Arial" w:cs="Arial"/>
          <w:sz w:val="22"/>
        </w:rPr>
        <w:t>NHS England (2019) The NHS Long Term Plan. London: NHS England.</w:t>
      </w:r>
    </w:p>
    <w:p w14:paraId="5F831260" w14:textId="77777777" w:rsidR="000503B0" w:rsidRPr="000A20AC" w:rsidRDefault="000503B0" w:rsidP="009611BA">
      <w:pPr>
        <w:rPr>
          <w:rFonts w:ascii="Arial" w:hAnsi="Arial" w:cs="Arial"/>
          <w:sz w:val="22"/>
        </w:rPr>
      </w:pPr>
      <w:r w:rsidRPr="000A20AC">
        <w:rPr>
          <w:rFonts w:ascii="Arial" w:hAnsi="Arial" w:cs="Arial"/>
          <w:sz w:val="22"/>
        </w:rPr>
        <w:t>NHS England (2022) Integrated Care Systems: Guidance on Governance and Accountability. London: NHS England.</w:t>
      </w:r>
    </w:p>
    <w:p w14:paraId="2F5EC9B2" w14:textId="77777777" w:rsidR="000503B0" w:rsidRPr="000A20AC" w:rsidRDefault="000503B0" w:rsidP="009611BA">
      <w:pPr>
        <w:rPr>
          <w:rFonts w:ascii="Arial" w:hAnsi="Arial" w:cs="Arial"/>
          <w:sz w:val="22"/>
        </w:rPr>
      </w:pPr>
      <w:r w:rsidRPr="000A20AC">
        <w:rPr>
          <w:rFonts w:ascii="Arial" w:hAnsi="Arial" w:cs="Arial"/>
          <w:sz w:val="22"/>
        </w:rPr>
        <w:t>NHS England (2023) Overview of Maternity Services. Available at: https://www.england.nhs.uk/maternity/ (Accessed 14 October 2025).</w:t>
      </w:r>
    </w:p>
    <w:p w14:paraId="78E30906" w14:textId="77777777" w:rsidR="000503B0" w:rsidRPr="000A20AC" w:rsidRDefault="000503B0" w:rsidP="009611BA">
      <w:pPr>
        <w:rPr>
          <w:rFonts w:ascii="Arial" w:hAnsi="Arial" w:cs="Arial"/>
          <w:sz w:val="22"/>
        </w:rPr>
      </w:pPr>
      <w:r w:rsidRPr="000A20AC">
        <w:rPr>
          <w:rFonts w:ascii="Arial" w:hAnsi="Arial" w:cs="Arial"/>
          <w:sz w:val="22"/>
        </w:rPr>
        <w:t>Office for Budget Responsibility (2024) Economic and Fiscal Outlook: March 2024. London: OBR.</w:t>
      </w:r>
    </w:p>
    <w:p w14:paraId="3D8F47CC" w14:textId="77777777" w:rsidR="000503B0" w:rsidRPr="000A20AC" w:rsidRDefault="000503B0" w:rsidP="009611BA">
      <w:pPr>
        <w:rPr>
          <w:rFonts w:ascii="Arial" w:hAnsi="Arial" w:cs="Arial"/>
          <w:sz w:val="22"/>
        </w:rPr>
      </w:pPr>
      <w:r w:rsidRPr="000A20AC">
        <w:rPr>
          <w:rFonts w:ascii="Arial" w:hAnsi="Arial" w:cs="Arial"/>
          <w:sz w:val="22"/>
        </w:rPr>
        <w:t>Public Health England (2021) Maternity Services Data Set: User Guide. London: PHE.</w:t>
      </w:r>
    </w:p>
    <w:p w14:paraId="3638FA4A" w14:textId="77777777" w:rsidR="000503B0" w:rsidRPr="000A20AC" w:rsidRDefault="000503B0" w:rsidP="009611BA">
      <w:pPr>
        <w:rPr>
          <w:rFonts w:ascii="Arial" w:hAnsi="Arial" w:cs="Arial"/>
          <w:sz w:val="22"/>
        </w:rPr>
      </w:pPr>
      <w:r w:rsidRPr="000A20AC">
        <w:rPr>
          <w:rFonts w:ascii="Arial" w:hAnsi="Arial" w:cs="Arial"/>
          <w:sz w:val="22"/>
        </w:rPr>
        <w:t>The King’s Fund (2023) The NHS at 75: Challenges and Opportunities Ahead. London: The King’s Fund.</w:t>
      </w:r>
    </w:p>
    <w:p w14:paraId="361F668A" w14:textId="2667CBCF" w:rsidR="00675B2A" w:rsidRPr="000A20AC" w:rsidRDefault="000503B0" w:rsidP="009611BA">
      <w:pPr>
        <w:rPr>
          <w:rFonts w:ascii="Arial" w:hAnsi="Arial" w:cs="Arial"/>
          <w:sz w:val="22"/>
        </w:rPr>
      </w:pPr>
      <w:r w:rsidRPr="000A20AC">
        <w:rPr>
          <w:rFonts w:ascii="Arial" w:hAnsi="Arial" w:cs="Arial"/>
          <w:sz w:val="22"/>
        </w:rPr>
        <w:t>Timmins, N. (2012) Never Again? The Story of the Health and Social Care Act 2012. London: The King’s Fund.</w:t>
      </w:r>
    </w:p>
    <w:p w14:paraId="02E1EBD7" w14:textId="77777777" w:rsidR="00483074" w:rsidRPr="000A20AC" w:rsidRDefault="00483074" w:rsidP="009611BA">
      <w:pPr>
        <w:rPr>
          <w:rFonts w:ascii="Arial" w:hAnsi="Arial" w:cs="Arial"/>
          <w:sz w:val="22"/>
        </w:rPr>
      </w:pPr>
    </w:p>
    <w:sectPr w:rsidR="00483074" w:rsidRPr="000A20AC" w:rsidSect="00BB00CD">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E3435F" w14:textId="77777777" w:rsidR="005B0349" w:rsidRDefault="005B0349" w:rsidP="00992414">
      <w:pPr>
        <w:spacing w:after="0" w:line="240" w:lineRule="auto"/>
      </w:pPr>
      <w:r>
        <w:separator/>
      </w:r>
    </w:p>
  </w:endnote>
  <w:endnote w:type="continuationSeparator" w:id="0">
    <w:p w14:paraId="66A6E638" w14:textId="77777777" w:rsidR="005B0349" w:rsidRDefault="005B0349" w:rsidP="009924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Algerian">
    <w:panose1 w:val="04020705040A02060702"/>
    <w:charset w:val="4D"/>
    <w:family w:val="decorativ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59695771"/>
      <w:docPartObj>
        <w:docPartGallery w:val="Page Numbers (Bottom of Page)"/>
        <w:docPartUnique/>
      </w:docPartObj>
    </w:sdtPr>
    <w:sdtEndPr>
      <w:rPr>
        <w:rStyle w:val="PageNumber"/>
      </w:rPr>
    </w:sdtEndPr>
    <w:sdtContent>
      <w:p w14:paraId="3C764A3D" w14:textId="04C56FA4" w:rsidR="00B749C8" w:rsidRDefault="00B749C8" w:rsidP="00B86BD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7567FEC" w14:textId="77777777" w:rsidR="00B749C8" w:rsidRDefault="00B749C8" w:rsidP="00B749C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3342563"/>
      <w:docPartObj>
        <w:docPartGallery w:val="Page Numbers (Bottom of Page)"/>
        <w:docPartUnique/>
      </w:docPartObj>
    </w:sdtPr>
    <w:sdtEndPr>
      <w:rPr>
        <w:rStyle w:val="PageNumber"/>
      </w:rPr>
    </w:sdtEndPr>
    <w:sdtContent>
      <w:p w14:paraId="3EBFB74E" w14:textId="31853B2A" w:rsidR="00B749C8" w:rsidRDefault="00B749C8" w:rsidP="00B86BD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FACAEEF" w14:textId="77777777" w:rsidR="00B749C8" w:rsidRDefault="00B749C8" w:rsidP="00B749C8">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9C6C32" w14:textId="77777777" w:rsidR="0005476D" w:rsidRDefault="000547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E65D71" w14:textId="77777777" w:rsidR="005B0349" w:rsidRDefault="005B0349" w:rsidP="00992414">
      <w:pPr>
        <w:spacing w:after="0" w:line="240" w:lineRule="auto"/>
      </w:pPr>
      <w:r>
        <w:separator/>
      </w:r>
    </w:p>
  </w:footnote>
  <w:footnote w:type="continuationSeparator" w:id="0">
    <w:p w14:paraId="15FBE0B1" w14:textId="77777777" w:rsidR="005B0349" w:rsidRDefault="005B0349" w:rsidP="009924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7628AF" w14:textId="77777777" w:rsidR="0005476D" w:rsidRDefault="0005476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44E7E4" w14:textId="77777777" w:rsidR="00EC2C31" w:rsidRDefault="00EC2C3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BB742D" w14:textId="77777777" w:rsidR="0005476D" w:rsidRDefault="0005476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AD0976"/>
    <w:multiLevelType w:val="hybridMultilevel"/>
    <w:tmpl w:val="30F448E4"/>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4F4E1BF5"/>
    <w:multiLevelType w:val="hybridMultilevel"/>
    <w:tmpl w:val="6F3835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56331189">
    <w:abstractNumId w:val="1"/>
  </w:num>
  <w:num w:numId="2" w16cid:durableId="916334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03B0"/>
    <w:rsid w:val="00016E1F"/>
    <w:rsid w:val="0002194F"/>
    <w:rsid w:val="00026E8C"/>
    <w:rsid w:val="0003136D"/>
    <w:rsid w:val="000503B0"/>
    <w:rsid w:val="0005476D"/>
    <w:rsid w:val="00081AA4"/>
    <w:rsid w:val="00085297"/>
    <w:rsid w:val="000A20AC"/>
    <w:rsid w:val="0010640F"/>
    <w:rsid w:val="00135EA4"/>
    <w:rsid w:val="001734B8"/>
    <w:rsid w:val="0022640F"/>
    <w:rsid w:val="002E1011"/>
    <w:rsid w:val="00305D35"/>
    <w:rsid w:val="00317AA8"/>
    <w:rsid w:val="00337C32"/>
    <w:rsid w:val="00351AC4"/>
    <w:rsid w:val="003C3098"/>
    <w:rsid w:val="00416BDF"/>
    <w:rsid w:val="00483074"/>
    <w:rsid w:val="004E4BB6"/>
    <w:rsid w:val="004F03D7"/>
    <w:rsid w:val="005558CF"/>
    <w:rsid w:val="005A41A2"/>
    <w:rsid w:val="005B0349"/>
    <w:rsid w:val="00675B2A"/>
    <w:rsid w:val="006802EC"/>
    <w:rsid w:val="006B2C94"/>
    <w:rsid w:val="0075277F"/>
    <w:rsid w:val="007E1ECE"/>
    <w:rsid w:val="007E7C81"/>
    <w:rsid w:val="00813D91"/>
    <w:rsid w:val="0088691E"/>
    <w:rsid w:val="008A1EB0"/>
    <w:rsid w:val="008D43E0"/>
    <w:rsid w:val="00955E40"/>
    <w:rsid w:val="009611BA"/>
    <w:rsid w:val="00970082"/>
    <w:rsid w:val="00992414"/>
    <w:rsid w:val="009A020F"/>
    <w:rsid w:val="009A022A"/>
    <w:rsid w:val="009C171B"/>
    <w:rsid w:val="00B11806"/>
    <w:rsid w:val="00B749C8"/>
    <w:rsid w:val="00BB00CD"/>
    <w:rsid w:val="00C272EF"/>
    <w:rsid w:val="00C71338"/>
    <w:rsid w:val="00C95120"/>
    <w:rsid w:val="00CA5B36"/>
    <w:rsid w:val="00DC126F"/>
    <w:rsid w:val="00E02CB8"/>
    <w:rsid w:val="00E07B1E"/>
    <w:rsid w:val="00EC2C31"/>
    <w:rsid w:val="00FD4F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23144E"/>
  <w15:chartTrackingRefBased/>
  <w15:docId w15:val="{AE5D0196-1D11-4113-B586-A15A63605C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241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92414"/>
    <w:pPr>
      <w:keepNext/>
      <w:keepLines/>
      <w:spacing w:before="360" w:after="80"/>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992414"/>
    <w:pPr>
      <w:keepNext/>
      <w:keepLines/>
      <w:spacing w:before="160" w:after="80"/>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unhideWhenUsed/>
    <w:qFormat/>
    <w:rsid w:val="000503B0"/>
    <w:pPr>
      <w:keepNext/>
      <w:keepLines/>
      <w:spacing w:before="160" w:after="80"/>
      <w:outlineLvl w:val="2"/>
    </w:pPr>
    <w:rPr>
      <w:rFonts w:eastAsiaTheme="majorEastAsia" w:cstheme="majorBidi"/>
      <w:color w:val="B76E0B" w:themeColor="accent1" w:themeShade="BF"/>
      <w:sz w:val="28"/>
      <w:szCs w:val="28"/>
    </w:rPr>
  </w:style>
  <w:style w:type="paragraph" w:styleId="Heading4">
    <w:name w:val="heading 4"/>
    <w:basedOn w:val="Normal"/>
    <w:next w:val="Normal"/>
    <w:link w:val="Heading4Char"/>
    <w:uiPriority w:val="9"/>
    <w:semiHidden/>
    <w:unhideWhenUsed/>
    <w:qFormat/>
    <w:rsid w:val="000503B0"/>
    <w:pPr>
      <w:keepNext/>
      <w:keepLines/>
      <w:spacing w:before="80" w:after="40"/>
      <w:outlineLvl w:val="3"/>
    </w:pPr>
    <w:rPr>
      <w:rFonts w:eastAsiaTheme="majorEastAsia" w:cstheme="majorBidi"/>
      <w:i/>
      <w:iCs/>
      <w:color w:val="B76E0B" w:themeColor="accent1" w:themeShade="BF"/>
    </w:rPr>
  </w:style>
  <w:style w:type="paragraph" w:styleId="Heading5">
    <w:name w:val="heading 5"/>
    <w:basedOn w:val="Normal"/>
    <w:next w:val="Normal"/>
    <w:link w:val="Heading5Char"/>
    <w:uiPriority w:val="9"/>
    <w:semiHidden/>
    <w:unhideWhenUsed/>
    <w:qFormat/>
    <w:rsid w:val="000503B0"/>
    <w:pPr>
      <w:keepNext/>
      <w:keepLines/>
      <w:spacing w:before="80" w:after="40"/>
      <w:outlineLvl w:val="4"/>
    </w:pPr>
    <w:rPr>
      <w:rFonts w:eastAsiaTheme="majorEastAsia" w:cstheme="majorBidi"/>
      <w:color w:val="B76E0B" w:themeColor="accent1" w:themeShade="BF"/>
    </w:rPr>
  </w:style>
  <w:style w:type="paragraph" w:styleId="Heading6">
    <w:name w:val="heading 6"/>
    <w:basedOn w:val="Normal"/>
    <w:next w:val="Normal"/>
    <w:link w:val="Heading6Char"/>
    <w:uiPriority w:val="9"/>
    <w:semiHidden/>
    <w:unhideWhenUsed/>
    <w:qFormat/>
    <w:rsid w:val="000503B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03B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03B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03B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2414"/>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rsid w:val="00992414"/>
    <w:rPr>
      <w:rFonts w:ascii="Times New Roman" w:eastAsiaTheme="majorEastAsia" w:hAnsi="Times New Roman" w:cstheme="majorBidi"/>
      <w:b/>
      <w:color w:val="000000" w:themeColor="text1"/>
      <w:sz w:val="24"/>
      <w:szCs w:val="32"/>
    </w:rPr>
  </w:style>
  <w:style w:type="character" w:customStyle="1" w:styleId="Heading3Char">
    <w:name w:val="Heading 3 Char"/>
    <w:basedOn w:val="DefaultParagraphFont"/>
    <w:link w:val="Heading3"/>
    <w:uiPriority w:val="9"/>
    <w:rsid w:val="000503B0"/>
    <w:rPr>
      <w:rFonts w:eastAsiaTheme="majorEastAsia" w:cstheme="majorBidi"/>
      <w:color w:val="B76E0B" w:themeColor="accent1" w:themeShade="BF"/>
      <w:sz w:val="28"/>
      <w:szCs w:val="28"/>
    </w:rPr>
  </w:style>
  <w:style w:type="character" w:customStyle="1" w:styleId="Heading4Char">
    <w:name w:val="Heading 4 Char"/>
    <w:basedOn w:val="DefaultParagraphFont"/>
    <w:link w:val="Heading4"/>
    <w:uiPriority w:val="9"/>
    <w:semiHidden/>
    <w:rsid w:val="000503B0"/>
    <w:rPr>
      <w:rFonts w:eastAsiaTheme="majorEastAsia" w:cstheme="majorBidi"/>
      <w:i/>
      <w:iCs/>
      <w:color w:val="B76E0B" w:themeColor="accent1" w:themeShade="BF"/>
    </w:rPr>
  </w:style>
  <w:style w:type="character" w:customStyle="1" w:styleId="Heading5Char">
    <w:name w:val="Heading 5 Char"/>
    <w:basedOn w:val="DefaultParagraphFont"/>
    <w:link w:val="Heading5"/>
    <w:uiPriority w:val="9"/>
    <w:semiHidden/>
    <w:rsid w:val="000503B0"/>
    <w:rPr>
      <w:rFonts w:eastAsiaTheme="majorEastAsia" w:cstheme="majorBidi"/>
      <w:color w:val="B76E0B" w:themeColor="accent1" w:themeShade="BF"/>
    </w:rPr>
  </w:style>
  <w:style w:type="character" w:customStyle="1" w:styleId="Heading6Char">
    <w:name w:val="Heading 6 Char"/>
    <w:basedOn w:val="DefaultParagraphFont"/>
    <w:link w:val="Heading6"/>
    <w:uiPriority w:val="9"/>
    <w:semiHidden/>
    <w:rsid w:val="000503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03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03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03B0"/>
    <w:rPr>
      <w:rFonts w:eastAsiaTheme="majorEastAsia" w:cstheme="majorBidi"/>
      <w:color w:val="272727" w:themeColor="text1" w:themeTint="D8"/>
    </w:rPr>
  </w:style>
  <w:style w:type="paragraph" w:styleId="Title">
    <w:name w:val="Title"/>
    <w:basedOn w:val="Normal"/>
    <w:next w:val="Normal"/>
    <w:link w:val="TitleChar"/>
    <w:uiPriority w:val="10"/>
    <w:qFormat/>
    <w:rsid w:val="000503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03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03B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03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03B0"/>
    <w:pPr>
      <w:spacing w:before="160"/>
      <w:jc w:val="center"/>
    </w:pPr>
    <w:rPr>
      <w:i/>
      <w:iCs/>
      <w:color w:val="404040" w:themeColor="text1" w:themeTint="BF"/>
    </w:rPr>
  </w:style>
  <w:style w:type="character" w:customStyle="1" w:styleId="QuoteChar">
    <w:name w:val="Quote Char"/>
    <w:basedOn w:val="DefaultParagraphFont"/>
    <w:link w:val="Quote"/>
    <w:uiPriority w:val="29"/>
    <w:rsid w:val="000503B0"/>
    <w:rPr>
      <w:i/>
      <w:iCs/>
      <w:color w:val="404040" w:themeColor="text1" w:themeTint="BF"/>
    </w:rPr>
  </w:style>
  <w:style w:type="paragraph" w:styleId="ListParagraph">
    <w:name w:val="List Paragraph"/>
    <w:basedOn w:val="Normal"/>
    <w:uiPriority w:val="34"/>
    <w:qFormat/>
    <w:rsid w:val="000503B0"/>
    <w:pPr>
      <w:ind w:left="720"/>
      <w:contextualSpacing/>
    </w:pPr>
  </w:style>
  <w:style w:type="character" w:styleId="IntenseEmphasis">
    <w:name w:val="Intense Emphasis"/>
    <w:basedOn w:val="DefaultParagraphFont"/>
    <w:uiPriority w:val="21"/>
    <w:qFormat/>
    <w:rsid w:val="000503B0"/>
    <w:rPr>
      <w:i/>
      <w:iCs/>
      <w:color w:val="B76E0B" w:themeColor="accent1" w:themeShade="BF"/>
    </w:rPr>
  </w:style>
  <w:style w:type="paragraph" w:styleId="IntenseQuote">
    <w:name w:val="Intense Quote"/>
    <w:basedOn w:val="Normal"/>
    <w:next w:val="Normal"/>
    <w:link w:val="IntenseQuoteChar"/>
    <w:uiPriority w:val="30"/>
    <w:qFormat/>
    <w:rsid w:val="000503B0"/>
    <w:pPr>
      <w:pBdr>
        <w:top w:val="single" w:sz="4" w:space="10" w:color="B76E0B" w:themeColor="accent1" w:themeShade="BF"/>
        <w:bottom w:val="single" w:sz="4" w:space="10" w:color="B76E0B" w:themeColor="accent1" w:themeShade="BF"/>
      </w:pBdr>
      <w:spacing w:before="360" w:after="360"/>
      <w:ind w:left="864" w:right="864"/>
      <w:jc w:val="center"/>
    </w:pPr>
    <w:rPr>
      <w:i/>
      <w:iCs/>
      <w:color w:val="B76E0B" w:themeColor="accent1" w:themeShade="BF"/>
    </w:rPr>
  </w:style>
  <w:style w:type="character" w:customStyle="1" w:styleId="IntenseQuoteChar">
    <w:name w:val="Intense Quote Char"/>
    <w:basedOn w:val="DefaultParagraphFont"/>
    <w:link w:val="IntenseQuote"/>
    <w:uiPriority w:val="30"/>
    <w:rsid w:val="000503B0"/>
    <w:rPr>
      <w:i/>
      <w:iCs/>
      <w:color w:val="B76E0B" w:themeColor="accent1" w:themeShade="BF"/>
    </w:rPr>
  </w:style>
  <w:style w:type="character" w:styleId="IntenseReference">
    <w:name w:val="Intense Reference"/>
    <w:basedOn w:val="DefaultParagraphFont"/>
    <w:uiPriority w:val="32"/>
    <w:qFormat/>
    <w:rsid w:val="000503B0"/>
    <w:rPr>
      <w:b/>
      <w:bCs/>
      <w:smallCaps/>
      <w:color w:val="B76E0B" w:themeColor="accent1" w:themeShade="BF"/>
      <w:spacing w:val="5"/>
    </w:rPr>
  </w:style>
  <w:style w:type="paragraph" w:styleId="Header">
    <w:name w:val="header"/>
    <w:basedOn w:val="Normal"/>
    <w:link w:val="HeaderChar"/>
    <w:uiPriority w:val="99"/>
    <w:unhideWhenUsed/>
    <w:rsid w:val="00992414"/>
    <w:pPr>
      <w:tabs>
        <w:tab w:val="center" w:pos="4680"/>
        <w:tab w:val="right" w:pos="9360"/>
      </w:tabs>
      <w:spacing w:after="0" w:line="240" w:lineRule="auto"/>
    </w:pPr>
  </w:style>
  <w:style w:type="character" w:customStyle="1" w:styleId="HeaderChar">
    <w:name w:val="Header Char"/>
    <w:basedOn w:val="DefaultParagraphFont"/>
    <w:link w:val="Header"/>
    <w:uiPriority w:val="99"/>
    <w:rsid w:val="00992414"/>
    <w:rPr>
      <w:rFonts w:ascii="Times New Roman" w:hAnsi="Times New Roman"/>
      <w:sz w:val="24"/>
    </w:rPr>
  </w:style>
  <w:style w:type="paragraph" w:styleId="Footer">
    <w:name w:val="footer"/>
    <w:basedOn w:val="Normal"/>
    <w:link w:val="FooterChar"/>
    <w:uiPriority w:val="99"/>
    <w:unhideWhenUsed/>
    <w:rsid w:val="00992414"/>
    <w:pPr>
      <w:tabs>
        <w:tab w:val="center" w:pos="4680"/>
        <w:tab w:val="right" w:pos="9360"/>
      </w:tabs>
      <w:spacing w:after="0" w:line="240" w:lineRule="auto"/>
    </w:pPr>
  </w:style>
  <w:style w:type="character" w:customStyle="1" w:styleId="FooterChar">
    <w:name w:val="Footer Char"/>
    <w:basedOn w:val="DefaultParagraphFont"/>
    <w:link w:val="Footer"/>
    <w:uiPriority w:val="99"/>
    <w:rsid w:val="00992414"/>
    <w:rPr>
      <w:rFonts w:ascii="Times New Roman" w:hAnsi="Times New Roman"/>
      <w:sz w:val="24"/>
    </w:rPr>
  </w:style>
  <w:style w:type="character" w:styleId="PageNumber">
    <w:name w:val="page number"/>
    <w:basedOn w:val="DefaultParagraphFont"/>
    <w:uiPriority w:val="99"/>
    <w:semiHidden/>
    <w:unhideWhenUsed/>
    <w:rsid w:val="00B749C8"/>
  </w:style>
  <w:style w:type="paragraph" w:customStyle="1" w:styleId="Style1">
    <w:name w:val="Style1"/>
    <w:basedOn w:val="Heading3"/>
    <w:qFormat/>
    <w:rsid w:val="004E4BB6"/>
  </w:style>
  <w:style w:type="paragraph" w:customStyle="1" w:styleId="p1">
    <w:name w:val="p1"/>
    <w:basedOn w:val="Normal"/>
    <w:rsid w:val="00081AA4"/>
    <w:pPr>
      <w:spacing w:after="0" w:line="240" w:lineRule="auto"/>
      <w:jc w:val="left"/>
    </w:pPr>
    <w:rPr>
      <w:rFonts w:ascii="Arial" w:eastAsia="Times New Roman" w:hAnsi="Arial" w:cs="Arial"/>
      <w:color w:val="000000"/>
      <w:kern w:val="0"/>
      <w:sz w:val="17"/>
      <w:szCs w:val="17"/>
      <w:lang w:eastAsia="en-GB"/>
      <w14:ligatures w14:val="none"/>
    </w:rPr>
  </w:style>
  <w:style w:type="character" w:customStyle="1" w:styleId="apple-converted-space">
    <w:name w:val="apple-converted-space"/>
    <w:basedOn w:val="DefaultParagraphFont"/>
    <w:rsid w:val="00081AA4"/>
  </w:style>
  <w:style w:type="paragraph" w:styleId="NoSpacing">
    <w:name w:val="No Spacing"/>
    <w:link w:val="NoSpacingChar"/>
    <w:uiPriority w:val="1"/>
    <w:qFormat/>
    <w:rsid w:val="00C71338"/>
    <w:pPr>
      <w:spacing w:after="0" w:line="240" w:lineRule="auto"/>
    </w:pPr>
    <w:rPr>
      <w:rFonts w:eastAsiaTheme="minorEastAsia"/>
      <w:kern w:val="0"/>
      <w:lang w:val="en-US" w:eastAsia="zh-CN"/>
      <w14:ligatures w14:val="none"/>
    </w:rPr>
  </w:style>
  <w:style w:type="character" w:customStyle="1" w:styleId="NoSpacingChar">
    <w:name w:val="No Spacing Char"/>
    <w:basedOn w:val="DefaultParagraphFont"/>
    <w:link w:val="NoSpacing"/>
    <w:uiPriority w:val="1"/>
    <w:rsid w:val="00C71338"/>
    <w:rPr>
      <w:rFonts w:eastAsiaTheme="minorEastAsia"/>
      <w:kern w:val="0"/>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Berlin">
  <a:themeElements>
    <a:clrScheme name="Berlin">
      <a:dk1>
        <a:sysClr val="windowText" lastClr="000000"/>
      </a:dk1>
      <a:lt1>
        <a:sysClr val="window" lastClr="FFFFFF"/>
      </a:lt1>
      <a:dk2>
        <a:srgbClr val="9D360E"/>
      </a:dk2>
      <a:lt2>
        <a:srgbClr val="E7E6E6"/>
      </a:lt2>
      <a:accent1>
        <a:srgbClr val="F09415"/>
      </a:accent1>
      <a:accent2>
        <a:srgbClr val="C1B56B"/>
      </a:accent2>
      <a:accent3>
        <a:srgbClr val="4BAF73"/>
      </a:accent3>
      <a:accent4>
        <a:srgbClr val="5AA6C0"/>
      </a:accent4>
      <a:accent5>
        <a:srgbClr val="D17DF9"/>
      </a:accent5>
      <a:accent6>
        <a:srgbClr val="FA7E5C"/>
      </a:accent6>
      <a:hlink>
        <a:srgbClr val="FFAE3E"/>
      </a:hlink>
      <a:folHlink>
        <a:srgbClr val="FCC77E"/>
      </a:folHlink>
    </a:clrScheme>
    <a:fontScheme name="Berlin">
      <a:majorFont>
        <a:latin typeface="Trebuchet MS" panose="020B0603020202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rebuchet MS" panose="020B060302020202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Berlin">
      <a:fillStyleLst>
        <a:solidFill>
          <a:schemeClr val="phClr"/>
        </a:solidFill>
        <a:gradFill rotWithShape="1">
          <a:gsLst>
            <a:gs pos="0">
              <a:schemeClr val="phClr">
                <a:tint val="60000"/>
                <a:satMod val="100000"/>
                <a:lumMod val="110000"/>
              </a:schemeClr>
            </a:gs>
            <a:gs pos="100000">
              <a:schemeClr val="phClr">
                <a:tint val="70000"/>
                <a:satMod val="100000"/>
                <a:lumMod val="100000"/>
              </a:schemeClr>
            </a:gs>
          </a:gsLst>
          <a:lin ang="5400000" scaled="0"/>
        </a:gradFill>
        <a:gradFill rotWithShape="1">
          <a:gsLst>
            <a:gs pos="0">
              <a:schemeClr val="phClr">
                <a:tint val="94000"/>
                <a:satMod val="103000"/>
                <a:lumMod val="102000"/>
              </a:schemeClr>
            </a:gs>
            <a:gs pos="50000">
              <a:schemeClr val="phClr">
                <a:shade val="100000"/>
                <a:satMod val="110000"/>
                <a:lumMod val="100000"/>
              </a:schemeClr>
            </a:gs>
            <a:gs pos="100000">
              <a:schemeClr val="phClr">
                <a:shade val="78000"/>
                <a:satMod val="120000"/>
                <a:lumMod val="99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6000"/>
                <a:shade val="100000"/>
                <a:hueMod val="270000"/>
                <a:satMod val="200000"/>
                <a:lumMod val="128000"/>
              </a:schemeClr>
            </a:gs>
            <a:gs pos="50000">
              <a:schemeClr val="phClr">
                <a:shade val="100000"/>
                <a:hueMod val="100000"/>
                <a:satMod val="110000"/>
                <a:lumMod val="130000"/>
              </a:schemeClr>
            </a:gs>
            <a:gs pos="100000">
              <a:schemeClr val="phClr">
                <a:shade val="78000"/>
                <a:hueMod val="44000"/>
                <a:satMod val="200000"/>
                <a:lumMod val="69000"/>
              </a:schemeClr>
            </a:gs>
          </a:gsLst>
          <a:lin ang="2520000" scaled="0"/>
        </a:gradFill>
      </a:bgFillStyleLst>
    </a:fmtScheme>
  </a:themeElements>
  <a:objectDefaults/>
  <a:extraClrSchemeLst/>
  <a:extLst>
    <a:ext uri="{05A4C25C-085E-4340-85A3-A5531E510DB2}">
      <thm15:themeFamily xmlns:thm15="http://schemas.microsoft.com/office/thememl/2012/main" name="Berlin" id="{7B5DBA9E-B069-418E-9360-A61BDD0615A4}" vid="{C0CBE056-4EF4-4D92-969E-947779DA7AA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76E7C3E-A833-9E47-B30C-2C795D355F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TotalTime>
  <Pages>8</Pages>
  <Words>812</Words>
  <Characters>4629</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dc:title>
  <dc:subject/>
  <dc:creator>Kafi</dc:creator>
  <cp:keywords/>
  <dc:description/>
  <cp:lastModifiedBy>Helen May Escoto Frial (2430209)</cp:lastModifiedBy>
  <cp:revision>37</cp:revision>
  <dcterms:created xsi:type="dcterms:W3CDTF">2025-10-24T10:56:00Z</dcterms:created>
  <dcterms:modified xsi:type="dcterms:W3CDTF">2025-11-17T12:14:00Z</dcterms:modified>
</cp:coreProperties>
</file>