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0EE8" w:rsidRPr="00F85321" w:rsidRDefault="00F85321">
      <w:pPr>
        <w:rPr>
          <w:b/>
          <w:sz w:val="24"/>
          <w:szCs w:val="24"/>
          <w:u w:val="single"/>
        </w:rPr>
      </w:pPr>
      <w:r w:rsidRPr="00F85321">
        <w:rPr>
          <w:b/>
          <w:sz w:val="24"/>
          <w:szCs w:val="24"/>
          <w:u w:val="single"/>
        </w:rPr>
        <w:t>Pre – charge Engagement</w:t>
      </w:r>
    </w:p>
    <w:p w:rsidR="00F85321" w:rsidRDefault="00F85321" w:rsidP="00F85321">
      <w:pPr>
        <w:pStyle w:val="Default"/>
        <w:rPr>
          <w:rFonts w:asciiTheme="minorHAnsi" w:hAnsiTheme="minorHAnsi" w:cstheme="minorHAnsi"/>
          <w:b/>
          <w:u w:val="single"/>
        </w:rPr>
      </w:pPr>
      <w:r w:rsidRPr="00F85321">
        <w:rPr>
          <w:rFonts w:asciiTheme="minorHAnsi" w:hAnsiTheme="minorHAnsi" w:cstheme="minorHAnsi"/>
          <w:b/>
          <w:u w:val="single"/>
        </w:rPr>
        <w:t>What is it?</w:t>
      </w:r>
    </w:p>
    <w:p w:rsidR="00B7691D" w:rsidRPr="00F85321" w:rsidRDefault="00B7691D" w:rsidP="00F85321">
      <w:pPr>
        <w:pStyle w:val="Default"/>
        <w:rPr>
          <w:rFonts w:asciiTheme="minorHAnsi" w:hAnsiTheme="minorHAnsi" w:cstheme="minorHAnsi"/>
          <w:b/>
          <w:u w:val="single"/>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Pre-charg</w:t>
      </w:r>
      <w:r w:rsidR="00B7691D">
        <w:rPr>
          <w:rFonts w:asciiTheme="minorHAnsi" w:hAnsiTheme="minorHAnsi" w:cstheme="minorHAnsi"/>
          <w:sz w:val="22"/>
          <w:szCs w:val="22"/>
        </w:rPr>
        <w:t xml:space="preserve">e engagement </w:t>
      </w:r>
      <w:r w:rsidRPr="00F85321">
        <w:rPr>
          <w:rFonts w:asciiTheme="minorHAnsi" w:hAnsiTheme="minorHAnsi" w:cstheme="minorHAnsi"/>
          <w:sz w:val="22"/>
          <w:szCs w:val="22"/>
        </w:rPr>
        <w:t xml:space="preserve">refers to voluntary engagement between the parties to an investigation after the first PACE interview, and before any suspect has been formally charged. Pre-charge engagement is a voluntary process and it may be terminated at any time. It does not refer to engagement between the parties to an investigation by way of further PACE interviews, and none of this guidance is intended to apply to such circumstances. Should a defendant choose not to engage at this stage, that decision should not be held against him at a later stage in the proceedings.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Pre-charge engagement may, among other things, involve: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a. Giving the suspect the opportunity to comment on any proposed further lines of inquiry. </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b. Ascertaining whether the suspect can identify any other lines of inquiry. </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c. Asking whether the suspect is aware of, or can provide access to, digital material that h</w:t>
      </w:r>
      <w:r w:rsidR="00B7691D">
        <w:rPr>
          <w:rFonts w:asciiTheme="minorHAnsi" w:hAnsiTheme="minorHAnsi" w:cstheme="minorHAnsi"/>
          <w:sz w:val="22"/>
          <w:szCs w:val="22"/>
        </w:rPr>
        <w:t>as a bearing on the allegation (this is also now included in the memo card and interview planning booklet)</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d. Discussing ways to overcome barriers to obtaining potential evidence, such as revealing encryption keys. </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e. Agreeing any key word searches of digital material that the suspect would like carried out. </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f. Obtaining a suspect’s consent to access medical records. </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g. The suspect identifying and providing contact details of any potential witnesses. </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h. Clarifying whether any expert or forensic evidence is agreed and, if not, whether the suspect’s representatives intend to instruct their own expert, including timescales for this.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Pre-charge engagement is encouraged by the Code for Crown Prosecutors and may impact decisions as to charge</w:t>
      </w:r>
      <w:r w:rsidRPr="00F85321">
        <w:rPr>
          <w:rFonts w:asciiTheme="minorHAnsi" w:hAnsiTheme="minorHAnsi" w:cstheme="minorHAnsi"/>
          <w:sz w:val="2"/>
          <w:szCs w:val="2"/>
        </w:rPr>
        <w:t>37F</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b/>
          <w:bCs/>
          <w:color w:val="auto"/>
          <w:u w:val="single"/>
        </w:rPr>
      </w:pPr>
      <w:r w:rsidRPr="00F85321">
        <w:rPr>
          <w:rFonts w:asciiTheme="minorHAnsi" w:hAnsiTheme="minorHAnsi" w:cstheme="minorHAnsi"/>
          <w:b/>
          <w:bCs/>
          <w:color w:val="auto"/>
          <w:u w:val="single"/>
        </w:rPr>
        <w:t xml:space="preserve">When is pre-charge engagement appropriate? </w:t>
      </w:r>
    </w:p>
    <w:p w:rsidR="00F85321" w:rsidRPr="00F85321" w:rsidRDefault="00F85321" w:rsidP="00F85321">
      <w:pPr>
        <w:pStyle w:val="Default"/>
        <w:rPr>
          <w:rFonts w:asciiTheme="minorHAnsi" w:hAnsiTheme="minorHAnsi" w:cstheme="minorHAnsi"/>
          <w:b/>
          <w:color w:val="auto"/>
          <w:u w:val="single"/>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 It may take place whenever it is agreed between the parties that it may assist the investigation. Where a suspect is not yet represented, an investigator should take care to ensure that the suspect understands their right to legal advice before the pre charge engagement process commences. Sufficient time should be given to enable a suspect to access this advice if they wish to do so.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Pre-charge engagement should not, however, be considered a replacement to a further interview with a suspect. Investigators and prosecutors should be conscious that adverse inferences under </w:t>
      </w:r>
      <w:r w:rsidRPr="00F85321">
        <w:rPr>
          <w:rFonts w:asciiTheme="minorHAnsi" w:hAnsiTheme="minorHAnsi" w:cstheme="minorHAnsi"/>
          <w:color w:val="9B1688"/>
          <w:sz w:val="22"/>
          <w:szCs w:val="22"/>
        </w:rPr>
        <w:t xml:space="preserve">section 34 of the Criminal Justice and Public Order Act 1994 </w:t>
      </w:r>
      <w:r w:rsidRPr="00F85321">
        <w:rPr>
          <w:rFonts w:asciiTheme="minorHAnsi" w:hAnsiTheme="minorHAnsi" w:cstheme="minorHAnsi"/>
          <w:sz w:val="22"/>
          <w:szCs w:val="22"/>
        </w:rPr>
        <w:t xml:space="preserve">are not available at trial where a suspect failed to mention a fact when asked about a matter in pre-charge engagement. An adverse inference may only be drawn where the suspect failed to mention a fact while being questioned under caution by a constable trying to discover whether or by whom the offence had been committed. Moreover, investigators and prosecutors should be aware of the advantages of holding a further formal interview, including the fact that suspects will have been appropriately cautioned and that any answers given will be recorded.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Accordingly, investigators and prosecutors should not seek to initiate, or agree to, pre-charge engagement in respect of matters where they are likely to seek to rely on the contents of the suspect’s answers as evidence at trial. Pre-charge engagement should not therefore be used for putting new summaries of the case to the defence, and where deemed necessary such accounts should be put to the suspect in a further interview.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A no comment interview does not preclude the possibility of pre-charge engagement.  While a no comment interview may limit the scope of any such discussions, pre-charge engagement may still be pursued where appropriate, but consideration should be given to a further PACE interview with the suspect before there is any agreement to engage in pre-charge engagement.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b/>
          <w:u w:val="single"/>
        </w:rPr>
      </w:pPr>
      <w:r w:rsidRPr="00F85321">
        <w:rPr>
          <w:rFonts w:asciiTheme="minorHAnsi" w:hAnsiTheme="minorHAnsi" w:cstheme="minorHAnsi"/>
          <w:b/>
          <w:u w:val="single"/>
        </w:rPr>
        <w:t>Benefits of pre-charge engagement</w:t>
      </w:r>
    </w:p>
    <w:p w:rsidR="00F85321" w:rsidRPr="00F85321" w:rsidRDefault="00F85321" w:rsidP="00F85321">
      <w:pPr>
        <w:pStyle w:val="Default"/>
        <w:rPr>
          <w:rFonts w:asciiTheme="minorHAnsi" w:hAnsiTheme="minorHAnsi" w:cstheme="minorHAnsi"/>
          <w:b/>
          <w:u w:val="single"/>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There are a number of potential benefits that may arise from pre-charge engagement: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a. Suspects who maintain their innocence will be aided by early identification of lines of inquiry which may lead to evidence or material that points away from the suspect or points towards another suspect. </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b. Pre-charge engagement can help inform a prosecutor’s charging decision. It might avoid a case being charged that would otherwise be stopped later in proceedings, when further information becomes available. </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c. The issues in dispute may be narrowed, so that unnecessary inquiries are not pursued, and if a case is charged and proceeds to trial, it can be managed more efficiently. </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d. Early resolution of a case may reduce anxiety and uncertainty for suspects and complainants. </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e. The cost of the matter to the criminal justice system may be reduced, including potentially avoiding or mitigating the cost of criminal proceedings.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b/>
          <w:bCs/>
          <w:color w:val="auto"/>
          <w:u w:val="single"/>
        </w:rPr>
      </w:pPr>
      <w:r w:rsidRPr="00F85321">
        <w:rPr>
          <w:rFonts w:asciiTheme="minorHAnsi" w:hAnsiTheme="minorHAnsi" w:cstheme="minorHAnsi"/>
          <w:b/>
          <w:bCs/>
          <w:color w:val="auto"/>
          <w:u w:val="single"/>
        </w:rPr>
        <w:t xml:space="preserve">Who may initiate and conduct pre-charge engagement? </w:t>
      </w:r>
    </w:p>
    <w:p w:rsidR="00F85321" w:rsidRPr="00F85321" w:rsidRDefault="00F85321" w:rsidP="00F85321">
      <w:pPr>
        <w:pStyle w:val="Default"/>
        <w:rPr>
          <w:rFonts w:asciiTheme="minorHAnsi" w:hAnsiTheme="minorHAnsi" w:cstheme="minorHAnsi"/>
          <w:color w:val="auto"/>
          <w:u w:val="single"/>
        </w:rPr>
      </w:pPr>
    </w:p>
    <w:p w:rsidR="00CF18D6"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Depending on the circumstances, it may be appropriate for an investigator, the prosecutor, the suspect’s representative or an unrepresented suspect to initiate pre-charge engagement.</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 </w:t>
      </w:r>
    </w:p>
    <w:p w:rsidR="00CF18D6"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When referring a case to a prosecutor, the investigator should inform the prosecutor if any pre-charge engagement has already taken place and should indicate if they believe pre-charge engagement would benefit the case.</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 </w:t>
      </w:r>
    </w:p>
    <w:p w:rsid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The prosecutor may advise the investigator to initiate and carry out pre-charge engagement, or do so themselves. </w:t>
      </w:r>
    </w:p>
    <w:p w:rsidR="00CF18D6" w:rsidRPr="00F85321" w:rsidRDefault="00CF18D6" w:rsidP="00F85321">
      <w:pPr>
        <w:pStyle w:val="Default"/>
        <w:rPr>
          <w:rFonts w:asciiTheme="minorHAnsi" w:hAnsiTheme="minorHAnsi" w:cstheme="minorHAnsi"/>
          <w:sz w:val="22"/>
          <w:szCs w:val="22"/>
        </w:rPr>
      </w:pPr>
    </w:p>
    <w:p w:rsid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 In cases in which statutory time limits on charging apply, it will usually be more practical for the investigator, rather than the prosecutor, to initiate and conduct pre-charge engagement. </w:t>
      </w:r>
    </w:p>
    <w:p w:rsidR="00CF18D6" w:rsidRPr="00F85321" w:rsidRDefault="00CF18D6"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Prosecutors and investigators should be alert to use pre-charge engagement as a means to frustrate or delay the investigation unnecessarily. Engagement should not be initiated or continued where this is apparent. In particular, pre-charge engagement is not intended to provide an opportunity for the suspect to make unfounded allegations against the complainant, so that the complainant becomes unjustly subject to investigation. Prosecutors and investigators should be alert to prevent this happening and investigators are not obliged to follow any line of inquiry suggested </w:t>
      </w:r>
      <w:r w:rsidR="00CF18D6">
        <w:rPr>
          <w:rFonts w:asciiTheme="minorHAnsi" w:hAnsiTheme="minorHAnsi" w:cstheme="minorHAnsi"/>
          <w:sz w:val="22"/>
          <w:szCs w:val="22"/>
        </w:rPr>
        <w:t>by the suspect’s representative. A</w:t>
      </w:r>
      <w:r w:rsidRPr="00F85321">
        <w:rPr>
          <w:rFonts w:asciiTheme="minorHAnsi" w:hAnsiTheme="minorHAnsi" w:cstheme="minorHAnsi"/>
          <w:sz w:val="22"/>
          <w:szCs w:val="22"/>
        </w:rPr>
        <w:t xml:space="preserve"> line of inquiry should be reasonable in the circumstances of the case. What is reasonable is a matter for an investigator to decide, with the assistance of a prosecutor if required. </w:t>
      </w:r>
    </w:p>
    <w:p w:rsidR="00F85321" w:rsidRPr="00F85321" w:rsidRDefault="00F85321" w:rsidP="00F85321">
      <w:pPr>
        <w:pStyle w:val="Default"/>
        <w:rPr>
          <w:rFonts w:asciiTheme="minorHAnsi" w:hAnsiTheme="minorHAnsi" w:cstheme="minorHAnsi"/>
          <w:b/>
          <w:bCs/>
          <w:color w:val="9B1688"/>
          <w:sz w:val="26"/>
          <w:szCs w:val="26"/>
        </w:rPr>
      </w:pPr>
    </w:p>
    <w:p w:rsidR="00F85321" w:rsidRDefault="00F85321" w:rsidP="00F85321">
      <w:pPr>
        <w:pStyle w:val="Default"/>
        <w:rPr>
          <w:rFonts w:asciiTheme="minorHAnsi" w:hAnsiTheme="minorHAnsi" w:cstheme="minorHAnsi"/>
          <w:b/>
          <w:bCs/>
          <w:color w:val="auto"/>
        </w:rPr>
      </w:pPr>
      <w:r w:rsidRPr="00F85321">
        <w:rPr>
          <w:rFonts w:asciiTheme="minorHAnsi" w:hAnsiTheme="minorHAnsi" w:cstheme="minorHAnsi"/>
          <w:b/>
          <w:bCs/>
          <w:color w:val="auto"/>
          <w:u w:val="single"/>
        </w:rPr>
        <w:t>Information on pre-charge engagement</w:t>
      </w:r>
      <w:r w:rsidRPr="00F85321">
        <w:rPr>
          <w:rFonts w:asciiTheme="minorHAnsi" w:hAnsiTheme="minorHAnsi" w:cstheme="minorHAnsi"/>
          <w:b/>
          <w:bCs/>
          <w:color w:val="auto"/>
        </w:rPr>
        <w:t xml:space="preserve"> </w:t>
      </w:r>
    </w:p>
    <w:p w:rsidR="00CF18D6" w:rsidRPr="00F85321" w:rsidRDefault="00CF18D6" w:rsidP="00F85321">
      <w:pPr>
        <w:pStyle w:val="Default"/>
        <w:rPr>
          <w:rFonts w:asciiTheme="minorHAnsi" w:hAnsiTheme="minorHAnsi" w:cstheme="minorHAnsi"/>
          <w:color w:val="auto"/>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The investigator should provide information on pre-charge engagement to the suspect or their representative either before or after interview.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lastRenderedPageBreak/>
        <w:t xml:space="preserve">The pre-charge engagement process should be explained orally or in writing, in simple terms.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The explanation may include the aim and benefits of the process, any relevant timescales and a police point of contact to make any future representations at the pre-charge stage. </w:t>
      </w:r>
    </w:p>
    <w:p w:rsidR="00F85321" w:rsidRPr="00F85321" w:rsidRDefault="00F85321" w:rsidP="00F85321">
      <w:pPr>
        <w:pStyle w:val="Default"/>
        <w:rPr>
          <w:rFonts w:asciiTheme="minorHAnsi" w:hAnsiTheme="minorHAnsi" w:cstheme="minorHAnsi"/>
          <w:sz w:val="22"/>
          <w:szCs w:val="22"/>
        </w:rPr>
      </w:pPr>
    </w:p>
    <w:p w:rsidR="00F85321" w:rsidRDefault="00F85321" w:rsidP="00F85321">
      <w:pPr>
        <w:pStyle w:val="Default"/>
        <w:rPr>
          <w:rFonts w:asciiTheme="minorHAnsi" w:hAnsiTheme="minorHAnsi" w:cstheme="minorHAnsi"/>
          <w:b/>
          <w:bCs/>
          <w:color w:val="auto"/>
          <w:u w:val="single"/>
        </w:rPr>
      </w:pPr>
      <w:r w:rsidRPr="00F85321">
        <w:rPr>
          <w:rFonts w:asciiTheme="minorHAnsi" w:hAnsiTheme="minorHAnsi" w:cstheme="minorHAnsi"/>
          <w:b/>
          <w:bCs/>
          <w:color w:val="auto"/>
          <w:u w:val="single"/>
        </w:rPr>
        <w:t xml:space="preserve">Conducting pre-charge engagement </w:t>
      </w:r>
    </w:p>
    <w:p w:rsidR="00CF18D6" w:rsidRPr="00F85321" w:rsidRDefault="00CF18D6" w:rsidP="00F85321">
      <w:pPr>
        <w:pStyle w:val="Default"/>
        <w:rPr>
          <w:rFonts w:asciiTheme="minorHAnsi" w:hAnsiTheme="minorHAnsi" w:cstheme="minorHAnsi"/>
          <w:b/>
          <w:color w:val="auto"/>
          <w:u w:val="single"/>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Pre-charge engagement discussions may take place face to face or via correspondence. </w:t>
      </w: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It need not always be undertaken via a formal process, but a written record should always be made and kept. For instance, the process may be initiated immediately after interview, when the investigator and suspect’s representative may agree on the further lines of inquiry that have arisen from interview.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However, in some circumstances the parties will require a more formal mechanism to enable them to begin the process at any stage post-interview and before charge. This may be done by the investigator, prosecutor or suspect’s representative sending a letter of invitation to the other party, which: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CF18D6">
      <w:pPr>
        <w:pStyle w:val="Default"/>
        <w:numPr>
          <w:ilvl w:val="0"/>
          <w:numId w:val="1"/>
        </w:numPr>
        <w:rPr>
          <w:rFonts w:asciiTheme="minorHAnsi" w:hAnsiTheme="minorHAnsi" w:cstheme="minorHAnsi"/>
          <w:sz w:val="22"/>
          <w:szCs w:val="22"/>
        </w:rPr>
      </w:pPr>
      <w:r w:rsidRPr="00F85321">
        <w:rPr>
          <w:rFonts w:asciiTheme="minorHAnsi" w:hAnsiTheme="minorHAnsi" w:cstheme="minorHAnsi"/>
          <w:sz w:val="22"/>
          <w:szCs w:val="22"/>
        </w:rPr>
        <w:t xml:space="preserve">Asks whether the other party wishes to enter into pre-charge engagement in accordance with these Guidelines.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CF18D6">
      <w:pPr>
        <w:pStyle w:val="Default"/>
        <w:numPr>
          <w:ilvl w:val="0"/>
          <w:numId w:val="1"/>
        </w:numPr>
        <w:rPr>
          <w:rFonts w:asciiTheme="minorHAnsi" w:hAnsiTheme="minorHAnsi" w:cstheme="minorHAnsi"/>
          <w:sz w:val="22"/>
          <w:szCs w:val="22"/>
        </w:rPr>
      </w:pPr>
      <w:r w:rsidRPr="00F85321">
        <w:rPr>
          <w:rFonts w:asciiTheme="minorHAnsi" w:hAnsiTheme="minorHAnsi" w:cstheme="minorHAnsi"/>
          <w:sz w:val="22"/>
          <w:szCs w:val="22"/>
        </w:rPr>
        <w:t>Explains in what way the engagement may assist the investigation. The prosecutor or investigator may wish to include the information sought, or sought to be discussed.</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0"/>
          <w:szCs w:val="20"/>
        </w:rPr>
      </w:pPr>
    </w:p>
    <w:p w:rsidR="00F85321" w:rsidRDefault="00F85321" w:rsidP="00F85321">
      <w:pPr>
        <w:pStyle w:val="Default"/>
        <w:rPr>
          <w:rFonts w:asciiTheme="minorHAnsi" w:hAnsiTheme="minorHAnsi" w:cstheme="minorHAnsi"/>
          <w:b/>
          <w:bCs/>
          <w:color w:val="auto"/>
          <w:u w:val="single"/>
        </w:rPr>
      </w:pPr>
      <w:r w:rsidRPr="00F85321">
        <w:rPr>
          <w:rFonts w:asciiTheme="minorHAnsi" w:hAnsiTheme="minorHAnsi" w:cstheme="minorHAnsi"/>
          <w:b/>
          <w:bCs/>
          <w:color w:val="auto"/>
          <w:u w:val="single"/>
        </w:rPr>
        <w:t xml:space="preserve">Disclosure during PCE </w:t>
      </w:r>
    </w:p>
    <w:p w:rsidR="00CF18D6" w:rsidRPr="00F85321" w:rsidRDefault="00CF18D6" w:rsidP="00F85321">
      <w:pPr>
        <w:pStyle w:val="Default"/>
        <w:rPr>
          <w:rFonts w:asciiTheme="minorHAnsi" w:hAnsiTheme="minorHAnsi" w:cstheme="minorHAnsi"/>
          <w:color w:val="auto"/>
          <w:u w:val="single"/>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Since pre-charge engagement takes place prior to the institution of any proceedings, the statutory disclosure rules will not be engaged. However, disclosure of unused material must be considered as part of the pre-charge engagement process, to ensure that the discussions are fair and that the suspect is not misled as to the strength of the prosecution case.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 Accordingly, before, during and after pre-charge engagement, the investigator/prosecutor should consider whether any further material, additional to that contained in the summary of the allegation, falls to be disclosed to the suspect. The investigator/prosecutor should at all stages bear in mind the potential need to cease pre-charge engagement and to put further evidence to the suspect in a PACE interview.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As the suspect provides information during the process, the investigator/prosecutor should continually be alive to the potential need to make any further disclosure. </w:t>
      </w:r>
    </w:p>
    <w:p w:rsidR="00F85321" w:rsidRPr="00F85321" w:rsidRDefault="00F85321" w:rsidP="00F85321">
      <w:pPr>
        <w:pStyle w:val="Default"/>
        <w:rPr>
          <w:rFonts w:asciiTheme="minorHAnsi" w:hAnsiTheme="minorHAnsi" w:cstheme="minorHAnsi"/>
          <w:sz w:val="22"/>
          <w:szCs w:val="22"/>
        </w:rPr>
      </w:pPr>
    </w:p>
    <w:p w:rsidR="00CF18D6" w:rsidRDefault="00F85321" w:rsidP="00F85321">
      <w:pPr>
        <w:pStyle w:val="Default"/>
        <w:rPr>
          <w:rFonts w:asciiTheme="minorHAnsi" w:hAnsiTheme="minorHAnsi" w:cstheme="minorHAnsi"/>
          <w:b/>
          <w:bCs/>
          <w:color w:val="auto"/>
          <w:u w:val="single"/>
        </w:rPr>
      </w:pPr>
      <w:r w:rsidRPr="00F85321">
        <w:rPr>
          <w:rFonts w:asciiTheme="minorHAnsi" w:hAnsiTheme="minorHAnsi" w:cstheme="minorHAnsi"/>
          <w:b/>
          <w:bCs/>
          <w:color w:val="auto"/>
          <w:u w:val="single"/>
        </w:rPr>
        <w:t>Recording the discussions</w:t>
      </w:r>
    </w:p>
    <w:p w:rsidR="00F85321" w:rsidRPr="00F85321" w:rsidRDefault="00F85321" w:rsidP="00F85321">
      <w:pPr>
        <w:pStyle w:val="Default"/>
        <w:rPr>
          <w:rFonts w:asciiTheme="minorHAnsi" w:hAnsiTheme="minorHAnsi" w:cstheme="minorHAnsi"/>
          <w:color w:val="auto"/>
          <w:u w:val="single"/>
        </w:rPr>
      </w:pPr>
      <w:r w:rsidRPr="00F85321">
        <w:rPr>
          <w:rFonts w:asciiTheme="minorHAnsi" w:hAnsiTheme="minorHAnsi" w:cstheme="minorHAnsi"/>
          <w:b/>
          <w:bCs/>
          <w:color w:val="auto"/>
          <w:u w:val="single"/>
        </w:rPr>
        <w:t xml:space="preserve"> </w:t>
      </w:r>
    </w:p>
    <w:p w:rsidR="00F85321" w:rsidRPr="00F85321" w:rsidRDefault="00F85321" w:rsidP="00F85321">
      <w:pPr>
        <w:pStyle w:val="Default"/>
        <w:rPr>
          <w:rFonts w:asciiTheme="minorHAnsi" w:hAnsiTheme="minorHAnsi" w:cstheme="minorHAnsi"/>
          <w:color w:val="9B1688"/>
          <w:sz w:val="26"/>
          <w:szCs w:val="26"/>
        </w:rPr>
      </w:pPr>
      <w:r w:rsidRPr="00F85321">
        <w:rPr>
          <w:rFonts w:asciiTheme="minorHAnsi" w:hAnsiTheme="minorHAnsi" w:cstheme="minorHAnsi"/>
          <w:sz w:val="22"/>
          <w:szCs w:val="22"/>
        </w:rPr>
        <w:t xml:space="preserve"> A full written, signed record of the pre-charge engagement discussions should be made.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Additionally, the prosecutor and/or investigator should record every key action involved in the process, such as the provision of written information on pre-charge engagement to the suspect, any informal discussions with the suspect’s representative about entering into the process, or any formal letter of invitation sent or received.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lastRenderedPageBreak/>
        <w:t xml:space="preserve">A record should be made of all information provided by the suspect’s representative, such as potential lines of inquiry, suggested key word searches of digital material and any witness details.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bookmarkStart w:id="0" w:name="_GoBack"/>
      <w:bookmarkEnd w:id="0"/>
      <w:r w:rsidRPr="00F85321">
        <w:rPr>
          <w:rFonts w:asciiTheme="minorHAnsi" w:hAnsiTheme="minorHAnsi" w:cstheme="minorHAnsi"/>
          <w:sz w:val="22"/>
          <w:szCs w:val="22"/>
        </w:rPr>
        <w:t xml:space="preserve">The law may require the prosecutor to disclose any information provided by the suspect’s representative to another party, including a defendant in criminal proceedings.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A record should also be made of all information and material provided to the suspect’s representative, including any disclosure material. </w:t>
      </w:r>
    </w:p>
    <w:p w:rsidR="00F85321" w:rsidRPr="00F85321" w:rsidRDefault="00F85321" w:rsidP="00F85321">
      <w:pPr>
        <w:pStyle w:val="Default"/>
        <w:rPr>
          <w:rFonts w:asciiTheme="minorHAnsi" w:hAnsiTheme="minorHAnsi" w:cstheme="minorHAnsi"/>
          <w:sz w:val="22"/>
          <w:szCs w:val="22"/>
        </w:rPr>
      </w:pPr>
    </w:p>
    <w:p w:rsidR="00F85321" w:rsidRPr="00F85321" w:rsidRDefault="00F85321" w:rsidP="00F85321">
      <w:pPr>
        <w:pStyle w:val="Default"/>
        <w:rPr>
          <w:rFonts w:asciiTheme="minorHAnsi" w:hAnsiTheme="minorHAnsi" w:cstheme="minorHAnsi"/>
          <w:sz w:val="22"/>
          <w:szCs w:val="22"/>
        </w:rPr>
      </w:pPr>
      <w:r w:rsidRPr="00F85321">
        <w:rPr>
          <w:rFonts w:asciiTheme="minorHAnsi" w:hAnsiTheme="minorHAnsi" w:cstheme="minorHAnsi"/>
          <w:sz w:val="22"/>
          <w:szCs w:val="22"/>
        </w:rPr>
        <w:t xml:space="preserve">The prosecutor and investigator should ensure that the records of the pre-charge engagement are provided to each other. Information or material generated by the process will need to be assessed for evidential and disclosure purposes. </w:t>
      </w:r>
    </w:p>
    <w:p w:rsidR="00F85321" w:rsidRPr="00F85321" w:rsidRDefault="00F85321" w:rsidP="00F85321">
      <w:pPr>
        <w:rPr>
          <w:rFonts w:cstheme="minorHAnsi"/>
        </w:rPr>
      </w:pPr>
    </w:p>
    <w:p w:rsidR="00F85321" w:rsidRPr="00F85321" w:rsidRDefault="00F85321">
      <w:pPr>
        <w:rPr>
          <w:rFonts w:cstheme="minorHAnsi"/>
          <w:b/>
          <w:sz w:val="28"/>
          <w:szCs w:val="28"/>
          <w:u w:val="single"/>
        </w:rPr>
      </w:pPr>
    </w:p>
    <w:sectPr w:rsidR="00F85321" w:rsidRPr="00F85321" w:rsidSect="00F8532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5321" w:rsidRDefault="00F85321" w:rsidP="00F85321">
      <w:pPr>
        <w:spacing w:after="0" w:line="240" w:lineRule="auto"/>
      </w:pPr>
      <w:r>
        <w:separator/>
      </w:r>
    </w:p>
  </w:endnote>
  <w:endnote w:type="continuationSeparator" w:id="0">
    <w:p w:rsidR="00F85321" w:rsidRDefault="00F85321" w:rsidP="00F853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691D" w:rsidRDefault="00CF18D6" w:rsidP="00CF18D6">
    <w:pPr>
      <w:pStyle w:val="Footer"/>
      <w:rPr>
        <w:color w:val="000000"/>
        <w:sz w:val="17"/>
      </w:rPr>
    </w:pPr>
    <w:bookmarkStart w:id="3" w:name="TITUS1FooterEvenPages"/>
    <w:r>
      <w:rPr>
        <w:color w:val="000000"/>
        <w:sz w:val="17"/>
      </w:rPr>
      <w:t> </w:t>
    </w:r>
  </w:p>
  <w:bookmarkEnd w:id="3"/>
  <w:p w:rsidR="00B7691D" w:rsidRDefault="00B7691D" w:rsidP="00B7691D">
    <w:pPr>
      <w:pStyle w:val="Footer"/>
    </w:pPr>
  </w:p>
  <w:p w:rsidR="00F85321" w:rsidRDefault="00F853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5321" w:rsidRDefault="00CF18D6" w:rsidP="00CF18D6">
    <w:pPr>
      <w:pStyle w:val="Footer"/>
      <w:rPr>
        <w:color w:val="000000"/>
        <w:sz w:val="17"/>
      </w:rPr>
    </w:pPr>
    <w:bookmarkStart w:id="4" w:name="TITUS1FooterPrimary"/>
    <w:r>
      <w:rPr>
        <w:color w:val="000000"/>
        <w:sz w:val="17"/>
      </w:rPr>
      <w:t> </w:t>
    </w:r>
  </w:p>
  <w:bookmarkEnd w:id="4"/>
  <w:p w:rsidR="00F85321" w:rsidRDefault="00F853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5321" w:rsidRDefault="00CF18D6" w:rsidP="00CF18D6">
    <w:pPr>
      <w:pStyle w:val="Footer"/>
      <w:rPr>
        <w:color w:val="000000"/>
        <w:sz w:val="17"/>
      </w:rPr>
    </w:pPr>
    <w:bookmarkStart w:id="6" w:name="TITUS1FooterFirstPage"/>
    <w:r>
      <w:rPr>
        <w:color w:val="000000"/>
        <w:sz w:val="17"/>
      </w:rPr>
      <w:t> </w:t>
    </w:r>
  </w:p>
  <w:bookmarkEnd w:id="6"/>
  <w:p w:rsidR="00F85321" w:rsidRDefault="00F853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5321" w:rsidRDefault="00F85321" w:rsidP="00F85321">
      <w:pPr>
        <w:spacing w:after="0" w:line="240" w:lineRule="auto"/>
      </w:pPr>
      <w:r>
        <w:separator/>
      </w:r>
    </w:p>
  </w:footnote>
  <w:footnote w:type="continuationSeparator" w:id="0">
    <w:p w:rsidR="00F85321" w:rsidRDefault="00F85321" w:rsidP="00F853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7691D" w:rsidRDefault="00CF18D6" w:rsidP="00CF18D6">
    <w:pPr>
      <w:pStyle w:val="Header"/>
      <w:rPr>
        <w:color w:val="000000"/>
        <w:sz w:val="17"/>
      </w:rPr>
    </w:pPr>
    <w:bookmarkStart w:id="1" w:name="TITUS1HeaderEvenPages"/>
    <w:r>
      <w:rPr>
        <w:color w:val="000000"/>
        <w:sz w:val="17"/>
      </w:rPr>
      <w:t> </w:t>
    </w:r>
  </w:p>
  <w:bookmarkEnd w:id="1"/>
  <w:p w:rsidR="00B7691D" w:rsidRDefault="00B7691D" w:rsidP="00B7691D">
    <w:pPr>
      <w:pStyle w:val="Header"/>
    </w:pPr>
  </w:p>
  <w:p w:rsidR="00F85321" w:rsidRDefault="00F853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5321" w:rsidRDefault="00CF18D6" w:rsidP="00CF18D6">
    <w:pPr>
      <w:pStyle w:val="Header"/>
      <w:rPr>
        <w:color w:val="000000"/>
        <w:sz w:val="17"/>
      </w:rPr>
    </w:pPr>
    <w:bookmarkStart w:id="2" w:name="TITUS1HeaderPrimary"/>
    <w:r>
      <w:rPr>
        <w:color w:val="000000"/>
        <w:sz w:val="17"/>
      </w:rPr>
      <w:t> </w:t>
    </w:r>
  </w:p>
  <w:bookmarkEnd w:id="2"/>
  <w:p w:rsidR="00F85321" w:rsidRDefault="00F853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5321" w:rsidRDefault="00CF18D6" w:rsidP="00CF18D6">
    <w:pPr>
      <w:pStyle w:val="Header"/>
      <w:rPr>
        <w:color w:val="000000"/>
        <w:sz w:val="17"/>
      </w:rPr>
    </w:pPr>
    <w:bookmarkStart w:id="5" w:name="TITUS1HeaderFirstPage"/>
    <w:r>
      <w:rPr>
        <w:color w:val="000000"/>
        <w:sz w:val="17"/>
      </w:rPr>
      <w:t> </w:t>
    </w:r>
  </w:p>
  <w:bookmarkEnd w:id="5"/>
  <w:p w:rsidR="00F85321" w:rsidRDefault="00F853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7266DF"/>
    <w:multiLevelType w:val="hybridMultilevel"/>
    <w:tmpl w:val="9FD2D8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5321"/>
    <w:rsid w:val="007B0EE8"/>
    <w:rsid w:val="00B7691D"/>
    <w:rsid w:val="00CF18D6"/>
    <w:rsid w:val="00F85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870FD6"/>
  <w15:chartTrackingRefBased/>
  <w15:docId w15:val="{058A0AB8-587B-4544-9BE5-FCF7A4767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F8532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F853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321"/>
  </w:style>
  <w:style w:type="paragraph" w:styleId="Footer">
    <w:name w:val="footer"/>
    <w:basedOn w:val="Normal"/>
    <w:link w:val="FooterChar"/>
    <w:uiPriority w:val="99"/>
    <w:unhideWhenUsed/>
    <w:rsid w:val="00F85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3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4</Pages>
  <Words>1476</Words>
  <Characters>8417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3</cp:revision>
  <dcterms:created xsi:type="dcterms:W3CDTF">2021-01-07T08:35:00Z</dcterms:created>
  <dcterms:modified xsi:type="dcterms:W3CDTF">2021-01-07T11:28:00Z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e38dd65a-d479-4727-8890-c73e021dbeba</vt:lpwstr>
  </property>
  <property fmtid="{D5CDD505-2E9C-101B-9397-08002B2CF9AE}" pid="3" name="Classification">
    <vt:lpwstr>OFFICIAL</vt:lpwstr>
  </property>
  <property fmtid="{D5CDD505-2E9C-101B-9397-08002B2CF9AE}" pid="4" name="Visibility">
    <vt:lpwstr>NOT VISIBLE</vt:lpwstr>
  </property>
</Properties>
</file>