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FD0FB3" w14:textId="77777777" w:rsidR="00FA6F99" w:rsidRPr="0048128B" w:rsidRDefault="00A871E1" w:rsidP="00433EB4">
      <w:pPr>
        <w:spacing w:line="360" w:lineRule="auto"/>
        <w:jc w:val="center"/>
        <w:rPr>
          <w:rFonts w:ascii="Times New Roman" w:eastAsia="Times New Roman" w:hAnsi="Times New Roman" w:cs="Times New Roman"/>
          <w:b/>
          <w:bCs/>
          <w:sz w:val="32"/>
          <w:szCs w:val="32"/>
        </w:rPr>
      </w:pPr>
      <w:r w:rsidRPr="0048128B">
        <w:rPr>
          <w:rFonts w:ascii="Times New Roman" w:eastAsia="Times New Roman" w:hAnsi="Times New Roman" w:cs="Times New Roman"/>
          <w:b/>
          <w:bCs/>
          <w:sz w:val="32"/>
          <w:szCs w:val="32"/>
        </w:rPr>
        <w:t>PROGRAMME: BA (HONS) LEADERSHIP AND MANAGEMENT SKILLS FOR THE WORKPLACE</w:t>
      </w:r>
    </w:p>
    <w:p w14:paraId="054FF1A4" w14:textId="77777777" w:rsidR="00FA6F99" w:rsidRPr="0048128B" w:rsidRDefault="00A871E1" w:rsidP="00433EB4">
      <w:pPr>
        <w:spacing w:line="360" w:lineRule="auto"/>
        <w:jc w:val="center"/>
        <w:rPr>
          <w:rFonts w:ascii="Times New Roman" w:eastAsia="Times New Roman" w:hAnsi="Times New Roman" w:cs="Times New Roman"/>
          <w:b/>
          <w:bCs/>
          <w:sz w:val="32"/>
          <w:szCs w:val="32"/>
        </w:rPr>
      </w:pPr>
      <w:r w:rsidRPr="0048128B">
        <w:rPr>
          <w:rFonts w:ascii="Times New Roman" w:eastAsia="Times New Roman" w:hAnsi="Times New Roman" w:cs="Times New Roman"/>
          <w:b/>
          <w:bCs/>
          <w:sz w:val="32"/>
          <w:szCs w:val="32"/>
        </w:rPr>
        <w:t xml:space="preserve">MODULE: UNDERSTANDING AND ENGAGING STAKEHOLDERS   </w:t>
      </w:r>
    </w:p>
    <w:p w14:paraId="66F5C91D" w14:textId="77777777" w:rsidR="00FA6F99" w:rsidRPr="0048128B" w:rsidRDefault="00A871E1" w:rsidP="00433EB4">
      <w:pPr>
        <w:spacing w:line="360" w:lineRule="auto"/>
        <w:jc w:val="center"/>
        <w:rPr>
          <w:rFonts w:ascii="Times New Roman" w:eastAsia="Times New Roman" w:hAnsi="Times New Roman" w:cs="Times New Roman"/>
          <w:b/>
          <w:bCs/>
          <w:sz w:val="32"/>
          <w:szCs w:val="32"/>
        </w:rPr>
      </w:pPr>
      <w:r w:rsidRPr="0048128B">
        <w:rPr>
          <w:rFonts w:ascii="Times New Roman" w:eastAsia="Times New Roman" w:hAnsi="Times New Roman" w:cs="Times New Roman"/>
          <w:b/>
          <w:bCs/>
          <w:sz w:val="32"/>
          <w:szCs w:val="32"/>
        </w:rPr>
        <w:t>MODULE CODE: LCLM5001</w:t>
      </w:r>
    </w:p>
    <w:p w14:paraId="7E3141A3" w14:textId="77777777" w:rsidR="00FA6F99" w:rsidRPr="0048128B" w:rsidRDefault="00A871E1" w:rsidP="00433EB4">
      <w:pPr>
        <w:spacing w:line="360" w:lineRule="auto"/>
        <w:jc w:val="center"/>
        <w:rPr>
          <w:rFonts w:ascii="Times New Roman" w:eastAsia="Times New Roman" w:hAnsi="Times New Roman" w:cs="Times New Roman"/>
          <w:b/>
          <w:bCs/>
          <w:sz w:val="32"/>
          <w:szCs w:val="32"/>
        </w:rPr>
      </w:pPr>
      <w:r w:rsidRPr="0048128B">
        <w:rPr>
          <w:rFonts w:ascii="Times New Roman" w:eastAsia="Times New Roman" w:hAnsi="Times New Roman" w:cs="Times New Roman"/>
          <w:b/>
          <w:bCs/>
          <w:sz w:val="32"/>
          <w:szCs w:val="32"/>
        </w:rPr>
        <w:t>ASSIGNMENT TITLE: UNDERSTANDING THE IMPORTANCE</w:t>
      </w:r>
    </w:p>
    <w:p w14:paraId="42AFFDD4" w14:textId="77777777" w:rsidR="00FA6F99" w:rsidRPr="0048128B" w:rsidRDefault="00A871E1" w:rsidP="00433EB4">
      <w:pPr>
        <w:spacing w:line="360" w:lineRule="auto"/>
        <w:jc w:val="center"/>
        <w:rPr>
          <w:rFonts w:ascii="Times New Roman" w:eastAsia="Times New Roman" w:hAnsi="Times New Roman" w:cs="Times New Roman"/>
          <w:b/>
          <w:bCs/>
          <w:sz w:val="32"/>
          <w:szCs w:val="32"/>
        </w:rPr>
      </w:pPr>
      <w:r w:rsidRPr="0048128B">
        <w:rPr>
          <w:rFonts w:ascii="Times New Roman" w:eastAsia="Times New Roman" w:hAnsi="Times New Roman" w:cs="Times New Roman"/>
          <w:b/>
          <w:bCs/>
          <w:sz w:val="32"/>
          <w:szCs w:val="32"/>
        </w:rPr>
        <w:t>OF STAKEHOLDER ENGAGEMENT IN</w:t>
      </w:r>
    </w:p>
    <w:p w14:paraId="74A99257" w14:textId="77777777" w:rsidR="00FA6F99" w:rsidRPr="0048128B" w:rsidRDefault="00A871E1" w:rsidP="00433EB4">
      <w:pPr>
        <w:spacing w:line="360" w:lineRule="auto"/>
        <w:jc w:val="center"/>
        <w:rPr>
          <w:rFonts w:ascii="Times New Roman" w:eastAsia="Times New Roman" w:hAnsi="Times New Roman" w:cs="Times New Roman"/>
          <w:b/>
          <w:bCs/>
          <w:sz w:val="32"/>
          <w:szCs w:val="32"/>
        </w:rPr>
      </w:pPr>
      <w:r w:rsidRPr="0048128B">
        <w:rPr>
          <w:rFonts w:ascii="Times New Roman" w:eastAsia="Times New Roman" w:hAnsi="Times New Roman" w:cs="Times New Roman"/>
          <w:b/>
          <w:bCs/>
          <w:sz w:val="32"/>
          <w:szCs w:val="32"/>
        </w:rPr>
        <w:t>SUCCESSFUL COMMENCEMENT AND</w:t>
      </w:r>
    </w:p>
    <w:p w14:paraId="201742ED" w14:textId="29D7FF3B" w:rsidR="00741EE3" w:rsidRPr="00741EE3" w:rsidRDefault="00A871E1" w:rsidP="00741EE3">
      <w:pPr>
        <w:spacing w:line="360" w:lineRule="auto"/>
        <w:jc w:val="center"/>
        <w:rPr>
          <w:rFonts w:ascii="Times New Roman" w:eastAsia="Times New Roman" w:hAnsi="Times New Roman" w:cs="Times New Roman"/>
          <w:b/>
          <w:bCs/>
          <w:sz w:val="40"/>
          <w:szCs w:val="40"/>
        </w:rPr>
      </w:pPr>
      <w:r w:rsidRPr="0048128B">
        <w:rPr>
          <w:rFonts w:ascii="Times New Roman" w:eastAsia="Times New Roman" w:hAnsi="Times New Roman" w:cs="Times New Roman"/>
          <w:b/>
          <w:bCs/>
          <w:sz w:val="32"/>
          <w:szCs w:val="32"/>
        </w:rPr>
        <w:t>COMPLETION OF PROJECT.</w:t>
      </w:r>
      <w:r w:rsidR="00741EE3">
        <w:rPr>
          <w:rFonts w:ascii="Times New Roman" w:eastAsia="Times New Roman" w:hAnsi="Times New Roman" w:cs="Times New Roman"/>
          <w:b/>
          <w:bCs/>
          <w:sz w:val="32"/>
          <w:szCs w:val="32"/>
        </w:rPr>
        <w:br/>
      </w:r>
      <w:r w:rsidR="00741EE3">
        <w:rPr>
          <w:rFonts w:ascii="Times New Roman" w:eastAsia="Times New Roman" w:hAnsi="Times New Roman" w:cs="Times New Roman"/>
          <w:b/>
          <w:bCs/>
          <w:sz w:val="32"/>
          <w:szCs w:val="32"/>
        </w:rPr>
        <w:br/>
      </w:r>
      <w:r w:rsidR="00741EE3">
        <w:rPr>
          <w:rFonts w:ascii="Times New Roman" w:eastAsia="Times New Roman" w:hAnsi="Times New Roman" w:cs="Times New Roman"/>
          <w:b/>
          <w:bCs/>
          <w:sz w:val="32"/>
          <w:szCs w:val="32"/>
        </w:rPr>
        <w:br/>
      </w:r>
      <w:r w:rsidR="00741EE3" w:rsidRPr="00741EE3">
        <w:rPr>
          <w:rFonts w:ascii="Times New Roman" w:eastAsia="Times New Roman" w:hAnsi="Times New Roman" w:cs="Times New Roman"/>
          <w:b/>
          <w:bCs/>
          <w:sz w:val="40"/>
          <w:szCs w:val="40"/>
        </w:rPr>
        <w:t>NAME: Sofiya Radkova</w:t>
      </w:r>
      <w:r w:rsidR="00072890">
        <w:rPr>
          <w:rFonts w:ascii="Times New Roman" w:eastAsia="Times New Roman" w:hAnsi="Times New Roman" w:cs="Times New Roman"/>
          <w:b/>
          <w:bCs/>
          <w:sz w:val="40"/>
          <w:szCs w:val="40"/>
        </w:rPr>
        <w:t xml:space="preserve"> Williams</w:t>
      </w:r>
    </w:p>
    <w:p w14:paraId="28601C20" w14:textId="0B26E924" w:rsidR="00FA6F99" w:rsidRPr="00741EE3" w:rsidRDefault="00741EE3" w:rsidP="00741EE3">
      <w:pPr>
        <w:spacing w:line="360" w:lineRule="auto"/>
        <w:rPr>
          <w:rFonts w:ascii="Times New Roman" w:eastAsia="Times New Roman" w:hAnsi="Times New Roman" w:cs="Times New Roman"/>
          <w:b/>
          <w:bCs/>
          <w:sz w:val="40"/>
          <w:szCs w:val="40"/>
        </w:rPr>
      </w:pPr>
      <w:r w:rsidRPr="00741EE3">
        <w:rPr>
          <w:rFonts w:ascii="Times New Roman" w:eastAsia="Times New Roman" w:hAnsi="Times New Roman" w:cs="Times New Roman"/>
          <w:b/>
          <w:bCs/>
          <w:sz w:val="40"/>
          <w:szCs w:val="40"/>
        </w:rPr>
        <w:t xml:space="preserve">   </w:t>
      </w:r>
      <w:r>
        <w:rPr>
          <w:rFonts w:ascii="Times New Roman" w:eastAsia="Times New Roman" w:hAnsi="Times New Roman" w:cs="Times New Roman"/>
          <w:b/>
          <w:bCs/>
          <w:sz w:val="40"/>
          <w:szCs w:val="40"/>
        </w:rPr>
        <w:t xml:space="preserve">                     </w:t>
      </w:r>
      <w:r w:rsidRPr="00741EE3">
        <w:rPr>
          <w:rFonts w:ascii="Times New Roman" w:eastAsia="Times New Roman" w:hAnsi="Times New Roman" w:cs="Times New Roman"/>
          <w:b/>
          <w:bCs/>
          <w:sz w:val="40"/>
          <w:szCs w:val="40"/>
        </w:rPr>
        <w:t>Student Id:</w:t>
      </w:r>
      <w:r w:rsidR="00072890">
        <w:rPr>
          <w:rFonts w:ascii="Times New Roman" w:eastAsia="Times New Roman" w:hAnsi="Times New Roman" w:cs="Times New Roman"/>
          <w:b/>
          <w:bCs/>
          <w:sz w:val="40"/>
          <w:szCs w:val="40"/>
        </w:rPr>
        <w:t xml:space="preserve"> 2407274</w:t>
      </w:r>
    </w:p>
    <w:p w14:paraId="0A23CFAB" w14:textId="77777777" w:rsidR="00FA6F99" w:rsidRPr="0048128B" w:rsidRDefault="00FA6F99" w:rsidP="00433EB4">
      <w:pPr>
        <w:spacing w:line="360" w:lineRule="auto"/>
        <w:rPr>
          <w:rFonts w:ascii="Times New Roman" w:eastAsia="Times New Roman" w:hAnsi="Times New Roman" w:cs="Times New Roman"/>
        </w:rPr>
      </w:pPr>
    </w:p>
    <w:p w14:paraId="1AE29702" w14:textId="31F28C04" w:rsidR="00FA6F99" w:rsidRPr="0048128B" w:rsidRDefault="00A871E1" w:rsidP="00433EB4">
      <w:pPr>
        <w:spacing w:line="360" w:lineRule="auto"/>
        <w:rPr>
          <w:rFonts w:ascii="Times New Roman" w:eastAsia="Times New Roman" w:hAnsi="Times New Roman" w:cs="Times New Roman"/>
        </w:rPr>
      </w:pPr>
      <w:r w:rsidRPr="0048128B">
        <w:br w:type="page"/>
      </w:r>
      <w:r w:rsidR="00741EE3">
        <w:lastRenderedPageBreak/>
        <w:br/>
      </w:r>
    </w:p>
    <w:p w14:paraId="01C7F0F0" w14:textId="77777777" w:rsidR="00FA6F99" w:rsidRPr="0048128B" w:rsidRDefault="00A871E1" w:rsidP="00433EB4">
      <w:pPr>
        <w:spacing w:line="360" w:lineRule="auto"/>
        <w:jc w:val="center"/>
      </w:pPr>
      <w:r w:rsidRPr="0048128B">
        <w:rPr>
          <w:rFonts w:ascii="Times New Roman" w:eastAsia="Times New Roman" w:hAnsi="Times New Roman" w:cs="Times New Roman"/>
          <w:b/>
          <w:bCs/>
          <w:sz w:val="24"/>
          <w:szCs w:val="24"/>
        </w:rPr>
        <w:t>Executive Summary</w:t>
      </w:r>
      <w:r w:rsidRPr="0048128B">
        <w:t xml:space="preserve"> </w:t>
      </w:r>
    </w:p>
    <w:p w14:paraId="4426E6E2" w14:textId="0C2FEDC7" w:rsidR="00BD42FC" w:rsidRPr="00BD42FC" w:rsidRDefault="00A871E1" w:rsidP="00433EB4">
      <w:pPr>
        <w:spacing w:line="360" w:lineRule="auto"/>
        <w:jc w:val="both"/>
        <w:rPr>
          <w:rFonts w:ascii="Times New Roman" w:hAnsi="Times New Roman" w:cs="Times New Roman"/>
          <w:sz w:val="24"/>
          <w:szCs w:val="24"/>
        </w:rPr>
      </w:pPr>
      <w:r w:rsidRPr="0048128B">
        <w:rPr>
          <w:rFonts w:ascii="Times New Roman" w:eastAsia="Times New Roman" w:hAnsi="Times New Roman" w:cs="Times New Roman"/>
          <w:sz w:val="24"/>
          <w:szCs w:val="24"/>
        </w:rPr>
        <w:t xml:space="preserve">The report aims to launch a wearable device for Philips company that aims to keep track of heartbeat, </w:t>
      </w:r>
      <w:r w:rsidRPr="00BD42FC">
        <w:rPr>
          <w:rFonts w:ascii="Times New Roman" w:eastAsia="Times New Roman" w:hAnsi="Times New Roman" w:cs="Times New Roman"/>
          <w:sz w:val="24"/>
          <w:szCs w:val="24"/>
        </w:rPr>
        <w:t xml:space="preserve">sleep patterns and oxygen rates. Key findings observed within the study are higher investment in R&amp;D which ensures that the company </w:t>
      </w:r>
      <w:proofErr w:type="gramStart"/>
      <w:r w:rsidRPr="00BD42FC">
        <w:rPr>
          <w:rFonts w:ascii="Times New Roman" w:eastAsia="Times New Roman" w:hAnsi="Times New Roman" w:cs="Times New Roman"/>
          <w:sz w:val="24"/>
          <w:szCs w:val="24"/>
        </w:rPr>
        <w:t>is able to</w:t>
      </w:r>
      <w:proofErr w:type="gramEnd"/>
      <w:r w:rsidRPr="00BD42FC">
        <w:rPr>
          <w:rFonts w:ascii="Times New Roman" w:eastAsia="Times New Roman" w:hAnsi="Times New Roman" w:cs="Times New Roman"/>
          <w:sz w:val="24"/>
          <w:szCs w:val="24"/>
        </w:rPr>
        <w:t xml:space="preserve"> provide streamlined services to its users. Similarly, rising investment in AI oriented services can be useful for the company to promote its wearable device. Stakeholder communication and engagement are important that can be conducted through various mechanisms </w:t>
      </w:r>
      <w:proofErr w:type="gramStart"/>
      <w:r w:rsidRPr="00BD42FC">
        <w:rPr>
          <w:rFonts w:ascii="Times New Roman" w:eastAsia="Times New Roman" w:hAnsi="Times New Roman" w:cs="Times New Roman"/>
          <w:sz w:val="24"/>
          <w:szCs w:val="24"/>
        </w:rPr>
        <w:t>in order to</w:t>
      </w:r>
      <w:proofErr w:type="gramEnd"/>
      <w:r w:rsidRPr="00BD42FC">
        <w:rPr>
          <w:rFonts w:ascii="Times New Roman" w:eastAsia="Times New Roman" w:hAnsi="Times New Roman" w:cs="Times New Roman"/>
          <w:sz w:val="24"/>
          <w:szCs w:val="24"/>
        </w:rPr>
        <w:t xml:space="preserve"> gather sound feedback. </w:t>
      </w:r>
      <w:r w:rsidR="00BD42FC" w:rsidRPr="00BD42FC">
        <w:rPr>
          <w:rFonts w:ascii="Times New Roman" w:hAnsi="Times New Roman" w:cs="Times New Roman"/>
          <w:sz w:val="24"/>
          <w:szCs w:val="24"/>
        </w:rPr>
        <w:t>The report shed light on analysing the impacts of stakeholders’ engagement on the business performance and recommendations. In this respect,</w:t>
      </w:r>
      <w:r w:rsidR="00FD1D08">
        <w:rPr>
          <w:rFonts w:ascii="Times New Roman" w:hAnsi="Times New Roman" w:cs="Times New Roman"/>
          <w:sz w:val="24"/>
          <w:szCs w:val="24"/>
        </w:rPr>
        <w:t xml:space="preserve"> </w:t>
      </w:r>
      <w:r w:rsidR="00BD42FC" w:rsidRPr="00BD42FC">
        <w:rPr>
          <w:rFonts w:ascii="Times New Roman" w:hAnsi="Times New Roman" w:cs="Times New Roman"/>
          <w:sz w:val="24"/>
          <w:szCs w:val="24"/>
        </w:rPr>
        <w:t xml:space="preserve">considerations of internal and external stakeholders’ contributions have been anticipated </w:t>
      </w:r>
      <w:proofErr w:type="gramStart"/>
      <w:r w:rsidR="00BD42FC" w:rsidRPr="00BD42FC">
        <w:rPr>
          <w:rFonts w:ascii="Times New Roman" w:hAnsi="Times New Roman" w:cs="Times New Roman"/>
          <w:sz w:val="24"/>
          <w:szCs w:val="24"/>
        </w:rPr>
        <w:t>so as to</w:t>
      </w:r>
      <w:proofErr w:type="gramEnd"/>
      <w:r w:rsidR="00BD42FC" w:rsidRPr="00BD42FC">
        <w:rPr>
          <w:rFonts w:ascii="Times New Roman" w:hAnsi="Times New Roman" w:cs="Times New Roman"/>
          <w:sz w:val="24"/>
          <w:szCs w:val="24"/>
        </w:rPr>
        <w:t xml:space="preserve"> ensure improvement in business performance.</w:t>
      </w:r>
    </w:p>
    <w:p w14:paraId="6E72C60E" w14:textId="09496EC6" w:rsidR="00FA6F99" w:rsidRPr="0048128B" w:rsidRDefault="00A871E1" w:rsidP="00433EB4">
      <w:pPr>
        <w:spacing w:line="360" w:lineRule="auto"/>
        <w:jc w:val="both"/>
      </w:pPr>
      <w:r w:rsidRPr="0048128B">
        <w:br w:type="page"/>
      </w:r>
    </w:p>
    <w:p w14:paraId="442500FF"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lastRenderedPageBreak/>
        <w:t>Table of Contents</w:t>
      </w:r>
    </w:p>
    <w:sdt>
      <w:sdtPr>
        <w:id w:val="-768393252"/>
        <w:docPartObj>
          <w:docPartGallery w:val="Table of Contents"/>
          <w:docPartUnique/>
        </w:docPartObj>
      </w:sdtPr>
      <w:sdtContent>
        <w:p w14:paraId="779B39AA" w14:textId="3A8E74E3" w:rsidR="00B92BC1" w:rsidRPr="00B92BC1" w:rsidRDefault="00A871E1" w:rsidP="00B92BC1">
          <w:pPr>
            <w:pStyle w:val="TOC1"/>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r w:rsidRPr="0048128B">
            <w:fldChar w:fldCharType="begin"/>
          </w:r>
          <w:r w:rsidRPr="0048128B">
            <w:instrText xml:space="preserve"> TOC \h \u \z \t "Heading 1,1,Heading 2,2,Heading 3,3,Heading 4,4,Heading 5,5,Heading 6,6,"</w:instrText>
          </w:r>
          <w:r w:rsidRPr="0048128B">
            <w:fldChar w:fldCharType="separate"/>
          </w:r>
          <w:hyperlink w:anchor="_Toc225365684" w:history="1">
            <w:r w:rsidR="00B92BC1" w:rsidRPr="00B92BC1">
              <w:rPr>
                <w:rStyle w:val="Hyperlink"/>
                <w:rFonts w:ascii="Times New Roman" w:hAnsi="Times New Roman" w:cs="Times New Roman"/>
                <w:noProof/>
                <w:sz w:val="24"/>
                <w:szCs w:val="24"/>
              </w:rPr>
              <w:t>1. Introduction of the company and project overview</w:t>
            </w:r>
            <w:r w:rsidR="00B92BC1" w:rsidRPr="00B92BC1">
              <w:rPr>
                <w:rFonts w:ascii="Times New Roman" w:hAnsi="Times New Roman" w:cs="Times New Roman"/>
                <w:noProof/>
                <w:webHidden/>
                <w:sz w:val="24"/>
                <w:szCs w:val="24"/>
              </w:rPr>
              <w:tab/>
            </w:r>
            <w:r w:rsidR="00B92BC1" w:rsidRPr="00B92BC1">
              <w:rPr>
                <w:rFonts w:ascii="Times New Roman" w:hAnsi="Times New Roman" w:cs="Times New Roman"/>
                <w:noProof/>
                <w:webHidden/>
                <w:sz w:val="24"/>
                <w:szCs w:val="24"/>
              </w:rPr>
              <w:fldChar w:fldCharType="begin"/>
            </w:r>
            <w:r w:rsidR="00B92BC1" w:rsidRPr="00B92BC1">
              <w:rPr>
                <w:rFonts w:ascii="Times New Roman" w:hAnsi="Times New Roman" w:cs="Times New Roman"/>
                <w:noProof/>
                <w:webHidden/>
                <w:sz w:val="24"/>
                <w:szCs w:val="24"/>
              </w:rPr>
              <w:instrText xml:space="preserve"> PAGEREF _Toc225365684 \h </w:instrText>
            </w:r>
            <w:r w:rsidR="00B92BC1" w:rsidRPr="00B92BC1">
              <w:rPr>
                <w:rFonts w:ascii="Times New Roman" w:hAnsi="Times New Roman" w:cs="Times New Roman"/>
                <w:noProof/>
                <w:webHidden/>
                <w:sz w:val="24"/>
                <w:szCs w:val="24"/>
              </w:rPr>
            </w:r>
            <w:r w:rsidR="00B92BC1" w:rsidRPr="00B92BC1">
              <w:rPr>
                <w:rFonts w:ascii="Times New Roman" w:hAnsi="Times New Roman" w:cs="Times New Roman"/>
                <w:noProof/>
                <w:webHidden/>
                <w:sz w:val="24"/>
                <w:szCs w:val="24"/>
              </w:rPr>
              <w:fldChar w:fldCharType="separate"/>
            </w:r>
            <w:r w:rsidR="00B92BC1" w:rsidRPr="00B92BC1">
              <w:rPr>
                <w:rFonts w:ascii="Times New Roman" w:hAnsi="Times New Roman" w:cs="Times New Roman"/>
                <w:noProof/>
                <w:webHidden/>
                <w:sz w:val="24"/>
                <w:szCs w:val="24"/>
              </w:rPr>
              <w:t>4</w:t>
            </w:r>
            <w:r w:rsidR="00B92BC1" w:rsidRPr="00B92BC1">
              <w:rPr>
                <w:rFonts w:ascii="Times New Roman" w:hAnsi="Times New Roman" w:cs="Times New Roman"/>
                <w:noProof/>
                <w:webHidden/>
                <w:sz w:val="24"/>
                <w:szCs w:val="24"/>
              </w:rPr>
              <w:fldChar w:fldCharType="end"/>
            </w:r>
          </w:hyperlink>
        </w:p>
        <w:p w14:paraId="19003110" w14:textId="002E2FCB" w:rsidR="00B92BC1" w:rsidRPr="00B92BC1" w:rsidRDefault="00B92BC1" w:rsidP="00B92BC1">
          <w:pPr>
            <w:pStyle w:val="TOC1"/>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85" w:history="1">
            <w:r w:rsidRPr="00B92BC1">
              <w:rPr>
                <w:rStyle w:val="Hyperlink"/>
                <w:rFonts w:ascii="Times New Roman" w:hAnsi="Times New Roman" w:cs="Times New Roman"/>
                <w:noProof/>
                <w:sz w:val="24"/>
                <w:szCs w:val="24"/>
              </w:rPr>
              <w:t>2. Appraisal of the company using SWOT, PESTEL and SMART objectives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_Toc225365685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4</w:t>
            </w:r>
            <w:r w:rsidRPr="00B92BC1">
              <w:rPr>
                <w:rFonts w:ascii="Times New Roman" w:hAnsi="Times New Roman" w:cs="Times New Roman"/>
                <w:noProof/>
                <w:webHidden/>
                <w:sz w:val="24"/>
                <w:szCs w:val="24"/>
              </w:rPr>
              <w:fldChar w:fldCharType="end"/>
            </w:r>
          </w:hyperlink>
        </w:p>
        <w:p w14:paraId="3766E17E" w14:textId="6D61364F"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86" w:history="1">
            <w:r w:rsidRPr="00B92BC1">
              <w:rPr>
                <w:rStyle w:val="Hyperlink"/>
                <w:rFonts w:ascii="Times New Roman" w:hAnsi="Times New Roman" w:cs="Times New Roman"/>
                <w:noProof/>
                <w:sz w:val="24"/>
                <w:szCs w:val="24"/>
              </w:rPr>
              <w:t>2.1 SWOT</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_Toc225365686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4</w:t>
            </w:r>
            <w:r w:rsidRPr="00B92BC1">
              <w:rPr>
                <w:rFonts w:ascii="Times New Roman" w:hAnsi="Times New Roman" w:cs="Times New Roman"/>
                <w:noProof/>
                <w:webHidden/>
                <w:sz w:val="24"/>
                <w:szCs w:val="24"/>
              </w:rPr>
              <w:fldChar w:fldCharType="end"/>
            </w:r>
          </w:hyperlink>
        </w:p>
        <w:p w14:paraId="00E57ED6" w14:textId="755972D1"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87" w:history="1">
            <w:r w:rsidRPr="00B92BC1">
              <w:rPr>
                <w:rStyle w:val="Hyperlink"/>
                <w:rFonts w:ascii="Times New Roman" w:hAnsi="Times New Roman" w:cs="Times New Roman"/>
                <w:noProof/>
                <w:sz w:val="24"/>
                <w:szCs w:val="24"/>
              </w:rPr>
              <w:t>2.2 PESTEL</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_Toc225365687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5</w:t>
            </w:r>
            <w:r w:rsidRPr="00B92BC1">
              <w:rPr>
                <w:rFonts w:ascii="Times New Roman" w:hAnsi="Times New Roman" w:cs="Times New Roman"/>
                <w:noProof/>
                <w:webHidden/>
                <w:sz w:val="24"/>
                <w:szCs w:val="24"/>
              </w:rPr>
              <w:fldChar w:fldCharType="end"/>
            </w:r>
          </w:hyperlink>
        </w:p>
        <w:p w14:paraId="7F3F85F8" w14:textId="50283780"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88" w:history="1">
            <w:r w:rsidRPr="00B92BC1">
              <w:rPr>
                <w:rStyle w:val="Hyperlink"/>
                <w:rFonts w:ascii="Times New Roman" w:hAnsi="Times New Roman" w:cs="Times New Roman"/>
                <w:noProof/>
                <w:sz w:val="24"/>
                <w:szCs w:val="24"/>
              </w:rPr>
              <w:t>2.3 Analysis of SWOT and PESTEL</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_Toc225365688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6</w:t>
            </w:r>
            <w:r w:rsidRPr="00B92BC1">
              <w:rPr>
                <w:rFonts w:ascii="Times New Roman" w:hAnsi="Times New Roman" w:cs="Times New Roman"/>
                <w:noProof/>
                <w:webHidden/>
                <w:sz w:val="24"/>
                <w:szCs w:val="24"/>
              </w:rPr>
              <w:fldChar w:fldCharType="end"/>
            </w:r>
          </w:hyperlink>
        </w:p>
        <w:p w14:paraId="43037E12" w14:textId="674D215E"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89" w:history="1">
            <w:r w:rsidRPr="00B92BC1">
              <w:rPr>
                <w:rStyle w:val="Hyperlink"/>
                <w:rFonts w:ascii="Times New Roman" w:hAnsi="Times New Roman" w:cs="Times New Roman"/>
                <w:noProof/>
                <w:sz w:val="24"/>
                <w:szCs w:val="24"/>
              </w:rPr>
              <w:t>2.4 SMART Objectives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_Toc225365689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6</w:t>
            </w:r>
            <w:r w:rsidRPr="00B92BC1">
              <w:rPr>
                <w:rFonts w:ascii="Times New Roman" w:hAnsi="Times New Roman" w:cs="Times New Roman"/>
                <w:noProof/>
                <w:webHidden/>
                <w:sz w:val="24"/>
                <w:szCs w:val="24"/>
              </w:rPr>
              <w:fldChar w:fldCharType="end"/>
            </w:r>
          </w:hyperlink>
        </w:p>
        <w:p w14:paraId="78084B08" w14:textId="2DE5B66C" w:rsidR="00B92BC1" w:rsidRPr="00B92BC1" w:rsidRDefault="00B92BC1" w:rsidP="00B92BC1">
          <w:pPr>
            <w:pStyle w:val="TOC1"/>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90" w:history="1">
            <w:r w:rsidRPr="00B92BC1">
              <w:rPr>
                <w:rStyle w:val="Hyperlink"/>
                <w:rFonts w:ascii="Times New Roman" w:hAnsi="Times New Roman" w:cs="Times New Roman"/>
                <w:noProof/>
                <w:sz w:val="24"/>
                <w:szCs w:val="24"/>
              </w:rPr>
              <w:t>3. Key internal and external stakeholders involved in the project</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_Toc225365690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7</w:t>
            </w:r>
            <w:r w:rsidRPr="00B92BC1">
              <w:rPr>
                <w:rFonts w:ascii="Times New Roman" w:hAnsi="Times New Roman" w:cs="Times New Roman"/>
                <w:noProof/>
                <w:webHidden/>
                <w:sz w:val="24"/>
                <w:szCs w:val="24"/>
              </w:rPr>
              <w:fldChar w:fldCharType="end"/>
            </w:r>
          </w:hyperlink>
        </w:p>
        <w:p w14:paraId="71337195" w14:textId="2D81522F"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91" w:history="1">
            <w:r w:rsidRPr="00B92BC1">
              <w:rPr>
                <w:rStyle w:val="Hyperlink"/>
                <w:rFonts w:ascii="Times New Roman" w:hAnsi="Times New Roman" w:cs="Times New Roman"/>
                <w:noProof/>
                <w:sz w:val="24"/>
                <w:szCs w:val="24"/>
              </w:rPr>
              <w:t>3.1 Internal stakeholders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_Toc225365691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7</w:t>
            </w:r>
            <w:r w:rsidRPr="00B92BC1">
              <w:rPr>
                <w:rFonts w:ascii="Times New Roman" w:hAnsi="Times New Roman" w:cs="Times New Roman"/>
                <w:noProof/>
                <w:webHidden/>
                <w:sz w:val="24"/>
                <w:szCs w:val="24"/>
              </w:rPr>
              <w:fldChar w:fldCharType="end"/>
            </w:r>
          </w:hyperlink>
        </w:p>
        <w:p w14:paraId="5D994EBF" w14:textId="22F1F995"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92" w:history="1">
            <w:r w:rsidRPr="00B92BC1">
              <w:rPr>
                <w:rStyle w:val="Hyperlink"/>
                <w:rFonts w:ascii="Times New Roman" w:hAnsi="Times New Roman" w:cs="Times New Roman"/>
                <w:noProof/>
                <w:sz w:val="24"/>
                <w:szCs w:val="24"/>
              </w:rPr>
              <w:t>3.2 External stakeholders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_Toc225365692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7</w:t>
            </w:r>
            <w:r w:rsidRPr="00B92BC1">
              <w:rPr>
                <w:rFonts w:ascii="Times New Roman" w:hAnsi="Times New Roman" w:cs="Times New Roman"/>
                <w:noProof/>
                <w:webHidden/>
                <w:sz w:val="24"/>
                <w:szCs w:val="24"/>
              </w:rPr>
              <w:fldChar w:fldCharType="end"/>
            </w:r>
          </w:hyperlink>
        </w:p>
        <w:p w14:paraId="5D6EEBB2" w14:textId="6B75ED74" w:rsidR="00B92BC1" w:rsidRPr="00B92BC1" w:rsidRDefault="00B92BC1" w:rsidP="00B92BC1">
          <w:pPr>
            <w:pStyle w:val="TOC1"/>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93" w:history="1">
            <w:r w:rsidRPr="00B92BC1">
              <w:rPr>
                <w:rStyle w:val="Hyperlink"/>
                <w:rFonts w:ascii="Times New Roman" w:hAnsi="Times New Roman" w:cs="Times New Roman"/>
                <w:noProof/>
                <w:sz w:val="24"/>
                <w:szCs w:val="24"/>
              </w:rPr>
              <w:t>4. Roles and responsibilities of the key stakeholders including benefits and challenges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_Toc225365693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8</w:t>
            </w:r>
            <w:r w:rsidRPr="00B92BC1">
              <w:rPr>
                <w:rFonts w:ascii="Times New Roman" w:hAnsi="Times New Roman" w:cs="Times New Roman"/>
                <w:noProof/>
                <w:webHidden/>
                <w:sz w:val="24"/>
                <w:szCs w:val="24"/>
              </w:rPr>
              <w:fldChar w:fldCharType="end"/>
            </w:r>
          </w:hyperlink>
        </w:p>
        <w:p w14:paraId="0355049A" w14:textId="272B3B4A"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94" w:history="1">
            <w:r w:rsidRPr="00B92BC1">
              <w:rPr>
                <w:rStyle w:val="Hyperlink"/>
                <w:rFonts w:ascii="Times New Roman" w:hAnsi="Times New Roman" w:cs="Times New Roman"/>
                <w:noProof/>
                <w:sz w:val="24"/>
                <w:szCs w:val="24"/>
              </w:rPr>
              <w:t>4.1 Roles and responsibilities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_Toc225365694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8</w:t>
            </w:r>
            <w:r w:rsidRPr="00B92BC1">
              <w:rPr>
                <w:rFonts w:ascii="Times New Roman" w:hAnsi="Times New Roman" w:cs="Times New Roman"/>
                <w:noProof/>
                <w:webHidden/>
                <w:sz w:val="24"/>
                <w:szCs w:val="24"/>
              </w:rPr>
              <w:fldChar w:fldCharType="end"/>
            </w:r>
          </w:hyperlink>
        </w:p>
        <w:p w14:paraId="6F9E41DD" w14:textId="292414B5"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95" w:history="1">
            <w:r w:rsidRPr="00B92BC1">
              <w:rPr>
                <w:rStyle w:val="Hyperlink"/>
                <w:rFonts w:ascii="Times New Roman" w:hAnsi="Times New Roman" w:cs="Times New Roman"/>
                <w:noProof/>
                <w:sz w:val="24"/>
                <w:szCs w:val="24"/>
              </w:rPr>
              <w:t>4.2 Benefits and Challenges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_Toc225365695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8</w:t>
            </w:r>
            <w:r w:rsidRPr="00B92BC1">
              <w:rPr>
                <w:rFonts w:ascii="Times New Roman" w:hAnsi="Times New Roman" w:cs="Times New Roman"/>
                <w:noProof/>
                <w:webHidden/>
                <w:sz w:val="24"/>
                <w:szCs w:val="24"/>
              </w:rPr>
              <w:fldChar w:fldCharType="end"/>
            </w:r>
          </w:hyperlink>
        </w:p>
        <w:p w14:paraId="2551A4CA" w14:textId="3E091921" w:rsidR="00B92BC1" w:rsidRPr="00B92BC1" w:rsidRDefault="00B92BC1" w:rsidP="00B92BC1">
          <w:pPr>
            <w:pStyle w:val="TOC1"/>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96" w:history="1">
            <w:r w:rsidRPr="00B92BC1">
              <w:rPr>
                <w:rStyle w:val="Hyperlink"/>
                <w:rFonts w:ascii="Times New Roman" w:hAnsi="Times New Roman" w:cs="Times New Roman"/>
                <w:noProof/>
                <w:sz w:val="24"/>
                <w:szCs w:val="24"/>
              </w:rPr>
              <w:t>5. Frameworks, models and theories to engage with stakeholders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_Toc225365696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9</w:t>
            </w:r>
            <w:r w:rsidRPr="00B92BC1">
              <w:rPr>
                <w:rFonts w:ascii="Times New Roman" w:hAnsi="Times New Roman" w:cs="Times New Roman"/>
                <w:noProof/>
                <w:webHidden/>
                <w:sz w:val="24"/>
                <w:szCs w:val="24"/>
              </w:rPr>
              <w:fldChar w:fldCharType="end"/>
            </w:r>
          </w:hyperlink>
        </w:p>
        <w:p w14:paraId="482B9A58" w14:textId="4C13AA0C"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97" w:history="1">
            <w:r w:rsidRPr="00B92BC1">
              <w:rPr>
                <w:rStyle w:val="Hyperlink"/>
                <w:rFonts w:ascii="Times New Roman" w:hAnsi="Times New Roman" w:cs="Times New Roman"/>
                <w:noProof/>
                <w:sz w:val="24"/>
                <w:szCs w:val="24"/>
              </w:rPr>
              <w:t>5.1 Stakeholder matrix</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_Toc225365697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9</w:t>
            </w:r>
            <w:r w:rsidRPr="00B92BC1">
              <w:rPr>
                <w:rFonts w:ascii="Times New Roman" w:hAnsi="Times New Roman" w:cs="Times New Roman"/>
                <w:noProof/>
                <w:webHidden/>
                <w:sz w:val="24"/>
                <w:szCs w:val="24"/>
              </w:rPr>
              <w:fldChar w:fldCharType="end"/>
            </w:r>
          </w:hyperlink>
        </w:p>
        <w:p w14:paraId="4BCD0E51" w14:textId="41B4A357"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98" w:history="1">
            <w:r w:rsidRPr="00B92BC1">
              <w:rPr>
                <w:rStyle w:val="Hyperlink"/>
                <w:rFonts w:ascii="Times New Roman" w:hAnsi="Times New Roman" w:cs="Times New Roman"/>
                <w:noProof/>
                <w:sz w:val="24"/>
                <w:szCs w:val="24"/>
              </w:rPr>
              <w:t>5.2 Engagement plan</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_Toc225365698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10</w:t>
            </w:r>
            <w:r w:rsidRPr="00B92BC1">
              <w:rPr>
                <w:rFonts w:ascii="Times New Roman" w:hAnsi="Times New Roman" w:cs="Times New Roman"/>
                <w:noProof/>
                <w:webHidden/>
                <w:sz w:val="24"/>
                <w:szCs w:val="24"/>
              </w:rPr>
              <w:fldChar w:fldCharType="end"/>
            </w:r>
          </w:hyperlink>
        </w:p>
        <w:p w14:paraId="14AB05EE" w14:textId="227D7A70"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699" w:history="1">
            <w:r w:rsidRPr="00B92BC1">
              <w:rPr>
                <w:rStyle w:val="Hyperlink"/>
                <w:rFonts w:ascii="Times New Roman" w:hAnsi="Times New Roman" w:cs="Times New Roman"/>
                <w:noProof/>
                <w:sz w:val="24"/>
                <w:szCs w:val="24"/>
              </w:rPr>
              <w:t>5.3 Communication plan</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_Toc225365699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10</w:t>
            </w:r>
            <w:r w:rsidRPr="00B92BC1">
              <w:rPr>
                <w:rFonts w:ascii="Times New Roman" w:hAnsi="Times New Roman" w:cs="Times New Roman"/>
                <w:noProof/>
                <w:webHidden/>
                <w:sz w:val="24"/>
                <w:szCs w:val="24"/>
              </w:rPr>
              <w:fldChar w:fldCharType="end"/>
            </w:r>
          </w:hyperlink>
        </w:p>
        <w:p w14:paraId="000F4066" w14:textId="2709A921"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700" w:history="1">
            <w:r w:rsidRPr="00B92BC1">
              <w:rPr>
                <w:rStyle w:val="Hyperlink"/>
                <w:rFonts w:ascii="Times New Roman" w:hAnsi="Times New Roman" w:cs="Times New Roman"/>
                <w:noProof/>
                <w:sz w:val="24"/>
                <w:szCs w:val="24"/>
              </w:rPr>
              <w:t>5.4 RACI matrix</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_Toc225365700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11</w:t>
            </w:r>
            <w:r w:rsidRPr="00B92BC1">
              <w:rPr>
                <w:rFonts w:ascii="Times New Roman" w:hAnsi="Times New Roman" w:cs="Times New Roman"/>
                <w:noProof/>
                <w:webHidden/>
                <w:sz w:val="24"/>
                <w:szCs w:val="24"/>
              </w:rPr>
              <w:fldChar w:fldCharType="end"/>
            </w:r>
          </w:hyperlink>
        </w:p>
        <w:p w14:paraId="642640B9" w14:textId="59031A99" w:rsidR="00B92BC1" w:rsidRPr="00B92BC1" w:rsidRDefault="00B92BC1" w:rsidP="00B92BC1">
          <w:pPr>
            <w:pStyle w:val="TOC1"/>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701" w:history="1">
            <w:r w:rsidRPr="00B92BC1">
              <w:rPr>
                <w:rStyle w:val="Hyperlink"/>
                <w:rFonts w:ascii="Times New Roman" w:hAnsi="Times New Roman" w:cs="Times New Roman"/>
                <w:noProof/>
                <w:sz w:val="24"/>
                <w:szCs w:val="24"/>
              </w:rPr>
              <w:t>6. Critical explanation of the process as the project manager to engage these key stakeholders and evaluate methods of managing conflicts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_Toc225365701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12</w:t>
            </w:r>
            <w:r w:rsidRPr="00B92BC1">
              <w:rPr>
                <w:rFonts w:ascii="Times New Roman" w:hAnsi="Times New Roman" w:cs="Times New Roman"/>
                <w:noProof/>
                <w:webHidden/>
                <w:sz w:val="24"/>
                <w:szCs w:val="24"/>
              </w:rPr>
              <w:fldChar w:fldCharType="end"/>
            </w:r>
          </w:hyperlink>
        </w:p>
        <w:p w14:paraId="2A8DF7D7" w14:textId="5EE683EB"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702" w:history="1">
            <w:r w:rsidRPr="00B92BC1">
              <w:rPr>
                <w:rStyle w:val="Hyperlink"/>
                <w:rFonts w:ascii="Times New Roman" w:hAnsi="Times New Roman" w:cs="Times New Roman"/>
                <w:noProof/>
                <w:sz w:val="24"/>
                <w:szCs w:val="24"/>
              </w:rPr>
              <w:t>6.1 Critical explanation of engaging with stakeholders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_Toc225365702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12</w:t>
            </w:r>
            <w:r w:rsidRPr="00B92BC1">
              <w:rPr>
                <w:rFonts w:ascii="Times New Roman" w:hAnsi="Times New Roman" w:cs="Times New Roman"/>
                <w:noProof/>
                <w:webHidden/>
                <w:sz w:val="24"/>
                <w:szCs w:val="24"/>
              </w:rPr>
              <w:fldChar w:fldCharType="end"/>
            </w:r>
          </w:hyperlink>
        </w:p>
        <w:p w14:paraId="2369B32C" w14:textId="6097E27A"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703" w:history="1">
            <w:r w:rsidRPr="00B92BC1">
              <w:rPr>
                <w:rStyle w:val="Hyperlink"/>
                <w:rFonts w:ascii="Times New Roman" w:hAnsi="Times New Roman" w:cs="Times New Roman"/>
                <w:noProof/>
                <w:sz w:val="24"/>
                <w:szCs w:val="24"/>
                <w:lang w:eastAsia="en-IN" w:bidi="bn-IN"/>
              </w:rPr>
              <w:t>6.2 Evaluation of methods for managing conflicts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_Toc225365703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13</w:t>
            </w:r>
            <w:r w:rsidRPr="00B92BC1">
              <w:rPr>
                <w:rFonts w:ascii="Times New Roman" w:hAnsi="Times New Roman" w:cs="Times New Roman"/>
                <w:noProof/>
                <w:webHidden/>
                <w:sz w:val="24"/>
                <w:szCs w:val="24"/>
              </w:rPr>
              <w:fldChar w:fldCharType="end"/>
            </w:r>
          </w:hyperlink>
        </w:p>
        <w:p w14:paraId="290B5E13" w14:textId="72E2EB0C" w:rsidR="00B92BC1" w:rsidRPr="00B92BC1" w:rsidRDefault="00B92BC1" w:rsidP="00B92BC1">
          <w:pPr>
            <w:pStyle w:val="TOC1"/>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704" w:history="1">
            <w:r w:rsidRPr="00B92BC1">
              <w:rPr>
                <w:rStyle w:val="Hyperlink"/>
                <w:rFonts w:ascii="Times New Roman" w:hAnsi="Times New Roman" w:cs="Times New Roman"/>
                <w:noProof/>
                <w:sz w:val="24"/>
                <w:szCs w:val="24"/>
                <w:lang w:eastAsia="en-IN" w:bidi="bn-IN"/>
              </w:rPr>
              <w:t>7. Evaluating the impact of stakeholders’ engagement on business performance of Philips Healthcare and recommendations</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_Toc225365704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15</w:t>
            </w:r>
            <w:r w:rsidRPr="00B92BC1">
              <w:rPr>
                <w:rFonts w:ascii="Times New Roman" w:hAnsi="Times New Roman" w:cs="Times New Roman"/>
                <w:noProof/>
                <w:webHidden/>
                <w:sz w:val="24"/>
                <w:szCs w:val="24"/>
              </w:rPr>
              <w:fldChar w:fldCharType="end"/>
            </w:r>
          </w:hyperlink>
        </w:p>
        <w:p w14:paraId="3424D67F" w14:textId="5361E479"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705" w:history="1">
            <w:r w:rsidRPr="00B92BC1">
              <w:rPr>
                <w:rStyle w:val="Hyperlink"/>
                <w:rFonts w:ascii="Times New Roman" w:hAnsi="Times New Roman" w:cs="Times New Roman"/>
                <w:noProof/>
                <w:sz w:val="24"/>
                <w:szCs w:val="24"/>
                <w:lang w:eastAsia="en-IN" w:bidi="bn-IN"/>
              </w:rPr>
              <w:t xml:space="preserve">7.1 </w:t>
            </w:r>
            <w:r w:rsidRPr="00B92BC1">
              <w:rPr>
                <w:rStyle w:val="Hyperlink"/>
                <w:rFonts w:ascii="Times New Roman" w:hAnsi="Times New Roman" w:cs="Times New Roman"/>
                <w:noProof/>
                <w:sz w:val="24"/>
                <w:szCs w:val="24"/>
              </w:rPr>
              <w:t>Impact</w:t>
            </w:r>
            <w:r w:rsidRPr="00B92BC1">
              <w:rPr>
                <w:rStyle w:val="Hyperlink"/>
                <w:rFonts w:ascii="Times New Roman" w:hAnsi="Times New Roman" w:cs="Times New Roman"/>
                <w:noProof/>
                <w:sz w:val="24"/>
                <w:szCs w:val="24"/>
                <w:lang w:eastAsia="en-IN" w:bidi="bn-IN"/>
              </w:rPr>
              <w:t xml:space="preserve"> of stakeholders’ engagement on business performance of Philips Healthcare</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_Toc225365705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15</w:t>
            </w:r>
            <w:r w:rsidRPr="00B92BC1">
              <w:rPr>
                <w:rFonts w:ascii="Times New Roman" w:hAnsi="Times New Roman" w:cs="Times New Roman"/>
                <w:noProof/>
                <w:webHidden/>
                <w:sz w:val="24"/>
                <w:szCs w:val="24"/>
              </w:rPr>
              <w:fldChar w:fldCharType="end"/>
            </w:r>
          </w:hyperlink>
        </w:p>
        <w:p w14:paraId="04458694" w14:textId="2057DE04" w:rsidR="00B92BC1" w:rsidRPr="00B92BC1" w:rsidRDefault="00B92BC1" w:rsidP="00B92BC1">
          <w:pPr>
            <w:pStyle w:val="TOC2"/>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706" w:history="1">
            <w:r w:rsidRPr="00B92BC1">
              <w:rPr>
                <w:rStyle w:val="Hyperlink"/>
                <w:rFonts w:ascii="Times New Roman" w:hAnsi="Times New Roman" w:cs="Times New Roman"/>
                <w:noProof/>
                <w:sz w:val="24"/>
                <w:szCs w:val="24"/>
                <w:lang w:eastAsia="en-IN"/>
              </w:rPr>
              <w:t>7.2 Recommendation for enhancing business performance</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_Toc225365706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16</w:t>
            </w:r>
            <w:r w:rsidRPr="00B92BC1">
              <w:rPr>
                <w:rFonts w:ascii="Times New Roman" w:hAnsi="Times New Roman" w:cs="Times New Roman"/>
                <w:noProof/>
                <w:webHidden/>
                <w:sz w:val="24"/>
                <w:szCs w:val="24"/>
              </w:rPr>
              <w:fldChar w:fldCharType="end"/>
            </w:r>
          </w:hyperlink>
        </w:p>
        <w:p w14:paraId="7A489755" w14:textId="353B708D" w:rsidR="00B92BC1" w:rsidRPr="00B92BC1" w:rsidRDefault="00B92BC1" w:rsidP="00B92BC1">
          <w:pPr>
            <w:pStyle w:val="TOC1"/>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707" w:history="1">
            <w:r w:rsidRPr="00B92BC1">
              <w:rPr>
                <w:rStyle w:val="Hyperlink"/>
                <w:rFonts w:ascii="Times New Roman" w:hAnsi="Times New Roman" w:cs="Times New Roman"/>
                <w:noProof/>
                <w:sz w:val="24"/>
                <w:szCs w:val="24"/>
                <w:lang w:eastAsia="en-IN"/>
              </w:rPr>
              <w:t>8. Conclusion</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_Toc225365707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17</w:t>
            </w:r>
            <w:r w:rsidRPr="00B92BC1">
              <w:rPr>
                <w:rFonts w:ascii="Times New Roman" w:hAnsi="Times New Roman" w:cs="Times New Roman"/>
                <w:noProof/>
                <w:webHidden/>
                <w:sz w:val="24"/>
                <w:szCs w:val="24"/>
              </w:rPr>
              <w:fldChar w:fldCharType="end"/>
            </w:r>
          </w:hyperlink>
        </w:p>
        <w:p w14:paraId="4DE2813A" w14:textId="4A8B6B5C" w:rsidR="00B92BC1" w:rsidRPr="00B92BC1" w:rsidRDefault="00B92BC1" w:rsidP="00B92BC1">
          <w:pPr>
            <w:pStyle w:val="TOC1"/>
            <w:tabs>
              <w:tab w:val="righ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225365708" w:history="1">
            <w:r w:rsidRPr="00B92BC1">
              <w:rPr>
                <w:rStyle w:val="Hyperlink"/>
                <w:rFonts w:ascii="Times New Roman" w:hAnsi="Times New Roman" w:cs="Times New Roman"/>
                <w:noProof/>
                <w:sz w:val="24"/>
                <w:szCs w:val="24"/>
              </w:rPr>
              <w:t>Reference List</w:t>
            </w:r>
            <w:r w:rsidRPr="00B92BC1">
              <w:rPr>
                <w:rFonts w:ascii="Times New Roman" w:hAnsi="Times New Roman" w:cs="Times New Roman"/>
                <w:noProof/>
                <w:webHidden/>
                <w:sz w:val="24"/>
                <w:szCs w:val="24"/>
              </w:rPr>
              <w:tab/>
            </w:r>
            <w:r w:rsidRPr="00B92BC1">
              <w:rPr>
                <w:rFonts w:ascii="Times New Roman" w:hAnsi="Times New Roman" w:cs="Times New Roman"/>
                <w:noProof/>
                <w:webHidden/>
                <w:sz w:val="24"/>
                <w:szCs w:val="24"/>
              </w:rPr>
              <w:fldChar w:fldCharType="begin"/>
            </w:r>
            <w:r w:rsidRPr="00B92BC1">
              <w:rPr>
                <w:rFonts w:ascii="Times New Roman" w:hAnsi="Times New Roman" w:cs="Times New Roman"/>
                <w:noProof/>
                <w:webHidden/>
                <w:sz w:val="24"/>
                <w:szCs w:val="24"/>
              </w:rPr>
              <w:instrText xml:space="preserve"> PAGEREF _Toc225365708 \h </w:instrText>
            </w:r>
            <w:r w:rsidRPr="00B92BC1">
              <w:rPr>
                <w:rFonts w:ascii="Times New Roman" w:hAnsi="Times New Roman" w:cs="Times New Roman"/>
                <w:noProof/>
                <w:webHidden/>
                <w:sz w:val="24"/>
                <w:szCs w:val="24"/>
              </w:rPr>
            </w:r>
            <w:r w:rsidRPr="00B92BC1">
              <w:rPr>
                <w:rFonts w:ascii="Times New Roman" w:hAnsi="Times New Roman" w:cs="Times New Roman"/>
                <w:noProof/>
                <w:webHidden/>
                <w:sz w:val="24"/>
                <w:szCs w:val="24"/>
              </w:rPr>
              <w:fldChar w:fldCharType="separate"/>
            </w:r>
            <w:r w:rsidRPr="00B92BC1">
              <w:rPr>
                <w:rFonts w:ascii="Times New Roman" w:hAnsi="Times New Roman" w:cs="Times New Roman"/>
                <w:noProof/>
                <w:webHidden/>
                <w:sz w:val="24"/>
                <w:szCs w:val="24"/>
              </w:rPr>
              <w:t>19</w:t>
            </w:r>
            <w:r w:rsidRPr="00B92BC1">
              <w:rPr>
                <w:rFonts w:ascii="Times New Roman" w:hAnsi="Times New Roman" w:cs="Times New Roman"/>
                <w:noProof/>
                <w:webHidden/>
                <w:sz w:val="24"/>
                <w:szCs w:val="24"/>
              </w:rPr>
              <w:fldChar w:fldCharType="end"/>
            </w:r>
          </w:hyperlink>
        </w:p>
        <w:p w14:paraId="3989E953" w14:textId="058476E6" w:rsidR="00FA6F99" w:rsidRPr="0048128B" w:rsidRDefault="00A871E1" w:rsidP="00B92BC1">
          <w:pPr>
            <w:pStyle w:val="TOC1"/>
            <w:tabs>
              <w:tab w:val="right" w:pos="9019"/>
            </w:tabs>
            <w:spacing w:line="360" w:lineRule="auto"/>
            <w:jc w:val="both"/>
            <w:rPr>
              <w:rFonts w:ascii="Times New Roman" w:eastAsia="Times New Roman" w:hAnsi="Times New Roman" w:cs="Times New Roman"/>
              <w:color w:val="000000"/>
              <w:sz w:val="24"/>
              <w:szCs w:val="24"/>
            </w:rPr>
          </w:pPr>
          <w:r w:rsidRPr="0048128B">
            <w:lastRenderedPageBreak/>
            <w:fldChar w:fldCharType="end"/>
          </w:r>
        </w:p>
      </w:sdtContent>
    </w:sdt>
    <w:p w14:paraId="08ADC1A6" w14:textId="77777777" w:rsidR="00FA6F99" w:rsidRPr="0048128B" w:rsidRDefault="00A871E1" w:rsidP="00433EB4">
      <w:pPr>
        <w:pStyle w:val="Heading1"/>
        <w:spacing w:before="0" w:after="0"/>
      </w:pPr>
      <w:bookmarkStart w:id="0" w:name="_Toc225365684"/>
      <w:r w:rsidRPr="0048128B">
        <w:t>1. Introduction of the company and project overview</w:t>
      </w:r>
      <w:bookmarkEnd w:id="0"/>
      <w:r w:rsidRPr="0048128B">
        <w:t xml:space="preserve"> </w:t>
      </w:r>
    </w:p>
    <w:p w14:paraId="0CEAB295"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Philips Healthcare, a division of Koninklijke Philips N.V. is a company prioritising global health technology to improve overall health and wellbeing. The company primarily exists in providing support with innovation and sustainable solutions that are required for improving overall health and wellbeing (Philips, 2026). As of 2025, the company incurred a revenue of €17.8 billion and employs around 65,000 thousand employees highlighting a comparable sales growth of 2% (Philips, 2025). Despite being located at Amsterdam, Netherlands, the company has strong operations in the UK market by prioritising on diagnostic imaging, therapy of image guidance and health informatics. </w:t>
      </w:r>
    </w:p>
    <w:p w14:paraId="22D1B73A"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The selected project for this assignment based on Philips’ operations is launching a new digital health device. It </w:t>
      </w:r>
      <w:proofErr w:type="gramStart"/>
      <w:r w:rsidRPr="0048128B">
        <w:rPr>
          <w:rFonts w:ascii="Times New Roman" w:eastAsia="Times New Roman" w:hAnsi="Times New Roman" w:cs="Times New Roman"/>
          <w:sz w:val="24"/>
          <w:szCs w:val="24"/>
        </w:rPr>
        <w:t>is capable of tracking</w:t>
      </w:r>
      <w:proofErr w:type="gramEnd"/>
      <w:r w:rsidRPr="0048128B">
        <w:rPr>
          <w:rFonts w:ascii="Times New Roman" w:eastAsia="Times New Roman" w:hAnsi="Times New Roman" w:cs="Times New Roman"/>
          <w:sz w:val="24"/>
          <w:szCs w:val="24"/>
        </w:rPr>
        <w:t xml:space="preserve"> heart rate, oxygen levels and sleep patterns. The device will be integrated based on Philips’ </w:t>
      </w:r>
      <w:r w:rsidR="0048128B" w:rsidRPr="0048128B">
        <w:rPr>
          <w:rFonts w:ascii="Times New Roman" w:eastAsia="Times New Roman" w:hAnsi="Times New Roman" w:cs="Times New Roman"/>
          <w:sz w:val="24"/>
          <w:szCs w:val="24"/>
        </w:rPr>
        <w:t>Health suite</w:t>
      </w:r>
      <w:r w:rsidRPr="0048128B">
        <w:rPr>
          <w:rFonts w:ascii="Times New Roman" w:eastAsia="Times New Roman" w:hAnsi="Times New Roman" w:cs="Times New Roman"/>
          <w:sz w:val="24"/>
          <w:szCs w:val="24"/>
        </w:rPr>
        <w:t xml:space="preserve"> platform that can be useful in providing personalised insights and recommendations based on AI. Using cheaper and widespread forms of healthcare instead of approaches using higher technology might bring improvements (</w:t>
      </w:r>
      <w:r w:rsidRPr="0048128B">
        <w:rPr>
          <w:rFonts w:ascii="Times New Roman" w:eastAsia="Times New Roman" w:hAnsi="Times New Roman" w:cs="Times New Roman"/>
          <w:sz w:val="24"/>
          <w:szCs w:val="24"/>
          <w:highlight w:val="white"/>
        </w:rPr>
        <w:t xml:space="preserve">Perry </w:t>
      </w:r>
      <w:r w:rsidRPr="0048128B">
        <w:rPr>
          <w:rFonts w:ascii="Times New Roman" w:eastAsia="Times New Roman" w:hAnsi="Times New Roman" w:cs="Times New Roman"/>
          <w:i/>
          <w:iCs/>
          <w:sz w:val="24"/>
          <w:szCs w:val="24"/>
          <w:highlight w:val="white"/>
        </w:rPr>
        <w:t>et al.</w:t>
      </w:r>
      <w:r w:rsidRPr="0048128B">
        <w:rPr>
          <w:rFonts w:ascii="Times New Roman" w:eastAsia="Times New Roman" w:hAnsi="Times New Roman" w:cs="Times New Roman"/>
          <w:sz w:val="24"/>
          <w:szCs w:val="24"/>
          <w:highlight w:val="white"/>
        </w:rPr>
        <w:t xml:space="preserve">, 2022, </w:t>
      </w:r>
      <w:r w:rsidRPr="0048128B">
        <w:rPr>
          <w:rFonts w:ascii="Times New Roman" w:eastAsia="Times New Roman" w:hAnsi="Times New Roman" w:cs="Times New Roman"/>
          <w:sz w:val="24"/>
          <w:szCs w:val="24"/>
        </w:rPr>
        <w:t>p.11). The device will be able to compete with several other brands such as GE HealthCare, Medtronic and Abbott Laboratories.</w:t>
      </w:r>
    </w:p>
    <w:p w14:paraId="626EEF47" w14:textId="77777777" w:rsidR="00FA6F99" w:rsidRPr="0048128B" w:rsidRDefault="00A871E1" w:rsidP="00433EB4">
      <w:pPr>
        <w:pStyle w:val="Heading1"/>
        <w:spacing w:before="0" w:after="0"/>
      </w:pPr>
      <w:bookmarkStart w:id="1" w:name="_Toc225365685"/>
      <w:r w:rsidRPr="0048128B">
        <w:t>2. Appraisal of the company using SWOT, PESTEL and SMART objectives</w:t>
      </w:r>
      <w:bookmarkEnd w:id="1"/>
    </w:p>
    <w:p w14:paraId="54DE745F" w14:textId="77777777" w:rsidR="00FA6F99" w:rsidRPr="0048128B" w:rsidRDefault="00A871E1" w:rsidP="00433EB4">
      <w:pPr>
        <w:pStyle w:val="Heading2"/>
        <w:spacing w:before="0" w:after="0"/>
      </w:pPr>
      <w:bookmarkStart w:id="2" w:name="_Toc225365686"/>
      <w:r w:rsidRPr="0048128B">
        <w:t>2.1 SWOT</w:t>
      </w:r>
      <w:bookmarkEnd w:id="2"/>
      <w:r w:rsidRPr="0048128B">
        <w:t xml:space="preserve"> </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A6F99" w:rsidRPr="0048128B" w14:paraId="603ACFA2" w14:textId="77777777">
        <w:tc>
          <w:tcPr>
            <w:tcW w:w="4514" w:type="dxa"/>
            <w:shd w:val="clear" w:color="auto" w:fill="FF9900"/>
            <w:tcMar>
              <w:top w:w="100" w:type="dxa"/>
              <w:left w:w="100" w:type="dxa"/>
              <w:bottom w:w="100" w:type="dxa"/>
              <w:right w:w="100" w:type="dxa"/>
            </w:tcMar>
          </w:tcPr>
          <w:p w14:paraId="75234AD5"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Strengths </w:t>
            </w:r>
          </w:p>
        </w:tc>
        <w:tc>
          <w:tcPr>
            <w:tcW w:w="4514" w:type="dxa"/>
            <w:shd w:val="clear" w:color="auto" w:fill="FF9900"/>
            <w:tcMar>
              <w:top w:w="100" w:type="dxa"/>
              <w:left w:w="100" w:type="dxa"/>
              <w:bottom w:w="100" w:type="dxa"/>
              <w:right w:w="100" w:type="dxa"/>
            </w:tcMar>
          </w:tcPr>
          <w:p w14:paraId="65FAC3EA"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Weaknesses</w:t>
            </w:r>
          </w:p>
        </w:tc>
      </w:tr>
      <w:tr w:rsidR="00FA6F99" w:rsidRPr="0048128B" w14:paraId="67BA42BA" w14:textId="77777777">
        <w:tc>
          <w:tcPr>
            <w:tcW w:w="4514" w:type="dxa"/>
            <w:shd w:val="clear" w:color="auto" w:fill="FCE5CD"/>
            <w:tcMar>
              <w:top w:w="100" w:type="dxa"/>
              <w:left w:w="100" w:type="dxa"/>
              <w:bottom w:w="100" w:type="dxa"/>
              <w:right w:w="100" w:type="dxa"/>
            </w:tcMar>
          </w:tcPr>
          <w:p w14:paraId="4B3C5BB5" w14:textId="0DE0F52B" w:rsidR="00FA6F99" w:rsidRPr="0048128B" w:rsidRDefault="00A871E1" w:rsidP="00433EB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Higher investment in R&amp;D ensures higher quality and modern portfolio in informatics and diagnostics.</w:t>
            </w:r>
            <w:r w:rsidR="00FD1D08">
              <w:rPr>
                <w:rFonts w:ascii="Times New Roman" w:eastAsia="Times New Roman" w:hAnsi="Times New Roman" w:cs="Times New Roman"/>
                <w:sz w:val="24"/>
                <w:szCs w:val="24"/>
              </w:rPr>
              <w:t xml:space="preserve"> </w:t>
            </w:r>
          </w:p>
          <w:p w14:paraId="65971122" w14:textId="77777777" w:rsidR="00FA6F99" w:rsidRPr="0048128B" w:rsidRDefault="00A871E1" w:rsidP="00433EB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Innovation implemented by the organisation improved the lives of around 2 billion people in 2025 (Philips, 2026). </w:t>
            </w:r>
          </w:p>
        </w:tc>
        <w:tc>
          <w:tcPr>
            <w:tcW w:w="4514" w:type="dxa"/>
            <w:shd w:val="clear" w:color="auto" w:fill="FCE5CD"/>
            <w:tcMar>
              <w:top w:w="100" w:type="dxa"/>
              <w:left w:w="100" w:type="dxa"/>
              <w:bottom w:w="100" w:type="dxa"/>
              <w:right w:w="100" w:type="dxa"/>
            </w:tcMar>
          </w:tcPr>
          <w:p w14:paraId="6F793225" w14:textId="77777777" w:rsidR="00FA6F99" w:rsidRPr="0048128B" w:rsidRDefault="00A871E1" w:rsidP="00433EB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Extensive recalls of products such as respiratory devices </w:t>
            </w:r>
            <w:proofErr w:type="gramStart"/>
            <w:r w:rsidRPr="0048128B">
              <w:rPr>
                <w:rFonts w:ascii="Times New Roman" w:eastAsia="Times New Roman" w:hAnsi="Times New Roman" w:cs="Times New Roman"/>
                <w:sz w:val="24"/>
                <w:szCs w:val="24"/>
              </w:rPr>
              <w:t>has</w:t>
            </w:r>
            <w:proofErr w:type="gramEnd"/>
            <w:r w:rsidRPr="0048128B">
              <w:rPr>
                <w:rFonts w:ascii="Times New Roman" w:eastAsia="Times New Roman" w:hAnsi="Times New Roman" w:cs="Times New Roman"/>
                <w:sz w:val="24"/>
                <w:szCs w:val="24"/>
              </w:rPr>
              <w:t xml:space="preserve"> significantly hindered overall brand value. </w:t>
            </w:r>
          </w:p>
          <w:p w14:paraId="1785ABC2" w14:textId="77777777" w:rsidR="00FA6F99" w:rsidRPr="0048128B" w:rsidRDefault="00A871E1" w:rsidP="00433EB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Maintenance of a wider and complicated portfolio can strain resources of the organisation. </w:t>
            </w:r>
          </w:p>
          <w:p w14:paraId="7E1ADDC1" w14:textId="77777777" w:rsidR="00FA6F99" w:rsidRPr="0048128B" w:rsidRDefault="00FA6F99"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A6F99" w:rsidRPr="0048128B" w14:paraId="3F237669" w14:textId="77777777">
        <w:tc>
          <w:tcPr>
            <w:tcW w:w="4514" w:type="dxa"/>
            <w:shd w:val="clear" w:color="auto" w:fill="FF9900"/>
            <w:tcMar>
              <w:top w:w="100" w:type="dxa"/>
              <w:left w:w="100" w:type="dxa"/>
              <w:bottom w:w="100" w:type="dxa"/>
              <w:right w:w="100" w:type="dxa"/>
            </w:tcMar>
          </w:tcPr>
          <w:p w14:paraId="6F9EBF18"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Opportunities </w:t>
            </w:r>
          </w:p>
        </w:tc>
        <w:tc>
          <w:tcPr>
            <w:tcW w:w="4514" w:type="dxa"/>
            <w:shd w:val="clear" w:color="auto" w:fill="FF9900"/>
            <w:tcMar>
              <w:top w:w="100" w:type="dxa"/>
              <w:left w:w="100" w:type="dxa"/>
              <w:bottom w:w="100" w:type="dxa"/>
              <w:right w:w="100" w:type="dxa"/>
            </w:tcMar>
          </w:tcPr>
          <w:p w14:paraId="381600A4"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Threats </w:t>
            </w:r>
          </w:p>
        </w:tc>
      </w:tr>
      <w:tr w:rsidR="00FA6F99" w:rsidRPr="0048128B" w14:paraId="4F2C31E9" w14:textId="77777777">
        <w:tc>
          <w:tcPr>
            <w:tcW w:w="4514" w:type="dxa"/>
            <w:shd w:val="clear" w:color="auto" w:fill="FCE5CD"/>
            <w:tcMar>
              <w:top w:w="100" w:type="dxa"/>
              <w:left w:w="100" w:type="dxa"/>
              <w:bottom w:w="100" w:type="dxa"/>
              <w:right w:w="100" w:type="dxa"/>
            </w:tcMar>
          </w:tcPr>
          <w:p w14:paraId="4E826406" w14:textId="77777777" w:rsidR="00FA6F99" w:rsidRPr="0048128B" w:rsidRDefault="00A871E1" w:rsidP="00433EB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AI in the healthcare market in the UK is expected to increase to $3,007.48 Million in 2034 from $422.89 Million </w:t>
            </w:r>
            <w:r w:rsidRPr="0048128B">
              <w:rPr>
                <w:rFonts w:ascii="Times New Roman" w:eastAsia="Times New Roman" w:hAnsi="Times New Roman" w:cs="Times New Roman"/>
                <w:sz w:val="24"/>
                <w:szCs w:val="24"/>
              </w:rPr>
              <w:lastRenderedPageBreak/>
              <w:t xml:space="preserve">in 2025 (IMARC Group, 2026). </w:t>
            </w:r>
          </w:p>
          <w:p w14:paraId="7B4417C3" w14:textId="77777777" w:rsidR="00FA6F99" w:rsidRPr="0048128B" w:rsidRDefault="00A871E1" w:rsidP="00433EB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Collaboration with leading hospital systems and any other technological firms can be useful for enhancing the firm’s digital health device. </w:t>
            </w:r>
          </w:p>
        </w:tc>
        <w:tc>
          <w:tcPr>
            <w:tcW w:w="4514" w:type="dxa"/>
            <w:shd w:val="clear" w:color="auto" w:fill="FCE5CD"/>
            <w:tcMar>
              <w:top w:w="100" w:type="dxa"/>
              <w:left w:w="100" w:type="dxa"/>
              <w:bottom w:w="100" w:type="dxa"/>
              <w:right w:w="100" w:type="dxa"/>
            </w:tcMar>
          </w:tcPr>
          <w:p w14:paraId="7E508F05" w14:textId="77777777" w:rsidR="00FA6F99" w:rsidRPr="0048128B" w:rsidRDefault="00A871E1" w:rsidP="00433EB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lastRenderedPageBreak/>
              <w:t xml:space="preserve">There can be fierce competition from other players such as Siemens </w:t>
            </w:r>
            <w:proofErr w:type="spellStart"/>
            <w:r w:rsidRPr="0048128B">
              <w:rPr>
                <w:rFonts w:ascii="Times New Roman" w:eastAsia="Times New Roman" w:hAnsi="Times New Roman" w:cs="Times New Roman"/>
                <w:sz w:val="24"/>
                <w:szCs w:val="24"/>
              </w:rPr>
              <w:t>Healthineers</w:t>
            </w:r>
            <w:proofErr w:type="spellEnd"/>
            <w:r w:rsidRPr="0048128B">
              <w:rPr>
                <w:rFonts w:ascii="Times New Roman" w:eastAsia="Times New Roman" w:hAnsi="Times New Roman" w:cs="Times New Roman"/>
                <w:sz w:val="24"/>
                <w:szCs w:val="24"/>
              </w:rPr>
              <w:t xml:space="preserve"> and GE Healthcare </w:t>
            </w:r>
            <w:r w:rsidRPr="0048128B">
              <w:rPr>
                <w:rFonts w:ascii="Times New Roman" w:eastAsia="Times New Roman" w:hAnsi="Times New Roman" w:cs="Times New Roman"/>
                <w:sz w:val="24"/>
                <w:szCs w:val="24"/>
              </w:rPr>
              <w:lastRenderedPageBreak/>
              <w:t xml:space="preserve">which can reduce Philips’ market share in the UK. </w:t>
            </w:r>
          </w:p>
          <w:p w14:paraId="738BA454" w14:textId="77777777" w:rsidR="00FA6F99" w:rsidRPr="0048128B" w:rsidRDefault="00A871E1" w:rsidP="00433EB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Vulnerabilities of downturns in the UK economy can also result in fluctuations within healthcare settings. </w:t>
            </w:r>
          </w:p>
        </w:tc>
      </w:tr>
    </w:tbl>
    <w:p w14:paraId="6D839A2C"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lastRenderedPageBreak/>
        <w:t xml:space="preserve">Table 1: SWOT analysis </w:t>
      </w:r>
    </w:p>
    <w:p w14:paraId="6CBE84B7" w14:textId="77777777" w:rsidR="00FA6F99" w:rsidRPr="0048128B" w:rsidRDefault="00A871E1" w:rsidP="00433EB4">
      <w:pP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(Source: Self-developed)</w:t>
      </w:r>
    </w:p>
    <w:p w14:paraId="63F64EB3" w14:textId="77777777" w:rsidR="00FA6F99" w:rsidRPr="0048128B" w:rsidRDefault="00A871E1" w:rsidP="00433EB4">
      <w:pPr>
        <w:pStyle w:val="Heading2"/>
        <w:spacing w:before="0" w:after="0"/>
      </w:pPr>
      <w:bookmarkStart w:id="3" w:name="_Toc225365687"/>
      <w:r w:rsidRPr="0048128B">
        <w:t>2.2 PESTEL</w:t>
      </w:r>
      <w:bookmarkEnd w:id="3"/>
    </w:p>
    <w:tbl>
      <w:tblPr>
        <w:tblStyle w:val="a0"/>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5"/>
        <w:gridCol w:w="5415"/>
        <w:gridCol w:w="1740"/>
      </w:tblGrid>
      <w:tr w:rsidR="00FA6F99" w:rsidRPr="0048128B" w14:paraId="7F47CDF3" w14:textId="77777777">
        <w:tc>
          <w:tcPr>
            <w:tcW w:w="1845" w:type="dxa"/>
            <w:shd w:val="clear" w:color="auto" w:fill="B6D7A8"/>
            <w:tcMar>
              <w:top w:w="100" w:type="dxa"/>
              <w:left w:w="100" w:type="dxa"/>
              <w:bottom w:w="100" w:type="dxa"/>
              <w:right w:w="100" w:type="dxa"/>
            </w:tcMar>
          </w:tcPr>
          <w:p w14:paraId="7B360A5B"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Factors </w:t>
            </w:r>
          </w:p>
        </w:tc>
        <w:tc>
          <w:tcPr>
            <w:tcW w:w="5415" w:type="dxa"/>
            <w:shd w:val="clear" w:color="auto" w:fill="B6D7A8"/>
            <w:tcMar>
              <w:top w:w="100" w:type="dxa"/>
              <w:left w:w="100" w:type="dxa"/>
              <w:bottom w:w="100" w:type="dxa"/>
              <w:right w:w="100" w:type="dxa"/>
            </w:tcMar>
          </w:tcPr>
          <w:p w14:paraId="63384363"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Implications</w:t>
            </w:r>
          </w:p>
        </w:tc>
        <w:tc>
          <w:tcPr>
            <w:tcW w:w="1740" w:type="dxa"/>
            <w:shd w:val="clear" w:color="auto" w:fill="B6D7A8"/>
            <w:tcMar>
              <w:top w:w="100" w:type="dxa"/>
              <w:left w:w="100" w:type="dxa"/>
              <w:bottom w:w="100" w:type="dxa"/>
              <w:right w:w="100" w:type="dxa"/>
            </w:tcMar>
          </w:tcPr>
          <w:p w14:paraId="007E1066"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Impact </w:t>
            </w:r>
          </w:p>
        </w:tc>
      </w:tr>
      <w:tr w:rsidR="00FA6F99" w:rsidRPr="0048128B" w14:paraId="44CF2642" w14:textId="77777777">
        <w:tc>
          <w:tcPr>
            <w:tcW w:w="1845" w:type="dxa"/>
            <w:shd w:val="clear" w:color="auto" w:fill="A4C2F4"/>
            <w:tcMar>
              <w:top w:w="100" w:type="dxa"/>
              <w:left w:w="100" w:type="dxa"/>
              <w:bottom w:w="100" w:type="dxa"/>
              <w:right w:w="100" w:type="dxa"/>
            </w:tcMar>
          </w:tcPr>
          <w:p w14:paraId="00B4ECA0"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48128B">
              <w:rPr>
                <w:rFonts w:ascii="Times New Roman" w:eastAsia="Times New Roman" w:hAnsi="Times New Roman" w:cs="Times New Roman"/>
                <w:b/>
                <w:bCs/>
                <w:i/>
                <w:iCs/>
                <w:sz w:val="24"/>
                <w:szCs w:val="24"/>
              </w:rPr>
              <w:t xml:space="preserve">Political </w:t>
            </w:r>
          </w:p>
        </w:tc>
        <w:tc>
          <w:tcPr>
            <w:tcW w:w="5415" w:type="dxa"/>
            <w:shd w:val="clear" w:color="auto" w:fill="A4C2F4"/>
            <w:tcMar>
              <w:top w:w="100" w:type="dxa"/>
              <w:left w:w="100" w:type="dxa"/>
              <w:bottom w:w="100" w:type="dxa"/>
              <w:right w:w="100" w:type="dxa"/>
            </w:tcMar>
          </w:tcPr>
          <w:p w14:paraId="37E67331"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Corruption perception index reduced from 73 in 2022 to 70 in 2025 (Statista, 2026). </w:t>
            </w:r>
          </w:p>
        </w:tc>
        <w:tc>
          <w:tcPr>
            <w:tcW w:w="1740" w:type="dxa"/>
            <w:shd w:val="clear" w:color="auto" w:fill="A4C2F4"/>
            <w:tcMar>
              <w:top w:w="100" w:type="dxa"/>
              <w:left w:w="100" w:type="dxa"/>
              <w:bottom w:w="100" w:type="dxa"/>
              <w:right w:w="100" w:type="dxa"/>
            </w:tcMar>
          </w:tcPr>
          <w:p w14:paraId="1EDDFA11"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Negative </w:t>
            </w:r>
          </w:p>
        </w:tc>
      </w:tr>
      <w:tr w:rsidR="00FA6F99" w:rsidRPr="0048128B" w14:paraId="6CA34382" w14:textId="77777777">
        <w:tc>
          <w:tcPr>
            <w:tcW w:w="1845" w:type="dxa"/>
            <w:shd w:val="clear" w:color="auto" w:fill="A4C2F4"/>
            <w:tcMar>
              <w:top w:w="100" w:type="dxa"/>
              <w:left w:w="100" w:type="dxa"/>
              <w:bottom w:w="100" w:type="dxa"/>
              <w:right w:w="100" w:type="dxa"/>
            </w:tcMar>
          </w:tcPr>
          <w:p w14:paraId="59FB81C6"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48128B">
              <w:rPr>
                <w:rFonts w:ascii="Times New Roman" w:eastAsia="Times New Roman" w:hAnsi="Times New Roman" w:cs="Times New Roman"/>
                <w:b/>
                <w:bCs/>
                <w:i/>
                <w:iCs/>
                <w:sz w:val="24"/>
                <w:szCs w:val="24"/>
              </w:rPr>
              <w:t xml:space="preserve">Economic </w:t>
            </w:r>
          </w:p>
        </w:tc>
        <w:tc>
          <w:tcPr>
            <w:tcW w:w="5415" w:type="dxa"/>
            <w:shd w:val="clear" w:color="auto" w:fill="A4C2F4"/>
            <w:tcMar>
              <w:top w:w="100" w:type="dxa"/>
              <w:left w:w="100" w:type="dxa"/>
              <w:bottom w:w="100" w:type="dxa"/>
              <w:right w:w="100" w:type="dxa"/>
            </w:tcMar>
          </w:tcPr>
          <w:p w14:paraId="20AE73EE"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The economy in the UK increased by only 0.1% by the end of 2025 due to weak consumer spending and failing business investments (The Guardian, 2026). </w:t>
            </w:r>
          </w:p>
        </w:tc>
        <w:tc>
          <w:tcPr>
            <w:tcW w:w="1740" w:type="dxa"/>
            <w:shd w:val="clear" w:color="auto" w:fill="A4C2F4"/>
            <w:tcMar>
              <w:top w:w="100" w:type="dxa"/>
              <w:left w:w="100" w:type="dxa"/>
              <w:bottom w:w="100" w:type="dxa"/>
              <w:right w:w="100" w:type="dxa"/>
            </w:tcMar>
          </w:tcPr>
          <w:p w14:paraId="5FA2339F"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Negative </w:t>
            </w:r>
          </w:p>
        </w:tc>
      </w:tr>
      <w:tr w:rsidR="00FA6F99" w:rsidRPr="0048128B" w14:paraId="614A0ABE" w14:textId="77777777">
        <w:tc>
          <w:tcPr>
            <w:tcW w:w="1845" w:type="dxa"/>
            <w:shd w:val="clear" w:color="auto" w:fill="A4C2F4"/>
            <w:tcMar>
              <w:top w:w="100" w:type="dxa"/>
              <w:left w:w="100" w:type="dxa"/>
              <w:bottom w:w="100" w:type="dxa"/>
              <w:right w:w="100" w:type="dxa"/>
            </w:tcMar>
          </w:tcPr>
          <w:p w14:paraId="4E61CFE1"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48128B">
              <w:rPr>
                <w:rFonts w:ascii="Times New Roman" w:eastAsia="Times New Roman" w:hAnsi="Times New Roman" w:cs="Times New Roman"/>
                <w:b/>
                <w:bCs/>
                <w:i/>
                <w:iCs/>
                <w:sz w:val="24"/>
                <w:szCs w:val="24"/>
              </w:rPr>
              <w:t xml:space="preserve">Social </w:t>
            </w:r>
          </w:p>
        </w:tc>
        <w:tc>
          <w:tcPr>
            <w:tcW w:w="5415" w:type="dxa"/>
            <w:shd w:val="clear" w:color="auto" w:fill="A4C2F4"/>
            <w:tcMar>
              <w:top w:w="100" w:type="dxa"/>
              <w:left w:w="100" w:type="dxa"/>
              <w:bottom w:w="100" w:type="dxa"/>
              <w:right w:w="100" w:type="dxa"/>
            </w:tcMar>
          </w:tcPr>
          <w:p w14:paraId="1970DC1C"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As of 2022, there are around 12.7 million people who are aged more than 65 in the UK which accounts to 19% of total population (Parliament, 2024). </w:t>
            </w:r>
          </w:p>
        </w:tc>
        <w:tc>
          <w:tcPr>
            <w:tcW w:w="1740" w:type="dxa"/>
            <w:shd w:val="clear" w:color="auto" w:fill="A4C2F4"/>
            <w:tcMar>
              <w:top w:w="100" w:type="dxa"/>
              <w:left w:w="100" w:type="dxa"/>
              <w:bottom w:w="100" w:type="dxa"/>
              <w:right w:w="100" w:type="dxa"/>
            </w:tcMar>
          </w:tcPr>
          <w:p w14:paraId="19B8CAD5"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Positive </w:t>
            </w:r>
          </w:p>
        </w:tc>
      </w:tr>
      <w:tr w:rsidR="00FA6F99" w:rsidRPr="0048128B" w14:paraId="4FE90B11" w14:textId="77777777">
        <w:tc>
          <w:tcPr>
            <w:tcW w:w="1845" w:type="dxa"/>
            <w:shd w:val="clear" w:color="auto" w:fill="A4C2F4"/>
            <w:tcMar>
              <w:top w:w="100" w:type="dxa"/>
              <w:left w:w="100" w:type="dxa"/>
              <w:bottom w:w="100" w:type="dxa"/>
              <w:right w:w="100" w:type="dxa"/>
            </w:tcMar>
          </w:tcPr>
          <w:p w14:paraId="708B1228"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48128B">
              <w:rPr>
                <w:rFonts w:ascii="Times New Roman" w:eastAsia="Times New Roman" w:hAnsi="Times New Roman" w:cs="Times New Roman"/>
                <w:b/>
                <w:bCs/>
                <w:i/>
                <w:iCs/>
                <w:sz w:val="24"/>
                <w:szCs w:val="24"/>
              </w:rPr>
              <w:t xml:space="preserve">Technological </w:t>
            </w:r>
          </w:p>
        </w:tc>
        <w:tc>
          <w:tcPr>
            <w:tcW w:w="5415" w:type="dxa"/>
            <w:shd w:val="clear" w:color="auto" w:fill="A4C2F4"/>
            <w:tcMar>
              <w:top w:w="100" w:type="dxa"/>
              <w:left w:w="100" w:type="dxa"/>
              <w:bottom w:w="100" w:type="dxa"/>
              <w:right w:w="100" w:type="dxa"/>
            </w:tcMar>
          </w:tcPr>
          <w:p w14:paraId="22448165"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Artificial Intelligence in the UK healthcare market is expected to increase to $286.7 billion by 2031 with a CAGR of 38.1% (Yahoo, 2024). </w:t>
            </w:r>
          </w:p>
        </w:tc>
        <w:tc>
          <w:tcPr>
            <w:tcW w:w="1740" w:type="dxa"/>
            <w:shd w:val="clear" w:color="auto" w:fill="A4C2F4"/>
            <w:tcMar>
              <w:top w:w="100" w:type="dxa"/>
              <w:left w:w="100" w:type="dxa"/>
              <w:bottom w:w="100" w:type="dxa"/>
              <w:right w:w="100" w:type="dxa"/>
            </w:tcMar>
          </w:tcPr>
          <w:p w14:paraId="3924B2B8"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Positive </w:t>
            </w:r>
          </w:p>
        </w:tc>
      </w:tr>
      <w:tr w:rsidR="00FA6F99" w:rsidRPr="0048128B" w14:paraId="37BDD660" w14:textId="77777777">
        <w:tc>
          <w:tcPr>
            <w:tcW w:w="1845" w:type="dxa"/>
            <w:shd w:val="clear" w:color="auto" w:fill="A4C2F4"/>
            <w:tcMar>
              <w:top w:w="100" w:type="dxa"/>
              <w:left w:w="100" w:type="dxa"/>
              <w:bottom w:w="100" w:type="dxa"/>
              <w:right w:w="100" w:type="dxa"/>
            </w:tcMar>
          </w:tcPr>
          <w:p w14:paraId="3A5A7D4B"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48128B">
              <w:rPr>
                <w:rFonts w:ascii="Times New Roman" w:eastAsia="Times New Roman" w:hAnsi="Times New Roman" w:cs="Times New Roman"/>
                <w:b/>
                <w:bCs/>
                <w:i/>
                <w:iCs/>
                <w:sz w:val="24"/>
                <w:szCs w:val="24"/>
              </w:rPr>
              <w:t xml:space="preserve">Environmental </w:t>
            </w:r>
          </w:p>
        </w:tc>
        <w:tc>
          <w:tcPr>
            <w:tcW w:w="5415" w:type="dxa"/>
            <w:shd w:val="clear" w:color="auto" w:fill="A4C2F4"/>
            <w:tcMar>
              <w:top w:w="100" w:type="dxa"/>
              <w:left w:w="100" w:type="dxa"/>
              <w:bottom w:w="100" w:type="dxa"/>
              <w:right w:w="100" w:type="dxa"/>
            </w:tcMar>
          </w:tcPr>
          <w:p w14:paraId="3C857239"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The NHS foundation trust outlines CSR practices such as promotion of public health awareness and involving patients in shaping services (NHS, 2026). </w:t>
            </w:r>
          </w:p>
        </w:tc>
        <w:tc>
          <w:tcPr>
            <w:tcW w:w="1740" w:type="dxa"/>
            <w:shd w:val="clear" w:color="auto" w:fill="A4C2F4"/>
            <w:tcMar>
              <w:top w:w="100" w:type="dxa"/>
              <w:left w:w="100" w:type="dxa"/>
              <w:bottom w:w="100" w:type="dxa"/>
              <w:right w:w="100" w:type="dxa"/>
            </w:tcMar>
          </w:tcPr>
          <w:p w14:paraId="667BD596"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Positive </w:t>
            </w:r>
          </w:p>
        </w:tc>
      </w:tr>
      <w:tr w:rsidR="00FA6F99" w:rsidRPr="0048128B" w14:paraId="2E5D8DD2" w14:textId="77777777">
        <w:tc>
          <w:tcPr>
            <w:tcW w:w="1845" w:type="dxa"/>
            <w:shd w:val="clear" w:color="auto" w:fill="A4C2F4"/>
            <w:tcMar>
              <w:top w:w="100" w:type="dxa"/>
              <w:left w:w="100" w:type="dxa"/>
              <w:bottom w:w="100" w:type="dxa"/>
              <w:right w:w="100" w:type="dxa"/>
            </w:tcMar>
          </w:tcPr>
          <w:p w14:paraId="08D5F686"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48128B">
              <w:rPr>
                <w:rFonts w:ascii="Times New Roman" w:eastAsia="Times New Roman" w:hAnsi="Times New Roman" w:cs="Times New Roman"/>
                <w:b/>
                <w:bCs/>
                <w:i/>
                <w:iCs/>
                <w:sz w:val="24"/>
                <w:szCs w:val="24"/>
              </w:rPr>
              <w:t xml:space="preserve">Legal </w:t>
            </w:r>
          </w:p>
        </w:tc>
        <w:tc>
          <w:tcPr>
            <w:tcW w:w="5415" w:type="dxa"/>
            <w:shd w:val="clear" w:color="auto" w:fill="A4C2F4"/>
            <w:tcMar>
              <w:top w:w="100" w:type="dxa"/>
              <w:left w:w="100" w:type="dxa"/>
              <w:bottom w:w="100" w:type="dxa"/>
              <w:right w:w="100" w:type="dxa"/>
            </w:tcMar>
          </w:tcPr>
          <w:p w14:paraId="135F1766"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The Health and Social Care Act 2022 </w:t>
            </w:r>
            <w:proofErr w:type="gramStart"/>
            <w:r w:rsidRPr="0048128B">
              <w:rPr>
                <w:rFonts w:ascii="Times New Roman" w:eastAsia="Times New Roman" w:hAnsi="Times New Roman" w:cs="Times New Roman"/>
                <w:sz w:val="24"/>
                <w:szCs w:val="24"/>
              </w:rPr>
              <w:t>focuses</w:t>
            </w:r>
            <w:proofErr w:type="gramEnd"/>
            <w:r w:rsidRPr="0048128B">
              <w:rPr>
                <w:rFonts w:ascii="Times New Roman" w:eastAsia="Times New Roman" w:hAnsi="Times New Roman" w:cs="Times New Roman"/>
                <w:sz w:val="24"/>
                <w:szCs w:val="24"/>
              </w:rPr>
              <w:t xml:space="preserve"> on recovery from the pandemic and transformation of patient care (Gov, 2022) </w:t>
            </w:r>
          </w:p>
        </w:tc>
        <w:tc>
          <w:tcPr>
            <w:tcW w:w="1740" w:type="dxa"/>
            <w:shd w:val="clear" w:color="auto" w:fill="A4C2F4"/>
            <w:tcMar>
              <w:top w:w="100" w:type="dxa"/>
              <w:left w:w="100" w:type="dxa"/>
              <w:bottom w:w="100" w:type="dxa"/>
              <w:right w:w="100" w:type="dxa"/>
            </w:tcMar>
          </w:tcPr>
          <w:p w14:paraId="421157AE"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Positive</w:t>
            </w:r>
          </w:p>
        </w:tc>
      </w:tr>
    </w:tbl>
    <w:p w14:paraId="5616826F" w14:textId="37056F0B" w:rsidR="00FA6F99" w:rsidRPr="00667AA0" w:rsidRDefault="00A871E1" w:rsidP="00667AA0">
      <w:pPr>
        <w:spacing w:line="360" w:lineRule="auto"/>
        <w:jc w:val="center"/>
        <w:rPr>
          <w:rFonts w:ascii="Times New Roman" w:hAnsi="Times New Roman" w:cs="Times New Roman"/>
          <w:b/>
          <w:bCs/>
          <w:sz w:val="24"/>
          <w:szCs w:val="24"/>
        </w:rPr>
      </w:pPr>
      <w:r w:rsidRPr="00667AA0">
        <w:rPr>
          <w:rFonts w:ascii="Times New Roman" w:hAnsi="Times New Roman" w:cs="Times New Roman"/>
          <w:b/>
          <w:bCs/>
          <w:sz w:val="24"/>
          <w:szCs w:val="24"/>
        </w:rPr>
        <w:t>Table 2: PESTEL analysis</w:t>
      </w:r>
    </w:p>
    <w:p w14:paraId="3896D1AA" w14:textId="77777777" w:rsidR="00FA6F99" w:rsidRPr="0048128B" w:rsidRDefault="00A871E1" w:rsidP="00433EB4">
      <w:pP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(Source: Self-developed)</w:t>
      </w:r>
    </w:p>
    <w:p w14:paraId="0CF62B78" w14:textId="77777777" w:rsidR="00FA6F99" w:rsidRPr="0048128B" w:rsidRDefault="00A871E1" w:rsidP="00433EB4">
      <w:pPr>
        <w:pStyle w:val="Heading2"/>
        <w:spacing w:before="0" w:after="0"/>
      </w:pPr>
      <w:bookmarkStart w:id="4" w:name="_Toc225365688"/>
      <w:r w:rsidRPr="0048128B">
        <w:lastRenderedPageBreak/>
        <w:t>2.3 Analysis of SWOT and PESTEL</w:t>
      </w:r>
      <w:bookmarkEnd w:id="4"/>
      <w:r w:rsidRPr="0048128B">
        <w:t xml:space="preserve"> </w:t>
      </w:r>
    </w:p>
    <w:p w14:paraId="5AEE63B9"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Analysing the factors at SWOT analysis, it is observed that Philips has a strong portfolio in its R&amp;D operations that focuses on providing streamlined care for the patients. However, weaknesses that the firm faces are extensive recalls of products that makes it difficult to provide services. Based on external factors, the positive outcomes for Philips’ new project are a rising aged population, rising AI oriented services, CSR practices and adoption of the Health and Social Care Act. Investment in AI in the UK healthcare market is expected to increase by a CAGR of 38.1% (Yahoo, 2024). It can have a positive impact on Philips’ project of releasing an electronic device which incorporates AI that can be useful in monitoring the current health conditions of care receivers. </w:t>
      </w:r>
    </w:p>
    <w:p w14:paraId="067494D7" w14:textId="0D3847F0" w:rsidR="00FA6F99" w:rsidRPr="0048128B" w:rsidRDefault="00A871E1" w:rsidP="00433EB4">
      <w:pPr>
        <w:pStyle w:val="Heading2"/>
        <w:spacing w:before="0" w:after="0"/>
      </w:pPr>
      <w:bookmarkStart w:id="5" w:name="_Toc225365689"/>
      <w:r w:rsidRPr="0048128B">
        <w:t>2.4 SMART Objectives</w:t>
      </w:r>
      <w:bookmarkEnd w:id="5"/>
      <w:r w:rsidR="00FD1D08">
        <w:t xml:space="preserve"> </w:t>
      </w:r>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FA6F99" w:rsidRPr="0048128B" w14:paraId="014659D0" w14:textId="77777777">
        <w:tc>
          <w:tcPr>
            <w:tcW w:w="1805" w:type="dxa"/>
            <w:tcMar>
              <w:top w:w="100" w:type="dxa"/>
              <w:left w:w="100" w:type="dxa"/>
              <w:bottom w:w="100" w:type="dxa"/>
              <w:right w:w="100" w:type="dxa"/>
            </w:tcMar>
          </w:tcPr>
          <w:p w14:paraId="417EAD69" w14:textId="77777777" w:rsidR="00FA6F99" w:rsidRPr="0048128B" w:rsidRDefault="00A871E1" w:rsidP="00433EB4">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Specific </w:t>
            </w:r>
          </w:p>
        </w:tc>
        <w:tc>
          <w:tcPr>
            <w:tcW w:w="1805" w:type="dxa"/>
            <w:tcMar>
              <w:top w:w="100" w:type="dxa"/>
              <w:left w:w="100" w:type="dxa"/>
              <w:bottom w:w="100" w:type="dxa"/>
              <w:right w:w="100" w:type="dxa"/>
            </w:tcMar>
          </w:tcPr>
          <w:p w14:paraId="33CF5C8D" w14:textId="77777777" w:rsidR="00FA6F99" w:rsidRPr="0048128B" w:rsidRDefault="00A871E1" w:rsidP="00433EB4">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Measurable </w:t>
            </w:r>
          </w:p>
        </w:tc>
        <w:tc>
          <w:tcPr>
            <w:tcW w:w="1805" w:type="dxa"/>
            <w:tcMar>
              <w:top w:w="100" w:type="dxa"/>
              <w:left w:w="100" w:type="dxa"/>
              <w:bottom w:w="100" w:type="dxa"/>
              <w:right w:w="100" w:type="dxa"/>
            </w:tcMar>
          </w:tcPr>
          <w:p w14:paraId="351E6B09" w14:textId="77777777" w:rsidR="00FA6F99" w:rsidRPr="0048128B" w:rsidRDefault="00A871E1" w:rsidP="00433EB4">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Achievable </w:t>
            </w:r>
          </w:p>
        </w:tc>
        <w:tc>
          <w:tcPr>
            <w:tcW w:w="1805" w:type="dxa"/>
            <w:tcMar>
              <w:top w:w="100" w:type="dxa"/>
              <w:left w:w="100" w:type="dxa"/>
              <w:bottom w:w="100" w:type="dxa"/>
              <w:right w:w="100" w:type="dxa"/>
            </w:tcMar>
          </w:tcPr>
          <w:p w14:paraId="6AFCFBA1" w14:textId="77777777" w:rsidR="00FA6F99" w:rsidRPr="0048128B" w:rsidRDefault="00A871E1" w:rsidP="00433EB4">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Relevant </w:t>
            </w:r>
          </w:p>
        </w:tc>
        <w:tc>
          <w:tcPr>
            <w:tcW w:w="1805" w:type="dxa"/>
            <w:tcMar>
              <w:top w:w="100" w:type="dxa"/>
              <w:left w:w="100" w:type="dxa"/>
              <w:bottom w:w="100" w:type="dxa"/>
              <w:right w:w="100" w:type="dxa"/>
            </w:tcMar>
          </w:tcPr>
          <w:p w14:paraId="064E34A5" w14:textId="77777777" w:rsidR="00FA6F99" w:rsidRPr="0048128B" w:rsidRDefault="00A871E1" w:rsidP="00433EB4">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proofErr w:type="gramStart"/>
            <w:r w:rsidRPr="0048128B">
              <w:rPr>
                <w:rFonts w:ascii="Times New Roman" w:eastAsia="Times New Roman" w:hAnsi="Times New Roman" w:cs="Times New Roman"/>
                <w:b/>
                <w:bCs/>
                <w:sz w:val="24"/>
                <w:szCs w:val="24"/>
              </w:rPr>
              <w:t>Time-frame</w:t>
            </w:r>
            <w:proofErr w:type="gramEnd"/>
            <w:r w:rsidRPr="0048128B">
              <w:rPr>
                <w:rFonts w:ascii="Times New Roman" w:eastAsia="Times New Roman" w:hAnsi="Times New Roman" w:cs="Times New Roman"/>
                <w:b/>
                <w:bCs/>
                <w:sz w:val="24"/>
                <w:szCs w:val="24"/>
              </w:rPr>
              <w:t xml:space="preserve"> </w:t>
            </w:r>
          </w:p>
        </w:tc>
      </w:tr>
      <w:tr w:rsidR="00FA6F99" w:rsidRPr="0048128B" w14:paraId="0A774CA2" w14:textId="77777777">
        <w:tc>
          <w:tcPr>
            <w:tcW w:w="1805" w:type="dxa"/>
            <w:tcMar>
              <w:top w:w="100" w:type="dxa"/>
              <w:left w:w="100" w:type="dxa"/>
              <w:bottom w:w="100" w:type="dxa"/>
              <w:right w:w="100" w:type="dxa"/>
            </w:tcMar>
          </w:tcPr>
          <w:p w14:paraId="02F03910"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To achieve a higher customer retention for the targeted users. </w:t>
            </w:r>
          </w:p>
        </w:tc>
        <w:tc>
          <w:tcPr>
            <w:tcW w:w="1805" w:type="dxa"/>
            <w:tcMar>
              <w:top w:w="100" w:type="dxa"/>
              <w:left w:w="100" w:type="dxa"/>
              <w:bottom w:w="100" w:type="dxa"/>
              <w:right w:w="100" w:type="dxa"/>
            </w:tcMar>
          </w:tcPr>
          <w:p w14:paraId="54C9CCA4"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To achieve 60% user retention. </w:t>
            </w:r>
          </w:p>
        </w:tc>
        <w:tc>
          <w:tcPr>
            <w:tcW w:w="1805" w:type="dxa"/>
            <w:tcMar>
              <w:top w:w="100" w:type="dxa"/>
              <w:left w:w="100" w:type="dxa"/>
              <w:bottom w:w="100" w:type="dxa"/>
              <w:right w:w="100" w:type="dxa"/>
            </w:tcMar>
          </w:tcPr>
          <w:p w14:paraId="5CBC8CE6"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It can be achieved by sending personalised sleep improvements. </w:t>
            </w:r>
          </w:p>
        </w:tc>
        <w:tc>
          <w:tcPr>
            <w:tcW w:w="1805" w:type="dxa"/>
            <w:tcMar>
              <w:top w:w="100" w:type="dxa"/>
              <w:left w:w="100" w:type="dxa"/>
              <w:bottom w:w="100" w:type="dxa"/>
              <w:right w:w="100" w:type="dxa"/>
            </w:tcMar>
          </w:tcPr>
          <w:p w14:paraId="48763290"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It is important for ensuring the health and wellbeing of care receivers. </w:t>
            </w:r>
          </w:p>
        </w:tc>
        <w:tc>
          <w:tcPr>
            <w:tcW w:w="1805" w:type="dxa"/>
            <w:tcMar>
              <w:top w:w="100" w:type="dxa"/>
              <w:left w:w="100" w:type="dxa"/>
              <w:bottom w:w="100" w:type="dxa"/>
              <w:right w:w="100" w:type="dxa"/>
            </w:tcMar>
          </w:tcPr>
          <w:p w14:paraId="797EA470"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3 months </w:t>
            </w:r>
          </w:p>
        </w:tc>
      </w:tr>
      <w:tr w:rsidR="00FA6F99" w:rsidRPr="0048128B" w14:paraId="49E468B3" w14:textId="77777777">
        <w:tc>
          <w:tcPr>
            <w:tcW w:w="1805" w:type="dxa"/>
            <w:tcMar>
              <w:top w:w="100" w:type="dxa"/>
              <w:left w:w="100" w:type="dxa"/>
              <w:bottom w:w="100" w:type="dxa"/>
              <w:right w:w="100" w:type="dxa"/>
            </w:tcMar>
          </w:tcPr>
          <w:p w14:paraId="1DC3A4B7"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To implement AI algorithms for categorising sleep stages </w:t>
            </w:r>
          </w:p>
        </w:tc>
        <w:tc>
          <w:tcPr>
            <w:tcW w:w="1805" w:type="dxa"/>
            <w:tcMar>
              <w:top w:w="100" w:type="dxa"/>
              <w:left w:w="100" w:type="dxa"/>
              <w:bottom w:w="100" w:type="dxa"/>
              <w:right w:w="100" w:type="dxa"/>
            </w:tcMar>
          </w:tcPr>
          <w:p w14:paraId="7592CD5B"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Generation of a sleep score of 85% is to be achieved. </w:t>
            </w:r>
          </w:p>
        </w:tc>
        <w:tc>
          <w:tcPr>
            <w:tcW w:w="1805" w:type="dxa"/>
            <w:tcMar>
              <w:top w:w="100" w:type="dxa"/>
              <w:left w:w="100" w:type="dxa"/>
              <w:bottom w:w="100" w:type="dxa"/>
              <w:right w:w="100" w:type="dxa"/>
            </w:tcMar>
          </w:tcPr>
          <w:p w14:paraId="1BDD03D6"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It can be improved through monitoring actionable data for lifestyle adjustments. </w:t>
            </w:r>
          </w:p>
        </w:tc>
        <w:tc>
          <w:tcPr>
            <w:tcW w:w="1805" w:type="dxa"/>
            <w:tcMar>
              <w:top w:w="100" w:type="dxa"/>
              <w:left w:w="100" w:type="dxa"/>
              <w:bottom w:w="100" w:type="dxa"/>
              <w:right w:w="100" w:type="dxa"/>
            </w:tcMar>
          </w:tcPr>
          <w:p w14:paraId="08E8F240"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AI enhances quality, efficiency and accessibility of healthcare services (</w:t>
            </w:r>
            <w:proofErr w:type="spellStart"/>
            <w:r w:rsidRPr="0048128B">
              <w:rPr>
                <w:rFonts w:ascii="Times New Roman" w:eastAsia="Times New Roman" w:hAnsi="Times New Roman" w:cs="Times New Roman"/>
                <w:sz w:val="24"/>
                <w:szCs w:val="24"/>
              </w:rPr>
              <w:t>Chumachenko</w:t>
            </w:r>
            <w:proofErr w:type="spellEnd"/>
            <w:r w:rsidRPr="0048128B">
              <w:rPr>
                <w:rFonts w:ascii="Times New Roman" w:eastAsia="Times New Roman" w:hAnsi="Times New Roman" w:cs="Times New Roman"/>
                <w:sz w:val="24"/>
                <w:szCs w:val="24"/>
              </w:rPr>
              <w:t xml:space="preserve"> and Yakovlev, 2024). </w:t>
            </w:r>
          </w:p>
        </w:tc>
        <w:tc>
          <w:tcPr>
            <w:tcW w:w="1805" w:type="dxa"/>
            <w:tcMar>
              <w:top w:w="100" w:type="dxa"/>
              <w:left w:w="100" w:type="dxa"/>
              <w:bottom w:w="100" w:type="dxa"/>
              <w:right w:w="100" w:type="dxa"/>
            </w:tcMar>
          </w:tcPr>
          <w:p w14:paraId="6BA23BFE"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6 months </w:t>
            </w:r>
          </w:p>
        </w:tc>
      </w:tr>
      <w:tr w:rsidR="00FA6F99" w:rsidRPr="0048128B" w14:paraId="1CDAAF1D" w14:textId="77777777">
        <w:tc>
          <w:tcPr>
            <w:tcW w:w="1805" w:type="dxa"/>
            <w:tcMar>
              <w:top w:w="100" w:type="dxa"/>
              <w:left w:w="100" w:type="dxa"/>
              <w:bottom w:w="100" w:type="dxa"/>
              <w:right w:w="100" w:type="dxa"/>
            </w:tcMar>
          </w:tcPr>
          <w:p w14:paraId="5A916461"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To increase Philips’ overall market share </w:t>
            </w:r>
          </w:p>
        </w:tc>
        <w:tc>
          <w:tcPr>
            <w:tcW w:w="1805" w:type="dxa"/>
            <w:tcMar>
              <w:top w:w="100" w:type="dxa"/>
              <w:left w:w="100" w:type="dxa"/>
              <w:bottom w:w="100" w:type="dxa"/>
              <w:right w:w="100" w:type="dxa"/>
            </w:tcMar>
          </w:tcPr>
          <w:p w14:paraId="16C4D6C6"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A market share of 30% is to be achieved </w:t>
            </w:r>
          </w:p>
        </w:tc>
        <w:tc>
          <w:tcPr>
            <w:tcW w:w="1805" w:type="dxa"/>
            <w:tcMar>
              <w:top w:w="100" w:type="dxa"/>
              <w:left w:w="100" w:type="dxa"/>
              <w:bottom w:w="100" w:type="dxa"/>
              <w:right w:w="100" w:type="dxa"/>
            </w:tcMar>
          </w:tcPr>
          <w:p w14:paraId="1870353C"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Higher investment in R&amp;D and prioritising </w:t>
            </w:r>
            <w:r w:rsidRPr="0048128B">
              <w:rPr>
                <w:rFonts w:ascii="Times New Roman" w:eastAsia="Times New Roman" w:hAnsi="Times New Roman" w:cs="Times New Roman"/>
                <w:sz w:val="24"/>
                <w:szCs w:val="24"/>
              </w:rPr>
              <w:lastRenderedPageBreak/>
              <w:t xml:space="preserve">standardised care. </w:t>
            </w:r>
          </w:p>
        </w:tc>
        <w:tc>
          <w:tcPr>
            <w:tcW w:w="1805" w:type="dxa"/>
            <w:tcMar>
              <w:top w:w="100" w:type="dxa"/>
              <w:left w:w="100" w:type="dxa"/>
              <w:bottom w:w="100" w:type="dxa"/>
              <w:right w:w="100" w:type="dxa"/>
            </w:tcMar>
          </w:tcPr>
          <w:p w14:paraId="23B70754"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lastRenderedPageBreak/>
              <w:t xml:space="preserve">Important for launching the device that monitors sleep </w:t>
            </w:r>
            <w:r w:rsidRPr="0048128B">
              <w:rPr>
                <w:rFonts w:ascii="Times New Roman" w:eastAsia="Times New Roman" w:hAnsi="Times New Roman" w:cs="Times New Roman"/>
                <w:sz w:val="24"/>
                <w:szCs w:val="24"/>
              </w:rPr>
              <w:lastRenderedPageBreak/>
              <w:t xml:space="preserve">patterns. </w:t>
            </w:r>
          </w:p>
        </w:tc>
        <w:tc>
          <w:tcPr>
            <w:tcW w:w="1805" w:type="dxa"/>
            <w:tcMar>
              <w:top w:w="100" w:type="dxa"/>
              <w:left w:w="100" w:type="dxa"/>
              <w:bottom w:w="100" w:type="dxa"/>
              <w:right w:w="100" w:type="dxa"/>
            </w:tcMar>
          </w:tcPr>
          <w:p w14:paraId="3FA0F4C3"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lastRenderedPageBreak/>
              <w:t xml:space="preserve">8 months </w:t>
            </w:r>
          </w:p>
        </w:tc>
      </w:tr>
    </w:tbl>
    <w:p w14:paraId="0C7CAFF3"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Table 3: SMART objectives</w:t>
      </w:r>
    </w:p>
    <w:p w14:paraId="2676AA89" w14:textId="77777777" w:rsidR="00FA6F99" w:rsidRPr="0048128B" w:rsidRDefault="00A871E1" w:rsidP="00433EB4">
      <w:pP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(Source: Self-developed)</w:t>
      </w:r>
    </w:p>
    <w:p w14:paraId="31791885" w14:textId="77777777" w:rsidR="00FA6F99" w:rsidRPr="0048128B" w:rsidRDefault="00A871E1" w:rsidP="00433EB4">
      <w:pPr>
        <w:pStyle w:val="Heading1"/>
        <w:spacing w:before="0" w:after="0"/>
      </w:pPr>
      <w:bookmarkStart w:id="6" w:name="_Toc225365690"/>
      <w:r w:rsidRPr="0048128B">
        <w:t>3. Key internal and external stakeholders involved in the project</w:t>
      </w:r>
      <w:bookmarkEnd w:id="6"/>
      <w:r w:rsidRPr="0048128B">
        <w:t xml:space="preserve"> </w:t>
      </w:r>
    </w:p>
    <w:p w14:paraId="0DAE7C7D" w14:textId="77777777" w:rsidR="00FA6F99" w:rsidRPr="0048128B" w:rsidRDefault="00A871E1" w:rsidP="00433EB4">
      <w:pPr>
        <w:pStyle w:val="Heading2"/>
        <w:spacing w:before="0" w:after="0"/>
      </w:pPr>
      <w:bookmarkStart w:id="7" w:name="_Toc225365691"/>
      <w:r w:rsidRPr="0048128B">
        <w:t>3.1 Internal stakeholders</w:t>
      </w:r>
      <w:bookmarkEnd w:id="7"/>
    </w:p>
    <w:p w14:paraId="79EA7689"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Internal stakeholders for the new wearable health device are the project manager, project sponsor, engineering and R&amp;D teams, UI designers, quality assurance team, product development team and marketing and sales team. The project manager for this project has responsibility in overseeing the 6-month launch time alongside management of risks. The engineering team is strongly responsible for undertaking elements of blood saturation levels (SpO2) and Heart Rate for </w:t>
      </w:r>
      <w:r w:rsidR="0048128B" w:rsidRPr="0048128B">
        <w:rPr>
          <w:rFonts w:ascii="Times New Roman" w:eastAsia="Times New Roman" w:hAnsi="Times New Roman" w:cs="Times New Roman"/>
          <w:sz w:val="24"/>
          <w:szCs w:val="24"/>
        </w:rPr>
        <w:t>Photo plethysmography</w:t>
      </w:r>
      <w:r w:rsidRPr="0048128B">
        <w:rPr>
          <w:rFonts w:ascii="Times New Roman" w:eastAsia="Times New Roman" w:hAnsi="Times New Roman" w:cs="Times New Roman"/>
          <w:sz w:val="24"/>
          <w:szCs w:val="24"/>
        </w:rPr>
        <w:t xml:space="preserve"> (PPG) (</w:t>
      </w:r>
      <w:r w:rsidRPr="0048128B">
        <w:rPr>
          <w:rFonts w:ascii="Times New Roman" w:eastAsia="Times New Roman" w:hAnsi="Times New Roman" w:cs="Times New Roman"/>
          <w:sz w:val="24"/>
          <w:szCs w:val="24"/>
          <w:highlight w:val="white"/>
        </w:rPr>
        <w:t xml:space="preserve">Guo </w:t>
      </w:r>
      <w:r w:rsidRPr="0048128B">
        <w:rPr>
          <w:rFonts w:ascii="Times New Roman" w:eastAsia="Times New Roman" w:hAnsi="Times New Roman" w:cs="Times New Roman"/>
          <w:i/>
          <w:iCs/>
          <w:sz w:val="24"/>
          <w:szCs w:val="24"/>
          <w:highlight w:val="white"/>
        </w:rPr>
        <w:t>et al.</w:t>
      </w:r>
      <w:r w:rsidRPr="0048128B">
        <w:rPr>
          <w:rFonts w:ascii="Times New Roman" w:eastAsia="Times New Roman" w:hAnsi="Times New Roman" w:cs="Times New Roman"/>
          <w:sz w:val="24"/>
          <w:szCs w:val="24"/>
          <w:highlight w:val="white"/>
        </w:rPr>
        <w:t>, 2022</w:t>
      </w:r>
      <w:r w:rsidRPr="0048128B">
        <w:rPr>
          <w:rFonts w:ascii="Times New Roman" w:eastAsia="Times New Roman" w:hAnsi="Times New Roman" w:cs="Times New Roman"/>
          <w:sz w:val="24"/>
          <w:szCs w:val="24"/>
        </w:rPr>
        <w:t xml:space="preserve">). The marketing and sales team of Philips </w:t>
      </w:r>
      <w:r w:rsidR="0048128B" w:rsidRPr="0048128B">
        <w:rPr>
          <w:rFonts w:ascii="Times New Roman" w:eastAsia="Times New Roman" w:hAnsi="Times New Roman" w:cs="Times New Roman"/>
          <w:sz w:val="24"/>
          <w:szCs w:val="24"/>
        </w:rPr>
        <w:t>Company</w:t>
      </w:r>
      <w:r w:rsidRPr="0048128B">
        <w:rPr>
          <w:rFonts w:ascii="Times New Roman" w:eastAsia="Times New Roman" w:hAnsi="Times New Roman" w:cs="Times New Roman"/>
          <w:sz w:val="24"/>
          <w:szCs w:val="24"/>
        </w:rPr>
        <w:t xml:space="preserve"> is responsible for the development of product positioning, online strategy along with advertising and marketing. The quality assurance team is responsible for testing product accuracy, user experience and reliability that includes precision of sensors. The product development team’s role is to collaborate with the engineering and R&amp;D team to develop algorithms that are useful in analysing sleep patterns, data on heart rate and blood and oxygen levels. The project sponsor is the senior executive who is mainly accountable for the overall project’s success by prioritising funding and project’s success. </w:t>
      </w:r>
    </w:p>
    <w:p w14:paraId="32D26FA4" w14:textId="77777777" w:rsidR="00FA6F99" w:rsidRPr="0048128B" w:rsidRDefault="00A871E1" w:rsidP="00433EB4">
      <w:pPr>
        <w:pStyle w:val="Heading2"/>
        <w:spacing w:before="0" w:after="0"/>
      </w:pPr>
      <w:bookmarkStart w:id="8" w:name="_Toc225365692"/>
      <w:r w:rsidRPr="0048128B">
        <w:t>3.2 External stakeholders</w:t>
      </w:r>
      <w:bookmarkEnd w:id="8"/>
      <w:r w:rsidRPr="0048128B">
        <w:t xml:space="preserve"> </w:t>
      </w:r>
    </w:p>
    <w:p w14:paraId="4E11A272"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The external stakeholders are regulatory bodies, consumers, healthcare professionals, suppliers, digital health platform partners and retail and distribution partners. Consumers are considered as the primary users who will be wearing this device by demonstrating accuracy, comfort and overall ease of usage. Health and social care professionals are responsible for influencing consumer trust and using device data for monitoring patient’s overall health and wellbeing. In large organisations, the health and safety department is primarily responsible towards designing the innovative digital work which can be fully implemented (Ambrogio </w:t>
      </w:r>
      <w:r w:rsidRPr="0048128B">
        <w:rPr>
          <w:rFonts w:ascii="Times New Roman" w:eastAsia="Times New Roman" w:hAnsi="Times New Roman" w:cs="Times New Roman"/>
          <w:i/>
          <w:iCs/>
          <w:sz w:val="24"/>
          <w:szCs w:val="24"/>
        </w:rPr>
        <w:t>et al.</w:t>
      </w:r>
      <w:r w:rsidRPr="0048128B">
        <w:rPr>
          <w:rFonts w:ascii="Times New Roman" w:eastAsia="Times New Roman" w:hAnsi="Times New Roman" w:cs="Times New Roman"/>
          <w:sz w:val="24"/>
          <w:szCs w:val="24"/>
        </w:rPr>
        <w:t xml:space="preserve">, 2022). Suppliers and contract manufacturers of the product are focused on providing necessary raw materials required for the product’s successful launch in the target market. Distributors and retailers are e-commerce platforms or physical stores play an important role in selling the wearable device. These retailers can purchase the device from wholesalers and manufacturers and act as a third party to provide the final good to the consumers. Digital health </w:t>
      </w:r>
      <w:r w:rsidRPr="0048128B">
        <w:rPr>
          <w:rFonts w:ascii="Times New Roman" w:eastAsia="Times New Roman" w:hAnsi="Times New Roman" w:cs="Times New Roman"/>
          <w:sz w:val="24"/>
          <w:szCs w:val="24"/>
        </w:rPr>
        <w:lastRenderedPageBreak/>
        <w:t xml:space="preserve">platform partners can focus on providing cloud storage, connectivity and integration of any relevant services such as Google Fit and Apple </w:t>
      </w:r>
      <w:r w:rsidR="0048128B" w:rsidRPr="0048128B">
        <w:rPr>
          <w:rFonts w:ascii="Times New Roman" w:eastAsia="Times New Roman" w:hAnsi="Times New Roman" w:cs="Times New Roman"/>
          <w:sz w:val="24"/>
          <w:szCs w:val="24"/>
        </w:rPr>
        <w:t>Health Kit</w:t>
      </w:r>
      <w:r w:rsidRPr="0048128B">
        <w:rPr>
          <w:rFonts w:ascii="Times New Roman" w:eastAsia="Times New Roman" w:hAnsi="Times New Roman" w:cs="Times New Roman"/>
          <w:sz w:val="24"/>
          <w:szCs w:val="24"/>
        </w:rPr>
        <w:t xml:space="preserve">. </w:t>
      </w:r>
    </w:p>
    <w:p w14:paraId="1591CE47" w14:textId="77777777" w:rsidR="00FA6F99" w:rsidRPr="0048128B" w:rsidRDefault="00A871E1" w:rsidP="00433EB4">
      <w:pPr>
        <w:pStyle w:val="Heading1"/>
        <w:spacing w:before="0" w:after="0"/>
      </w:pPr>
      <w:bookmarkStart w:id="9" w:name="_Toc225365693"/>
      <w:r w:rsidRPr="0048128B">
        <w:t>4. Roles and responsibilities of the key stakeholders including benefits and challenges</w:t>
      </w:r>
      <w:bookmarkEnd w:id="9"/>
      <w:r w:rsidRPr="0048128B">
        <w:t xml:space="preserve"> </w:t>
      </w:r>
    </w:p>
    <w:p w14:paraId="15A32BA0" w14:textId="77777777" w:rsidR="00FA6F99" w:rsidRPr="0048128B" w:rsidRDefault="00A871E1" w:rsidP="00433EB4">
      <w:pPr>
        <w:pStyle w:val="Heading2"/>
        <w:spacing w:before="0" w:after="0"/>
      </w:pPr>
      <w:bookmarkStart w:id="10" w:name="_Toc225365694"/>
      <w:r w:rsidRPr="0048128B">
        <w:t>4.1 Roles and responsibilities</w:t>
      </w:r>
      <w:bookmarkEnd w:id="10"/>
      <w:r w:rsidRPr="0048128B">
        <w:t xml:space="preserve"> </w:t>
      </w:r>
    </w:p>
    <w:p w14:paraId="2FCD4496" w14:textId="1F3443B2"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The project sponsor has responsibility in high level strategic direction and business goals and approval of the final product to manage high-level risk. The project manager can define the scope of the project which also includes deliverables and facilitation of communication across numerous cross-cultural teams. </w:t>
      </w:r>
      <w:proofErr w:type="gramStart"/>
      <w:r w:rsidRPr="0048128B">
        <w:rPr>
          <w:rFonts w:ascii="Times New Roman" w:eastAsia="Times New Roman" w:hAnsi="Times New Roman" w:cs="Times New Roman"/>
          <w:sz w:val="24"/>
          <w:szCs w:val="24"/>
        </w:rPr>
        <w:t>In order to</w:t>
      </w:r>
      <w:proofErr w:type="gramEnd"/>
      <w:r w:rsidRPr="0048128B">
        <w:rPr>
          <w:rFonts w:ascii="Times New Roman" w:eastAsia="Times New Roman" w:hAnsi="Times New Roman" w:cs="Times New Roman"/>
          <w:sz w:val="24"/>
          <w:szCs w:val="24"/>
        </w:rPr>
        <w:t xml:space="preserve"> assess maturity </w:t>
      </w:r>
      <w:proofErr w:type="gramStart"/>
      <w:r w:rsidRPr="0048128B">
        <w:rPr>
          <w:rFonts w:ascii="Times New Roman" w:eastAsia="Times New Roman" w:hAnsi="Times New Roman" w:cs="Times New Roman"/>
          <w:sz w:val="24"/>
          <w:szCs w:val="24"/>
        </w:rPr>
        <w:t>in the area of</w:t>
      </w:r>
      <w:proofErr w:type="gramEnd"/>
      <w:r w:rsidRPr="0048128B">
        <w:rPr>
          <w:rFonts w:ascii="Times New Roman" w:eastAsia="Times New Roman" w:hAnsi="Times New Roman" w:cs="Times New Roman"/>
          <w:sz w:val="24"/>
          <w:szCs w:val="24"/>
        </w:rPr>
        <w:t xml:space="preserve"> management, it is primarily based on the assumptions of changes within the organisation (</w:t>
      </w:r>
      <w:proofErr w:type="spellStart"/>
      <w:r w:rsidRPr="0048128B">
        <w:rPr>
          <w:rFonts w:ascii="Times New Roman" w:eastAsia="Times New Roman" w:hAnsi="Times New Roman" w:cs="Times New Roman"/>
          <w:sz w:val="24"/>
          <w:szCs w:val="24"/>
          <w:highlight w:val="white"/>
        </w:rPr>
        <w:t>Bąk</w:t>
      </w:r>
      <w:proofErr w:type="spellEnd"/>
      <w:r w:rsidRPr="0048128B">
        <w:rPr>
          <w:rFonts w:ascii="Times New Roman" w:eastAsia="Times New Roman" w:hAnsi="Times New Roman" w:cs="Times New Roman"/>
          <w:sz w:val="24"/>
          <w:szCs w:val="24"/>
          <w:highlight w:val="white"/>
        </w:rPr>
        <w:t xml:space="preserve"> and Jedynak, 2023, p.4</w:t>
      </w:r>
      <w:r w:rsidRPr="0048128B">
        <w:rPr>
          <w:rFonts w:ascii="Times New Roman" w:eastAsia="Times New Roman" w:hAnsi="Times New Roman" w:cs="Times New Roman"/>
          <w:sz w:val="24"/>
          <w:szCs w:val="24"/>
        </w:rPr>
        <w:t>). The role of suppliers and contract manufacturers is to provide raw materials and uphold the responsibility of quality, third party certification of materials to be provided and maintenance of strict controls over raw materials. UI designers are mainly experts in interface design and enhancing user experience whose responsibilities range from creation of</w:t>
      </w:r>
      <w:r w:rsidR="00FD1D08">
        <w:rPr>
          <w:rFonts w:ascii="Times New Roman" w:eastAsia="Times New Roman" w:hAnsi="Times New Roman" w:cs="Times New Roman"/>
          <w:sz w:val="24"/>
          <w:szCs w:val="24"/>
        </w:rPr>
        <w:t xml:space="preserve"> </w:t>
      </w:r>
      <w:r w:rsidRPr="0048128B">
        <w:rPr>
          <w:rFonts w:ascii="Times New Roman" w:eastAsia="Times New Roman" w:hAnsi="Times New Roman" w:cs="Times New Roman"/>
          <w:sz w:val="24"/>
          <w:szCs w:val="24"/>
        </w:rPr>
        <w:t>intuitive interfaces to ensuring accessibility on the user-</w:t>
      </w:r>
      <w:r w:rsidR="0048128B" w:rsidRPr="0048128B">
        <w:rPr>
          <w:rFonts w:ascii="Times New Roman" w:eastAsia="Times New Roman" w:hAnsi="Times New Roman" w:cs="Times New Roman"/>
          <w:sz w:val="24"/>
          <w:szCs w:val="24"/>
        </w:rPr>
        <w:t>centred</w:t>
      </w:r>
      <w:r w:rsidRPr="0048128B">
        <w:rPr>
          <w:rFonts w:ascii="Times New Roman" w:eastAsia="Times New Roman" w:hAnsi="Times New Roman" w:cs="Times New Roman"/>
          <w:sz w:val="24"/>
          <w:szCs w:val="24"/>
        </w:rPr>
        <w:t xml:space="preserve"> design. </w:t>
      </w:r>
    </w:p>
    <w:p w14:paraId="70CCEF74"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Product development and marketing and sales team bridges the gap between concept and design and mainly prioritises on launching the product to drive revenue. Supply chain and distribution’s roles and responsibilities focus on providing high quality components and sensors to enhance data collection processes. Retail and logistics </w:t>
      </w:r>
      <w:proofErr w:type="gramStart"/>
      <w:r w:rsidRPr="0048128B">
        <w:rPr>
          <w:rFonts w:ascii="Times New Roman" w:eastAsia="Times New Roman" w:hAnsi="Times New Roman" w:cs="Times New Roman"/>
          <w:sz w:val="24"/>
          <w:szCs w:val="24"/>
        </w:rPr>
        <w:t>is</w:t>
      </w:r>
      <w:proofErr w:type="gramEnd"/>
      <w:r w:rsidRPr="0048128B">
        <w:rPr>
          <w:rFonts w:ascii="Times New Roman" w:eastAsia="Times New Roman" w:hAnsi="Times New Roman" w:cs="Times New Roman"/>
          <w:sz w:val="24"/>
          <w:szCs w:val="24"/>
        </w:rPr>
        <w:t xml:space="preserve"> able to manage retail channels, maintaining a streamlined procedure in logistics to ensure that final delivery to the end consumer is hassle-free. IoT technology provides a promising avenue for retail businesses for enhancing logistics operations and gaining an overall competitive advantage (</w:t>
      </w:r>
      <w:proofErr w:type="spellStart"/>
      <w:r w:rsidRPr="0048128B">
        <w:rPr>
          <w:rFonts w:ascii="Times New Roman" w:eastAsia="Times New Roman" w:hAnsi="Times New Roman" w:cs="Times New Roman"/>
          <w:sz w:val="24"/>
          <w:szCs w:val="24"/>
        </w:rPr>
        <w:t>Mashat</w:t>
      </w:r>
      <w:proofErr w:type="spellEnd"/>
      <w:r w:rsidRPr="0048128B">
        <w:rPr>
          <w:rFonts w:ascii="Times New Roman" w:eastAsia="Times New Roman" w:hAnsi="Times New Roman" w:cs="Times New Roman"/>
          <w:sz w:val="24"/>
          <w:szCs w:val="24"/>
        </w:rPr>
        <w:t xml:space="preserve"> </w:t>
      </w:r>
      <w:r w:rsidRPr="0048128B">
        <w:rPr>
          <w:rFonts w:ascii="Times New Roman" w:eastAsia="Times New Roman" w:hAnsi="Times New Roman" w:cs="Times New Roman"/>
          <w:i/>
          <w:iCs/>
          <w:sz w:val="24"/>
          <w:szCs w:val="24"/>
        </w:rPr>
        <w:t>et al.</w:t>
      </w:r>
      <w:r w:rsidRPr="0048128B">
        <w:rPr>
          <w:rFonts w:ascii="Times New Roman" w:eastAsia="Times New Roman" w:hAnsi="Times New Roman" w:cs="Times New Roman"/>
          <w:sz w:val="24"/>
          <w:szCs w:val="24"/>
        </w:rPr>
        <w:t xml:space="preserve">, 2024). Healthcare professionals have a prime responsibility within Philips for validation of clinical accuracy of sensors and providing input on ways through which data can be actionable for users. </w:t>
      </w:r>
    </w:p>
    <w:p w14:paraId="010B217E" w14:textId="77777777" w:rsidR="00FA6F99" w:rsidRPr="0048128B" w:rsidRDefault="00A871E1" w:rsidP="00433EB4">
      <w:pPr>
        <w:pStyle w:val="Heading2"/>
        <w:spacing w:before="0" w:after="0"/>
      </w:pPr>
      <w:bookmarkStart w:id="11" w:name="_Toc225365695"/>
      <w:r w:rsidRPr="0048128B">
        <w:t>4.2 Benefits and Challenges</w:t>
      </w:r>
      <w:bookmarkEnd w:id="11"/>
      <w:r w:rsidRPr="0048128B">
        <w:t xml:space="preserve"> </w:t>
      </w:r>
    </w:p>
    <w:p w14:paraId="23108510" w14:textId="4DC560F1"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Benefits faced by the project manager include gathering opportunities that can also result in innovative aspects within a market that prioritises high growth for setting industry standards. The project sponsor can also gain the benefits of booming the global wearable market through achievement of higher ROI and strengthening brand reputation through innovative aspects. Wearable technology which includes smartwatches is an industry with a net worth of several billions by having a sharp focus towards health monitoring (BBC, 2024). The R&amp;D and product development team can focus on advancing towards bio-sensor technology and data analytics that can be useful for implementing newer AI oriented features. Suppliers also play a beneficial role in providing consistent and </w:t>
      </w:r>
      <w:r w:rsidR="009F2CE2" w:rsidRPr="0048128B">
        <w:rPr>
          <w:rFonts w:ascii="Times New Roman" w:eastAsia="Times New Roman" w:hAnsi="Times New Roman" w:cs="Times New Roman"/>
          <w:sz w:val="24"/>
          <w:szCs w:val="24"/>
        </w:rPr>
        <w:t>high-volume</w:t>
      </w:r>
      <w:r w:rsidRPr="0048128B">
        <w:rPr>
          <w:rFonts w:ascii="Times New Roman" w:eastAsia="Times New Roman" w:hAnsi="Times New Roman" w:cs="Times New Roman"/>
          <w:sz w:val="24"/>
          <w:szCs w:val="24"/>
        </w:rPr>
        <w:t xml:space="preserve"> orders for the products and creation of long-term </w:t>
      </w:r>
      <w:r w:rsidRPr="0048128B">
        <w:rPr>
          <w:rFonts w:ascii="Times New Roman" w:eastAsia="Times New Roman" w:hAnsi="Times New Roman" w:cs="Times New Roman"/>
          <w:sz w:val="24"/>
          <w:szCs w:val="24"/>
        </w:rPr>
        <w:lastRenderedPageBreak/>
        <w:t xml:space="preserve">partnerships with Philips. However, both project sponsor and project manager can face challenges such as creation of balance for rapid cycles of development and management of higher capital expenditures for R&amp;D processes. Similarly, R&amp;D and engineering teams can also be vulnerable towards medical grade accuracy as a part of a small form factor which can be useful in managing limited capacity of batteries. </w:t>
      </w:r>
    </w:p>
    <w:p w14:paraId="4BCD89AF" w14:textId="77777777" w:rsidR="00FA6F99" w:rsidRPr="0048128B" w:rsidRDefault="00A871E1" w:rsidP="00433EB4">
      <w:pPr>
        <w:pStyle w:val="Heading1"/>
        <w:spacing w:before="0" w:after="0"/>
      </w:pPr>
      <w:bookmarkStart w:id="12" w:name="_Toc225365696"/>
      <w:r w:rsidRPr="0048128B">
        <w:t>5. Frameworks, models and theories to engage with stakeholders</w:t>
      </w:r>
      <w:bookmarkEnd w:id="12"/>
      <w:r w:rsidRPr="0048128B">
        <w:t xml:space="preserve"> </w:t>
      </w:r>
    </w:p>
    <w:p w14:paraId="2727DFDF" w14:textId="77777777" w:rsidR="00FA6F99" w:rsidRPr="0048128B" w:rsidRDefault="00A871E1" w:rsidP="00433EB4">
      <w:pPr>
        <w:pStyle w:val="Heading2"/>
        <w:spacing w:before="0" w:after="0"/>
      </w:pPr>
      <w:bookmarkStart w:id="13" w:name="_Toc225365697"/>
      <w:r w:rsidRPr="0048128B">
        <w:t>5.1 Stakeholder matrix</w:t>
      </w:r>
      <w:bookmarkEnd w:id="13"/>
    </w:p>
    <w:p w14:paraId="3FC42F59"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noProof/>
          <w:sz w:val="24"/>
          <w:szCs w:val="24"/>
          <w:lang w:val="en-US"/>
        </w:rPr>
        <mc:AlternateContent>
          <mc:Choice Requires="wpg">
            <w:drawing>
              <wp:inline distT="114300" distB="114300" distL="114300" distR="114300" wp14:anchorId="4B9892BF" wp14:editId="3742772A">
                <wp:extent cx="5643563" cy="4256425"/>
                <wp:effectExtent l="0" t="0" r="0" b="0"/>
                <wp:docPr id="1" name="Group 1"/>
                <wp:cNvGraphicFramePr/>
                <a:graphic xmlns:a="http://schemas.openxmlformats.org/drawingml/2006/main">
                  <a:graphicData uri="http://schemas.microsoft.com/office/word/2010/wordprocessingGroup">
                    <wpg:wgp>
                      <wpg:cNvGrpSpPr/>
                      <wpg:grpSpPr>
                        <a:xfrm>
                          <a:off x="0" y="0"/>
                          <a:ext cx="5643563" cy="4256425"/>
                          <a:chOff x="2524200" y="1653850"/>
                          <a:chExt cx="5643600" cy="4252300"/>
                        </a:xfrm>
                      </wpg:grpSpPr>
                      <wpg:grpSp>
                        <wpg:cNvPr id="2" name="Group 2"/>
                        <wpg:cNvGrpSpPr/>
                        <wpg:grpSpPr>
                          <a:xfrm>
                            <a:off x="2524219" y="1653866"/>
                            <a:ext cx="5643563" cy="4252268"/>
                            <a:chOff x="2524200" y="1653850"/>
                            <a:chExt cx="5643600" cy="4252300"/>
                          </a:xfrm>
                        </wpg:grpSpPr>
                        <wps:wsp>
                          <wps:cNvPr id="3" name="Rectangle 3"/>
                          <wps:cNvSpPr/>
                          <wps:spPr>
                            <a:xfrm>
                              <a:off x="2524200" y="1653850"/>
                              <a:ext cx="5643600" cy="4252300"/>
                            </a:xfrm>
                            <a:prstGeom prst="rect">
                              <a:avLst/>
                            </a:prstGeom>
                            <a:noFill/>
                            <a:ln>
                              <a:noFill/>
                            </a:ln>
                          </wps:spPr>
                          <wps:txbx>
                            <w:txbxContent>
                              <w:p w14:paraId="05E242AE" w14:textId="77777777" w:rsidR="00FA6F99" w:rsidRDefault="00FA6F99">
                                <w:pPr>
                                  <w:spacing w:line="240" w:lineRule="auto"/>
                                  <w:textDirection w:val="btLr"/>
                                </w:pPr>
                              </w:p>
                            </w:txbxContent>
                          </wps:txbx>
                          <wps:bodyPr spcFirstLastPara="1" wrap="square" lIns="91425" tIns="91425" rIns="91425" bIns="91425" anchor="ctr" anchorCtr="0">
                            <a:noAutofit/>
                          </wps:bodyPr>
                        </wps:wsp>
                        <wpg:grpSp>
                          <wpg:cNvPr id="4" name="Group 4"/>
                          <wpg:cNvGrpSpPr/>
                          <wpg:grpSpPr>
                            <a:xfrm>
                              <a:off x="2524219" y="1653866"/>
                              <a:ext cx="5643563" cy="4252268"/>
                              <a:chOff x="415475" y="359325"/>
                              <a:chExt cx="5471675" cy="4121975"/>
                            </a:xfrm>
                          </wpg:grpSpPr>
                          <wps:wsp>
                            <wps:cNvPr id="5" name="Rectangle 5"/>
                            <wps:cNvSpPr/>
                            <wps:spPr>
                              <a:xfrm>
                                <a:off x="415475" y="359325"/>
                                <a:ext cx="5471675" cy="4121975"/>
                              </a:xfrm>
                              <a:prstGeom prst="rect">
                                <a:avLst/>
                              </a:prstGeom>
                              <a:noFill/>
                              <a:ln>
                                <a:noFill/>
                              </a:ln>
                            </wps:spPr>
                            <wps:txbx>
                              <w:txbxContent>
                                <w:p w14:paraId="207CB790" w14:textId="77777777" w:rsidR="00FA6F99" w:rsidRDefault="00FA6F99">
                                  <w:pPr>
                                    <w:spacing w:line="240" w:lineRule="auto"/>
                                    <w:textDirection w:val="btLr"/>
                                  </w:pPr>
                                </w:p>
                              </w:txbxContent>
                            </wps:txbx>
                            <wps:bodyPr spcFirstLastPara="1" wrap="square" lIns="91425" tIns="91425" rIns="91425" bIns="91425" anchor="ctr" anchorCtr="0">
                              <a:noAutofit/>
                            </wps:bodyPr>
                          </wps:wsp>
                          <wps:wsp>
                            <wps:cNvPr id="6" name="Straight Arrow Connector 6"/>
                            <wps:cNvCnPr/>
                            <wps:spPr>
                              <a:xfrm rot="10800000">
                                <a:off x="1119700" y="359325"/>
                                <a:ext cx="10200" cy="3599400"/>
                              </a:xfrm>
                              <a:prstGeom prst="straightConnector1">
                                <a:avLst/>
                              </a:prstGeom>
                              <a:noFill/>
                              <a:ln w="9525" cap="flat" cmpd="sng">
                                <a:solidFill>
                                  <a:srgbClr val="000000"/>
                                </a:solidFill>
                                <a:prstDash val="solid"/>
                                <a:round/>
                                <a:headEnd type="none" w="sm" len="sm"/>
                                <a:tailEnd type="triangle" w="med" len="med"/>
                              </a:ln>
                            </wps:spPr>
                            <wps:bodyPr/>
                          </wps:wsp>
                          <wps:wsp>
                            <wps:cNvPr id="7" name="Straight Arrow Connector 7"/>
                            <wps:cNvCnPr/>
                            <wps:spPr>
                              <a:xfrm rot="10800000" flipH="1">
                                <a:off x="1029850" y="3784725"/>
                                <a:ext cx="4857300" cy="51000"/>
                              </a:xfrm>
                              <a:prstGeom prst="straightConnector1">
                                <a:avLst/>
                              </a:prstGeom>
                              <a:noFill/>
                              <a:ln w="9525" cap="flat" cmpd="sng">
                                <a:solidFill>
                                  <a:srgbClr val="000000"/>
                                </a:solidFill>
                                <a:prstDash val="solid"/>
                                <a:round/>
                                <a:headEnd type="none" w="sm" len="sm"/>
                                <a:tailEnd type="triangle" w="med" len="med"/>
                              </a:ln>
                            </wps:spPr>
                            <wps:bodyPr/>
                          </wps:wsp>
                          <wps:wsp>
                            <wps:cNvPr id="8" name="Rectangle 8"/>
                            <wps:cNvSpPr/>
                            <wps:spPr>
                              <a:xfrm>
                                <a:off x="420250" y="440825"/>
                                <a:ext cx="570600" cy="920700"/>
                              </a:xfrm>
                              <a:prstGeom prst="rect">
                                <a:avLst/>
                              </a:prstGeom>
                              <a:solidFill>
                                <a:srgbClr val="FFF2CC"/>
                              </a:solidFill>
                              <a:ln w="9525" cap="flat" cmpd="sng">
                                <a:solidFill>
                                  <a:srgbClr val="000000"/>
                                </a:solidFill>
                                <a:prstDash val="solid"/>
                                <a:round/>
                                <a:headEnd type="none" w="sm" len="sm"/>
                                <a:tailEnd type="none" w="sm" len="sm"/>
                              </a:ln>
                            </wps:spPr>
                            <wps:txbx>
                              <w:txbxContent>
                                <w:p w14:paraId="2AC815B6"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High</w:t>
                                  </w:r>
                                </w:p>
                              </w:txbxContent>
                            </wps:txbx>
                            <wps:bodyPr spcFirstLastPara="1" wrap="square" lIns="91425" tIns="91425" rIns="91425" bIns="91425" anchor="ctr" anchorCtr="0">
                              <a:noAutofit/>
                            </wps:bodyPr>
                          </wps:wsp>
                          <wps:wsp>
                            <wps:cNvPr id="9" name="Rectangle 9"/>
                            <wps:cNvSpPr/>
                            <wps:spPr>
                              <a:xfrm>
                                <a:off x="420250" y="1514775"/>
                                <a:ext cx="570600" cy="1288500"/>
                              </a:xfrm>
                              <a:prstGeom prst="rect">
                                <a:avLst/>
                              </a:prstGeom>
                              <a:solidFill>
                                <a:srgbClr val="D0E0E3"/>
                              </a:solidFill>
                              <a:ln w="9525" cap="flat" cmpd="sng">
                                <a:solidFill>
                                  <a:srgbClr val="000000"/>
                                </a:solidFill>
                                <a:prstDash val="solid"/>
                                <a:round/>
                                <a:headEnd type="none" w="sm" len="sm"/>
                                <a:tailEnd type="none" w="sm" len="sm"/>
                              </a:ln>
                            </wps:spPr>
                            <wps:txbx>
                              <w:txbxContent>
                                <w:p w14:paraId="662951FC"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Power</w:t>
                                  </w:r>
                                </w:p>
                              </w:txbxContent>
                            </wps:txbx>
                            <wps:bodyPr spcFirstLastPara="1" wrap="square" lIns="91425" tIns="91425" rIns="91425" bIns="91425" anchor="ctr" anchorCtr="0">
                              <a:noAutofit/>
                            </wps:bodyPr>
                          </wps:wsp>
                          <wps:wsp>
                            <wps:cNvPr id="10" name="Rectangle 10"/>
                            <wps:cNvSpPr/>
                            <wps:spPr>
                              <a:xfrm>
                                <a:off x="420250" y="2881950"/>
                                <a:ext cx="570600" cy="828000"/>
                              </a:xfrm>
                              <a:prstGeom prst="rect">
                                <a:avLst/>
                              </a:prstGeom>
                              <a:solidFill>
                                <a:srgbClr val="FFF2CC"/>
                              </a:solidFill>
                              <a:ln w="9525" cap="flat" cmpd="sng">
                                <a:solidFill>
                                  <a:srgbClr val="000000"/>
                                </a:solidFill>
                                <a:prstDash val="solid"/>
                                <a:round/>
                                <a:headEnd type="none" w="sm" len="sm"/>
                                <a:tailEnd type="none" w="sm" len="sm"/>
                              </a:ln>
                            </wps:spPr>
                            <wps:txbx>
                              <w:txbxContent>
                                <w:p w14:paraId="2A31D9CA"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Low</w:t>
                                  </w:r>
                                </w:p>
                              </w:txbxContent>
                            </wps:txbx>
                            <wps:bodyPr spcFirstLastPara="1" wrap="square" lIns="91425" tIns="91425" rIns="91425" bIns="91425" anchor="ctr" anchorCtr="0">
                              <a:noAutofit/>
                            </wps:bodyPr>
                          </wps:wsp>
                          <wps:wsp>
                            <wps:cNvPr id="11" name="Rectangle 11"/>
                            <wps:cNvSpPr/>
                            <wps:spPr>
                              <a:xfrm>
                                <a:off x="1258750" y="3958725"/>
                                <a:ext cx="1247400" cy="517800"/>
                              </a:xfrm>
                              <a:prstGeom prst="rect">
                                <a:avLst/>
                              </a:prstGeom>
                              <a:solidFill>
                                <a:srgbClr val="F4CCCC"/>
                              </a:solidFill>
                              <a:ln w="9525" cap="flat" cmpd="sng">
                                <a:solidFill>
                                  <a:srgbClr val="000000"/>
                                </a:solidFill>
                                <a:prstDash val="solid"/>
                                <a:round/>
                                <a:headEnd type="none" w="sm" len="sm"/>
                                <a:tailEnd type="none" w="sm" len="sm"/>
                              </a:ln>
                            </wps:spPr>
                            <wps:txbx>
                              <w:txbxContent>
                                <w:p w14:paraId="3156B28F"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Low</w:t>
                                  </w:r>
                                </w:p>
                              </w:txbxContent>
                            </wps:txbx>
                            <wps:bodyPr spcFirstLastPara="1" wrap="square" lIns="91425" tIns="91425" rIns="91425" bIns="91425" anchor="ctr" anchorCtr="0">
                              <a:noAutofit/>
                            </wps:bodyPr>
                          </wps:wsp>
                          <wps:wsp>
                            <wps:cNvPr id="12" name="Rectangle 12"/>
                            <wps:cNvSpPr/>
                            <wps:spPr>
                              <a:xfrm>
                                <a:off x="2823275" y="3958725"/>
                                <a:ext cx="1380300" cy="5178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17BBFA0B"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Interest</w:t>
                                  </w:r>
                                </w:p>
                              </w:txbxContent>
                            </wps:txbx>
                            <wps:bodyPr spcFirstLastPara="1" wrap="square" lIns="91425" tIns="91425" rIns="91425" bIns="91425" anchor="ctr" anchorCtr="0">
                              <a:noAutofit/>
                            </wps:bodyPr>
                          </wps:wsp>
                          <wps:wsp>
                            <wps:cNvPr id="13" name="Rectangle 13"/>
                            <wps:cNvSpPr/>
                            <wps:spPr>
                              <a:xfrm>
                                <a:off x="4463625" y="3958725"/>
                                <a:ext cx="1380300" cy="517800"/>
                              </a:xfrm>
                              <a:prstGeom prst="rect">
                                <a:avLst/>
                              </a:prstGeom>
                              <a:solidFill>
                                <a:srgbClr val="EAD1DC"/>
                              </a:solidFill>
                              <a:ln w="9525" cap="flat" cmpd="sng">
                                <a:solidFill>
                                  <a:srgbClr val="000000"/>
                                </a:solidFill>
                                <a:prstDash val="solid"/>
                                <a:round/>
                                <a:headEnd type="none" w="sm" len="sm"/>
                                <a:tailEnd type="none" w="sm" len="sm"/>
                              </a:ln>
                            </wps:spPr>
                            <wps:txbx>
                              <w:txbxContent>
                                <w:p w14:paraId="02248214"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High</w:t>
                                  </w:r>
                                </w:p>
                              </w:txbxContent>
                            </wps:txbx>
                            <wps:bodyPr spcFirstLastPara="1" wrap="square" lIns="91425" tIns="91425" rIns="91425" bIns="91425" anchor="ctr" anchorCtr="0">
                              <a:noAutofit/>
                            </wps:bodyPr>
                          </wps:wsp>
                          <wps:wsp>
                            <wps:cNvPr id="14" name="Rectangle 14"/>
                            <wps:cNvSpPr/>
                            <wps:spPr>
                              <a:xfrm>
                                <a:off x="3303850" y="2076825"/>
                                <a:ext cx="2045100" cy="1584900"/>
                              </a:xfrm>
                              <a:prstGeom prst="rect">
                                <a:avLst/>
                              </a:prstGeom>
                              <a:solidFill>
                                <a:srgbClr val="EAD1DC"/>
                              </a:solidFill>
                              <a:ln w="9525" cap="flat" cmpd="sng">
                                <a:solidFill>
                                  <a:srgbClr val="000000"/>
                                </a:solidFill>
                                <a:prstDash val="solid"/>
                                <a:round/>
                                <a:headEnd type="none" w="sm" len="sm"/>
                                <a:tailEnd type="none" w="sm" len="sm"/>
                              </a:ln>
                            </wps:spPr>
                            <wps:txbx>
                              <w:txbxContent>
                                <w:p w14:paraId="664BB6EB"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Keep Informed</w:t>
                                  </w:r>
                                </w:p>
                                <w:p w14:paraId="01B541B9" w14:textId="77777777" w:rsidR="00FA6F99" w:rsidRDefault="00A871E1">
                                  <w:pPr>
                                    <w:spacing w:line="240" w:lineRule="auto"/>
                                    <w:jc w:val="center"/>
                                    <w:textDirection w:val="btLr"/>
                                  </w:pPr>
                                  <w:r>
                                    <w:rPr>
                                      <w:rFonts w:ascii="Times New Roman" w:eastAsia="Times New Roman" w:hAnsi="Times New Roman" w:cs="Times New Roman"/>
                                      <w:color w:val="000000"/>
                                      <w:sz w:val="24"/>
                                    </w:rPr>
                                    <w:t>Consumers</w:t>
                                  </w:r>
                                </w:p>
                                <w:p w14:paraId="21A6FC59" w14:textId="77777777" w:rsidR="00FA6F99" w:rsidRDefault="00FA6F99">
                                  <w:pPr>
                                    <w:spacing w:line="240" w:lineRule="auto"/>
                                    <w:jc w:val="center"/>
                                    <w:textDirection w:val="btLr"/>
                                  </w:pPr>
                                </w:p>
                                <w:p w14:paraId="1E2BA745" w14:textId="77777777" w:rsidR="00FA6F99" w:rsidRDefault="00FA6F99">
                                  <w:pPr>
                                    <w:spacing w:line="240" w:lineRule="auto"/>
                                    <w:jc w:val="center"/>
                                    <w:textDirection w:val="btLr"/>
                                  </w:pPr>
                                </w:p>
                              </w:txbxContent>
                            </wps:txbx>
                            <wps:bodyPr spcFirstLastPara="1" wrap="square" lIns="91425" tIns="91425" rIns="91425" bIns="91425" anchor="ctr" anchorCtr="0">
                              <a:noAutofit/>
                            </wps:bodyPr>
                          </wps:wsp>
                          <wps:wsp>
                            <wps:cNvPr id="15" name="Rectangle 15"/>
                            <wps:cNvSpPr/>
                            <wps:spPr>
                              <a:xfrm>
                                <a:off x="1258750" y="491925"/>
                                <a:ext cx="2045100" cy="15849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65A0D838" w14:textId="77777777" w:rsidR="00FA6F99" w:rsidRDefault="00FA6F99">
                                  <w:pPr>
                                    <w:spacing w:line="240" w:lineRule="auto"/>
                                    <w:textDirection w:val="btLr"/>
                                  </w:pPr>
                                </w:p>
                                <w:p w14:paraId="6693DC52"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Keep Satisfied</w:t>
                                  </w:r>
                                </w:p>
                                <w:p w14:paraId="517818EB" w14:textId="77777777" w:rsidR="00FA6F99" w:rsidRDefault="00A871E1">
                                  <w:pPr>
                                    <w:spacing w:line="240" w:lineRule="auto"/>
                                    <w:jc w:val="center"/>
                                    <w:textDirection w:val="btLr"/>
                                  </w:pPr>
                                  <w:r>
                                    <w:rPr>
                                      <w:rFonts w:ascii="Times New Roman" w:eastAsia="Times New Roman" w:hAnsi="Times New Roman" w:cs="Times New Roman"/>
                                      <w:color w:val="000000"/>
                                      <w:sz w:val="24"/>
                                    </w:rPr>
                                    <w:t>Retailers and Distributors</w:t>
                                  </w:r>
                                </w:p>
                                <w:p w14:paraId="0760D521" w14:textId="77777777" w:rsidR="00FA6F99" w:rsidRDefault="00A871E1">
                                  <w:pPr>
                                    <w:spacing w:line="240" w:lineRule="auto"/>
                                    <w:jc w:val="center"/>
                                    <w:textDirection w:val="btLr"/>
                                  </w:pPr>
                                  <w:r>
                                    <w:rPr>
                                      <w:rFonts w:ascii="Times New Roman" w:eastAsia="Times New Roman" w:hAnsi="Times New Roman" w:cs="Times New Roman"/>
                                      <w:color w:val="000000"/>
                                      <w:sz w:val="24"/>
                                    </w:rPr>
                                    <w:t>Platform Partners</w:t>
                                  </w:r>
                                  <w:r>
                                    <w:rPr>
                                      <w:rFonts w:ascii="Times New Roman" w:eastAsia="Times New Roman" w:hAnsi="Times New Roman" w:cs="Times New Roman"/>
                                      <w:b/>
                                      <w:color w:val="000000"/>
                                      <w:sz w:val="24"/>
                                    </w:rPr>
                                    <w:t xml:space="preserve"> </w:t>
                                  </w:r>
                                </w:p>
                              </w:txbxContent>
                            </wps:txbx>
                            <wps:bodyPr spcFirstLastPara="1" wrap="square" lIns="91425" tIns="91425" rIns="91425" bIns="91425" anchor="ctr" anchorCtr="0">
                              <a:noAutofit/>
                            </wps:bodyPr>
                          </wps:wsp>
                          <wps:wsp>
                            <wps:cNvPr id="16" name="Rectangle 16"/>
                            <wps:cNvSpPr/>
                            <wps:spPr>
                              <a:xfrm>
                                <a:off x="3303850" y="491925"/>
                                <a:ext cx="2045100" cy="1584900"/>
                              </a:xfrm>
                              <a:prstGeom prst="rect">
                                <a:avLst/>
                              </a:prstGeom>
                              <a:solidFill>
                                <a:srgbClr val="FCE5CD"/>
                              </a:solidFill>
                              <a:ln w="9525" cap="flat" cmpd="sng">
                                <a:solidFill>
                                  <a:srgbClr val="000000"/>
                                </a:solidFill>
                                <a:prstDash val="solid"/>
                                <a:round/>
                                <a:headEnd type="none" w="sm" len="sm"/>
                                <a:tailEnd type="none" w="sm" len="sm"/>
                              </a:ln>
                            </wps:spPr>
                            <wps:txbx>
                              <w:txbxContent>
                                <w:p w14:paraId="40652AE3"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Manage Closely</w:t>
                                  </w:r>
                                </w:p>
                                <w:p w14:paraId="042B29E6" w14:textId="77777777" w:rsidR="00FA6F99" w:rsidRDefault="00A871E1">
                                  <w:pPr>
                                    <w:spacing w:line="240" w:lineRule="auto"/>
                                    <w:jc w:val="center"/>
                                    <w:textDirection w:val="btLr"/>
                                  </w:pPr>
                                  <w:r>
                                    <w:rPr>
                                      <w:rFonts w:ascii="Times New Roman" w:eastAsia="Times New Roman" w:hAnsi="Times New Roman" w:cs="Times New Roman"/>
                                      <w:color w:val="000000"/>
                                      <w:sz w:val="24"/>
                                    </w:rPr>
                                    <w:t>Project Sponsor</w:t>
                                  </w:r>
                                </w:p>
                                <w:p w14:paraId="06F31175" w14:textId="77777777" w:rsidR="00FA6F99" w:rsidRDefault="00A871E1">
                                  <w:pPr>
                                    <w:spacing w:line="240" w:lineRule="auto"/>
                                    <w:jc w:val="center"/>
                                    <w:textDirection w:val="btLr"/>
                                  </w:pPr>
                                  <w:r>
                                    <w:rPr>
                                      <w:rFonts w:ascii="Times New Roman" w:eastAsia="Times New Roman" w:hAnsi="Times New Roman" w:cs="Times New Roman"/>
                                      <w:color w:val="000000"/>
                                      <w:sz w:val="24"/>
                                    </w:rPr>
                                    <w:t>Regulatory Bodies</w:t>
                                  </w:r>
                                </w:p>
                                <w:p w14:paraId="35F1721F" w14:textId="77777777" w:rsidR="00FA6F99" w:rsidRDefault="00A871E1">
                                  <w:pPr>
                                    <w:spacing w:line="240" w:lineRule="auto"/>
                                    <w:jc w:val="center"/>
                                    <w:textDirection w:val="btLr"/>
                                  </w:pPr>
                                  <w:r>
                                    <w:rPr>
                                      <w:rFonts w:ascii="Times New Roman" w:eastAsia="Times New Roman" w:hAnsi="Times New Roman" w:cs="Times New Roman"/>
                                      <w:color w:val="000000"/>
                                      <w:sz w:val="24"/>
                                    </w:rPr>
                                    <w:t>R&amp;D and product development teams</w:t>
                                  </w:r>
                                </w:p>
                                <w:p w14:paraId="0AB3E715" w14:textId="77777777" w:rsidR="00FA6F99" w:rsidRDefault="00A871E1">
                                  <w:pPr>
                                    <w:spacing w:line="240" w:lineRule="auto"/>
                                    <w:jc w:val="center"/>
                                    <w:textDirection w:val="btLr"/>
                                  </w:pPr>
                                  <w:r>
                                    <w:rPr>
                                      <w:rFonts w:ascii="Times New Roman" w:eastAsia="Times New Roman" w:hAnsi="Times New Roman" w:cs="Times New Roman"/>
                                      <w:color w:val="000000"/>
                                      <w:sz w:val="24"/>
                                    </w:rPr>
                                    <w:t>Project Manager</w:t>
                                  </w:r>
                                </w:p>
                                <w:p w14:paraId="32B4BF9C" w14:textId="77777777" w:rsidR="00FA6F99" w:rsidRDefault="00FA6F99">
                                  <w:pPr>
                                    <w:spacing w:line="240" w:lineRule="auto"/>
                                    <w:jc w:val="center"/>
                                    <w:textDirection w:val="btLr"/>
                                  </w:pPr>
                                </w:p>
                              </w:txbxContent>
                            </wps:txbx>
                            <wps:bodyPr spcFirstLastPara="1" wrap="square" lIns="91425" tIns="91425" rIns="91425" bIns="91425" anchor="ctr" anchorCtr="0">
                              <a:noAutofit/>
                            </wps:bodyPr>
                          </wps:wsp>
                          <wps:wsp>
                            <wps:cNvPr id="17" name="Rectangle 17"/>
                            <wps:cNvSpPr/>
                            <wps:spPr>
                              <a:xfrm>
                                <a:off x="1258750" y="2076825"/>
                                <a:ext cx="2045100" cy="1584900"/>
                              </a:xfrm>
                              <a:prstGeom prst="rect">
                                <a:avLst/>
                              </a:prstGeom>
                              <a:solidFill>
                                <a:srgbClr val="F9CB9C"/>
                              </a:solidFill>
                              <a:ln w="9525" cap="flat" cmpd="sng">
                                <a:solidFill>
                                  <a:srgbClr val="000000"/>
                                </a:solidFill>
                                <a:prstDash val="solid"/>
                                <a:round/>
                                <a:headEnd type="none" w="sm" len="sm"/>
                                <a:tailEnd type="none" w="sm" len="sm"/>
                              </a:ln>
                            </wps:spPr>
                            <wps:txbx>
                              <w:txbxContent>
                                <w:p w14:paraId="192EA3A3"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Monitor</w:t>
                                  </w:r>
                                </w:p>
                                <w:p w14:paraId="2D485BF7" w14:textId="77777777" w:rsidR="00FA6F99" w:rsidRDefault="00A871E1">
                                  <w:pPr>
                                    <w:spacing w:line="240" w:lineRule="auto"/>
                                    <w:jc w:val="center"/>
                                    <w:textDirection w:val="btLr"/>
                                  </w:pPr>
                                  <w:r>
                                    <w:rPr>
                                      <w:rFonts w:ascii="Times New Roman" w:eastAsia="Times New Roman" w:hAnsi="Times New Roman" w:cs="Times New Roman"/>
                                      <w:color w:val="000000"/>
                                      <w:sz w:val="24"/>
                                    </w:rPr>
                                    <w:t>Suppliers</w:t>
                                  </w:r>
                                </w:p>
                                <w:p w14:paraId="4BFCCB9A" w14:textId="77777777" w:rsidR="00FA6F99" w:rsidRDefault="00A871E1">
                                  <w:pPr>
                                    <w:spacing w:line="240" w:lineRule="auto"/>
                                    <w:jc w:val="center"/>
                                    <w:textDirection w:val="btLr"/>
                                  </w:pPr>
                                  <w:r>
                                    <w:rPr>
                                      <w:rFonts w:ascii="Times New Roman" w:eastAsia="Times New Roman" w:hAnsi="Times New Roman" w:cs="Times New Roman"/>
                                      <w:color w:val="000000"/>
                                      <w:sz w:val="24"/>
                                    </w:rPr>
                                    <w:t>Project Workers</w:t>
                                  </w:r>
                                </w:p>
                                <w:p w14:paraId="3C1BA79D" w14:textId="77777777" w:rsidR="00FA6F99" w:rsidRDefault="00FA6F99">
                                  <w:pPr>
                                    <w:spacing w:line="240" w:lineRule="auto"/>
                                    <w:jc w:val="center"/>
                                    <w:textDirection w:val="btLr"/>
                                  </w:pPr>
                                </w:p>
                              </w:txbxContent>
                            </wps:txbx>
                            <wps:bodyPr spcFirstLastPara="1" wrap="square" lIns="91425" tIns="91425" rIns="91425" bIns="91425" anchor="ctr" anchorCtr="0">
                              <a:noAutofit/>
                            </wps:bodyPr>
                          </wps:wsp>
                        </wpg:grpSp>
                      </wpg:grpSp>
                    </wpg:wgp>
                  </a:graphicData>
                </a:graphic>
              </wp:inline>
            </w:drawing>
          </mc:Choice>
          <mc:Fallback>
            <w:pict>
              <v:group w14:anchorId="4B9892BF" id="Group 1" o:spid="_x0000_s1026" style="width:444.4pt;height:335.15pt;mso-position-horizontal-relative:char;mso-position-vertical-relative:line" coordorigin="25242,16538" coordsize="56436,425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">
                <v:group id="Group 2" o:spid="_x0000_s1027" style="position:absolute;left:25242;top:16538;width:56435;height:42523" coordorigin="25242,16538" coordsize="56436,42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3" o:spid="_x0000_s1028" style="position:absolute;left:25242;top:16538;width:56436;height:42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14:paraId="05E242AE" w14:textId="77777777" w:rsidR="00FA6F99" w:rsidRDefault="00FA6F99">
                          <w:pPr>
                            <w:spacing w:line="240" w:lineRule="auto"/>
                            <w:textDirection w:val="btLr"/>
                          </w:pPr>
                        </w:p>
                      </w:txbxContent>
                    </v:textbox>
                  </v:rect>
                  <v:group id="Group 4" o:spid="_x0000_s1029" style="position:absolute;left:25242;top:16538;width:56435;height:42523" coordorigin="4154,3593" coordsize="54716,41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rect id="Rectangle 5" o:spid="_x0000_s1030" style="position:absolute;left:4154;top:3593;width:54717;height:41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" filled="f" stroked="f">
                      <v:textbox inset="2.53958mm,2.53958mm,2.53958mm,2.53958mm">
                        <w:txbxContent>
                          <w:p w14:paraId="207CB790" w14:textId="77777777" w:rsidR="00FA6F99" w:rsidRDefault="00FA6F99">
                            <w:pPr>
                              <w:spacing w:line="240" w:lineRule="auto"/>
                              <w:textDirection w:val="btLr"/>
                            </w:pPr>
                          </w:p>
                        </w:txbxContent>
                      </v:textbox>
                    </v:rect>
                    <v:shapetype id="_x0000_t32" coordsize="21600,21600" o:spt="32" o:oned="t" path="m,l21600,21600e" filled="f">
                      <v:path arrowok="t" fillok="f" o:connecttype="none"/>
                      <o:lock v:ext="edit" shapetype="t"/>
                    </v:shapetype>
                    <v:shape id="Straight Arrow Connector 6" o:spid="_x0000_s1031" type="#_x0000_t32" style="position:absolute;left:11197;top:3593;width:102;height:35994;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">
                      <v:stroke startarrowwidth="narrow" startarrowlength="short" endarrow="block"/>
                    </v:shape>
                    <v:shape id="Straight Arrow Connector 7" o:spid="_x0000_s1032" type="#_x0000_t32" style="position:absolute;left:10298;top:37847;width:48573;height:510;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">
                      <v:stroke startarrowwidth="narrow" startarrowlength="short" endarrow="block"/>
                    </v:shape>
                    <v:rect id="Rectangle 8" o:spid="_x0000_s1033" style="position:absolute;left:4202;top:4408;width:5706;height:92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" fillcolor="#fff2cc">
                      <v:stroke startarrowwidth="narrow" startarrowlength="short" endarrowwidth="narrow" endarrowlength="short" joinstyle="round"/>
                      <v:textbox inset="2.53958mm,2.53958mm,2.53958mm,2.53958mm">
                        <w:txbxContent>
                          <w:p w14:paraId="2AC815B6"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High</w:t>
                            </w:r>
                          </w:p>
                        </w:txbxContent>
                      </v:textbox>
                    </v:rect>
                    <v:rect id="Rectangle 9" o:spid="_x0000_s1034" style="position:absolute;left:4202;top:15147;width:5706;height:128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" fillcolor="#d0e0e3">
                      <v:stroke startarrowwidth="narrow" startarrowlength="short" endarrowwidth="narrow" endarrowlength="short" joinstyle="round"/>
                      <v:textbox inset="2.53958mm,2.53958mm,2.53958mm,2.53958mm">
                        <w:txbxContent>
                          <w:p w14:paraId="662951FC"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Power</w:t>
                            </w:r>
                          </w:p>
                        </w:txbxContent>
                      </v:textbox>
                    </v:rect>
                    <v:rect id="Rectangle 10" o:spid="_x0000_s1035" style="position:absolute;left:4202;top:28819;width:5706;height:82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" fillcolor="#fff2cc">
                      <v:stroke startarrowwidth="narrow" startarrowlength="short" endarrowwidth="narrow" endarrowlength="short" joinstyle="round"/>
                      <v:textbox inset="2.53958mm,2.53958mm,2.53958mm,2.53958mm">
                        <w:txbxContent>
                          <w:p w14:paraId="2A31D9CA"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Low</w:t>
                            </w:r>
                          </w:p>
                        </w:txbxContent>
                      </v:textbox>
                    </v:rect>
                    <v:rect id="Rectangle 11" o:spid="_x0000_s1036" style="position:absolute;left:12587;top:39587;width:12474;height:51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" fillcolor="#f4cccc">
                      <v:stroke startarrowwidth="narrow" startarrowlength="short" endarrowwidth="narrow" endarrowlength="short" joinstyle="round"/>
                      <v:textbox inset="2.53958mm,2.53958mm,2.53958mm,2.53958mm">
                        <w:txbxContent>
                          <w:p w14:paraId="3156B28F"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Low</w:t>
                            </w:r>
                          </w:p>
                        </w:txbxContent>
                      </v:textbox>
                    </v:rect>
                    <v:rect id="Rectangle 12" o:spid="_x0000_s1037" style="position:absolute;left:28232;top:39587;width:13803;height:51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" fillcolor="#cfe2f3">
                      <v:stroke startarrowwidth="narrow" startarrowlength="short" endarrowwidth="narrow" endarrowlength="short" joinstyle="round"/>
                      <v:textbox inset="2.53958mm,2.53958mm,2.53958mm,2.53958mm">
                        <w:txbxContent>
                          <w:p w14:paraId="17BBFA0B"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Interest</w:t>
                            </w:r>
                          </w:p>
                        </w:txbxContent>
                      </v:textbox>
                    </v:rect>
                    <v:rect id="Rectangle 13" o:spid="_x0000_s1038" style="position:absolute;left:44636;top:39587;width:13803;height:51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" fillcolor="#ead1dc">
                      <v:stroke startarrowwidth="narrow" startarrowlength="short" endarrowwidth="narrow" endarrowlength="short" joinstyle="round"/>
                      <v:textbox inset="2.53958mm,2.53958mm,2.53958mm,2.53958mm">
                        <w:txbxContent>
                          <w:p w14:paraId="02248214"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High</w:t>
                            </w:r>
                          </w:p>
                        </w:txbxContent>
                      </v:textbox>
                    </v:rect>
                    <v:rect id="Rectangle 14" o:spid="_x0000_s1039" style="position:absolute;left:33038;top:20768;width:20451;height:15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" fillcolor="#ead1dc">
                      <v:stroke startarrowwidth="narrow" startarrowlength="short" endarrowwidth="narrow" endarrowlength="short" joinstyle="round"/>
                      <v:textbox inset="2.53958mm,2.53958mm,2.53958mm,2.53958mm">
                        <w:txbxContent>
                          <w:p w14:paraId="664BB6EB"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Keep Informed</w:t>
                            </w:r>
                          </w:p>
                          <w:p w14:paraId="01B541B9" w14:textId="77777777" w:rsidR="00FA6F99" w:rsidRDefault="00A871E1">
                            <w:pPr>
                              <w:spacing w:line="240" w:lineRule="auto"/>
                              <w:jc w:val="center"/>
                              <w:textDirection w:val="btLr"/>
                            </w:pPr>
                            <w:r>
                              <w:rPr>
                                <w:rFonts w:ascii="Times New Roman" w:eastAsia="Times New Roman" w:hAnsi="Times New Roman" w:cs="Times New Roman"/>
                                <w:color w:val="000000"/>
                                <w:sz w:val="24"/>
                              </w:rPr>
                              <w:t>Consumers</w:t>
                            </w:r>
                          </w:p>
                          <w:p w14:paraId="21A6FC59" w14:textId="77777777" w:rsidR="00FA6F99" w:rsidRDefault="00FA6F99">
                            <w:pPr>
                              <w:spacing w:line="240" w:lineRule="auto"/>
                              <w:jc w:val="center"/>
                              <w:textDirection w:val="btLr"/>
                            </w:pPr>
                          </w:p>
                          <w:p w14:paraId="1E2BA745" w14:textId="77777777" w:rsidR="00FA6F99" w:rsidRDefault="00FA6F99">
                            <w:pPr>
                              <w:spacing w:line="240" w:lineRule="auto"/>
                              <w:jc w:val="center"/>
                              <w:textDirection w:val="btLr"/>
                            </w:pPr>
                          </w:p>
                        </w:txbxContent>
                      </v:textbox>
                    </v:rect>
                    <v:rect id="Rectangle 15" o:spid="_x0000_s1040" style="position:absolute;left:12587;top:4919;width:20451;height:15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" fillcolor="#cfe2f3">
                      <v:stroke startarrowwidth="narrow" startarrowlength="short" endarrowwidth="narrow" endarrowlength="short" joinstyle="round"/>
                      <v:textbox inset="2.53958mm,2.53958mm,2.53958mm,2.53958mm">
                        <w:txbxContent>
                          <w:p w14:paraId="65A0D838" w14:textId="77777777" w:rsidR="00FA6F99" w:rsidRDefault="00FA6F99">
                            <w:pPr>
                              <w:spacing w:line="240" w:lineRule="auto"/>
                              <w:textDirection w:val="btLr"/>
                            </w:pPr>
                          </w:p>
                          <w:p w14:paraId="6693DC52"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Keep Satisfied</w:t>
                            </w:r>
                          </w:p>
                          <w:p w14:paraId="517818EB" w14:textId="77777777" w:rsidR="00FA6F99" w:rsidRDefault="00A871E1">
                            <w:pPr>
                              <w:spacing w:line="240" w:lineRule="auto"/>
                              <w:jc w:val="center"/>
                              <w:textDirection w:val="btLr"/>
                            </w:pPr>
                            <w:r>
                              <w:rPr>
                                <w:rFonts w:ascii="Times New Roman" w:eastAsia="Times New Roman" w:hAnsi="Times New Roman" w:cs="Times New Roman"/>
                                <w:color w:val="000000"/>
                                <w:sz w:val="24"/>
                              </w:rPr>
                              <w:t>Retailers and Distributors</w:t>
                            </w:r>
                          </w:p>
                          <w:p w14:paraId="0760D521" w14:textId="77777777" w:rsidR="00FA6F99" w:rsidRDefault="00A871E1">
                            <w:pPr>
                              <w:spacing w:line="240" w:lineRule="auto"/>
                              <w:jc w:val="center"/>
                              <w:textDirection w:val="btLr"/>
                            </w:pPr>
                            <w:r>
                              <w:rPr>
                                <w:rFonts w:ascii="Times New Roman" w:eastAsia="Times New Roman" w:hAnsi="Times New Roman" w:cs="Times New Roman"/>
                                <w:color w:val="000000"/>
                                <w:sz w:val="24"/>
                              </w:rPr>
                              <w:t>Platform Partners</w:t>
                            </w:r>
                            <w:r>
                              <w:rPr>
                                <w:rFonts w:ascii="Times New Roman" w:eastAsia="Times New Roman" w:hAnsi="Times New Roman" w:cs="Times New Roman"/>
                                <w:b/>
                                <w:color w:val="000000"/>
                                <w:sz w:val="24"/>
                              </w:rPr>
                              <w:t xml:space="preserve"> </w:t>
                            </w:r>
                          </w:p>
                        </w:txbxContent>
                      </v:textbox>
                    </v:rect>
                    <v:rect id="Rectangle 16" o:spid="_x0000_s1041" style="position:absolute;left:33038;top:4919;width:20451;height:15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" fillcolor="#fce5cd">
                      <v:stroke startarrowwidth="narrow" startarrowlength="short" endarrowwidth="narrow" endarrowlength="short" joinstyle="round"/>
                      <v:textbox inset="2.53958mm,2.53958mm,2.53958mm,2.53958mm">
                        <w:txbxContent>
                          <w:p w14:paraId="40652AE3"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Manage Closely</w:t>
                            </w:r>
                          </w:p>
                          <w:p w14:paraId="042B29E6" w14:textId="77777777" w:rsidR="00FA6F99" w:rsidRDefault="00A871E1">
                            <w:pPr>
                              <w:spacing w:line="240" w:lineRule="auto"/>
                              <w:jc w:val="center"/>
                              <w:textDirection w:val="btLr"/>
                            </w:pPr>
                            <w:r>
                              <w:rPr>
                                <w:rFonts w:ascii="Times New Roman" w:eastAsia="Times New Roman" w:hAnsi="Times New Roman" w:cs="Times New Roman"/>
                                <w:color w:val="000000"/>
                                <w:sz w:val="24"/>
                              </w:rPr>
                              <w:t>Project Sponsor</w:t>
                            </w:r>
                          </w:p>
                          <w:p w14:paraId="06F31175" w14:textId="77777777" w:rsidR="00FA6F99" w:rsidRDefault="00A871E1">
                            <w:pPr>
                              <w:spacing w:line="240" w:lineRule="auto"/>
                              <w:jc w:val="center"/>
                              <w:textDirection w:val="btLr"/>
                            </w:pPr>
                            <w:r>
                              <w:rPr>
                                <w:rFonts w:ascii="Times New Roman" w:eastAsia="Times New Roman" w:hAnsi="Times New Roman" w:cs="Times New Roman"/>
                                <w:color w:val="000000"/>
                                <w:sz w:val="24"/>
                              </w:rPr>
                              <w:t>Regulatory Bodies</w:t>
                            </w:r>
                          </w:p>
                          <w:p w14:paraId="35F1721F" w14:textId="77777777" w:rsidR="00FA6F99" w:rsidRDefault="00A871E1">
                            <w:pPr>
                              <w:spacing w:line="240" w:lineRule="auto"/>
                              <w:jc w:val="center"/>
                              <w:textDirection w:val="btLr"/>
                            </w:pPr>
                            <w:r>
                              <w:rPr>
                                <w:rFonts w:ascii="Times New Roman" w:eastAsia="Times New Roman" w:hAnsi="Times New Roman" w:cs="Times New Roman"/>
                                <w:color w:val="000000"/>
                                <w:sz w:val="24"/>
                              </w:rPr>
                              <w:t>R&amp;D and product development teams</w:t>
                            </w:r>
                          </w:p>
                          <w:p w14:paraId="0AB3E715" w14:textId="77777777" w:rsidR="00FA6F99" w:rsidRDefault="00A871E1">
                            <w:pPr>
                              <w:spacing w:line="240" w:lineRule="auto"/>
                              <w:jc w:val="center"/>
                              <w:textDirection w:val="btLr"/>
                            </w:pPr>
                            <w:r>
                              <w:rPr>
                                <w:rFonts w:ascii="Times New Roman" w:eastAsia="Times New Roman" w:hAnsi="Times New Roman" w:cs="Times New Roman"/>
                                <w:color w:val="000000"/>
                                <w:sz w:val="24"/>
                              </w:rPr>
                              <w:t>Project Manager</w:t>
                            </w:r>
                          </w:p>
                          <w:p w14:paraId="32B4BF9C" w14:textId="77777777" w:rsidR="00FA6F99" w:rsidRDefault="00FA6F99">
                            <w:pPr>
                              <w:spacing w:line="240" w:lineRule="auto"/>
                              <w:jc w:val="center"/>
                              <w:textDirection w:val="btLr"/>
                            </w:pPr>
                          </w:p>
                        </w:txbxContent>
                      </v:textbox>
                    </v:rect>
                    <v:rect id="Rectangle 17" o:spid="_x0000_s1042" style="position:absolute;left:12587;top:20768;width:20451;height:15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" fillcolor="#f9cb9c">
                      <v:stroke startarrowwidth="narrow" startarrowlength="short" endarrowwidth="narrow" endarrowlength="short" joinstyle="round"/>
                      <v:textbox inset="2.53958mm,2.53958mm,2.53958mm,2.53958mm">
                        <w:txbxContent>
                          <w:p w14:paraId="192EA3A3" w14:textId="77777777" w:rsidR="00FA6F99" w:rsidRDefault="00A871E1">
                            <w:pPr>
                              <w:spacing w:line="240" w:lineRule="auto"/>
                              <w:jc w:val="center"/>
                              <w:textDirection w:val="btLr"/>
                            </w:pPr>
                            <w:r>
                              <w:rPr>
                                <w:rFonts w:ascii="Times New Roman" w:eastAsia="Times New Roman" w:hAnsi="Times New Roman" w:cs="Times New Roman"/>
                                <w:b/>
                                <w:color w:val="000000"/>
                                <w:sz w:val="24"/>
                              </w:rPr>
                              <w:t>Monitor</w:t>
                            </w:r>
                          </w:p>
                          <w:p w14:paraId="2D485BF7" w14:textId="77777777" w:rsidR="00FA6F99" w:rsidRDefault="00A871E1">
                            <w:pPr>
                              <w:spacing w:line="240" w:lineRule="auto"/>
                              <w:jc w:val="center"/>
                              <w:textDirection w:val="btLr"/>
                            </w:pPr>
                            <w:r>
                              <w:rPr>
                                <w:rFonts w:ascii="Times New Roman" w:eastAsia="Times New Roman" w:hAnsi="Times New Roman" w:cs="Times New Roman"/>
                                <w:color w:val="000000"/>
                                <w:sz w:val="24"/>
                              </w:rPr>
                              <w:t>Suppliers</w:t>
                            </w:r>
                          </w:p>
                          <w:p w14:paraId="4BFCCB9A" w14:textId="77777777" w:rsidR="00FA6F99" w:rsidRDefault="00A871E1">
                            <w:pPr>
                              <w:spacing w:line="240" w:lineRule="auto"/>
                              <w:jc w:val="center"/>
                              <w:textDirection w:val="btLr"/>
                            </w:pPr>
                            <w:r>
                              <w:rPr>
                                <w:rFonts w:ascii="Times New Roman" w:eastAsia="Times New Roman" w:hAnsi="Times New Roman" w:cs="Times New Roman"/>
                                <w:color w:val="000000"/>
                                <w:sz w:val="24"/>
                              </w:rPr>
                              <w:t>Project Workers</w:t>
                            </w:r>
                          </w:p>
                          <w:p w14:paraId="3C1BA79D" w14:textId="77777777" w:rsidR="00FA6F99" w:rsidRDefault="00FA6F99">
                            <w:pPr>
                              <w:spacing w:line="240" w:lineRule="auto"/>
                              <w:jc w:val="center"/>
                              <w:textDirection w:val="btLr"/>
                            </w:pPr>
                          </w:p>
                        </w:txbxContent>
                      </v:textbox>
                    </v:rect>
                  </v:group>
                </v:group>
                <w10:anchorlock/>
              </v:group>
            </w:pict>
          </mc:Fallback>
        </mc:AlternateContent>
      </w:r>
    </w:p>
    <w:p w14:paraId="64595228"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Figure 1: Stakeholder matrix </w:t>
      </w:r>
    </w:p>
    <w:p w14:paraId="51B1A6CA" w14:textId="77777777" w:rsidR="00FA6F99" w:rsidRPr="0048128B" w:rsidRDefault="00A871E1" w:rsidP="00433EB4">
      <w:pP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(Source: Self-developed)</w:t>
      </w:r>
    </w:p>
    <w:p w14:paraId="2758808E"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Relating to the stakeholder matrix, the biggest players within this project are the project manager, project sponsor, R&amp;D and product development teams and regulatory bodies. The project sponsor is responsible for providing authorisation to the budget and project charter. Regulatory bodies have the power in controlling whether the product is to be approved or not. Regulatory bodies regulate processes and structures through feedback or sanctions (Dunbar </w:t>
      </w:r>
      <w:r w:rsidRPr="0048128B">
        <w:rPr>
          <w:rFonts w:ascii="Times New Roman" w:eastAsia="Times New Roman" w:hAnsi="Times New Roman" w:cs="Times New Roman"/>
          <w:i/>
          <w:iCs/>
          <w:sz w:val="24"/>
          <w:szCs w:val="24"/>
        </w:rPr>
        <w:t>et al.</w:t>
      </w:r>
      <w:r w:rsidRPr="0048128B">
        <w:rPr>
          <w:rFonts w:ascii="Times New Roman" w:eastAsia="Times New Roman" w:hAnsi="Times New Roman" w:cs="Times New Roman"/>
          <w:sz w:val="24"/>
          <w:szCs w:val="24"/>
        </w:rPr>
        <w:t xml:space="preserve">, 2023). Philips will partner with mainstream retailers such Amazon and Argos and Direct-to-Consumer (DTC) Websites such as Fitbit UK and Apple. Suppliers and project workers </w:t>
      </w:r>
      <w:r w:rsidRPr="0048128B">
        <w:rPr>
          <w:rFonts w:ascii="Times New Roman" w:eastAsia="Times New Roman" w:hAnsi="Times New Roman" w:cs="Times New Roman"/>
          <w:sz w:val="24"/>
          <w:szCs w:val="24"/>
        </w:rPr>
        <w:lastRenderedPageBreak/>
        <w:t xml:space="preserve">belong to the low power and low interest grid where the workers need to deliver the activities as per instructions and vendors need to maintain stability of supply chain components. </w:t>
      </w:r>
    </w:p>
    <w:p w14:paraId="09489404" w14:textId="77777777" w:rsidR="00FA6F99" w:rsidRPr="0048128B" w:rsidRDefault="00A871E1" w:rsidP="00433EB4">
      <w:pPr>
        <w:pStyle w:val="Heading2"/>
        <w:spacing w:before="0" w:after="0"/>
      </w:pPr>
      <w:bookmarkStart w:id="14" w:name="_Toc225365698"/>
      <w:r w:rsidRPr="0048128B">
        <w:t>5.2 Engagement plan</w:t>
      </w:r>
      <w:bookmarkEnd w:id="14"/>
      <w:r w:rsidRPr="0048128B">
        <w:t xml:space="preserve"> </w:t>
      </w:r>
    </w:p>
    <w:tbl>
      <w:tblPr>
        <w:tblStyle w:val="a2"/>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63"/>
        <w:gridCol w:w="3331"/>
        <w:gridCol w:w="3331"/>
      </w:tblGrid>
      <w:tr w:rsidR="00FA6F99" w:rsidRPr="0048128B" w14:paraId="673C5CA2" w14:textId="77777777">
        <w:tc>
          <w:tcPr>
            <w:tcW w:w="2363" w:type="dxa"/>
            <w:shd w:val="clear" w:color="auto" w:fill="D9EAD3"/>
            <w:tcMar>
              <w:top w:w="100" w:type="dxa"/>
              <w:left w:w="100" w:type="dxa"/>
              <w:bottom w:w="100" w:type="dxa"/>
              <w:right w:w="100" w:type="dxa"/>
            </w:tcMar>
          </w:tcPr>
          <w:p w14:paraId="40631B6B"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Stakeholders </w:t>
            </w:r>
          </w:p>
        </w:tc>
        <w:tc>
          <w:tcPr>
            <w:tcW w:w="3331" w:type="dxa"/>
            <w:shd w:val="clear" w:color="auto" w:fill="D9EAD3"/>
            <w:tcMar>
              <w:top w:w="100" w:type="dxa"/>
              <w:left w:w="100" w:type="dxa"/>
              <w:bottom w:w="100" w:type="dxa"/>
              <w:right w:w="100" w:type="dxa"/>
            </w:tcMar>
          </w:tcPr>
          <w:p w14:paraId="351FBA07"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Tactics</w:t>
            </w:r>
          </w:p>
        </w:tc>
        <w:tc>
          <w:tcPr>
            <w:tcW w:w="3331" w:type="dxa"/>
            <w:shd w:val="clear" w:color="auto" w:fill="D9EAD3"/>
            <w:tcMar>
              <w:top w:w="100" w:type="dxa"/>
              <w:left w:w="100" w:type="dxa"/>
              <w:bottom w:w="100" w:type="dxa"/>
              <w:right w:w="100" w:type="dxa"/>
            </w:tcMar>
          </w:tcPr>
          <w:p w14:paraId="1D307670"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Engagement strategies </w:t>
            </w:r>
          </w:p>
        </w:tc>
      </w:tr>
      <w:tr w:rsidR="00FA6F99" w:rsidRPr="0048128B" w14:paraId="55DC942A" w14:textId="77777777">
        <w:tc>
          <w:tcPr>
            <w:tcW w:w="2363" w:type="dxa"/>
            <w:shd w:val="clear" w:color="auto" w:fill="FCE5CD"/>
            <w:tcMar>
              <w:top w:w="100" w:type="dxa"/>
              <w:left w:w="100" w:type="dxa"/>
              <w:bottom w:w="100" w:type="dxa"/>
              <w:right w:w="100" w:type="dxa"/>
            </w:tcMar>
          </w:tcPr>
          <w:p w14:paraId="11BAAAAA"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Project Manager, Engineering, Product Development</w:t>
            </w:r>
          </w:p>
        </w:tc>
        <w:tc>
          <w:tcPr>
            <w:tcW w:w="3331" w:type="dxa"/>
            <w:shd w:val="clear" w:color="auto" w:fill="FCE5CD"/>
            <w:tcMar>
              <w:top w:w="100" w:type="dxa"/>
              <w:left w:w="100" w:type="dxa"/>
              <w:bottom w:w="100" w:type="dxa"/>
              <w:right w:w="100" w:type="dxa"/>
            </w:tcMar>
          </w:tcPr>
          <w:p w14:paraId="4132003E"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Weekly reviews of the project, daily </w:t>
            </w:r>
            <w:r w:rsidR="0048128B" w:rsidRPr="0048128B">
              <w:rPr>
                <w:rFonts w:ascii="Times New Roman" w:eastAsia="Times New Roman" w:hAnsi="Times New Roman" w:cs="Times New Roman"/>
                <w:sz w:val="24"/>
                <w:szCs w:val="24"/>
              </w:rPr>
              <w:t>stand-ups</w:t>
            </w:r>
            <w:r w:rsidRPr="0048128B">
              <w:rPr>
                <w:rFonts w:ascii="Times New Roman" w:eastAsia="Times New Roman" w:hAnsi="Times New Roman" w:cs="Times New Roman"/>
                <w:sz w:val="24"/>
                <w:szCs w:val="24"/>
              </w:rPr>
              <w:t xml:space="preserve"> and shared project documentation. </w:t>
            </w:r>
          </w:p>
        </w:tc>
        <w:tc>
          <w:tcPr>
            <w:tcW w:w="3331" w:type="dxa"/>
            <w:shd w:val="clear" w:color="auto" w:fill="FCE5CD"/>
            <w:tcMar>
              <w:top w:w="100" w:type="dxa"/>
              <w:left w:w="100" w:type="dxa"/>
              <w:bottom w:w="100" w:type="dxa"/>
              <w:right w:w="100" w:type="dxa"/>
            </w:tcMar>
          </w:tcPr>
          <w:p w14:paraId="3640251D"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Active collaboration and partnership with these stakeholders. </w:t>
            </w:r>
          </w:p>
        </w:tc>
      </w:tr>
      <w:tr w:rsidR="00FA6F99" w:rsidRPr="0048128B" w14:paraId="59A6883E" w14:textId="77777777">
        <w:tc>
          <w:tcPr>
            <w:tcW w:w="2363" w:type="dxa"/>
            <w:shd w:val="clear" w:color="auto" w:fill="FCE5CD"/>
            <w:tcMar>
              <w:top w:w="100" w:type="dxa"/>
              <w:left w:w="100" w:type="dxa"/>
              <w:bottom w:w="100" w:type="dxa"/>
              <w:right w:w="100" w:type="dxa"/>
            </w:tcMar>
          </w:tcPr>
          <w:p w14:paraId="0A2CE5CE"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Quality Assurance team </w:t>
            </w:r>
          </w:p>
        </w:tc>
        <w:tc>
          <w:tcPr>
            <w:tcW w:w="3331" w:type="dxa"/>
            <w:shd w:val="clear" w:color="auto" w:fill="FCE5CD"/>
            <w:tcMar>
              <w:top w:w="100" w:type="dxa"/>
              <w:left w:w="100" w:type="dxa"/>
              <w:bottom w:w="100" w:type="dxa"/>
              <w:right w:w="100" w:type="dxa"/>
            </w:tcMar>
          </w:tcPr>
          <w:p w14:paraId="7778BB71"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Being involved in the sprint planning, maintaining regularity of demos and automated reporting. </w:t>
            </w:r>
          </w:p>
        </w:tc>
        <w:tc>
          <w:tcPr>
            <w:tcW w:w="3331" w:type="dxa"/>
            <w:shd w:val="clear" w:color="auto" w:fill="FCE5CD"/>
            <w:tcMar>
              <w:top w:w="100" w:type="dxa"/>
              <w:left w:w="100" w:type="dxa"/>
              <w:bottom w:w="100" w:type="dxa"/>
              <w:right w:w="100" w:type="dxa"/>
            </w:tcMar>
          </w:tcPr>
          <w:p w14:paraId="6DBBD350"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Integration of activities in an earlier manner and ensuring that they have all the tools required. Quality assurance is an important element throughout the lifecycle of the project where the execution stage can impact the project’s outcome (Owolabi </w:t>
            </w:r>
            <w:r w:rsidRPr="0048128B">
              <w:rPr>
                <w:rFonts w:ascii="Times New Roman" w:eastAsia="Times New Roman" w:hAnsi="Times New Roman" w:cs="Times New Roman"/>
                <w:i/>
                <w:iCs/>
                <w:sz w:val="24"/>
                <w:szCs w:val="24"/>
              </w:rPr>
              <w:t>et al.</w:t>
            </w:r>
            <w:r w:rsidRPr="0048128B">
              <w:rPr>
                <w:rFonts w:ascii="Times New Roman" w:eastAsia="Times New Roman" w:hAnsi="Times New Roman" w:cs="Times New Roman"/>
                <w:sz w:val="24"/>
                <w:szCs w:val="24"/>
              </w:rPr>
              <w:t xml:space="preserve">, 2024). </w:t>
            </w:r>
          </w:p>
        </w:tc>
      </w:tr>
      <w:tr w:rsidR="00FA6F99" w:rsidRPr="0048128B" w14:paraId="3C49726A" w14:textId="77777777">
        <w:tc>
          <w:tcPr>
            <w:tcW w:w="2363" w:type="dxa"/>
            <w:shd w:val="clear" w:color="auto" w:fill="FCE5CD"/>
            <w:tcMar>
              <w:top w:w="100" w:type="dxa"/>
              <w:left w:w="100" w:type="dxa"/>
              <w:bottom w:w="100" w:type="dxa"/>
              <w:right w:w="100" w:type="dxa"/>
            </w:tcMar>
          </w:tcPr>
          <w:p w14:paraId="64C586D1"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Marketing and Sales and UI Designers </w:t>
            </w:r>
          </w:p>
        </w:tc>
        <w:tc>
          <w:tcPr>
            <w:tcW w:w="3331" w:type="dxa"/>
            <w:shd w:val="clear" w:color="auto" w:fill="FCE5CD"/>
            <w:tcMar>
              <w:top w:w="100" w:type="dxa"/>
              <w:left w:w="100" w:type="dxa"/>
              <w:bottom w:w="100" w:type="dxa"/>
              <w:right w:w="100" w:type="dxa"/>
            </w:tcMar>
          </w:tcPr>
          <w:p w14:paraId="08D1E708"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Collaborative sessions of prototyping, regular workshops and demo sessions. </w:t>
            </w:r>
          </w:p>
        </w:tc>
        <w:tc>
          <w:tcPr>
            <w:tcW w:w="3331" w:type="dxa"/>
            <w:shd w:val="clear" w:color="auto" w:fill="FCE5CD"/>
            <w:tcMar>
              <w:top w:w="100" w:type="dxa"/>
              <w:left w:w="100" w:type="dxa"/>
              <w:bottom w:w="100" w:type="dxa"/>
              <w:right w:w="100" w:type="dxa"/>
            </w:tcMar>
          </w:tcPr>
          <w:p w14:paraId="7798CEFB"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It is important to keep them informed, listening to their viewpoints and seeking inputs early on marketability. </w:t>
            </w:r>
          </w:p>
        </w:tc>
      </w:tr>
    </w:tbl>
    <w:p w14:paraId="68B71077"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Table 4: Stakeholder engagement plan </w:t>
      </w:r>
    </w:p>
    <w:p w14:paraId="51FF9BC4" w14:textId="77777777" w:rsidR="00FA6F99" w:rsidRPr="0048128B" w:rsidRDefault="00A871E1" w:rsidP="00433EB4">
      <w:pP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(Source: Self-developed)</w:t>
      </w:r>
    </w:p>
    <w:p w14:paraId="560795AE" w14:textId="77777777" w:rsidR="00FA6F99" w:rsidRPr="0048128B" w:rsidRDefault="00A871E1" w:rsidP="00433EB4">
      <w:pPr>
        <w:pStyle w:val="Heading2"/>
        <w:spacing w:before="0" w:after="0"/>
      </w:pPr>
      <w:bookmarkStart w:id="15" w:name="_Toc225365699"/>
      <w:r w:rsidRPr="0048128B">
        <w:t>5.3 Communication plan</w:t>
      </w:r>
      <w:bookmarkEnd w:id="15"/>
    </w:p>
    <w:tbl>
      <w:tblPr>
        <w:tblStyle w:val="a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A6F99" w:rsidRPr="0048128B" w14:paraId="2972C9B5" w14:textId="77777777">
        <w:tc>
          <w:tcPr>
            <w:tcW w:w="3009" w:type="dxa"/>
            <w:tcMar>
              <w:top w:w="100" w:type="dxa"/>
              <w:left w:w="100" w:type="dxa"/>
              <w:bottom w:w="100" w:type="dxa"/>
              <w:right w:w="100" w:type="dxa"/>
            </w:tcMar>
          </w:tcPr>
          <w:p w14:paraId="7C060821"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Stakeholders </w:t>
            </w:r>
          </w:p>
        </w:tc>
        <w:tc>
          <w:tcPr>
            <w:tcW w:w="3009" w:type="dxa"/>
            <w:tcMar>
              <w:top w:w="100" w:type="dxa"/>
              <w:left w:w="100" w:type="dxa"/>
              <w:bottom w:w="100" w:type="dxa"/>
              <w:right w:w="100" w:type="dxa"/>
            </w:tcMar>
          </w:tcPr>
          <w:p w14:paraId="0E72C49D"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Communication channels </w:t>
            </w:r>
          </w:p>
        </w:tc>
        <w:tc>
          <w:tcPr>
            <w:tcW w:w="3009" w:type="dxa"/>
            <w:tcMar>
              <w:top w:w="100" w:type="dxa"/>
              <w:left w:w="100" w:type="dxa"/>
              <w:bottom w:w="100" w:type="dxa"/>
              <w:right w:w="100" w:type="dxa"/>
            </w:tcMar>
          </w:tcPr>
          <w:p w14:paraId="63ED80CB"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Feedback mechanism </w:t>
            </w:r>
          </w:p>
        </w:tc>
      </w:tr>
      <w:tr w:rsidR="00FA6F99" w:rsidRPr="0048128B" w14:paraId="1ED53D75" w14:textId="77777777">
        <w:tc>
          <w:tcPr>
            <w:tcW w:w="3009" w:type="dxa"/>
            <w:tcMar>
              <w:top w:w="100" w:type="dxa"/>
              <w:left w:w="100" w:type="dxa"/>
              <w:bottom w:w="100" w:type="dxa"/>
              <w:right w:w="100" w:type="dxa"/>
            </w:tcMar>
          </w:tcPr>
          <w:p w14:paraId="33B0F60D"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Project manager </w:t>
            </w:r>
          </w:p>
        </w:tc>
        <w:tc>
          <w:tcPr>
            <w:tcW w:w="3009" w:type="dxa"/>
            <w:tcMar>
              <w:top w:w="100" w:type="dxa"/>
              <w:left w:w="100" w:type="dxa"/>
              <w:bottom w:w="100" w:type="dxa"/>
              <w:right w:w="100" w:type="dxa"/>
            </w:tcMar>
          </w:tcPr>
          <w:p w14:paraId="26DC2DA3"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Dashboards such as Asana or Jira for keeping a track of the R&amp;D progress and slack for communication among team members. </w:t>
            </w:r>
          </w:p>
        </w:tc>
        <w:tc>
          <w:tcPr>
            <w:tcW w:w="3009" w:type="dxa"/>
            <w:tcMar>
              <w:top w:w="100" w:type="dxa"/>
              <w:left w:w="100" w:type="dxa"/>
              <w:bottom w:w="100" w:type="dxa"/>
              <w:right w:w="100" w:type="dxa"/>
            </w:tcMar>
          </w:tcPr>
          <w:p w14:paraId="67CF82AE"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Updates on weekly status and retrospective. </w:t>
            </w:r>
          </w:p>
        </w:tc>
      </w:tr>
      <w:tr w:rsidR="00FA6F99" w:rsidRPr="0048128B" w14:paraId="6D0AF6A3" w14:textId="77777777">
        <w:tc>
          <w:tcPr>
            <w:tcW w:w="3009" w:type="dxa"/>
            <w:tcMar>
              <w:top w:w="100" w:type="dxa"/>
              <w:left w:w="100" w:type="dxa"/>
              <w:bottom w:w="100" w:type="dxa"/>
              <w:right w:w="100" w:type="dxa"/>
            </w:tcMar>
          </w:tcPr>
          <w:p w14:paraId="75A368B9"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lastRenderedPageBreak/>
              <w:t>Engineering and R&amp;D</w:t>
            </w:r>
          </w:p>
        </w:tc>
        <w:tc>
          <w:tcPr>
            <w:tcW w:w="3009" w:type="dxa"/>
            <w:tcMar>
              <w:top w:w="100" w:type="dxa"/>
              <w:left w:w="100" w:type="dxa"/>
              <w:bottom w:w="100" w:type="dxa"/>
              <w:right w:w="100" w:type="dxa"/>
            </w:tcMar>
          </w:tcPr>
          <w:p w14:paraId="18F57C64"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Zoom, Google Meets and any other mode of meeting. </w:t>
            </w:r>
          </w:p>
        </w:tc>
        <w:tc>
          <w:tcPr>
            <w:tcW w:w="3009" w:type="dxa"/>
            <w:tcMar>
              <w:top w:w="100" w:type="dxa"/>
              <w:left w:w="100" w:type="dxa"/>
              <w:bottom w:w="100" w:type="dxa"/>
              <w:right w:w="100" w:type="dxa"/>
            </w:tcMar>
          </w:tcPr>
          <w:p w14:paraId="1CB1D37C"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Code Reviews, Spirit Demos and Retrospectives</w:t>
            </w:r>
          </w:p>
        </w:tc>
      </w:tr>
      <w:tr w:rsidR="00FA6F99" w:rsidRPr="0048128B" w14:paraId="34571B0B" w14:textId="77777777">
        <w:tc>
          <w:tcPr>
            <w:tcW w:w="3009" w:type="dxa"/>
            <w:tcMar>
              <w:top w:w="100" w:type="dxa"/>
              <w:left w:w="100" w:type="dxa"/>
              <w:bottom w:w="100" w:type="dxa"/>
              <w:right w:w="100" w:type="dxa"/>
            </w:tcMar>
          </w:tcPr>
          <w:p w14:paraId="58A4CD10"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UI designers </w:t>
            </w:r>
          </w:p>
        </w:tc>
        <w:tc>
          <w:tcPr>
            <w:tcW w:w="3009" w:type="dxa"/>
            <w:tcMar>
              <w:top w:w="100" w:type="dxa"/>
              <w:left w:w="100" w:type="dxa"/>
              <w:bottom w:w="100" w:type="dxa"/>
              <w:right w:w="100" w:type="dxa"/>
            </w:tcMar>
          </w:tcPr>
          <w:p w14:paraId="455BD6C6"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Miro for creating collaborative designs and </w:t>
            </w:r>
            <w:r w:rsidR="0048128B">
              <w:rPr>
                <w:rFonts w:ascii="Times New Roman" w:eastAsia="Times New Roman" w:hAnsi="Times New Roman" w:cs="Times New Roman"/>
                <w:sz w:val="24"/>
                <w:szCs w:val="24"/>
              </w:rPr>
              <w:t>heat-</w:t>
            </w:r>
            <w:r w:rsidR="0048128B" w:rsidRPr="0048128B">
              <w:rPr>
                <w:rFonts w:ascii="Times New Roman" w:eastAsia="Times New Roman" w:hAnsi="Times New Roman" w:cs="Times New Roman"/>
                <w:sz w:val="24"/>
                <w:szCs w:val="24"/>
              </w:rPr>
              <w:t>maps</w:t>
            </w:r>
            <w:r w:rsidRPr="0048128B">
              <w:rPr>
                <w:rFonts w:ascii="Times New Roman" w:eastAsia="Times New Roman" w:hAnsi="Times New Roman" w:cs="Times New Roman"/>
                <w:sz w:val="24"/>
                <w:szCs w:val="24"/>
              </w:rPr>
              <w:t xml:space="preserve"> for behavioural analysis </w:t>
            </w:r>
          </w:p>
        </w:tc>
        <w:tc>
          <w:tcPr>
            <w:tcW w:w="3009" w:type="dxa"/>
            <w:tcMar>
              <w:top w:w="100" w:type="dxa"/>
              <w:left w:w="100" w:type="dxa"/>
              <w:bottom w:w="100" w:type="dxa"/>
              <w:right w:w="100" w:type="dxa"/>
            </w:tcMar>
          </w:tcPr>
          <w:p w14:paraId="6F4B3C59"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Designing sprints and sessions of utility testing. </w:t>
            </w:r>
          </w:p>
        </w:tc>
      </w:tr>
    </w:tbl>
    <w:p w14:paraId="0CB54074"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Table 5: Communication plan </w:t>
      </w:r>
    </w:p>
    <w:p w14:paraId="2076523F" w14:textId="77777777" w:rsidR="00FA6F99" w:rsidRPr="0048128B" w:rsidRDefault="00A871E1" w:rsidP="00433EB4">
      <w:pP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(Source: Self-developed)</w:t>
      </w:r>
    </w:p>
    <w:p w14:paraId="763E05E3" w14:textId="77777777" w:rsidR="00FA6F99" w:rsidRPr="0048128B" w:rsidRDefault="00A871E1" w:rsidP="00433EB4">
      <w:pPr>
        <w:pStyle w:val="Heading2"/>
        <w:spacing w:before="0" w:after="0"/>
      </w:pPr>
      <w:bookmarkStart w:id="16" w:name="_Toc225365700"/>
      <w:r w:rsidRPr="0048128B">
        <w:t>5.4 RACI matrix</w:t>
      </w:r>
      <w:bookmarkEnd w:id="16"/>
    </w:p>
    <w:tbl>
      <w:tblPr>
        <w:tblStyle w:val="a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FA6F99" w:rsidRPr="0048128B" w14:paraId="0F630195" w14:textId="77777777">
        <w:tc>
          <w:tcPr>
            <w:tcW w:w="1289" w:type="dxa"/>
            <w:shd w:val="clear" w:color="auto" w:fill="EA9999"/>
            <w:tcMar>
              <w:top w:w="100" w:type="dxa"/>
              <w:left w:w="100" w:type="dxa"/>
              <w:bottom w:w="100" w:type="dxa"/>
              <w:right w:w="100" w:type="dxa"/>
            </w:tcMar>
          </w:tcPr>
          <w:p w14:paraId="4474CED9" w14:textId="77777777" w:rsidR="00FA6F99" w:rsidRPr="0048128B" w:rsidRDefault="00A871E1"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Activities </w:t>
            </w:r>
          </w:p>
        </w:tc>
        <w:tc>
          <w:tcPr>
            <w:tcW w:w="1289" w:type="dxa"/>
            <w:shd w:val="clear" w:color="auto" w:fill="EA9999"/>
            <w:tcMar>
              <w:top w:w="100" w:type="dxa"/>
              <w:left w:w="100" w:type="dxa"/>
              <w:bottom w:w="100" w:type="dxa"/>
              <w:right w:w="100" w:type="dxa"/>
            </w:tcMar>
          </w:tcPr>
          <w:p w14:paraId="50303E90"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Project manager</w:t>
            </w:r>
          </w:p>
        </w:tc>
        <w:tc>
          <w:tcPr>
            <w:tcW w:w="1289" w:type="dxa"/>
            <w:shd w:val="clear" w:color="auto" w:fill="EA9999"/>
            <w:tcMar>
              <w:top w:w="100" w:type="dxa"/>
              <w:left w:w="100" w:type="dxa"/>
              <w:bottom w:w="100" w:type="dxa"/>
              <w:right w:w="100" w:type="dxa"/>
            </w:tcMar>
          </w:tcPr>
          <w:p w14:paraId="65DCEB15"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Engineering and R&amp;D</w:t>
            </w:r>
          </w:p>
        </w:tc>
        <w:tc>
          <w:tcPr>
            <w:tcW w:w="1289" w:type="dxa"/>
            <w:shd w:val="clear" w:color="auto" w:fill="EA9999"/>
            <w:tcMar>
              <w:top w:w="100" w:type="dxa"/>
              <w:left w:w="100" w:type="dxa"/>
              <w:bottom w:w="100" w:type="dxa"/>
              <w:right w:w="100" w:type="dxa"/>
            </w:tcMar>
          </w:tcPr>
          <w:p w14:paraId="67337D7C"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UI designers</w:t>
            </w:r>
          </w:p>
        </w:tc>
        <w:tc>
          <w:tcPr>
            <w:tcW w:w="1289" w:type="dxa"/>
            <w:shd w:val="clear" w:color="auto" w:fill="EA9999"/>
            <w:tcMar>
              <w:top w:w="100" w:type="dxa"/>
              <w:left w:w="100" w:type="dxa"/>
              <w:bottom w:w="100" w:type="dxa"/>
              <w:right w:w="100" w:type="dxa"/>
            </w:tcMar>
          </w:tcPr>
          <w:p w14:paraId="3D61FDBA"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Quality assurance team</w:t>
            </w:r>
          </w:p>
        </w:tc>
        <w:tc>
          <w:tcPr>
            <w:tcW w:w="1289" w:type="dxa"/>
            <w:shd w:val="clear" w:color="auto" w:fill="EA9999"/>
            <w:tcMar>
              <w:top w:w="100" w:type="dxa"/>
              <w:left w:w="100" w:type="dxa"/>
              <w:bottom w:w="100" w:type="dxa"/>
              <w:right w:w="100" w:type="dxa"/>
            </w:tcMar>
          </w:tcPr>
          <w:p w14:paraId="734F8FD3"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Product development team</w:t>
            </w:r>
          </w:p>
        </w:tc>
        <w:tc>
          <w:tcPr>
            <w:tcW w:w="1289" w:type="dxa"/>
            <w:shd w:val="clear" w:color="auto" w:fill="EA9999"/>
            <w:tcMar>
              <w:top w:w="100" w:type="dxa"/>
              <w:left w:w="100" w:type="dxa"/>
              <w:bottom w:w="100" w:type="dxa"/>
              <w:right w:w="100" w:type="dxa"/>
            </w:tcMar>
          </w:tcPr>
          <w:p w14:paraId="4E4D87E3" w14:textId="77777777"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Marketing and sales team</w:t>
            </w:r>
          </w:p>
        </w:tc>
      </w:tr>
      <w:tr w:rsidR="00FA6F99" w:rsidRPr="0048128B" w14:paraId="75F20C24" w14:textId="77777777">
        <w:tc>
          <w:tcPr>
            <w:tcW w:w="1289" w:type="dxa"/>
            <w:shd w:val="clear" w:color="auto" w:fill="D9D9D9"/>
            <w:tcMar>
              <w:top w:w="100" w:type="dxa"/>
              <w:left w:w="100" w:type="dxa"/>
              <w:bottom w:w="100" w:type="dxa"/>
              <w:right w:w="100" w:type="dxa"/>
            </w:tcMar>
          </w:tcPr>
          <w:p w14:paraId="64407D1B"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Project charter and scope </w:t>
            </w:r>
          </w:p>
        </w:tc>
        <w:tc>
          <w:tcPr>
            <w:tcW w:w="1289" w:type="dxa"/>
            <w:shd w:val="clear" w:color="auto" w:fill="D9D9D9"/>
            <w:tcMar>
              <w:top w:w="100" w:type="dxa"/>
              <w:left w:w="100" w:type="dxa"/>
              <w:bottom w:w="100" w:type="dxa"/>
              <w:right w:w="100" w:type="dxa"/>
            </w:tcMar>
          </w:tcPr>
          <w:p w14:paraId="190C55B2"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A/R</w:t>
            </w:r>
          </w:p>
        </w:tc>
        <w:tc>
          <w:tcPr>
            <w:tcW w:w="1289" w:type="dxa"/>
            <w:shd w:val="clear" w:color="auto" w:fill="D9D9D9"/>
            <w:tcMar>
              <w:top w:w="100" w:type="dxa"/>
              <w:left w:w="100" w:type="dxa"/>
              <w:bottom w:w="100" w:type="dxa"/>
              <w:right w:w="100" w:type="dxa"/>
            </w:tcMar>
          </w:tcPr>
          <w:p w14:paraId="09403BD3"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0043BCF0"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c>
          <w:tcPr>
            <w:tcW w:w="1289" w:type="dxa"/>
            <w:shd w:val="clear" w:color="auto" w:fill="D9D9D9"/>
            <w:tcMar>
              <w:top w:w="100" w:type="dxa"/>
              <w:left w:w="100" w:type="dxa"/>
              <w:bottom w:w="100" w:type="dxa"/>
              <w:right w:w="100" w:type="dxa"/>
            </w:tcMar>
          </w:tcPr>
          <w:p w14:paraId="41B3E7E7"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c>
          <w:tcPr>
            <w:tcW w:w="1289" w:type="dxa"/>
            <w:shd w:val="clear" w:color="auto" w:fill="D9D9D9"/>
            <w:tcMar>
              <w:top w:w="100" w:type="dxa"/>
              <w:left w:w="100" w:type="dxa"/>
              <w:bottom w:w="100" w:type="dxa"/>
              <w:right w:w="100" w:type="dxa"/>
            </w:tcMar>
          </w:tcPr>
          <w:p w14:paraId="2DD462E9"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47E34C47"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R</w:t>
            </w:r>
          </w:p>
        </w:tc>
      </w:tr>
      <w:tr w:rsidR="00FA6F99" w:rsidRPr="0048128B" w14:paraId="4A592EBF" w14:textId="77777777">
        <w:tc>
          <w:tcPr>
            <w:tcW w:w="1289" w:type="dxa"/>
            <w:shd w:val="clear" w:color="auto" w:fill="D9D9D9"/>
            <w:tcMar>
              <w:top w:w="100" w:type="dxa"/>
              <w:left w:w="100" w:type="dxa"/>
              <w:bottom w:w="100" w:type="dxa"/>
              <w:right w:w="100" w:type="dxa"/>
            </w:tcMar>
          </w:tcPr>
          <w:p w14:paraId="61C8C4CD"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Tracking sleep algorithm </w:t>
            </w:r>
          </w:p>
        </w:tc>
        <w:tc>
          <w:tcPr>
            <w:tcW w:w="1289" w:type="dxa"/>
            <w:shd w:val="clear" w:color="auto" w:fill="D9D9D9"/>
            <w:tcMar>
              <w:top w:w="100" w:type="dxa"/>
              <w:left w:w="100" w:type="dxa"/>
              <w:bottom w:w="100" w:type="dxa"/>
              <w:right w:w="100" w:type="dxa"/>
            </w:tcMar>
          </w:tcPr>
          <w:p w14:paraId="6E32D2E6"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c>
          <w:tcPr>
            <w:tcW w:w="1289" w:type="dxa"/>
            <w:shd w:val="clear" w:color="auto" w:fill="D9D9D9"/>
            <w:tcMar>
              <w:top w:w="100" w:type="dxa"/>
              <w:left w:w="100" w:type="dxa"/>
              <w:bottom w:w="100" w:type="dxa"/>
              <w:right w:w="100" w:type="dxa"/>
            </w:tcMar>
          </w:tcPr>
          <w:p w14:paraId="2ED1A702"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A/R</w:t>
            </w:r>
          </w:p>
        </w:tc>
        <w:tc>
          <w:tcPr>
            <w:tcW w:w="1289" w:type="dxa"/>
            <w:shd w:val="clear" w:color="auto" w:fill="D9D9D9"/>
            <w:tcMar>
              <w:top w:w="100" w:type="dxa"/>
              <w:left w:w="100" w:type="dxa"/>
              <w:bottom w:w="100" w:type="dxa"/>
              <w:right w:w="100" w:type="dxa"/>
            </w:tcMar>
          </w:tcPr>
          <w:p w14:paraId="3C00CF78"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c>
          <w:tcPr>
            <w:tcW w:w="1289" w:type="dxa"/>
            <w:shd w:val="clear" w:color="auto" w:fill="D9D9D9"/>
            <w:tcMar>
              <w:top w:w="100" w:type="dxa"/>
              <w:left w:w="100" w:type="dxa"/>
              <w:bottom w:w="100" w:type="dxa"/>
              <w:right w:w="100" w:type="dxa"/>
            </w:tcMar>
          </w:tcPr>
          <w:p w14:paraId="0623FCF9"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2DAC8FC9"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5014D5C1"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r>
      <w:tr w:rsidR="00FA6F99" w:rsidRPr="0048128B" w14:paraId="658B95D8" w14:textId="77777777">
        <w:tc>
          <w:tcPr>
            <w:tcW w:w="1289" w:type="dxa"/>
            <w:shd w:val="clear" w:color="auto" w:fill="D9D9D9"/>
            <w:tcMar>
              <w:top w:w="100" w:type="dxa"/>
              <w:left w:w="100" w:type="dxa"/>
              <w:bottom w:w="100" w:type="dxa"/>
              <w:right w:w="100" w:type="dxa"/>
            </w:tcMar>
          </w:tcPr>
          <w:p w14:paraId="5A6322DC"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UI Design and </w:t>
            </w:r>
            <w:r w:rsidR="0048128B" w:rsidRPr="0048128B">
              <w:rPr>
                <w:rFonts w:ascii="Times New Roman" w:eastAsia="Times New Roman" w:hAnsi="Times New Roman" w:cs="Times New Roman"/>
                <w:sz w:val="24"/>
                <w:szCs w:val="24"/>
              </w:rPr>
              <w:t>mock-ups</w:t>
            </w:r>
            <w:r w:rsidRPr="0048128B">
              <w:rPr>
                <w:rFonts w:ascii="Times New Roman" w:eastAsia="Times New Roman" w:hAnsi="Times New Roman" w:cs="Times New Roman"/>
                <w:sz w:val="24"/>
                <w:szCs w:val="24"/>
              </w:rPr>
              <w:t xml:space="preserve"> </w:t>
            </w:r>
          </w:p>
        </w:tc>
        <w:tc>
          <w:tcPr>
            <w:tcW w:w="1289" w:type="dxa"/>
            <w:shd w:val="clear" w:color="auto" w:fill="D9D9D9"/>
            <w:tcMar>
              <w:top w:w="100" w:type="dxa"/>
              <w:left w:w="100" w:type="dxa"/>
              <w:bottom w:w="100" w:type="dxa"/>
              <w:right w:w="100" w:type="dxa"/>
            </w:tcMar>
          </w:tcPr>
          <w:p w14:paraId="283D4B15"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A</w:t>
            </w:r>
          </w:p>
        </w:tc>
        <w:tc>
          <w:tcPr>
            <w:tcW w:w="1289" w:type="dxa"/>
            <w:shd w:val="clear" w:color="auto" w:fill="D9D9D9"/>
            <w:tcMar>
              <w:top w:w="100" w:type="dxa"/>
              <w:left w:w="100" w:type="dxa"/>
              <w:bottom w:w="100" w:type="dxa"/>
              <w:right w:w="100" w:type="dxa"/>
            </w:tcMar>
          </w:tcPr>
          <w:p w14:paraId="52763374"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1BA0C647"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A/R</w:t>
            </w:r>
          </w:p>
        </w:tc>
        <w:tc>
          <w:tcPr>
            <w:tcW w:w="1289" w:type="dxa"/>
            <w:shd w:val="clear" w:color="auto" w:fill="D9D9D9"/>
            <w:tcMar>
              <w:top w:w="100" w:type="dxa"/>
              <w:left w:w="100" w:type="dxa"/>
              <w:bottom w:w="100" w:type="dxa"/>
              <w:right w:w="100" w:type="dxa"/>
            </w:tcMar>
          </w:tcPr>
          <w:p w14:paraId="01E3632B"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0B602624"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02A3EB6E"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r>
      <w:tr w:rsidR="00FA6F99" w:rsidRPr="0048128B" w14:paraId="5214218F" w14:textId="77777777">
        <w:tc>
          <w:tcPr>
            <w:tcW w:w="1289" w:type="dxa"/>
            <w:shd w:val="clear" w:color="auto" w:fill="D9D9D9"/>
            <w:tcMar>
              <w:top w:w="100" w:type="dxa"/>
              <w:left w:w="100" w:type="dxa"/>
              <w:bottom w:w="100" w:type="dxa"/>
              <w:right w:w="100" w:type="dxa"/>
            </w:tcMar>
          </w:tcPr>
          <w:p w14:paraId="37006793"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Fabrication of prototype </w:t>
            </w:r>
          </w:p>
        </w:tc>
        <w:tc>
          <w:tcPr>
            <w:tcW w:w="1289" w:type="dxa"/>
            <w:shd w:val="clear" w:color="auto" w:fill="D9D9D9"/>
            <w:tcMar>
              <w:top w:w="100" w:type="dxa"/>
              <w:left w:w="100" w:type="dxa"/>
              <w:bottom w:w="100" w:type="dxa"/>
              <w:right w:w="100" w:type="dxa"/>
            </w:tcMar>
          </w:tcPr>
          <w:p w14:paraId="25924FC4"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A</w:t>
            </w:r>
          </w:p>
        </w:tc>
        <w:tc>
          <w:tcPr>
            <w:tcW w:w="1289" w:type="dxa"/>
            <w:shd w:val="clear" w:color="auto" w:fill="D9D9D9"/>
            <w:tcMar>
              <w:top w:w="100" w:type="dxa"/>
              <w:left w:w="100" w:type="dxa"/>
              <w:bottom w:w="100" w:type="dxa"/>
              <w:right w:w="100" w:type="dxa"/>
            </w:tcMar>
          </w:tcPr>
          <w:p w14:paraId="790AD21D"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A/R</w:t>
            </w:r>
          </w:p>
        </w:tc>
        <w:tc>
          <w:tcPr>
            <w:tcW w:w="1289" w:type="dxa"/>
            <w:shd w:val="clear" w:color="auto" w:fill="D9D9D9"/>
            <w:tcMar>
              <w:top w:w="100" w:type="dxa"/>
              <w:left w:w="100" w:type="dxa"/>
              <w:bottom w:w="100" w:type="dxa"/>
              <w:right w:w="100" w:type="dxa"/>
            </w:tcMar>
          </w:tcPr>
          <w:p w14:paraId="2F2BA06B"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37B5E258"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57B909A8"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R</w:t>
            </w:r>
          </w:p>
        </w:tc>
        <w:tc>
          <w:tcPr>
            <w:tcW w:w="1289" w:type="dxa"/>
            <w:shd w:val="clear" w:color="auto" w:fill="D9D9D9"/>
            <w:tcMar>
              <w:top w:w="100" w:type="dxa"/>
              <w:left w:w="100" w:type="dxa"/>
              <w:bottom w:w="100" w:type="dxa"/>
              <w:right w:w="100" w:type="dxa"/>
            </w:tcMar>
          </w:tcPr>
          <w:p w14:paraId="70B45B01"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r>
      <w:tr w:rsidR="00FA6F99" w:rsidRPr="0048128B" w14:paraId="6618F7F6" w14:textId="77777777">
        <w:tc>
          <w:tcPr>
            <w:tcW w:w="1289" w:type="dxa"/>
            <w:shd w:val="clear" w:color="auto" w:fill="D9D9D9"/>
            <w:tcMar>
              <w:top w:w="100" w:type="dxa"/>
              <w:left w:w="100" w:type="dxa"/>
              <w:bottom w:w="100" w:type="dxa"/>
              <w:right w:w="100" w:type="dxa"/>
            </w:tcMar>
          </w:tcPr>
          <w:p w14:paraId="69584FE0"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Internal Product Testing</w:t>
            </w:r>
          </w:p>
        </w:tc>
        <w:tc>
          <w:tcPr>
            <w:tcW w:w="1289" w:type="dxa"/>
            <w:shd w:val="clear" w:color="auto" w:fill="D9D9D9"/>
            <w:tcMar>
              <w:top w:w="100" w:type="dxa"/>
              <w:left w:w="100" w:type="dxa"/>
              <w:bottom w:w="100" w:type="dxa"/>
              <w:right w:w="100" w:type="dxa"/>
            </w:tcMar>
          </w:tcPr>
          <w:p w14:paraId="7BFD37E9"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A</w:t>
            </w:r>
          </w:p>
        </w:tc>
        <w:tc>
          <w:tcPr>
            <w:tcW w:w="1289" w:type="dxa"/>
            <w:shd w:val="clear" w:color="auto" w:fill="D9D9D9"/>
            <w:tcMar>
              <w:top w:w="100" w:type="dxa"/>
              <w:left w:w="100" w:type="dxa"/>
              <w:bottom w:w="100" w:type="dxa"/>
              <w:right w:w="100" w:type="dxa"/>
            </w:tcMar>
          </w:tcPr>
          <w:p w14:paraId="3C56E94B"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R</w:t>
            </w:r>
          </w:p>
        </w:tc>
        <w:tc>
          <w:tcPr>
            <w:tcW w:w="1289" w:type="dxa"/>
            <w:shd w:val="clear" w:color="auto" w:fill="D9D9D9"/>
            <w:tcMar>
              <w:top w:w="100" w:type="dxa"/>
              <w:left w:w="100" w:type="dxa"/>
              <w:bottom w:w="100" w:type="dxa"/>
              <w:right w:w="100" w:type="dxa"/>
            </w:tcMar>
          </w:tcPr>
          <w:p w14:paraId="6D40C1A1"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c>
          <w:tcPr>
            <w:tcW w:w="1289" w:type="dxa"/>
            <w:shd w:val="clear" w:color="auto" w:fill="D9D9D9"/>
            <w:tcMar>
              <w:top w:w="100" w:type="dxa"/>
              <w:left w:w="100" w:type="dxa"/>
              <w:bottom w:w="100" w:type="dxa"/>
              <w:right w:w="100" w:type="dxa"/>
            </w:tcMar>
          </w:tcPr>
          <w:p w14:paraId="68512017"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A/R</w:t>
            </w:r>
          </w:p>
        </w:tc>
        <w:tc>
          <w:tcPr>
            <w:tcW w:w="1289" w:type="dxa"/>
            <w:shd w:val="clear" w:color="auto" w:fill="D9D9D9"/>
            <w:tcMar>
              <w:top w:w="100" w:type="dxa"/>
              <w:left w:w="100" w:type="dxa"/>
              <w:bottom w:w="100" w:type="dxa"/>
              <w:right w:w="100" w:type="dxa"/>
            </w:tcMar>
          </w:tcPr>
          <w:p w14:paraId="0B49140F"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0D93470A"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r>
      <w:tr w:rsidR="00FA6F99" w:rsidRPr="0048128B" w14:paraId="2824989D" w14:textId="77777777">
        <w:tc>
          <w:tcPr>
            <w:tcW w:w="1289" w:type="dxa"/>
            <w:shd w:val="clear" w:color="auto" w:fill="D9D9D9"/>
            <w:tcMar>
              <w:top w:w="100" w:type="dxa"/>
              <w:left w:w="100" w:type="dxa"/>
              <w:bottom w:w="100" w:type="dxa"/>
              <w:right w:w="100" w:type="dxa"/>
            </w:tcMar>
          </w:tcPr>
          <w:p w14:paraId="66ED9472"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Regulatory </w:t>
            </w:r>
            <w:r w:rsidRPr="0048128B">
              <w:rPr>
                <w:rFonts w:ascii="Times New Roman" w:eastAsia="Times New Roman" w:hAnsi="Times New Roman" w:cs="Times New Roman"/>
                <w:sz w:val="24"/>
                <w:szCs w:val="24"/>
              </w:rPr>
              <w:lastRenderedPageBreak/>
              <w:t>Compliance</w:t>
            </w:r>
          </w:p>
        </w:tc>
        <w:tc>
          <w:tcPr>
            <w:tcW w:w="1289" w:type="dxa"/>
            <w:shd w:val="clear" w:color="auto" w:fill="D9D9D9"/>
            <w:tcMar>
              <w:top w:w="100" w:type="dxa"/>
              <w:left w:w="100" w:type="dxa"/>
              <w:bottom w:w="100" w:type="dxa"/>
              <w:right w:w="100" w:type="dxa"/>
            </w:tcMar>
          </w:tcPr>
          <w:p w14:paraId="4364D1D3"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lastRenderedPageBreak/>
              <w:t>A</w:t>
            </w:r>
          </w:p>
        </w:tc>
        <w:tc>
          <w:tcPr>
            <w:tcW w:w="1289" w:type="dxa"/>
            <w:shd w:val="clear" w:color="auto" w:fill="D9D9D9"/>
            <w:tcMar>
              <w:top w:w="100" w:type="dxa"/>
              <w:left w:w="100" w:type="dxa"/>
              <w:bottom w:w="100" w:type="dxa"/>
              <w:right w:w="100" w:type="dxa"/>
            </w:tcMar>
          </w:tcPr>
          <w:p w14:paraId="0DD26186"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R</w:t>
            </w:r>
          </w:p>
        </w:tc>
        <w:tc>
          <w:tcPr>
            <w:tcW w:w="1289" w:type="dxa"/>
            <w:shd w:val="clear" w:color="auto" w:fill="D9D9D9"/>
            <w:tcMar>
              <w:top w:w="100" w:type="dxa"/>
              <w:left w:w="100" w:type="dxa"/>
              <w:bottom w:w="100" w:type="dxa"/>
              <w:right w:w="100" w:type="dxa"/>
            </w:tcMar>
          </w:tcPr>
          <w:p w14:paraId="5AF40B4C"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c>
          <w:tcPr>
            <w:tcW w:w="1289" w:type="dxa"/>
            <w:shd w:val="clear" w:color="auto" w:fill="D9D9D9"/>
            <w:tcMar>
              <w:top w:w="100" w:type="dxa"/>
              <w:left w:w="100" w:type="dxa"/>
              <w:bottom w:w="100" w:type="dxa"/>
              <w:right w:w="100" w:type="dxa"/>
            </w:tcMar>
          </w:tcPr>
          <w:p w14:paraId="5F625699"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R</w:t>
            </w:r>
          </w:p>
        </w:tc>
        <w:tc>
          <w:tcPr>
            <w:tcW w:w="1289" w:type="dxa"/>
            <w:shd w:val="clear" w:color="auto" w:fill="D9D9D9"/>
            <w:tcMar>
              <w:top w:w="100" w:type="dxa"/>
              <w:left w:w="100" w:type="dxa"/>
              <w:bottom w:w="100" w:type="dxa"/>
              <w:right w:w="100" w:type="dxa"/>
            </w:tcMar>
          </w:tcPr>
          <w:p w14:paraId="5AA10C50"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6F624601"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r>
      <w:tr w:rsidR="00FA6F99" w:rsidRPr="0048128B" w14:paraId="1CC0FB63" w14:textId="77777777">
        <w:tc>
          <w:tcPr>
            <w:tcW w:w="1289" w:type="dxa"/>
            <w:shd w:val="clear" w:color="auto" w:fill="D9D9D9"/>
            <w:tcMar>
              <w:top w:w="100" w:type="dxa"/>
              <w:left w:w="100" w:type="dxa"/>
              <w:bottom w:w="100" w:type="dxa"/>
              <w:right w:w="100" w:type="dxa"/>
            </w:tcMar>
          </w:tcPr>
          <w:p w14:paraId="1EFF8971" w14:textId="77777777" w:rsidR="00FA6F99" w:rsidRPr="0048128B" w:rsidRDefault="00A871E1"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Strategic marketing and launch</w:t>
            </w:r>
          </w:p>
        </w:tc>
        <w:tc>
          <w:tcPr>
            <w:tcW w:w="1289" w:type="dxa"/>
            <w:shd w:val="clear" w:color="auto" w:fill="D9D9D9"/>
            <w:tcMar>
              <w:top w:w="100" w:type="dxa"/>
              <w:left w:w="100" w:type="dxa"/>
              <w:bottom w:w="100" w:type="dxa"/>
              <w:right w:w="100" w:type="dxa"/>
            </w:tcMar>
          </w:tcPr>
          <w:p w14:paraId="4C4875B0"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A</w:t>
            </w:r>
          </w:p>
        </w:tc>
        <w:tc>
          <w:tcPr>
            <w:tcW w:w="1289" w:type="dxa"/>
            <w:shd w:val="clear" w:color="auto" w:fill="D9D9D9"/>
            <w:tcMar>
              <w:top w:w="100" w:type="dxa"/>
              <w:left w:w="100" w:type="dxa"/>
              <w:bottom w:w="100" w:type="dxa"/>
              <w:right w:w="100" w:type="dxa"/>
            </w:tcMar>
          </w:tcPr>
          <w:p w14:paraId="12D7BF46"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c>
          <w:tcPr>
            <w:tcW w:w="1289" w:type="dxa"/>
            <w:shd w:val="clear" w:color="auto" w:fill="D9D9D9"/>
            <w:tcMar>
              <w:top w:w="100" w:type="dxa"/>
              <w:left w:w="100" w:type="dxa"/>
              <w:bottom w:w="100" w:type="dxa"/>
              <w:right w:w="100" w:type="dxa"/>
            </w:tcMar>
          </w:tcPr>
          <w:p w14:paraId="79D1AE34"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7C14EF8E"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I</w:t>
            </w:r>
          </w:p>
        </w:tc>
        <w:tc>
          <w:tcPr>
            <w:tcW w:w="1289" w:type="dxa"/>
            <w:shd w:val="clear" w:color="auto" w:fill="D9D9D9"/>
            <w:tcMar>
              <w:top w:w="100" w:type="dxa"/>
              <w:left w:w="100" w:type="dxa"/>
              <w:bottom w:w="100" w:type="dxa"/>
              <w:right w:w="100" w:type="dxa"/>
            </w:tcMar>
          </w:tcPr>
          <w:p w14:paraId="4A3725BA"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C</w:t>
            </w:r>
          </w:p>
        </w:tc>
        <w:tc>
          <w:tcPr>
            <w:tcW w:w="1289" w:type="dxa"/>
            <w:shd w:val="clear" w:color="auto" w:fill="D9D9D9"/>
            <w:tcMar>
              <w:top w:w="100" w:type="dxa"/>
              <w:left w:w="100" w:type="dxa"/>
              <w:bottom w:w="100" w:type="dxa"/>
              <w:right w:w="100" w:type="dxa"/>
            </w:tcMar>
          </w:tcPr>
          <w:p w14:paraId="40AF3640"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R</w:t>
            </w:r>
          </w:p>
        </w:tc>
      </w:tr>
    </w:tbl>
    <w:p w14:paraId="3278B90B" w14:textId="44BBE252" w:rsidR="00FA6F99" w:rsidRPr="0048128B" w:rsidRDefault="00A871E1" w:rsidP="00433EB4">
      <w:pPr>
        <w:spacing w:line="360" w:lineRule="auto"/>
        <w:jc w:val="center"/>
        <w:rPr>
          <w:rFonts w:ascii="Times New Roman" w:eastAsia="Times New Roman" w:hAnsi="Times New Roman" w:cs="Times New Roman"/>
          <w:b/>
          <w:bCs/>
          <w:sz w:val="24"/>
          <w:szCs w:val="24"/>
        </w:rPr>
      </w:pPr>
      <w:r w:rsidRPr="0048128B">
        <w:rPr>
          <w:rFonts w:ascii="Times New Roman" w:eastAsia="Times New Roman" w:hAnsi="Times New Roman" w:cs="Times New Roman"/>
          <w:b/>
          <w:bCs/>
          <w:sz w:val="24"/>
          <w:szCs w:val="24"/>
        </w:rPr>
        <w:t xml:space="preserve">Table </w:t>
      </w:r>
      <w:r w:rsidR="007249E8">
        <w:rPr>
          <w:rFonts w:ascii="Times New Roman" w:eastAsia="Times New Roman" w:hAnsi="Times New Roman" w:cs="Times New Roman"/>
          <w:b/>
          <w:bCs/>
          <w:sz w:val="24"/>
          <w:szCs w:val="24"/>
        </w:rPr>
        <w:t>6</w:t>
      </w:r>
      <w:r w:rsidRPr="0048128B">
        <w:rPr>
          <w:rFonts w:ascii="Times New Roman" w:eastAsia="Times New Roman" w:hAnsi="Times New Roman" w:cs="Times New Roman"/>
          <w:b/>
          <w:bCs/>
          <w:sz w:val="24"/>
          <w:szCs w:val="24"/>
        </w:rPr>
        <w:t xml:space="preserve">: RACI Matrix </w:t>
      </w:r>
    </w:p>
    <w:p w14:paraId="5C5F97B0" w14:textId="77777777" w:rsidR="00FA6F99" w:rsidRPr="0048128B" w:rsidRDefault="00A871E1" w:rsidP="00433EB4">
      <w:pPr>
        <w:spacing w:line="360" w:lineRule="auto"/>
        <w:jc w:val="center"/>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(Source: Self-developed)</w:t>
      </w:r>
    </w:p>
    <w:p w14:paraId="5A4B19B8" w14:textId="77777777"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The above RACI matrix highlights that </w:t>
      </w:r>
      <w:proofErr w:type="gramStart"/>
      <w:r w:rsidRPr="0048128B">
        <w:rPr>
          <w:rFonts w:ascii="Times New Roman" w:eastAsia="Times New Roman" w:hAnsi="Times New Roman" w:cs="Times New Roman"/>
          <w:sz w:val="24"/>
          <w:szCs w:val="24"/>
        </w:rPr>
        <w:t>the majority of</w:t>
      </w:r>
      <w:proofErr w:type="gramEnd"/>
      <w:r w:rsidRPr="0048128B">
        <w:rPr>
          <w:rFonts w:ascii="Times New Roman" w:eastAsia="Times New Roman" w:hAnsi="Times New Roman" w:cs="Times New Roman"/>
          <w:sz w:val="24"/>
          <w:szCs w:val="24"/>
        </w:rPr>
        <w:t xml:space="preserve"> responsibility usually lies within the project manager, engineering and R&amp;D and UI designers. UX and UI designs are critical for any product to be developed that can have an impact on engagement, satisfaction and user loyalty (Hasan </w:t>
      </w:r>
      <w:r w:rsidRPr="0048128B">
        <w:rPr>
          <w:rFonts w:ascii="Times New Roman" w:eastAsia="Times New Roman" w:hAnsi="Times New Roman" w:cs="Times New Roman"/>
          <w:i/>
          <w:iCs/>
          <w:sz w:val="24"/>
          <w:szCs w:val="24"/>
        </w:rPr>
        <w:t>et al.</w:t>
      </w:r>
      <w:r w:rsidRPr="0048128B">
        <w:rPr>
          <w:rFonts w:ascii="Times New Roman" w:eastAsia="Times New Roman" w:hAnsi="Times New Roman" w:cs="Times New Roman"/>
          <w:sz w:val="24"/>
          <w:szCs w:val="24"/>
        </w:rPr>
        <w:t xml:space="preserve">, 2024). The marketing team is mainly responsible for product launch that will take place after product testing and development. </w:t>
      </w:r>
    </w:p>
    <w:p w14:paraId="0E269F6F" w14:textId="77777777" w:rsidR="00FA6F99" w:rsidRPr="0048128B" w:rsidRDefault="00A871E1" w:rsidP="00433EB4">
      <w:pPr>
        <w:pStyle w:val="Heading1"/>
        <w:spacing w:before="0" w:after="0"/>
      </w:pPr>
      <w:bookmarkStart w:id="17" w:name="_Toc225365701"/>
      <w:r w:rsidRPr="0048128B">
        <w:t>6. Critical explanation of the process as the project manager to engage these key stakeholders and evaluate methods of managing conflicts</w:t>
      </w:r>
      <w:bookmarkEnd w:id="17"/>
    </w:p>
    <w:p w14:paraId="7ABF14E7" w14:textId="77777777" w:rsidR="00FA6F99" w:rsidRPr="0048128B" w:rsidRDefault="00A871E1" w:rsidP="00433EB4">
      <w:pPr>
        <w:pStyle w:val="Heading2"/>
        <w:spacing w:before="0" w:after="0"/>
      </w:pPr>
      <w:bookmarkStart w:id="18" w:name="_Toc225365702"/>
      <w:r w:rsidRPr="0048128B">
        <w:t>6.1 Critical explanation of engaging with stakeholders</w:t>
      </w:r>
      <w:bookmarkEnd w:id="18"/>
      <w:r w:rsidRPr="0048128B">
        <w:t xml:space="preserve"> </w:t>
      </w:r>
    </w:p>
    <w:p w14:paraId="0F91C8DF" w14:textId="7C5D7FCD" w:rsidR="00FA6F99" w:rsidRPr="0048128B"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Being a project manager for health and social care devices, streamlined strategies for maintaining overall communication levels is to be prioritised efficiently through pre-submission meetings and readiness of the overall audit. The initial design includes semi-structured interviews and co-design where the project manager at Philips for the wearable device will engage with both patients and clinicians together. The device of Philips also needs to undergo development trust and transparency where the strategy includes briefings on data security and iterative prototyping. One of the most familiar examples of a </w:t>
      </w:r>
      <w:proofErr w:type="gramStart"/>
      <w:r w:rsidRPr="0048128B">
        <w:rPr>
          <w:rFonts w:ascii="Times New Roman" w:eastAsia="Times New Roman" w:hAnsi="Times New Roman" w:cs="Times New Roman"/>
          <w:sz w:val="24"/>
          <w:szCs w:val="24"/>
        </w:rPr>
        <w:t>group-ware</w:t>
      </w:r>
      <w:proofErr w:type="gramEnd"/>
      <w:r w:rsidRPr="0048128B">
        <w:rPr>
          <w:rFonts w:ascii="Times New Roman" w:eastAsia="Times New Roman" w:hAnsi="Times New Roman" w:cs="Times New Roman"/>
          <w:sz w:val="24"/>
          <w:szCs w:val="24"/>
        </w:rPr>
        <w:t xml:space="preserve"> is a </w:t>
      </w:r>
      <w:r w:rsidR="00433EB4" w:rsidRPr="0048128B">
        <w:rPr>
          <w:rFonts w:ascii="Times New Roman" w:eastAsia="Times New Roman" w:hAnsi="Times New Roman" w:cs="Times New Roman"/>
          <w:sz w:val="24"/>
          <w:szCs w:val="24"/>
        </w:rPr>
        <w:t>computer-oriented</w:t>
      </w:r>
      <w:r w:rsidRPr="0048128B">
        <w:rPr>
          <w:rFonts w:ascii="Times New Roman" w:eastAsia="Times New Roman" w:hAnsi="Times New Roman" w:cs="Times New Roman"/>
          <w:sz w:val="24"/>
          <w:szCs w:val="24"/>
        </w:rPr>
        <w:t xml:space="preserve"> messaging system which provides support for asynchronous exchange of any textual information (Ellis </w:t>
      </w:r>
      <w:r w:rsidRPr="0048128B">
        <w:rPr>
          <w:rFonts w:ascii="Times New Roman" w:eastAsia="Times New Roman" w:hAnsi="Times New Roman" w:cs="Times New Roman"/>
          <w:i/>
          <w:iCs/>
          <w:sz w:val="24"/>
          <w:szCs w:val="24"/>
        </w:rPr>
        <w:t>et al.</w:t>
      </w:r>
      <w:r w:rsidRPr="0048128B">
        <w:rPr>
          <w:rFonts w:ascii="Times New Roman" w:eastAsia="Times New Roman" w:hAnsi="Times New Roman" w:cs="Times New Roman"/>
          <w:sz w:val="24"/>
          <w:szCs w:val="24"/>
        </w:rPr>
        <w:t xml:space="preserve">, 1991). The critical goal of the project manager is building trust for ensuring that it is not just a reliable tool for monitoring health requirements for older, middle aged and younger adults but is also accepted across a wide range of consumers. In the testing phase, pilot studies are to be </w:t>
      </w:r>
      <w:proofErr w:type="gramStart"/>
      <w:r w:rsidRPr="0048128B">
        <w:rPr>
          <w:rFonts w:ascii="Times New Roman" w:eastAsia="Times New Roman" w:hAnsi="Times New Roman" w:cs="Times New Roman"/>
          <w:sz w:val="24"/>
          <w:szCs w:val="24"/>
        </w:rPr>
        <w:t>taken into account</w:t>
      </w:r>
      <w:proofErr w:type="gramEnd"/>
      <w:r w:rsidRPr="0048128B">
        <w:rPr>
          <w:rFonts w:ascii="Times New Roman" w:eastAsia="Times New Roman" w:hAnsi="Times New Roman" w:cs="Times New Roman"/>
          <w:sz w:val="24"/>
          <w:szCs w:val="24"/>
        </w:rPr>
        <w:t xml:space="preserve"> by making use of rapid cycles of iteration. For Philips’ medical wearable device, a pilot study can be supported that mainly includes elderly users, clinicians and care providers in monitoring any hurdles that might arise. </w:t>
      </w:r>
    </w:p>
    <w:p w14:paraId="76C55D5E" w14:textId="63FD07CA" w:rsidR="005C6A97" w:rsidRDefault="00A871E1" w:rsidP="00433EB4">
      <w:pPr>
        <w:spacing w:line="360" w:lineRule="auto"/>
        <w:jc w:val="both"/>
        <w:rPr>
          <w:rFonts w:ascii="Times New Roman" w:eastAsia="Times New Roman" w:hAnsi="Times New Roman" w:cs="Times New Roman"/>
          <w:sz w:val="24"/>
          <w:szCs w:val="24"/>
        </w:rPr>
      </w:pPr>
      <w:r w:rsidRPr="0048128B">
        <w:rPr>
          <w:rFonts w:ascii="Times New Roman" w:eastAsia="Times New Roman" w:hAnsi="Times New Roman" w:cs="Times New Roman"/>
          <w:sz w:val="24"/>
          <w:szCs w:val="24"/>
        </w:rPr>
        <w:t xml:space="preserve">A critical goal involves building up on trust by proving that the device is reliable and not just a consumer gadget which can be used for improving acceptance levels. Remote monitoring with the help of wearable sensor technology is considered as a promising solution for </w:t>
      </w:r>
      <w:r w:rsidRPr="0048128B">
        <w:rPr>
          <w:rFonts w:ascii="Times New Roman" w:eastAsia="Times New Roman" w:hAnsi="Times New Roman" w:cs="Times New Roman"/>
          <w:sz w:val="24"/>
          <w:szCs w:val="24"/>
        </w:rPr>
        <w:lastRenderedPageBreak/>
        <w:t xml:space="preserve">addressing the gap (Miller </w:t>
      </w:r>
      <w:r w:rsidRPr="0048128B">
        <w:rPr>
          <w:rFonts w:ascii="Times New Roman" w:eastAsia="Times New Roman" w:hAnsi="Times New Roman" w:cs="Times New Roman"/>
          <w:i/>
          <w:iCs/>
          <w:sz w:val="24"/>
          <w:szCs w:val="24"/>
        </w:rPr>
        <w:t>et al.</w:t>
      </w:r>
      <w:r w:rsidRPr="0048128B">
        <w:rPr>
          <w:rFonts w:ascii="Times New Roman" w:eastAsia="Times New Roman" w:hAnsi="Times New Roman" w:cs="Times New Roman"/>
          <w:sz w:val="24"/>
          <w:szCs w:val="24"/>
        </w:rPr>
        <w:t xml:space="preserve">, 2025). The project manager also needs to consider the implementation and launch phase which is to be done by the marketing and sales team. The project manager can focus on critical success factors for mitigating conflicts such as empathy, active listening and collaborative practices with other stakeholders. Functionality conflicts also need to be mitigated through the help of user-centric focus that can prioritise milestones at the R&amp;D department. Structural conflict across the management can be alleviated by the project manager through RACI matrix, issue log and change request system. Lastly, mitigation of technical and legal conflicts requires designing a committee that focuses on adhering to privacy and ensuring that there is data </w:t>
      </w:r>
      <w:r w:rsidR="0048128B" w:rsidRPr="0048128B">
        <w:rPr>
          <w:rFonts w:ascii="Times New Roman" w:eastAsia="Times New Roman" w:hAnsi="Times New Roman" w:cs="Times New Roman"/>
          <w:sz w:val="24"/>
          <w:szCs w:val="24"/>
        </w:rPr>
        <w:t>anonymization</w:t>
      </w:r>
      <w:r w:rsidRPr="0048128B">
        <w:rPr>
          <w:rFonts w:ascii="Times New Roman" w:eastAsia="Times New Roman" w:hAnsi="Times New Roman" w:cs="Times New Roman"/>
          <w:sz w:val="24"/>
          <w:szCs w:val="24"/>
        </w:rPr>
        <w:t>.</w:t>
      </w:r>
      <w:r w:rsidR="00FD1D08">
        <w:rPr>
          <w:rFonts w:ascii="Times New Roman" w:eastAsia="Times New Roman" w:hAnsi="Times New Roman" w:cs="Times New Roman"/>
          <w:sz w:val="24"/>
          <w:szCs w:val="24"/>
        </w:rPr>
        <w:t xml:space="preserve"> </w:t>
      </w:r>
    </w:p>
    <w:p w14:paraId="462557F2" w14:textId="77777777" w:rsidR="005C6A97" w:rsidRPr="005C6A97" w:rsidRDefault="005C6A97" w:rsidP="00433EB4">
      <w:pPr>
        <w:pStyle w:val="Heading2"/>
        <w:spacing w:before="0" w:after="0"/>
        <w:rPr>
          <w:lang w:eastAsia="en-IN" w:bidi="bn-IN"/>
        </w:rPr>
      </w:pPr>
      <w:bookmarkStart w:id="19" w:name="_3h0ssbeiwqzd" w:colFirst="0" w:colLast="0"/>
      <w:bookmarkStart w:id="20" w:name="_Toc225365703"/>
      <w:bookmarkEnd w:id="19"/>
      <w:r w:rsidRPr="005C6A97">
        <w:rPr>
          <w:lang w:eastAsia="en-IN" w:bidi="bn-IN"/>
        </w:rPr>
        <w:t>6.2 Evaluation of methods for managing conflicts</w:t>
      </w:r>
      <w:bookmarkEnd w:id="20"/>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3710"/>
        <w:gridCol w:w="3700"/>
      </w:tblGrid>
      <w:tr w:rsidR="005C6A97" w:rsidRPr="005C6A97" w14:paraId="50F23475" w14:textId="77777777" w:rsidTr="009B51ED">
        <w:trPr>
          <w:jc w:val="center"/>
        </w:trPr>
        <w:tc>
          <w:tcPr>
            <w:tcW w:w="1950" w:type="dxa"/>
            <w:tcMar>
              <w:top w:w="100" w:type="dxa"/>
              <w:left w:w="100" w:type="dxa"/>
              <w:bottom w:w="100" w:type="dxa"/>
              <w:right w:w="100" w:type="dxa"/>
            </w:tcMar>
          </w:tcPr>
          <w:p w14:paraId="21ABC08C" w14:textId="77777777" w:rsidR="005C6A97" w:rsidRPr="005C6A97" w:rsidRDefault="005C6A97"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eastAsia="en-IN" w:bidi="bn-IN"/>
              </w:rPr>
            </w:pPr>
            <w:r w:rsidRPr="005C6A97">
              <w:rPr>
                <w:rFonts w:ascii="Times New Roman" w:eastAsia="Times New Roman" w:hAnsi="Times New Roman" w:cs="Times New Roman"/>
                <w:b/>
                <w:bCs/>
                <w:sz w:val="24"/>
                <w:szCs w:val="24"/>
                <w:lang w:eastAsia="en-IN" w:bidi="bn-IN"/>
              </w:rPr>
              <w:t>4C’s Model</w:t>
            </w:r>
          </w:p>
        </w:tc>
        <w:tc>
          <w:tcPr>
            <w:tcW w:w="3710" w:type="dxa"/>
            <w:tcMar>
              <w:top w:w="100" w:type="dxa"/>
              <w:left w:w="100" w:type="dxa"/>
              <w:bottom w:w="100" w:type="dxa"/>
              <w:right w:w="100" w:type="dxa"/>
            </w:tcMar>
          </w:tcPr>
          <w:p w14:paraId="55068856" w14:textId="77777777" w:rsidR="005C6A97" w:rsidRPr="005C6A97" w:rsidRDefault="005C6A97"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eastAsia="en-IN" w:bidi="bn-IN"/>
              </w:rPr>
            </w:pPr>
            <w:r w:rsidRPr="005C6A97">
              <w:rPr>
                <w:rFonts w:ascii="Times New Roman" w:eastAsia="Times New Roman" w:hAnsi="Times New Roman" w:cs="Times New Roman"/>
                <w:b/>
                <w:bCs/>
                <w:sz w:val="24"/>
                <w:szCs w:val="24"/>
                <w:lang w:eastAsia="en-IN" w:bidi="bn-IN"/>
              </w:rPr>
              <w:t>Application in Philips Healthcare</w:t>
            </w:r>
          </w:p>
        </w:tc>
        <w:tc>
          <w:tcPr>
            <w:tcW w:w="3700" w:type="dxa"/>
            <w:tcMar>
              <w:top w:w="100" w:type="dxa"/>
              <w:left w:w="100" w:type="dxa"/>
              <w:bottom w:w="100" w:type="dxa"/>
              <w:right w:w="100" w:type="dxa"/>
            </w:tcMar>
          </w:tcPr>
          <w:p w14:paraId="76A91E09" w14:textId="77777777" w:rsidR="005C6A97" w:rsidRPr="005C6A97" w:rsidRDefault="005C6A97" w:rsidP="00433EB4">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eastAsia="en-IN" w:bidi="bn-IN"/>
              </w:rPr>
            </w:pPr>
            <w:r w:rsidRPr="005C6A97">
              <w:rPr>
                <w:rFonts w:ascii="Times New Roman" w:eastAsia="Times New Roman" w:hAnsi="Times New Roman" w:cs="Times New Roman"/>
                <w:b/>
                <w:bCs/>
                <w:sz w:val="24"/>
                <w:szCs w:val="24"/>
                <w:lang w:eastAsia="en-IN" w:bidi="bn-IN"/>
              </w:rPr>
              <w:t>Conflict Management Outcome</w:t>
            </w:r>
          </w:p>
        </w:tc>
      </w:tr>
      <w:tr w:rsidR="005C6A97" w:rsidRPr="005C6A97" w14:paraId="5B4FFC8F" w14:textId="77777777" w:rsidTr="009B51ED">
        <w:trPr>
          <w:jc w:val="center"/>
        </w:trPr>
        <w:tc>
          <w:tcPr>
            <w:tcW w:w="1950" w:type="dxa"/>
            <w:tcMar>
              <w:top w:w="100" w:type="dxa"/>
              <w:left w:w="100" w:type="dxa"/>
              <w:bottom w:w="100" w:type="dxa"/>
              <w:right w:w="100" w:type="dxa"/>
            </w:tcMar>
          </w:tcPr>
          <w:p w14:paraId="76D349A3" w14:textId="77777777" w:rsidR="005C6A97" w:rsidRPr="005C6A97" w:rsidRDefault="005C6A97" w:rsidP="00433EB4">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eastAsia="en-IN" w:bidi="bn-IN"/>
              </w:rPr>
            </w:pPr>
            <w:r w:rsidRPr="005C6A97">
              <w:rPr>
                <w:rFonts w:ascii="Times New Roman" w:eastAsia="Times New Roman" w:hAnsi="Times New Roman" w:cs="Times New Roman"/>
                <w:b/>
                <w:bCs/>
                <w:sz w:val="24"/>
                <w:szCs w:val="24"/>
                <w:lang w:eastAsia="en-IN" w:bidi="bn-IN"/>
              </w:rPr>
              <w:t>Communication</w:t>
            </w:r>
          </w:p>
        </w:tc>
        <w:tc>
          <w:tcPr>
            <w:tcW w:w="3710" w:type="dxa"/>
            <w:tcMar>
              <w:top w:w="100" w:type="dxa"/>
              <w:left w:w="100" w:type="dxa"/>
              <w:bottom w:w="100" w:type="dxa"/>
              <w:right w:w="100" w:type="dxa"/>
            </w:tcMar>
          </w:tcPr>
          <w:p w14:paraId="22BCE9F4" w14:textId="77777777" w:rsidR="005C6A97" w:rsidRPr="005C6A97" w:rsidRDefault="005C6A97" w:rsidP="00433EB4">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To establish clear, transparent, and timely communication channels between clinical staff, engineers, and management.</w:t>
            </w:r>
          </w:p>
          <w:p w14:paraId="4467F34F" w14:textId="77777777" w:rsidR="005C6A97" w:rsidRPr="005C6A97" w:rsidRDefault="005C6A97" w:rsidP="00433EB4">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Utilisation of structured briefings, feedback systems, and digital tools to reduce misunderstandings.</w:t>
            </w:r>
          </w:p>
        </w:tc>
        <w:tc>
          <w:tcPr>
            <w:tcW w:w="3700" w:type="dxa"/>
            <w:tcMar>
              <w:top w:w="100" w:type="dxa"/>
              <w:left w:w="100" w:type="dxa"/>
              <w:bottom w:w="100" w:type="dxa"/>
              <w:right w:w="100" w:type="dxa"/>
            </w:tcMar>
          </w:tcPr>
          <w:p w14:paraId="62EDE3FB" w14:textId="77777777" w:rsidR="005C6A97" w:rsidRPr="005C6A97" w:rsidRDefault="005C6A97"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 xml:space="preserve">Effective communication plays an important role for Philips Healthcare in blurring internal conflicts. According to Jasim and Faris (2024), effective communication acts as a mediator in strengthening conflict management, concerning three key conflicts including task, relationship and process. Thus, the combination of structured briefings and communication plays an important role in terms of minimising misinterpretation, concerning reduction within tension. </w:t>
            </w:r>
          </w:p>
        </w:tc>
      </w:tr>
      <w:tr w:rsidR="005C6A97" w:rsidRPr="005C6A97" w14:paraId="44BA6C69" w14:textId="77777777" w:rsidTr="009B51ED">
        <w:trPr>
          <w:jc w:val="center"/>
        </w:trPr>
        <w:tc>
          <w:tcPr>
            <w:tcW w:w="1950" w:type="dxa"/>
            <w:tcMar>
              <w:top w:w="100" w:type="dxa"/>
              <w:left w:w="100" w:type="dxa"/>
              <w:bottom w:w="100" w:type="dxa"/>
              <w:right w:w="100" w:type="dxa"/>
            </w:tcMar>
          </w:tcPr>
          <w:p w14:paraId="2698D4C4" w14:textId="77777777" w:rsidR="005C6A97" w:rsidRPr="005C6A97" w:rsidRDefault="005C6A97" w:rsidP="00433EB4">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eastAsia="en-IN" w:bidi="bn-IN"/>
              </w:rPr>
            </w:pPr>
            <w:r w:rsidRPr="005C6A97">
              <w:rPr>
                <w:rFonts w:ascii="Times New Roman" w:eastAsia="Times New Roman" w:hAnsi="Times New Roman" w:cs="Times New Roman"/>
                <w:b/>
                <w:bCs/>
                <w:sz w:val="24"/>
                <w:szCs w:val="24"/>
                <w:lang w:eastAsia="en-IN" w:bidi="bn-IN"/>
              </w:rPr>
              <w:t>Coordination</w:t>
            </w:r>
          </w:p>
        </w:tc>
        <w:tc>
          <w:tcPr>
            <w:tcW w:w="3710" w:type="dxa"/>
            <w:tcMar>
              <w:top w:w="100" w:type="dxa"/>
              <w:left w:w="100" w:type="dxa"/>
              <w:bottom w:w="100" w:type="dxa"/>
              <w:right w:w="100" w:type="dxa"/>
            </w:tcMar>
          </w:tcPr>
          <w:p w14:paraId="50271C5F" w14:textId="77777777" w:rsidR="005C6A97" w:rsidRPr="005C6A97" w:rsidRDefault="005C6A97" w:rsidP="00433EB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To blend project management systems in terms of synchronising tasks.</w:t>
            </w:r>
          </w:p>
          <w:p w14:paraId="0778590F" w14:textId="77777777" w:rsidR="005C6A97" w:rsidRPr="005C6A97" w:rsidRDefault="005C6A97" w:rsidP="00433EB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 xml:space="preserve">To align roles, responsibilities, and workflows across multidisciplinary teams </w:t>
            </w:r>
            <w:r w:rsidRPr="005C6A97">
              <w:rPr>
                <w:rFonts w:ascii="Times New Roman" w:eastAsia="Times New Roman" w:hAnsi="Times New Roman" w:cs="Times New Roman"/>
                <w:sz w:val="24"/>
                <w:szCs w:val="24"/>
                <w:lang w:eastAsia="en-IN" w:bidi="bn-IN"/>
              </w:rPr>
              <w:lastRenderedPageBreak/>
              <w:t xml:space="preserve">including R&amp;D, clinical operations, and technical support. </w:t>
            </w:r>
          </w:p>
        </w:tc>
        <w:tc>
          <w:tcPr>
            <w:tcW w:w="3700" w:type="dxa"/>
            <w:tcMar>
              <w:top w:w="100" w:type="dxa"/>
              <w:left w:w="100" w:type="dxa"/>
              <w:bottom w:w="100" w:type="dxa"/>
              <w:right w:w="100" w:type="dxa"/>
            </w:tcMar>
          </w:tcPr>
          <w:p w14:paraId="2EFD412F" w14:textId="77777777" w:rsidR="005C6A97" w:rsidRPr="005C6A97" w:rsidRDefault="005C6A97"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lastRenderedPageBreak/>
              <w:t xml:space="preserve">According to Ybañez </w:t>
            </w:r>
            <w:r w:rsidRPr="005C6A97">
              <w:rPr>
                <w:rFonts w:ascii="Times New Roman" w:eastAsia="Times New Roman" w:hAnsi="Times New Roman" w:cs="Times New Roman"/>
                <w:i/>
                <w:iCs/>
                <w:sz w:val="24"/>
                <w:szCs w:val="24"/>
                <w:lang w:eastAsia="en-IN" w:bidi="bn-IN"/>
              </w:rPr>
              <w:t xml:space="preserve">et al. </w:t>
            </w:r>
            <w:r w:rsidRPr="005C6A97">
              <w:rPr>
                <w:rFonts w:ascii="Times New Roman" w:eastAsia="Times New Roman" w:hAnsi="Times New Roman" w:cs="Times New Roman"/>
                <w:sz w:val="24"/>
                <w:szCs w:val="24"/>
                <w:lang w:eastAsia="en-IN" w:bidi="bn-IN"/>
              </w:rPr>
              <w:t xml:space="preserve">(2023), coordination is important for an organisation in terms of reducing conflict arising from inefficiencies, followed by misaligned expectations. Coordination plays an important role for Philips Healthcare </w:t>
            </w:r>
            <w:r w:rsidRPr="005C6A97">
              <w:rPr>
                <w:rFonts w:ascii="Times New Roman" w:eastAsia="Times New Roman" w:hAnsi="Times New Roman" w:cs="Times New Roman"/>
                <w:sz w:val="24"/>
                <w:szCs w:val="24"/>
                <w:lang w:eastAsia="en-IN" w:bidi="bn-IN"/>
              </w:rPr>
              <w:lastRenderedPageBreak/>
              <w:t xml:space="preserve">in terms of preventing role ambiguity and operational overlap. </w:t>
            </w:r>
          </w:p>
        </w:tc>
      </w:tr>
      <w:tr w:rsidR="005C6A97" w:rsidRPr="005C6A97" w14:paraId="01D5107E" w14:textId="77777777" w:rsidTr="009B51ED">
        <w:trPr>
          <w:jc w:val="center"/>
        </w:trPr>
        <w:tc>
          <w:tcPr>
            <w:tcW w:w="1950" w:type="dxa"/>
            <w:tcMar>
              <w:top w:w="100" w:type="dxa"/>
              <w:left w:w="100" w:type="dxa"/>
              <w:bottom w:w="100" w:type="dxa"/>
              <w:right w:w="100" w:type="dxa"/>
            </w:tcMar>
          </w:tcPr>
          <w:p w14:paraId="3EDDC4CC" w14:textId="77777777" w:rsidR="005C6A97" w:rsidRPr="005C6A97" w:rsidRDefault="005C6A97" w:rsidP="00433EB4">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eastAsia="en-IN" w:bidi="bn-IN"/>
              </w:rPr>
            </w:pPr>
            <w:r w:rsidRPr="005C6A97">
              <w:rPr>
                <w:rFonts w:ascii="Times New Roman" w:eastAsia="Times New Roman" w:hAnsi="Times New Roman" w:cs="Times New Roman"/>
                <w:b/>
                <w:bCs/>
                <w:sz w:val="24"/>
                <w:szCs w:val="24"/>
                <w:lang w:eastAsia="en-IN" w:bidi="bn-IN"/>
              </w:rPr>
              <w:lastRenderedPageBreak/>
              <w:t>Cooperation</w:t>
            </w:r>
          </w:p>
        </w:tc>
        <w:tc>
          <w:tcPr>
            <w:tcW w:w="3710" w:type="dxa"/>
            <w:tcMar>
              <w:top w:w="100" w:type="dxa"/>
              <w:left w:w="100" w:type="dxa"/>
              <w:bottom w:w="100" w:type="dxa"/>
              <w:right w:w="100" w:type="dxa"/>
            </w:tcMar>
          </w:tcPr>
          <w:p w14:paraId="5CD398FB" w14:textId="77777777" w:rsidR="005C6A97" w:rsidRPr="005C6A97" w:rsidRDefault="005C6A97" w:rsidP="00433EB4">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 xml:space="preserve">To encourage a culture of mutual respect and shared goals. </w:t>
            </w:r>
          </w:p>
          <w:p w14:paraId="3CA0AAFA" w14:textId="77777777" w:rsidR="005C6A97" w:rsidRPr="005C6A97" w:rsidRDefault="005C6A97" w:rsidP="00433EB4">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To promote training and cross-functional understanding.</w:t>
            </w:r>
          </w:p>
        </w:tc>
        <w:tc>
          <w:tcPr>
            <w:tcW w:w="3700" w:type="dxa"/>
            <w:tcMar>
              <w:top w:w="100" w:type="dxa"/>
              <w:left w:w="100" w:type="dxa"/>
              <w:bottom w:w="100" w:type="dxa"/>
              <w:right w:w="100" w:type="dxa"/>
            </w:tcMar>
          </w:tcPr>
          <w:p w14:paraId="7ACC11D5" w14:textId="77777777" w:rsidR="005C6A97" w:rsidRPr="005C6A97" w:rsidRDefault="005C6A97"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 xml:space="preserve">Philips Healthcare can leverage the power of collectivism in terms of prioritising personal goals; collectivist cultures emphasize group harmony. As opined by Adham (2023) culture plays an important role in terms of strengthening conflict management based on constructive based on cognitive and affective trust. </w:t>
            </w:r>
          </w:p>
        </w:tc>
      </w:tr>
      <w:tr w:rsidR="005C6A97" w:rsidRPr="005C6A97" w14:paraId="51E4BCDA" w14:textId="77777777" w:rsidTr="009B51ED">
        <w:trPr>
          <w:jc w:val="center"/>
        </w:trPr>
        <w:tc>
          <w:tcPr>
            <w:tcW w:w="1950" w:type="dxa"/>
            <w:tcMar>
              <w:top w:w="100" w:type="dxa"/>
              <w:left w:w="100" w:type="dxa"/>
              <w:bottom w:w="100" w:type="dxa"/>
              <w:right w:w="100" w:type="dxa"/>
            </w:tcMar>
          </w:tcPr>
          <w:p w14:paraId="65E66BD7" w14:textId="77777777" w:rsidR="005C6A97" w:rsidRPr="005C6A97" w:rsidRDefault="005C6A97" w:rsidP="00433EB4">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eastAsia="en-IN" w:bidi="bn-IN"/>
              </w:rPr>
            </w:pPr>
            <w:r w:rsidRPr="005C6A97">
              <w:rPr>
                <w:rFonts w:ascii="Times New Roman" w:eastAsia="Times New Roman" w:hAnsi="Times New Roman" w:cs="Times New Roman"/>
                <w:b/>
                <w:bCs/>
                <w:sz w:val="24"/>
                <w:szCs w:val="24"/>
                <w:lang w:eastAsia="en-IN" w:bidi="bn-IN"/>
              </w:rPr>
              <w:t>Collaboration</w:t>
            </w:r>
          </w:p>
        </w:tc>
        <w:tc>
          <w:tcPr>
            <w:tcW w:w="3710" w:type="dxa"/>
            <w:tcMar>
              <w:top w:w="100" w:type="dxa"/>
              <w:left w:w="100" w:type="dxa"/>
              <w:bottom w:w="100" w:type="dxa"/>
              <w:right w:w="100" w:type="dxa"/>
            </w:tcMar>
          </w:tcPr>
          <w:p w14:paraId="53C40E8B" w14:textId="77777777" w:rsidR="005C6A97" w:rsidRPr="005C6A97" w:rsidRDefault="005C6A97" w:rsidP="00433EB4">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To facilitate joint problem-solving through team-based decision-making.</w:t>
            </w:r>
          </w:p>
          <w:p w14:paraId="236EC982" w14:textId="77777777" w:rsidR="005C6A97" w:rsidRPr="005C6A97" w:rsidRDefault="005C6A97" w:rsidP="00433EB4">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Usage of collaborative platforms and interdisciplinary meetings.</w:t>
            </w:r>
          </w:p>
        </w:tc>
        <w:tc>
          <w:tcPr>
            <w:tcW w:w="3700" w:type="dxa"/>
            <w:tcMar>
              <w:top w:w="100" w:type="dxa"/>
              <w:left w:w="100" w:type="dxa"/>
              <w:bottom w:w="100" w:type="dxa"/>
              <w:right w:w="100" w:type="dxa"/>
            </w:tcMar>
          </w:tcPr>
          <w:p w14:paraId="6C353FFD" w14:textId="77777777" w:rsidR="005C6A97" w:rsidRPr="005C6A97" w:rsidRDefault="005C6A97" w:rsidP="00433E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Collaboration, decision making, and conflict management are interdependent processes in shaping team effectiveness. As opined by McNaught (2024) collaboration enables diverse perspectives to be integrated, improving the quality of decision making. Thus, integrating collaboration with structured decision processes and adaptive conflict management can strengthen organizational performance and innovation for Philips Healthcare.</w:t>
            </w:r>
          </w:p>
        </w:tc>
      </w:tr>
    </w:tbl>
    <w:p w14:paraId="4F2DDF6C" w14:textId="02DBB83D" w:rsidR="005C6A97" w:rsidRPr="005C6A97" w:rsidRDefault="005C6A97" w:rsidP="00433EB4">
      <w:pPr>
        <w:spacing w:line="360" w:lineRule="auto"/>
        <w:jc w:val="center"/>
        <w:rPr>
          <w:rFonts w:ascii="Times New Roman" w:eastAsia="Times New Roman" w:hAnsi="Times New Roman" w:cs="Times New Roman"/>
          <w:b/>
          <w:bCs/>
          <w:sz w:val="24"/>
          <w:szCs w:val="24"/>
          <w:lang w:eastAsia="en-IN" w:bidi="bn-IN"/>
        </w:rPr>
      </w:pPr>
      <w:r w:rsidRPr="005C6A97">
        <w:rPr>
          <w:rFonts w:ascii="Times New Roman" w:eastAsia="Times New Roman" w:hAnsi="Times New Roman" w:cs="Times New Roman"/>
          <w:b/>
          <w:bCs/>
          <w:sz w:val="24"/>
          <w:szCs w:val="24"/>
          <w:lang w:eastAsia="en-IN" w:bidi="bn-IN"/>
        </w:rPr>
        <w:t xml:space="preserve">Table </w:t>
      </w:r>
      <w:r w:rsidR="00CA2426">
        <w:rPr>
          <w:rFonts w:ascii="Times New Roman" w:eastAsia="Times New Roman" w:hAnsi="Times New Roman" w:cs="Times New Roman"/>
          <w:b/>
          <w:bCs/>
          <w:sz w:val="24"/>
          <w:szCs w:val="24"/>
          <w:lang w:eastAsia="en-IN" w:bidi="bn-IN"/>
        </w:rPr>
        <w:t>7</w:t>
      </w:r>
      <w:r w:rsidRPr="005C6A97">
        <w:rPr>
          <w:rFonts w:ascii="Times New Roman" w:eastAsia="Times New Roman" w:hAnsi="Times New Roman" w:cs="Times New Roman"/>
          <w:b/>
          <w:bCs/>
          <w:sz w:val="24"/>
          <w:szCs w:val="24"/>
          <w:lang w:eastAsia="en-IN" w:bidi="bn-IN"/>
        </w:rPr>
        <w:t>: 4C Model for Philips Healthcare</w:t>
      </w:r>
    </w:p>
    <w:p w14:paraId="2DE0FF1D" w14:textId="77777777" w:rsidR="005C6A97" w:rsidRPr="005C6A97" w:rsidRDefault="005C6A97" w:rsidP="00433EB4">
      <w:pPr>
        <w:spacing w:line="360" w:lineRule="auto"/>
        <w:jc w:val="center"/>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(Source: Self-developed)</w:t>
      </w:r>
    </w:p>
    <w:p w14:paraId="2BA7BCF3" w14:textId="77777777" w:rsidR="005C6A97" w:rsidRPr="005C6A97" w:rsidRDefault="005C6A97" w:rsidP="00433EB4">
      <w:pPr>
        <w:spacing w:line="360" w:lineRule="auto"/>
        <w:jc w:val="both"/>
        <w:rPr>
          <w:rFonts w:ascii="Times New Roman" w:eastAsia="Times New Roman" w:hAnsi="Times New Roman" w:cs="Times New Roman"/>
          <w:b/>
          <w:bCs/>
          <w:i/>
          <w:iCs/>
          <w:sz w:val="24"/>
          <w:szCs w:val="24"/>
          <w:lang w:eastAsia="en-IN" w:bidi="bn-IN"/>
        </w:rPr>
      </w:pPr>
      <w:r w:rsidRPr="005C6A97">
        <w:rPr>
          <w:rFonts w:ascii="Times New Roman" w:eastAsia="Times New Roman" w:hAnsi="Times New Roman" w:cs="Times New Roman"/>
          <w:b/>
          <w:bCs/>
          <w:i/>
          <w:iCs/>
          <w:sz w:val="24"/>
          <w:szCs w:val="24"/>
          <w:lang w:eastAsia="en-IN" w:bidi="bn-IN"/>
        </w:rPr>
        <w:t>Insights</w:t>
      </w:r>
    </w:p>
    <w:p w14:paraId="5D087FB5" w14:textId="77777777" w:rsidR="005C6A97" w:rsidRPr="005C6A97" w:rsidRDefault="005C6A97" w:rsidP="00433EB4">
      <w:pP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 xml:space="preserve">Based on the assessment above, collaboration and cooperation can be considered as pivotal constructs for Philips Healthcare’s existing stakeholders. According to Adomako and Tran (2022), collaboration can be viewed as the involvement of a firm with its suppliers in planning </w:t>
      </w:r>
      <w:r w:rsidRPr="005C6A97">
        <w:rPr>
          <w:rFonts w:ascii="Times New Roman" w:eastAsia="Times New Roman" w:hAnsi="Times New Roman" w:cs="Times New Roman"/>
          <w:sz w:val="24"/>
          <w:szCs w:val="24"/>
          <w:lang w:eastAsia="en-IN" w:bidi="bn-IN"/>
        </w:rPr>
        <w:lastRenderedPageBreak/>
        <w:t xml:space="preserve">and executing a joint strategic approach to environmental management. In the context of stakeholder expectation, collaboration and cooperation, both can be considered as significant in terms of enabling information sharing, resource integration, and coordinated action across departments, partners, and external stakeholders. Based on the </w:t>
      </w:r>
      <w:proofErr w:type="gramStart"/>
      <w:r w:rsidRPr="005C6A97">
        <w:rPr>
          <w:rFonts w:ascii="Times New Roman" w:eastAsia="Times New Roman" w:hAnsi="Times New Roman" w:cs="Times New Roman"/>
          <w:sz w:val="24"/>
          <w:szCs w:val="24"/>
          <w:lang w:eastAsia="en-IN" w:bidi="bn-IN"/>
        </w:rPr>
        <w:t>aforementioned evidence</w:t>
      </w:r>
      <w:proofErr w:type="gramEnd"/>
      <w:r w:rsidRPr="005C6A97">
        <w:rPr>
          <w:rFonts w:ascii="Times New Roman" w:eastAsia="Times New Roman" w:hAnsi="Times New Roman" w:cs="Times New Roman"/>
          <w:sz w:val="24"/>
          <w:szCs w:val="24"/>
          <w:lang w:eastAsia="en-IN" w:bidi="bn-IN"/>
        </w:rPr>
        <w:t>, Philips Healthcare can leverage effective collaboration that enhances innovation, problem-solving, and decision quality by incorporating diverse perspectives.</w:t>
      </w:r>
    </w:p>
    <w:p w14:paraId="2A181CE5" w14:textId="32A8EF0B" w:rsidR="005C6A97" w:rsidRDefault="005C6A97" w:rsidP="00433EB4">
      <w:pPr>
        <w:pStyle w:val="Heading1"/>
        <w:spacing w:before="0" w:after="0"/>
        <w:rPr>
          <w:lang w:eastAsia="en-IN" w:bidi="bn-IN"/>
        </w:rPr>
      </w:pPr>
      <w:bookmarkStart w:id="21" w:name="_p2vnmo58n1te" w:colFirst="0" w:colLast="0"/>
      <w:bookmarkStart w:id="22" w:name="_Toc225365704"/>
      <w:bookmarkEnd w:id="21"/>
      <w:r w:rsidRPr="005C6A97">
        <w:rPr>
          <w:lang w:eastAsia="en-IN" w:bidi="bn-IN"/>
        </w:rPr>
        <w:t>7. Evaluating the impact of stakeholders’ engagement on business performance of Philips Healthcare</w:t>
      </w:r>
      <w:r>
        <w:rPr>
          <w:lang w:eastAsia="en-IN" w:bidi="bn-IN"/>
        </w:rPr>
        <w:t xml:space="preserve"> and recommendations</w:t>
      </w:r>
      <w:bookmarkEnd w:id="22"/>
    </w:p>
    <w:p w14:paraId="6F7B9CE4" w14:textId="141C78E2" w:rsidR="005C6A97" w:rsidRPr="005C6A97" w:rsidRDefault="005C6A97" w:rsidP="00433EB4">
      <w:pPr>
        <w:pStyle w:val="Heading2"/>
        <w:spacing w:before="0" w:after="0"/>
        <w:rPr>
          <w:lang w:eastAsia="en-IN" w:bidi="bn-IN"/>
        </w:rPr>
      </w:pPr>
      <w:bookmarkStart w:id="23" w:name="_Toc225365705"/>
      <w:r>
        <w:rPr>
          <w:lang w:eastAsia="en-IN" w:bidi="bn-IN"/>
        </w:rPr>
        <w:t xml:space="preserve">7.1 </w:t>
      </w:r>
      <w:r w:rsidRPr="00433EB4">
        <w:t>Impact</w:t>
      </w:r>
      <w:r>
        <w:rPr>
          <w:lang w:eastAsia="en-IN" w:bidi="bn-IN"/>
        </w:rPr>
        <w:t xml:space="preserve"> of </w:t>
      </w:r>
      <w:r w:rsidR="00A94C15" w:rsidRPr="005C6A97">
        <w:rPr>
          <w:lang w:eastAsia="en-IN" w:bidi="bn-IN"/>
        </w:rPr>
        <w:t>stakeholders’ engagement on business performance of Philips Healthcare</w:t>
      </w:r>
      <w:bookmarkEnd w:id="23"/>
    </w:p>
    <w:p w14:paraId="15D1EC90" w14:textId="77777777" w:rsidR="00572183" w:rsidRDefault="005C6A97" w:rsidP="00433EB4">
      <w:pPr>
        <w:spacing w:line="360" w:lineRule="auto"/>
        <w:jc w:val="both"/>
        <w:rPr>
          <w:rFonts w:ascii="Times New Roman" w:eastAsia="Times New Roman" w:hAnsi="Times New Roman" w:cs="Times New Roman"/>
          <w:sz w:val="24"/>
          <w:szCs w:val="24"/>
          <w:lang w:eastAsia="en-IN" w:bidi="bn-IN"/>
        </w:rPr>
      </w:pPr>
      <w:r w:rsidRPr="005C6A97">
        <w:rPr>
          <w:rFonts w:ascii="Times New Roman" w:eastAsia="Times New Roman" w:hAnsi="Times New Roman" w:cs="Times New Roman"/>
          <w:sz w:val="24"/>
          <w:szCs w:val="24"/>
          <w:lang w:eastAsia="en-IN" w:bidi="bn-IN"/>
        </w:rPr>
        <w:t xml:space="preserve">In the context of business management, stakeholders are crucial in assessing the effectiveness of interactions within an organisational setting. In other words, stakeholder engagement acts as a mediator for an organisation in strengthening the network, encapsulating employees, customers, suppliers, investors, and communities. A study by Kujala </w:t>
      </w:r>
      <w:r w:rsidRPr="005C6A97">
        <w:rPr>
          <w:rFonts w:ascii="Times New Roman" w:eastAsia="Times New Roman" w:hAnsi="Times New Roman" w:cs="Times New Roman"/>
          <w:i/>
          <w:iCs/>
          <w:sz w:val="24"/>
          <w:szCs w:val="24"/>
          <w:lang w:eastAsia="en-IN" w:bidi="bn-IN"/>
        </w:rPr>
        <w:t xml:space="preserve">et al. </w:t>
      </w:r>
      <w:r w:rsidRPr="005C6A97">
        <w:rPr>
          <w:rFonts w:ascii="Times New Roman" w:eastAsia="Times New Roman" w:hAnsi="Times New Roman" w:cs="Times New Roman"/>
          <w:sz w:val="24"/>
          <w:szCs w:val="24"/>
          <w:lang w:eastAsia="en-IN" w:bidi="bn-IN"/>
        </w:rPr>
        <w:t>(2022) has conceptualised strong stakeholder engagement in terms enhancing trust, improves communication, and aligns organizational goals with stakeholder expectations. Consequently, for Philips Healthcare, robust stakeholder engagement can foster improved business performance based on performance indicators such as profitability, productivity, brand reputation, and retention rates.</w:t>
      </w:r>
    </w:p>
    <w:p w14:paraId="4B73BBE7" w14:textId="77777777" w:rsidR="00572183" w:rsidRPr="00572183" w:rsidRDefault="00572183" w:rsidP="00433EB4">
      <w:pPr>
        <w:spacing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sz w:val="24"/>
          <w:szCs w:val="24"/>
          <w:lang w:eastAsia="en-IN"/>
        </w:rPr>
        <w:t xml:space="preserve">The impact of engaging stakeholders in Phillips Healthcare impacts corresponding business performance due to the contribution of internal and external counterparts, such as the product development team, marketing, and finance, along with the contribution of regulatory bodies, which are important mediators towards enhancing the business performance of the organisation. </w:t>
      </w:r>
      <w:proofErr w:type="spellStart"/>
      <w:r w:rsidRPr="00572183">
        <w:rPr>
          <w:rFonts w:ascii="Times New Roman" w:eastAsia="Times New Roman" w:hAnsi="Times New Roman" w:cs="Times New Roman"/>
          <w:sz w:val="24"/>
          <w:szCs w:val="24"/>
          <w:lang w:eastAsia="en-IN"/>
        </w:rPr>
        <w:t>Wuersch</w:t>
      </w:r>
      <w:proofErr w:type="spellEnd"/>
      <w:r w:rsidRPr="00572183">
        <w:rPr>
          <w:rFonts w:ascii="Times New Roman" w:eastAsia="Times New Roman" w:hAnsi="Times New Roman" w:cs="Times New Roman"/>
          <w:i/>
          <w:iCs/>
          <w:sz w:val="24"/>
          <w:szCs w:val="24"/>
          <w:lang w:eastAsia="en-IN"/>
        </w:rPr>
        <w:t xml:space="preserve"> et al.</w:t>
      </w:r>
      <w:r w:rsidRPr="00572183">
        <w:rPr>
          <w:rFonts w:ascii="Times New Roman" w:eastAsia="Times New Roman" w:hAnsi="Times New Roman" w:cs="Times New Roman"/>
          <w:sz w:val="24"/>
          <w:szCs w:val="24"/>
          <w:lang w:eastAsia="en-IN"/>
        </w:rPr>
        <w:t xml:space="preserve"> (2026, p.1) stated that engagement of stakeholders contributes towards consolidating business operations that help in determining areas of progress. Consequently, contributions of the internal and external stakeholders are beneficial for Phillips Healthcare in improving its business performance. For instance, engaging members of the product development teams, R&amp;D and senior management play a crucial role in aligning business operations with the required organisational standards. Donner</w:t>
      </w:r>
      <w:r w:rsidRPr="00572183">
        <w:rPr>
          <w:rFonts w:ascii="Times New Roman" w:eastAsia="Times New Roman" w:hAnsi="Times New Roman" w:cs="Times New Roman"/>
          <w:i/>
          <w:iCs/>
          <w:sz w:val="24"/>
          <w:szCs w:val="24"/>
          <w:lang w:eastAsia="en-IN"/>
        </w:rPr>
        <w:t xml:space="preserve"> et al.</w:t>
      </w:r>
      <w:r w:rsidRPr="00572183">
        <w:rPr>
          <w:rFonts w:ascii="Times New Roman" w:eastAsia="Times New Roman" w:hAnsi="Times New Roman" w:cs="Times New Roman"/>
          <w:sz w:val="24"/>
          <w:szCs w:val="24"/>
          <w:lang w:eastAsia="en-IN"/>
        </w:rPr>
        <w:t xml:space="preserve"> (2026, p.1) stated that coordination of tasks managed across organisations is dependent on consolidated engagement across stakeholders. The impact is effective for ensuring that the optimisation of wearable devices’ efficiency can be appraised during the monitoring of heartbeat, sleep patterns and oxygen rates. As a result, the possibilities of conflicts across teams can be reduced to improve the business performance.</w:t>
      </w:r>
    </w:p>
    <w:p w14:paraId="31FC6FD3" w14:textId="77777777" w:rsidR="00572183" w:rsidRPr="00572183" w:rsidRDefault="00572183" w:rsidP="00433EB4">
      <w:pPr>
        <w:spacing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sz w:val="24"/>
          <w:szCs w:val="24"/>
          <w:lang w:eastAsia="en-IN"/>
        </w:rPr>
        <w:lastRenderedPageBreak/>
        <w:t xml:space="preserve">The stakeholder engagement has been significant towards improving the quality of services facilitated by the wearable devices due to collaboration with internal members. Mazza and </w:t>
      </w:r>
      <w:proofErr w:type="spellStart"/>
      <w:r w:rsidRPr="00572183">
        <w:rPr>
          <w:rFonts w:ascii="Times New Roman" w:eastAsia="Times New Roman" w:hAnsi="Times New Roman" w:cs="Times New Roman"/>
          <w:sz w:val="24"/>
          <w:szCs w:val="24"/>
          <w:lang w:eastAsia="en-IN"/>
        </w:rPr>
        <w:t>Azzali</w:t>
      </w:r>
      <w:proofErr w:type="spellEnd"/>
      <w:r w:rsidRPr="00572183">
        <w:rPr>
          <w:rFonts w:ascii="Times New Roman" w:eastAsia="Times New Roman" w:hAnsi="Times New Roman" w:cs="Times New Roman"/>
          <w:sz w:val="24"/>
          <w:szCs w:val="24"/>
          <w:lang w:eastAsia="en-IN"/>
        </w:rPr>
        <w:t xml:space="preserve"> (2025) commented that stakeholder engagement focuses on assuring quality and alignment with relevant legal measures in business. In this respect, the contribution of quality assurance and regulatory affairs teams, along with the R&amp;D team, can contribute respective knowledge and expertise in improving the functionalities of the wearable devices in compliance with regulatory terms. The impact leads to a reduction of errors along with uphold the company’s reputation across customer influencing and enhancing its performance within the healthcare industry.</w:t>
      </w:r>
    </w:p>
    <w:p w14:paraId="3C5AC280" w14:textId="77777777" w:rsidR="00572183" w:rsidRPr="00572183" w:rsidRDefault="00572183" w:rsidP="00433EB4">
      <w:pPr>
        <w:spacing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sz w:val="24"/>
          <w:szCs w:val="24"/>
          <w:lang w:eastAsia="en-IN"/>
        </w:rPr>
        <w:t>The contributions of external stakeholders are important for ensuring that collaboration across teams contributes towards enhancing the effectiveness of wearable devices in monitoring individuals' health and well-being. Nguyen</w:t>
      </w:r>
      <w:r w:rsidRPr="00572183">
        <w:rPr>
          <w:rFonts w:ascii="Times New Roman" w:eastAsia="Times New Roman" w:hAnsi="Times New Roman" w:cs="Times New Roman"/>
          <w:i/>
          <w:iCs/>
          <w:sz w:val="24"/>
          <w:szCs w:val="24"/>
          <w:lang w:eastAsia="en-IN"/>
        </w:rPr>
        <w:t xml:space="preserve"> et al.</w:t>
      </w:r>
      <w:r w:rsidRPr="00572183">
        <w:rPr>
          <w:rFonts w:ascii="Times New Roman" w:eastAsia="Times New Roman" w:hAnsi="Times New Roman" w:cs="Times New Roman"/>
          <w:sz w:val="24"/>
          <w:szCs w:val="24"/>
          <w:lang w:eastAsia="en-IN"/>
        </w:rPr>
        <w:t xml:space="preserve"> (2025, p.3) stated that external stakeholders, such as manufacturers and suppliers, play a crucial role in optimising products’ distribution and services that help in enhancing business performance. The contribution of the marketing team, suppliers, sales team and manufacturers is effective for ensuring that coordination between every stakeholder is maintained at Philips Healthcare company. The impacts correlate with the possibility of conveying regular updates on sales trends that influenced internal stakeholders in communicating development plans. </w:t>
      </w:r>
      <w:proofErr w:type="spellStart"/>
      <w:r w:rsidRPr="00572183">
        <w:rPr>
          <w:rFonts w:ascii="Times New Roman" w:eastAsia="Times New Roman" w:hAnsi="Times New Roman" w:cs="Times New Roman"/>
          <w:sz w:val="24"/>
          <w:szCs w:val="24"/>
          <w:lang w:eastAsia="en-IN"/>
        </w:rPr>
        <w:t>Andreoulaki</w:t>
      </w:r>
      <w:proofErr w:type="spellEnd"/>
      <w:r w:rsidRPr="00572183">
        <w:rPr>
          <w:rFonts w:ascii="Times New Roman" w:eastAsia="Times New Roman" w:hAnsi="Times New Roman" w:cs="Times New Roman"/>
          <w:i/>
          <w:iCs/>
          <w:sz w:val="24"/>
          <w:szCs w:val="24"/>
          <w:lang w:eastAsia="en-IN"/>
        </w:rPr>
        <w:t xml:space="preserve"> et al.</w:t>
      </w:r>
      <w:r w:rsidRPr="00572183">
        <w:rPr>
          <w:rFonts w:ascii="Times New Roman" w:eastAsia="Times New Roman" w:hAnsi="Times New Roman" w:cs="Times New Roman"/>
          <w:sz w:val="24"/>
          <w:szCs w:val="24"/>
          <w:lang w:eastAsia="en-IN"/>
        </w:rPr>
        <w:t xml:space="preserve"> (2025, p.20) commented that engaging stakeholders is essential for ensuring that customers can be provided with relevant services that could satisfy corresponding needs. For instance, the strategy in incorporating AI-enabled applications can help in improving the quality of health analyses across customers using their wearable devices. The contribution can be helpful in enhancing the development and distribution of the wearable devices, which could help in analysing patients’ medical information and influencing the enhancement of business performance. </w:t>
      </w:r>
    </w:p>
    <w:p w14:paraId="00E481F8" w14:textId="41EFB177" w:rsidR="00572183" w:rsidRDefault="00433EB4" w:rsidP="00433EB4">
      <w:pPr>
        <w:pStyle w:val="Heading2"/>
        <w:spacing w:before="0" w:after="0"/>
        <w:rPr>
          <w:lang w:eastAsia="en-IN"/>
        </w:rPr>
      </w:pPr>
      <w:bookmarkStart w:id="24" w:name="_Toc225365706"/>
      <w:r>
        <w:rPr>
          <w:lang w:eastAsia="en-IN"/>
        </w:rPr>
        <w:t xml:space="preserve">7.2 </w:t>
      </w:r>
      <w:r w:rsidR="00572183" w:rsidRPr="00572183">
        <w:rPr>
          <w:lang w:eastAsia="en-IN"/>
        </w:rPr>
        <w:t>Recommendation for enhancing business performance</w:t>
      </w:r>
      <w:bookmarkEnd w:id="24"/>
      <w:r w:rsidR="00572183" w:rsidRPr="00572183">
        <w:rPr>
          <w:lang w:eastAsia="en-IN"/>
        </w:rPr>
        <w:t xml:space="preserve"> </w:t>
      </w:r>
    </w:p>
    <w:p w14:paraId="11BCA03B" w14:textId="4F65EAA9" w:rsidR="001C0328" w:rsidRPr="001C0328" w:rsidRDefault="001C0328" w:rsidP="001C0328">
      <w:pPr>
        <w:spacing w:line="360" w:lineRule="auto"/>
        <w:rPr>
          <w:b/>
          <w:bCs/>
          <w:i/>
          <w:iCs/>
          <w:lang w:eastAsia="en-IN"/>
        </w:rPr>
      </w:pPr>
      <w:r w:rsidRPr="001C0328">
        <w:rPr>
          <w:rFonts w:ascii="Times New Roman" w:eastAsia="Times New Roman" w:hAnsi="Times New Roman" w:cs="Times New Roman"/>
          <w:b/>
          <w:bCs/>
          <w:i/>
          <w:iCs/>
          <w:sz w:val="24"/>
          <w:szCs w:val="24"/>
          <w:lang w:eastAsia="en-IN"/>
        </w:rPr>
        <w:t>Developing</w:t>
      </w:r>
      <w:r>
        <w:rPr>
          <w:rFonts w:ascii="Times New Roman" w:eastAsia="Times New Roman" w:hAnsi="Times New Roman" w:cs="Times New Roman"/>
          <w:b/>
          <w:bCs/>
          <w:i/>
          <w:iCs/>
          <w:sz w:val="24"/>
          <w:szCs w:val="24"/>
          <w:lang w:eastAsia="en-IN"/>
        </w:rPr>
        <w:t xml:space="preserve"> </w:t>
      </w:r>
      <w:r w:rsidRPr="001C0328">
        <w:rPr>
          <w:rFonts w:ascii="Times New Roman" w:eastAsia="Times New Roman" w:hAnsi="Times New Roman" w:cs="Times New Roman"/>
          <w:b/>
          <w:bCs/>
          <w:i/>
          <w:iCs/>
          <w:sz w:val="24"/>
          <w:szCs w:val="24"/>
          <w:lang w:eastAsia="en-IN"/>
        </w:rPr>
        <w:t>feedback mechanisms</w:t>
      </w:r>
      <w:r>
        <w:rPr>
          <w:rFonts w:ascii="Times New Roman" w:eastAsia="Times New Roman" w:hAnsi="Times New Roman" w:cs="Times New Roman"/>
          <w:b/>
          <w:bCs/>
          <w:i/>
          <w:iCs/>
          <w:sz w:val="24"/>
          <w:szCs w:val="24"/>
          <w:lang w:eastAsia="en-IN"/>
        </w:rPr>
        <w:t xml:space="preserve"> and </w:t>
      </w:r>
      <w:r w:rsidRPr="001C0328">
        <w:rPr>
          <w:rFonts w:ascii="Times New Roman" w:eastAsia="Times New Roman" w:hAnsi="Times New Roman" w:cs="Times New Roman"/>
          <w:b/>
          <w:bCs/>
          <w:i/>
          <w:iCs/>
          <w:sz w:val="24"/>
          <w:szCs w:val="24"/>
          <w:lang w:eastAsia="en-IN"/>
        </w:rPr>
        <w:t xml:space="preserve">investments in R&amp;D </w:t>
      </w:r>
    </w:p>
    <w:p w14:paraId="595AB5EC" w14:textId="77777777" w:rsidR="00572183" w:rsidRDefault="00572183" w:rsidP="00433EB4">
      <w:pPr>
        <w:spacing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sz w:val="24"/>
          <w:szCs w:val="24"/>
          <w:lang w:eastAsia="en-IN"/>
        </w:rPr>
        <w:t xml:space="preserve">The engagement of stakeholders can contribute towards developing feedback mechanisms, undertaking surveys or workshops that are focused on determining areas of progress at Philips Healthcare company. </w:t>
      </w:r>
      <w:proofErr w:type="spellStart"/>
      <w:r w:rsidRPr="00572183">
        <w:rPr>
          <w:rFonts w:ascii="Times New Roman" w:eastAsia="Times New Roman" w:hAnsi="Times New Roman" w:cs="Times New Roman"/>
          <w:sz w:val="24"/>
          <w:szCs w:val="24"/>
          <w:lang w:eastAsia="en-IN"/>
        </w:rPr>
        <w:t>Palidis</w:t>
      </w:r>
      <w:proofErr w:type="spellEnd"/>
      <w:r w:rsidRPr="00572183">
        <w:rPr>
          <w:rFonts w:ascii="Times New Roman" w:eastAsia="Times New Roman" w:hAnsi="Times New Roman" w:cs="Times New Roman"/>
          <w:i/>
          <w:iCs/>
          <w:sz w:val="24"/>
          <w:szCs w:val="24"/>
          <w:lang w:eastAsia="en-IN"/>
        </w:rPr>
        <w:t xml:space="preserve"> et al.</w:t>
      </w:r>
      <w:r w:rsidRPr="00572183">
        <w:rPr>
          <w:rFonts w:ascii="Times New Roman" w:eastAsia="Times New Roman" w:hAnsi="Times New Roman" w:cs="Times New Roman"/>
          <w:sz w:val="24"/>
          <w:szCs w:val="24"/>
          <w:lang w:eastAsia="en-IN"/>
        </w:rPr>
        <w:t xml:space="preserve"> (2025, p.2) stated that conveying feedback is effective learning from all sanctions, mistakes that contribute towards enhancing business performance across organisations. As a result, engaging stakeholders can contribute towards improving decision-making that influences the incorporation of AI-enabled wearable devices for monitoring patient health effectively. The improvement in business performance can be undertaken through collaboration across internal and external stakeholders. Anyanwu</w:t>
      </w:r>
      <w:r w:rsidRPr="00572183">
        <w:rPr>
          <w:rFonts w:ascii="Times New Roman" w:eastAsia="Times New Roman" w:hAnsi="Times New Roman" w:cs="Times New Roman"/>
          <w:i/>
          <w:iCs/>
          <w:sz w:val="24"/>
          <w:szCs w:val="24"/>
          <w:lang w:eastAsia="en-IN"/>
        </w:rPr>
        <w:t xml:space="preserve"> et al.</w:t>
      </w:r>
      <w:r w:rsidRPr="00572183">
        <w:rPr>
          <w:rFonts w:ascii="Times New Roman" w:eastAsia="Times New Roman" w:hAnsi="Times New Roman" w:cs="Times New Roman"/>
          <w:sz w:val="24"/>
          <w:szCs w:val="24"/>
          <w:lang w:eastAsia="en-IN"/>
        </w:rPr>
        <w:t xml:space="preserve"> </w:t>
      </w:r>
      <w:r w:rsidRPr="00572183">
        <w:rPr>
          <w:rFonts w:ascii="Times New Roman" w:eastAsia="Times New Roman" w:hAnsi="Times New Roman" w:cs="Times New Roman"/>
          <w:sz w:val="24"/>
          <w:szCs w:val="24"/>
          <w:lang w:eastAsia="en-IN"/>
        </w:rPr>
        <w:lastRenderedPageBreak/>
        <w:t xml:space="preserve">(2025, p.5) stated that stakeholder engagement contributes towards solving common problems that hinder business performance. In this respect, the management of investments in R&amp;D can be maintained without facing cost deficiency and coordination from the technical team. </w:t>
      </w:r>
    </w:p>
    <w:p w14:paraId="11AAD25B" w14:textId="6AE75CB3" w:rsidR="001C0328" w:rsidRPr="001C0328" w:rsidRDefault="001C0328" w:rsidP="00433EB4">
      <w:pPr>
        <w:spacing w:line="360" w:lineRule="auto"/>
        <w:jc w:val="both"/>
        <w:rPr>
          <w:rFonts w:ascii="Times New Roman" w:eastAsia="Times New Roman" w:hAnsi="Times New Roman" w:cs="Times New Roman"/>
          <w:b/>
          <w:bCs/>
          <w:i/>
          <w:iCs/>
          <w:sz w:val="24"/>
          <w:szCs w:val="24"/>
          <w:lang w:eastAsia="en-IN"/>
        </w:rPr>
      </w:pPr>
      <w:r w:rsidRPr="001C0328">
        <w:rPr>
          <w:rFonts w:ascii="Times New Roman" w:eastAsia="Times New Roman" w:hAnsi="Times New Roman" w:cs="Times New Roman"/>
          <w:b/>
          <w:bCs/>
          <w:i/>
          <w:iCs/>
          <w:sz w:val="24"/>
          <w:szCs w:val="24"/>
          <w:lang w:eastAsia="en-IN"/>
        </w:rPr>
        <w:t>Encouraging</w:t>
      </w:r>
      <w:r>
        <w:rPr>
          <w:rFonts w:ascii="Times New Roman" w:eastAsia="Times New Roman" w:hAnsi="Times New Roman" w:cs="Times New Roman"/>
          <w:b/>
          <w:bCs/>
          <w:i/>
          <w:iCs/>
          <w:sz w:val="24"/>
          <w:szCs w:val="24"/>
          <w:lang w:eastAsia="en-IN"/>
        </w:rPr>
        <w:t xml:space="preserve"> </w:t>
      </w:r>
      <w:r w:rsidRPr="001C0328">
        <w:rPr>
          <w:rFonts w:ascii="Times New Roman" w:eastAsia="Times New Roman" w:hAnsi="Times New Roman" w:cs="Times New Roman"/>
          <w:b/>
          <w:bCs/>
          <w:i/>
          <w:iCs/>
          <w:sz w:val="24"/>
          <w:szCs w:val="24"/>
          <w:lang w:eastAsia="en-IN"/>
        </w:rPr>
        <w:t xml:space="preserve">co-creation </w:t>
      </w:r>
    </w:p>
    <w:p w14:paraId="08020CBC" w14:textId="77777777" w:rsidR="00572183" w:rsidRPr="00572183" w:rsidRDefault="00572183" w:rsidP="00433EB4">
      <w:pPr>
        <w:spacing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sz w:val="24"/>
          <w:szCs w:val="24"/>
          <w:lang w:eastAsia="en-IN"/>
        </w:rPr>
        <w:t>The engagement of stakeholders contributes towards encouraging the co-creation of strategies significant for managing third-party certification of materials at Philips Healthcare. The impact induces strict control in managing raw material required for developing the wearable devices, leading to the possibility of serving more consumers and ensuring good health and well-being. Leal Filho</w:t>
      </w:r>
      <w:r w:rsidRPr="00572183">
        <w:rPr>
          <w:rFonts w:ascii="Times New Roman" w:eastAsia="Times New Roman" w:hAnsi="Times New Roman" w:cs="Times New Roman"/>
          <w:i/>
          <w:iCs/>
          <w:sz w:val="24"/>
          <w:szCs w:val="24"/>
          <w:lang w:eastAsia="en-IN"/>
        </w:rPr>
        <w:t xml:space="preserve"> et al.</w:t>
      </w:r>
      <w:r w:rsidRPr="00572183">
        <w:rPr>
          <w:rFonts w:ascii="Times New Roman" w:eastAsia="Times New Roman" w:hAnsi="Times New Roman" w:cs="Times New Roman"/>
          <w:sz w:val="24"/>
          <w:szCs w:val="24"/>
          <w:lang w:eastAsia="en-IN"/>
        </w:rPr>
        <w:t xml:space="preserve"> (2025, p.8) stated that stakeholder engagement contributes towards capacity building that enhances business performance. The impact is significant for ensuring that errors in launching the wearable device can be addressed through effective collaboration and coordination with all stakeholders that leads to a reduction in operational inefficiencies. As a result, the stakeholders can negotiate the chain of work functions and strategies necessary for reducing conflicts and ensure timely launch of the wearable device.</w:t>
      </w:r>
    </w:p>
    <w:p w14:paraId="6A648020" w14:textId="77777777" w:rsidR="00572183" w:rsidRPr="00572183" w:rsidRDefault="00572183" w:rsidP="00433EB4">
      <w:pPr>
        <w:pStyle w:val="Heading1"/>
        <w:spacing w:before="0" w:after="0"/>
        <w:rPr>
          <w:lang w:eastAsia="en-IN"/>
        </w:rPr>
      </w:pPr>
      <w:bookmarkStart w:id="25" w:name="_Toc225365707"/>
      <w:r w:rsidRPr="00572183">
        <w:rPr>
          <w:lang w:eastAsia="en-IN"/>
        </w:rPr>
        <w:t>8. Conclusion</w:t>
      </w:r>
      <w:bookmarkEnd w:id="25"/>
    </w:p>
    <w:p w14:paraId="2C943E6B" w14:textId="77777777" w:rsidR="00572183" w:rsidRPr="00572183" w:rsidRDefault="00572183" w:rsidP="00433EB4">
      <w:pPr>
        <w:spacing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sz w:val="24"/>
          <w:szCs w:val="24"/>
          <w:lang w:eastAsia="en-IN"/>
        </w:rPr>
        <w:t xml:space="preserve">Based on the information provided in the report, it can be concluded that Philips Healthcare prioritises using global health technology to improve overall health and well-being. The organisation is on its way towards launching a new digital health device. It </w:t>
      </w:r>
      <w:proofErr w:type="gramStart"/>
      <w:r w:rsidRPr="00572183">
        <w:rPr>
          <w:rFonts w:ascii="Times New Roman" w:eastAsia="Times New Roman" w:hAnsi="Times New Roman" w:cs="Times New Roman"/>
          <w:sz w:val="24"/>
          <w:szCs w:val="24"/>
          <w:lang w:eastAsia="en-IN"/>
        </w:rPr>
        <w:t>is capable of tracking</w:t>
      </w:r>
      <w:proofErr w:type="gramEnd"/>
      <w:r w:rsidRPr="00572183">
        <w:rPr>
          <w:rFonts w:ascii="Times New Roman" w:eastAsia="Times New Roman" w:hAnsi="Times New Roman" w:cs="Times New Roman"/>
          <w:sz w:val="24"/>
          <w:szCs w:val="24"/>
          <w:lang w:eastAsia="en-IN"/>
        </w:rPr>
        <w:t xml:space="preserve"> heart rate, oxygen levels and sleep patterns. However, the company faces the impacts of extensive recalls of products that makes it difficult to provide services across a wide range of customers and improve business performance. On the other hand, the responsibility of the marketing and sales team of Philips Company is crucial for developing its product positioning, along with advertising and marketing. In addition, testing product accuracy, enhancing user experience and reliability, including precision of sensors, are managed by the quality assurance team.</w:t>
      </w:r>
    </w:p>
    <w:p w14:paraId="4E2B4CD6" w14:textId="77777777" w:rsidR="00572183" w:rsidRPr="00572183" w:rsidRDefault="00572183" w:rsidP="00433EB4">
      <w:pPr>
        <w:spacing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sz w:val="24"/>
          <w:szCs w:val="24"/>
          <w:lang w:eastAsia="en-IN"/>
        </w:rPr>
        <w:t xml:space="preserve">The report concludes that health and social care professionals are responsible for influencing consumer trust and using device data that is helpful for analysing patients’ overall health and wellbeing. In addition, suppliers and contract manufacturers, wholesalers and manufacturers act as a third party who contributes towards prompting the sales of the product across consumers. The role of suppliers, contract manufacturers, and UI designers contributes towards developing intuitive interfaces to ensure accessibility in the user-centred design. In addition, the wearable device uses bio-sensor technology and data analytics that can be useful for implementing newer AI-oriented features. The statement signifies that the contribution of internal and external counterparts is crucial for ensuring that the optimisation of wearable </w:t>
      </w:r>
      <w:r w:rsidRPr="00572183">
        <w:rPr>
          <w:rFonts w:ascii="Times New Roman" w:eastAsia="Times New Roman" w:hAnsi="Times New Roman" w:cs="Times New Roman"/>
          <w:sz w:val="24"/>
          <w:szCs w:val="24"/>
          <w:lang w:eastAsia="en-IN"/>
        </w:rPr>
        <w:lastRenderedPageBreak/>
        <w:t xml:space="preserve">devices’ efficiency can be appraised at Phillips Healthcare. On the other hand, the stakeholders’ engagement is focused towards improving the functionalities of the wearable devices, which </w:t>
      </w:r>
      <w:proofErr w:type="gramStart"/>
      <w:r w:rsidRPr="00572183">
        <w:rPr>
          <w:rFonts w:ascii="Times New Roman" w:eastAsia="Times New Roman" w:hAnsi="Times New Roman" w:cs="Times New Roman"/>
          <w:sz w:val="24"/>
          <w:szCs w:val="24"/>
          <w:lang w:eastAsia="en-IN"/>
        </w:rPr>
        <w:t>are in compliance with</w:t>
      </w:r>
      <w:proofErr w:type="gramEnd"/>
      <w:r w:rsidRPr="00572183">
        <w:rPr>
          <w:rFonts w:ascii="Times New Roman" w:eastAsia="Times New Roman" w:hAnsi="Times New Roman" w:cs="Times New Roman"/>
          <w:sz w:val="24"/>
          <w:szCs w:val="24"/>
          <w:lang w:eastAsia="en-IN"/>
        </w:rPr>
        <w:t xml:space="preserve"> regulatory terms. The management of feedback, adherence to certification, along with effective collaboration and coordination with all stakeholders, can contribute towards enhancing business performance at Phillips Healthcare.</w:t>
      </w:r>
    </w:p>
    <w:p w14:paraId="66D3DCAA" w14:textId="45277575" w:rsidR="00FA6F99" w:rsidRPr="0048128B" w:rsidRDefault="00A871E1" w:rsidP="00433EB4">
      <w:pPr>
        <w:spacing w:line="360" w:lineRule="auto"/>
        <w:jc w:val="both"/>
        <w:rPr>
          <w:rFonts w:ascii="Times New Roman" w:eastAsia="Times New Roman" w:hAnsi="Times New Roman" w:cs="Times New Roman"/>
          <w:sz w:val="24"/>
          <w:szCs w:val="24"/>
        </w:rPr>
      </w:pPr>
      <w:r w:rsidRPr="0048128B">
        <w:br w:type="page"/>
      </w:r>
    </w:p>
    <w:p w14:paraId="68C554CD" w14:textId="77777777" w:rsidR="00FA6F99" w:rsidRPr="0048128B" w:rsidRDefault="00A871E1" w:rsidP="00433EB4">
      <w:pPr>
        <w:pStyle w:val="Heading1"/>
        <w:spacing w:before="0" w:after="0"/>
      </w:pPr>
      <w:bookmarkStart w:id="26" w:name="_8jp9pmp4zwbk" w:colFirst="0" w:colLast="0"/>
      <w:bookmarkStart w:id="27" w:name="_Toc225365708"/>
      <w:bookmarkEnd w:id="26"/>
      <w:r w:rsidRPr="0048128B">
        <w:lastRenderedPageBreak/>
        <w:t>Reference List</w:t>
      </w:r>
      <w:bookmarkEnd w:id="27"/>
      <w:r w:rsidRPr="0048128B">
        <w:t xml:space="preserve"> </w:t>
      </w:r>
    </w:p>
    <w:p w14:paraId="4FE7EE9A"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bidi="bn-IN"/>
        </w:rPr>
      </w:pPr>
      <w:r w:rsidRPr="00572183">
        <w:rPr>
          <w:rFonts w:ascii="Times New Roman" w:eastAsia="Times New Roman" w:hAnsi="Times New Roman" w:cs="Times New Roman"/>
          <w:sz w:val="24"/>
          <w:szCs w:val="24"/>
          <w:lang w:eastAsia="en-IN" w:bidi="bn-IN"/>
        </w:rPr>
        <w:t xml:space="preserve">Adham, T.K.I. (2023) ‘Conflict resolution in team: </w:t>
      </w:r>
      <w:proofErr w:type="spellStart"/>
      <w:r w:rsidRPr="00572183">
        <w:rPr>
          <w:rFonts w:ascii="Times New Roman" w:eastAsia="Times New Roman" w:hAnsi="Times New Roman" w:cs="Times New Roman"/>
          <w:sz w:val="24"/>
          <w:szCs w:val="24"/>
          <w:lang w:eastAsia="en-IN" w:bidi="bn-IN"/>
        </w:rPr>
        <w:t>Analyzing</w:t>
      </w:r>
      <w:proofErr w:type="spellEnd"/>
      <w:r w:rsidRPr="00572183">
        <w:rPr>
          <w:rFonts w:ascii="Times New Roman" w:eastAsia="Times New Roman" w:hAnsi="Times New Roman" w:cs="Times New Roman"/>
          <w:sz w:val="24"/>
          <w:szCs w:val="24"/>
          <w:lang w:eastAsia="en-IN" w:bidi="bn-IN"/>
        </w:rPr>
        <w:t xml:space="preserve"> the of conflicts and best skills for resolution’, </w:t>
      </w:r>
      <w:r w:rsidRPr="00572183">
        <w:rPr>
          <w:rFonts w:ascii="Times New Roman" w:eastAsia="Times New Roman" w:hAnsi="Times New Roman" w:cs="Times New Roman"/>
          <w:i/>
          <w:iCs/>
          <w:sz w:val="24"/>
          <w:szCs w:val="24"/>
          <w:lang w:eastAsia="en-IN" w:bidi="bn-IN"/>
        </w:rPr>
        <w:t>Scholars Journal of Engineering and Technology</w:t>
      </w:r>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i/>
          <w:iCs/>
          <w:sz w:val="24"/>
          <w:szCs w:val="24"/>
          <w:lang w:eastAsia="en-IN" w:bidi="bn-IN"/>
        </w:rPr>
        <w:t>11</w:t>
      </w:r>
      <w:r w:rsidRPr="00572183">
        <w:rPr>
          <w:rFonts w:ascii="Times New Roman" w:eastAsia="Times New Roman" w:hAnsi="Times New Roman" w:cs="Times New Roman"/>
          <w:sz w:val="24"/>
          <w:szCs w:val="24"/>
          <w:lang w:eastAsia="en-IN" w:bidi="bn-IN"/>
        </w:rPr>
        <w:t xml:space="preserve">(08), pp.152-162. Available at: </w:t>
      </w:r>
      <w:hyperlink r:id="rId10">
        <w:r w:rsidRPr="00572183">
          <w:rPr>
            <w:rFonts w:ascii="Times New Roman" w:eastAsia="Times New Roman" w:hAnsi="Times New Roman" w:cs="Times New Roman"/>
            <w:color w:val="1155CC"/>
            <w:sz w:val="24"/>
            <w:szCs w:val="24"/>
            <w:u w:val="single"/>
            <w:lang w:eastAsia="en-IN" w:bidi="bn-IN"/>
          </w:rPr>
          <w:t>https://www.academia.edu/download/104982291/Conflict_Resolution_in_Team_Analyzing_the_Cauuse_of_Conflicts_and_Best_Skills_for_Resolution.pdf</w:t>
        </w:r>
      </w:hyperlink>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sz w:val="24"/>
          <w:szCs w:val="24"/>
        </w:rPr>
        <w:t>(Accessed: 18 March 2026).</w:t>
      </w:r>
    </w:p>
    <w:p w14:paraId="0FB97087"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bidi="bn-IN"/>
        </w:rPr>
      </w:pPr>
      <w:r w:rsidRPr="00572183">
        <w:rPr>
          <w:rFonts w:ascii="Times New Roman" w:eastAsia="Times New Roman" w:hAnsi="Times New Roman" w:cs="Times New Roman"/>
          <w:sz w:val="24"/>
          <w:szCs w:val="24"/>
          <w:lang w:eastAsia="en-IN" w:bidi="bn-IN"/>
        </w:rPr>
        <w:t xml:space="preserve">Adomako, S. and Tran, M.D. (2022) ‘Environmental collaboration, responsible innovation, and firm performance: The moderating role of stakeholder pressure’, </w:t>
      </w:r>
      <w:r w:rsidRPr="00572183">
        <w:rPr>
          <w:rFonts w:ascii="Times New Roman" w:eastAsia="Times New Roman" w:hAnsi="Times New Roman" w:cs="Times New Roman"/>
          <w:i/>
          <w:iCs/>
          <w:sz w:val="24"/>
          <w:szCs w:val="24"/>
          <w:lang w:eastAsia="en-IN" w:bidi="bn-IN"/>
        </w:rPr>
        <w:t>Business Strategy and the Environment</w:t>
      </w:r>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i/>
          <w:iCs/>
          <w:sz w:val="24"/>
          <w:szCs w:val="24"/>
          <w:lang w:eastAsia="en-IN" w:bidi="bn-IN"/>
        </w:rPr>
        <w:t>31</w:t>
      </w:r>
      <w:r w:rsidRPr="00572183">
        <w:rPr>
          <w:rFonts w:ascii="Times New Roman" w:eastAsia="Times New Roman" w:hAnsi="Times New Roman" w:cs="Times New Roman"/>
          <w:sz w:val="24"/>
          <w:szCs w:val="24"/>
          <w:lang w:eastAsia="en-IN" w:bidi="bn-IN"/>
        </w:rPr>
        <w:t xml:space="preserve">(4), pp.1695-1704. Available at: </w:t>
      </w:r>
      <w:hyperlink r:id="rId11">
        <w:r w:rsidRPr="00572183">
          <w:rPr>
            <w:rFonts w:ascii="Times New Roman" w:eastAsia="Times New Roman" w:hAnsi="Times New Roman" w:cs="Times New Roman"/>
            <w:color w:val="1155CC"/>
            <w:sz w:val="24"/>
            <w:szCs w:val="24"/>
            <w:u w:val="single"/>
            <w:lang w:eastAsia="en-IN" w:bidi="bn-IN"/>
          </w:rPr>
          <w:t>https://onlinelibrary.wiley.com/doi/pdfdirect/10.1002/bse.2977</w:t>
        </w:r>
      </w:hyperlink>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sz w:val="24"/>
          <w:szCs w:val="24"/>
        </w:rPr>
        <w:t>(Accessed: 23 March 2026).</w:t>
      </w:r>
    </w:p>
    <w:p w14:paraId="581EA8B5" w14:textId="200345C4"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Ambrogio, G., Filice, L., Longo, F. and Padovano, A. (2022) ‘Workforce and supply chain disruption as a digital and technological innovation opportunity for resilient manufacturing systems in the COVID-19 pandemic.’ </w:t>
      </w:r>
      <w:r w:rsidRPr="00572183">
        <w:rPr>
          <w:rFonts w:ascii="Times New Roman" w:eastAsia="Times New Roman" w:hAnsi="Times New Roman" w:cs="Times New Roman"/>
          <w:i/>
          <w:iCs/>
          <w:sz w:val="24"/>
          <w:szCs w:val="24"/>
        </w:rPr>
        <w:t>Computers &amp; Industrial Engineering</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i/>
          <w:iCs/>
          <w:sz w:val="24"/>
          <w:szCs w:val="24"/>
        </w:rPr>
        <w:t>169</w:t>
      </w:r>
      <w:r w:rsidRPr="00572183">
        <w:rPr>
          <w:rFonts w:ascii="Times New Roman" w:eastAsia="Times New Roman" w:hAnsi="Times New Roman" w:cs="Times New Roman"/>
          <w:sz w:val="24"/>
          <w:szCs w:val="24"/>
        </w:rPr>
        <w:t xml:space="preserve">, p.108158. Available at: </w:t>
      </w:r>
      <w:hyperlink r:id="rId12">
        <w:r w:rsidRPr="00572183">
          <w:rPr>
            <w:rFonts w:ascii="Times New Roman" w:eastAsia="Times New Roman" w:hAnsi="Times New Roman" w:cs="Times New Roman"/>
            <w:color w:val="1155CC"/>
            <w:sz w:val="24"/>
            <w:szCs w:val="24"/>
            <w:u w:val="single"/>
          </w:rPr>
          <w:t>https://doi.org/10.1016/j.cie.2022.108158</w:t>
        </w:r>
      </w:hyperlink>
      <w:r w:rsidRPr="00572183">
        <w:rPr>
          <w:rFonts w:ascii="Times New Roman" w:eastAsia="Times New Roman" w:hAnsi="Times New Roman" w:cs="Times New Roman"/>
          <w:sz w:val="24"/>
          <w:szCs w:val="24"/>
        </w:rPr>
        <w:t xml:space="preserve"> (Accessed: 24 March 2026).</w:t>
      </w:r>
      <w:r w:rsidR="00FD1D08">
        <w:rPr>
          <w:rFonts w:ascii="Times New Roman" w:eastAsia="Times New Roman" w:hAnsi="Times New Roman" w:cs="Times New Roman"/>
          <w:sz w:val="24"/>
          <w:szCs w:val="24"/>
        </w:rPr>
        <w:t xml:space="preserve"> </w:t>
      </w:r>
    </w:p>
    <w:p w14:paraId="2B3B1467"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rPr>
      </w:pPr>
      <w:proofErr w:type="spellStart"/>
      <w:r w:rsidRPr="00572183">
        <w:rPr>
          <w:rFonts w:ascii="Times New Roman" w:eastAsia="Times New Roman" w:hAnsi="Times New Roman" w:cs="Times New Roman"/>
          <w:color w:val="222222"/>
          <w:sz w:val="24"/>
          <w:szCs w:val="24"/>
          <w:lang w:eastAsia="en-IN"/>
        </w:rPr>
        <w:t>Andreoulaki</w:t>
      </w:r>
      <w:proofErr w:type="spellEnd"/>
      <w:r w:rsidRPr="00572183">
        <w:rPr>
          <w:rFonts w:ascii="Times New Roman" w:eastAsia="Times New Roman" w:hAnsi="Times New Roman" w:cs="Times New Roman"/>
          <w:color w:val="222222"/>
          <w:sz w:val="24"/>
          <w:szCs w:val="24"/>
          <w:lang w:eastAsia="en-IN"/>
        </w:rPr>
        <w:t xml:space="preserve">, I., </w:t>
      </w:r>
      <w:proofErr w:type="spellStart"/>
      <w:r w:rsidRPr="00572183">
        <w:rPr>
          <w:rFonts w:ascii="Times New Roman" w:eastAsia="Times New Roman" w:hAnsi="Times New Roman" w:cs="Times New Roman"/>
          <w:color w:val="222222"/>
          <w:sz w:val="24"/>
          <w:szCs w:val="24"/>
          <w:lang w:eastAsia="en-IN"/>
        </w:rPr>
        <w:t>Papapostolou</w:t>
      </w:r>
      <w:proofErr w:type="spellEnd"/>
      <w:r w:rsidRPr="00572183">
        <w:rPr>
          <w:rFonts w:ascii="Times New Roman" w:eastAsia="Times New Roman" w:hAnsi="Times New Roman" w:cs="Times New Roman"/>
          <w:color w:val="222222"/>
          <w:sz w:val="24"/>
          <w:szCs w:val="24"/>
          <w:lang w:eastAsia="en-IN"/>
        </w:rPr>
        <w:t xml:space="preserve">, A., Stoian, D., Kefalas, K. and Marinakis, V., (2025). System design of an online marketplace towards the standardisation of sustainable energy efficiency investments in buildings. </w:t>
      </w:r>
      <w:r w:rsidRPr="00572183">
        <w:rPr>
          <w:rFonts w:ascii="Times New Roman" w:eastAsia="Times New Roman" w:hAnsi="Times New Roman" w:cs="Times New Roman"/>
          <w:i/>
          <w:iCs/>
          <w:color w:val="222222"/>
          <w:sz w:val="24"/>
          <w:szCs w:val="24"/>
          <w:lang w:eastAsia="en-IN"/>
        </w:rPr>
        <w:t>Eng</w:t>
      </w:r>
      <w:r w:rsidRPr="00572183">
        <w:rPr>
          <w:rFonts w:ascii="Times New Roman" w:eastAsia="Times New Roman" w:hAnsi="Times New Roman" w:cs="Times New Roman"/>
          <w:color w:val="222222"/>
          <w:sz w:val="24"/>
          <w:szCs w:val="24"/>
          <w:lang w:eastAsia="en-IN"/>
        </w:rPr>
        <w:t xml:space="preserve">, </w:t>
      </w:r>
      <w:r w:rsidRPr="00572183">
        <w:rPr>
          <w:rFonts w:ascii="Times New Roman" w:eastAsia="Times New Roman" w:hAnsi="Times New Roman" w:cs="Times New Roman"/>
          <w:i/>
          <w:iCs/>
          <w:color w:val="222222"/>
          <w:sz w:val="24"/>
          <w:szCs w:val="24"/>
          <w:lang w:eastAsia="en-IN"/>
        </w:rPr>
        <w:t>6</w:t>
      </w:r>
      <w:r w:rsidRPr="00572183">
        <w:rPr>
          <w:rFonts w:ascii="Times New Roman" w:eastAsia="Times New Roman" w:hAnsi="Times New Roman" w:cs="Times New Roman"/>
          <w:color w:val="222222"/>
          <w:sz w:val="24"/>
          <w:szCs w:val="24"/>
          <w:lang w:eastAsia="en-IN"/>
        </w:rPr>
        <w:t>(1), p.13.</w:t>
      </w:r>
      <w:r w:rsidRPr="00572183">
        <w:rPr>
          <w:rFonts w:ascii="Times New Roman" w:eastAsia="Times New Roman" w:hAnsi="Times New Roman" w:cs="Times New Roman"/>
          <w:sz w:val="24"/>
          <w:szCs w:val="24"/>
          <w:lang w:eastAsia="en-IN"/>
        </w:rPr>
        <w:t xml:space="preserve"> Available at: </w:t>
      </w:r>
      <w:hyperlink r:id="rId13">
        <w:r w:rsidRPr="00572183">
          <w:rPr>
            <w:rFonts w:ascii="Times New Roman" w:eastAsia="Times New Roman" w:hAnsi="Times New Roman" w:cs="Times New Roman"/>
            <w:color w:val="1155CC"/>
            <w:sz w:val="24"/>
            <w:szCs w:val="24"/>
            <w:u w:val="single"/>
            <w:lang w:eastAsia="en-IN"/>
          </w:rPr>
          <w:t>https://doi.org/10.3390/eng6010013</w:t>
        </w:r>
      </w:hyperlink>
      <w:r w:rsidRPr="00572183">
        <w:rPr>
          <w:rFonts w:ascii="Times New Roman" w:eastAsia="Times New Roman" w:hAnsi="Times New Roman" w:cs="Times New Roman"/>
          <w:sz w:val="24"/>
          <w:szCs w:val="24"/>
          <w:lang w:eastAsia="en-IN"/>
        </w:rPr>
        <w:t xml:space="preserve"> </w:t>
      </w:r>
    </w:p>
    <w:p w14:paraId="148A756F"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color w:val="222222"/>
          <w:sz w:val="24"/>
          <w:szCs w:val="24"/>
          <w:lang w:eastAsia="en-IN"/>
        </w:rPr>
        <w:t xml:space="preserve">Anyanwu, L., Felix, O.O., Ejike, I.W. and </w:t>
      </w:r>
      <w:proofErr w:type="spellStart"/>
      <w:r w:rsidRPr="00572183">
        <w:rPr>
          <w:rFonts w:ascii="Times New Roman" w:eastAsia="Times New Roman" w:hAnsi="Times New Roman" w:cs="Times New Roman"/>
          <w:color w:val="222222"/>
          <w:sz w:val="24"/>
          <w:szCs w:val="24"/>
          <w:lang w:eastAsia="en-IN"/>
        </w:rPr>
        <w:t>Onyewuchi</w:t>
      </w:r>
      <w:proofErr w:type="spellEnd"/>
      <w:r w:rsidRPr="00572183">
        <w:rPr>
          <w:rFonts w:ascii="Times New Roman" w:eastAsia="Times New Roman" w:hAnsi="Times New Roman" w:cs="Times New Roman"/>
          <w:color w:val="222222"/>
          <w:sz w:val="24"/>
          <w:szCs w:val="24"/>
          <w:lang w:eastAsia="en-IN"/>
        </w:rPr>
        <w:t xml:space="preserve">, I., (2025). Environmental Governance Frameworks and Stakeholder Engagement Mechanisms for Effective Natural Resource Management at Local Levels. </w:t>
      </w:r>
      <w:r w:rsidRPr="00572183">
        <w:rPr>
          <w:rFonts w:ascii="Times New Roman" w:eastAsia="Times New Roman" w:hAnsi="Times New Roman" w:cs="Times New Roman"/>
          <w:i/>
          <w:iCs/>
          <w:color w:val="222222"/>
          <w:sz w:val="24"/>
          <w:szCs w:val="24"/>
          <w:lang w:eastAsia="en-IN"/>
        </w:rPr>
        <w:t>Preprint, January. https://doi. org/10.13140/RG</w:t>
      </w:r>
      <w:r w:rsidRPr="00572183">
        <w:rPr>
          <w:rFonts w:ascii="Times New Roman" w:eastAsia="Times New Roman" w:hAnsi="Times New Roman" w:cs="Times New Roman"/>
          <w:color w:val="222222"/>
          <w:sz w:val="24"/>
          <w:szCs w:val="24"/>
          <w:lang w:eastAsia="en-IN"/>
        </w:rPr>
        <w:t xml:space="preserve">, </w:t>
      </w:r>
      <w:r w:rsidRPr="00572183">
        <w:rPr>
          <w:rFonts w:ascii="Times New Roman" w:eastAsia="Times New Roman" w:hAnsi="Times New Roman" w:cs="Times New Roman"/>
          <w:i/>
          <w:iCs/>
          <w:color w:val="222222"/>
          <w:sz w:val="24"/>
          <w:szCs w:val="24"/>
          <w:lang w:eastAsia="en-IN"/>
        </w:rPr>
        <w:t>2</w:t>
      </w:r>
      <w:r w:rsidRPr="00572183">
        <w:rPr>
          <w:rFonts w:ascii="Times New Roman" w:eastAsia="Times New Roman" w:hAnsi="Times New Roman" w:cs="Times New Roman"/>
          <w:color w:val="222222"/>
          <w:sz w:val="24"/>
          <w:szCs w:val="24"/>
          <w:lang w:eastAsia="en-IN"/>
        </w:rPr>
        <w:t>(35850.12480).</w:t>
      </w:r>
      <w:r w:rsidRPr="00572183">
        <w:rPr>
          <w:rFonts w:ascii="Times New Roman" w:eastAsia="Times New Roman" w:hAnsi="Times New Roman" w:cs="Times New Roman"/>
          <w:sz w:val="24"/>
          <w:szCs w:val="24"/>
          <w:lang w:eastAsia="en-IN"/>
        </w:rPr>
        <w:t xml:space="preserve"> Available at: </w:t>
      </w:r>
      <w:hyperlink r:id="rId14">
        <w:r w:rsidRPr="00572183">
          <w:rPr>
            <w:rFonts w:ascii="Times New Roman" w:eastAsia="Times New Roman" w:hAnsi="Times New Roman" w:cs="Times New Roman"/>
            <w:color w:val="1155CC"/>
            <w:sz w:val="24"/>
            <w:szCs w:val="24"/>
            <w:u w:val="single"/>
            <w:lang w:eastAsia="en-IN"/>
          </w:rPr>
          <w:t>https://doi.org/10.30574/wjarr.(2025).28.2.3808</w:t>
        </w:r>
      </w:hyperlink>
      <w:r w:rsidRPr="00572183">
        <w:rPr>
          <w:rFonts w:ascii="Times New Roman" w:eastAsia="Times New Roman" w:hAnsi="Times New Roman" w:cs="Times New Roman"/>
          <w:sz w:val="24"/>
          <w:szCs w:val="24"/>
          <w:lang w:eastAsia="en-IN"/>
        </w:rPr>
        <w:t xml:space="preserve"> </w:t>
      </w:r>
    </w:p>
    <w:p w14:paraId="1EC7D7C7" w14:textId="77777777" w:rsidR="00572183" w:rsidRPr="00572183" w:rsidRDefault="00572183" w:rsidP="00433EB4">
      <w:pPr>
        <w:spacing w:after="240" w:line="360" w:lineRule="auto"/>
        <w:jc w:val="both"/>
        <w:rPr>
          <w:rFonts w:ascii="Times New Roman" w:eastAsia="Times New Roman" w:hAnsi="Times New Roman" w:cs="Times New Roman"/>
          <w:sz w:val="24"/>
          <w:szCs w:val="24"/>
          <w:highlight w:val="white"/>
        </w:rPr>
      </w:pPr>
      <w:proofErr w:type="spellStart"/>
      <w:r w:rsidRPr="00572183">
        <w:rPr>
          <w:rFonts w:ascii="Times New Roman" w:eastAsia="Times New Roman" w:hAnsi="Times New Roman" w:cs="Times New Roman"/>
          <w:sz w:val="24"/>
          <w:szCs w:val="24"/>
          <w:highlight w:val="white"/>
        </w:rPr>
        <w:t>Bąk</w:t>
      </w:r>
      <w:proofErr w:type="spellEnd"/>
      <w:r w:rsidRPr="00572183">
        <w:rPr>
          <w:rFonts w:ascii="Times New Roman" w:eastAsia="Times New Roman" w:hAnsi="Times New Roman" w:cs="Times New Roman"/>
          <w:sz w:val="24"/>
          <w:szCs w:val="24"/>
          <w:highlight w:val="white"/>
        </w:rPr>
        <w:t xml:space="preserve">, S. and Jedynak, P. (2023) </w:t>
      </w:r>
      <w:r w:rsidRPr="00572183">
        <w:rPr>
          <w:rFonts w:ascii="Times New Roman" w:eastAsia="Times New Roman" w:hAnsi="Times New Roman" w:cs="Times New Roman"/>
          <w:i/>
          <w:iCs/>
          <w:sz w:val="24"/>
          <w:szCs w:val="24"/>
          <w:highlight w:val="white"/>
        </w:rPr>
        <w:t>Risk management maturity: A multidimensional model</w:t>
      </w:r>
      <w:r w:rsidRPr="00572183">
        <w:rPr>
          <w:rFonts w:ascii="Times New Roman" w:eastAsia="Times New Roman" w:hAnsi="Times New Roman" w:cs="Times New Roman"/>
          <w:sz w:val="24"/>
          <w:szCs w:val="24"/>
          <w:highlight w:val="white"/>
        </w:rPr>
        <w:t xml:space="preserve"> (p. 112). Taylor &amp; Francis.</w:t>
      </w:r>
    </w:p>
    <w:p w14:paraId="73ADA676" w14:textId="40DCAD8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BBC (2024) </w:t>
      </w:r>
      <w:r w:rsidRPr="00572183">
        <w:rPr>
          <w:rFonts w:ascii="Times New Roman" w:eastAsia="Times New Roman" w:hAnsi="Times New Roman" w:cs="Times New Roman"/>
          <w:i/>
          <w:iCs/>
          <w:sz w:val="24"/>
          <w:szCs w:val="24"/>
        </w:rPr>
        <w:t>Why are doctors wary of wearables?</w:t>
      </w:r>
      <w:r w:rsidRPr="00572183">
        <w:rPr>
          <w:rFonts w:ascii="Times New Roman" w:eastAsia="Times New Roman" w:hAnsi="Times New Roman" w:cs="Times New Roman"/>
          <w:sz w:val="24"/>
          <w:szCs w:val="24"/>
        </w:rPr>
        <w:t xml:space="preserve"> Available at: </w:t>
      </w:r>
      <w:hyperlink r:id="rId15">
        <w:r w:rsidRPr="00572183">
          <w:rPr>
            <w:rFonts w:ascii="Times New Roman" w:eastAsia="Times New Roman" w:hAnsi="Times New Roman" w:cs="Times New Roman"/>
            <w:color w:val="1155CC"/>
            <w:sz w:val="24"/>
            <w:szCs w:val="24"/>
            <w:u w:val="single"/>
          </w:rPr>
          <w:t>https://www.bbc.com/news/articles/c79zpzdv4vno</w:t>
        </w:r>
      </w:hyperlink>
      <w:r w:rsidR="00FD1D08">
        <w:rPr>
          <w:rFonts w:ascii="Times New Roman" w:eastAsia="Times New Roman" w:hAnsi="Times New Roman" w:cs="Times New Roman"/>
          <w:sz w:val="24"/>
          <w:szCs w:val="24"/>
        </w:rPr>
        <w:t xml:space="preserve"> </w:t>
      </w:r>
      <w:r w:rsidRPr="00572183">
        <w:rPr>
          <w:rFonts w:ascii="Times New Roman" w:eastAsia="Times New Roman" w:hAnsi="Times New Roman" w:cs="Times New Roman"/>
          <w:sz w:val="24"/>
          <w:szCs w:val="24"/>
        </w:rPr>
        <w:t xml:space="preserve">(Accessed: 25 March 2026). </w:t>
      </w:r>
    </w:p>
    <w:p w14:paraId="67D7ED68" w14:textId="4B86A481"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Chumachenko, D. and Yakovlev, S. (2024). ‘Artificial intelligence algorithms for healthcare.’ </w:t>
      </w:r>
      <w:r w:rsidRPr="00572183">
        <w:rPr>
          <w:rFonts w:ascii="Times New Roman" w:eastAsia="Times New Roman" w:hAnsi="Times New Roman" w:cs="Times New Roman"/>
          <w:i/>
          <w:iCs/>
          <w:sz w:val="24"/>
          <w:szCs w:val="24"/>
        </w:rPr>
        <w:t>Algorithms</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i/>
          <w:iCs/>
          <w:sz w:val="24"/>
          <w:szCs w:val="24"/>
        </w:rPr>
        <w:t>17</w:t>
      </w:r>
      <w:r w:rsidRPr="00572183">
        <w:rPr>
          <w:rFonts w:ascii="Times New Roman" w:eastAsia="Times New Roman" w:hAnsi="Times New Roman" w:cs="Times New Roman"/>
          <w:sz w:val="24"/>
          <w:szCs w:val="24"/>
        </w:rPr>
        <w:t xml:space="preserve">(3), p.105. Available at: </w:t>
      </w:r>
      <w:hyperlink r:id="rId16">
        <w:r w:rsidRPr="00572183">
          <w:rPr>
            <w:rFonts w:ascii="Times New Roman" w:eastAsia="Times New Roman" w:hAnsi="Times New Roman" w:cs="Times New Roman"/>
            <w:color w:val="1155CC"/>
            <w:sz w:val="24"/>
            <w:szCs w:val="24"/>
            <w:u w:val="single"/>
          </w:rPr>
          <w:t>https://doi.org/10.3390/a17030105</w:t>
        </w:r>
      </w:hyperlink>
      <w:r w:rsidRPr="00572183">
        <w:rPr>
          <w:rFonts w:ascii="Times New Roman" w:eastAsia="Times New Roman" w:hAnsi="Times New Roman" w:cs="Times New Roman"/>
          <w:sz w:val="24"/>
          <w:szCs w:val="24"/>
        </w:rPr>
        <w:t xml:space="preserve"> (Accessed: 24 March 2026).</w:t>
      </w:r>
      <w:r w:rsidR="00FD1D08">
        <w:rPr>
          <w:rFonts w:ascii="Times New Roman" w:eastAsia="Times New Roman" w:hAnsi="Times New Roman" w:cs="Times New Roman"/>
          <w:sz w:val="24"/>
          <w:szCs w:val="24"/>
        </w:rPr>
        <w:t xml:space="preserve"> </w:t>
      </w:r>
    </w:p>
    <w:p w14:paraId="61BBA863"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color w:val="222222"/>
          <w:sz w:val="24"/>
          <w:szCs w:val="24"/>
          <w:lang w:eastAsia="en-IN"/>
        </w:rPr>
        <w:lastRenderedPageBreak/>
        <w:t xml:space="preserve">Donner, M., Guimond, D., </w:t>
      </w:r>
      <w:proofErr w:type="spellStart"/>
      <w:r w:rsidRPr="00572183">
        <w:rPr>
          <w:rFonts w:ascii="Times New Roman" w:eastAsia="Times New Roman" w:hAnsi="Times New Roman" w:cs="Times New Roman"/>
          <w:color w:val="222222"/>
          <w:sz w:val="24"/>
          <w:szCs w:val="24"/>
          <w:lang w:eastAsia="en-IN"/>
        </w:rPr>
        <w:t>Lagendijk</w:t>
      </w:r>
      <w:proofErr w:type="spellEnd"/>
      <w:r w:rsidRPr="00572183">
        <w:rPr>
          <w:rFonts w:ascii="Times New Roman" w:eastAsia="Times New Roman" w:hAnsi="Times New Roman" w:cs="Times New Roman"/>
          <w:color w:val="222222"/>
          <w:sz w:val="24"/>
          <w:szCs w:val="24"/>
          <w:lang w:eastAsia="en-IN"/>
        </w:rPr>
        <w:t xml:space="preserve">, E., </w:t>
      </w:r>
      <w:proofErr w:type="spellStart"/>
      <w:r w:rsidRPr="00572183">
        <w:rPr>
          <w:rFonts w:ascii="Times New Roman" w:eastAsia="Times New Roman" w:hAnsi="Times New Roman" w:cs="Times New Roman"/>
          <w:color w:val="222222"/>
          <w:sz w:val="24"/>
          <w:szCs w:val="24"/>
          <w:lang w:eastAsia="en-IN"/>
        </w:rPr>
        <w:t>Mamès</w:t>
      </w:r>
      <w:proofErr w:type="spellEnd"/>
      <w:r w:rsidRPr="00572183">
        <w:rPr>
          <w:rFonts w:ascii="Times New Roman" w:eastAsia="Times New Roman" w:hAnsi="Times New Roman" w:cs="Times New Roman"/>
          <w:color w:val="222222"/>
          <w:sz w:val="24"/>
          <w:szCs w:val="24"/>
          <w:lang w:eastAsia="en-IN"/>
        </w:rPr>
        <w:t xml:space="preserve">, M., Baker, A. and de Vries, H., (2026). Critical success factors and a modus operandi framework for managing multi‐actor research partnerships for sustainable food systems. </w:t>
      </w:r>
      <w:r w:rsidRPr="00572183">
        <w:rPr>
          <w:rFonts w:ascii="Times New Roman" w:eastAsia="Times New Roman" w:hAnsi="Times New Roman" w:cs="Times New Roman"/>
          <w:i/>
          <w:iCs/>
          <w:color w:val="222222"/>
          <w:sz w:val="24"/>
          <w:szCs w:val="24"/>
          <w:lang w:eastAsia="en-IN"/>
        </w:rPr>
        <w:t>Sustainable Development</w:t>
      </w:r>
      <w:r w:rsidRPr="00572183">
        <w:rPr>
          <w:rFonts w:ascii="Times New Roman" w:eastAsia="Times New Roman" w:hAnsi="Times New Roman" w:cs="Times New Roman"/>
          <w:color w:val="222222"/>
          <w:sz w:val="24"/>
          <w:szCs w:val="24"/>
          <w:lang w:eastAsia="en-IN"/>
        </w:rPr>
        <w:t>.</w:t>
      </w:r>
      <w:r w:rsidRPr="00572183">
        <w:rPr>
          <w:rFonts w:ascii="Times New Roman" w:eastAsia="Times New Roman" w:hAnsi="Times New Roman" w:cs="Times New Roman"/>
          <w:sz w:val="24"/>
          <w:szCs w:val="24"/>
          <w:lang w:eastAsia="en-IN"/>
        </w:rPr>
        <w:t xml:space="preserve"> Available at: </w:t>
      </w:r>
      <w:hyperlink r:id="rId17">
        <w:r w:rsidRPr="00572183">
          <w:rPr>
            <w:rFonts w:ascii="Times New Roman" w:eastAsia="Times New Roman" w:hAnsi="Times New Roman" w:cs="Times New Roman"/>
            <w:color w:val="1155CC"/>
            <w:sz w:val="24"/>
            <w:szCs w:val="24"/>
            <w:u w:val="single"/>
            <w:lang w:eastAsia="en-IN"/>
          </w:rPr>
          <w:t>https://onlinelibrary.wiley.com/doi/abs/10.1002/sd.70930</w:t>
        </w:r>
      </w:hyperlink>
      <w:r w:rsidRPr="00572183">
        <w:rPr>
          <w:rFonts w:ascii="Times New Roman" w:eastAsia="Times New Roman" w:hAnsi="Times New Roman" w:cs="Times New Roman"/>
          <w:sz w:val="24"/>
          <w:szCs w:val="24"/>
          <w:lang w:eastAsia="en-IN"/>
        </w:rPr>
        <w:t xml:space="preserve"> </w:t>
      </w:r>
    </w:p>
    <w:p w14:paraId="7737D699" w14:textId="4F06A793"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Dunbar, P., Keyes, L.M. and Browne, J.P. (2023) ‘Determinants of regulatory compliance in health and social care services: A systematic review using the Consolidated Framework for Implementation Research.’ </w:t>
      </w:r>
      <w:proofErr w:type="spellStart"/>
      <w:r w:rsidRPr="00572183">
        <w:rPr>
          <w:rFonts w:ascii="Times New Roman" w:eastAsia="Times New Roman" w:hAnsi="Times New Roman" w:cs="Times New Roman"/>
          <w:i/>
          <w:iCs/>
          <w:sz w:val="24"/>
          <w:szCs w:val="24"/>
        </w:rPr>
        <w:t>PLoS</w:t>
      </w:r>
      <w:proofErr w:type="spellEnd"/>
      <w:r w:rsidRPr="00572183">
        <w:rPr>
          <w:rFonts w:ascii="Times New Roman" w:eastAsia="Times New Roman" w:hAnsi="Times New Roman" w:cs="Times New Roman"/>
          <w:i/>
          <w:iCs/>
          <w:sz w:val="24"/>
          <w:szCs w:val="24"/>
        </w:rPr>
        <w:t xml:space="preserve"> One</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i/>
          <w:iCs/>
          <w:sz w:val="24"/>
          <w:szCs w:val="24"/>
        </w:rPr>
        <w:t>18</w:t>
      </w:r>
      <w:r w:rsidRPr="00572183">
        <w:rPr>
          <w:rFonts w:ascii="Times New Roman" w:eastAsia="Times New Roman" w:hAnsi="Times New Roman" w:cs="Times New Roman"/>
          <w:sz w:val="24"/>
          <w:szCs w:val="24"/>
        </w:rPr>
        <w:t xml:space="preserve">(4), p.e0278007. </w:t>
      </w:r>
      <w:hyperlink r:id="rId18">
        <w:r w:rsidRPr="00572183">
          <w:rPr>
            <w:rFonts w:ascii="Times New Roman" w:eastAsia="Times New Roman" w:hAnsi="Times New Roman" w:cs="Times New Roman"/>
            <w:color w:val="1155CC"/>
            <w:sz w:val="24"/>
            <w:szCs w:val="24"/>
            <w:u w:val="single"/>
          </w:rPr>
          <w:t>https://doi.org/10.1371/journal.pone.0278007</w:t>
        </w:r>
      </w:hyperlink>
      <w:r w:rsidRPr="00572183">
        <w:rPr>
          <w:rFonts w:ascii="Times New Roman" w:eastAsia="Times New Roman" w:hAnsi="Times New Roman" w:cs="Times New Roman"/>
          <w:sz w:val="24"/>
          <w:szCs w:val="24"/>
        </w:rPr>
        <w:t xml:space="preserve"> (Accessed: 25 March 2026).</w:t>
      </w:r>
      <w:r w:rsidR="00FD1D08">
        <w:rPr>
          <w:rFonts w:ascii="Times New Roman" w:eastAsia="Times New Roman" w:hAnsi="Times New Roman" w:cs="Times New Roman"/>
          <w:sz w:val="24"/>
          <w:szCs w:val="24"/>
        </w:rPr>
        <w:t xml:space="preserve"> </w:t>
      </w:r>
    </w:p>
    <w:p w14:paraId="3430965B" w14:textId="7777777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Ellis, C.A., Gibbs, S.J. and Rein, G. (1991) ‘Groupware: some issues and experiences.’ </w:t>
      </w:r>
      <w:r w:rsidRPr="00572183">
        <w:rPr>
          <w:rFonts w:ascii="Times New Roman" w:eastAsia="Times New Roman" w:hAnsi="Times New Roman" w:cs="Times New Roman"/>
          <w:i/>
          <w:iCs/>
          <w:sz w:val="24"/>
          <w:szCs w:val="24"/>
        </w:rPr>
        <w:t>Communications of the ACM</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i/>
          <w:iCs/>
          <w:sz w:val="24"/>
          <w:szCs w:val="24"/>
        </w:rPr>
        <w:t>34</w:t>
      </w:r>
      <w:r w:rsidRPr="00572183">
        <w:rPr>
          <w:rFonts w:ascii="Times New Roman" w:eastAsia="Times New Roman" w:hAnsi="Times New Roman" w:cs="Times New Roman"/>
          <w:sz w:val="24"/>
          <w:szCs w:val="24"/>
        </w:rPr>
        <w:t xml:space="preserve">(1), pp.39-58. Available at: </w:t>
      </w:r>
      <w:hyperlink r:id="rId19">
        <w:r w:rsidRPr="00572183">
          <w:rPr>
            <w:rFonts w:ascii="Times New Roman" w:eastAsia="Times New Roman" w:hAnsi="Times New Roman" w:cs="Times New Roman"/>
            <w:color w:val="1155CC"/>
            <w:sz w:val="24"/>
            <w:szCs w:val="24"/>
            <w:u w:val="single"/>
          </w:rPr>
          <w:t>http//</w:t>
        </w:r>
        <w:proofErr w:type="spellStart"/>
        <w:r w:rsidRPr="00572183">
          <w:rPr>
            <w:rFonts w:ascii="Times New Roman" w:eastAsia="Times New Roman" w:hAnsi="Times New Roman" w:cs="Times New Roman"/>
            <w:color w:val="1155CC"/>
            <w:sz w:val="24"/>
            <w:szCs w:val="24"/>
            <w:u w:val="single"/>
          </w:rPr>
          <w:t>doi</w:t>
        </w:r>
        <w:proofErr w:type="spellEnd"/>
        <w:r w:rsidRPr="00572183">
          <w:rPr>
            <w:rFonts w:ascii="Times New Roman" w:eastAsia="Times New Roman" w:hAnsi="Times New Roman" w:cs="Times New Roman"/>
            <w:color w:val="1155CC"/>
            <w:sz w:val="24"/>
            <w:szCs w:val="24"/>
            <w:u w:val="single"/>
          </w:rPr>
          <w:t xml:space="preserve">/10.1145/99977.99987 </w:t>
        </w:r>
      </w:hyperlink>
      <w:r w:rsidRPr="00572183">
        <w:rPr>
          <w:rFonts w:ascii="Times New Roman" w:eastAsia="Times New Roman" w:hAnsi="Times New Roman" w:cs="Times New Roman"/>
          <w:sz w:val="24"/>
          <w:szCs w:val="24"/>
        </w:rPr>
        <w:t xml:space="preserve">(Accessed: 24 March 2026). </w:t>
      </w:r>
      <w:hyperlink r:id="rId20">
        <w:r w:rsidRPr="00572183">
          <w:rPr>
            <w:rFonts w:ascii="Times New Roman" w:eastAsia="Times New Roman" w:hAnsi="Times New Roman" w:cs="Times New Roman"/>
            <w:color w:val="1155CC"/>
            <w:sz w:val="24"/>
            <w:szCs w:val="24"/>
            <w:u w:val="single"/>
          </w:rPr>
          <w:t xml:space="preserve"> </w:t>
        </w:r>
      </w:hyperlink>
    </w:p>
    <w:p w14:paraId="4704F4C1" w14:textId="7777777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Gov (2022) </w:t>
      </w:r>
      <w:r w:rsidRPr="00572183">
        <w:rPr>
          <w:rFonts w:ascii="Times New Roman" w:eastAsia="Times New Roman" w:hAnsi="Times New Roman" w:cs="Times New Roman"/>
          <w:i/>
          <w:iCs/>
          <w:sz w:val="24"/>
          <w:szCs w:val="24"/>
        </w:rPr>
        <w:t>Health and Care Act 2022</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sz w:val="24"/>
          <w:szCs w:val="24"/>
          <w:highlight w:val="white"/>
        </w:rPr>
        <w:t>Available at</w:t>
      </w:r>
      <w:r w:rsidRPr="00572183">
        <w:rPr>
          <w:rFonts w:ascii="Times New Roman" w:eastAsia="Times New Roman" w:hAnsi="Times New Roman" w:cs="Times New Roman"/>
          <w:color w:val="222222"/>
          <w:sz w:val="24"/>
          <w:szCs w:val="24"/>
          <w:highlight w:val="white"/>
        </w:rPr>
        <w:t xml:space="preserve">: </w:t>
      </w:r>
      <w:hyperlink r:id="rId21">
        <w:r w:rsidRPr="00572183">
          <w:rPr>
            <w:rFonts w:ascii="Times New Roman" w:eastAsia="Times New Roman" w:hAnsi="Times New Roman" w:cs="Times New Roman"/>
            <w:color w:val="1155CC"/>
            <w:sz w:val="24"/>
            <w:szCs w:val="24"/>
            <w:u w:val="single"/>
          </w:rPr>
          <w:t>https://assets.publishing.service.gov.uk/media/6363d911e90e0705a8c35457/health-and-care-act-2022-summary-and-additional-measures-impact-assessment.pdf</w:t>
        </w:r>
      </w:hyperlink>
      <w:r w:rsidRPr="00572183">
        <w:rPr>
          <w:rFonts w:ascii="Times New Roman" w:eastAsia="Times New Roman" w:hAnsi="Times New Roman" w:cs="Times New Roman"/>
          <w:sz w:val="24"/>
          <w:szCs w:val="24"/>
        </w:rPr>
        <w:t xml:space="preserve"> (Accessed: 25 March 2026). </w:t>
      </w:r>
    </w:p>
    <w:p w14:paraId="242E65D5" w14:textId="35861759"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highlight w:val="white"/>
        </w:rPr>
        <w:t xml:space="preserve">Guo, J., Wan, B., Zheng, S., Song, A. and Huang, W. (2022) ‘A teenager physical fitness evaluation model based on 1D-CNN with LSTM and wearable running PPG recordings.’ </w:t>
      </w:r>
      <w:r w:rsidRPr="00572183">
        <w:rPr>
          <w:rFonts w:ascii="Times New Roman" w:eastAsia="Times New Roman" w:hAnsi="Times New Roman" w:cs="Times New Roman"/>
          <w:i/>
          <w:iCs/>
          <w:sz w:val="24"/>
          <w:szCs w:val="24"/>
          <w:highlight w:val="white"/>
        </w:rPr>
        <w:t>Biosensors</w:t>
      </w:r>
      <w:r w:rsidRPr="00572183">
        <w:rPr>
          <w:rFonts w:ascii="Times New Roman" w:eastAsia="Times New Roman" w:hAnsi="Times New Roman" w:cs="Times New Roman"/>
          <w:sz w:val="24"/>
          <w:szCs w:val="24"/>
          <w:highlight w:val="white"/>
        </w:rPr>
        <w:t xml:space="preserve">, </w:t>
      </w:r>
      <w:r w:rsidRPr="00572183">
        <w:rPr>
          <w:rFonts w:ascii="Times New Roman" w:eastAsia="Times New Roman" w:hAnsi="Times New Roman" w:cs="Times New Roman"/>
          <w:i/>
          <w:iCs/>
          <w:sz w:val="24"/>
          <w:szCs w:val="24"/>
          <w:highlight w:val="white"/>
        </w:rPr>
        <w:t>12</w:t>
      </w:r>
      <w:r w:rsidRPr="00572183">
        <w:rPr>
          <w:rFonts w:ascii="Times New Roman" w:eastAsia="Times New Roman" w:hAnsi="Times New Roman" w:cs="Times New Roman"/>
          <w:sz w:val="24"/>
          <w:szCs w:val="24"/>
          <w:highlight w:val="white"/>
        </w:rPr>
        <w:t>(4), p.202. Available at</w:t>
      </w:r>
      <w:r w:rsidRPr="00572183">
        <w:rPr>
          <w:rFonts w:ascii="Times New Roman" w:eastAsia="Times New Roman" w:hAnsi="Times New Roman" w:cs="Times New Roman"/>
          <w:color w:val="222222"/>
          <w:sz w:val="24"/>
          <w:szCs w:val="24"/>
          <w:highlight w:val="white"/>
        </w:rPr>
        <w:t xml:space="preserve">: </w:t>
      </w:r>
      <w:hyperlink r:id="rId22">
        <w:r w:rsidRPr="00572183">
          <w:rPr>
            <w:rFonts w:ascii="Times New Roman" w:eastAsia="Times New Roman" w:hAnsi="Times New Roman" w:cs="Times New Roman"/>
            <w:color w:val="1155CC"/>
            <w:sz w:val="24"/>
            <w:szCs w:val="24"/>
            <w:highlight w:val="white"/>
            <w:u w:val="single"/>
          </w:rPr>
          <w:t>https://doi.org/10.3390/bios12040202</w:t>
        </w:r>
      </w:hyperlink>
      <w:r w:rsidRPr="00572183">
        <w:rPr>
          <w:rFonts w:ascii="Times New Roman" w:eastAsia="Times New Roman" w:hAnsi="Times New Roman" w:cs="Times New Roman"/>
          <w:color w:val="222222"/>
          <w:sz w:val="24"/>
          <w:szCs w:val="24"/>
          <w:highlight w:val="white"/>
        </w:rPr>
        <w:t xml:space="preserve"> </w:t>
      </w:r>
      <w:r w:rsidRPr="00572183">
        <w:rPr>
          <w:rFonts w:ascii="Times New Roman" w:eastAsia="Times New Roman" w:hAnsi="Times New Roman" w:cs="Times New Roman"/>
          <w:sz w:val="24"/>
          <w:szCs w:val="24"/>
        </w:rPr>
        <w:t>(Accessed: 24 March 2026).</w:t>
      </w:r>
      <w:r w:rsidR="00FD1D08">
        <w:rPr>
          <w:rFonts w:ascii="Times New Roman" w:eastAsia="Times New Roman" w:hAnsi="Times New Roman" w:cs="Times New Roman"/>
          <w:sz w:val="24"/>
          <w:szCs w:val="24"/>
        </w:rPr>
        <w:t xml:space="preserve"> </w:t>
      </w:r>
    </w:p>
    <w:p w14:paraId="23056E6D" w14:textId="7777777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Hasan, T.I., </w:t>
      </w:r>
      <w:proofErr w:type="spellStart"/>
      <w:r w:rsidRPr="00572183">
        <w:rPr>
          <w:rFonts w:ascii="Times New Roman" w:eastAsia="Times New Roman" w:hAnsi="Times New Roman" w:cs="Times New Roman"/>
          <w:sz w:val="24"/>
          <w:szCs w:val="24"/>
        </w:rPr>
        <w:t>Silalahi</w:t>
      </w:r>
      <w:proofErr w:type="spellEnd"/>
      <w:r w:rsidRPr="00572183">
        <w:rPr>
          <w:rFonts w:ascii="Times New Roman" w:eastAsia="Times New Roman" w:hAnsi="Times New Roman" w:cs="Times New Roman"/>
          <w:sz w:val="24"/>
          <w:szCs w:val="24"/>
        </w:rPr>
        <w:t xml:space="preserve">, C.I., </w:t>
      </w:r>
      <w:proofErr w:type="spellStart"/>
      <w:r w:rsidRPr="00572183">
        <w:rPr>
          <w:rFonts w:ascii="Times New Roman" w:eastAsia="Times New Roman" w:hAnsi="Times New Roman" w:cs="Times New Roman"/>
          <w:sz w:val="24"/>
          <w:szCs w:val="24"/>
        </w:rPr>
        <w:t>Rumagit</w:t>
      </w:r>
      <w:proofErr w:type="spellEnd"/>
      <w:r w:rsidRPr="00572183">
        <w:rPr>
          <w:rFonts w:ascii="Times New Roman" w:eastAsia="Times New Roman" w:hAnsi="Times New Roman" w:cs="Times New Roman"/>
          <w:sz w:val="24"/>
          <w:szCs w:val="24"/>
        </w:rPr>
        <w:t xml:space="preserve">, R.Y. and Pratama, G.D. (2024) ‘UI/UX design impact on E-Commerce attracting users.’ </w:t>
      </w:r>
      <w:r w:rsidRPr="00572183">
        <w:rPr>
          <w:rFonts w:ascii="Times New Roman" w:eastAsia="Times New Roman" w:hAnsi="Times New Roman" w:cs="Times New Roman"/>
          <w:i/>
          <w:iCs/>
          <w:sz w:val="24"/>
          <w:szCs w:val="24"/>
        </w:rPr>
        <w:t>Procedia Computer Science</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i/>
          <w:iCs/>
          <w:sz w:val="24"/>
          <w:szCs w:val="24"/>
        </w:rPr>
        <w:t>245</w:t>
      </w:r>
      <w:r w:rsidRPr="00572183">
        <w:rPr>
          <w:rFonts w:ascii="Times New Roman" w:eastAsia="Times New Roman" w:hAnsi="Times New Roman" w:cs="Times New Roman"/>
          <w:sz w:val="24"/>
          <w:szCs w:val="24"/>
        </w:rPr>
        <w:t xml:space="preserve">, pp.1075-1082. </w:t>
      </w:r>
      <w:hyperlink r:id="rId23">
        <w:r w:rsidRPr="00572183">
          <w:rPr>
            <w:rFonts w:ascii="Times New Roman" w:eastAsia="Times New Roman" w:hAnsi="Times New Roman" w:cs="Times New Roman"/>
            <w:color w:val="1155CC"/>
            <w:sz w:val="24"/>
            <w:szCs w:val="24"/>
            <w:u w:val="single"/>
          </w:rPr>
          <w:t>https://doi.org/10.1016/j.procs.2024.10.336</w:t>
        </w:r>
      </w:hyperlink>
      <w:r w:rsidRPr="00572183">
        <w:rPr>
          <w:rFonts w:ascii="Times New Roman" w:eastAsia="Times New Roman" w:hAnsi="Times New Roman" w:cs="Times New Roman"/>
          <w:sz w:val="24"/>
          <w:szCs w:val="24"/>
        </w:rPr>
        <w:t xml:space="preserve"> (Accessed: 25 March 2026). </w:t>
      </w:r>
      <w:hyperlink r:id="rId24">
        <w:r w:rsidRPr="00572183">
          <w:rPr>
            <w:rFonts w:ascii="Times New Roman" w:eastAsia="Times New Roman" w:hAnsi="Times New Roman" w:cs="Times New Roman"/>
            <w:color w:val="1155CC"/>
            <w:sz w:val="24"/>
            <w:szCs w:val="24"/>
            <w:u w:val="single"/>
          </w:rPr>
          <w:t xml:space="preserve"> </w:t>
        </w:r>
      </w:hyperlink>
    </w:p>
    <w:p w14:paraId="226A2178" w14:textId="0344FC51"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IMARC Group (2026) </w:t>
      </w:r>
      <w:r w:rsidRPr="00572183">
        <w:rPr>
          <w:rFonts w:ascii="Times New Roman" w:eastAsia="Times New Roman" w:hAnsi="Times New Roman" w:cs="Times New Roman"/>
          <w:i/>
          <w:iCs/>
          <w:sz w:val="24"/>
          <w:szCs w:val="24"/>
        </w:rPr>
        <w:t>UK AI in Healthcare Market Size, Share, Trends and Forecast by Offering, Technology, Application, End User, and Region, 2026-2034.</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sz w:val="24"/>
          <w:szCs w:val="24"/>
          <w:highlight w:val="white"/>
        </w:rPr>
        <w:t>Available at</w:t>
      </w:r>
      <w:r w:rsidRPr="00572183">
        <w:rPr>
          <w:rFonts w:ascii="Times New Roman" w:eastAsia="Times New Roman" w:hAnsi="Times New Roman" w:cs="Times New Roman"/>
          <w:color w:val="222222"/>
          <w:sz w:val="24"/>
          <w:szCs w:val="24"/>
          <w:highlight w:val="white"/>
        </w:rPr>
        <w:t xml:space="preserve">: </w:t>
      </w:r>
      <w:hyperlink r:id="rId25">
        <w:r w:rsidRPr="00572183">
          <w:rPr>
            <w:rFonts w:ascii="Times New Roman" w:eastAsia="Times New Roman" w:hAnsi="Times New Roman" w:cs="Times New Roman"/>
            <w:color w:val="1155CC"/>
            <w:sz w:val="24"/>
            <w:szCs w:val="24"/>
            <w:u w:val="single"/>
          </w:rPr>
          <w:t>https://www.imarcgroup.com/uk-ai-in-healthcare-market</w:t>
        </w:r>
      </w:hyperlink>
      <w:r w:rsidRPr="00572183">
        <w:rPr>
          <w:rFonts w:ascii="Times New Roman" w:eastAsia="Times New Roman" w:hAnsi="Times New Roman" w:cs="Times New Roman"/>
          <w:sz w:val="24"/>
          <w:szCs w:val="24"/>
        </w:rPr>
        <w:t xml:space="preserve"> (Accessed: 25 March 2026).</w:t>
      </w:r>
      <w:r w:rsidR="00FD1D08">
        <w:rPr>
          <w:rFonts w:ascii="Times New Roman" w:eastAsia="Times New Roman" w:hAnsi="Times New Roman" w:cs="Times New Roman"/>
          <w:sz w:val="24"/>
          <w:szCs w:val="24"/>
        </w:rPr>
        <w:t xml:space="preserve"> </w:t>
      </w:r>
    </w:p>
    <w:p w14:paraId="5C92B236"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bidi="bn-IN"/>
        </w:rPr>
      </w:pPr>
      <w:r w:rsidRPr="00572183">
        <w:rPr>
          <w:rFonts w:ascii="Times New Roman" w:eastAsia="Times New Roman" w:hAnsi="Times New Roman" w:cs="Times New Roman"/>
          <w:sz w:val="24"/>
          <w:szCs w:val="24"/>
          <w:lang w:eastAsia="en-IN" w:bidi="bn-IN"/>
        </w:rPr>
        <w:t xml:space="preserve">Jasim, O.A. and Faris, S.H. (2024) ‘Exploring relationship between communication skills and conflict management styles used by nursing staff’, </w:t>
      </w:r>
      <w:r w:rsidRPr="00572183">
        <w:rPr>
          <w:rFonts w:ascii="Times New Roman" w:eastAsia="Times New Roman" w:hAnsi="Times New Roman" w:cs="Times New Roman"/>
          <w:i/>
          <w:iCs/>
          <w:sz w:val="24"/>
          <w:szCs w:val="24"/>
          <w:lang w:eastAsia="en-IN" w:bidi="bn-IN"/>
        </w:rPr>
        <w:t>Bahrain Medical Bulletin</w:t>
      </w:r>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i/>
          <w:iCs/>
          <w:sz w:val="24"/>
          <w:szCs w:val="24"/>
          <w:lang w:eastAsia="en-IN" w:bidi="bn-IN"/>
        </w:rPr>
        <w:t>46</w:t>
      </w:r>
      <w:r w:rsidRPr="00572183">
        <w:rPr>
          <w:rFonts w:ascii="Times New Roman" w:eastAsia="Times New Roman" w:hAnsi="Times New Roman" w:cs="Times New Roman"/>
          <w:sz w:val="24"/>
          <w:szCs w:val="24"/>
          <w:lang w:eastAsia="en-IN" w:bidi="bn-IN"/>
        </w:rPr>
        <w:t xml:space="preserve">(1), pp.1921-1926. Available at: </w:t>
      </w:r>
      <w:hyperlink r:id="rId26">
        <w:r w:rsidRPr="00572183">
          <w:rPr>
            <w:rFonts w:ascii="Times New Roman" w:eastAsia="Times New Roman" w:hAnsi="Times New Roman" w:cs="Times New Roman"/>
            <w:color w:val="1155CC"/>
            <w:sz w:val="24"/>
            <w:szCs w:val="24"/>
            <w:u w:val="single"/>
            <w:lang w:eastAsia="en-IN" w:bidi="bn-IN"/>
          </w:rPr>
          <w:t>https://www.bahrainmedicalbulletin.com/March_2024/BMB-23-537.pdf</w:t>
        </w:r>
      </w:hyperlink>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sz w:val="24"/>
          <w:szCs w:val="24"/>
        </w:rPr>
        <w:t>(Accessed: 14 March 2026).</w:t>
      </w:r>
    </w:p>
    <w:p w14:paraId="02CBB59C"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bidi="bn-IN"/>
        </w:rPr>
      </w:pPr>
      <w:r w:rsidRPr="00572183">
        <w:rPr>
          <w:rFonts w:ascii="Times New Roman" w:eastAsia="Times New Roman" w:hAnsi="Times New Roman" w:cs="Times New Roman"/>
          <w:sz w:val="24"/>
          <w:szCs w:val="24"/>
          <w:lang w:eastAsia="en-IN" w:bidi="bn-IN"/>
        </w:rPr>
        <w:lastRenderedPageBreak/>
        <w:t xml:space="preserve">Kujala, J., Sachs, S., Leinonen, H., Heikkinen, A. and Laude, D. (2022) ‘Stakeholder engagement: Past, present, and future’, </w:t>
      </w:r>
      <w:r w:rsidRPr="00572183">
        <w:rPr>
          <w:rFonts w:ascii="Times New Roman" w:eastAsia="Times New Roman" w:hAnsi="Times New Roman" w:cs="Times New Roman"/>
          <w:i/>
          <w:iCs/>
          <w:sz w:val="24"/>
          <w:szCs w:val="24"/>
          <w:lang w:eastAsia="en-IN" w:bidi="bn-IN"/>
        </w:rPr>
        <w:t>Business &amp; Society</w:t>
      </w:r>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i/>
          <w:iCs/>
          <w:sz w:val="24"/>
          <w:szCs w:val="24"/>
          <w:lang w:eastAsia="en-IN" w:bidi="bn-IN"/>
        </w:rPr>
        <w:t>61</w:t>
      </w:r>
      <w:r w:rsidRPr="00572183">
        <w:rPr>
          <w:rFonts w:ascii="Times New Roman" w:eastAsia="Times New Roman" w:hAnsi="Times New Roman" w:cs="Times New Roman"/>
          <w:sz w:val="24"/>
          <w:szCs w:val="24"/>
          <w:lang w:eastAsia="en-IN" w:bidi="bn-IN"/>
        </w:rPr>
        <w:t xml:space="preserve">(5), pp.1136-1196. Available at: </w:t>
      </w:r>
      <w:hyperlink r:id="rId27">
        <w:r w:rsidRPr="00572183">
          <w:rPr>
            <w:rFonts w:ascii="Times New Roman" w:eastAsia="Times New Roman" w:hAnsi="Times New Roman" w:cs="Times New Roman"/>
            <w:color w:val="1155CC"/>
            <w:sz w:val="24"/>
            <w:szCs w:val="24"/>
            <w:u w:val="single"/>
            <w:lang w:eastAsia="en-IN" w:bidi="bn-IN"/>
          </w:rPr>
          <w:t>https://journals.sagepub.com/doi/pdf/10.1177/00076503211066595</w:t>
        </w:r>
      </w:hyperlink>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sz w:val="24"/>
          <w:szCs w:val="24"/>
        </w:rPr>
        <w:t>(Accessed: 25 March 2026).</w:t>
      </w:r>
    </w:p>
    <w:p w14:paraId="5C02DC0A"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color w:val="222222"/>
          <w:sz w:val="24"/>
          <w:szCs w:val="24"/>
          <w:lang w:eastAsia="en-IN"/>
        </w:rPr>
        <w:t xml:space="preserve">Leal Filho, W., </w:t>
      </w:r>
      <w:proofErr w:type="spellStart"/>
      <w:r w:rsidRPr="00572183">
        <w:rPr>
          <w:rFonts w:ascii="Times New Roman" w:eastAsia="Times New Roman" w:hAnsi="Times New Roman" w:cs="Times New Roman"/>
          <w:color w:val="222222"/>
          <w:sz w:val="24"/>
          <w:szCs w:val="24"/>
          <w:lang w:eastAsia="en-IN"/>
        </w:rPr>
        <w:t>Sigahi</w:t>
      </w:r>
      <w:proofErr w:type="spellEnd"/>
      <w:r w:rsidRPr="00572183">
        <w:rPr>
          <w:rFonts w:ascii="Times New Roman" w:eastAsia="Times New Roman" w:hAnsi="Times New Roman" w:cs="Times New Roman"/>
          <w:color w:val="222222"/>
          <w:sz w:val="24"/>
          <w:szCs w:val="24"/>
          <w:lang w:eastAsia="en-IN"/>
        </w:rPr>
        <w:t xml:space="preserve">, T.F., </w:t>
      </w:r>
      <w:proofErr w:type="spellStart"/>
      <w:r w:rsidRPr="00572183">
        <w:rPr>
          <w:rFonts w:ascii="Times New Roman" w:eastAsia="Times New Roman" w:hAnsi="Times New Roman" w:cs="Times New Roman"/>
          <w:color w:val="222222"/>
          <w:sz w:val="24"/>
          <w:szCs w:val="24"/>
          <w:lang w:eastAsia="en-IN"/>
        </w:rPr>
        <w:t>Anholon</w:t>
      </w:r>
      <w:proofErr w:type="spellEnd"/>
      <w:r w:rsidRPr="00572183">
        <w:rPr>
          <w:rFonts w:ascii="Times New Roman" w:eastAsia="Times New Roman" w:hAnsi="Times New Roman" w:cs="Times New Roman"/>
          <w:color w:val="222222"/>
          <w:sz w:val="24"/>
          <w:szCs w:val="24"/>
          <w:lang w:eastAsia="en-IN"/>
        </w:rPr>
        <w:t xml:space="preserve">, R., </w:t>
      </w:r>
      <w:proofErr w:type="spellStart"/>
      <w:r w:rsidRPr="00572183">
        <w:rPr>
          <w:rFonts w:ascii="Times New Roman" w:eastAsia="Times New Roman" w:hAnsi="Times New Roman" w:cs="Times New Roman"/>
          <w:color w:val="222222"/>
          <w:sz w:val="24"/>
          <w:szCs w:val="24"/>
          <w:lang w:eastAsia="en-IN"/>
        </w:rPr>
        <w:t>Rebelatto</w:t>
      </w:r>
      <w:proofErr w:type="spellEnd"/>
      <w:r w:rsidRPr="00572183">
        <w:rPr>
          <w:rFonts w:ascii="Times New Roman" w:eastAsia="Times New Roman" w:hAnsi="Times New Roman" w:cs="Times New Roman"/>
          <w:color w:val="222222"/>
          <w:sz w:val="24"/>
          <w:szCs w:val="24"/>
          <w:lang w:eastAsia="en-IN"/>
        </w:rPr>
        <w:t xml:space="preserve">, B.G., Schmidt-Ross, I., Hensel-Börner, S., Franco, D., Treacy, T. and Brandli, L.L., (2025). Promoting sustainable development via stakeholder engagement in higher education. </w:t>
      </w:r>
      <w:r w:rsidRPr="00572183">
        <w:rPr>
          <w:rFonts w:ascii="Times New Roman" w:eastAsia="Times New Roman" w:hAnsi="Times New Roman" w:cs="Times New Roman"/>
          <w:i/>
          <w:iCs/>
          <w:color w:val="222222"/>
          <w:sz w:val="24"/>
          <w:szCs w:val="24"/>
          <w:lang w:eastAsia="en-IN"/>
        </w:rPr>
        <w:t>Environmental Sciences Europe</w:t>
      </w:r>
      <w:r w:rsidRPr="00572183">
        <w:rPr>
          <w:rFonts w:ascii="Times New Roman" w:eastAsia="Times New Roman" w:hAnsi="Times New Roman" w:cs="Times New Roman"/>
          <w:color w:val="222222"/>
          <w:sz w:val="24"/>
          <w:szCs w:val="24"/>
          <w:lang w:eastAsia="en-IN"/>
        </w:rPr>
        <w:t xml:space="preserve">, </w:t>
      </w:r>
      <w:r w:rsidRPr="00572183">
        <w:rPr>
          <w:rFonts w:ascii="Times New Roman" w:eastAsia="Times New Roman" w:hAnsi="Times New Roman" w:cs="Times New Roman"/>
          <w:i/>
          <w:iCs/>
          <w:color w:val="222222"/>
          <w:sz w:val="24"/>
          <w:szCs w:val="24"/>
          <w:lang w:eastAsia="en-IN"/>
        </w:rPr>
        <w:t>37</w:t>
      </w:r>
      <w:r w:rsidRPr="00572183">
        <w:rPr>
          <w:rFonts w:ascii="Times New Roman" w:eastAsia="Times New Roman" w:hAnsi="Times New Roman" w:cs="Times New Roman"/>
          <w:color w:val="222222"/>
          <w:sz w:val="24"/>
          <w:szCs w:val="24"/>
          <w:lang w:eastAsia="en-IN"/>
        </w:rPr>
        <w:t>(1), p.64.</w:t>
      </w:r>
      <w:r w:rsidRPr="00572183">
        <w:rPr>
          <w:rFonts w:ascii="Times New Roman" w:eastAsia="Times New Roman" w:hAnsi="Times New Roman" w:cs="Times New Roman"/>
          <w:sz w:val="24"/>
          <w:szCs w:val="24"/>
          <w:lang w:eastAsia="en-IN"/>
        </w:rPr>
        <w:t xml:space="preserve"> Available at: </w:t>
      </w:r>
      <w:hyperlink r:id="rId28">
        <w:r w:rsidRPr="00572183">
          <w:rPr>
            <w:rFonts w:ascii="Times New Roman" w:eastAsia="Times New Roman" w:hAnsi="Times New Roman" w:cs="Times New Roman"/>
            <w:color w:val="1155CC"/>
            <w:sz w:val="24"/>
            <w:szCs w:val="24"/>
            <w:u w:val="single"/>
            <w:lang w:eastAsia="en-IN"/>
          </w:rPr>
          <w:t>https://doi.org/10.1186/s12302-025-01101-0</w:t>
        </w:r>
      </w:hyperlink>
      <w:r w:rsidRPr="00572183">
        <w:rPr>
          <w:rFonts w:ascii="Times New Roman" w:eastAsia="Times New Roman" w:hAnsi="Times New Roman" w:cs="Times New Roman"/>
          <w:sz w:val="24"/>
          <w:szCs w:val="24"/>
          <w:lang w:eastAsia="en-IN"/>
        </w:rPr>
        <w:t xml:space="preserve"> </w:t>
      </w:r>
    </w:p>
    <w:p w14:paraId="74C05894" w14:textId="46FE1FB0" w:rsidR="00572183" w:rsidRPr="00572183" w:rsidRDefault="00572183" w:rsidP="00433EB4">
      <w:pPr>
        <w:spacing w:after="240" w:line="360" w:lineRule="auto"/>
        <w:jc w:val="both"/>
        <w:rPr>
          <w:rFonts w:ascii="Times New Roman" w:eastAsia="Times New Roman" w:hAnsi="Times New Roman" w:cs="Times New Roman"/>
          <w:sz w:val="24"/>
          <w:szCs w:val="24"/>
        </w:rPr>
      </w:pPr>
      <w:proofErr w:type="spellStart"/>
      <w:r w:rsidRPr="00572183">
        <w:rPr>
          <w:rFonts w:ascii="Times New Roman" w:eastAsia="Times New Roman" w:hAnsi="Times New Roman" w:cs="Times New Roman"/>
          <w:sz w:val="24"/>
          <w:szCs w:val="24"/>
        </w:rPr>
        <w:t>Mashat</w:t>
      </w:r>
      <w:proofErr w:type="spellEnd"/>
      <w:r w:rsidRPr="00572183">
        <w:rPr>
          <w:rFonts w:ascii="Times New Roman" w:eastAsia="Times New Roman" w:hAnsi="Times New Roman" w:cs="Times New Roman"/>
          <w:sz w:val="24"/>
          <w:szCs w:val="24"/>
        </w:rPr>
        <w:t xml:space="preserve">, R.M., </w:t>
      </w:r>
      <w:proofErr w:type="spellStart"/>
      <w:r w:rsidRPr="00572183">
        <w:rPr>
          <w:rFonts w:ascii="Times New Roman" w:eastAsia="Times New Roman" w:hAnsi="Times New Roman" w:cs="Times New Roman"/>
          <w:sz w:val="24"/>
          <w:szCs w:val="24"/>
        </w:rPr>
        <w:t>Abourokbah</w:t>
      </w:r>
      <w:proofErr w:type="spellEnd"/>
      <w:r w:rsidRPr="00572183">
        <w:rPr>
          <w:rFonts w:ascii="Times New Roman" w:eastAsia="Times New Roman" w:hAnsi="Times New Roman" w:cs="Times New Roman"/>
          <w:sz w:val="24"/>
          <w:szCs w:val="24"/>
        </w:rPr>
        <w:t xml:space="preserve">, S.H. and Salam, M.A. (2024) ‘Impact of internet of things adoption on organizational performance: a mediating analysis of supply chain integration, performance, and competitive advantage.’ </w:t>
      </w:r>
      <w:r w:rsidRPr="00572183">
        <w:rPr>
          <w:rFonts w:ascii="Times New Roman" w:eastAsia="Times New Roman" w:hAnsi="Times New Roman" w:cs="Times New Roman"/>
          <w:i/>
          <w:iCs/>
          <w:sz w:val="24"/>
          <w:szCs w:val="24"/>
        </w:rPr>
        <w:t>Sustainability</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i/>
          <w:iCs/>
          <w:sz w:val="24"/>
          <w:szCs w:val="24"/>
        </w:rPr>
        <w:t>16</w:t>
      </w:r>
      <w:r w:rsidRPr="00572183">
        <w:rPr>
          <w:rFonts w:ascii="Times New Roman" w:eastAsia="Times New Roman" w:hAnsi="Times New Roman" w:cs="Times New Roman"/>
          <w:sz w:val="24"/>
          <w:szCs w:val="24"/>
        </w:rPr>
        <w:t xml:space="preserve">(6), p.2250. </w:t>
      </w:r>
      <w:hyperlink r:id="rId29">
        <w:r w:rsidRPr="00572183">
          <w:rPr>
            <w:rFonts w:ascii="Times New Roman" w:eastAsia="Times New Roman" w:hAnsi="Times New Roman" w:cs="Times New Roman"/>
            <w:color w:val="1155CC"/>
            <w:sz w:val="24"/>
            <w:szCs w:val="24"/>
            <w:u w:val="single"/>
          </w:rPr>
          <w:t>https://doi.org/10.3390/su16062250</w:t>
        </w:r>
      </w:hyperlink>
      <w:r w:rsidR="00FD1D08">
        <w:rPr>
          <w:rFonts w:ascii="Times New Roman" w:eastAsia="Times New Roman" w:hAnsi="Times New Roman" w:cs="Times New Roman"/>
          <w:sz w:val="24"/>
          <w:szCs w:val="24"/>
        </w:rPr>
        <w:t xml:space="preserve"> </w:t>
      </w:r>
      <w:r w:rsidRPr="00572183">
        <w:rPr>
          <w:rFonts w:ascii="Times New Roman" w:eastAsia="Times New Roman" w:hAnsi="Times New Roman" w:cs="Times New Roman"/>
          <w:sz w:val="24"/>
          <w:szCs w:val="24"/>
        </w:rPr>
        <w:t>(Accessed: 25 March 2026).</w:t>
      </w:r>
      <w:r w:rsidR="00FD1D08">
        <w:rPr>
          <w:rFonts w:ascii="Times New Roman" w:eastAsia="Times New Roman" w:hAnsi="Times New Roman" w:cs="Times New Roman"/>
          <w:sz w:val="24"/>
          <w:szCs w:val="24"/>
        </w:rPr>
        <w:t xml:space="preserve"> </w:t>
      </w:r>
    </w:p>
    <w:p w14:paraId="12131AA8"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color w:val="222222"/>
          <w:sz w:val="24"/>
          <w:szCs w:val="24"/>
          <w:lang w:eastAsia="en-IN"/>
        </w:rPr>
        <w:t xml:space="preserve">Mazza, T. and </w:t>
      </w:r>
      <w:proofErr w:type="spellStart"/>
      <w:r w:rsidRPr="00572183">
        <w:rPr>
          <w:rFonts w:ascii="Times New Roman" w:eastAsia="Times New Roman" w:hAnsi="Times New Roman" w:cs="Times New Roman"/>
          <w:color w:val="222222"/>
          <w:sz w:val="24"/>
          <w:szCs w:val="24"/>
          <w:lang w:eastAsia="en-IN"/>
        </w:rPr>
        <w:t>Azzali</w:t>
      </w:r>
      <w:proofErr w:type="spellEnd"/>
      <w:r w:rsidRPr="00572183">
        <w:rPr>
          <w:rFonts w:ascii="Times New Roman" w:eastAsia="Times New Roman" w:hAnsi="Times New Roman" w:cs="Times New Roman"/>
          <w:color w:val="222222"/>
          <w:sz w:val="24"/>
          <w:szCs w:val="24"/>
          <w:lang w:eastAsia="en-IN"/>
        </w:rPr>
        <w:t xml:space="preserve">, S., (2025). Stakeholders’ involvement in economics and management programs quality assurance. </w:t>
      </w:r>
      <w:r w:rsidRPr="00572183">
        <w:rPr>
          <w:rFonts w:ascii="Times New Roman" w:eastAsia="Times New Roman" w:hAnsi="Times New Roman" w:cs="Times New Roman"/>
          <w:i/>
          <w:iCs/>
          <w:color w:val="222222"/>
          <w:sz w:val="24"/>
          <w:szCs w:val="24"/>
          <w:lang w:eastAsia="en-IN"/>
        </w:rPr>
        <w:t>Quality Assurance in Education</w:t>
      </w:r>
      <w:r w:rsidRPr="00572183">
        <w:rPr>
          <w:rFonts w:ascii="Times New Roman" w:eastAsia="Times New Roman" w:hAnsi="Times New Roman" w:cs="Times New Roman"/>
          <w:color w:val="222222"/>
          <w:sz w:val="24"/>
          <w:szCs w:val="24"/>
          <w:lang w:eastAsia="en-IN"/>
        </w:rPr>
        <w:t xml:space="preserve">, </w:t>
      </w:r>
      <w:r w:rsidRPr="00572183">
        <w:rPr>
          <w:rFonts w:ascii="Times New Roman" w:eastAsia="Times New Roman" w:hAnsi="Times New Roman" w:cs="Times New Roman"/>
          <w:i/>
          <w:iCs/>
          <w:color w:val="222222"/>
          <w:sz w:val="24"/>
          <w:szCs w:val="24"/>
          <w:lang w:eastAsia="en-IN"/>
        </w:rPr>
        <w:t>33</w:t>
      </w:r>
      <w:r w:rsidRPr="00572183">
        <w:rPr>
          <w:rFonts w:ascii="Times New Roman" w:eastAsia="Times New Roman" w:hAnsi="Times New Roman" w:cs="Times New Roman"/>
          <w:color w:val="222222"/>
          <w:sz w:val="24"/>
          <w:szCs w:val="24"/>
          <w:lang w:eastAsia="en-IN"/>
        </w:rPr>
        <w:t xml:space="preserve">(1), pp.47-61. </w:t>
      </w:r>
      <w:r w:rsidRPr="00572183">
        <w:rPr>
          <w:rFonts w:ascii="Times New Roman" w:eastAsia="Times New Roman" w:hAnsi="Times New Roman" w:cs="Times New Roman"/>
          <w:sz w:val="24"/>
          <w:szCs w:val="24"/>
          <w:lang w:eastAsia="en-IN"/>
        </w:rPr>
        <w:t xml:space="preserve">Available at: </w:t>
      </w:r>
      <w:hyperlink r:id="rId30">
        <w:r w:rsidRPr="00572183">
          <w:rPr>
            <w:rFonts w:ascii="Times New Roman" w:eastAsia="Times New Roman" w:hAnsi="Times New Roman" w:cs="Times New Roman"/>
            <w:color w:val="1155CC"/>
            <w:sz w:val="24"/>
            <w:szCs w:val="24"/>
            <w:u w:val="single"/>
            <w:lang w:eastAsia="en-IN"/>
          </w:rPr>
          <w:t>http://dx.doi.org/10.1108/QAE-11-2023-0193</w:t>
        </w:r>
      </w:hyperlink>
      <w:r w:rsidRPr="00572183">
        <w:rPr>
          <w:rFonts w:ascii="Times New Roman" w:eastAsia="Times New Roman" w:hAnsi="Times New Roman" w:cs="Times New Roman"/>
          <w:sz w:val="24"/>
          <w:szCs w:val="24"/>
          <w:lang w:eastAsia="en-IN"/>
        </w:rPr>
        <w:t xml:space="preserve"> </w:t>
      </w:r>
    </w:p>
    <w:p w14:paraId="01F2604C"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bidi="bn-IN"/>
        </w:rPr>
      </w:pPr>
      <w:r w:rsidRPr="00572183">
        <w:rPr>
          <w:rFonts w:ascii="Times New Roman" w:eastAsia="Times New Roman" w:hAnsi="Times New Roman" w:cs="Times New Roman"/>
          <w:sz w:val="24"/>
          <w:szCs w:val="24"/>
          <w:lang w:eastAsia="en-IN" w:bidi="bn-IN"/>
        </w:rPr>
        <w:t xml:space="preserve">McNaught, R. (2024) ‘The application of collaborative governance in local level climate and disaster resilient development–A global review’, </w:t>
      </w:r>
      <w:r w:rsidRPr="00572183">
        <w:rPr>
          <w:rFonts w:ascii="Times New Roman" w:eastAsia="Times New Roman" w:hAnsi="Times New Roman" w:cs="Times New Roman"/>
          <w:i/>
          <w:iCs/>
          <w:sz w:val="24"/>
          <w:szCs w:val="24"/>
          <w:lang w:eastAsia="en-IN" w:bidi="bn-IN"/>
        </w:rPr>
        <w:t>Environmental Science &amp; Policy</w:t>
      </w:r>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i/>
          <w:iCs/>
          <w:sz w:val="24"/>
          <w:szCs w:val="24"/>
          <w:lang w:eastAsia="en-IN" w:bidi="bn-IN"/>
        </w:rPr>
        <w:t>151</w:t>
      </w:r>
      <w:r w:rsidRPr="00572183">
        <w:rPr>
          <w:rFonts w:ascii="Times New Roman" w:eastAsia="Times New Roman" w:hAnsi="Times New Roman" w:cs="Times New Roman"/>
          <w:sz w:val="24"/>
          <w:szCs w:val="24"/>
          <w:lang w:eastAsia="en-IN" w:bidi="bn-IN"/>
        </w:rPr>
        <w:t xml:space="preserve">, p.103627. Available at: </w:t>
      </w:r>
      <w:hyperlink r:id="rId31">
        <w:r w:rsidRPr="00572183">
          <w:rPr>
            <w:rFonts w:ascii="Times New Roman" w:eastAsia="Times New Roman" w:hAnsi="Times New Roman" w:cs="Times New Roman"/>
            <w:color w:val="1155CC"/>
            <w:sz w:val="24"/>
            <w:szCs w:val="24"/>
            <w:u w:val="single"/>
            <w:lang w:eastAsia="en-IN" w:bidi="bn-IN"/>
          </w:rPr>
          <w:t>https://www.sciencedirect.com/science/article/pii/S1462901123002769</w:t>
        </w:r>
      </w:hyperlink>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sz w:val="24"/>
          <w:szCs w:val="24"/>
        </w:rPr>
        <w:t>(Accessed: 20 March 2026).</w:t>
      </w:r>
    </w:p>
    <w:p w14:paraId="4A64FF1A" w14:textId="6D4E0EEA"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Miller, A.E., Holleran, C.L., Bland, M.D., Fitzsimmons-Craft, E.E., Newman, C.A., Maddox, T.M. and Lang, C.E. (2025) ‘Perspectives of key stakeholders on integrating wearable sensor technology into rehabilitation care: a mixed-methods analysis.’ </w:t>
      </w:r>
      <w:r w:rsidRPr="00572183">
        <w:rPr>
          <w:rFonts w:ascii="Times New Roman" w:eastAsia="Times New Roman" w:hAnsi="Times New Roman" w:cs="Times New Roman"/>
          <w:i/>
          <w:iCs/>
          <w:sz w:val="24"/>
          <w:szCs w:val="24"/>
        </w:rPr>
        <w:t>Frontiers in Digital Health</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i/>
          <w:iCs/>
          <w:sz w:val="24"/>
          <w:szCs w:val="24"/>
        </w:rPr>
        <w:t>7</w:t>
      </w:r>
      <w:r w:rsidRPr="00572183">
        <w:rPr>
          <w:rFonts w:ascii="Times New Roman" w:eastAsia="Times New Roman" w:hAnsi="Times New Roman" w:cs="Times New Roman"/>
          <w:sz w:val="24"/>
          <w:szCs w:val="24"/>
        </w:rPr>
        <w:t xml:space="preserve">, p.1534419. Available at: </w:t>
      </w:r>
      <w:hyperlink r:id="rId32">
        <w:r w:rsidRPr="00572183">
          <w:rPr>
            <w:rFonts w:ascii="Times New Roman" w:eastAsia="Times New Roman" w:hAnsi="Times New Roman" w:cs="Times New Roman"/>
            <w:color w:val="1155CC"/>
            <w:sz w:val="24"/>
            <w:szCs w:val="24"/>
            <w:u w:val="single"/>
          </w:rPr>
          <w:t>https://doi.org/10.3389/fdgth.2025.1534419</w:t>
        </w:r>
      </w:hyperlink>
      <w:r w:rsidRPr="00572183">
        <w:rPr>
          <w:rFonts w:ascii="Times New Roman" w:eastAsia="Times New Roman" w:hAnsi="Times New Roman" w:cs="Times New Roman"/>
          <w:sz w:val="24"/>
          <w:szCs w:val="24"/>
        </w:rPr>
        <w:t xml:space="preserve"> (Accessed: 25 March 2026).</w:t>
      </w:r>
      <w:r w:rsidR="00FD1D08">
        <w:rPr>
          <w:rFonts w:ascii="Times New Roman" w:eastAsia="Times New Roman" w:hAnsi="Times New Roman" w:cs="Times New Roman"/>
          <w:sz w:val="24"/>
          <w:szCs w:val="24"/>
        </w:rPr>
        <w:t xml:space="preserve"> </w:t>
      </w:r>
    </w:p>
    <w:p w14:paraId="1F9B6AD5"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color w:val="222222"/>
          <w:sz w:val="24"/>
          <w:szCs w:val="24"/>
          <w:lang w:eastAsia="en-IN"/>
        </w:rPr>
        <w:t xml:space="preserve">Nguyen, N.A.T., Wang, C.N. and Dang, T.T., (2025). Advanced Process Optimization in Logistics and Supply Chain Management. </w:t>
      </w:r>
      <w:r w:rsidRPr="00572183">
        <w:rPr>
          <w:rFonts w:ascii="Times New Roman" w:eastAsia="Times New Roman" w:hAnsi="Times New Roman" w:cs="Times New Roman"/>
          <w:i/>
          <w:iCs/>
          <w:color w:val="222222"/>
          <w:sz w:val="24"/>
          <w:szCs w:val="24"/>
          <w:lang w:eastAsia="en-IN"/>
        </w:rPr>
        <w:t>Processes</w:t>
      </w:r>
      <w:r w:rsidRPr="00572183">
        <w:rPr>
          <w:rFonts w:ascii="Times New Roman" w:eastAsia="Times New Roman" w:hAnsi="Times New Roman" w:cs="Times New Roman"/>
          <w:color w:val="222222"/>
          <w:sz w:val="24"/>
          <w:szCs w:val="24"/>
          <w:lang w:eastAsia="en-IN"/>
        </w:rPr>
        <w:t xml:space="preserve">, </w:t>
      </w:r>
      <w:r w:rsidRPr="00572183">
        <w:rPr>
          <w:rFonts w:ascii="Times New Roman" w:eastAsia="Times New Roman" w:hAnsi="Times New Roman" w:cs="Times New Roman"/>
          <w:i/>
          <w:iCs/>
          <w:color w:val="222222"/>
          <w:sz w:val="24"/>
          <w:szCs w:val="24"/>
          <w:lang w:eastAsia="en-IN"/>
        </w:rPr>
        <w:t>13</w:t>
      </w:r>
      <w:r w:rsidRPr="00572183">
        <w:rPr>
          <w:rFonts w:ascii="Times New Roman" w:eastAsia="Times New Roman" w:hAnsi="Times New Roman" w:cs="Times New Roman"/>
          <w:color w:val="222222"/>
          <w:sz w:val="24"/>
          <w:szCs w:val="24"/>
          <w:lang w:eastAsia="en-IN"/>
        </w:rPr>
        <w:t>(6), p.1864.</w:t>
      </w:r>
      <w:r w:rsidRPr="00572183">
        <w:rPr>
          <w:rFonts w:ascii="Times New Roman" w:eastAsia="Times New Roman" w:hAnsi="Times New Roman" w:cs="Times New Roman"/>
          <w:sz w:val="24"/>
          <w:szCs w:val="24"/>
          <w:lang w:eastAsia="en-IN"/>
        </w:rPr>
        <w:t xml:space="preserve"> Available at: </w:t>
      </w:r>
      <w:hyperlink r:id="rId33">
        <w:r w:rsidRPr="00572183">
          <w:rPr>
            <w:rFonts w:ascii="Times New Roman" w:eastAsia="Times New Roman" w:hAnsi="Times New Roman" w:cs="Times New Roman"/>
            <w:color w:val="1155CC"/>
            <w:sz w:val="24"/>
            <w:szCs w:val="24"/>
            <w:u w:val="single"/>
            <w:lang w:eastAsia="en-IN"/>
          </w:rPr>
          <w:t>https://doi.org/10.3390/pr13061864</w:t>
        </w:r>
      </w:hyperlink>
      <w:r w:rsidRPr="00572183">
        <w:rPr>
          <w:rFonts w:ascii="Times New Roman" w:eastAsia="Times New Roman" w:hAnsi="Times New Roman" w:cs="Times New Roman"/>
          <w:sz w:val="24"/>
          <w:szCs w:val="24"/>
          <w:lang w:eastAsia="en-IN"/>
        </w:rPr>
        <w:t xml:space="preserve"> </w:t>
      </w:r>
    </w:p>
    <w:p w14:paraId="285E2474" w14:textId="7777777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lastRenderedPageBreak/>
        <w:t xml:space="preserve">NHS (2026) </w:t>
      </w:r>
      <w:r w:rsidRPr="00572183">
        <w:rPr>
          <w:rFonts w:ascii="Times New Roman" w:eastAsia="Times New Roman" w:hAnsi="Times New Roman" w:cs="Times New Roman"/>
          <w:i/>
          <w:iCs/>
          <w:sz w:val="24"/>
          <w:szCs w:val="24"/>
        </w:rPr>
        <w:t>Corporate social responsibility (CSR)</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sz w:val="24"/>
          <w:szCs w:val="24"/>
          <w:highlight w:val="white"/>
        </w:rPr>
        <w:t>Available at</w:t>
      </w:r>
      <w:r w:rsidRPr="00572183">
        <w:rPr>
          <w:rFonts w:ascii="Times New Roman" w:eastAsia="Times New Roman" w:hAnsi="Times New Roman" w:cs="Times New Roman"/>
          <w:color w:val="222222"/>
          <w:sz w:val="24"/>
          <w:szCs w:val="24"/>
          <w:highlight w:val="white"/>
        </w:rPr>
        <w:t xml:space="preserve">: </w:t>
      </w:r>
      <w:hyperlink r:id="rId34">
        <w:r w:rsidRPr="00572183">
          <w:rPr>
            <w:rFonts w:ascii="Times New Roman" w:eastAsia="Times New Roman" w:hAnsi="Times New Roman" w:cs="Times New Roman"/>
            <w:color w:val="1155CC"/>
            <w:sz w:val="24"/>
            <w:szCs w:val="24"/>
            <w:u w:val="single"/>
          </w:rPr>
          <w:t>https://www.stockport.nhs.uk/page_124</w:t>
        </w:r>
      </w:hyperlink>
      <w:r w:rsidRPr="00572183">
        <w:rPr>
          <w:rFonts w:ascii="Times New Roman" w:eastAsia="Times New Roman" w:hAnsi="Times New Roman" w:cs="Times New Roman"/>
          <w:sz w:val="24"/>
          <w:szCs w:val="24"/>
        </w:rPr>
        <w:t xml:space="preserve"> (Accessed: 24 March 2026). </w:t>
      </w:r>
    </w:p>
    <w:p w14:paraId="3EA93D06" w14:textId="66651E86"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Owolabi, T.O.S., Harry, E.G., Adewumi, B.J., </w:t>
      </w:r>
      <w:proofErr w:type="spellStart"/>
      <w:r w:rsidRPr="00572183">
        <w:rPr>
          <w:rFonts w:ascii="Times New Roman" w:eastAsia="Times New Roman" w:hAnsi="Times New Roman" w:cs="Times New Roman"/>
          <w:sz w:val="24"/>
          <w:szCs w:val="24"/>
        </w:rPr>
        <w:t>Onamade</w:t>
      </w:r>
      <w:proofErr w:type="spellEnd"/>
      <w:r w:rsidRPr="00572183">
        <w:rPr>
          <w:rFonts w:ascii="Times New Roman" w:eastAsia="Times New Roman" w:hAnsi="Times New Roman" w:cs="Times New Roman"/>
          <w:sz w:val="24"/>
          <w:szCs w:val="24"/>
        </w:rPr>
        <w:t xml:space="preserve">, A.O. and </w:t>
      </w:r>
      <w:proofErr w:type="spellStart"/>
      <w:r w:rsidRPr="00572183">
        <w:rPr>
          <w:rFonts w:ascii="Times New Roman" w:eastAsia="Times New Roman" w:hAnsi="Times New Roman" w:cs="Times New Roman"/>
          <w:sz w:val="24"/>
          <w:szCs w:val="24"/>
        </w:rPr>
        <w:t>Alagbe</w:t>
      </w:r>
      <w:proofErr w:type="spellEnd"/>
      <w:r w:rsidRPr="00572183">
        <w:rPr>
          <w:rFonts w:ascii="Times New Roman" w:eastAsia="Times New Roman" w:hAnsi="Times New Roman" w:cs="Times New Roman"/>
          <w:sz w:val="24"/>
          <w:szCs w:val="24"/>
        </w:rPr>
        <w:t xml:space="preserve">, O.A. (2024) ‘Ensuring quality in construction project: The role of specifications as quality assurance tools.’ </w:t>
      </w:r>
      <w:r w:rsidRPr="00572183">
        <w:rPr>
          <w:rFonts w:ascii="Times New Roman" w:eastAsia="Times New Roman" w:hAnsi="Times New Roman" w:cs="Times New Roman"/>
          <w:i/>
          <w:iCs/>
          <w:sz w:val="24"/>
          <w:szCs w:val="24"/>
        </w:rPr>
        <w:t>Anchor University Journal of Science and Technology</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i/>
          <w:iCs/>
          <w:sz w:val="24"/>
          <w:szCs w:val="24"/>
        </w:rPr>
        <w:t>5</w:t>
      </w:r>
      <w:r w:rsidRPr="00572183">
        <w:rPr>
          <w:rFonts w:ascii="Times New Roman" w:eastAsia="Times New Roman" w:hAnsi="Times New Roman" w:cs="Times New Roman"/>
          <w:sz w:val="24"/>
          <w:szCs w:val="24"/>
        </w:rPr>
        <w:t xml:space="preserve">(2), pp.181-191. Available at: </w:t>
      </w:r>
      <w:hyperlink r:id="rId35">
        <w:r w:rsidRPr="00572183">
          <w:rPr>
            <w:rFonts w:ascii="Times New Roman" w:eastAsia="Times New Roman" w:hAnsi="Times New Roman" w:cs="Times New Roman"/>
            <w:color w:val="1155CC"/>
            <w:sz w:val="24"/>
            <w:szCs w:val="24"/>
            <w:u w:val="single"/>
          </w:rPr>
          <w:t>https://dx.doi.org/10.4314/aujst.v5i2.3</w:t>
        </w:r>
      </w:hyperlink>
      <w:r w:rsidRPr="00572183">
        <w:rPr>
          <w:rFonts w:ascii="Times New Roman" w:eastAsia="Times New Roman" w:hAnsi="Times New Roman" w:cs="Times New Roman"/>
          <w:sz w:val="24"/>
          <w:szCs w:val="24"/>
        </w:rPr>
        <w:t xml:space="preserve"> (Accessed: 25 March 2026).</w:t>
      </w:r>
      <w:r w:rsidR="00FD1D08">
        <w:rPr>
          <w:rFonts w:ascii="Times New Roman" w:eastAsia="Times New Roman" w:hAnsi="Times New Roman" w:cs="Times New Roman"/>
          <w:sz w:val="24"/>
          <w:szCs w:val="24"/>
        </w:rPr>
        <w:t xml:space="preserve"> </w:t>
      </w:r>
    </w:p>
    <w:p w14:paraId="7D96E292"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rPr>
      </w:pPr>
      <w:r w:rsidRPr="00572183">
        <w:rPr>
          <w:rFonts w:ascii="Times New Roman" w:eastAsia="Times New Roman" w:hAnsi="Times New Roman" w:cs="Times New Roman"/>
          <w:color w:val="222222"/>
          <w:sz w:val="24"/>
          <w:szCs w:val="24"/>
          <w:lang w:eastAsia="en-IN"/>
        </w:rPr>
        <w:t xml:space="preserve">Palidis, D.J., Gardiner, Z., Stephenson, A., Zhang, K., Boruff, J. and Fellows, L.K., (2025). The use of extrinsic performance feedback and reward to enhance upper limb motor </w:t>
      </w:r>
      <w:proofErr w:type="spellStart"/>
      <w:r w:rsidRPr="00572183">
        <w:rPr>
          <w:rFonts w:ascii="Times New Roman" w:eastAsia="Times New Roman" w:hAnsi="Times New Roman" w:cs="Times New Roman"/>
          <w:color w:val="222222"/>
          <w:sz w:val="24"/>
          <w:szCs w:val="24"/>
          <w:lang w:eastAsia="en-IN"/>
        </w:rPr>
        <w:t>behavior</w:t>
      </w:r>
      <w:proofErr w:type="spellEnd"/>
      <w:r w:rsidRPr="00572183">
        <w:rPr>
          <w:rFonts w:ascii="Times New Roman" w:eastAsia="Times New Roman" w:hAnsi="Times New Roman" w:cs="Times New Roman"/>
          <w:color w:val="222222"/>
          <w:sz w:val="24"/>
          <w:szCs w:val="24"/>
          <w:lang w:eastAsia="en-IN"/>
        </w:rPr>
        <w:t xml:space="preserve"> and recovery post-stroke: A scoping review. </w:t>
      </w:r>
      <w:r w:rsidRPr="00572183">
        <w:rPr>
          <w:rFonts w:ascii="Times New Roman" w:eastAsia="Times New Roman" w:hAnsi="Times New Roman" w:cs="Times New Roman"/>
          <w:i/>
          <w:iCs/>
          <w:color w:val="222222"/>
          <w:sz w:val="24"/>
          <w:szCs w:val="24"/>
          <w:lang w:eastAsia="en-IN"/>
        </w:rPr>
        <w:t>Neurorehabilitation and Neural Repair</w:t>
      </w:r>
      <w:r w:rsidRPr="00572183">
        <w:rPr>
          <w:rFonts w:ascii="Times New Roman" w:eastAsia="Times New Roman" w:hAnsi="Times New Roman" w:cs="Times New Roman"/>
          <w:color w:val="222222"/>
          <w:sz w:val="24"/>
          <w:szCs w:val="24"/>
          <w:lang w:eastAsia="en-IN"/>
        </w:rPr>
        <w:t xml:space="preserve">, </w:t>
      </w:r>
      <w:r w:rsidRPr="00572183">
        <w:rPr>
          <w:rFonts w:ascii="Times New Roman" w:eastAsia="Times New Roman" w:hAnsi="Times New Roman" w:cs="Times New Roman"/>
          <w:i/>
          <w:iCs/>
          <w:color w:val="222222"/>
          <w:sz w:val="24"/>
          <w:szCs w:val="24"/>
          <w:lang w:eastAsia="en-IN"/>
        </w:rPr>
        <w:t>39</w:t>
      </w:r>
      <w:r w:rsidRPr="00572183">
        <w:rPr>
          <w:rFonts w:ascii="Times New Roman" w:eastAsia="Times New Roman" w:hAnsi="Times New Roman" w:cs="Times New Roman"/>
          <w:color w:val="222222"/>
          <w:sz w:val="24"/>
          <w:szCs w:val="24"/>
          <w:lang w:eastAsia="en-IN"/>
        </w:rPr>
        <w:t>(2), pp.157-173.</w:t>
      </w:r>
      <w:r w:rsidRPr="00572183">
        <w:rPr>
          <w:rFonts w:ascii="Times New Roman" w:eastAsia="Times New Roman" w:hAnsi="Times New Roman" w:cs="Times New Roman"/>
          <w:sz w:val="24"/>
          <w:szCs w:val="24"/>
          <w:lang w:eastAsia="en-IN"/>
        </w:rPr>
        <w:t xml:space="preserve"> Available at: </w:t>
      </w:r>
      <w:hyperlink r:id="rId36">
        <w:r w:rsidRPr="00572183">
          <w:rPr>
            <w:rFonts w:ascii="Times New Roman" w:eastAsia="Times New Roman" w:hAnsi="Times New Roman" w:cs="Times New Roman"/>
            <w:color w:val="1155CC"/>
            <w:sz w:val="24"/>
            <w:szCs w:val="24"/>
            <w:u w:val="single"/>
            <w:lang w:eastAsia="en-IN"/>
          </w:rPr>
          <w:t>https://journals.sagepub.com/doi/abs/10.1177/15459683241298262</w:t>
        </w:r>
      </w:hyperlink>
      <w:r w:rsidRPr="00572183">
        <w:rPr>
          <w:rFonts w:ascii="Times New Roman" w:eastAsia="Times New Roman" w:hAnsi="Times New Roman" w:cs="Times New Roman"/>
          <w:sz w:val="24"/>
          <w:szCs w:val="24"/>
          <w:lang w:eastAsia="en-IN"/>
        </w:rPr>
        <w:t xml:space="preserve"> </w:t>
      </w:r>
    </w:p>
    <w:p w14:paraId="207F019D" w14:textId="7777777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Parliament (2024) </w:t>
      </w:r>
      <w:r w:rsidRPr="00572183">
        <w:rPr>
          <w:rFonts w:ascii="Times New Roman" w:eastAsia="Times New Roman" w:hAnsi="Times New Roman" w:cs="Times New Roman"/>
          <w:i/>
          <w:iCs/>
          <w:sz w:val="24"/>
          <w:szCs w:val="24"/>
        </w:rPr>
        <w:t>The UK’s changing population</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sz w:val="24"/>
          <w:szCs w:val="24"/>
          <w:highlight w:val="white"/>
        </w:rPr>
        <w:t>Available at</w:t>
      </w:r>
      <w:r w:rsidRPr="00572183">
        <w:rPr>
          <w:rFonts w:ascii="Times New Roman" w:eastAsia="Times New Roman" w:hAnsi="Times New Roman" w:cs="Times New Roman"/>
          <w:color w:val="222222"/>
          <w:sz w:val="24"/>
          <w:szCs w:val="24"/>
          <w:highlight w:val="white"/>
        </w:rPr>
        <w:t xml:space="preserve">: </w:t>
      </w:r>
      <w:hyperlink r:id="rId37">
        <w:r w:rsidRPr="00572183">
          <w:rPr>
            <w:rFonts w:ascii="Times New Roman" w:eastAsia="Times New Roman" w:hAnsi="Times New Roman" w:cs="Times New Roman"/>
            <w:color w:val="1155CC"/>
            <w:sz w:val="24"/>
            <w:szCs w:val="24"/>
            <w:u w:val="single"/>
          </w:rPr>
          <w:t>https://commonslibrary.parliament.uk/the-uks-changing-population/</w:t>
        </w:r>
      </w:hyperlink>
      <w:r w:rsidRPr="00572183">
        <w:rPr>
          <w:rFonts w:ascii="Times New Roman" w:eastAsia="Times New Roman" w:hAnsi="Times New Roman" w:cs="Times New Roman"/>
          <w:sz w:val="24"/>
          <w:szCs w:val="24"/>
        </w:rPr>
        <w:t xml:space="preserve"> (Accessed: 25 March 2026). </w:t>
      </w:r>
    </w:p>
    <w:p w14:paraId="436DA034" w14:textId="7777777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highlight w:val="white"/>
        </w:rPr>
        <w:t xml:space="preserve">Perry, S.E., Hockenberry, M.J., Cashion, K., Alden, K.R., Olshansky, E. and Lowdermilk, D.L. (2022) </w:t>
      </w:r>
      <w:r w:rsidRPr="00572183">
        <w:rPr>
          <w:rFonts w:ascii="Times New Roman" w:eastAsia="Times New Roman" w:hAnsi="Times New Roman" w:cs="Times New Roman"/>
          <w:i/>
          <w:iCs/>
          <w:sz w:val="24"/>
          <w:szCs w:val="24"/>
          <w:highlight w:val="white"/>
        </w:rPr>
        <w:t>Maternal child nursing care-E-book: Maternal child nursing care-E-book</w:t>
      </w:r>
      <w:r w:rsidRPr="00572183">
        <w:rPr>
          <w:rFonts w:ascii="Times New Roman" w:eastAsia="Times New Roman" w:hAnsi="Times New Roman" w:cs="Times New Roman"/>
          <w:sz w:val="24"/>
          <w:szCs w:val="24"/>
          <w:highlight w:val="white"/>
        </w:rPr>
        <w:t>. Elsevier Health Sciences.</w:t>
      </w:r>
    </w:p>
    <w:p w14:paraId="5FA7BF42" w14:textId="7777777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Philips (2025) </w:t>
      </w:r>
      <w:r w:rsidRPr="00572183">
        <w:rPr>
          <w:rFonts w:ascii="Times New Roman" w:eastAsia="Times New Roman" w:hAnsi="Times New Roman" w:cs="Times New Roman"/>
          <w:i/>
          <w:iCs/>
          <w:sz w:val="24"/>
          <w:szCs w:val="24"/>
        </w:rPr>
        <w:t>Better care for more people</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sz w:val="24"/>
          <w:szCs w:val="24"/>
          <w:highlight w:val="white"/>
        </w:rPr>
        <w:t>Available at</w:t>
      </w:r>
      <w:r w:rsidRPr="00572183">
        <w:rPr>
          <w:rFonts w:ascii="Times New Roman" w:eastAsia="Times New Roman" w:hAnsi="Times New Roman" w:cs="Times New Roman"/>
          <w:color w:val="222222"/>
          <w:sz w:val="24"/>
          <w:szCs w:val="24"/>
          <w:highlight w:val="white"/>
        </w:rPr>
        <w:t xml:space="preserve">: </w:t>
      </w:r>
      <w:hyperlink r:id="rId38">
        <w:r w:rsidRPr="00572183">
          <w:rPr>
            <w:rFonts w:ascii="Times New Roman" w:eastAsia="Times New Roman" w:hAnsi="Times New Roman" w:cs="Times New Roman"/>
            <w:color w:val="1155CC"/>
            <w:sz w:val="24"/>
            <w:szCs w:val="24"/>
            <w:u w:val="single"/>
          </w:rPr>
          <w:t>https://www.results.philips.com/publications/ar25/downloads/files/en/PhilipsFullAnnualReport2025-English.pdf?v=20260219124947</w:t>
        </w:r>
      </w:hyperlink>
      <w:r w:rsidRPr="00572183">
        <w:rPr>
          <w:rFonts w:ascii="Times New Roman" w:eastAsia="Times New Roman" w:hAnsi="Times New Roman" w:cs="Times New Roman"/>
          <w:sz w:val="24"/>
          <w:szCs w:val="24"/>
        </w:rPr>
        <w:t xml:space="preserve"> (Accessed: 25 March 2026). </w:t>
      </w:r>
    </w:p>
    <w:p w14:paraId="4161350C" w14:textId="497132EB"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Philips (2026)</w:t>
      </w:r>
      <w:r w:rsidR="00FD1D08">
        <w:rPr>
          <w:rFonts w:ascii="Times New Roman" w:eastAsia="Times New Roman" w:hAnsi="Times New Roman" w:cs="Times New Roman"/>
          <w:sz w:val="24"/>
          <w:szCs w:val="24"/>
        </w:rPr>
        <w:t xml:space="preserve"> </w:t>
      </w:r>
      <w:r w:rsidRPr="00572183">
        <w:rPr>
          <w:rFonts w:ascii="Times New Roman" w:eastAsia="Times New Roman" w:hAnsi="Times New Roman" w:cs="Times New Roman"/>
          <w:i/>
          <w:iCs/>
          <w:sz w:val="24"/>
          <w:szCs w:val="24"/>
        </w:rPr>
        <w:t xml:space="preserve">Philips remains No. 1 in Medtech at European Patent Office and the largest Dutch patent applicant. </w:t>
      </w:r>
      <w:r w:rsidRPr="00572183">
        <w:rPr>
          <w:rFonts w:ascii="Times New Roman" w:eastAsia="Times New Roman" w:hAnsi="Times New Roman" w:cs="Times New Roman"/>
          <w:sz w:val="24"/>
          <w:szCs w:val="24"/>
          <w:highlight w:val="white"/>
        </w:rPr>
        <w:t>Available at</w:t>
      </w:r>
      <w:r w:rsidRPr="00572183">
        <w:rPr>
          <w:rFonts w:ascii="Times New Roman" w:eastAsia="Times New Roman" w:hAnsi="Times New Roman" w:cs="Times New Roman"/>
          <w:color w:val="222222"/>
          <w:sz w:val="24"/>
          <w:szCs w:val="24"/>
          <w:highlight w:val="white"/>
        </w:rPr>
        <w:t xml:space="preserve">: </w:t>
      </w:r>
      <w:hyperlink r:id="rId39">
        <w:r w:rsidRPr="00572183">
          <w:rPr>
            <w:rFonts w:ascii="Times New Roman" w:eastAsia="Times New Roman" w:hAnsi="Times New Roman" w:cs="Times New Roman"/>
            <w:color w:val="1155CC"/>
            <w:sz w:val="24"/>
            <w:szCs w:val="24"/>
            <w:u w:val="single"/>
          </w:rPr>
          <w:t>https://www.philips.com/a-w/about/news/archive/standard/news/press/2026/philips-remains-no-1-in-medtech-at-european-patent-office-and-the-largest-dutch-patent-applicant</w:t>
        </w:r>
      </w:hyperlink>
      <w:r w:rsidRPr="00572183">
        <w:rPr>
          <w:rFonts w:ascii="Times New Roman" w:eastAsia="Times New Roman" w:hAnsi="Times New Roman" w:cs="Times New Roman"/>
          <w:sz w:val="24"/>
          <w:szCs w:val="24"/>
        </w:rPr>
        <w:t xml:space="preserve"> (Accessed: 25 March 2026). </w:t>
      </w:r>
    </w:p>
    <w:p w14:paraId="493CE0AE" w14:textId="26C1A4F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Philips (2026) </w:t>
      </w:r>
      <w:r w:rsidRPr="00572183">
        <w:rPr>
          <w:rFonts w:ascii="Times New Roman" w:eastAsia="Times New Roman" w:hAnsi="Times New Roman" w:cs="Times New Roman"/>
          <w:i/>
          <w:iCs/>
          <w:sz w:val="24"/>
          <w:szCs w:val="24"/>
        </w:rPr>
        <w:t>Better care for more people</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sz w:val="24"/>
          <w:szCs w:val="24"/>
          <w:highlight w:val="white"/>
        </w:rPr>
        <w:t>Available at</w:t>
      </w:r>
      <w:r w:rsidRPr="00572183">
        <w:rPr>
          <w:rFonts w:ascii="Times New Roman" w:eastAsia="Times New Roman" w:hAnsi="Times New Roman" w:cs="Times New Roman"/>
          <w:color w:val="222222"/>
          <w:sz w:val="24"/>
          <w:szCs w:val="24"/>
          <w:highlight w:val="white"/>
        </w:rPr>
        <w:t xml:space="preserve">: </w:t>
      </w:r>
      <w:hyperlink r:id="rId40">
        <w:r w:rsidRPr="00572183">
          <w:rPr>
            <w:rFonts w:ascii="Times New Roman" w:eastAsia="Times New Roman" w:hAnsi="Times New Roman" w:cs="Times New Roman"/>
            <w:color w:val="1155CC"/>
            <w:sz w:val="24"/>
            <w:szCs w:val="24"/>
            <w:u w:val="single"/>
          </w:rPr>
          <w:t>https://www.usa.philips.com/healthcare?srsltid=AfmBOorQvCvpcoqoAmlO5EYm2jayqJutbcVSpUj9qMnQJE2KsuBC4GG5</w:t>
        </w:r>
      </w:hyperlink>
      <w:r w:rsidRPr="00572183">
        <w:rPr>
          <w:rFonts w:ascii="Times New Roman" w:eastAsia="Times New Roman" w:hAnsi="Times New Roman" w:cs="Times New Roman"/>
          <w:sz w:val="24"/>
          <w:szCs w:val="24"/>
        </w:rPr>
        <w:t xml:space="preserve"> (Accessed: 25 March 2026).</w:t>
      </w:r>
      <w:r w:rsidR="00FD1D08">
        <w:rPr>
          <w:rFonts w:ascii="Times New Roman" w:eastAsia="Times New Roman" w:hAnsi="Times New Roman" w:cs="Times New Roman"/>
          <w:sz w:val="24"/>
          <w:szCs w:val="24"/>
        </w:rPr>
        <w:t xml:space="preserve"> </w:t>
      </w:r>
    </w:p>
    <w:p w14:paraId="3F844C73" w14:textId="7777777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Statista (2026) </w:t>
      </w:r>
      <w:r w:rsidRPr="00572183">
        <w:rPr>
          <w:rFonts w:ascii="Times New Roman" w:eastAsia="Times New Roman" w:hAnsi="Times New Roman" w:cs="Times New Roman"/>
          <w:i/>
          <w:iCs/>
          <w:sz w:val="24"/>
          <w:szCs w:val="24"/>
        </w:rPr>
        <w:t>Corruption Perceptions Index score of the United Kingdom from 2012 to 2025.</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sz w:val="24"/>
          <w:szCs w:val="24"/>
          <w:highlight w:val="white"/>
        </w:rPr>
        <w:t>Available at</w:t>
      </w:r>
      <w:r w:rsidRPr="00572183">
        <w:rPr>
          <w:rFonts w:ascii="Times New Roman" w:eastAsia="Times New Roman" w:hAnsi="Times New Roman" w:cs="Times New Roman"/>
          <w:color w:val="222222"/>
          <w:sz w:val="24"/>
          <w:szCs w:val="24"/>
          <w:highlight w:val="white"/>
        </w:rPr>
        <w:t xml:space="preserve">: </w:t>
      </w:r>
      <w:hyperlink r:id="rId41">
        <w:r w:rsidRPr="00572183">
          <w:rPr>
            <w:rFonts w:ascii="Times New Roman" w:eastAsia="Times New Roman" w:hAnsi="Times New Roman" w:cs="Times New Roman"/>
            <w:color w:val="1155CC"/>
            <w:sz w:val="24"/>
            <w:szCs w:val="24"/>
            <w:u w:val="single"/>
          </w:rPr>
          <w:t>https://www.statista.com/statistics/868971/corruption-perception-index-in-the-</w:t>
        </w:r>
        <w:r w:rsidRPr="00572183">
          <w:rPr>
            <w:rFonts w:ascii="Times New Roman" w:eastAsia="Times New Roman" w:hAnsi="Times New Roman" w:cs="Times New Roman"/>
            <w:color w:val="1155CC"/>
            <w:sz w:val="24"/>
            <w:szCs w:val="24"/>
            <w:u w:val="single"/>
          </w:rPr>
          <w:lastRenderedPageBreak/>
          <w:t>uk/?srsltid=AfmBOoooVLvunmHLLOYMROOzMUX2Evsq9-iS4aC371pvhskRYMZ7PA7m</w:t>
        </w:r>
      </w:hyperlink>
      <w:r w:rsidRPr="00572183">
        <w:rPr>
          <w:rFonts w:ascii="Times New Roman" w:eastAsia="Times New Roman" w:hAnsi="Times New Roman" w:cs="Times New Roman"/>
          <w:sz w:val="24"/>
          <w:szCs w:val="24"/>
        </w:rPr>
        <w:t xml:space="preserve"> (Accessed: 24 March 2026). </w:t>
      </w:r>
    </w:p>
    <w:p w14:paraId="5175BE6E" w14:textId="7777777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The Guardian (2026) </w:t>
      </w:r>
      <w:r w:rsidRPr="00572183">
        <w:rPr>
          <w:rFonts w:ascii="Times New Roman" w:eastAsia="Times New Roman" w:hAnsi="Times New Roman" w:cs="Times New Roman"/>
          <w:i/>
          <w:iCs/>
          <w:sz w:val="24"/>
          <w:szCs w:val="24"/>
        </w:rPr>
        <w:t>UK economy grows by only 0.1% amid falling business investment</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sz w:val="24"/>
          <w:szCs w:val="24"/>
          <w:highlight w:val="white"/>
        </w:rPr>
        <w:t>Available at</w:t>
      </w:r>
      <w:r w:rsidRPr="00572183">
        <w:rPr>
          <w:rFonts w:ascii="Times New Roman" w:eastAsia="Times New Roman" w:hAnsi="Times New Roman" w:cs="Times New Roman"/>
          <w:color w:val="222222"/>
          <w:sz w:val="24"/>
          <w:szCs w:val="24"/>
          <w:highlight w:val="white"/>
        </w:rPr>
        <w:t xml:space="preserve">: </w:t>
      </w:r>
      <w:hyperlink r:id="rId42">
        <w:r w:rsidRPr="00572183">
          <w:rPr>
            <w:rFonts w:ascii="Times New Roman" w:eastAsia="Times New Roman" w:hAnsi="Times New Roman" w:cs="Times New Roman"/>
            <w:color w:val="1155CC"/>
            <w:sz w:val="24"/>
            <w:szCs w:val="24"/>
            <w:u w:val="single"/>
          </w:rPr>
          <w:t>https://www.theguardian.com/business/2026/feb/12/uk-economy-grows-rachel-reeves-budget-ons-gdp-growth</w:t>
        </w:r>
      </w:hyperlink>
      <w:r w:rsidRPr="00572183">
        <w:rPr>
          <w:rFonts w:ascii="Times New Roman" w:eastAsia="Times New Roman" w:hAnsi="Times New Roman" w:cs="Times New Roman"/>
          <w:sz w:val="24"/>
          <w:szCs w:val="24"/>
        </w:rPr>
        <w:t xml:space="preserve"> (Accessed: 25 March 2026). </w:t>
      </w:r>
    </w:p>
    <w:p w14:paraId="2D1755F5"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rPr>
      </w:pPr>
      <w:proofErr w:type="spellStart"/>
      <w:r w:rsidRPr="00572183">
        <w:rPr>
          <w:rFonts w:ascii="Times New Roman" w:eastAsia="Times New Roman" w:hAnsi="Times New Roman" w:cs="Times New Roman"/>
          <w:color w:val="222222"/>
          <w:sz w:val="24"/>
          <w:szCs w:val="24"/>
          <w:lang w:eastAsia="en-IN"/>
        </w:rPr>
        <w:t>Wuersch</w:t>
      </w:r>
      <w:proofErr w:type="spellEnd"/>
      <w:r w:rsidRPr="00572183">
        <w:rPr>
          <w:rFonts w:ascii="Times New Roman" w:eastAsia="Times New Roman" w:hAnsi="Times New Roman" w:cs="Times New Roman"/>
          <w:color w:val="222222"/>
          <w:sz w:val="24"/>
          <w:szCs w:val="24"/>
          <w:lang w:eastAsia="en-IN"/>
        </w:rPr>
        <w:t xml:space="preserve">, L., Neher, A. and Small, F., (2026). Building community capitals through stakeholder engagement in a pollinator garden of a regional Australian university: A Business School initiative. </w:t>
      </w:r>
      <w:r w:rsidRPr="00572183">
        <w:rPr>
          <w:rFonts w:ascii="Times New Roman" w:eastAsia="Times New Roman" w:hAnsi="Times New Roman" w:cs="Times New Roman"/>
          <w:i/>
          <w:iCs/>
          <w:color w:val="222222"/>
          <w:sz w:val="24"/>
          <w:szCs w:val="24"/>
          <w:lang w:eastAsia="en-IN"/>
        </w:rPr>
        <w:t>Journal of Rural Studies</w:t>
      </w:r>
      <w:r w:rsidRPr="00572183">
        <w:rPr>
          <w:rFonts w:ascii="Times New Roman" w:eastAsia="Times New Roman" w:hAnsi="Times New Roman" w:cs="Times New Roman"/>
          <w:color w:val="222222"/>
          <w:sz w:val="24"/>
          <w:szCs w:val="24"/>
          <w:lang w:eastAsia="en-IN"/>
        </w:rPr>
        <w:t xml:space="preserve">, </w:t>
      </w:r>
      <w:r w:rsidRPr="00572183">
        <w:rPr>
          <w:rFonts w:ascii="Times New Roman" w:eastAsia="Times New Roman" w:hAnsi="Times New Roman" w:cs="Times New Roman"/>
          <w:i/>
          <w:iCs/>
          <w:color w:val="222222"/>
          <w:sz w:val="24"/>
          <w:szCs w:val="24"/>
          <w:lang w:eastAsia="en-IN"/>
        </w:rPr>
        <w:t>123</w:t>
      </w:r>
      <w:r w:rsidRPr="00572183">
        <w:rPr>
          <w:rFonts w:ascii="Times New Roman" w:eastAsia="Times New Roman" w:hAnsi="Times New Roman" w:cs="Times New Roman"/>
          <w:color w:val="222222"/>
          <w:sz w:val="24"/>
          <w:szCs w:val="24"/>
          <w:lang w:eastAsia="en-IN"/>
        </w:rPr>
        <w:t>, p.104009.</w:t>
      </w:r>
      <w:r w:rsidRPr="00572183">
        <w:rPr>
          <w:rFonts w:ascii="Times New Roman" w:eastAsia="Times New Roman" w:hAnsi="Times New Roman" w:cs="Times New Roman"/>
          <w:sz w:val="24"/>
          <w:szCs w:val="24"/>
          <w:lang w:eastAsia="en-IN"/>
        </w:rPr>
        <w:t xml:space="preserve"> Available at: </w:t>
      </w:r>
      <w:hyperlink r:id="rId43">
        <w:r w:rsidRPr="00572183">
          <w:rPr>
            <w:rFonts w:ascii="Times New Roman" w:eastAsia="Times New Roman" w:hAnsi="Times New Roman" w:cs="Times New Roman"/>
            <w:color w:val="1155CC"/>
            <w:sz w:val="24"/>
            <w:szCs w:val="24"/>
            <w:u w:val="single"/>
            <w:lang w:eastAsia="en-IN"/>
          </w:rPr>
          <w:t>https://doi.org/10.1016/j.jrurstud.(2026).104009</w:t>
        </w:r>
      </w:hyperlink>
      <w:r w:rsidRPr="00572183">
        <w:rPr>
          <w:rFonts w:ascii="Times New Roman" w:eastAsia="Times New Roman" w:hAnsi="Times New Roman" w:cs="Times New Roman"/>
          <w:sz w:val="24"/>
          <w:szCs w:val="24"/>
          <w:lang w:eastAsia="en-IN"/>
        </w:rPr>
        <w:t xml:space="preserve"> </w:t>
      </w:r>
    </w:p>
    <w:p w14:paraId="7349633B" w14:textId="77777777" w:rsidR="00572183" w:rsidRPr="00572183" w:rsidRDefault="00572183" w:rsidP="00433EB4">
      <w:pPr>
        <w:spacing w:after="240" w:line="360" w:lineRule="auto"/>
        <w:jc w:val="both"/>
        <w:rPr>
          <w:rFonts w:ascii="Times New Roman" w:eastAsia="Times New Roman" w:hAnsi="Times New Roman" w:cs="Times New Roman"/>
          <w:sz w:val="24"/>
          <w:szCs w:val="24"/>
        </w:rPr>
      </w:pPr>
      <w:r w:rsidRPr="00572183">
        <w:rPr>
          <w:rFonts w:ascii="Times New Roman" w:eastAsia="Times New Roman" w:hAnsi="Times New Roman" w:cs="Times New Roman"/>
          <w:sz w:val="24"/>
          <w:szCs w:val="24"/>
        </w:rPr>
        <w:t xml:space="preserve">Yahoo (2024) </w:t>
      </w:r>
      <w:r w:rsidRPr="00572183">
        <w:rPr>
          <w:rFonts w:ascii="Times New Roman" w:eastAsia="Times New Roman" w:hAnsi="Times New Roman" w:cs="Times New Roman"/>
          <w:i/>
          <w:iCs/>
          <w:sz w:val="24"/>
          <w:szCs w:val="24"/>
        </w:rPr>
        <w:t xml:space="preserve">Artificial Intelligence (AI) in Healthcare Market to Expand at a Robust CAGR of 38.1% through 2031 | </w:t>
      </w:r>
      <w:proofErr w:type="spellStart"/>
      <w:r w:rsidRPr="00572183">
        <w:rPr>
          <w:rFonts w:ascii="Times New Roman" w:eastAsia="Times New Roman" w:hAnsi="Times New Roman" w:cs="Times New Roman"/>
          <w:i/>
          <w:iCs/>
          <w:sz w:val="24"/>
          <w:szCs w:val="24"/>
        </w:rPr>
        <w:t>SkyQuest</w:t>
      </w:r>
      <w:proofErr w:type="spellEnd"/>
      <w:r w:rsidRPr="00572183">
        <w:rPr>
          <w:rFonts w:ascii="Times New Roman" w:eastAsia="Times New Roman" w:hAnsi="Times New Roman" w:cs="Times New Roman"/>
          <w:i/>
          <w:iCs/>
          <w:sz w:val="24"/>
          <w:szCs w:val="24"/>
        </w:rPr>
        <w:t xml:space="preserve"> Technology</w:t>
      </w:r>
      <w:r w:rsidRPr="00572183">
        <w:rPr>
          <w:rFonts w:ascii="Times New Roman" w:eastAsia="Times New Roman" w:hAnsi="Times New Roman" w:cs="Times New Roman"/>
          <w:sz w:val="24"/>
          <w:szCs w:val="24"/>
        </w:rPr>
        <w:t xml:space="preserve">. </w:t>
      </w:r>
      <w:r w:rsidRPr="00572183">
        <w:rPr>
          <w:rFonts w:ascii="Times New Roman" w:eastAsia="Times New Roman" w:hAnsi="Times New Roman" w:cs="Times New Roman"/>
          <w:sz w:val="24"/>
          <w:szCs w:val="24"/>
          <w:highlight w:val="white"/>
        </w:rPr>
        <w:t>Available at</w:t>
      </w:r>
      <w:r w:rsidRPr="00572183">
        <w:rPr>
          <w:rFonts w:ascii="Times New Roman" w:eastAsia="Times New Roman" w:hAnsi="Times New Roman" w:cs="Times New Roman"/>
          <w:color w:val="222222"/>
          <w:sz w:val="24"/>
          <w:szCs w:val="24"/>
          <w:highlight w:val="white"/>
        </w:rPr>
        <w:t xml:space="preserve">: </w:t>
      </w:r>
      <w:hyperlink r:id="rId44">
        <w:r w:rsidRPr="00572183">
          <w:rPr>
            <w:rFonts w:ascii="Times New Roman" w:eastAsia="Times New Roman" w:hAnsi="Times New Roman" w:cs="Times New Roman"/>
            <w:color w:val="1155CC"/>
            <w:sz w:val="24"/>
            <w:szCs w:val="24"/>
            <w:u w:val="single"/>
          </w:rPr>
          <w:t>https://finance.yahoo.com/news/artificial-intelligence-ai-healthcare-market-120000102.html?guccounter=1&amp;guce_referrer=aHR0cHM6Ly93d3cuZ29vZ2xlLmNvbS8&amp;guce_referrer_sig=AQAAAHJlP46iUt0FSvMJwN-6QHvrIn2-nZ3yUk-llDoc4C3umIX27EOy_u58LZaSGz_AESpl_85zn6bXZA7t0u3zDfO--Xq7KQCwL6C-GF7lHGlYyc1iZ5OO6KKkzdjz8GDmX9RzsLhY8fN6ha-ZO-Oip6B-JcBn5o0ry6BZZdDCndtO</w:t>
        </w:r>
      </w:hyperlink>
      <w:r w:rsidRPr="00572183">
        <w:rPr>
          <w:rFonts w:ascii="Times New Roman" w:eastAsia="Times New Roman" w:hAnsi="Times New Roman" w:cs="Times New Roman"/>
          <w:sz w:val="24"/>
          <w:szCs w:val="24"/>
        </w:rPr>
        <w:t xml:space="preserve"> (Accessed: 25 March 2026). </w:t>
      </w:r>
    </w:p>
    <w:p w14:paraId="6170B65C" w14:textId="77777777" w:rsidR="00572183" w:rsidRPr="00572183" w:rsidRDefault="00572183" w:rsidP="00433EB4">
      <w:pPr>
        <w:spacing w:after="240" w:line="360" w:lineRule="auto"/>
        <w:jc w:val="both"/>
        <w:rPr>
          <w:rFonts w:ascii="Times New Roman" w:eastAsia="Times New Roman" w:hAnsi="Times New Roman" w:cs="Times New Roman"/>
          <w:sz w:val="24"/>
          <w:szCs w:val="24"/>
          <w:lang w:eastAsia="en-IN" w:bidi="bn-IN"/>
        </w:rPr>
      </w:pPr>
      <w:r w:rsidRPr="00572183">
        <w:rPr>
          <w:rFonts w:ascii="Times New Roman" w:eastAsia="Times New Roman" w:hAnsi="Times New Roman" w:cs="Times New Roman"/>
          <w:sz w:val="24"/>
          <w:szCs w:val="24"/>
          <w:lang w:eastAsia="en-IN" w:bidi="bn-IN"/>
        </w:rPr>
        <w:t xml:space="preserve">Ybañez, R., De La Cruz, A. and Ermita, P. (2023) ‘Related literature review: Project triad-the virtual project coordination’, </w:t>
      </w:r>
      <w:r w:rsidRPr="00572183">
        <w:rPr>
          <w:rFonts w:ascii="Times New Roman" w:eastAsia="Times New Roman" w:hAnsi="Times New Roman" w:cs="Times New Roman"/>
          <w:i/>
          <w:iCs/>
          <w:sz w:val="24"/>
          <w:szCs w:val="24"/>
          <w:lang w:eastAsia="en-IN" w:bidi="bn-IN"/>
        </w:rPr>
        <w:t>Open Journal of Business and Management</w:t>
      </w:r>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i/>
          <w:iCs/>
          <w:sz w:val="24"/>
          <w:szCs w:val="24"/>
          <w:lang w:eastAsia="en-IN" w:bidi="bn-IN"/>
        </w:rPr>
        <w:t>11</w:t>
      </w:r>
      <w:r w:rsidRPr="00572183">
        <w:rPr>
          <w:rFonts w:ascii="Times New Roman" w:eastAsia="Times New Roman" w:hAnsi="Times New Roman" w:cs="Times New Roman"/>
          <w:sz w:val="24"/>
          <w:szCs w:val="24"/>
          <w:lang w:eastAsia="en-IN" w:bidi="bn-IN"/>
        </w:rPr>
        <w:t xml:space="preserve">, pp.1597-1608. Available at: </w:t>
      </w:r>
      <w:hyperlink r:id="rId45">
        <w:r w:rsidRPr="00572183">
          <w:rPr>
            <w:rFonts w:ascii="Times New Roman" w:eastAsia="Times New Roman" w:hAnsi="Times New Roman" w:cs="Times New Roman"/>
            <w:color w:val="1155CC"/>
            <w:sz w:val="24"/>
            <w:szCs w:val="24"/>
            <w:u w:val="single"/>
            <w:lang w:eastAsia="en-IN" w:bidi="bn-IN"/>
          </w:rPr>
          <w:t>https://www.academia.edu/download/108777868/PaperDownload.pdf</w:t>
        </w:r>
      </w:hyperlink>
      <w:r w:rsidRPr="00572183">
        <w:rPr>
          <w:rFonts w:ascii="Times New Roman" w:eastAsia="Times New Roman" w:hAnsi="Times New Roman" w:cs="Times New Roman"/>
          <w:sz w:val="24"/>
          <w:szCs w:val="24"/>
          <w:lang w:eastAsia="en-IN" w:bidi="bn-IN"/>
        </w:rPr>
        <w:t xml:space="preserve"> </w:t>
      </w:r>
      <w:r w:rsidRPr="00572183">
        <w:rPr>
          <w:rFonts w:ascii="Times New Roman" w:eastAsia="Times New Roman" w:hAnsi="Times New Roman" w:cs="Times New Roman"/>
          <w:sz w:val="24"/>
          <w:szCs w:val="24"/>
        </w:rPr>
        <w:t>(Accessed: 16 March 2026).</w:t>
      </w:r>
    </w:p>
    <w:sectPr w:rsidR="00572183" w:rsidRPr="00572183">
      <w:headerReference w:type="even" r:id="rId46"/>
      <w:headerReference w:type="default" r:id="rId47"/>
      <w:footerReference w:type="even" r:id="rId48"/>
      <w:footerReference w:type="default" r:id="rId49"/>
      <w:headerReference w:type="first" r:id="rId50"/>
      <w:footerReference w:type="first" r:id="rId5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4411B" w14:textId="77777777" w:rsidR="009B2332" w:rsidRDefault="009B2332">
      <w:pPr>
        <w:spacing w:line="240" w:lineRule="auto"/>
      </w:pPr>
      <w:r>
        <w:separator/>
      </w:r>
    </w:p>
  </w:endnote>
  <w:endnote w:type="continuationSeparator" w:id="0">
    <w:p w14:paraId="288921B9" w14:textId="77777777" w:rsidR="009B2332" w:rsidRDefault="009B23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embedRegular r:id="rId1" w:fontKey="{1D4CE028-CCFF-468C-AE51-646EDC5C5963}"/>
  </w:font>
  <w:font w:name="Vrinda">
    <w:panose1 w:val="00000400000000000000"/>
    <w:charset w:val="00"/>
    <w:family w:val="swiss"/>
    <w:pitch w:val="variable"/>
    <w:sig w:usb0="00010003" w:usb1="00000000" w:usb2="00000000" w:usb3="00000000" w:csb0="00000001" w:csb1="00000000"/>
  </w:font>
  <w:font w:name="Cambria">
    <w:panose1 w:val="02040503050406030204"/>
    <w:charset w:val="CC"/>
    <w:family w:val="roman"/>
    <w:pitch w:val="variable"/>
    <w:sig w:usb0="E00006FF" w:usb1="420024FF" w:usb2="02000000" w:usb3="00000000" w:csb0="0000019F" w:csb1="00000000"/>
    <w:embedRegular r:id="rId2" w:fontKey="{574D17FF-BC4E-406D-A8DA-F8F368B833F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D6117E" w14:textId="77777777" w:rsidR="00EE732A" w:rsidRDefault="00EE73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37E538" w14:textId="3A8FA4EA" w:rsidR="00FA6F99" w:rsidRDefault="00A871E1">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741EE3">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A73CC" w14:textId="77777777" w:rsidR="00EE732A" w:rsidRDefault="00EE7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6351B" w14:textId="77777777" w:rsidR="009B2332" w:rsidRDefault="009B2332">
      <w:pPr>
        <w:spacing w:line="240" w:lineRule="auto"/>
      </w:pPr>
      <w:r>
        <w:separator/>
      </w:r>
    </w:p>
  </w:footnote>
  <w:footnote w:type="continuationSeparator" w:id="0">
    <w:p w14:paraId="0983DD44" w14:textId="77777777" w:rsidR="009B2332" w:rsidRDefault="009B23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A031A3" w14:textId="77777777" w:rsidR="00EE732A" w:rsidRDefault="00EE73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E2DB9" w14:textId="77777777" w:rsidR="00EE732A" w:rsidRDefault="00EE73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64BAE" w14:textId="77777777" w:rsidR="00EE732A" w:rsidRDefault="00EE73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A0D8D"/>
    <w:multiLevelType w:val="multilevel"/>
    <w:tmpl w:val="1DD82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902D45"/>
    <w:multiLevelType w:val="multilevel"/>
    <w:tmpl w:val="CDCC85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DF6BAB"/>
    <w:multiLevelType w:val="multilevel"/>
    <w:tmpl w:val="7A405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CB28A5"/>
    <w:multiLevelType w:val="multilevel"/>
    <w:tmpl w:val="13981F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6B4128C"/>
    <w:multiLevelType w:val="multilevel"/>
    <w:tmpl w:val="59440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655D60"/>
    <w:multiLevelType w:val="multilevel"/>
    <w:tmpl w:val="D9E0E1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7346AC"/>
    <w:multiLevelType w:val="multilevel"/>
    <w:tmpl w:val="12A00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C1A48F9"/>
    <w:multiLevelType w:val="multilevel"/>
    <w:tmpl w:val="8AB25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0886959">
    <w:abstractNumId w:val="5"/>
  </w:num>
  <w:num w:numId="2" w16cid:durableId="2124420506">
    <w:abstractNumId w:val="1"/>
  </w:num>
  <w:num w:numId="3" w16cid:durableId="1251697764">
    <w:abstractNumId w:val="6"/>
  </w:num>
  <w:num w:numId="4" w16cid:durableId="1108503192">
    <w:abstractNumId w:val="0"/>
  </w:num>
  <w:num w:numId="5" w16cid:durableId="1468204329">
    <w:abstractNumId w:val="3"/>
  </w:num>
  <w:num w:numId="6" w16cid:durableId="1230503959">
    <w:abstractNumId w:val="7"/>
  </w:num>
  <w:num w:numId="7" w16cid:durableId="1933079163">
    <w:abstractNumId w:val="4"/>
  </w:num>
  <w:num w:numId="8" w16cid:durableId="18862148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F99"/>
    <w:rsid w:val="00037501"/>
    <w:rsid w:val="00054323"/>
    <w:rsid w:val="00072890"/>
    <w:rsid w:val="000B1DC1"/>
    <w:rsid w:val="001B7FF9"/>
    <w:rsid w:val="001C0328"/>
    <w:rsid w:val="001C7181"/>
    <w:rsid w:val="001E3585"/>
    <w:rsid w:val="002B2235"/>
    <w:rsid w:val="003443ED"/>
    <w:rsid w:val="00433EB4"/>
    <w:rsid w:val="00436F6A"/>
    <w:rsid w:val="0048128B"/>
    <w:rsid w:val="00572183"/>
    <w:rsid w:val="00587B50"/>
    <w:rsid w:val="005B782C"/>
    <w:rsid w:val="005C6A97"/>
    <w:rsid w:val="005D6F6E"/>
    <w:rsid w:val="00605EE0"/>
    <w:rsid w:val="0063084C"/>
    <w:rsid w:val="00653ECE"/>
    <w:rsid w:val="0066277D"/>
    <w:rsid w:val="00667AA0"/>
    <w:rsid w:val="0070752B"/>
    <w:rsid w:val="007249E8"/>
    <w:rsid w:val="00741EE3"/>
    <w:rsid w:val="00922F30"/>
    <w:rsid w:val="009B2332"/>
    <w:rsid w:val="009F2CE2"/>
    <w:rsid w:val="00A007F8"/>
    <w:rsid w:val="00A871E1"/>
    <w:rsid w:val="00A94C15"/>
    <w:rsid w:val="00AA152F"/>
    <w:rsid w:val="00B0735B"/>
    <w:rsid w:val="00B22405"/>
    <w:rsid w:val="00B92BC1"/>
    <w:rsid w:val="00BA19DF"/>
    <w:rsid w:val="00BD42FC"/>
    <w:rsid w:val="00CA2426"/>
    <w:rsid w:val="00CD026C"/>
    <w:rsid w:val="00D129DD"/>
    <w:rsid w:val="00DE2798"/>
    <w:rsid w:val="00EE732A"/>
    <w:rsid w:val="00FA6F99"/>
    <w:rsid w:val="00FD1D0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B73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200"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200" w:after="2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Header">
    <w:name w:val="header"/>
    <w:basedOn w:val="Normal"/>
    <w:link w:val="HeaderChar"/>
    <w:uiPriority w:val="99"/>
    <w:unhideWhenUsed/>
    <w:rsid w:val="00EE732A"/>
    <w:pPr>
      <w:tabs>
        <w:tab w:val="center" w:pos="4680"/>
        <w:tab w:val="right" w:pos="9360"/>
      </w:tabs>
      <w:spacing w:line="240" w:lineRule="auto"/>
    </w:pPr>
  </w:style>
  <w:style w:type="character" w:customStyle="1" w:styleId="HeaderChar">
    <w:name w:val="Header Char"/>
    <w:basedOn w:val="DefaultParagraphFont"/>
    <w:link w:val="Header"/>
    <w:uiPriority w:val="99"/>
    <w:rsid w:val="00EE732A"/>
    <w:rPr>
      <w:lang w:val="en-GB"/>
    </w:rPr>
  </w:style>
  <w:style w:type="paragraph" w:styleId="Footer">
    <w:name w:val="footer"/>
    <w:basedOn w:val="Normal"/>
    <w:link w:val="FooterChar"/>
    <w:uiPriority w:val="99"/>
    <w:unhideWhenUsed/>
    <w:rsid w:val="00EE732A"/>
    <w:pPr>
      <w:tabs>
        <w:tab w:val="center" w:pos="4680"/>
        <w:tab w:val="right" w:pos="9360"/>
      </w:tabs>
      <w:spacing w:line="240" w:lineRule="auto"/>
    </w:pPr>
  </w:style>
  <w:style w:type="character" w:customStyle="1" w:styleId="FooterChar">
    <w:name w:val="Footer Char"/>
    <w:basedOn w:val="DefaultParagraphFont"/>
    <w:link w:val="Footer"/>
    <w:uiPriority w:val="99"/>
    <w:rsid w:val="00EE732A"/>
    <w:rPr>
      <w:lang w:val="en-GB"/>
    </w:rPr>
  </w:style>
  <w:style w:type="paragraph" w:styleId="TOC1">
    <w:name w:val="toc 1"/>
    <w:basedOn w:val="Normal"/>
    <w:next w:val="Normal"/>
    <w:autoRedefine/>
    <w:uiPriority w:val="39"/>
    <w:unhideWhenUsed/>
    <w:rsid w:val="00BA19DF"/>
    <w:pPr>
      <w:spacing w:after="100"/>
    </w:pPr>
  </w:style>
  <w:style w:type="paragraph" w:styleId="TOC2">
    <w:name w:val="toc 2"/>
    <w:basedOn w:val="Normal"/>
    <w:next w:val="Normal"/>
    <w:autoRedefine/>
    <w:uiPriority w:val="39"/>
    <w:unhideWhenUsed/>
    <w:rsid w:val="00BA19DF"/>
    <w:pPr>
      <w:spacing w:after="100"/>
      <w:ind w:left="220"/>
    </w:pPr>
  </w:style>
  <w:style w:type="character" w:styleId="Hyperlink">
    <w:name w:val="Hyperlink"/>
    <w:basedOn w:val="DefaultParagraphFont"/>
    <w:uiPriority w:val="99"/>
    <w:unhideWhenUsed/>
    <w:rsid w:val="00BA19DF"/>
    <w:rPr>
      <w:color w:val="0000FF" w:themeColor="hyperlink"/>
      <w:u w:val="single"/>
    </w:rPr>
  </w:style>
  <w:style w:type="character" w:styleId="Emphasis">
    <w:name w:val="Emphasis"/>
    <w:basedOn w:val="DefaultParagraphFont"/>
    <w:uiPriority w:val="20"/>
    <w:qFormat/>
    <w:rsid w:val="000728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eng6010013" TargetMode="External"/><Relationship Id="rId18" Type="http://schemas.openxmlformats.org/officeDocument/2006/relationships/hyperlink" Target="https://doi.org/10.1371/journal.pone.0278007" TargetMode="External"/><Relationship Id="rId26" Type="http://schemas.openxmlformats.org/officeDocument/2006/relationships/hyperlink" Target="https://www.bahrainmedicalbulletin.com/March_2024/BMB-23-537.pdf" TargetMode="External"/><Relationship Id="rId39" Type="http://schemas.openxmlformats.org/officeDocument/2006/relationships/hyperlink" Target="https://www.philips.com/a-w/about/news/archive/standard/news/press/2026/philips-remains-no-1-in-medtech-at-european-patent-office-and-the-largest-dutch-patent-applicant" TargetMode="External"/><Relationship Id="rId3" Type="http://schemas.openxmlformats.org/officeDocument/2006/relationships/customXml" Target="../customXml/item3.xml"/><Relationship Id="rId21" Type="http://schemas.openxmlformats.org/officeDocument/2006/relationships/hyperlink" Target="https://assets.publishing.service.gov.uk/media/6363d911e90e0705a8c35457/health-and-care-act-2022-summary-and-additional-measures-impact-assessment.pdf" TargetMode="External"/><Relationship Id="rId34" Type="http://schemas.openxmlformats.org/officeDocument/2006/relationships/hyperlink" Target="https://www.stockport.nhs.uk/page_124" TargetMode="External"/><Relationship Id="rId42" Type="http://schemas.openxmlformats.org/officeDocument/2006/relationships/hyperlink" Target="https://www.theguardian.com/business/2026/feb/12/uk-economy-grows-rachel-reeves-budget-ons-gdp-growth" TargetMode="External"/><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yperlink" Target="https://doi.org/10.1016/j.cie.2022.108158" TargetMode="External"/><Relationship Id="rId17" Type="http://schemas.openxmlformats.org/officeDocument/2006/relationships/hyperlink" Target="https://onlinelibrary.wiley.com/doi/abs/10.1002/sd.70930" TargetMode="External"/><Relationship Id="rId25" Type="http://schemas.openxmlformats.org/officeDocument/2006/relationships/hyperlink" Target="https://www.imarcgroup.com/uk-ai-in-healthcare-market" TargetMode="External"/><Relationship Id="rId33" Type="http://schemas.openxmlformats.org/officeDocument/2006/relationships/hyperlink" Target="https://doi.org/10.3390/pr13061864" TargetMode="External"/><Relationship Id="rId38" Type="http://schemas.openxmlformats.org/officeDocument/2006/relationships/hyperlink" Target="https://www.results.philips.com/publications/ar25/downloads/files/en/PhilipsFullAnnualReport2025-English.pdf?v=20260219124947" TargetMode="External"/><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3390/a17030105" TargetMode="External"/><Relationship Id="rId20" Type="http://schemas.openxmlformats.org/officeDocument/2006/relationships/hyperlink" Target="https://dl.acm.org/doi/10.1145/2676690.2676691" TargetMode="External"/><Relationship Id="rId29" Type="http://schemas.openxmlformats.org/officeDocument/2006/relationships/hyperlink" Target="https://doi.org/10.3390/su16062250" TargetMode="External"/><Relationship Id="rId41" Type="http://schemas.openxmlformats.org/officeDocument/2006/relationships/hyperlink" Target="https://www.statista.com/statistics/868971/corruption-perception-index-in-the-uk/?srsltid=AfmBOoooVLvunmHLLOYMROOzMUX2Evsq9-iS4aC371pvhskRYMZ7PA7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nlinelibrary.wiley.com/doi/pdfdirect/10.1002/bse.2977" TargetMode="External"/><Relationship Id="rId24" Type="http://schemas.openxmlformats.org/officeDocument/2006/relationships/hyperlink" Target="https://doi.org/10.1016/j.procs.2024.10.336" TargetMode="External"/><Relationship Id="rId32" Type="http://schemas.openxmlformats.org/officeDocument/2006/relationships/hyperlink" Target="https://doi.org/10.3389/fdgth.2025.1534419" TargetMode="External"/><Relationship Id="rId37" Type="http://schemas.openxmlformats.org/officeDocument/2006/relationships/hyperlink" Target="https://commonslibrary.parliament.uk/the-uks-changing-population/" TargetMode="External"/><Relationship Id="rId40" Type="http://schemas.openxmlformats.org/officeDocument/2006/relationships/hyperlink" Target="https://www.usa.philips.com/healthcare?srsltid=AfmBOorQvCvpcoqoAmlO5EYm2jayqJutbcVSpUj9qMnQJE2KsuBC4GG5" TargetMode="External"/><Relationship Id="rId45" Type="http://schemas.openxmlformats.org/officeDocument/2006/relationships/hyperlink" Target="https://www.academia.edu/download/108777868/PaperDownload.pdf" TargetMode="External"/><Relationship Id="rId53"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bbc.com/news/articles/c79zpzdv4vno" TargetMode="External"/><Relationship Id="rId23" Type="http://schemas.openxmlformats.org/officeDocument/2006/relationships/hyperlink" Target="https://doi.org/10.1016/j.procs.2024.10.336" TargetMode="External"/><Relationship Id="rId28" Type="http://schemas.openxmlformats.org/officeDocument/2006/relationships/hyperlink" Target="https://doi.org/10.1186/s12302-025-01101-0" TargetMode="External"/><Relationship Id="rId36" Type="http://schemas.openxmlformats.org/officeDocument/2006/relationships/hyperlink" Target="https://journals.sagepub.com/doi/abs/10.1177/15459683241298262" TargetMode="External"/><Relationship Id="rId49" Type="http://schemas.openxmlformats.org/officeDocument/2006/relationships/footer" Target="footer2.xml"/><Relationship Id="rId10" Type="http://schemas.openxmlformats.org/officeDocument/2006/relationships/hyperlink" Target="https://www.academia.edu/download/104982291/Conflict_Resolution_in_Team_Analyzing_the_Cauuse_of_Conflicts_and_Best_Skills_for_Resolution.pdf" TargetMode="External"/><Relationship Id="rId19" Type="http://schemas.openxmlformats.org/officeDocument/2006/relationships/hyperlink" Target="https://dl.acm.org/doi/10.1145/2676690.2676691" TargetMode="External"/><Relationship Id="rId31" Type="http://schemas.openxmlformats.org/officeDocument/2006/relationships/hyperlink" Target="https://www.sciencedirect.com/science/article/pii/S1462901123002769" TargetMode="External"/><Relationship Id="rId44" Type="http://schemas.openxmlformats.org/officeDocument/2006/relationships/hyperlink" Target="https://finance.yahoo.com/news/artificial-intelligence-ai-healthcare-market-120000102.html?guccounter=1&amp;guce_referrer=aHR0cHM6Ly93d3cuZ29vZ2xlLmNvbS8&amp;guce_referrer_sig=AQAAAHJlP46iUt0FSvMJwN-6QHvrIn2-nZ3yUk-llDoc4C3umIX27EOy_u58LZaSGz_AESpl_85zn6bXZA7t0u3zDfO--Xq7KQCwL6C-GF7lHGlYyc1iZ5OO6KKkzdjz8GDmX9RzsLhY8fN6ha-ZO-Oip6B-JcBn5o0ry6BZZdDCndtO"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30574/wjarr.2025.28.2.3808" TargetMode="External"/><Relationship Id="rId22" Type="http://schemas.openxmlformats.org/officeDocument/2006/relationships/hyperlink" Target="https://doi.org/10.3390/bios12040202" TargetMode="External"/><Relationship Id="rId27" Type="http://schemas.openxmlformats.org/officeDocument/2006/relationships/hyperlink" Target="https://journals.sagepub.com/doi/pdf/10.1177/00076503211066595" TargetMode="External"/><Relationship Id="rId30" Type="http://schemas.openxmlformats.org/officeDocument/2006/relationships/hyperlink" Target="http://dx.doi.org/10.1108/QAE-11-2023-0193" TargetMode="External"/><Relationship Id="rId35" Type="http://schemas.openxmlformats.org/officeDocument/2006/relationships/hyperlink" Target="https://dx.doi.org/10.4314/aujst.v5i2.3" TargetMode="External"/><Relationship Id="rId43" Type="http://schemas.openxmlformats.org/officeDocument/2006/relationships/hyperlink" Target="https://doi.org/10.1016/j.jrurstud.2026.104009" TargetMode="External"/><Relationship Id="rId48"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footer" Target="footer3.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53bd519691e6f98b6e58f61aad8d68dc">
  <xsd:schema xmlns:xsd="http://www.w3.org/2001/XMLSchema" xmlns:xs="http://www.w3.org/2001/XMLSchema" xmlns:p="http://schemas.microsoft.com/office/2006/metadata/properties" xmlns:ns3="0085e1a2-9cbf-4b92-866b-21f3c89040b6" targetNamespace="http://schemas.microsoft.com/office/2006/metadata/properties" ma:root="true" ma:fieldsID="6e584092c3fac3907b9cc59c1b679ad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092CBF32-7F29-4AEF-8B1C-4F636560DC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1D04A9-45FA-43AB-ACA7-B45B7557C15F}">
  <ds:schemaRefs>
    <ds:schemaRef ds:uri="http://schemas.microsoft.com/sharepoint/v3/contenttype/forms"/>
  </ds:schemaRefs>
</ds:datastoreItem>
</file>

<file path=customXml/itemProps3.xml><?xml version="1.0" encoding="utf-8"?>
<ds:datastoreItem xmlns:ds="http://schemas.openxmlformats.org/officeDocument/2006/customXml" ds:itemID="{CF7BE27D-EABE-497E-85C3-99406F3F9607}">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6823</Words>
  <Characters>38893</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2026-04-01T20:28:00Z</dcterms:created>
  <dcterms:modified xsi:type="dcterms:W3CDTF">2026-04-01T20:28:00Z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b6fd41b0-b251-4a74-8e81-c4870cbea5e5</vt:lpwstr>
  </property>
  <property fmtid="{D5CDD505-2E9C-101B-9397-08002B2CF9AE}" pid="3" name="ContentTypeId">
    <vt:lpwstr>0x01010086E4C94D3791F742BF2CEB284273B86F</vt:lpwstr>
  </property>
</Properties>
</file>