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03A36692" w:rsidR="004A1148" w:rsidRPr="004A1148" w:rsidRDefault="00294466" w:rsidP="004A1148">
      <w:pPr>
        <w:rPr>
          <w:rFonts w:ascii="Arial" w:hAnsi="Arial" w:cs="Arial"/>
          <w:b/>
          <w:sz w:val="32"/>
          <w:szCs w:val="32"/>
        </w:rPr>
      </w:pPr>
      <w:r>
        <w:rPr>
          <w:rFonts w:ascii="Arial" w:hAnsi="Arial" w:cs="Arial"/>
          <w:b/>
          <w:sz w:val="32"/>
          <w:szCs w:val="32"/>
        </w:rPr>
        <w:t>Rhien Williams</w:t>
      </w:r>
      <w:bookmarkStart w:id="0" w:name="_GoBack"/>
      <w:bookmarkEnd w:id="0"/>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5D870C78"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22E9BD6F" w14:textId="77777777" w:rsidR="000F355F" w:rsidRPr="00705FE9" w:rsidRDefault="000F355F" w:rsidP="000F355F">
      <w:pPr>
        <w:rPr>
          <w:rFonts w:ascii="Arial" w:hAnsi="Arial" w:cs="Arial"/>
        </w:rPr>
      </w:pPr>
      <w:r w:rsidRPr="00705FE9">
        <w:rPr>
          <w:rFonts w:ascii="Arial" w:hAnsi="Arial" w:cs="Arial"/>
        </w:rPr>
        <w:t>This research report will be discussing the features of IPv6 (Internet Protocol version 6). It is clear that by looking through all the features, the report will be looking at features such as the header format of IPv6, as well as the address size.</w:t>
      </w:r>
      <w:r>
        <w:rPr>
          <w:rFonts w:ascii="Arial" w:hAnsi="Arial" w:cs="Arial"/>
        </w:rPr>
        <w:t xml:space="preserve"> [1]</w:t>
      </w:r>
      <w:r w:rsidRPr="00705FE9">
        <w:rPr>
          <w:rFonts w:ascii="Arial" w:hAnsi="Arial" w:cs="Arial"/>
        </w:rPr>
        <w:t xml:space="preserve"> Furthermore, it will be discussing the IPv6 routing and addressing structure in order to show how this is different to the IPv4.</w:t>
      </w:r>
      <w:r>
        <w:rPr>
          <w:rFonts w:ascii="Arial" w:hAnsi="Arial" w:cs="Arial"/>
        </w:rPr>
        <w:t>[1]</w:t>
      </w:r>
      <w:r w:rsidRPr="00705FE9">
        <w:rPr>
          <w:rFonts w:ascii="Arial" w:hAnsi="Arial" w:cs="Arial"/>
        </w:rPr>
        <w:t xml:space="preserve"> This report shall also address the security, interaction and extensibility features of the IPv6. The IPv6 was developed back in the late 1990s because, as Guy Davies quotes, “the constraints of IPv4 were too great to support the ballooning demand from Internetworked services”, this caused the IPv6 to be developed and it helped create massive amounts of additional address space and alleviate the problems that were caused by IPv4.</w:t>
      </w:r>
      <w:r>
        <w:rPr>
          <w:rFonts w:ascii="Arial" w:hAnsi="Arial" w:cs="Arial"/>
        </w:rPr>
        <w:t>[1]</w:t>
      </w:r>
    </w:p>
    <w:p w14:paraId="7C150FF5" w14:textId="77777777" w:rsidR="000F355F" w:rsidRPr="00705FE9" w:rsidRDefault="000F355F" w:rsidP="000F355F">
      <w:pPr>
        <w:ind w:firstLine="720"/>
        <w:rPr>
          <w:rFonts w:ascii="Arial" w:hAnsi="Arial" w:cs="Arial"/>
        </w:rPr>
      </w:pPr>
      <w:r w:rsidRPr="00705FE9">
        <w:rPr>
          <w:rFonts w:ascii="Arial" w:hAnsi="Arial" w:cs="Arial"/>
        </w:rPr>
        <w:t>One of the first features that will be looked at is the Header Format, compared to the IPv4 the IPv6 has a “simpler and more extensible header structure”.</w:t>
      </w:r>
      <w:r>
        <w:rPr>
          <w:rFonts w:ascii="Arial" w:hAnsi="Arial" w:cs="Arial"/>
        </w:rPr>
        <w:t>[1]</w:t>
      </w:r>
      <w:r w:rsidRPr="00705FE9">
        <w:rPr>
          <w:rFonts w:ascii="Arial" w:hAnsi="Arial" w:cs="Arial"/>
        </w:rPr>
        <w:t xml:space="preserve"> The IPv6 headers only has 8 different fields and consist mandatory 40 octets.</w:t>
      </w:r>
      <w:r>
        <w:rPr>
          <w:rFonts w:ascii="Arial" w:hAnsi="Arial" w:cs="Arial"/>
        </w:rPr>
        <w:t>[2]</w:t>
      </w:r>
      <w:r w:rsidRPr="00705FE9">
        <w:rPr>
          <w:rFonts w:ascii="Arial" w:hAnsi="Arial" w:cs="Arial"/>
        </w:rPr>
        <w:t xml:space="preserve"> When this is compared to the IPv4s headers which have 13 different fields and varies between 20 to 60 octets which is dependent on the padding fields.</w:t>
      </w:r>
    </w:p>
    <w:p w14:paraId="4F121287" w14:textId="77777777" w:rsidR="000F355F" w:rsidRPr="00705FE9" w:rsidRDefault="000F355F" w:rsidP="000F355F">
      <w:pPr>
        <w:ind w:firstLine="720"/>
        <w:rPr>
          <w:rFonts w:ascii="Arial" w:hAnsi="Arial" w:cs="Arial"/>
          <w:color w:val="222222"/>
          <w:shd w:val="clear" w:color="auto" w:fill="FFFFFF"/>
        </w:rPr>
      </w:pPr>
      <w:r w:rsidRPr="00705FE9">
        <w:rPr>
          <w:rFonts w:ascii="Arial" w:hAnsi="Arial" w:cs="Arial"/>
        </w:rPr>
        <w:t>Secondly, the size of the IPv6 address space is far larger than the IPv4. For instance, the IPv6 size is 128-bits (2</w:t>
      </w:r>
      <w:r w:rsidRPr="00705FE9">
        <w:rPr>
          <w:rFonts w:ascii="Arial" w:hAnsi="Arial" w:cs="Arial"/>
          <w:vertAlign w:val="superscript"/>
        </w:rPr>
        <w:t>128</w:t>
      </w:r>
      <w:r w:rsidRPr="00705FE9">
        <w:rPr>
          <w:rFonts w:ascii="Arial" w:hAnsi="Arial" w:cs="Arial"/>
        </w:rPr>
        <w:t xml:space="preserve">) or alternatively </w:t>
      </w:r>
      <w:r w:rsidRPr="00705FE9">
        <w:rPr>
          <w:rFonts w:ascii="Arial" w:hAnsi="Arial" w:cs="Arial"/>
          <w:color w:val="222222"/>
          <w:shd w:val="clear" w:color="auto" w:fill="FFFFFF"/>
        </w:rPr>
        <w:t>340,282,366,920,938,463,463,374,607,431,768,211,456 new addresses.</w:t>
      </w:r>
      <w:r>
        <w:rPr>
          <w:rFonts w:ascii="Arial" w:hAnsi="Arial" w:cs="Arial"/>
          <w:color w:val="222222"/>
          <w:shd w:val="clear" w:color="auto" w:fill="FFFFFF"/>
        </w:rPr>
        <w:t>[3]</w:t>
      </w:r>
      <w:r w:rsidRPr="00705FE9">
        <w:rPr>
          <w:rFonts w:ascii="Arial" w:hAnsi="Arial" w:cs="Arial"/>
          <w:color w:val="222222"/>
          <w:shd w:val="clear" w:color="auto" w:fill="FFFFFF"/>
        </w:rPr>
        <w:t xml:space="preserve">  To make a comparison, the IPv4 address size was 32-bits (2</w:t>
      </w:r>
      <w:r w:rsidRPr="00705FE9">
        <w:rPr>
          <w:rFonts w:ascii="Arial" w:hAnsi="Arial" w:cs="Arial"/>
          <w:color w:val="222222"/>
          <w:shd w:val="clear" w:color="auto" w:fill="FFFFFF"/>
          <w:vertAlign w:val="superscript"/>
        </w:rPr>
        <w:t>32</w:t>
      </w:r>
      <w:r w:rsidRPr="00705FE9">
        <w:rPr>
          <w:rFonts w:ascii="Arial" w:hAnsi="Arial" w:cs="Arial"/>
          <w:color w:val="222222"/>
          <w:shd w:val="clear" w:color="auto" w:fill="FFFFFF"/>
        </w:rPr>
        <w:t>) or 4,294,967,296 addresses which is why the IPv4 was upgraded to an IPv6.</w:t>
      </w:r>
      <w:r>
        <w:rPr>
          <w:rFonts w:ascii="Arial" w:hAnsi="Arial" w:cs="Arial"/>
          <w:color w:val="222222"/>
          <w:shd w:val="clear" w:color="auto" w:fill="FFFFFF"/>
        </w:rPr>
        <w:t>[1]</w:t>
      </w:r>
      <w:r w:rsidRPr="00705FE9">
        <w:rPr>
          <w:rFonts w:ascii="Arial" w:hAnsi="Arial" w:cs="Arial"/>
          <w:color w:val="222222"/>
          <w:shd w:val="clear" w:color="auto" w:fill="FFFFFF"/>
        </w:rPr>
        <w:t xml:space="preserve"> Due to the massive address space there is a significant barrier for attackers that try to conduct port scanning.</w:t>
      </w:r>
      <w:r>
        <w:rPr>
          <w:rFonts w:ascii="Arial" w:hAnsi="Arial" w:cs="Arial"/>
          <w:color w:val="222222"/>
          <w:shd w:val="clear" w:color="auto" w:fill="FFFFFF"/>
        </w:rPr>
        <w:t>[1]</w:t>
      </w:r>
      <w:r w:rsidRPr="00705FE9">
        <w:rPr>
          <w:rFonts w:ascii="Arial" w:hAnsi="Arial" w:cs="Arial"/>
          <w:color w:val="222222"/>
          <w:shd w:val="clear" w:color="auto" w:fill="FFFFFF"/>
        </w:rPr>
        <w:t xml:space="preserve"> All of the 3 main classes of address are located in IPv6 however unlike the IPv4 which has unicast, multicast and broadcast the IPv6 Broadcast is considered to be a special kind of multicast which is a group that all the hosts belong to.</w:t>
      </w:r>
      <w:r>
        <w:rPr>
          <w:rFonts w:ascii="Arial" w:hAnsi="Arial" w:cs="Arial"/>
          <w:color w:val="222222"/>
          <w:shd w:val="clear" w:color="auto" w:fill="FFFFFF"/>
        </w:rPr>
        <w:t>[1]</w:t>
      </w:r>
    </w:p>
    <w:p w14:paraId="035DADDF" w14:textId="77777777" w:rsidR="000F355F" w:rsidRPr="00705FE9" w:rsidRDefault="000F355F" w:rsidP="000F355F">
      <w:pPr>
        <w:rPr>
          <w:rFonts w:ascii="Arial" w:hAnsi="Arial" w:cs="Arial"/>
          <w:color w:val="222222"/>
          <w:shd w:val="clear" w:color="auto" w:fill="FFFFFF"/>
        </w:rPr>
      </w:pPr>
      <w:r w:rsidRPr="00705FE9">
        <w:rPr>
          <w:rFonts w:ascii="Arial" w:hAnsi="Arial" w:cs="Arial"/>
          <w:color w:val="222222"/>
          <w:shd w:val="clear" w:color="auto" w:fill="FFFFFF"/>
        </w:rPr>
        <w:t xml:space="preserve"> Furthermore, another feature of IPv6 is that is has created more routing infrastructure which allows more routes to be created.</w:t>
      </w:r>
      <w:r>
        <w:rPr>
          <w:rFonts w:ascii="Arial" w:hAnsi="Arial" w:cs="Arial"/>
          <w:color w:val="222222"/>
          <w:shd w:val="clear" w:color="auto" w:fill="FFFFFF"/>
        </w:rPr>
        <w:t>[1]</w:t>
      </w:r>
      <w:r w:rsidRPr="00705FE9">
        <w:rPr>
          <w:rFonts w:ascii="Arial" w:hAnsi="Arial" w:cs="Arial"/>
          <w:color w:val="222222"/>
          <w:shd w:val="clear" w:color="auto" w:fill="FFFFFF"/>
        </w:rPr>
        <w:t xml:space="preserve"> This is evident through there being 2128 address per group address.</w:t>
      </w:r>
      <w:r>
        <w:rPr>
          <w:rFonts w:ascii="Arial" w:hAnsi="Arial" w:cs="Arial"/>
          <w:color w:val="222222"/>
          <w:shd w:val="clear" w:color="auto" w:fill="FFFFFF"/>
        </w:rPr>
        <w:t>[3]</w:t>
      </w:r>
      <w:r w:rsidRPr="00705FE9">
        <w:rPr>
          <w:rFonts w:ascii="Arial" w:hAnsi="Arial" w:cs="Arial"/>
          <w:color w:val="222222"/>
          <w:shd w:val="clear" w:color="auto" w:fill="FFFFFF"/>
        </w:rPr>
        <w:t xml:space="preserve"> It is later noted that IPv6 Packet fragmentation and reassembly are performed by source and destination nodes respectively.</w:t>
      </w:r>
      <w:r>
        <w:rPr>
          <w:rFonts w:ascii="Arial" w:hAnsi="Arial" w:cs="Arial"/>
          <w:color w:val="222222"/>
          <w:shd w:val="clear" w:color="auto" w:fill="FFFFFF"/>
        </w:rPr>
        <w:t>[3]</w:t>
      </w:r>
      <w:r w:rsidRPr="00705FE9">
        <w:rPr>
          <w:rFonts w:ascii="Arial" w:hAnsi="Arial" w:cs="Arial"/>
          <w:color w:val="222222"/>
          <w:shd w:val="clear" w:color="auto" w:fill="FFFFFF"/>
        </w:rPr>
        <w:t xml:space="preserve"> The packet processing speeds, in the IPv6 protocol, increase in intermediate routes and header format simplification which helps decrease the bandwidth cost, meaning it is cheaper to run compared to the IPv4.</w:t>
      </w:r>
      <w:r>
        <w:rPr>
          <w:rFonts w:ascii="Arial" w:hAnsi="Arial" w:cs="Arial"/>
          <w:color w:val="222222"/>
          <w:shd w:val="clear" w:color="auto" w:fill="FFFFFF"/>
        </w:rPr>
        <w:t>[3]</w:t>
      </w:r>
    </w:p>
    <w:p w14:paraId="3BE3FBE9" w14:textId="77777777" w:rsidR="000F355F" w:rsidRPr="00705FE9" w:rsidRDefault="000F355F" w:rsidP="000F355F">
      <w:pPr>
        <w:rPr>
          <w:rFonts w:ascii="Arial" w:hAnsi="Arial" w:cs="Arial"/>
          <w:color w:val="222222"/>
          <w:shd w:val="clear" w:color="auto" w:fill="FFFFFF"/>
        </w:rPr>
      </w:pPr>
      <w:r w:rsidRPr="00705FE9">
        <w:rPr>
          <w:rFonts w:ascii="Arial" w:hAnsi="Arial" w:cs="Arial"/>
          <w:color w:val="222222"/>
          <w:shd w:val="clear" w:color="auto" w:fill="FFFFFF"/>
        </w:rPr>
        <w:t>Despite, both the IPv4 and IPv6 having stateless and stateful addresses, it is considered that the IPv6 provides far more potential benefits over the IPv4. A stateless address refers to the fact that it has no need for a server to maintain any state with respect to the available networks or the range of valid host addresses.</w:t>
      </w:r>
      <w:r>
        <w:rPr>
          <w:rFonts w:ascii="Arial" w:hAnsi="Arial" w:cs="Arial"/>
          <w:color w:val="222222"/>
          <w:shd w:val="clear" w:color="auto" w:fill="FFFFFF"/>
        </w:rPr>
        <w:t>[3]</w:t>
      </w:r>
      <w:r w:rsidRPr="00705FE9">
        <w:rPr>
          <w:rFonts w:ascii="Arial" w:hAnsi="Arial" w:cs="Arial"/>
          <w:color w:val="222222"/>
          <w:shd w:val="clear" w:color="auto" w:fill="FFFFFF"/>
        </w:rPr>
        <w:t xml:space="preserve"> The interface address is instead derived from the information already held by the interface (e.g. the MAC address) and the network prefix announced by on-net routers in their router advertisement.</w:t>
      </w:r>
      <w:r>
        <w:rPr>
          <w:rFonts w:ascii="Arial" w:hAnsi="Arial" w:cs="Arial"/>
          <w:color w:val="222222"/>
          <w:shd w:val="clear" w:color="auto" w:fill="FFFFFF"/>
        </w:rPr>
        <w:t>[3]</w:t>
      </w:r>
    </w:p>
    <w:p w14:paraId="3443E074" w14:textId="77777777" w:rsidR="000F355F" w:rsidRPr="00705FE9" w:rsidRDefault="000F355F" w:rsidP="000F355F">
      <w:pPr>
        <w:rPr>
          <w:rFonts w:ascii="Arial" w:hAnsi="Arial" w:cs="Arial"/>
          <w:color w:val="222222"/>
          <w:shd w:val="clear" w:color="auto" w:fill="FFFFFF"/>
        </w:rPr>
      </w:pPr>
      <w:r w:rsidRPr="00705FE9">
        <w:rPr>
          <w:rFonts w:ascii="Arial" w:hAnsi="Arial" w:cs="Arial"/>
          <w:color w:val="222222"/>
          <w:shd w:val="clear" w:color="auto" w:fill="FFFFFF"/>
        </w:rPr>
        <w:t>Moreover, the IPv6 protocol has Authentication Headers (AH) and Encapsulating Security Payloads (ESP) that are standard heads in IPv6.</w:t>
      </w:r>
      <w:r>
        <w:rPr>
          <w:rFonts w:ascii="Arial" w:hAnsi="Arial" w:cs="Arial"/>
          <w:color w:val="222222"/>
          <w:shd w:val="clear" w:color="auto" w:fill="FFFFFF"/>
        </w:rPr>
        <w:t>[1]</w:t>
      </w:r>
      <w:r w:rsidRPr="00705FE9">
        <w:rPr>
          <w:rFonts w:ascii="Arial" w:hAnsi="Arial" w:cs="Arial"/>
          <w:color w:val="222222"/>
          <w:shd w:val="clear" w:color="auto" w:fill="FFFFFF"/>
        </w:rPr>
        <w:t xml:space="preserve"> Due to the size of the address space in IPv6 there is a “significant barrier” for attackers that try to conduct port scanning. </w:t>
      </w:r>
      <w:r>
        <w:rPr>
          <w:rFonts w:ascii="Arial" w:hAnsi="Arial" w:cs="Arial"/>
          <w:color w:val="222222"/>
          <w:shd w:val="clear" w:color="auto" w:fill="FFFFFF"/>
        </w:rPr>
        <w:t xml:space="preserve">[1] </w:t>
      </w:r>
      <w:r w:rsidRPr="00705FE9">
        <w:rPr>
          <w:rFonts w:ascii="Arial" w:hAnsi="Arial" w:cs="Arial"/>
          <w:color w:val="222222"/>
          <w:shd w:val="clear" w:color="auto" w:fill="FFFFFF"/>
        </w:rPr>
        <w:t>Apart from having larger IP address space the port scanning reconnaissance technique in IPv6 meaning that it is practically the same as the IPv4.</w:t>
      </w:r>
      <w:r>
        <w:rPr>
          <w:rFonts w:ascii="Arial" w:hAnsi="Arial" w:cs="Arial"/>
          <w:color w:val="222222"/>
          <w:shd w:val="clear" w:color="auto" w:fill="FFFFFF"/>
        </w:rPr>
        <w:t>[1]</w:t>
      </w:r>
      <w:r w:rsidRPr="00705FE9">
        <w:rPr>
          <w:rFonts w:ascii="Arial" w:hAnsi="Arial" w:cs="Arial"/>
          <w:color w:val="222222"/>
          <w:shd w:val="clear" w:color="auto" w:fill="FFFFFF"/>
        </w:rPr>
        <w:t xml:space="preserve"> Even though the IPv6 provides a significant barrier there are still attacks which the IPv6 can’t address such as </w:t>
      </w:r>
      <w:r>
        <w:rPr>
          <w:rFonts w:ascii="Arial" w:hAnsi="Arial" w:cs="Arial"/>
          <w:color w:val="222222"/>
          <w:shd w:val="clear" w:color="auto" w:fill="FFFFFF"/>
        </w:rPr>
        <w:t>“</w:t>
      </w:r>
      <w:r w:rsidRPr="00705FE9">
        <w:rPr>
          <w:rFonts w:ascii="Arial" w:hAnsi="Arial" w:cs="Arial"/>
          <w:color w:val="222222"/>
          <w:shd w:val="clear" w:color="auto" w:fill="FFFFFF"/>
        </w:rPr>
        <w:t>Application Layer Attacks which involves buffer overflow, viruses or malicious codes</w:t>
      </w:r>
      <w:r>
        <w:rPr>
          <w:rFonts w:ascii="Arial" w:hAnsi="Arial" w:cs="Arial"/>
          <w:color w:val="222222"/>
          <w:shd w:val="clear" w:color="auto" w:fill="FFFFFF"/>
        </w:rPr>
        <w:t>”</w:t>
      </w:r>
      <w:r w:rsidRPr="00705FE9">
        <w:rPr>
          <w:rFonts w:ascii="Arial" w:hAnsi="Arial" w:cs="Arial"/>
          <w:color w:val="222222"/>
          <w:shd w:val="clear" w:color="auto" w:fill="FFFFFF"/>
        </w:rPr>
        <w:t>.</w:t>
      </w:r>
      <w:r>
        <w:rPr>
          <w:rFonts w:ascii="Arial" w:hAnsi="Arial" w:cs="Arial"/>
          <w:color w:val="222222"/>
          <w:shd w:val="clear" w:color="auto" w:fill="FFFFFF"/>
        </w:rPr>
        <w:t>[4] “</w:t>
      </w:r>
      <w:r w:rsidRPr="00705FE9">
        <w:rPr>
          <w:rFonts w:ascii="Arial" w:hAnsi="Arial" w:cs="Arial"/>
          <w:color w:val="222222"/>
          <w:shd w:val="clear" w:color="auto" w:fill="FFFFFF"/>
        </w:rPr>
        <w:t>Brute-force attacks and password guessing attacks on authentication modules</w:t>
      </w:r>
      <w:r>
        <w:rPr>
          <w:rFonts w:ascii="Arial" w:hAnsi="Arial" w:cs="Arial"/>
          <w:color w:val="222222"/>
          <w:shd w:val="clear" w:color="auto" w:fill="FFFFFF"/>
        </w:rPr>
        <w:t>”</w:t>
      </w:r>
      <w:r w:rsidRPr="00705FE9">
        <w:rPr>
          <w:rFonts w:ascii="Arial" w:hAnsi="Arial" w:cs="Arial"/>
          <w:color w:val="222222"/>
          <w:shd w:val="clear" w:color="auto" w:fill="FFFFFF"/>
        </w:rPr>
        <w:t>.</w:t>
      </w:r>
      <w:r>
        <w:rPr>
          <w:rFonts w:ascii="Arial" w:hAnsi="Arial" w:cs="Arial"/>
          <w:color w:val="222222"/>
          <w:shd w:val="clear" w:color="auto" w:fill="FFFFFF"/>
        </w:rPr>
        <w:t>[4]</w:t>
      </w:r>
      <w:r w:rsidRPr="00705FE9">
        <w:rPr>
          <w:rFonts w:ascii="Arial" w:hAnsi="Arial" w:cs="Arial"/>
          <w:color w:val="222222"/>
          <w:shd w:val="clear" w:color="auto" w:fill="FFFFFF"/>
        </w:rPr>
        <w:t xml:space="preserve"> Rogue devices which has been introduced into the network that aren’t authorised, devices can include a single pc, router, DNS server etc.</w:t>
      </w:r>
      <w:r>
        <w:rPr>
          <w:rFonts w:ascii="Arial" w:hAnsi="Arial" w:cs="Arial"/>
          <w:color w:val="222222"/>
          <w:shd w:val="clear" w:color="auto" w:fill="FFFFFF"/>
        </w:rPr>
        <w:t>[4]</w:t>
      </w:r>
      <w:r w:rsidRPr="00705FE9">
        <w:rPr>
          <w:rFonts w:ascii="Arial" w:hAnsi="Arial" w:cs="Arial"/>
          <w:color w:val="222222"/>
          <w:shd w:val="clear" w:color="auto" w:fill="FFFFFF"/>
        </w:rPr>
        <w:t xml:space="preserve"> There are also still problems with Denial of Service with IPv6.</w:t>
      </w:r>
      <w:r>
        <w:rPr>
          <w:rFonts w:ascii="Arial" w:hAnsi="Arial" w:cs="Arial"/>
          <w:color w:val="222222"/>
          <w:shd w:val="clear" w:color="auto" w:fill="FFFFFF"/>
        </w:rPr>
        <w:t>[4]</w:t>
      </w:r>
      <w:r w:rsidRPr="00705FE9">
        <w:rPr>
          <w:rFonts w:ascii="Arial" w:hAnsi="Arial" w:cs="Arial"/>
          <w:color w:val="222222"/>
          <w:shd w:val="clear" w:color="auto" w:fill="FFFFFF"/>
        </w:rPr>
        <w:t xml:space="preserve"> Finally, due to the modern era of Social Media there are attacks in the form of email spamming, phishing etc.</w:t>
      </w:r>
      <w:r>
        <w:rPr>
          <w:rFonts w:ascii="Arial" w:hAnsi="Arial" w:cs="Arial"/>
          <w:color w:val="222222"/>
          <w:shd w:val="clear" w:color="auto" w:fill="FFFFFF"/>
        </w:rPr>
        <w:t>[4]</w:t>
      </w:r>
    </w:p>
    <w:p w14:paraId="2B068E92" w14:textId="334FDE16" w:rsidR="000F355F" w:rsidRDefault="000F355F" w:rsidP="000F355F">
      <w:pPr>
        <w:jc w:val="both"/>
        <w:rPr>
          <w:rFonts w:ascii="Arial" w:hAnsi="Arial" w:cs="Arial"/>
          <w:color w:val="222222"/>
          <w:shd w:val="clear" w:color="auto" w:fill="FFFFFF"/>
        </w:rPr>
      </w:pPr>
      <w:r>
        <w:rPr>
          <w:rFonts w:ascii="Arial" w:hAnsi="Arial" w:cs="Arial"/>
          <w:color w:val="222222"/>
          <w:shd w:val="clear" w:color="auto" w:fill="FFFFFF"/>
        </w:rPr>
        <w:tab/>
        <w:t xml:space="preserve">Finally, another key feature of the IPv6 networking feature is its ‘new protocol for neighbouring node interaction’. [5] For example, when using IPv4, the networking addressing was ‘handled by the Address Resolution protocol (ARP)’.[5] Whereas for IPv6 it is connected through the internet control messages, which allow for diagnostic and error message to be sent directly to the user. [5] The two messages that are used by IPv6 is the ‘Neighbour Solicitation (type 135) and Neighbour Advertisement (type 136)’. [5] As previously stated, </w:t>
      </w:r>
      <w:r>
        <w:rPr>
          <w:rFonts w:ascii="Arial" w:hAnsi="Arial" w:cs="Arial"/>
          <w:color w:val="222222"/>
          <w:shd w:val="clear" w:color="auto" w:fill="FFFFFF"/>
        </w:rPr>
        <w:lastRenderedPageBreak/>
        <w:t>this allows the user to directly to address the issues and to suggest and build on a multicast layer which another neighbour.  Guy Davis describes this as allowing the host of the IPv6 to be able to link their own networks with that of a neighbour using the multicast function.[1] It is further suggested that if the neighbour is online they are able to link these ideas up with the host, they are able to create a link layer address. [5] Through using these ideas it is instrumental that the IPv6 is a more reliable and secure networking system to comparing to that of the IPv4.[5] For instance, it allows the user to use the multicast user to connect directly to that of a neighbour. [5]</w:t>
      </w:r>
    </w:p>
    <w:p w14:paraId="35983501" w14:textId="77777777" w:rsidR="000F355F" w:rsidRDefault="000F355F" w:rsidP="000F355F">
      <w:pPr>
        <w:jc w:val="both"/>
        <w:rPr>
          <w:rFonts w:ascii="Arial" w:hAnsi="Arial" w:cs="Arial"/>
          <w:color w:val="222222"/>
          <w:shd w:val="clear" w:color="auto" w:fill="FFFFFF"/>
        </w:rPr>
      </w:pPr>
      <w:r>
        <w:rPr>
          <w:rFonts w:ascii="Arial" w:hAnsi="Arial" w:cs="Arial"/>
          <w:color w:val="222222"/>
          <w:shd w:val="clear" w:color="auto" w:fill="FFFFFF"/>
        </w:rPr>
        <w:tab/>
        <w:t xml:space="preserve">To conclude, there are a number of features of IPv6 which allow it to be considered to be more reliable and up to date compared of the IPv4. For instance, through there being more addresses created through IPv6 it has allowed more users to interact through the multicast system.[4] The bigger routing infrastructure allows for more to be addressed to be created and thus more support given to users and hosts. [2] The difference in header structure should also be considered when discussing the features of IpV6, with it ‘providing a simpler and more extensible header structure’. [3] However, the one of the main features of the IPv6 is the security of it, which allows for it to be one of the safest opinions that individuals to be used and prevent individuals from hacking and infiltrating the system. [1] </w:t>
      </w:r>
    </w:p>
    <w:p w14:paraId="20F6460A" w14:textId="77777777" w:rsidR="000F355F" w:rsidRPr="00C319EB" w:rsidRDefault="000F355F" w:rsidP="00C319EB">
      <w:pPr>
        <w:rPr>
          <w:rFonts w:ascii="Arial" w:hAnsi="Arial" w:cs="Arial"/>
          <w:sz w:val="22"/>
          <w:lang w:val="en-US" w:eastAsia="en-US"/>
        </w:rPr>
      </w:pP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51DDB8">
            <wp:simplePos x="0" y="0"/>
            <wp:positionH relativeFrom="column">
              <wp:posOffset>180340</wp:posOffset>
            </wp:positionH>
            <wp:positionV relativeFrom="paragraph">
              <wp:posOffset>109220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2F20DFE7" w14:textId="19E7156A" w:rsidR="004A7D3D" w:rsidRPr="005751AD" w:rsidRDefault="004A7D3D" w:rsidP="005751AD">
      <w:pPr>
        <w:ind w:left="284"/>
        <w:rPr>
          <w:rFonts w:ascii="Arial" w:hAnsi="Arial" w:cs="Arial"/>
          <w:b/>
          <w:sz w:val="24"/>
          <w:u w:val="single"/>
        </w:rPr>
        <w:sectPr w:rsidR="004A7D3D" w:rsidRPr="005751AD" w:rsidSect="00B943CE">
          <w:footerReference w:type="default" r:id="rId10"/>
          <w:pgSz w:w="11894" w:h="16834"/>
          <w:pgMar w:top="993" w:right="695" w:bottom="1418" w:left="1418" w:header="709" w:footer="709" w:gutter="0"/>
          <w:paperSrc w:first="1" w:other="1"/>
          <w:cols w:space="720"/>
        </w:sect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r w:rsidR="00AE6F96">
        <w:rPr>
          <w:rFonts w:cs="Arial"/>
        </w:rPr>
        <w:t xml:space="preserve"> </w:t>
      </w:r>
    </w:p>
    <w:p w14:paraId="15F42AE9" w14:textId="0038B0E6"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005751AD">
        <w:rPr>
          <w:rFonts w:ascii="Arial" w:hAnsi="Arial" w:cs="Arial"/>
          <w:b/>
          <w:i w:val="0"/>
          <w:color w:val="FF0000"/>
          <w:sz w:val="28"/>
        </w:rPr>
        <w:t>1</w:t>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0F355F" w:rsidRPr="004A1148" w14:paraId="166CE3E7" w14:textId="77777777" w:rsidTr="005554AB">
        <w:trPr>
          <w:cantSplit/>
          <w:trHeight w:val="510"/>
          <w:jc w:val="center"/>
        </w:trPr>
        <w:tc>
          <w:tcPr>
            <w:tcW w:w="1412" w:type="dxa"/>
            <w:vAlign w:val="bottom"/>
          </w:tcPr>
          <w:p w14:paraId="2C3618AC" w14:textId="279EDE58" w:rsidR="000F355F" w:rsidRPr="004A1148" w:rsidRDefault="000F355F" w:rsidP="000F355F">
            <w:pPr>
              <w:pStyle w:val="TableText"/>
              <w:ind w:left="284"/>
              <w:rPr>
                <w:rFonts w:cs="Arial"/>
              </w:rPr>
            </w:pPr>
            <w:r w:rsidRPr="00D71F19">
              <w:rPr>
                <w:rFonts w:cs="Arial"/>
              </w:rPr>
              <w:t>B</w:t>
            </w:r>
          </w:p>
        </w:tc>
        <w:tc>
          <w:tcPr>
            <w:tcW w:w="2561" w:type="dxa"/>
            <w:vAlign w:val="bottom"/>
          </w:tcPr>
          <w:p w14:paraId="325D5AA6" w14:textId="5554EF81" w:rsidR="000F355F" w:rsidRPr="004A1148" w:rsidRDefault="000F355F" w:rsidP="000F355F">
            <w:pPr>
              <w:pStyle w:val="TableText"/>
              <w:rPr>
                <w:rFonts w:cs="Arial"/>
              </w:rPr>
            </w:pPr>
            <w:r w:rsidRPr="00D71F19">
              <w:rPr>
                <w:rFonts w:cs="Arial"/>
              </w:rPr>
              <w:t>172.16.0.0</w:t>
            </w:r>
          </w:p>
        </w:tc>
        <w:tc>
          <w:tcPr>
            <w:tcW w:w="2552" w:type="dxa"/>
          </w:tcPr>
          <w:p w14:paraId="64D79944" w14:textId="433C37A3" w:rsidR="000F355F" w:rsidRPr="004A1148" w:rsidRDefault="000F355F" w:rsidP="000F355F">
            <w:pPr>
              <w:pStyle w:val="TableText"/>
              <w:rPr>
                <w:rFonts w:cs="Arial"/>
              </w:rPr>
            </w:pPr>
            <w:r w:rsidRPr="00D71F19">
              <w:rPr>
                <w:rFonts w:cs="Arial"/>
              </w:rPr>
              <w:t>255.255.248.0</w:t>
            </w:r>
          </w:p>
        </w:tc>
        <w:tc>
          <w:tcPr>
            <w:tcW w:w="2724" w:type="dxa"/>
            <w:vAlign w:val="bottom"/>
          </w:tcPr>
          <w:p w14:paraId="426B55D1" w14:textId="4A02ADDE" w:rsidR="000F355F" w:rsidRPr="004A1148" w:rsidRDefault="000F355F" w:rsidP="000F355F">
            <w:pPr>
              <w:pStyle w:val="TableText"/>
              <w:rPr>
                <w:rFonts w:cs="Arial"/>
              </w:rPr>
            </w:pPr>
            <w:r w:rsidRPr="00D71F19">
              <w:rPr>
                <w:rFonts w:cs="Arial"/>
              </w:rPr>
              <w:t>172.16.</w:t>
            </w:r>
            <w:r>
              <w:rPr>
                <w:rFonts w:cs="Arial"/>
              </w:rPr>
              <w:t>2</w:t>
            </w:r>
            <w:r w:rsidRPr="00D71F19">
              <w:rPr>
                <w:rFonts w:cs="Arial"/>
              </w:rPr>
              <w:t>.1</w:t>
            </w:r>
          </w:p>
        </w:tc>
        <w:tc>
          <w:tcPr>
            <w:tcW w:w="2922" w:type="dxa"/>
            <w:vAlign w:val="bottom"/>
          </w:tcPr>
          <w:p w14:paraId="2AC7FFA7" w14:textId="7C04C9A1" w:rsidR="000F355F" w:rsidRPr="004A1148" w:rsidRDefault="000F355F" w:rsidP="000F355F">
            <w:pPr>
              <w:pStyle w:val="TableText"/>
              <w:rPr>
                <w:rFonts w:cs="Arial"/>
              </w:rPr>
            </w:pPr>
            <w:r w:rsidRPr="00D71F19">
              <w:rPr>
                <w:rFonts w:cs="Arial"/>
              </w:rPr>
              <w:t>172.16.</w:t>
            </w:r>
            <w:r>
              <w:rPr>
                <w:rFonts w:cs="Arial"/>
              </w:rPr>
              <w:t>9</w:t>
            </w:r>
            <w:r w:rsidRPr="00D71F19">
              <w:rPr>
                <w:rFonts w:cs="Arial"/>
              </w:rPr>
              <w:t>.254</w:t>
            </w:r>
          </w:p>
        </w:tc>
        <w:tc>
          <w:tcPr>
            <w:tcW w:w="2905" w:type="dxa"/>
            <w:vAlign w:val="bottom"/>
          </w:tcPr>
          <w:p w14:paraId="55A78382" w14:textId="5B22F6AF" w:rsidR="000F355F" w:rsidRPr="004A1148" w:rsidRDefault="000F355F" w:rsidP="000F355F">
            <w:pPr>
              <w:pStyle w:val="TableText"/>
              <w:ind w:left="284"/>
              <w:rPr>
                <w:rFonts w:cs="Arial"/>
              </w:rPr>
            </w:pPr>
            <w:r w:rsidRPr="00D71F19">
              <w:rPr>
                <w:rFonts w:cs="Arial"/>
              </w:rPr>
              <w:t>172.16.</w:t>
            </w:r>
            <w:r>
              <w:rPr>
                <w:rFonts w:cs="Arial"/>
              </w:rPr>
              <w:t>9</w:t>
            </w:r>
            <w:r w:rsidRPr="00D71F19">
              <w:rPr>
                <w:rFonts w:cs="Arial"/>
              </w:rPr>
              <w:t>.255</w:t>
            </w:r>
          </w:p>
        </w:tc>
      </w:tr>
      <w:tr w:rsidR="000F355F" w:rsidRPr="004A1148" w14:paraId="25431512" w14:textId="77777777" w:rsidTr="005554AB">
        <w:trPr>
          <w:cantSplit/>
          <w:trHeight w:val="510"/>
          <w:jc w:val="center"/>
        </w:trPr>
        <w:tc>
          <w:tcPr>
            <w:tcW w:w="1412" w:type="dxa"/>
            <w:vAlign w:val="bottom"/>
          </w:tcPr>
          <w:p w14:paraId="6A6FC7F1" w14:textId="2CB626BE" w:rsidR="000F355F" w:rsidRPr="004A1148" w:rsidRDefault="000F355F" w:rsidP="000F355F">
            <w:pPr>
              <w:pStyle w:val="TableText"/>
              <w:ind w:left="284"/>
              <w:rPr>
                <w:rFonts w:cs="Arial"/>
              </w:rPr>
            </w:pPr>
            <w:r w:rsidRPr="00D71F19">
              <w:rPr>
                <w:rFonts w:cs="Arial"/>
              </w:rPr>
              <w:t>D</w:t>
            </w:r>
          </w:p>
        </w:tc>
        <w:tc>
          <w:tcPr>
            <w:tcW w:w="2561" w:type="dxa"/>
            <w:vAlign w:val="bottom"/>
          </w:tcPr>
          <w:p w14:paraId="5D565D23" w14:textId="082CC9F5" w:rsidR="000F355F" w:rsidRPr="004A1148" w:rsidRDefault="000F355F" w:rsidP="000F355F">
            <w:pPr>
              <w:pStyle w:val="TableText"/>
              <w:rPr>
                <w:rFonts w:cs="Arial"/>
              </w:rPr>
            </w:pPr>
            <w:r w:rsidRPr="00D71F19">
              <w:rPr>
                <w:rFonts w:cs="Arial"/>
              </w:rPr>
              <w:t>172.16.</w:t>
            </w:r>
            <w:r>
              <w:rPr>
                <w:rFonts w:cs="Arial"/>
              </w:rPr>
              <w:t>10</w:t>
            </w:r>
            <w:r w:rsidRPr="00D71F19">
              <w:rPr>
                <w:rFonts w:cs="Arial"/>
              </w:rPr>
              <w:t>.0</w:t>
            </w:r>
          </w:p>
        </w:tc>
        <w:tc>
          <w:tcPr>
            <w:tcW w:w="2552" w:type="dxa"/>
          </w:tcPr>
          <w:p w14:paraId="5E77A652" w14:textId="41F38F29" w:rsidR="000F355F" w:rsidRPr="004A1148" w:rsidRDefault="000F355F" w:rsidP="000F355F">
            <w:pPr>
              <w:pStyle w:val="TableText"/>
              <w:rPr>
                <w:rFonts w:cs="Arial"/>
              </w:rPr>
            </w:pPr>
            <w:r w:rsidRPr="00D71F19">
              <w:rPr>
                <w:rFonts w:cs="Arial"/>
              </w:rPr>
              <w:t>255.255.254.0</w:t>
            </w:r>
          </w:p>
        </w:tc>
        <w:tc>
          <w:tcPr>
            <w:tcW w:w="2724" w:type="dxa"/>
            <w:vAlign w:val="bottom"/>
          </w:tcPr>
          <w:p w14:paraId="553FF9D4" w14:textId="0D0D2569" w:rsidR="000F355F" w:rsidRPr="004A1148" w:rsidRDefault="000F355F" w:rsidP="000F355F">
            <w:pPr>
              <w:pStyle w:val="TableText"/>
              <w:rPr>
                <w:rFonts w:cs="Arial"/>
              </w:rPr>
            </w:pPr>
            <w:r w:rsidRPr="00D71F19">
              <w:rPr>
                <w:rFonts w:cs="Arial"/>
              </w:rPr>
              <w:t>172.16.</w:t>
            </w:r>
            <w:r>
              <w:rPr>
                <w:rFonts w:cs="Arial"/>
              </w:rPr>
              <w:t>10</w:t>
            </w:r>
            <w:r w:rsidRPr="00D71F19">
              <w:rPr>
                <w:rFonts w:cs="Arial"/>
              </w:rPr>
              <w:t>.1</w:t>
            </w:r>
          </w:p>
        </w:tc>
        <w:tc>
          <w:tcPr>
            <w:tcW w:w="2922" w:type="dxa"/>
            <w:vAlign w:val="bottom"/>
          </w:tcPr>
          <w:p w14:paraId="12602C5C" w14:textId="3DB54CFE" w:rsidR="000F355F" w:rsidRPr="004A1148" w:rsidRDefault="000F355F" w:rsidP="000F355F">
            <w:pPr>
              <w:pStyle w:val="TableText"/>
              <w:rPr>
                <w:rFonts w:cs="Arial"/>
              </w:rPr>
            </w:pPr>
            <w:r w:rsidRPr="00D71F19">
              <w:rPr>
                <w:rFonts w:cs="Arial"/>
              </w:rPr>
              <w:t>172.16.</w:t>
            </w:r>
            <w:r>
              <w:rPr>
                <w:rFonts w:cs="Arial"/>
              </w:rPr>
              <w:t>11</w:t>
            </w:r>
            <w:r w:rsidRPr="00D71F19">
              <w:rPr>
                <w:rFonts w:cs="Arial"/>
              </w:rPr>
              <w:t>.254</w:t>
            </w:r>
          </w:p>
        </w:tc>
        <w:tc>
          <w:tcPr>
            <w:tcW w:w="2905" w:type="dxa"/>
            <w:vAlign w:val="bottom"/>
          </w:tcPr>
          <w:p w14:paraId="0E927FF2" w14:textId="09F20D08" w:rsidR="000F355F" w:rsidRPr="004A1148" w:rsidRDefault="000F355F" w:rsidP="000F355F">
            <w:pPr>
              <w:pStyle w:val="TableText"/>
              <w:ind w:left="284"/>
              <w:rPr>
                <w:rFonts w:cs="Arial"/>
              </w:rPr>
            </w:pPr>
            <w:r w:rsidRPr="00D71F19">
              <w:rPr>
                <w:rFonts w:cs="Arial"/>
              </w:rPr>
              <w:t>172.16.</w:t>
            </w:r>
            <w:r>
              <w:rPr>
                <w:rFonts w:cs="Arial"/>
              </w:rPr>
              <w:t>11</w:t>
            </w:r>
            <w:r w:rsidRPr="00D71F19">
              <w:rPr>
                <w:rFonts w:cs="Arial"/>
              </w:rPr>
              <w:t>.255</w:t>
            </w:r>
          </w:p>
        </w:tc>
      </w:tr>
      <w:tr w:rsidR="000F355F" w:rsidRPr="004A1148" w14:paraId="1804910C" w14:textId="77777777" w:rsidTr="005554AB">
        <w:trPr>
          <w:cantSplit/>
          <w:trHeight w:val="510"/>
          <w:jc w:val="center"/>
        </w:trPr>
        <w:tc>
          <w:tcPr>
            <w:tcW w:w="1412" w:type="dxa"/>
            <w:vAlign w:val="bottom"/>
          </w:tcPr>
          <w:p w14:paraId="198C292F" w14:textId="3694F165" w:rsidR="000F355F" w:rsidRPr="004A1148" w:rsidRDefault="000F355F" w:rsidP="000F355F">
            <w:pPr>
              <w:pStyle w:val="TableText"/>
              <w:ind w:left="284"/>
              <w:rPr>
                <w:rFonts w:cs="Arial"/>
              </w:rPr>
            </w:pPr>
            <w:r w:rsidRPr="00D71F19">
              <w:rPr>
                <w:rFonts w:cs="Arial"/>
              </w:rPr>
              <w:t>F</w:t>
            </w:r>
          </w:p>
        </w:tc>
        <w:tc>
          <w:tcPr>
            <w:tcW w:w="2561" w:type="dxa"/>
            <w:vAlign w:val="bottom"/>
          </w:tcPr>
          <w:p w14:paraId="3114BB27" w14:textId="3792A61E" w:rsidR="000F355F" w:rsidRPr="004A1148" w:rsidRDefault="000F355F" w:rsidP="000F355F">
            <w:pPr>
              <w:pStyle w:val="TableText"/>
              <w:rPr>
                <w:rFonts w:cs="Arial"/>
              </w:rPr>
            </w:pPr>
            <w:r w:rsidRPr="00D71F19">
              <w:rPr>
                <w:rFonts w:cs="Arial"/>
              </w:rPr>
              <w:t>172.16.1</w:t>
            </w:r>
            <w:r>
              <w:rPr>
                <w:rFonts w:cs="Arial"/>
              </w:rPr>
              <w:t>2</w:t>
            </w:r>
            <w:r w:rsidRPr="00D71F19">
              <w:rPr>
                <w:rFonts w:cs="Arial"/>
              </w:rPr>
              <w:t>.0</w:t>
            </w:r>
          </w:p>
        </w:tc>
        <w:tc>
          <w:tcPr>
            <w:tcW w:w="2552" w:type="dxa"/>
          </w:tcPr>
          <w:p w14:paraId="0D8FD5C7" w14:textId="458BA312" w:rsidR="000F355F" w:rsidRPr="004A1148" w:rsidRDefault="000F355F" w:rsidP="000F355F">
            <w:pPr>
              <w:pStyle w:val="TableText"/>
              <w:rPr>
                <w:rFonts w:cs="Arial"/>
              </w:rPr>
            </w:pPr>
            <w:r w:rsidRPr="00D71F19">
              <w:rPr>
                <w:rFonts w:cs="Arial"/>
              </w:rPr>
              <w:t>255.255.255.0</w:t>
            </w:r>
          </w:p>
        </w:tc>
        <w:tc>
          <w:tcPr>
            <w:tcW w:w="2724" w:type="dxa"/>
            <w:vAlign w:val="bottom"/>
          </w:tcPr>
          <w:p w14:paraId="035CA129" w14:textId="0F4F1D39" w:rsidR="000F355F" w:rsidRPr="004A1148" w:rsidRDefault="000F355F" w:rsidP="000F355F">
            <w:pPr>
              <w:pStyle w:val="TableText"/>
              <w:rPr>
                <w:rFonts w:cs="Arial"/>
              </w:rPr>
            </w:pPr>
            <w:r w:rsidRPr="00D71F19">
              <w:rPr>
                <w:rFonts w:cs="Arial"/>
              </w:rPr>
              <w:t>172.16.1</w:t>
            </w:r>
            <w:r>
              <w:rPr>
                <w:rFonts w:cs="Arial"/>
              </w:rPr>
              <w:t>2</w:t>
            </w:r>
            <w:r w:rsidRPr="00D71F19">
              <w:rPr>
                <w:rFonts w:cs="Arial"/>
              </w:rPr>
              <w:t>.1</w:t>
            </w:r>
          </w:p>
        </w:tc>
        <w:tc>
          <w:tcPr>
            <w:tcW w:w="2922" w:type="dxa"/>
            <w:vAlign w:val="bottom"/>
          </w:tcPr>
          <w:p w14:paraId="139F5B25" w14:textId="2860F4F0" w:rsidR="000F355F" w:rsidRPr="004A1148" w:rsidRDefault="000F355F" w:rsidP="000F355F">
            <w:pPr>
              <w:pStyle w:val="TableText"/>
              <w:rPr>
                <w:rFonts w:cs="Arial"/>
              </w:rPr>
            </w:pPr>
            <w:r w:rsidRPr="00D71F19">
              <w:rPr>
                <w:rFonts w:cs="Arial"/>
              </w:rPr>
              <w:t>172.16.1</w:t>
            </w:r>
            <w:r>
              <w:rPr>
                <w:rFonts w:cs="Arial"/>
              </w:rPr>
              <w:t>2</w:t>
            </w:r>
            <w:r w:rsidRPr="00D71F19">
              <w:rPr>
                <w:rFonts w:cs="Arial"/>
              </w:rPr>
              <w:t>.254</w:t>
            </w:r>
          </w:p>
        </w:tc>
        <w:tc>
          <w:tcPr>
            <w:tcW w:w="2905" w:type="dxa"/>
            <w:vAlign w:val="bottom"/>
          </w:tcPr>
          <w:p w14:paraId="63784539" w14:textId="0EC2E2D7" w:rsidR="000F355F" w:rsidRPr="004A1148" w:rsidRDefault="000F355F" w:rsidP="000F355F">
            <w:pPr>
              <w:pStyle w:val="TableText"/>
              <w:ind w:left="284"/>
              <w:rPr>
                <w:rFonts w:cs="Arial"/>
              </w:rPr>
            </w:pPr>
            <w:r w:rsidRPr="00D71F19">
              <w:rPr>
                <w:rFonts w:cs="Arial"/>
              </w:rPr>
              <w:t>172.16.1</w:t>
            </w:r>
            <w:r>
              <w:rPr>
                <w:rFonts w:cs="Arial"/>
              </w:rPr>
              <w:t>2</w:t>
            </w:r>
            <w:r w:rsidRPr="00D71F19">
              <w:rPr>
                <w:rFonts w:cs="Arial"/>
              </w:rPr>
              <w:t>.255</w:t>
            </w:r>
          </w:p>
        </w:tc>
      </w:tr>
      <w:tr w:rsidR="000F355F" w:rsidRPr="004A1148" w14:paraId="6FCEA750" w14:textId="77777777" w:rsidTr="005554AB">
        <w:trPr>
          <w:cantSplit/>
          <w:trHeight w:val="510"/>
          <w:jc w:val="center"/>
        </w:trPr>
        <w:tc>
          <w:tcPr>
            <w:tcW w:w="1412" w:type="dxa"/>
            <w:vAlign w:val="bottom"/>
          </w:tcPr>
          <w:p w14:paraId="023D3E13" w14:textId="3B2E370F" w:rsidR="000F355F" w:rsidRPr="004A1148" w:rsidRDefault="000F355F" w:rsidP="000F355F">
            <w:pPr>
              <w:pStyle w:val="TableText"/>
              <w:ind w:left="284"/>
              <w:rPr>
                <w:rFonts w:cs="Arial"/>
              </w:rPr>
            </w:pPr>
            <w:r w:rsidRPr="00D71F19">
              <w:rPr>
                <w:rFonts w:cs="Arial"/>
              </w:rPr>
              <w:t>E</w:t>
            </w:r>
          </w:p>
        </w:tc>
        <w:tc>
          <w:tcPr>
            <w:tcW w:w="2561" w:type="dxa"/>
            <w:vAlign w:val="bottom"/>
          </w:tcPr>
          <w:p w14:paraId="028301AC" w14:textId="4D591F1B" w:rsidR="000F355F" w:rsidRPr="004A1148" w:rsidRDefault="000F355F" w:rsidP="000F355F">
            <w:pPr>
              <w:pStyle w:val="TableText"/>
              <w:rPr>
                <w:rFonts w:cs="Arial"/>
              </w:rPr>
            </w:pPr>
            <w:r w:rsidRPr="00D71F19">
              <w:rPr>
                <w:rFonts w:cs="Arial"/>
              </w:rPr>
              <w:t>172.16.1</w:t>
            </w:r>
            <w:r>
              <w:rPr>
                <w:rFonts w:cs="Arial"/>
              </w:rPr>
              <w:t>3</w:t>
            </w:r>
            <w:r w:rsidRPr="00D71F19">
              <w:rPr>
                <w:rFonts w:cs="Arial"/>
              </w:rPr>
              <w:t>.0</w:t>
            </w:r>
          </w:p>
        </w:tc>
        <w:tc>
          <w:tcPr>
            <w:tcW w:w="2552" w:type="dxa"/>
          </w:tcPr>
          <w:p w14:paraId="0E107CA2" w14:textId="191AC5E1" w:rsidR="000F355F" w:rsidRPr="004A1148" w:rsidRDefault="000F355F" w:rsidP="000F355F">
            <w:pPr>
              <w:pStyle w:val="TableText"/>
              <w:rPr>
                <w:rFonts w:cs="Arial"/>
              </w:rPr>
            </w:pPr>
            <w:r w:rsidRPr="00D71F19">
              <w:rPr>
                <w:rFonts w:cs="Arial"/>
              </w:rPr>
              <w:t>255.255.255.192</w:t>
            </w:r>
          </w:p>
        </w:tc>
        <w:tc>
          <w:tcPr>
            <w:tcW w:w="2724" w:type="dxa"/>
            <w:vAlign w:val="bottom"/>
          </w:tcPr>
          <w:p w14:paraId="76E3E1C0" w14:textId="5291A3EE" w:rsidR="000F355F" w:rsidRPr="004A1148" w:rsidRDefault="000F355F" w:rsidP="000F355F">
            <w:pPr>
              <w:pStyle w:val="TableText"/>
              <w:rPr>
                <w:rFonts w:cs="Arial"/>
              </w:rPr>
            </w:pPr>
            <w:r w:rsidRPr="00D71F19">
              <w:rPr>
                <w:rFonts w:cs="Arial"/>
              </w:rPr>
              <w:t>172.16.1</w:t>
            </w:r>
            <w:r>
              <w:rPr>
                <w:rFonts w:cs="Arial"/>
              </w:rPr>
              <w:t>3</w:t>
            </w:r>
            <w:r w:rsidRPr="00D71F19">
              <w:rPr>
                <w:rFonts w:cs="Arial"/>
              </w:rPr>
              <w:t>.1</w:t>
            </w:r>
          </w:p>
        </w:tc>
        <w:tc>
          <w:tcPr>
            <w:tcW w:w="2922" w:type="dxa"/>
            <w:vAlign w:val="bottom"/>
          </w:tcPr>
          <w:p w14:paraId="1F58716B" w14:textId="253713B3" w:rsidR="000F355F" w:rsidRPr="004A1148" w:rsidRDefault="000F355F" w:rsidP="000F355F">
            <w:pPr>
              <w:pStyle w:val="TableText"/>
              <w:rPr>
                <w:rFonts w:cs="Arial"/>
              </w:rPr>
            </w:pPr>
            <w:r w:rsidRPr="00D71F19">
              <w:rPr>
                <w:rFonts w:cs="Arial"/>
              </w:rPr>
              <w:t>172.16.1</w:t>
            </w:r>
            <w:r>
              <w:rPr>
                <w:rFonts w:cs="Arial"/>
              </w:rPr>
              <w:t>3</w:t>
            </w:r>
            <w:r w:rsidRPr="00D71F19">
              <w:rPr>
                <w:rFonts w:cs="Arial"/>
              </w:rPr>
              <w:t>.62</w:t>
            </w:r>
          </w:p>
        </w:tc>
        <w:tc>
          <w:tcPr>
            <w:tcW w:w="2905" w:type="dxa"/>
            <w:vAlign w:val="bottom"/>
          </w:tcPr>
          <w:p w14:paraId="1F03CCA5" w14:textId="67901DE9" w:rsidR="000F355F" w:rsidRPr="004A1148" w:rsidRDefault="000F355F" w:rsidP="000F355F">
            <w:pPr>
              <w:pStyle w:val="TableText"/>
              <w:ind w:left="284"/>
              <w:rPr>
                <w:rFonts w:cs="Arial"/>
              </w:rPr>
            </w:pPr>
            <w:r w:rsidRPr="00D71F19">
              <w:rPr>
                <w:rFonts w:cs="Arial"/>
              </w:rPr>
              <w:t>172.16.1</w:t>
            </w:r>
            <w:r>
              <w:rPr>
                <w:rFonts w:cs="Arial"/>
              </w:rPr>
              <w:t>3</w:t>
            </w:r>
            <w:r w:rsidRPr="00D71F19">
              <w:rPr>
                <w:rFonts w:cs="Arial"/>
              </w:rPr>
              <w:t>.63</w:t>
            </w:r>
          </w:p>
        </w:tc>
      </w:tr>
      <w:tr w:rsidR="000F355F" w:rsidRPr="004A1148" w14:paraId="6B34B8B1" w14:textId="77777777" w:rsidTr="005554AB">
        <w:trPr>
          <w:cantSplit/>
          <w:trHeight w:val="510"/>
          <w:jc w:val="center"/>
        </w:trPr>
        <w:tc>
          <w:tcPr>
            <w:tcW w:w="1412" w:type="dxa"/>
            <w:vAlign w:val="bottom"/>
          </w:tcPr>
          <w:p w14:paraId="65F58BF1" w14:textId="6B779BD6" w:rsidR="000F355F" w:rsidRPr="004A1148" w:rsidRDefault="000F355F" w:rsidP="000F355F">
            <w:pPr>
              <w:pStyle w:val="TableText"/>
              <w:ind w:left="284"/>
              <w:rPr>
                <w:rFonts w:cs="Arial"/>
              </w:rPr>
            </w:pPr>
            <w:r w:rsidRPr="00D71F19">
              <w:rPr>
                <w:rFonts w:cs="Arial"/>
              </w:rPr>
              <w:t>A</w:t>
            </w:r>
          </w:p>
        </w:tc>
        <w:tc>
          <w:tcPr>
            <w:tcW w:w="2561" w:type="dxa"/>
            <w:vAlign w:val="bottom"/>
          </w:tcPr>
          <w:p w14:paraId="18067B56" w14:textId="7D15052D" w:rsidR="000F355F" w:rsidRPr="004A1148" w:rsidRDefault="000F355F" w:rsidP="000F355F">
            <w:pPr>
              <w:pStyle w:val="TableText"/>
              <w:rPr>
                <w:rFonts w:cs="Arial"/>
              </w:rPr>
            </w:pPr>
            <w:r w:rsidRPr="00D71F19">
              <w:rPr>
                <w:rFonts w:cs="Arial"/>
              </w:rPr>
              <w:t>172.16.1</w:t>
            </w:r>
            <w:r>
              <w:rPr>
                <w:rFonts w:cs="Arial"/>
              </w:rPr>
              <w:t>3</w:t>
            </w:r>
            <w:r w:rsidRPr="00D71F19">
              <w:rPr>
                <w:rFonts w:cs="Arial"/>
              </w:rPr>
              <w:t>.64</w:t>
            </w:r>
          </w:p>
        </w:tc>
        <w:tc>
          <w:tcPr>
            <w:tcW w:w="2552" w:type="dxa"/>
          </w:tcPr>
          <w:p w14:paraId="309D051E" w14:textId="550D0209" w:rsidR="000F355F" w:rsidRPr="004A1148" w:rsidRDefault="000F355F" w:rsidP="000F355F">
            <w:pPr>
              <w:pStyle w:val="TableText"/>
              <w:rPr>
                <w:rFonts w:cs="Arial"/>
              </w:rPr>
            </w:pPr>
            <w:r w:rsidRPr="00D71F19">
              <w:rPr>
                <w:rFonts w:cs="Arial"/>
              </w:rPr>
              <w:t>255.255.255.</w:t>
            </w:r>
            <w:r>
              <w:rPr>
                <w:rFonts w:cs="Arial"/>
              </w:rPr>
              <w:t>224</w:t>
            </w:r>
          </w:p>
        </w:tc>
        <w:tc>
          <w:tcPr>
            <w:tcW w:w="2724" w:type="dxa"/>
            <w:vAlign w:val="bottom"/>
          </w:tcPr>
          <w:p w14:paraId="4BB66377" w14:textId="6A9BBB6B" w:rsidR="000F355F" w:rsidRPr="004A1148" w:rsidRDefault="000F355F" w:rsidP="000F355F">
            <w:pPr>
              <w:pStyle w:val="TableText"/>
              <w:rPr>
                <w:rFonts w:cs="Arial"/>
              </w:rPr>
            </w:pPr>
            <w:r w:rsidRPr="00D71F19">
              <w:rPr>
                <w:rFonts w:cs="Arial"/>
              </w:rPr>
              <w:t>172.16.1</w:t>
            </w:r>
            <w:r>
              <w:rPr>
                <w:rFonts w:cs="Arial"/>
              </w:rPr>
              <w:t>3</w:t>
            </w:r>
            <w:r w:rsidRPr="00D71F19">
              <w:rPr>
                <w:rFonts w:cs="Arial"/>
              </w:rPr>
              <w:t>.65</w:t>
            </w:r>
          </w:p>
        </w:tc>
        <w:tc>
          <w:tcPr>
            <w:tcW w:w="2922" w:type="dxa"/>
            <w:vAlign w:val="bottom"/>
          </w:tcPr>
          <w:p w14:paraId="2F12A22D" w14:textId="752D0F3F" w:rsidR="000F355F" w:rsidRPr="004A1148" w:rsidRDefault="000F355F" w:rsidP="000F355F">
            <w:pPr>
              <w:pStyle w:val="TableText"/>
              <w:rPr>
                <w:rFonts w:cs="Arial"/>
              </w:rPr>
            </w:pPr>
            <w:r w:rsidRPr="00D71F19">
              <w:rPr>
                <w:rFonts w:cs="Arial"/>
              </w:rPr>
              <w:t>172.16.1</w:t>
            </w:r>
            <w:r>
              <w:rPr>
                <w:rFonts w:cs="Arial"/>
              </w:rPr>
              <w:t>3</w:t>
            </w:r>
            <w:r w:rsidRPr="00D71F19">
              <w:rPr>
                <w:rFonts w:cs="Arial"/>
              </w:rPr>
              <w:t>.94</w:t>
            </w:r>
          </w:p>
        </w:tc>
        <w:tc>
          <w:tcPr>
            <w:tcW w:w="2905" w:type="dxa"/>
            <w:vAlign w:val="bottom"/>
          </w:tcPr>
          <w:p w14:paraId="78E458EF" w14:textId="39A8382D" w:rsidR="000F355F" w:rsidRPr="004A1148" w:rsidRDefault="000F355F" w:rsidP="000F355F">
            <w:pPr>
              <w:pStyle w:val="TableText"/>
              <w:ind w:left="284"/>
              <w:rPr>
                <w:rFonts w:cs="Arial"/>
              </w:rPr>
            </w:pPr>
            <w:r w:rsidRPr="00D71F19">
              <w:rPr>
                <w:rFonts w:cs="Arial"/>
              </w:rPr>
              <w:t>172.16.1</w:t>
            </w:r>
            <w:r>
              <w:rPr>
                <w:rFonts w:cs="Arial"/>
              </w:rPr>
              <w:t>3</w:t>
            </w:r>
            <w:r w:rsidRPr="00D71F19">
              <w:rPr>
                <w:rFonts w:cs="Arial"/>
              </w:rPr>
              <w:t>.95</w:t>
            </w:r>
          </w:p>
        </w:tc>
      </w:tr>
      <w:tr w:rsidR="000F355F" w:rsidRPr="004A1148" w14:paraId="0B4ED2B0" w14:textId="77777777" w:rsidTr="005554AB">
        <w:trPr>
          <w:cantSplit/>
          <w:trHeight w:val="510"/>
          <w:jc w:val="center"/>
        </w:trPr>
        <w:tc>
          <w:tcPr>
            <w:tcW w:w="1412" w:type="dxa"/>
            <w:vAlign w:val="bottom"/>
          </w:tcPr>
          <w:p w14:paraId="609E3F7B" w14:textId="17175FA8" w:rsidR="000F355F" w:rsidRPr="004A1148" w:rsidRDefault="000F355F" w:rsidP="000F355F">
            <w:pPr>
              <w:pStyle w:val="TableText"/>
              <w:ind w:left="284"/>
              <w:rPr>
                <w:rFonts w:cs="Arial"/>
              </w:rPr>
            </w:pPr>
            <w:r w:rsidRPr="00D71F19">
              <w:rPr>
                <w:rFonts w:cs="Arial"/>
              </w:rPr>
              <w:t>C</w:t>
            </w:r>
          </w:p>
        </w:tc>
        <w:tc>
          <w:tcPr>
            <w:tcW w:w="2561" w:type="dxa"/>
            <w:vAlign w:val="bottom"/>
          </w:tcPr>
          <w:p w14:paraId="31F64227" w14:textId="5CF808DE" w:rsidR="000F355F" w:rsidRPr="004A1148" w:rsidRDefault="000F355F" w:rsidP="000F355F">
            <w:pPr>
              <w:pStyle w:val="TableText"/>
              <w:rPr>
                <w:rFonts w:cs="Arial"/>
              </w:rPr>
            </w:pPr>
            <w:r w:rsidRPr="00D71F19">
              <w:rPr>
                <w:rFonts w:cs="Arial"/>
              </w:rPr>
              <w:t>172.16.1</w:t>
            </w:r>
            <w:r>
              <w:rPr>
                <w:rFonts w:cs="Arial"/>
              </w:rPr>
              <w:t>3</w:t>
            </w:r>
            <w:r w:rsidRPr="00D71F19">
              <w:rPr>
                <w:rFonts w:cs="Arial"/>
              </w:rPr>
              <w:t>.96</w:t>
            </w:r>
          </w:p>
        </w:tc>
        <w:tc>
          <w:tcPr>
            <w:tcW w:w="2552" w:type="dxa"/>
          </w:tcPr>
          <w:p w14:paraId="55665601" w14:textId="6B141763" w:rsidR="000F355F" w:rsidRPr="004A1148" w:rsidRDefault="000F355F" w:rsidP="000F355F">
            <w:pPr>
              <w:pStyle w:val="TableText"/>
              <w:rPr>
                <w:rFonts w:cs="Arial"/>
              </w:rPr>
            </w:pPr>
            <w:r w:rsidRPr="00D71F19">
              <w:rPr>
                <w:rFonts w:cs="Arial"/>
              </w:rPr>
              <w:t>255.255.255.248</w:t>
            </w:r>
          </w:p>
        </w:tc>
        <w:tc>
          <w:tcPr>
            <w:tcW w:w="2724" w:type="dxa"/>
            <w:vAlign w:val="bottom"/>
          </w:tcPr>
          <w:p w14:paraId="4F549E4B" w14:textId="22E97C15" w:rsidR="000F355F" w:rsidRPr="004A1148" w:rsidRDefault="000F355F" w:rsidP="000F355F">
            <w:pPr>
              <w:pStyle w:val="TableText"/>
              <w:rPr>
                <w:rFonts w:cs="Arial"/>
              </w:rPr>
            </w:pPr>
            <w:r w:rsidRPr="00D71F19">
              <w:rPr>
                <w:rFonts w:cs="Arial"/>
              </w:rPr>
              <w:t>172.16.1</w:t>
            </w:r>
            <w:r>
              <w:rPr>
                <w:rFonts w:cs="Arial"/>
              </w:rPr>
              <w:t>3</w:t>
            </w:r>
            <w:r w:rsidRPr="00D71F19">
              <w:rPr>
                <w:rFonts w:cs="Arial"/>
              </w:rPr>
              <w:t>.97</w:t>
            </w:r>
          </w:p>
        </w:tc>
        <w:tc>
          <w:tcPr>
            <w:tcW w:w="2922" w:type="dxa"/>
            <w:vAlign w:val="bottom"/>
          </w:tcPr>
          <w:p w14:paraId="7C499210" w14:textId="1AAA2EAB" w:rsidR="000F355F" w:rsidRPr="004A1148" w:rsidRDefault="000F355F" w:rsidP="000F355F">
            <w:pPr>
              <w:pStyle w:val="TableText"/>
              <w:rPr>
                <w:rFonts w:cs="Arial"/>
              </w:rPr>
            </w:pPr>
            <w:r w:rsidRPr="00D71F19">
              <w:rPr>
                <w:rFonts w:cs="Arial"/>
              </w:rPr>
              <w:t>172.16.1</w:t>
            </w:r>
            <w:r>
              <w:rPr>
                <w:rFonts w:cs="Arial"/>
              </w:rPr>
              <w:t>3</w:t>
            </w:r>
            <w:r w:rsidRPr="00D71F19">
              <w:rPr>
                <w:rFonts w:cs="Arial"/>
              </w:rPr>
              <w:t>.102</w:t>
            </w:r>
          </w:p>
        </w:tc>
        <w:tc>
          <w:tcPr>
            <w:tcW w:w="2905" w:type="dxa"/>
            <w:vAlign w:val="bottom"/>
          </w:tcPr>
          <w:p w14:paraId="2D756274" w14:textId="1131DF03" w:rsidR="000F355F" w:rsidRPr="004A1148" w:rsidRDefault="000F355F" w:rsidP="000F355F">
            <w:pPr>
              <w:pStyle w:val="TableText"/>
              <w:ind w:left="284"/>
              <w:rPr>
                <w:rFonts w:cs="Arial"/>
              </w:rPr>
            </w:pPr>
            <w:r w:rsidRPr="00D71F19">
              <w:rPr>
                <w:rFonts w:cs="Arial"/>
              </w:rPr>
              <w:t>172.16.1</w:t>
            </w:r>
            <w:r>
              <w:rPr>
                <w:rFonts w:cs="Arial"/>
              </w:rPr>
              <w:t>3</w:t>
            </w:r>
            <w:r w:rsidRPr="00D71F19">
              <w:rPr>
                <w:rFonts w:cs="Arial"/>
              </w:rPr>
              <w:t>.103</w:t>
            </w:r>
          </w:p>
        </w:tc>
      </w:tr>
      <w:tr w:rsidR="000F355F" w:rsidRPr="004A1148" w14:paraId="27709968" w14:textId="77777777" w:rsidTr="005554AB">
        <w:trPr>
          <w:cantSplit/>
          <w:trHeight w:val="510"/>
          <w:jc w:val="center"/>
        </w:trPr>
        <w:tc>
          <w:tcPr>
            <w:tcW w:w="1412" w:type="dxa"/>
            <w:vAlign w:val="bottom"/>
          </w:tcPr>
          <w:p w14:paraId="20984A5F" w14:textId="15A32DFD" w:rsidR="000F355F" w:rsidRPr="004A1148" w:rsidRDefault="000F355F" w:rsidP="000F355F">
            <w:pPr>
              <w:pStyle w:val="TableText"/>
              <w:ind w:left="284"/>
              <w:rPr>
                <w:rFonts w:cs="Arial"/>
              </w:rPr>
            </w:pPr>
            <w:r>
              <w:rPr>
                <w:rFonts w:cs="Arial"/>
              </w:rPr>
              <w:t>S0/0/0</w:t>
            </w:r>
          </w:p>
        </w:tc>
        <w:tc>
          <w:tcPr>
            <w:tcW w:w="2561" w:type="dxa"/>
            <w:vAlign w:val="bottom"/>
          </w:tcPr>
          <w:p w14:paraId="0D69D9DC" w14:textId="3027FDE1" w:rsidR="000F355F" w:rsidRPr="004A1148" w:rsidRDefault="000F355F" w:rsidP="000F355F">
            <w:pPr>
              <w:pStyle w:val="TableText"/>
              <w:rPr>
                <w:rFonts w:cs="Arial"/>
              </w:rPr>
            </w:pPr>
            <w:r w:rsidRPr="00D71F19">
              <w:rPr>
                <w:rFonts w:cs="Arial"/>
              </w:rPr>
              <w:t>172.16.1</w:t>
            </w:r>
            <w:r>
              <w:rPr>
                <w:rFonts w:cs="Arial"/>
              </w:rPr>
              <w:t>3</w:t>
            </w:r>
            <w:r w:rsidRPr="00D71F19">
              <w:rPr>
                <w:rFonts w:cs="Arial"/>
              </w:rPr>
              <w:t>.104</w:t>
            </w:r>
          </w:p>
        </w:tc>
        <w:tc>
          <w:tcPr>
            <w:tcW w:w="2552" w:type="dxa"/>
          </w:tcPr>
          <w:p w14:paraId="30D77B01" w14:textId="094378B5" w:rsidR="000F355F" w:rsidRPr="004A1148" w:rsidRDefault="000F355F" w:rsidP="000F355F">
            <w:pPr>
              <w:pStyle w:val="TableText"/>
              <w:rPr>
                <w:rFonts w:cs="Arial"/>
              </w:rPr>
            </w:pPr>
            <w:r w:rsidRPr="00D71F19">
              <w:rPr>
                <w:rFonts w:cs="Arial"/>
              </w:rPr>
              <w:t>255.255.255.25</w:t>
            </w:r>
            <w:r>
              <w:rPr>
                <w:rFonts w:cs="Arial"/>
              </w:rPr>
              <w:t>2</w:t>
            </w:r>
          </w:p>
        </w:tc>
        <w:tc>
          <w:tcPr>
            <w:tcW w:w="2724" w:type="dxa"/>
            <w:vAlign w:val="bottom"/>
          </w:tcPr>
          <w:p w14:paraId="5596A409" w14:textId="7C7A74AB" w:rsidR="000F355F" w:rsidRPr="004A1148" w:rsidRDefault="000F355F" w:rsidP="000F355F">
            <w:pPr>
              <w:pStyle w:val="TableText"/>
              <w:rPr>
                <w:rFonts w:cs="Arial"/>
              </w:rPr>
            </w:pPr>
            <w:r w:rsidRPr="00D71F19">
              <w:rPr>
                <w:rFonts w:cs="Arial"/>
              </w:rPr>
              <w:t>172.16.1</w:t>
            </w:r>
            <w:r>
              <w:rPr>
                <w:rFonts w:cs="Arial"/>
              </w:rPr>
              <w:t>3</w:t>
            </w:r>
            <w:r w:rsidRPr="00D71F19">
              <w:rPr>
                <w:rFonts w:cs="Arial"/>
              </w:rPr>
              <w:t>.105</w:t>
            </w:r>
          </w:p>
        </w:tc>
        <w:tc>
          <w:tcPr>
            <w:tcW w:w="2922" w:type="dxa"/>
            <w:vAlign w:val="bottom"/>
          </w:tcPr>
          <w:p w14:paraId="0F1FE2D6" w14:textId="00DAB7D1" w:rsidR="000F355F" w:rsidRPr="004A1148" w:rsidRDefault="000F355F" w:rsidP="000F355F">
            <w:pPr>
              <w:pStyle w:val="TableText"/>
              <w:rPr>
                <w:rFonts w:cs="Arial"/>
              </w:rPr>
            </w:pPr>
            <w:r w:rsidRPr="00D71F19">
              <w:rPr>
                <w:rFonts w:cs="Arial"/>
              </w:rPr>
              <w:t>172.16.1</w:t>
            </w:r>
            <w:r>
              <w:rPr>
                <w:rFonts w:cs="Arial"/>
              </w:rPr>
              <w:t>3</w:t>
            </w:r>
            <w:r w:rsidRPr="00D71F19">
              <w:rPr>
                <w:rFonts w:cs="Arial"/>
              </w:rPr>
              <w:t>.106</w:t>
            </w:r>
          </w:p>
        </w:tc>
        <w:tc>
          <w:tcPr>
            <w:tcW w:w="2905" w:type="dxa"/>
            <w:vAlign w:val="bottom"/>
          </w:tcPr>
          <w:p w14:paraId="554DDEFE" w14:textId="61CA6B6B" w:rsidR="000F355F" w:rsidRPr="004A1148" w:rsidRDefault="000F355F" w:rsidP="000F355F">
            <w:pPr>
              <w:pStyle w:val="TableText"/>
              <w:ind w:left="284"/>
              <w:rPr>
                <w:rFonts w:cs="Arial"/>
              </w:rPr>
            </w:pPr>
            <w:r w:rsidRPr="00D71F19">
              <w:rPr>
                <w:rFonts w:cs="Arial"/>
              </w:rPr>
              <w:t>172.16.1</w:t>
            </w:r>
            <w:r>
              <w:rPr>
                <w:rFonts w:cs="Arial"/>
              </w:rPr>
              <w:t>3</w:t>
            </w:r>
            <w:r w:rsidRPr="00D71F19">
              <w:rPr>
                <w:rFonts w:cs="Arial"/>
              </w:rPr>
              <w:t>.107</w:t>
            </w:r>
          </w:p>
        </w:tc>
      </w:tr>
      <w:tr w:rsidR="000F355F" w:rsidRPr="004A1148" w14:paraId="0B6C4A12" w14:textId="77777777" w:rsidTr="005554AB">
        <w:trPr>
          <w:cantSplit/>
          <w:trHeight w:val="510"/>
          <w:jc w:val="center"/>
        </w:trPr>
        <w:tc>
          <w:tcPr>
            <w:tcW w:w="1412" w:type="dxa"/>
            <w:vAlign w:val="bottom"/>
          </w:tcPr>
          <w:p w14:paraId="61BCB553" w14:textId="2D87E54E" w:rsidR="000F355F" w:rsidRPr="004A1148" w:rsidRDefault="000F355F" w:rsidP="000F355F">
            <w:pPr>
              <w:pStyle w:val="TableText"/>
              <w:ind w:left="284"/>
              <w:rPr>
                <w:rFonts w:cs="Arial"/>
              </w:rPr>
            </w:pPr>
            <w:r>
              <w:rPr>
                <w:rFonts w:cs="Arial"/>
              </w:rPr>
              <w:t>S0/0/1</w:t>
            </w:r>
          </w:p>
        </w:tc>
        <w:tc>
          <w:tcPr>
            <w:tcW w:w="2561" w:type="dxa"/>
            <w:vAlign w:val="bottom"/>
          </w:tcPr>
          <w:p w14:paraId="1F850D77" w14:textId="5174A2D3" w:rsidR="000F355F" w:rsidRPr="004A1148" w:rsidRDefault="000F355F" w:rsidP="000F355F">
            <w:pPr>
              <w:pStyle w:val="TableText"/>
              <w:rPr>
                <w:rFonts w:cs="Arial"/>
              </w:rPr>
            </w:pPr>
            <w:r>
              <w:rPr>
                <w:rFonts w:cs="Arial"/>
              </w:rPr>
              <w:t>172.16.13.108</w:t>
            </w:r>
          </w:p>
        </w:tc>
        <w:tc>
          <w:tcPr>
            <w:tcW w:w="2552" w:type="dxa"/>
          </w:tcPr>
          <w:p w14:paraId="4E625FAD" w14:textId="0297490E" w:rsidR="000F355F" w:rsidRPr="004A1148" w:rsidRDefault="000F355F" w:rsidP="000F355F">
            <w:pPr>
              <w:pStyle w:val="TableText"/>
              <w:rPr>
                <w:rFonts w:cs="Arial"/>
              </w:rPr>
            </w:pPr>
            <w:r>
              <w:rPr>
                <w:rFonts w:cs="Arial"/>
              </w:rPr>
              <w:t>255.255.255.252</w:t>
            </w:r>
          </w:p>
        </w:tc>
        <w:tc>
          <w:tcPr>
            <w:tcW w:w="2724" w:type="dxa"/>
            <w:vAlign w:val="bottom"/>
          </w:tcPr>
          <w:p w14:paraId="2EFD5AB2" w14:textId="00DA4DBF" w:rsidR="000F355F" w:rsidRPr="004A1148" w:rsidRDefault="000F355F" w:rsidP="000F355F">
            <w:pPr>
              <w:pStyle w:val="TableText"/>
              <w:rPr>
                <w:rFonts w:cs="Arial"/>
              </w:rPr>
            </w:pPr>
            <w:r>
              <w:rPr>
                <w:rFonts w:cs="Arial"/>
              </w:rPr>
              <w:t>172.16.13.109</w:t>
            </w:r>
          </w:p>
        </w:tc>
        <w:tc>
          <w:tcPr>
            <w:tcW w:w="2922" w:type="dxa"/>
            <w:vAlign w:val="bottom"/>
          </w:tcPr>
          <w:p w14:paraId="488D3941" w14:textId="51E53995" w:rsidR="000F355F" w:rsidRPr="004A1148" w:rsidRDefault="000F355F" w:rsidP="000F355F">
            <w:pPr>
              <w:pStyle w:val="TableText"/>
              <w:rPr>
                <w:rFonts w:cs="Arial"/>
              </w:rPr>
            </w:pPr>
            <w:r>
              <w:rPr>
                <w:rFonts w:cs="Arial"/>
              </w:rPr>
              <w:t>172.16.13.110</w:t>
            </w:r>
          </w:p>
        </w:tc>
        <w:tc>
          <w:tcPr>
            <w:tcW w:w="2905" w:type="dxa"/>
            <w:vAlign w:val="bottom"/>
          </w:tcPr>
          <w:p w14:paraId="6CDA3D3D" w14:textId="61DEE582" w:rsidR="000F355F" w:rsidRPr="004A1148" w:rsidRDefault="000F355F" w:rsidP="000F355F">
            <w:pPr>
              <w:pStyle w:val="TableText"/>
              <w:ind w:left="284"/>
              <w:rPr>
                <w:rFonts w:cs="Arial"/>
              </w:rPr>
            </w:pPr>
            <w:r>
              <w:rPr>
                <w:rFonts w:cs="Arial"/>
              </w:rPr>
              <w:t>172.16.13.111</w:t>
            </w:r>
          </w:p>
        </w:tc>
      </w:tr>
      <w:tr w:rsidR="000F355F" w:rsidRPr="004A1148" w14:paraId="7FC18FDC" w14:textId="77777777" w:rsidTr="005554AB">
        <w:trPr>
          <w:cantSplit/>
          <w:trHeight w:val="510"/>
          <w:jc w:val="center"/>
        </w:trPr>
        <w:tc>
          <w:tcPr>
            <w:tcW w:w="1412" w:type="dxa"/>
            <w:vAlign w:val="bottom"/>
          </w:tcPr>
          <w:p w14:paraId="1FB33D0A" w14:textId="38428052" w:rsidR="000F355F" w:rsidRPr="004A1148" w:rsidRDefault="000F355F" w:rsidP="000F355F">
            <w:pPr>
              <w:pStyle w:val="TableText"/>
              <w:ind w:left="284"/>
              <w:rPr>
                <w:rFonts w:cs="Arial"/>
              </w:rPr>
            </w:pPr>
          </w:p>
        </w:tc>
        <w:tc>
          <w:tcPr>
            <w:tcW w:w="2561" w:type="dxa"/>
            <w:vAlign w:val="bottom"/>
          </w:tcPr>
          <w:p w14:paraId="3A3974FC" w14:textId="44602A45" w:rsidR="000F355F" w:rsidRPr="004A1148" w:rsidRDefault="000F355F" w:rsidP="000F355F">
            <w:pPr>
              <w:pStyle w:val="TableText"/>
              <w:rPr>
                <w:rFonts w:cs="Arial"/>
              </w:rPr>
            </w:pPr>
          </w:p>
        </w:tc>
        <w:tc>
          <w:tcPr>
            <w:tcW w:w="2552" w:type="dxa"/>
          </w:tcPr>
          <w:p w14:paraId="4949C4E8" w14:textId="6307FC1F" w:rsidR="000F355F" w:rsidRPr="004A1148" w:rsidRDefault="000F355F" w:rsidP="000F355F">
            <w:pPr>
              <w:pStyle w:val="TableText"/>
              <w:rPr>
                <w:rFonts w:cs="Arial"/>
              </w:rPr>
            </w:pPr>
          </w:p>
        </w:tc>
        <w:tc>
          <w:tcPr>
            <w:tcW w:w="2724" w:type="dxa"/>
            <w:vAlign w:val="bottom"/>
          </w:tcPr>
          <w:p w14:paraId="2E13DE8F" w14:textId="463B1100" w:rsidR="000F355F" w:rsidRPr="004A1148" w:rsidRDefault="000F355F" w:rsidP="000F355F">
            <w:pPr>
              <w:pStyle w:val="TableText"/>
              <w:rPr>
                <w:rFonts w:cs="Arial"/>
              </w:rPr>
            </w:pPr>
          </w:p>
        </w:tc>
        <w:tc>
          <w:tcPr>
            <w:tcW w:w="2922" w:type="dxa"/>
            <w:vAlign w:val="bottom"/>
          </w:tcPr>
          <w:p w14:paraId="4B4DEB77" w14:textId="53502F80" w:rsidR="000F355F" w:rsidRPr="004A1148" w:rsidRDefault="000F355F" w:rsidP="000F355F">
            <w:pPr>
              <w:pStyle w:val="TableText"/>
              <w:rPr>
                <w:rFonts w:cs="Arial"/>
              </w:rPr>
            </w:pPr>
          </w:p>
        </w:tc>
        <w:tc>
          <w:tcPr>
            <w:tcW w:w="2905" w:type="dxa"/>
            <w:vAlign w:val="bottom"/>
          </w:tcPr>
          <w:p w14:paraId="074F1411" w14:textId="122C94AB" w:rsidR="000F355F" w:rsidRPr="004A1148" w:rsidRDefault="000F355F" w:rsidP="000F355F">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5933597C" w14:textId="77777777" w:rsidR="000F355F" w:rsidRPr="00044DCA" w:rsidRDefault="000F355F" w:rsidP="000F355F">
      <w:pPr>
        <w:jc w:val="center"/>
        <w:rPr>
          <w:b/>
          <w:u w:val="single"/>
        </w:rPr>
      </w:pPr>
      <w:r w:rsidRPr="00044DCA">
        <w:rPr>
          <w:b/>
          <w:u w:val="single"/>
        </w:rPr>
        <w:lastRenderedPageBreak/>
        <w:t>Bibliography</w:t>
      </w:r>
    </w:p>
    <w:p w14:paraId="21FCC097" w14:textId="77777777" w:rsidR="000F355F" w:rsidRDefault="000F355F" w:rsidP="000F355F"/>
    <w:p w14:paraId="787532D3" w14:textId="77777777" w:rsidR="000F355F" w:rsidRDefault="000F355F" w:rsidP="000F355F">
      <w:r>
        <w:t xml:space="preserve">[1]- Guy Davis, </w:t>
      </w:r>
      <w:r w:rsidRPr="005B1D7E">
        <w:rPr>
          <w:i/>
        </w:rPr>
        <w:t xml:space="preserve">Designing and Developing Scalable IP Networks </w:t>
      </w:r>
      <w:r>
        <w:t>(John Wiley and Sons, 2004) Chapter 1</w:t>
      </w:r>
    </w:p>
    <w:p w14:paraId="432BBDEA" w14:textId="77777777" w:rsidR="000F355F" w:rsidRDefault="000F355F" w:rsidP="000F355F">
      <w:pPr>
        <w:jc w:val="both"/>
      </w:pPr>
      <w:r>
        <w:t>[2] -Wang, Xuequn and Sebastian Zander, ‘</w:t>
      </w:r>
      <w:r w:rsidRPr="00B1556B">
        <w:t>Extending the Model of Internet Standards adoption, A cross-country comparison of IPv6 adoption</w:t>
      </w:r>
      <w:r>
        <w:t xml:space="preserve">’ </w:t>
      </w:r>
      <w:r>
        <w:rPr>
          <w:i/>
        </w:rPr>
        <w:t xml:space="preserve">Information and Management, </w:t>
      </w:r>
      <w:r>
        <w:t>(June 2018, Vol 55 (4) pp 450-460</w:t>
      </w:r>
    </w:p>
    <w:p w14:paraId="00219E31" w14:textId="77777777" w:rsidR="000F355F" w:rsidRDefault="000F355F" w:rsidP="000F355F">
      <w:r>
        <w:t>[3] -Cebrail Çiflikli Ali Gezer  A. Tuncay Özsahin,  Öznur Özkasap, ‘BitTorrent packet traffic features over IPv6 and IPv4’ Simulation Modelling Practice and Theory (vol. 18, 2010) 12-14</w:t>
      </w:r>
    </w:p>
    <w:p w14:paraId="24BE6BA9" w14:textId="77777777" w:rsidR="000F355F" w:rsidRDefault="000F355F" w:rsidP="000F355F">
      <w:pPr>
        <w:jc w:val="both"/>
      </w:pPr>
      <w:r>
        <w:t xml:space="preserve">[4] The Government of Hong Kong Special Administrative Region ‘IPv6 Security’ May 2011, </w:t>
      </w:r>
      <w:r w:rsidRPr="00B1556B">
        <w:t>https://www.infosec.gov.hk/english/technical/files/ipv6s.pdf</w:t>
      </w:r>
    </w:p>
    <w:p w14:paraId="3834EC2B" w14:textId="77777777" w:rsidR="000F355F" w:rsidRDefault="000F355F" w:rsidP="000F355F">
      <w:r>
        <w:t>[5] Anonymous ‘IPv6 Neighbor Discovery’ (Thursday 28</w:t>
      </w:r>
      <w:r w:rsidRPr="00225C13">
        <w:rPr>
          <w:vertAlign w:val="superscript"/>
        </w:rPr>
        <w:t>th</w:t>
      </w:r>
      <w:r>
        <w:t xml:space="preserve"> August 2008) Accessed 11</w:t>
      </w:r>
      <w:r w:rsidRPr="00225C13">
        <w:rPr>
          <w:vertAlign w:val="superscript"/>
        </w:rPr>
        <w:t>th</w:t>
      </w:r>
      <w:r>
        <w:t xml:space="preserve"> December 2019, https://packetlife.net /blog/2008/aug/28/ipv6-neighbor-discovery/</w:t>
      </w: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2E56B" w14:textId="77777777" w:rsidR="00DC0838" w:rsidRDefault="00DC0838">
      <w:r>
        <w:separator/>
      </w:r>
    </w:p>
  </w:endnote>
  <w:endnote w:type="continuationSeparator" w:id="0">
    <w:p w14:paraId="38D79E89" w14:textId="77777777" w:rsidR="00DC0838" w:rsidRDefault="00DC0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F62B4" w14:textId="77777777" w:rsidR="00DC0838" w:rsidRDefault="00DC0838">
      <w:r>
        <w:separator/>
      </w:r>
    </w:p>
  </w:footnote>
  <w:footnote w:type="continuationSeparator" w:id="0">
    <w:p w14:paraId="29A4C9C1" w14:textId="77777777" w:rsidR="00DC0838" w:rsidRDefault="00DC08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355F"/>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4466"/>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751AD"/>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8771D"/>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4240"/>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E6F96"/>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BF6772"/>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27E45"/>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083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86202"/>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14B6B"/>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20AEE-F57E-4DA5-9257-84E96662E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4</Pages>
  <Words>1267</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8230</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Rhien Williams (1901571)</cp:lastModifiedBy>
  <cp:revision>3</cp:revision>
  <cp:lastPrinted>2014-11-07T14:47:00Z</cp:lastPrinted>
  <dcterms:created xsi:type="dcterms:W3CDTF">2019-12-12T23:00:00Z</dcterms:created>
  <dcterms:modified xsi:type="dcterms:W3CDTF">2019-12-12T23:12:00Z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