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3FD0C939" w:rsidR="00583709" w:rsidRPr="003D668E" w:rsidRDefault="00F867C0">
      <w:pPr>
        <w:spacing w:after="165" w:line="360" w:lineRule="auto"/>
        <w:jc w:val="center"/>
        <w:rPr>
          <w:rFonts w:ascii="Tahoma" w:eastAsia="Tahoma" w:hAnsi="Tahoma" w:cs="Tahoma"/>
          <w:color w:val="000000"/>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4507C186" w:rsidR="00583709" w:rsidRDefault="009418A4">
            <w:pPr>
              <w:spacing w:before="120" w:after="120" w:line="360" w:lineRule="auto"/>
              <w:rPr>
                <w:rFonts w:ascii="Tahoma" w:eastAsia="Tahoma" w:hAnsi="Tahoma" w:cs="Tahoma"/>
                <w:sz w:val="32"/>
                <w:szCs w:val="32"/>
              </w:rPr>
            </w:pPr>
            <w:r>
              <w:rPr>
                <w:rFonts w:ascii="Tahoma" w:eastAsia="Tahoma" w:hAnsi="Tahoma" w:cs="Tahoma"/>
                <w:sz w:val="32"/>
                <w:szCs w:val="32"/>
              </w:rPr>
              <w:t xml:space="preserve">Leanne Thomas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9E3BC7D" w:rsidR="00583709" w:rsidRDefault="009418A4">
            <w:pPr>
              <w:spacing w:before="120" w:after="120" w:line="360" w:lineRule="auto"/>
              <w:rPr>
                <w:rFonts w:ascii="Tahoma" w:eastAsia="Tahoma" w:hAnsi="Tahoma" w:cs="Tahoma"/>
                <w:sz w:val="32"/>
                <w:szCs w:val="32"/>
              </w:rPr>
            </w:pPr>
            <w:r>
              <w:rPr>
                <w:rFonts w:ascii="Tahoma" w:eastAsia="Tahoma" w:hAnsi="Tahoma" w:cs="Tahoma"/>
                <w:sz w:val="32"/>
                <w:szCs w:val="32"/>
              </w:rPr>
              <w:t>2</w:t>
            </w:r>
            <w:r w:rsidR="00B63832">
              <w:rPr>
                <w:rFonts w:ascii="Tahoma" w:eastAsia="Tahoma" w:hAnsi="Tahoma" w:cs="Tahoma"/>
                <w:sz w:val="32"/>
                <w:szCs w:val="32"/>
              </w:rPr>
              <w:t>318789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58C23AA4"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6C51FC">
              <w:rPr>
                <w:rFonts w:ascii="Tahoma" w:eastAsia="Tahoma" w:hAnsi="Tahoma" w:cs="Tahoma"/>
                <w:color w:val="FF0000"/>
                <w:sz w:val="32"/>
                <w:szCs w:val="32"/>
              </w:rPr>
              <w:t>5</w:t>
            </w:r>
            <w:r w:rsidR="009418A4">
              <w:rPr>
                <w:rFonts w:ascii="Tahoma" w:eastAsia="Tahoma" w:hAnsi="Tahoma" w:cs="Tahoma"/>
                <w:color w:val="FF0000"/>
                <w:sz w:val="32"/>
                <w:szCs w:val="32"/>
              </w:rPr>
              <w:t>010</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70EE5F5" w:rsidR="00583709" w:rsidRDefault="00EC798C">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Developing the </w:t>
            </w:r>
            <w:r w:rsidR="009418A4" w:rsidRPr="009418A4">
              <w:rPr>
                <w:rFonts w:ascii="Tahoma" w:eastAsia="Tahoma" w:hAnsi="Tahoma" w:cs="Tahoma"/>
                <w:color w:val="FF0000"/>
                <w:sz w:val="32"/>
                <w:szCs w:val="32"/>
              </w:rPr>
              <w:t>Learning Organisation</w:t>
            </w:r>
          </w:p>
        </w:tc>
      </w:tr>
    </w:tbl>
    <w:p w14:paraId="700B284E" w14:textId="77777777" w:rsidR="00583709" w:rsidRDefault="008312FD">
      <w:pPr>
        <w:spacing w:before="120" w:after="120" w:line="360" w:lineRule="auto"/>
        <w:rPr>
          <w:rFonts w:ascii="Tahoma" w:eastAsia="Tahoma" w:hAnsi="Tahoma" w:cs="Tahoma"/>
          <w:b/>
          <w:color w:val="000000"/>
          <w:szCs w:val="24"/>
        </w:rPr>
      </w:pPr>
      <w:r>
        <w:rPr>
          <w:rFonts w:ascii="Tahoma" w:eastAsia="Tahoma" w:hAnsi="Tahoma" w:cs="Tahoma"/>
          <w:b/>
          <w:color w:val="000000"/>
          <w:szCs w:val="24"/>
        </w:rPr>
        <w:t>Statement of Confirmation of Authenticity</w:t>
      </w:r>
    </w:p>
    <w:p w14:paraId="77162AC0" w14:textId="77777777" w:rsidR="00583709" w:rsidRPr="00D742ED" w:rsidRDefault="008312FD" w:rsidP="00D742ED">
      <w:pPr>
        <w:spacing w:before="120" w:after="120" w:line="240" w:lineRule="auto"/>
        <w:rPr>
          <w:rFonts w:ascii="Tahoma" w:eastAsia="Tahoma" w:hAnsi="Tahoma" w:cs="Tahoma"/>
          <w:color w:val="000000"/>
          <w:sz w:val="22"/>
        </w:rPr>
      </w:pPr>
      <w:r w:rsidRPr="00D742ED">
        <w:rPr>
          <w:rFonts w:ascii="Tahoma" w:eastAsia="Tahoma" w:hAnsi="Tahoma" w:cs="Tahoma"/>
          <w:color w:val="000000"/>
          <w:sz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D742ED" w:rsidRDefault="008312FD" w:rsidP="00D742ED">
      <w:pPr>
        <w:spacing w:before="120" w:after="120" w:line="240" w:lineRule="auto"/>
        <w:rPr>
          <w:rFonts w:ascii="Tahoma" w:eastAsia="Tahoma" w:hAnsi="Tahoma" w:cs="Tahoma"/>
          <w:color w:val="000000"/>
          <w:sz w:val="22"/>
        </w:rPr>
      </w:pPr>
      <w:r w:rsidRPr="00D742ED">
        <w:rPr>
          <w:rFonts w:ascii="Tahoma" w:eastAsia="Tahoma" w:hAnsi="Tahoma" w:cs="Tahoma"/>
          <w:color w:val="000000"/>
          <w:sz w:val="22"/>
        </w:rPr>
        <w:t>Attention is drawn to the plagiarism and unfair practice policies of both the University and of ILM.</w:t>
      </w:r>
    </w:p>
    <w:p w14:paraId="616510F2" w14:textId="46C94898" w:rsidR="00D742ED" w:rsidRPr="00D742ED" w:rsidRDefault="00D742ED" w:rsidP="00D742ED">
      <w:pPr>
        <w:rPr>
          <w:rFonts w:ascii="Tahoma" w:hAnsi="Tahoma" w:cs="Tahoma"/>
        </w:rPr>
      </w:pPr>
      <w:r w:rsidRPr="00D742ED">
        <w:rPr>
          <w:rFonts w:ascii="Tahoma" w:hAnsi="Tahoma" w:cs="Tahoma"/>
          <w:b/>
          <w:bCs/>
        </w:rPr>
        <w:t>AI Declaration:</w:t>
      </w:r>
      <w:r w:rsidRPr="00D742ED">
        <w:rPr>
          <w:rFonts w:ascii="Tahoma" w:hAnsi="Tahoma" w:cs="Tahoma"/>
        </w:rPr>
        <w:t xml:space="preserve"> I confirm that </w:t>
      </w:r>
      <w:r w:rsidRPr="00D742ED">
        <w:rPr>
          <w:rFonts w:ascii="Tahoma" w:hAnsi="Tahoma" w:cs="Tahoma"/>
          <w:b/>
          <w:bCs/>
        </w:rPr>
        <w:t>I have not used Generative AI</w:t>
      </w:r>
      <w:r w:rsidRPr="00D742ED">
        <w:rPr>
          <w:rFonts w:ascii="Tahoma" w:hAnsi="Tahoma" w:cs="Tahoma"/>
        </w:rPr>
        <w:t xml:space="preserve">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w:t>
      </w:r>
    </w:p>
    <w:p w14:paraId="5C61974A" w14:textId="110580D1" w:rsidR="00583709" w:rsidRDefault="00583709">
      <w:pPr>
        <w:rPr>
          <w:rFonts w:ascii="Tahoma" w:eastAsia="Tahoma" w:hAnsi="Tahoma" w:cs="Tahoma"/>
          <w:color w:val="000000"/>
          <w:szCs w:val="24"/>
        </w:rPr>
      </w:pPr>
    </w:p>
    <w:p w14:paraId="588D0369" w14:textId="492FC92C" w:rsidR="00D742ED" w:rsidRPr="00D742ED" w:rsidRDefault="008312FD">
      <w:pPr>
        <w:keepNext/>
        <w:keepLines/>
        <w:pBdr>
          <w:top w:val="nil"/>
          <w:left w:val="nil"/>
          <w:bottom w:val="nil"/>
          <w:right w:val="nil"/>
          <w:between w:val="nil"/>
        </w:pBdr>
        <w:spacing w:before="240" w:after="0"/>
        <w:rPr>
          <w:rFonts w:cs="Arial"/>
          <w:b/>
          <w:bCs/>
          <w:sz w:val="32"/>
          <w:szCs w:val="32"/>
        </w:rPr>
      </w:pPr>
      <w:r w:rsidRPr="00D742ED">
        <w:rPr>
          <w:rFonts w:cs="Arial"/>
          <w:b/>
          <w:bCs/>
          <w:sz w:val="32"/>
          <w:szCs w:val="32"/>
        </w:rPr>
        <w:lastRenderedPageBreak/>
        <w:t>Table of Contents</w:t>
      </w:r>
    </w:p>
    <w:sdt>
      <w:sdtPr>
        <w:id w:val="-2053372548"/>
        <w:docPartObj>
          <w:docPartGallery w:val="Table of Contents"/>
          <w:docPartUnique/>
        </w:docPartObj>
      </w:sdtPr>
      <w:sdtEndPr>
        <w:rPr>
          <w:rFonts w:asciiTheme="majorHAnsi" w:hAnsiTheme="majorHAnsi" w:cstheme="majorHAnsi"/>
          <w:szCs w:val="24"/>
        </w:rPr>
      </w:sdtEndPr>
      <w:sdtContent>
        <w:p w14:paraId="756BB523" w14:textId="31BBAA6A" w:rsidR="000B142C" w:rsidRPr="00272DA5" w:rsidRDefault="008312FD"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r w:rsidRPr="00272DA5">
            <w:rPr>
              <w:rFonts w:asciiTheme="majorHAnsi" w:hAnsiTheme="majorHAnsi" w:cstheme="majorHAnsi"/>
              <w:b/>
              <w:bCs/>
              <w:szCs w:val="24"/>
            </w:rPr>
            <w:fldChar w:fldCharType="begin"/>
          </w:r>
          <w:r w:rsidRPr="00272DA5">
            <w:rPr>
              <w:rFonts w:asciiTheme="majorHAnsi" w:hAnsiTheme="majorHAnsi" w:cstheme="majorHAnsi"/>
              <w:b/>
              <w:bCs/>
              <w:szCs w:val="24"/>
            </w:rPr>
            <w:instrText xml:space="preserve"> TOC \h \u \z </w:instrText>
          </w:r>
          <w:r w:rsidRPr="00272DA5">
            <w:rPr>
              <w:rFonts w:asciiTheme="majorHAnsi" w:hAnsiTheme="majorHAnsi" w:cstheme="majorHAnsi"/>
              <w:b/>
              <w:bCs/>
              <w:szCs w:val="24"/>
            </w:rPr>
            <w:fldChar w:fldCharType="separate"/>
          </w:r>
          <w:hyperlink w:anchor="_Toc240035778" w:history="1">
            <w:r w:rsidR="000B142C" w:rsidRPr="00272DA5">
              <w:rPr>
                <w:rStyle w:val="Hyperlink"/>
                <w:rFonts w:asciiTheme="majorHAnsi" w:hAnsiTheme="majorHAnsi" w:cstheme="majorHAnsi"/>
                <w:b/>
                <w:bCs/>
                <w:noProof/>
                <w:szCs w:val="24"/>
                <w:u w:val="none"/>
              </w:rPr>
              <w:t>1.0 Introduction</w:t>
            </w:r>
            <w:r w:rsidR="000B142C" w:rsidRPr="00272DA5">
              <w:rPr>
                <w:rFonts w:asciiTheme="majorHAnsi" w:hAnsiTheme="majorHAnsi" w:cstheme="majorHAnsi"/>
                <w:b/>
                <w:bCs/>
                <w:noProof/>
                <w:webHidden/>
                <w:szCs w:val="24"/>
              </w:rPr>
              <w:tab/>
            </w:r>
            <w:r w:rsidR="000B142C" w:rsidRPr="00272DA5">
              <w:rPr>
                <w:rFonts w:asciiTheme="majorHAnsi" w:hAnsiTheme="majorHAnsi" w:cstheme="majorHAnsi"/>
                <w:b/>
                <w:bCs/>
                <w:noProof/>
                <w:webHidden/>
                <w:szCs w:val="24"/>
              </w:rPr>
              <w:fldChar w:fldCharType="begin"/>
            </w:r>
            <w:r w:rsidR="000B142C" w:rsidRPr="00272DA5">
              <w:rPr>
                <w:rFonts w:asciiTheme="majorHAnsi" w:hAnsiTheme="majorHAnsi" w:cstheme="majorHAnsi"/>
                <w:b/>
                <w:bCs/>
                <w:noProof/>
                <w:webHidden/>
                <w:szCs w:val="24"/>
              </w:rPr>
              <w:instrText xml:space="preserve"> PAGEREF _Toc240035778 \h </w:instrText>
            </w:r>
            <w:r w:rsidR="000B142C" w:rsidRPr="00272DA5">
              <w:rPr>
                <w:rFonts w:asciiTheme="majorHAnsi" w:hAnsiTheme="majorHAnsi" w:cstheme="majorHAnsi"/>
                <w:b/>
                <w:bCs/>
                <w:noProof/>
                <w:webHidden/>
                <w:szCs w:val="24"/>
              </w:rPr>
            </w:r>
            <w:r w:rsidR="000B142C" w:rsidRPr="00272DA5">
              <w:rPr>
                <w:rFonts w:asciiTheme="majorHAnsi" w:hAnsiTheme="majorHAnsi" w:cstheme="majorHAnsi"/>
                <w:b/>
                <w:bCs/>
                <w:noProof/>
                <w:webHidden/>
                <w:szCs w:val="24"/>
              </w:rPr>
              <w:fldChar w:fldCharType="separate"/>
            </w:r>
            <w:r w:rsidR="000B142C" w:rsidRPr="00272DA5">
              <w:rPr>
                <w:rFonts w:asciiTheme="majorHAnsi" w:hAnsiTheme="majorHAnsi" w:cstheme="majorHAnsi"/>
                <w:b/>
                <w:bCs/>
                <w:noProof/>
                <w:webHidden/>
                <w:szCs w:val="24"/>
              </w:rPr>
              <w:t>3</w:t>
            </w:r>
            <w:r w:rsidR="000B142C" w:rsidRPr="00272DA5">
              <w:rPr>
                <w:rFonts w:asciiTheme="majorHAnsi" w:hAnsiTheme="majorHAnsi" w:cstheme="majorHAnsi"/>
                <w:b/>
                <w:bCs/>
                <w:noProof/>
                <w:webHidden/>
                <w:szCs w:val="24"/>
              </w:rPr>
              <w:fldChar w:fldCharType="end"/>
            </w:r>
          </w:hyperlink>
        </w:p>
        <w:p w14:paraId="4010ED43" w14:textId="0AE9BA63" w:rsidR="000B142C" w:rsidRPr="00272DA5" w:rsidRDefault="000B142C"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79" w:history="1">
            <w:r w:rsidRPr="00272DA5">
              <w:rPr>
                <w:rStyle w:val="Hyperlink"/>
                <w:rFonts w:asciiTheme="majorHAnsi" w:hAnsiTheme="majorHAnsi" w:cstheme="majorHAnsi"/>
                <w:b/>
                <w:bCs/>
                <w:noProof/>
                <w:szCs w:val="24"/>
                <w:u w:val="none"/>
              </w:rPr>
              <w:t xml:space="preserve">2.0 </w:t>
            </w:r>
            <w:r w:rsidR="00D705E2" w:rsidRPr="00272DA5">
              <w:rPr>
                <w:rStyle w:val="Hyperlink"/>
                <w:rFonts w:asciiTheme="majorHAnsi" w:hAnsiTheme="majorHAnsi" w:cstheme="majorHAnsi"/>
                <w:b/>
                <w:bCs/>
                <w:noProof/>
                <w:szCs w:val="24"/>
                <w:u w:val="none"/>
              </w:rPr>
              <w:t>Benefi</w:t>
            </w:r>
            <w:r w:rsidR="002F4AE2" w:rsidRPr="00272DA5">
              <w:rPr>
                <w:rStyle w:val="Hyperlink"/>
                <w:rFonts w:asciiTheme="majorHAnsi" w:hAnsiTheme="majorHAnsi" w:cstheme="majorHAnsi"/>
                <w:b/>
                <w:bCs/>
                <w:noProof/>
                <w:szCs w:val="24"/>
                <w:u w:val="none"/>
              </w:rPr>
              <w:t>ts of Developing Individuals in the Work Place</w:t>
            </w:r>
            <w:r w:rsidRPr="00272DA5">
              <w:rPr>
                <w:rFonts w:asciiTheme="majorHAnsi" w:hAnsiTheme="majorHAnsi" w:cstheme="majorHAnsi"/>
                <w:b/>
                <w:bCs/>
                <w:noProof/>
                <w:webHidden/>
                <w:szCs w:val="24"/>
              </w:rPr>
              <w:tab/>
            </w:r>
            <w:r w:rsidRPr="00272DA5">
              <w:rPr>
                <w:rFonts w:asciiTheme="majorHAnsi" w:hAnsiTheme="majorHAnsi" w:cstheme="majorHAnsi"/>
                <w:b/>
                <w:bCs/>
                <w:noProof/>
                <w:webHidden/>
                <w:szCs w:val="24"/>
              </w:rPr>
              <w:fldChar w:fldCharType="begin"/>
            </w:r>
            <w:r w:rsidRPr="00272DA5">
              <w:rPr>
                <w:rFonts w:asciiTheme="majorHAnsi" w:hAnsiTheme="majorHAnsi" w:cstheme="majorHAnsi"/>
                <w:b/>
                <w:bCs/>
                <w:noProof/>
                <w:webHidden/>
                <w:szCs w:val="24"/>
              </w:rPr>
              <w:instrText xml:space="preserve"> PAGEREF _Toc240035779 \h </w:instrText>
            </w:r>
            <w:r w:rsidRPr="00272DA5">
              <w:rPr>
                <w:rFonts w:asciiTheme="majorHAnsi" w:hAnsiTheme="majorHAnsi" w:cstheme="majorHAnsi"/>
                <w:b/>
                <w:bCs/>
                <w:noProof/>
                <w:webHidden/>
                <w:szCs w:val="24"/>
              </w:rPr>
            </w:r>
            <w:r w:rsidRPr="00272DA5">
              <w:rPr>
                <w:rFonts w:asciiTheme="majorHAnsi" w:hAnsiTheme="majorHAnsi" w:cstheme="majorHAnsi"/>
                <w:b/>
                <w:bCs/>
                <w:noProof/>
                <w:webHidden/>
                <w:szCs w:val="24"/>
              </w:rPr>
              <w:fldChar w:fldCharType="separate"/>
            </w:r>
            <w:r w:rsidRPr="00272DA5">
              <w:rPr>
                <w:rFonts w:asciiTheme="majorHAnsi" w:hAnsiTheme="majorHAnsi" w:cstheme="majorHAnsi"/>
                <w:b/>
                <w:bCs/>
                <w:noProof/>
                <w:webHidden/>
                <w:szCs w:val="24"/>
              </w:rPr>
              <w:t>4</w:t>
            </w:r>
            <w:r w:rsidRPr="00272DA5">
              <w:rPr>
                <w:rFonts w:asciiTheme="majorHAnsi" w:hAnsiTheme="majorHAnsi" w:cstheme="majorHAnsi"/>
                <w:b/>
                <w:bCs/>
                <w:noProof/>
                <w:webHidden/>
                <w:szCs w:val="24"/>
              </w:rPr>
              <w:fldChar w:fldCharType="end"/>
            </w:r>
          </w:hyperlink>
        </w:p>
        <w:p w14:paraId="646AEC65" w14:textId="647B49F1" w:rsidR="000B142C" w:rsidRPr="00272DA5" w:rsidRDefault="000B142C" w:rsidP="0076166B">
          <w:pPr>
            <w:pStyle w:val="TOC2"/>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80" w:history="1">
            <w:r w:rsidRPr="00272DA5">
              <w:rPr>
                <w:rStyle w:val="Hyperlink"/>
                <w:rFonts w:asciiTheme="majorHAnsi" w:hAnsiTheme="majorHAnsi" w:cstheme="majorHAnsi"/>
                <w:b/>
                <w:bCs/>
                <w:noProof/>
                <w:szCs w:val="24"/>
                <w:u w:val="none"/>
              </w:rPr>
              <w:t>2.1</w:t>
            </w:r>
            <w:r w:rsidR="00570F5B" w:rsidRPr="00272DA5">
              <w:rPr>
                <w:rStyle w:val="Hyperlink"/>
                <w:rFonts w:asciiTheme="majorHAnsi" w:hAnsiTheme="majorHAnsi" w:cstheme="majorHAnsi"/>
                <w:b/>
                <w:bCs/>
                <w:noProof/>
                <w:szCs w:val="24"/>
                <w:u w:val="none"/>
              </w:rPr>
              <w:t>Theoretical Perspectives on Employee De</w:t>
            </w:r>
            <w:r w:rsidR="002C05D3" w:rsidRPr="00272DA5">
              <w:rPr>
                <w:rStyle w:val="Hyperlink"/>
                <w:rFonts w:asciiTheme="majorHAnsi" w:hAnsiTheme="majorHAnsi" w:cstheme="majorHAnsi"/>
                <w:b/>
                <w:bCs/>
                <w:noProof/>
                <w:szCs w:val="24"/>
                <w:u w:val="none"/>
              </w:rPr>
              <w:t>velopment</w:t>
            </w:r>
            <w:r w:rsidRPr="00272DA5">
              <w:rPr>
                <w:rFonts w:asciiTheme="majorHAnsi" w:hAnsiTheme="majorHAnsi" w:cstheme="majorHAnsi"/>
                <w:b/>
                <w:bCs/>
                <w:noProof/>
                <w:webHidden/>
                <w:szCs w:val="24"/>
              </w:rPr>
              <w:tab/>
            </w:r>
            <w:r w:rsidR="009F021D">
              <w:rPr>
                <w:rFonts w:asciiTheme="majorHAnsi" w:hAnsiTheme="majorHAnsi" w:cstheme="majorHAnsi"/>
                <w:b/>
                <w:bCs/>
                <w:noProof/>
                <w:webHidden/>
                <w:szCs w:val="24"/>
              </w:rPr>
              <w:t>5</w:t>
            </w:r>
          </w:hyperlink>
        </w:p>
        <w:p w14:paraId="74FBBC59" w14:textId="25122E08" w:rsidR="000B142C" w:rsidRPr="00272DA5" w:rsidRDefault="000B142C" w:rsidP="0076166B">
          <w:pPr>
            <w:pStyle w:val="TOC2"/>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81" w:history="1">
            <w:r w:rsidRPr="00272DA5">
              <w:rPr>
                <w:rStyle w:val="Hyperlink"/>
                <w:rFonts w:asciiTheme="majorHAnsi" w:hAnsiTheme="majorHAnsi" w:cstheme="majorHAnsi"/>
                <w:b/>
                <w:bCs/>
                <w:noProof/>
                <w:szCs w:val="24"/>
                <w:u w:val="none"/>
              </w:rPr>
              <w:t xml:space="preserve">2.2 </w:t>
            </w:r>
            <w:r w:rsidR="002F15CA" w:rsidRPr="00272DA5">
              <w:rPr>
                <w:rStyle w:val="Hyperlink"/>
                <w:rFonts w:asciiTheme="majorHAnsi" w:hAnsiTheme="majorHAnsi" w:cstheme="majorHAnsi"/>
                <w:b/>
                <w:bCs/>
                <w:noProof/>
                <w:szCs w:val="24"/>
                <w:u w:val="none"/>
              </w:rPr>
              <w:t>Benefits to Accomplish</w:t>
            </w:r>
            <w:r w:rsidR="00052223" w:rsidRPr="00272DA5">
              <w:rPr>
                <w:rStyle w:val="Hyperlink"/>
                <w:rFonts w:asciiTheme="majorHAnsi" w:hAnsiTheme="majorHAnsi" w:cstheme="majorHAnsi"/>
                <w:b/>
                <w:bCs/>
                <w:noProof/>
                <w:szCs w:val="24"/>
                <w:u w:val="none"/>
              </w:rPr>
              <w:t xml:space="preserve"> – Keys as an Organisation</w:t>
            </w:r>
            <w:r w:rsidRPr="00272DA5">
              <w:rPr>
                <w:rFonts w:asciiTheme="majorHAnsi" w:hAnsiTheme="majorHAnsi" w:cstheme="majorHAnsi"/>
                <w:b/>
                <w:bCs/>
                <w:noProof/>
                <w:webHidden/>
                <w:szCs w:val="24"/>
              </w:rPr>
              <w:tab/>
            </w:r>
            <w:r w:rsidR="009F021D">
              <w:rPr>
                <w:rFonts w:asciiTheme="majorHAnsi" w:hAnsiTheme="majorHAnsi" w:cstheme="majorHAnsi"/>
                <w:b/>
                <w:bCs/>
                <w:noProof/>
                <w:webHidden/>
                <w:szCs w:val="24"/>
              </w:rPr>
              <w:t>6</w:t>
            </w:r>
          </w:hyperlink>
        </w:p>
        <w:p w14:paraId="7875A47B" w14:textId="1073C238" w:rsidR="000B142C" w:rsidRPr="00272DA5" w:rsidRDefault="000B142C"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82" w:history="1">
            <w:r w:rsidRPr="00272DA5">
              <w:rPr>
                <w:rStyle w:val="Hyperlink"/>
                <w:rFonts w:asciiTheme="majorHAnsi" w:hAnsiTheme="majorHAnsi" w:cstheme="majorHAnsi"/>
                <w:b/>
                <w:bCs/>
                <w:noProof/>
                <w:szCs w:val="24"/>
                <w:u w:val="none"/>
              </w:rPr>
              <w:t xml:space="preserve">3.0 </w:t>
            </w:r>
            <w:r w:rsidR="00A956CC" w:rsidRPr="00272DA5">
              <w:rPr>
                <w:rStyle w:val="Hyperlink"/>
                <w:rFonts w:asciiTheme="majorHAnsi" w:hAnsiTheme="majorHAnsi" w:cstheme="majorHAnsi"/>
                <w:b/>
                <w:bCs/>
                <w:noProof/>
                <w:szCs w:val="24"/>
                <w:u w:val="none"/>
              </w:rPr>
              <w:t>Managing Individual Expectations Regarding Personal Development</w:t>
            </w:r>
            <w:r w:rsidRPr="00272DA5">
              <w:rPr>
                <w:rFonts w:asciiTheme="majorHAnsi" w:hAnsiTheme="majorHAnsi" w:cstheme="majorHAnsi"/>
                <w:b/>
                <w:bCs/>
                <w:noProof/>
                <w:webHidden/>
                <w:szCs w:val="24"/>
              </w:rPr>
              <w:tab/>
            </w:r>
            <w:r w:rsidR="000F2288">
              <w:rPr>
                <w:rFonts w:asciiTheme="majorHAnsi" w:hAnsiTheme="majorHAnsi" w:cstheme="majorHAnsi"/>
                <w:b/>
                <w:bCs/>
                <w:noProof/>
                <w:webHidden/>
                <w:szCs w:val="24"/>
              </w:rPr>
              <w:t>6</w:t>
            </w:r>
          </w:hyperlink>
        </w:p>
        <w:p w14:paraId="5433F027" w14:textId="32AA9378" w:rsidR="000B142C" w:rsidRPr="00272DA5" w:rsidRDefault="000B142C" w:rsidP="0076166B">
          <w:pPr>
            <w:pStyle w:val="TOC2"/>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83" w:history="1">
            <w:r w:rsidRPr="00272DA5">
              <w:rPr>
                <w:rStyle w:val="Hyperlink"/>
                <w:rFonts w:asciiTheme="majorHAnsi" w:hAnsiTheme="majorHAnsi" w:cstheme="majorHAnsi"/>
                <w:b/>
                <w:bCs/>
                <w:noProof/>
                <w:szCs w:val="24"/>
                <w:u w:val="none"/>
              </w:rPr>
              <w:t xml:space="preserve">3.1 </w:t>
            </w:r>
            <w:r w:rsidR="005B3BA5" w:rsidRPr="00272DA5">
              <w:rPr>
                <w:rStyle w:val="Hyperlink"/>
                <w:rFonts w:asciiTheme="majorHAnsi" w:hAnsiTheme="majorHAnsi" w:cstheme="majorHAnsi"/>
                <w:b/>
                <w:bCs/>
                <w:noProof/>
                <w:szCs w:val="24"/>
                <w:u w:val="none"/>
              </w:rPr>
              <w:t>Understanding Employ</w:t>
            </w:r>
            <w:r w:rsidR="00B74F97" w:rsidRPr="00272DA5">
              <w:rPr>
                <w:rStyle w:val="Hyperlink"/>
                <w:rFonts w:asciiTheme="majorHAnsi" w:hAnsiTheme="majorHAnsi" w:cstheme="majorHAnsi"/>
                <w:b/>
                <w:bCs/>
                <w:noProof/>
                <w:szCs w:val="24"/>
                <w:u w:val="none"/>
              </w:rPr>
              <w:t>ee Expectations</w:t>
            </w:r>
            <w:r w:rsidRPr="00272DA5">
              <w:rPr>
                <w:rFonts w:asciiTheme="majorHAnsi" w:hAnsiTheme="majorHAnsi" w:cstheme="majorHAnsi"/>
                <w:b/>
                <w:bCs/>
                <w:noProof/>
                <w:webHidden/>
                <w:szCs w:val="24"/>
              </w:rPr>
              <w:tab/>
            </w:r>
            <w:r w:rsidR="000F2288">
              <w:rPr>
                <w:rFonts w:asciiTheme="majorHAnsi" w:hAnsiTheme="majorHAnsi" w:cstheme="majorHAnsi"/>
                <w:b/>
                <w:bCs/>
                <w:noProof/>
                <w:webHidden/>
                <w:szCs w:val="24"/>
              </w:rPr>
              <w:t>8</w:t>
            </w:r>
          </w:hyperlink>
        </w:p>
        <w:p w14:paraId="6790F08A" w14:textId="6CE49A2D" w:rsidR="000B142C" w:rsidRPr="00272DA5" w:rsidRDefault="00B74F97"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r w:rsidRPr="00272DA5">
            <w:rPr>
              <w:rFonts w:asciiTheme="majorHAnsi" w:hAnsiTheme="majorHAnsi" w:cstheme="majorHAnsi"/>
              <w:b/>
              <w:bCs/>
              <w:noProof/>
              <w:szCs w:val="24"/>
            </w:rPr>
            <w:t xml:space="preserve">   </w:t>
          </w:r>
          <w:r w:rsidR="00550ECC" w:rsidRPr="00272DA5">
            <w:rPr>
              <w:rFonts w:asciiTheme="majorHAnsi" w:hAnsiTheme="majorHAnsi" w:cstheme="majorHAnsi"/>
              <w:b/>
              <w:bCs/>
              <w:noProof/>
              <w:szCs w:val="24"/>
            </w:rPr>
            <w:t xml:space="preserve"> </w:t>
          </w:r>
          <w:hyperlink w:anchor="_Toc240035784" w:history="1">
            <w:r w:rsidRPr="00272DA5">
              <w:rPr>
                <w:rStyle w:val="Hyperlink"/>
                <w:rFonts w:asciiTheme="majorHAnsi" w:hAnsiTheme="majorHAnsi" w:cstheme="majorHAnsi"/>
                <w:b/>
                <w:bCs/>
                <w:noProof/>
                <w:szCs w:val="24"/>
                <w:u w:val="none"/>
              </w:rPr>
              <w:t>3.2</w:t>
            </w:r>
            <w:r w:rsidR="000B142C" w:rsidRPr="00272DA5">
              <w:rPr>
                <w:rStyle w:val="Hyperlink"/>
                <w:rFonts w:asciiTheme="majorHAnsi" w:hAnsiTheme="majorHAnsi" w:cstheme="majorHAnsi"/>
                <w:b/>
                <w:bCs/>
                <w:noProof/>
                <w:szCs w:val="24"/>
                <w:u w:val="none"/>
              </w:rPr>
              <w:t xml:space="preserve"> </w:t>
            </w:r>
            <w:r w:rsidR="007E6645" w:rsidRPr="00272DA5">
              <w:rPr>
                <w:rStyle w:val="Hyperlink"/>
                <w:rFonts w:asciiTheme="majorHAnsi" w:hAnsiTheme="majorHAnsi" w:cstheme="majorHAnsi"/>
                <w:b/>
                <w:bCs/>
                <w:noProof/>
                <w:szCs w:val="24"/>
                <w:u w:val="none"/>
              </w:rPr>
              <w:t>Role of Deputy Manager</w:t>
            </w:r>
            <w:r w:rsidR="000B142C" w:rsidRPr="00272DA5">
              <w:rPr>
                <w:rFonts w:asciiTheme="majorHAnsi" w:hAnsiTheme="majorHAnsi" w:cstheme="majorHAnsi"/>
                <w:b/>
                <w:bCs/>
                <w:noProof/>
                <w:webHidden/>
                <w:szCs w:val="24"/>
              </w:rPr>
              <w:tab/>
            </w:r>
            <w:r w:rsidR="000F2288">
              <w:rPr>
                <w:rFonts w:asciiTheme="majorHAnsi" w:hAnsiTheme="majorHAnsi" w:cstheme="majorHAnsi"/>
                <w:b/>
                <w:bCs/>
                <w:noProof/>
                <w:webHidden/>
                <w:szCs w:val="24"/>
              </w:rPr>
              <w:t>8</w:t>
            </w:r>
          </w:hyperlink>
        </w:p>
        <w:p w14:paraId="3E68DF4F" w14:textId="5B344E7E" w:rsidR="000B142C" w:rsidRPr="00272DA5" w:rsidRDefault="007E6645"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85" w:history="1">
            <w:r w:rsidRPr="00272DA5">
              <w:rPr>
                <w:rStyle w:val="Hyperlink"/>
                <w:rFonts w:asciiTheme="majorHAnsi" w:hAnsiTheme="majorHAnsi" w:cstheme="majorHAnsi"/>
                <w:b/>
                <w:bCs/>
                <w:noProof/>
                <w:szCs w:val="24"/>
                <w:u w:val="none"/>
              </w:rPr>
              <w:t xml:space="preserve">   </w:t>
            </w:r>
            <w:r w:rsidR="00550ECC" w:rsidRPr="00272DA5">
              <w:rPr>
                <w:rStyle w:val="Hyperlink"/>
                <w:rFonts w:asciiTheme="majorHAnsi" w:hAnsiTheme="majorHAnsi" w:cstheme="majorHAnsi"/>
                <w:b/>
                <w:bCs/>
                <w:noProof/>
                <w:szCs w:val="24"/>
                <w:u w:val="none"/>
              </w:rPr>
              <w:t xml:space="preserve"> </w:t>
            </w:r>
            <w:r w:rsidRPr="00272DA5">
              <w:rPr>
                <w:rStyle w:val="Hyperlink"/>
                <w:rFonts w:asciiTheme="majorHAnsi" w:hAnsiTheme="majorHAnsi" w:cstheme="majorHAnsi"/>
                <w:b/>
                <w:bCs/>
                <w:noProof/>
                <w:szCs w:val="24"/>
                <w:u w:val="none"/>
              </w:rPr>
              <w:t xml:space="preserve">3.3 </w:t>
            </w:r>
            <w:r w:rsidR="00A71CBB" w:rsidRPr="00272DA5">
              <w:rPr>
                <w:rStyle w:val="Hyperlink"/>
                <w:rFonts w:asciiTheme="majorHAnsi" w:hAnsiTheme="majorHAnsi" w:cstheme="majorHAnsi"/>
                <w:b/>
                <w:bCs/>
                <w:noProof/>
                <w:szCs w:val="24"/>
                <w:u w:val="none"/>
              </w:rPr>
              <w:t xml:space="preserve">Communicate and Feedback Methods </w:t>
            </w:r>
            <w:r w:rsidR="000B142C" w:rsidRPr="00272DA5">
              <w:rPr>
                <w:rFonts w:asciiTheme="majorHAnsi" w:hAnsiTheme="majorHAnsi" w:cstheme="majorHAnsi"/>
                <w:b/>
                <w:bCs/>
                <w:noProof/>
                <w:webHidden/>
                <w:szCs w:val="24"/>
              </w:rPr>
              <w:tab/>
            </w:r>
            <w:r w:rsidR="009F021D">
              <w:rPr>
                <w:rFonts w:asciiTheme="majorHAnsi" w:hAnsiTheme="majorHAnsi" w:cstheme="majorHAnsi"/>
                <w:b/>
                <w:bCs/>
                <w:noProof/>
                <w:webHidden/>
                <w:szCs w:val="24"/>
              </w:rPr>
              <w:t>9</w:t>
            </w:r>
          </w:hyperlink>
        </w:p>
        <w:p w14:paraId="584BB93B" w14:textId="3E94C810" w:rsidR="000B142C" w:rsidRPr="00272DA5" w:rsidRDefault="000300AA"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r w:rsidRPr="00272DA5">
            <w:rPr>
              <w:rFonts w:asciiTheme="majorHAnsi" w:hAnsiTheme="majorHAnsi" w:cstheme="majorHAnsi"/>
              <w:b/>
              <w:bCs/>
              <w:noProof/>
              <w:szCs w:val="24"/>
            </w:rPr>
            <w:t>4.0 Formal Learning Oppor</w:t>
          </w:r>
          <w:r w:rsidR="00DE6701" w:rsidRPr="00272DA5">
            <w:rPr>
              <w:rFonts w:asciiTheme="majorHAnsi" w:hAnsiTheme="majorHAnsi" w:cstheme="majorHAnsi"/>
              <w:b/>
              <w:bCs/>
              <w:noProof/>
              <w:szCs w:val="24"/>
            </w:rPr>
            <w:t xml:space="preserve">tunities </w:t>
          </w:r>
          <w:hyperlink w:anchor="_Toc240035786" w:history="1">
            <w:r w:rsidR="000B142C" w:rsidRPr="00272DA5">
              <w:rPr>
                <w:rFonts w:asciiTheme="majorHAnsi" w:hAnsiTheme="majorHAnsi" w:cstheme="majorHAnsi"/>
                <w:b/>
                <w:bCs/>
                <w:noProof/>
                <w:webHidden/>
                <w:szCs w:val="24"/>
              </w:rPr>
              <w:tab/>
            </w:r>
            <w:r w:rsidR="00B72D45">
              <w:rPr>
                <w:rFonts w:asciiTheme="majorHAnsi" w:hAnsiTheme="majorHAnsi" w:cstheme="majorHAnsi"/>
                <w:b/>
                <w:bCs/>
                <w:noProof/>
                <w:webHidden/>
                <w:szCs w:val="24"/>
              </w:rPr>
              <w:t>11</w:t>
            </w:r>
          </w:hyperlink>
        </w:p>
        <w:p w14:paraId="0D5178CB" w14:textId="58A414CD" w:rsidR="002E14B2" w:rsidRPr="00272DA5" w:rsidRDefault="008312FD" w:rsidP="0076166B">
          <w:pPr>
            <w:tabs>
              <w:tab w:val="left" w:pos="6300"/>
            </w:tabs>
            <w:spacing w:after="0"/>
            <w:rPr>
              <w:rFonts w:asciiTheme="majorHAnsi" w:hAnsiTheme="majorHAnsi" w:cstheme="majorHAnsi"/>
              <w:b/>
              <w:bCs/>
              <w:i/>
              <w:iCs/>
              <w:szCs w:val="24"/>
            </w:rPr>
          </w:pPr>
          <w:r w:rsidRPr="00272DA5">
            <w:rPr>
              <w:rFonts w:asciiTheme="majorHAnsi" w:hAnsiTheme="majorHAnsi" w:cstheme="majorHAnsi"/>
              <w:b/>
              <w:bCs/>
              <w:szCs w:val="24"/>
            </w:rPr>
            <w:fldChar w:fldCharType="end"/>
          </w:r>
          <w:r w:rsidR="00A74525" w:rsidRPr="00272DA5">
            <w:rPr>
              <w:rFonts w:asciiTheme="majorHAnsi" w:hAnsiTheme="majorHAnsi" w:cstheme="majorHAnsi"/>
              <w:b/>
              <w:bCs/>
              <w:i/>
              <w:iCs/>
              <w:szCs w:val="24"/>
            </w:rPr>
            <w:t xml:space="preserve"> </w:t>
          </w:r>
          <w:r w:rsidR="00550ECC" w:rsidRPr="00272DA5">
            <w:rPr>
              <w:rFonts w:asciiTheme="majorHAnsi" w:hAnsiTheme="majorHAnsi" w:cstheme="majorHAnsi"/>
              <w:b/>
              <w:bCs/>
              <w:i/>
              <w:iCs/>
              <w:szCs w:val="24"/>
            </w:rPr>
            <w:t xml:space="preserve"> </w:t>
          </w:r>
          <w:r w:rsidR="00A74525" w:rsidRPr="00272DA5">
            <w:rPr>
              <w:rFonts w:asciiTheme="majorHAnsi" w:hAnsiTheme="majorHAnsi" w:cstheme="majorHAnsi"/>
              <w:b/>
              <w:bCs/>
              <w:i/>
              <w:iCs/>
              <w:szCs w:val="24"/>
            </w:rPr>
            <w:t xml:space="preserve"> 4.1 </w:t>
          </w:r>
          <w:r w:rsidR="001C36B8" w:rsidRPr="00272DA5">
            <w:rPr>
              <w:rFonts w:asciiTheme="majorHAnsi" w:hAnsiTheme="majorHAnsi" w:cstheme="majorHAnsi"/>
              <w:b/>
              <w:bCs/>
              <w:i/>
              <w:iCs/>
              <w:szCs w:val="24"/>
            </w:rPr>
            <w:t>Critical Comparison of Development Vehic</w:t>
          </w:r>
          <w:r w:rsidR="00C20A08" w:rsidRPr="00272DA5">
            <w:rPr>
              <w:rFonts w:asciiTheme="majorHAnsi" w:hAnsiTheme="majorHAnsi" w:cstheme="majorHAnsi"/>
              <w:b/>
              <w:bCs/>
              <w:i/>
              <w:iCs/>
              <w:szCs w:val="24"/>
            </w:rPr>
            <w:t xml:space="preserve">les </w:t>
          </w:r>
          <w:r w:rsidR="00C20A08" w:rsidRPr="00272DA5">
            <w:rPr>
              <w:rFonts w:asciiTheme="majorHAnsi" w:hAnsiTheme="majorHAnsi" w:cstheme="majorHAnsi"/>
              <w:b/>
              <w:bCs/>
              <w:i/>
              <w:iCs/>
              <w:szCs w:val="24"/>
            </w:rPr>
            <w:tab/>
          </w:r>
          <w:r w:rsidR="00855884">
            <w:rPr>
              <w:rFonts w:asciiTheme="majorHAnsi" w:hAnsiTheme="majorHAnsi" w:cstheme="majorHAnsi"/>
              <w:b/>
              <w:bCs/>
              <w:i/>
              <w:iCs/>
              <w:szCs w:val="24"/>
            </w:rPr>
            <w:t xml:space="preserve">                                                   1</w:t>
          </w:r>
          <w:r w:rsidR="008A21D5">
            <w:rPr>
              <w:rFonts w:asciiTheme="majorHAnsi" w:hAnsiTheme="majorHAnsi" w:cstheme="majorHAnsi"/>
              <w:b/>
              <w:bCs/>
              <w:i/>
              <w:iCs/>
              <w:szCs w:val="24"/>
            </w:rPr>
            <w:t>2</w:t>
          </w:r>
        </w:p>
        <w:p w14:paraId="7CB51DFA" w14:textId="155D5B4B" w:rsidR="00FD1FD1" w:rsidRPr="00272DA5" w:rsidRDefault="002E14B2" w:rsidP="0076166B">
          <w:pPr>
            <w:tabs>
              <w:tab w:val="left" w:pos="6300"/>
            </w:tabs>
            <w:spacing w:after="0"/>
            <w:rPr>
              <w:rFonts w:asciiTheme="majorHAnsi" w:hAnsiTheme="majorHAnsi" w:cstheme="majorHAnsi"/>
              <w:b/>
              <w:bCs/>
              <w:i/>
              <w:iCs/>
              <w:szCs w:val="24"/>
            </w:rPr>
          </w:pPr>
          <w:r w:rsidRPr="00272DA5">
            <w:rPr>
              <w:rFonts w:asciiTheme="majorHAnsi" w:hAnsiTheme="majorHAnsi" w:cstheme="majorHAnsi"/>
              <w:b/>
              <w:bCs/>
              <w:i/>
              <w:iCs/>
              <w:szCs w:val="24"/>
            </w:rPr>
            <w:t xml:space="preserve">5.0 </w:t>
          </w:r>
          <w:r w:rsidR="0076166B" w:rsidRPr="00272DA5">
            <w:rPr>
              <w:rFonts w:asciiTheme="majorHAnsi" w:hAnsiTheme="majorHAnsi" w:cstheme="majorHAnsi"/>
              <w:b/>
              <w:bCs/>
              <w:i/>
              <w:iCs/>
              <w:szCs w:val="24"/>
            </w:rPr>
            <w:t>Personal Development Plan and Performance Management</w:t>
          </w:r>
          <w:r w:rsidR="00855884">
            <w:rPr>
              <w:rFonts w:asciiTheme="majorHAnsi" w:hAnsiTheme="majorHAnsi" w:cstheme="majorHAnsi"/>
              <w:b/>
              <w:bCs/>
              <w:i/>
              <w:iCs/>
              <w:szCs w:val="24"/>
            </w:rPr>
            <w:t xml:space="preserve">                                                   1</w:t>
          </w:r>
          <w:r w:rsidR="009372E1">
            <w:rPr>
              <w:rFonts w:asciiTheme="majorHAnsi" w:hAnsiTheme="majorHAnsi" w:cstheme="majorHAnsi"/>
              <w:b/>
              <w:bCs/>
              <w:i/>
              <w:iCs/>
              <w:szCs w:val="24"/>
            </w:rPr>
            <w:t>4</w:t>
          </w:r>
        </w:p>
        <w:p w14:paraId="4C025025" w14:textId="17B6F0BA" w:rsidR="00547B35" w:rsidRPr="00272DA5" w:rsidRDefault="00FD1FD1"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  </w:t>
          </w:r>
          <w:r w:rsidR="00550ECC" w:rsidRPr="00272DA5">
            <w:rPr>
              <w:rFonts w:asciiTheme="majorHAnsi" w:hAnsiTheme="majorHAnsi" w:cstheme="majorHAnsi"/>
              <w:b/>
              <w:bCs/>
              <w:szCs w:val="24"/>
            </w:rPr>
            <w:t xml:space="preserve"> </w:t>
          </w:r>
          <w:r w:rsidRPr="00272DA5">
            <w:rPr>
              <w:rFonts w:asciiTheme="majorHAnsi" w:hAnsiTheme="majorHAnsi" w:cstheme="majorHAnsi"/>
              <w:b/>
              <w:bCs/>
              <w:szCs w:val="24"/>
            </w:rPr>
            <w:t>5.1 Employee Profile</w:t>
          </w:r>
          <w:r w:rsidR="00A05512">
            <w:rPr>
              <w:rFonts w:asciiTheme="majorHAnsi" w:hAnsiTheme="majorHAnsi" w:cstheme="majorHAnsi"/>
              <w:b/>
              <w:bCs/>
              <w:szCs w:val="24"/>
            </w:rPr>
            <w:t xml:space="preserve">                                                                                                                              1</w:t>
          </w:r>
          <w:r w:rsidR="009372E1">
            <w:rPr>
              <w:rFonts w:asciiTheme="majorHAnsi" w:hAnsiTheme="majorHAnsi" w:cstheme="majorHAnsi"/>
              <w:b/>
              <w:bCs/>
              <w:szCs w:val="24"/>
            </w:rPr>
            <w:t>4</w:t>
          </w:r>
        </w:p>
        <w:p w14:paraId="036309A3" w14:textId="1C4FCF56" w:rsidR="0096360A" w:rsidRPr="00272DA5" w:rsidRDefault="00547B35"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  </w:t>
          </w:r>
          <w:r w:rsidR="00550ECC" w:rsidRPr="00272DA5">
            <w:rPr>
              <w:rFonts w:asciiTheme="majorHAnsi" w:hAnsiTheme="majorHAnsi" w:cstheme="majorHAnsi"/>
              <w:b/>
              <w:bCs/>
              <w:szCs w:val="24"/>
            </w:rPr>
            <w:t xml:space="preserve"> </w:t>
          </w:r>
          <w:r w:rsidRPr="00272DA5">
            <w:rPr>
              <w:rFonts w:asciiTheme="majorHAnsi" w:hAnsiTheme="majorHAnsi" w:cstheme="majorHAnsi"/>
              <w:b/>
              <w:bCs/>
              <w:szCs w:val="24"/>
            </w:rPr>
            <w:t xml:space="preserve">5.2 Skills Gap Analysis </w:t>
          </w:r>
          <w:r w:rsidR="00A05512">
            <w:rPr>
              <w:rFonts w:asciiTheme="majorHAnsi" w:hAnsiTheme="majorHAnsi" w:cstheme="majorHAnsi"/>
              <w:b/>
              <w:bCs/>
              <w:szCs w:val="24"/>
            </w:rPr>
            <w:t xml:space="preserve">                                                                                                                           1</w:t>
          </w:r>
          <w:r w:rsidR="009372E1">
            <w:rPr>
              <w:rFonts w:asciiTheme="majorHAnsi" w:hAnsiTheme="majorHAnsi" w:cstheme="majorHAnsi"/>
              <w:b/>
              <w:bCs/>
              <w:szCs w:val="24"/>
            </w:rPr>
            <w:t>4</w:t>
          </w:r>
        </w:p>
        <w:p w14:paraId="2D49DF4C" w14:textId="57D56246" w:rsidR="00772F2C" w:rsidRPr="00272DA5" w:rsidRDefault="0096360A"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  </w:t>
          </w:r>
          <w:r w:rsidR="00550ECC" w:rsidRPr="00272DA5">
            <w:rPr>
              <w:rFonts w:asciiTheme="majorHAnsi" w:hAnsiTheme="majorHAnsi" w:cstheme="majorHAnsi"/>
              <w:b/>
              <w:bCs/>
              <w:szCs w:val="24"/>
            </w:rPr>
            <w:t xml:space="preserve"> </w:t>
          </w:r>
          <w:r w:rsidRPr="00272DA5">
            <w:rPr>
              <w:rFonts w:asciiTheme="majorHAnsi" w:hAnsiTheme="majorHAnsi" w:cstheme="majorHAnsi"/>
              <w:b/>
              <w:bCs/>
              <w:szCs w:val="24"/>
            </w:rPr>
            <w:t xml:space="preserve">5.3 </w:t>
          </w:r>
          <w:r w:rsidR="00772F2C" w:rsidRPr="00272DA5">
            <w:rPr>
              <w:rFonts w:asciiTheme="majorHAnsi" w:hAnsiTheme="majorHAnsi" w:cstheme="majorHAnsi"/>
              <w:b/>
              <w:bCs/>
              <w:szCs w:val="24"/>
            </w:rPr>
            <w:t xml:space="preserve">Personal Development Plan </w:t>
          </w:r>
          <w:r w:rsidR="00A05512">
            <w:rPr>
              <w:rFonts w:asciiTheme="majorHAnsi" w:hAnsiTheme="majorHAnsi" w:cstheme="majorHAnsi"/>
              <w:b/>
              <w:bCs/>
              <w:szCs w:val="24"/>
            </w:rPr>
            <w:t xml:space="preserve">                                                                                                          1</w:t>
          </w:r>
          <w:r w:rsidR="009372E1">
            <w:rPr>
              <w:rFonts w:asciiTheme="majorHAnsi" w:hAnsiTheme="majorHAnsi" w:cstheme="majorHAnsi"/>
              <w:b/>
              <w:bCs/>
              <w:szCs w:val="24"/>
            </w:rPr>
            <w:t>5</w:t>
          </w:r>
        </w:p>
        <w:p w14:paraId="1D2E7414" w14:textId="7A192158" w:rsidR="00B3393E" w:rsidRPr="00272DA5" w:rsidRDefault="00772F2C"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  </w:t>
          </w:r>
          <w:r w:rsidR="00550ECC" w:rsidRPr="00272DA5">
            <w:rPr>
              <w:rFonts w:asciiTheme="majorHAnsi" w:hAnsiTheme="majorHAnsi" w:cstheme="majorHAnsi"/>
              <w:b/>
              <w:bCs/>
              <w:szCs w:val="24"/>
            </w:rPr>
            <w:t xml:space="preserve"> </w:t>
          </w:r>
          <w:r w:rsidRPr="00272DA5">
            <w:rPr>
              <w:rFonts w:asciiTheme="majorHAnsi" w:hAnsiTheme="majorHAnsi" w:cstheme="majorHAnsi"/>
              <w:b/>
              <w:bCs/>
              <w:szCs w:val="24"/>
            </w:rPr>
            <w:t>5.4 Managing Performance</w:t>
          </w:r>
          <w:r w:rsidR="00AB2955">
            <w:rPr>
              <w:rFonts w:asciiTheme="majorHAnsi" w:hAnsiTheme="majorHAnsi" w:cstheme="majorHAnsi"/>
              <w:b/>
              <w:bCs/>
              <w:szCs w:val="24"/>
            </w:rPr>
            <w:t xml:space="preserve">                                                                                                                   1</w:t>
          </w:r>
          <w:r w:rsidR="00824868">
            <w:rPr>
              <w:rFonts w:asciiTheme="majorHAnsi" w:hAnsiTheme="majorHAnsi" w:cstheme="majorHAnsi"/>
              <w:b/>
              <w:bCs/>
              <w:szCs w:val="24"/>
            </w:rPr>
            <w:t>5</w:t>
          </w:r>
        </w:p>
        <w:p w14:paraId="19C5B294" w14:textId="4710D2FD" w:rsidR="002E47FE" w:rsidRPr="00272DA5" w:rsidRDefault="00B3393E"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  </w:t>
          </w:r>
          <w:r w:rsidR="00550ECC" w:rsidRPr="00272DA5">
            <w:rPr>
              <w:rFonts w:asciiTheme="majorHAnsi" w:hAnsiTheme="majorHAnsi" w:cstheme="majorHAnsi"/>
              <w:b/>
              <w:bCs/>
              <w:szCs w:val="24"/>
            </w:rPr>
            <w:t xml:space="preserve"> </w:t>
          </w:r>
          <w:r w:rsidRPr="00272DA5">
            <w:rPr>
              <w:rFonts w:asciiTheme="majorHAnsi" w:hAnsiTheme="majorHAnsi" w:cstheme="majorHAnsi"/>
              <w:b/>
              <w:bCs/>
              <w:szCs w:val="24"/>
            </w:rPr>
            <w:t xml:space="preserve">5.5 Reflection on Sustainability </w:t>
          </w:r>
          <w:r w:rsidR="00AB2955">
            <w:rPr>
              <w:rFonts w:asciiTheme="majorHAnsi" w:hAnsiTheme="majorHAnsi" w:cstheme="majorHAnsi"/>
              <w:b/>
              <w:bCs/>
              <w:szCs w:val="24"/>
            </w:rPr>
            <w:t xml:space="preserve">                                                                                                           1</w:t>
          </w:r>
          <w:r w:rsidR="0062584A">
            <w:rPr>
              <w:rFonts w:asciiTheme="majorHAnsi" w:hAnsiTheme="majorHAnsi" w:cstheme="majorHAnsi"/>
              <w:b/>
              <w:bCs/>
              <w:szCs w:val="24"/>
            </w:rPr>
            <w:t>8</w:t>
          </w:r>
        </w:p>
        <w:p w14:paraId="6A4DABF1" w14:textId="0ABD6C0D" w:rsidR="002E47FE" w:rsidRPr="00272DA5" w:rsidRDefault="002E47FE"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6.0 </w:t>
          </w:r>
          <w:r w:rsidR="00F22756" w:rsidRPr="00272DA5">
            <w:rPr>
              <w:rFonts w:asciiTheme="majorHAnsi" w:hAnsiTheme="majorHAnsi" w:cstheme="majorHAnsi"/>
              <w:b/>
              <w:bCs/>
              <w:szCs w:val="24"/>
            </w:rPr>
            <w:t xml:space="preserve">Conclusion </w:t>
          </w:r>
          <w:r w:rsidRPr="00272DA5">
            <w:rPr>
              <w:rFonts w:asciiTheme="majorHAnsi" w:hAnsiTheme="majorHAnsi" w:cstheme="majorHAnsi"/>
              <w:b/>
              <w:bCs/>
              <w:szCs w:val="24"/>
            </w:rPr>
            <w:t xml:space="preserve"> </w:t>
          </w:r>
          <w:r w:rsidR="00A339C7">
            <w:rPr>
              <w:rFonts w:asciiTheme="majorHAnsi" w:hAnsiTheme="majorHAnsi" w:cstheme="majorHAnsi"/>
              <w:b/>
              <w:bCs/>
              <w:szCs w:val="24"/>
            </w:rPr>
            <w:t xml:space="preserve">                                                                                                                                           </w:t>
          </w:r>
          <w:r w:rsidR="00531CA7">
            <w:rPr>
              <w:rFonts w:asciiTheme="majorHAnsi" w:hAnsiTheme="majorHAnsi" w:cstheme="majorHAnsi"/>
              <w:b/>
              <w:bCs/>
              <w:szCs w:val="24"/>
            </w:rPr>
            <w:t>19</w:t>
          </w:r>
        </w:p>
        <w:p w14:paraId="2BF66C93" w14:textId="1C0E6949" w:rsidR="00583709" w:rsidRPr="00272DA5" w:rsidRDefault="00EC32A6" w:rsidP="0076166B">
          <w:pPr>
            <w:tabs>
              <w:tab w:val="left" w:pos="6300"/>
            </w:tabs>
            <w:spacing w:after="0"/>
            <w:rPr>
              <w:rFonts w:asciiTheme="majorHAnsi" w:hAnsiTheme="majorHAnsi" w:cstheme="majorHAnsi"/>
              <w:szCs w:val="24"/>
            </w:rPr>
          </w:pPr>
          <w:r w:rsidRPr="00272DA5">
            <w:rPr>
              <w:rFonts w:asciiTheme="majorHAnsi" w:hAnsiTheme="majorHAnsi" w:cstheme="majorHAnsi"/>
              <w:b/>
              <w:bCs/>
              <w:szCs w:val="24"/>
            </w:rPr>
            <w:t xml:space="preserve">7.0 </w:t>
          </w:r>
          <w:r w:rsidR="002E47FE" w:rsidRPr="00272DA5">
            <w:rPr>
              <w:rFonts w:asciiTheme="majorHAnsi" w:hAnsiTheme="majorHAnsi" w:cstheme="majorHAnsi"/>
              <w:b/>
              <w:bCs/>
              <w:szCs w:val="24"/>
            </w:rPr>
            <w:t>References</w:t>
          </w:r>
          <w:r w:rsidR="002E47FE" w:rsidRPr="00272DA5">
            <w:rPr>
              <w:rFonts w:asciiTheme="majorHAnsi" w:hAnsiTheme="majorHAnsi" w:cstheme="majorHAnsi"/>
              <w:szCs w:val="24"/>
            </w:rPr>
            <w:t xml:space="preserve"> </w:t>
          </w:r>
          <w:r w:rsidR="00C049BD">
            <w:rPr>
              <w:rFonts w:asciiTheme="majorHAnsi" w:hAnsiTheme="majorHAnsi" w:cstheme="majorHAnsi"/>
              <w:szCs w:val="24"/>
            </w:rPr>
            <w:t xml:space="preserve">                                                                                                                                      </w:t>
          </w:r>
          <w:r w:rsidR="00531CA7">
            <w:rPr>
              <w:rFonts w:asciiTheme="majorHAnsi" w:hAnsiTheme="majorHAnsi" w:cstheme="majorHAnsi"/>
              <w:b/>
              <w:bCs/>
              <w:szCs w:val="24"/>
            </w:rPr>
            <w:t>18-21</w:t>
          </w:r>
        </w:p>
      </w:sdtContent>
    </w:sdt>
    <w:p w14:paraId="0AA4E60E" w14:textId="2571EE37" w:rsidR="007C463F" w:rsidRPr="00272DA5" w:rsidRDefault="007C463F">
      <w:pPr>
        <w:rPr>
          <w:rFonts w:asciiTheme="majorHAnsi" w:eastAsia="Arial" w:hAnsiTheme="majorHAnsi" w:cstheme="majorHAnsi"/>
          <w:color w:val="2E75B5"/>
          <w:szCs w:val="24"/>
        </w:rPr>
      </w:pPr>
    </w:p>
    <w:p w14:paraId="3A3D4527" w14:textId="77777777" w:rsidR="007C463F" w:rsidRPr="00272DA5" w:rsidRDefault="007C463F">
      <w:pPr>
        <w:rPr>
          <w:rFonts w:asciiTheme="majorHAnsi" w:eastAsia="Arial" w:hAnsiTheme="majorHAnsi" w:cstheme="majorHAnsi"/>
          <w:color w:val="2E75B5"/>
          <w:szCs w:val="24"/>
        </w:rPr>
      </w:pPr>
    </w:p>
    <w:p w14:paraId="2821F778" w14:textId="77777777" w:rsidR="007C463F" w:rsidRPr="00272DA5" w:rsidRDefault="007C463F">
      <w:pPr>
        <w:rPr>
          <w:rFonts w:asciiTheme="majorHAnsi" w:eastAsia="Arial" w:hAnsiTheme="majorHAnsi" w:cstheme="majorHAnsi"/>
          <w:color w:val="2E75B5"/>
          <w:szCs w:val="24"/>
        </w:rPr>
      </w:pPr>
    </w:p>
    <w:p w14:paraId="1025CAF0" w14:textId="77777777" w:rsidR="007C463F" w:rsidRPr="00272DA5" w:rsidRDefault="007C463F">
      <w:pPr>
        <w:rPr>
          <w:rFonts w:asciiTheme="majorHAnsi" w:eastAsia="Arial" w:hAnsiTheme="majorHAnsi" w:cstheme="majorHAnsi"/>
          <w:color w:val="2E75B5"/>
          <w:szCs w:val="24"/>
        </w:rPr>
      </w:pPr>
    </w:p>
    <w:p w14:paraId="03192BFD" w14:textId="77777777" w:rsidR="007C463F" w:rsidRPr="00272DA5" w:rsidRDefault="007C463F">
      <w:pPr>
        <w:rPr>
          <w:rFonts w:asciiTheme="majorHAnsi" w:eastAsia="Arial" w:hAnsiTheme="majorHAnsi" w:cstheme="majorHAnsi"/>
          <w:color w:val="2E75B5"/>
          <w:szCs w:val="24"/>
        </w:rPr>
      </w:pPr>
    </w:p>
    <w:p w14:paraId="57F6695F" w14:textId="77777777" w:rsidR="007C463F" w:rsidRPr="00272DA5" w:rsidRDefault="007C463F">
      <w:pPr>
        <w:rPr>
          <w:rFonts w:asciiTheme="majorHAnsi" w:eastAsia="Arial" w:hAnsiTheme="majorHAnsi" w:cstheme="majorHAnsi"/>
          <w:color w:val="2E75B5"/>
          <w:szCs w:val="24"/>
        </w:rPr>
      </w:pPr>
    </w:p>
    <w:p w14:paraId="3EF5DC6D" w14:textId="77777777" w:rsidR="007C463F" w:rsidRPr="00272DA5" w:rsidRDefault="007C463F">
      <w:pPr>
        <w:rPr>
          <w:rFonts w:asciiTheme="majorHAnsi" w:eastAsia="Arial" w:hAnsiTheme="majorHAnsi" w:cstheme="majorHAnsi"/>
          <w:color w:val="2E75B5"/>
          <w:szCs w:val="24"/>
        </w:rPr>
      </w:pPr>
    </w:p>
    <w:p w14:paraId="201B8724" w14:textId="77777777" w:rsidR="007C463F" w:rsidRPr="00272DA5" w:rsidRDefault="007C463F">
      <w:pPr>
        <w:rPr>
          <w:rFonts w:asciiTheme="majorHAnsi" w:eastAsia="Arial" w:hAnsiTheme="majorHAnsi" w:cstheme="majorHAnsi"/>
          <w:color w:val="2E75B5"/>
          <w:szCs w:val="24"/>
        </w:rPr>
      </w:pPr>
    </w:p>
    <w:p w14:paraId="3B5D05E0" w14:textId="77777777" w:rsidR="00DA3242" w:rsidRPr="00272DA5" w:rsidRDefault="00DA3242">
      <w:pPr>
        <w:rPr>
          <w:rFonts w:asciiTheme="majorHAnsi" w:eastAsia="Arial" w:hAnsiTheme="majorHAnsi" w:cstheme="majorHAnsi"/>
          <w:color w:val="2E75B5"/>
          <w:szCs w:val="24"/>
        </w:rPr>
      </w:pPr>
    </w:p>
    <w:p w14:paraId="793F21D2" w14:textId="77777777" w:rsidR="00DA3242" w:rsidRPr="00272DA5" w:rsidRDefault="00DA3242">
      <w:pPr>
        <w:rPr>
          <w:rFonts w:asciiTheme="majorHAnsi" w:eastAsia="Arial" w:hAnsiTheme="majorHAnsi" w:cstheme="majorHAnsi"/>
          <w:color w:val="2E75B5"/>
          <w:szCs w:val="24"/>
        </w:rPr>
      </w:pPr>
    </w:p>
    <w:p w14:paraId="45206C87" w14:textId="77777777" w:rsidR="007C463F" w:rsidRPr="00272DA5" w:rsidRDefault="007C463F">
      <w:pPr>
        <w:rPr>
          <w:rFonts w:asciiTheme="majorHAnsi" w:eastAsia="Arial" w:hAnsiTheme="majorHAnsi" w:cstheme="majorHAnsi"/>
          <w:color w:val="2E75B5"/>
          <w:szCs w:val="24"/>
        </w:rPr>
      </w:pPr>
    </w:p>
    <w:p w14:paraId="301963E6" w14:textId="77777777" w:rsidR="00DA3242" w:rsidRPr="00272DA5" w:rsidRDefault="00DA3242">
      <w:pPr>
        <w:rPr>
          <w:rFonts w:asciiTheme="majorHAnsi" w:eastAsia="Arial" w:hAnsiTheme="majorHAnsi" w:cstheme="majorHAnsi"/>
          <w:color w:val="2E75B5"/>
          <w:szCs w:val="24"/>
        </w:rPr>
      </w:pPr>
    </w:p>
    <w:p w14:paraId="000F4AD6" w14:textId="77777777" w:rsidR="007C463F" w:rsidRPr="00272DA5" w:rsidRDefault="007C463F">
      <w:pPr>
        <w:rPr>
          <w:rFonts w:asciiTheme="majorHAnsi" w:eastAsia="Arial" w:hAnsiTheme="majorHAnsi" w:cstheme="majorHAnsi"/>
          <w:color w:val="2E75B5"/>
          <w:szCs w:val="24"/>
        </w:rPr>
      </w:pPr>
    </w:p>
    <w:p w14:paraId="3C07AC38" w14:textId="77777777" w:rsidR="007C463F" w:rsidRPr="00272DA5" w:rsidRDefault="007C463F" w:rsidP="00B76E33">
      <w:pPr>
        <w:spacing w:after="0"/>
        <w:rPr>
          <w:rFonts w:asciiTheme="majorHAnsi" w:hAnsiTheme="majorHAnsi" w:cstheme="majorHAnsi"/>
          <w:szCs w:val="24"/>
        </w:rPr>
      </w:pPr>
    </w:p>
    <w:p w14:paraId="39418C0A" w14:textId="2E9D7421" w:rsidR="00DA3242" w:rsidRPr="00272DA5" w:rsidRDefault="005831A9" w:rsidP="00B76E33">
      <w:pPr>
        <w:pStyle w:val="Heading1"/>
        <w:numPr>
          <w:ilvl w:val="0"/>
          <w:numId w:val="3"/>
        </w:numPr>
        <w:rPr>
          <w:rFonts w:asciiTheme="majorHAnsi" w:hAnsiTheme="majorHAnsi" w:cstheme="majorHAnsi"/>
          <w:b/>
          <w:bCs/>
          <w:color w:val="auto"/>
          <w:sz w:val="24"/>
          <w:szCs w:val="24"/>
        </w:rPr>
      </w:pPr>
      <w:bookmarkStart w:id="0" w:name="_1ci93xb" w:colFirst="0" w:colLast="0"/>
      <w:bookmarkStart w:id="1" w:name="_Toc240035778"/>
      <w:bookmarkEnd w:id="0"/>
      <w:r w:rsidRPr="00272DA5">
        <w:rPr>
          <w:rFonts w:asciiTheme="majorHAnsi" w:hAnsiTheme="majorHAnsi" w:cstheme="majorHAnsi"/>
          <w:b/>
          <w:bCs/>
          <w:color w:val="auto"/>
          <w:sz w:val="24"/>
          <w:szCs w:val="24"/>
        </w:rPr>
        <w:lastRenderedPageBreak/>
        <w:t>Introduction</w:t>
      </w:r>
      <w:bookmarkEnd w:id="1"/>
    </w:p>
    <w:p w14:paraId="01333275" w14:textId="77777777" w:rsidR="00DA3242" w:rsidRPr="00272DA5" w:rsidRDefault="00DA3242" w:rsidP="00B76E33">
      <w:pPr>
        <w:spacing w:after="0"/>
        <w:rPr>
          <w:rFonts w:asciiTheme="majorHAnsi" w:hAnsiTheme="majorHAnsi" w:cstheme="majorHAnsi"/>
          <w:szCs w:val="24"/>
        </w:rPr>
      </w:pPr>
    </w:p>
    <w:p w14:paraId="2E014E23" w14:textId="27861912" w:rsidR="001543B6" w:rsidRPr="00272DA5" w:rsidRDefault="001543B6" w:rsidP="00B76E33">
      <w:pPr>
        <w:spacing w:after="0"/>
        <w:rPr>
          <w:rFonts w:asciiTheme="majorHAnsi" w:hAnsiTheme="majorHAnsi" w:cstheme="majorHAnsi"/>
          <w:b/>
          <w:bCs/>
          <w:szCs w:val="24"/>
        </w:rPr>
      </w:pPr>
      <w:r w:rsidRPr="00272DA5">
        <w:rPr>
          <w:rFonts w:asciiTheme="majorHAnsi" w:hAnsiTheme="majorHAnsi" w:cstheme="majorHAnsi"/>
          <w:szCs w:val="24"/>
        </w:rPr>
        <w:t xml:space="preserve">This report examines the relationship between employee development, workplace relationships and organisational performance within Accomplish, part of Keys Group. It also explores how effective performance management and personal development planning can support workforce capability, leadership development and improved outcomes for individuals receiving </w:t>
      </w:r>
      <w:r w:rsidR="00F06988" w:rsidRPr="00272DA5">
        <w:rPr>
          <w:rFonts w:asciiTheme="majorHAnsi" w:hAnsiTheme="majorHAnsi" w:cstheme="majorHAnsi"/>
          <w:szCs w:val="24"/>
        </w:rPr>
        <w:t xml:space="preserve">person centred </w:t>
      </w:r>
      <w:r w:rsidRPr="00272DA5">
        <w:rPr>
          <w:rFonts w:asciiTheme="majorHAnsi" w:hAnsiTheme="majorHAnsi" w:cstheme="majorHAnsi"/>
          <w:szCs w:val="24"/>
        </w:rPr>
        <w:t>support.</w:t>
      </w:r>
    </w:p>
    <w:p w14:paraId="5DD37F00" w14:textId="442E0F17" w:rsidR="002F555A" w:rsidRPr="00272DA5" w:rsidRDefault="002F555A" w:rsidP="002F555A">
      <w:pPr>
        <w:rPr>
          <w:rFonts w:asciiTheme="majorHAnsi" w:hAnsiTheme="majorHAnsi" w:cstheme="majorHAnsi"/>
          <w:szCs w:val="24"/>
        </w:rPr>
      </w:pPr>
      <w:r w:rsidRPr="00272DA5">
        <w:rPr>
          <w:rFonts w:asciiTheme="majorHAnsi" w:hAnsiTheme="majorHAnsi" w:cstheme="majorHAnsi"/>
          <w:szCs w:val="24"/>
        </w:rPr>
        <w:t xml:space="preserve">Accomplish provides residential and supported living services for adults with learning disabilities, autism, mental health needs and acquired brain injuries. The residential service in which I work supports eight residents with complex mental health and behavioural needs and employs eighteen members of staff, including support workers, senior support workers, team leaders and management. As Deputy Manager, I am responsible for supporting staff development, monitoring performance, ensuring compliance with safeguarding requirements and Care </w:t>
      </w:r>
      <w:r w:rsidR="00514BBB">
        <w:rPr>
          <w:rFonts w:asciiTheme="majorHAnsi" w:hAnsiTheme="majorHAnsi" w:cstheme="majorHAnsi"/>
          <w:szCs w:val="24"/>
        </w:rPr>
        <w:t>Inspectorate Wales</w:t>
      </w:r>
      <w:r w:rsidRPr="00272DA5">
        <w:rPr>
          <w:rFonts w:asciiTheme="majorHAnsi" w:hAnsiTheme="majorHAnsi" w:cstheme="majorHAnsi"/>
          <w:szCs w:val="24"/>
        </w:rPr>
        <w:t xml:space="preserve"> (</w:t>
      </w:r>
      <w:r w:rsidR="00514BBB">
        <w:rPr>
          <w:rFonts w:asciiTheme="majorHAnsi" w:hAnsiTheme="majorHAnsi" w:cstheme="majorHAnsi"/>
          <w:szCs w:val="24"/>
        </w:rPr>
        <w:t>CIW</w:t>
      </w:r>
      <w:r w:rsidRPr="00272DA5">
        <w:rPr>
          <w:rFonts w:asciiTheme="majorHAnsi" w:hAnsiTheme="majorHAnsi" w:cstheme="majorHAnsi"/>
          <w:szCs w:val="24"/>
        </w:rPr>
        <w:t>) standards, and maintaining the delivery of safe, effective and person-centred care. This workplace context provides a practical example of how employee development can influence service quality, staff retention, workplace relationships and organisational performance.</w:t>
      </w:r>
    </w:p>
    <w:p w14:paraId="67EC8EBD" w14:textId="77777777" w:rsidR="001543B6" w:rsidRPr="00272DA5" w:rsidRDefault="001543B6" w:rsidP="001543B6">
      <w:pPr>
        <w:rPr>
          <w:rFonts w:asciiTheme="majorHAnsi" w:hAnsiTheme="majorHAnsi" w:cstheme="majorHAnsi"/>
          <w:b/>
          <w:bCs/>
          <w:szCs w:val="24"/>
        </w:rPr>
      </w:pPr>
      <w:r w:rsidRPr="00272DA5">
        <w:rPr>
          <w:rFonts w:asciiTheme="majorHAnsi" w:hAnsiTheme="majorHAnsi" w:cstheme="majorHAnsi"/>
          <w:szCs w:val="24"/>
        </w:rPr>
        <w:t>The concept of the learning organisation is central to workforce development within modern health and social care services. Senge (1990) argues that organisations achieve sustainable success by promoting continuous learning, knowledge sharing and collaborative problem-solving. Similarly, the Chartered Institute of Personnel and Development (CIPD, 2023) emphasises that learning and development should be aligned with organisational objectives to improve employee capability, engagement and organisational performance. Becker's (1993) Human Capital Theory further suggests that investment in employee knowledge and skills contributes directly to productivity and long-term organisational effectiveness.</w:t>
      </w:r>
    </w:p>
    <w:p w14:paraId="792CD7EE" w14:textId="77777777" w:rsidR="001543B6" w:rsidRPr="00272DA5" w:rsidRDefault="001543B6" w:rsidP="001543B6">
      <w:pPr>
        <w:rPr>
          <w:rFonts w:asciiTheme="majorHAnsi" w:hAnsiTheme="majorHAnsi" w:cstheme="majorHAnsi"/>
          <w:b/>
          <w:bCs/>
          <w:szCs w:val="24"/>
        </w:rPr>
      </w:pPr>
      <w:r w:rsidRPr="00272DA5">
        <w:rPr>
          <w:rFonts w:asciiTheme="majorHAnsi" w:hAnsiTheme="majorHAnsi" w:cstheme="majorHAnsi"/>
          <w:szCs w:val="24"/>
        </w:rPr>
        <w:t>Strong workplace relationships and effective performance management are equally important. Within Accomplish, staff development directly influences the quality of support provided to residents.</w:t>
      </w:r>
    </w:p>
    <w:p w14:paraId="168FCD6E" w14:textId="77777777" w:rsidR="005831A9" w:rsidRPr="00272DA5" w:rsidRDefault="005831A9">
      <w:pPr>
        <w:rPr>
          <w:rFonts w:asciiTheme="majorHAnsi" w:hAnsiTheme="majorHAnsi" w:cstheme="majorHAnsi"/>
          <w:szCs w:val="24"/>
        </w:rPr>
      </w:pPr>
    </w:p>
    <w:p w14:paraId="204F5FBF" w14:textId="2018E35A" w:rsidR="005831A9" w:rsidRPr="00272DA5" w:rsidRDefault="005831A9">
      <w:pPr>
        <w:rPr>
          <w:rFonts w:asciiTheme="majorHAnsi" w:hAnsiTheme="majorHAnsi" w:cstheme="majorHAnsi"/>
          <w:szCs w:val="24"/>
        </w:rPr>
      </w:pPr>
    </w:p>
    <w:p w14:paraId="15DF728E" w14:textId="77777777" w:rsidR="000B142C" w:rsidRPr="00272DA5" w:rsidRDefault="000B142C" w:rsidP="005831A9">
      <w:pPr>
        <w:pStyle w:val="Heading1"/>
        <w:rPr>
          <w:rFonts w:asciiTheme="majorHAnsi" w:hAnsiTheme="majorHAnsi" w:cstheme="majorHAnsi"/>
          <w:b/>
          <w:bCs/>
          <w:color w:val="auto"/>
          <w:sz w:val="24"/>
          <w:szCs w:val="24"/>
        </w:rPr>
      </w:pPr>
    </w:p>
    <w:p w14:paraId="6118527C" w14:textId="77777777" w:rsidR="000B142C" w:rsidRPr="00272DA5" w:rsidRDefault="000B142C" w:rsidP="000B142C">
      <w:pPr>
        <w:rPr>
          <w:rFonts w:asciiTheme="majorHAnsi" w:hAnsiTheme="majorHAnsi" w:cstheme="majorHAnsi"/>
          <w:szCs w:val="24"/>
        </w:rPr>
      </w:pPr>
    </w:p>
    <w:p w14:paraId="014AAEB7" w14:textId="77777777" w:rsidR="000B142C" w:rsidRPr="00272DA5" w:rsidRDefault="000B142C" w:rsidP="000B142C">
      <w:pPr>
        <w:rPr>
          <w:rFonts w:asciiTheme="majorHAnsi" w:hAnsiTheme="majorHAnsi" w:cstheme="majorHAnsi"/>
          <w:szCs w:val="24"/>
        </w:rPr>
      </w:pPr>
    </w:p>
    <w:p w14:paraId="096D61F7" w14:textId="77777777" w:rsidR="000B142C" w:rsidRPr="00272DA5" w:rsidRDefault="000B142C" w:rsidP="000B142C">
      <w:pPr>
        <w:rPr>
          <w:rFonts w:asciiTheme="majorHAnsi" w:hAnsiTheme="majorHAnsi" w:cstheme="majorHAnsi"/>
          <w:szCs w:val="24"/>
        </w:rPr>
      </w:pPr>
    </w:p>
    <w:p w14:paraId="2C4CC8E0" w14:textId="77777777" w:rsidR="00911BD3" w:rsidRPr="00272DA5" w:rsidRDefault="00911BD3" w:rsidP="00FC5E0F">
      <w:pPr>
        <w:rPr>
          <w:rFonts w:asciiTheme="majorHAnsi" w:hAnsiTheme="majorHAnsi" w:cstheme="majorHAnsi"/>
          <w:b/>
          <w:bCs/>
          <w:szCs w:val="24"/>
        </w:rPr>
      </w:pPr>
    </w:p>
    <w:p w14:paraId="1BF120C5"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2.0 Benefits of Developing Individuals in the Workplace</w:t>
      </w:r>
    </w:p>
    <w:p w14:paraId="0C82F957"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Employee development is a strategic responsibility within health and social care, where professional competence influences service quality, organisational effectiveness and regulatory compliance. Within Accomplish, part of Keys Group, investment in training, supervision, mentoring and career development can strengthen workforce capability while promoting person-centred support. However, organisational benefits depend upon whether employees transfer learning into practice and whether managers evaluate its effectiveness. Human Capital Theory suggests that investment in employee knowledge and skills increases individual productivity and organisational effectiveness (Becker, 1993). The Resource-Based View argues that valuable, rare and difficult-to-imitate employee capabilities represent a source of sustained competitive advantage (Barney, 1991). Social Exchange Theory further proposes that when organisations invest in employee development, employees are more likely to demonstrate commitment, engagement and positive workplace behaviours in return (Blau, 1964).</w:t>
      </w:r>
    </w:p>
    <w:p w14:paraId="17A434EE"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2.1 Theoretical Perspectives on Employee Development</w:t>
      </w:r>
    </w:p>
    <w:p w14:paraId="118F5C64"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Human Capital Theory</w:t>
      </w:r>
    </w:p>
    <w:p w14:paraId="43D81835"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Human Capital Theory proposes that investment in employee knowledge, skills and abilities enhances individual productivity and organisational effectiveness (Becker, 1993). The theory views training and development as a long-term organisational investment rather than an operational expense. Research by Schultz (1961) further supports the argument that education and training create economic value through enhanced workforce capability. However, Human Capital Theory assumes that increased knowledge automatically leads to improved performance. Consequently, training alone is insufficient unless supported by effective supervision, coaching and performance management.</w:t>
      </w:r>
    </w:p>
    <w:p w14:paraId="542585B7"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Resource-Based View (RBV)</w:t>
      </w:r>
    </w:p>
    <w:p w14:paraId="3E879CDD"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Barney's (1991) Resource-Based View argues that organisations achieve sustained success through resources that are valuable, rare, difficult to imitate and non-substitutable. Employee knowledge, experience and professional expertise therefore represent strategic assets that competitors cannot easily replicate. Within Accomplish, experienced support workers and team leaders possess extensive knowledge of individuals' communication methods, behavioural triggers, risk management plans and personal preferences. Through mentoring, induction programmes and ongoing professional development, Accomplish can retain and expand this expertise, strengthening organisational capability and service quality. Unlike Human Capital Theory, RBV focuses on how employee development contributes to organisational sustainability and strategic advantage rather than solely improving individual productivity. Despite these strengths, RBV has limitations in social care settings. Consequently, effective succession planning, mentoring and knowledge-sharing systems are essential to reduce dependency on key individuals (Wright et al., 2001).</w:t>
      </w:r>
    </w:p>
    <w:p w14:paraId="7399ACE3"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Social Exchange Theory</w:t>
      </w:r>
    </w:p>
    <w:p w14:paraId="698A822A"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lastRenderedPageBreak/>
        <w:t>Social Exchange Theory suggests that employees reciprocate positive treatment from their employer through increased commitment, loyalty and performance (Blau, 1964). When organisations invest in employee development, employees are more likely to feel valued and supported, creating stronger psychological contracts between employees and managers. Within Accomplish, opportunities for training, supervision, career progression and leadership development can improve employee engagement and motivation. This is particularly important in social care, where staff retention remains a significant challenge. However, the theory assumes that employees will always respond positively to organisational investment, despite external factors such as workload pressures, alternative employment opportunities and personal circumstances.</w:t>
      </w:r>
    </w:p>
    <w:p w14:paraId="01B06F49"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Learning Organisation Theory</w:t>
      </w:r>
    </w:p>
    <w:p w14:paraId="68A9F7D1"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Senge (1990) argues that organisations achieve sustainable success when they create cultures that encourage continuous learning, knowledge sharing and collective problem-solving. Learning organisations support both individual and team development, enabling employees to adapt to changing environments and improve performance. Within Accomplish, learning occurs through supervision, reflective practice, mandatory training, team meetings and incident reviews. This contributes to safer services, continuous quality improvement and regulatory compliance. Nevertheless, creating a genuine learning culture requires significant managerial commitment, time and resources.</w:t>
      </w:r>
    </w:p>
    <w:p w14:paraId="5B9504E3"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Collectively, these theories demonstrate that employee development extends beyond individual learning and can generate significant organisational benefits. Within Accomplish, investment in workforce development contributes to employee retention, organisational performance and leadership continuity.</w:t>
      </w:r>
    </w:p>
    <w:p w14:paraId="7EE961E3"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2.2 Benefits to Accomplish as an Organisation</w:t>
      </w:r>
    </w:p>
    <w:p w14:paraId="5A5D311B"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Improved Employee Retention</w:t>
      </w:r>
    </w:p>
    <w:p w14:paraId="4431CB86"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Professional development can contribute to employee retention by creating opportunities for career progression and enhancing job satisfaction. Social Exchange Theory suggests that employees who perceive organisational investment are more likely to demonstrate commitment and loyalty (Blau, 1964).</w:t>
      </w:r>
    </w:p>
    <w:p w14:paraId="4559B10A"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For Accomplish, supporting employees to achieve vocational qualifications such as QCF Levels 2-5 in Health and Social Care, undertake specialist training and progress into senior roles may reduce recruitment costs and reliance on agency staff. Retaining experienced employees also preserves professional expertise and established relationships with residents, particularly those who depend upon familiarity, consistency and trusting relationships to maintain emotional wellbeing and reduce anxiety. However, development opportunities may also enhance employees' external employability, increasing the risk of turnover. Consequently, Accomplish must complement development initiatives with effective leadership, career progression opportunities and positive working conditions. Retention outcomes should therefore be evaluated through turnover data, staff surveys, supervision records and exit interviews rather than assuming that training alone increases organisational commitment.</w:t>
      </w:r>
    </w:p>
    <w:p w14:paraId="1CE9B2EA"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Improved Organisational Performance</w:t>
      </w:r>
    </w:p>
    <w:p w14:paraId="4C816C29"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Employee development can improve operational effectiveness, accountability and regulatory compliance. Human Capital Theory suggests that investment in workforce capability contributes to improved organisational performance and productivity (Becker, 1993). In social care settings, training helps employees understand professional responsibilities, safeguarding duties and documentation requirements.</w:t>
      </w:r>
    </w:p>
    <w:p w14:paraId="1C1F40BB"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Within Accomplish, improved understanding of electronic care planning systems, reporting procedures and risk management processes can reduce recording errors and strengthen audit outcomes. Enhanced knowledge may also support compliance with Care Inspectorate Wales (CIW) regulatory requirements and internal quality assurance processes. However, compliance indicators alone do not provide a complete measure of service effectiveness, as positive audit outcomes do not necessarily demonstrate improved resident wellbeing, independence or quality of life.</w:t>
      </w:r>
    </w:p>
    <w:p w14:paraId="7603059F"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Effective Succession Planning</w:t>
      </w:r>
    </w:p>
    <w:p w14:paraId="6CFB8DBC"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Developing employees for leadership positions supports organisational stability, workforce sustainability and leadership continuity. Effective succession planning enables organisations to retain critical knowledge, reduce the impact of leadership vacancies and ensure continuity of service delivery.</w:t>
      </w:r>
    </w:p>
    <w:p w14:paraId="09795192"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Within Accomplish, Team Leaders can develop management capabilities through mentoring, delegated responsibilities, leadership training and involvement in operational decision-making. For example, participation in staff supervision, quality audits, investigations and rota management can prepare employees for future Deputy Manager or Registered Manager positions.</w:t>
      </w:r>
    </w:p>
    <w:p w14:paraId="5A295BD5" w14:textId="7DA87D63" w:rsidR="00582F52" w:rsidRPr="00B76E33" w:rsidRDefault="0005084C" w:rsidP="00B76E33">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Despite these benefits, strong care practice does not automatically translate into effective leadership performance. Therefore, leadership potential should be developed through structured learning, coaching and competency-based assessment rather than relying solely on experience within care roles.</w:t>
      </w:r>
    </w:p>
    <w:p w14:paraId="2EB2B180" w14:textId="1850430F" w:rsidR="00582F52" w:rsidRPr="00272DA5" w:rsidRDefault="0042625B" w:rsidP="00582F52">
      <w:pPr>
        <w:spacing w:after="0"/>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2.3 Overall Critical Evaluation</w:t>
      </w:r>
    </w:p>
    <w:p w14:paraId="5B19680E" w14:textId="7DFB59D8" w:rsidR="0042625B" w:rsidRPr="00272DA5" w:rsidRDefault="0042625B" w:rsidP="00582F52">
      <w:pPr>
        <w:spacing w:after="0"/>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Employee development provides Accomplish with several interconnected organisational benefits, including improved quality of care, employee retention, operational effectiveness and leadership succession. Human Capital Theory suggests that investment in workforce capability can enhance individual and organisational performance (Becker, 1993), while the Resource-Based View identifies employee knowledge and expertise as strategic assets that contribute to long-term organisational success (Barney, 1991). Social Exchange Theory further highlights the importance of workplace relationships, arguing that employees are more likely to demonstrate commitment and positive work behaviours when they feel valued and supported by their employer (Blau, 1964).</w:t>
      </w:r>
    </w:p>
    <w:p w14:paraId="78B9BD2B" w14:textId="77777777" w:rsidR="0042625B" w:rsidRPr="00272DA5" w:rsidRDefault="0042625B" w:rsidP="0042625B">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 xml:space="preserve">However, a critical evaluation suggests that training alone is insufficient to achieve these outcomes. CIPD (2023) emphasises that effective learning and development requires organisational support, managerial commitment and ongoing evaluation to ensure learning is </w:t>
      </w:r>
      <w:r w:rsidRPr="00272DA5">
        <w:rPr>
          <w:rFonts w:asciiTheme="majorHAnsi" w:hAnsiTheme="majorHAnsi" w:cstheme="majorHAnsi"/>
          <w:color w:val="000000" w:themeColor="text1"/>
          <w:szCs w:val="24"/>
        </w:rPr>
        <w:lastRenderedPageBreak/>
        <w:t>transferred into workplace practice. Similarly, Kirkpatrick and Kirkpatrick (2016) argue that organisations should assess behavioural change and organisational impact rather than merely measuring training completion rates.</w:t>
      </w:r>
    </w:p>
    <w:p w14:paraId="089B23E5" w14:textId="77777777" w:rsidR="0042625B" w:rsidRPr="00272DA5" w:rsidRDefault="0042625B" w:rsidP="0042625B">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Within Accomplish, successful development strategies should therefore align with organisational objectives, Care Inspectorate Wales (CIW) requirements and the individual needs of residents. Furthermore, creating a learning culture that encourages knowledge sharing, reflective practice and continuous improvement can strengthen both employee capability and organisational resilience (Senge, 1990).</w:t>
      </w:r>
    </w:p>
    <w:p w14:paraId="42BCB2AD" w14:textId="77777777" w:rsidR="0042625B" w:rsidRPr="00272DA5" w:rsidRDefault="0042625B" w:rsidP="0042625B">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Overall, the theoretical perspectives provide complementary insights into employee development. Human Capital Theory focuses on productivity and workforce capability, the Resource-Based View emphasises organisational knowledge and sustainability, and Social Exchange Theory highlights employee engagement and commitment. Ultimately, the effectiveness of employee development should be measured not only by organisational efficiency and compliance but also by demonstrable improvements in residents' safety, wellbeing, independence and quality of life.</w:t>
      </w:r>
    </w:p>
    <w:p w14:paraId="511440C6" w14:textId="77777777" w:rsidR="00613083" w:rsidRPr="00272DA5" w:rsidRDefault="00613083" w:rsidP="00613083">
      <w:pPr>
        <w:rPr>
          <w:rFonts w:asciiTheme="majorHAnsi" w:hAnsiTheme="majorHAnsi" w:cstheme="majorHAnsi"/>
          <w:b/>
          <w:bCs/>
          <w:szCs w:val="24"/>
        </w:rPr>
      </w:pPr>
    </w:p>
    <w:p w14:paraId="1105D4C2" w14:textId="77777777" w:rsidR="00613083" w:rsidRPr="00272DA5" w:rsidRDefault="00613083" w:rsidP="00613083">
      <w:pPr>
        <w:rPr>
          <w:rFonts w:asciiTheme="majorHAnsi" w:hAnsiTheme="majorHAnsi" w:cstheme="majorHAnsi"/>
          <w:b/>
          <w:bCs/>
          <w:szCs w:val="24"/>
        </w:rPr>
      </w:pPr>
    </w:p>
    <w:p w14:paraId="27BFCE60" w14:textId="77777777" w:rsidR="00613083" w:rsidRPr="00272DA5" w:rsidRDefault="00613083" w:rsidP="00613083">
      <w:pPr>
        <w:rPr>
          <w:rFonts w:asciiTheme="majorHAnsi" w:hAnsiTheme="majorHAnsi" w:cstheme="majorHAnsi"/>
          <w:b/>
          <w:bCs/>
          <w:szCs w:val="24"/>
        </w:rPr>
      </w:pPr>
    </w:p>
    <w:p w14:paraId="639A835D" w14:textId="77777777" w:rsidR="00983F41" w:rsidRPr="00272DA5" w:rsidRDefault="00983F41" w:rsidP="00613083">
      <w:pPr>
        <w:rPr>
          <w:rFonts w:asciiTheme="majorHAnsi" w:hAnsiTheme="majorHAnsi" w:cstheme="majorHAnsi"/>
          <w:b/>
          <w:bCs/>
          <w:szCs w:val="24"/>
        </w:rPr>
      </w:pPr>
    </w:p>
    <w:p w14:paraId="71F72935" w14:textId="77777777" w:rsidR="00983F41" w:rsidRPr="00272DA5" w:rsidRDefault="00983F41" w:rsidP="00613083">
      <w:pPr>
        <w:rPr>
          <w:rFonts w:asciiTheme="majorHAnsi" w:hAnsiTheme="majorHAnsi" w:cstheme="majorHAnsi"/>
          <w:b/>
          <w:bCs/>
          <w:szCs w:val="24"/>
        </w:rPr>
      </w:pPr>
    </w:p>
    <w:p w14:paraId="17E862DC" w14:textId="77777777" w:rsidR="00983F41" w:rsidRPr="00272DA5" w:rsidRDefault="00983F41" w:rsidP="00613083">
      <w:pPr>
        <w:rPr>
          <w:rFonts w:asciiTheme="majorHAnsi" w:hAnsiTheme="majorHAnsi" w:cstheme="majorHAnsi"/>
          <w:b/>
          <w:bCs/>
          <w:szCs w:val="24"/>
        </w:rPr>
      </w:pPr>
    </w:p>
    <w:p w14:paraId="35C48D26" w14:textId="77777777" w:rsidR="00983F41" w:rsidRPr="00272DA5" w:rsidRDefault="00983F41" w:rsidP="00613083">
      <w:pPr>
        <w:rPr>
          <w:rFonts w:asciiTheme="majorHAnsi" w:hAnsiTheme="majorHAnsi" w:cstheme="majorHAnsi"/>
          <w:b/>
          <w:bCs/>
          <w:szCs w:val="24"/>
        </w:rPr>
      </w:pPr>
    </w:p>
    <w:p w14:paraId="38E9D45D" w14:textId="77777777" w:rsidR="00983F41" w:rsidRPr="00272DA5" w:rsidRDefault="00983F41" w:rsidP="00613083">
      <w:pPr>
        <w:rPr>
          <w:rFonts w:asciiTheme="majorHAnsi" w:hAnsiTheme="majorHAnsi" w:cstheme="majorHAnsi"/>
          <w:b/>
          <w:bCs/>
          <w:szCs w:val="24"/>
        </w:rPr>
      </w:pPr>
    </w:p>
    <w:p w14:paraId="68C33C76" w14:textId="77777777" w:rsidR="00983F41" w:rsidRPr="00272DA5" w:rsidRDefault="00983F41" w:rsidP="00613083">
      <w:pPr>
        <w:rPr>
          <w:rFonts w:asciiTheme="majorHAnsi" w:hAnsiTheme="majorHAnsi" w:cstheme="majorHAnsi"/>
          <w:b/>
          <w:bCs/>
          <w:szCs w:val="24"/>
        </w:rPr>
      </w:pPr>
    </w:p>
    <w:p w14:paraId="29BFCA7E" w14:textId="77777777" w:rsidR="00983F41" w:rsidRPr="00272DA5" w:rsidRDefault="00983F41" w:rsidP="00613083">
      <w:pPr>
        <w:rPr>
          <w:rFonts w:asciiTheme="majorHAnsi" w:hAnsiTheme="majorHAnsi" w:cstheme="majorHAnsi"/>
          <w:b/>
          <w:bCs/>
          <w:szCs w:val="24"/>
        </w:rPr>
      </w:pPr>
    </w:p>
    <w:p w14:paraId="3D424E74" w14:textId="77777777" w:rsidR="00983F41" w:rsidRPr="00272DA5" w:rsidRDefault="00983F41" w:rsidP="00613083">
      <w:pPr>
        <w:rPr>
          <w:rFonts w:asciiTheme="majorHAnsi" w:hAnsiTheme="majorHAnsi" w:cstheme="majorHAnsi"/>
          <w:b/>
          <w:bCs/>
          <w:szCs w:val="24"/>
        </w:rPr>
      </w:pPr>
    </w:p>
    <w:p w14:paraId="317B1183" w14:textId="77777777" w:rsidR="00983F41" w:rsidRPr="00272DA5" w:rsidRDefault="00983F41" w:rsidP="00613083">
      <w:pPr>
        <w:rPr>
          <w:rFonts w:asciiTheme="majorHAnsi" w:hAnsiTheme="majorHAnsi" w:cstheme="majorHAnsi"/>
          <w:b/>
          <w:bCs/>
          <w:szCs w:val="24"/>
        </w:rPr>
      </w:pPr>
    </w:p>
    <w:p w14:paraId="28DE3DBA" w14:textId="77777777" w:rsidR="00983F41" w:rsidRPr="00272DA5" w:rsidRDefault="00983F41" w:rsidP="00613083">
      <w:pPr>
        <w:rPr>
          <w:rFonts w:asciiTheme="majorHAnsi" w:hAnsiTheme="majorHAnsi" w:cstheme="majorHAnsi"/>
          <w:b/>
          <w:bCs/>
          <w:szCs w:val="24"/>
        </w:rPr>
      </w:pPr>
    </w:p>
    <w:p w14:paraId="05D4E6C4" w14:textId="77777777" w:rsidR="002218FD" w:rsidRDefault="002218FD" w:rsidP="00613083">
      <w:pPr>
        <w:rPr>
          <w:rFonts w:asciiTheme="majorHAnsi" w:hAnsiTheme="majorHAnsi" w:cstheme="majorHAnsi"/>
          <w:b/>
          <w:bCs/>
          <w:szCs w:val="24"/>
        </w:rPr>
      </w:pPr>
    </w:p>
    <w:p w14:paraId="66CF030F" w14:textId="77777777" w:rsidR="00B76E33" w:rsidRPr="00272DA5" w:rsidRDefault="00B76E33" w:rsidP="00613083">
      <w:pPr>
        <w:rPr>
          <w:rFonts w:asciiTheme="majorHAnsi" w:hAnsiTheme="majorHAnsi" w:cstheme="majorHAnsi"/>
          <w:b/>
          <w:bCs/>
          <w:szCs w:val="24"/>
        </w:rPr>
      </w:pPr>
    </w:p>
    <w:p w14:paraId="045CFFB0" w14:textId="77777777" w:rsidR="00613083" w:rsidRPr="00272DA5" w:rsidRDefault="00613083" w:rsidP="00613083">
      <w:pPr>
        <w:pStyle w:val="Heading1"/>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 xml:space="preserve">3. Managing Individual Expectations Regarding Personal Development </w:t>
      </w:r>
    </w:p>
    <w:p w14:paraId="7EC9A8FF"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Managing employees' expectations regarding personal development is a fundamental leadership responsibility within health and social care. Within Accomplish, part of Keys Group, effective expectation management relies on open communication, constructive feedback and realistic development planning. As Deputy Manager, my role is to support employee growth whilst ensuring expectations remain achievable and aligned with organisational requirements. Effective management of development expectations can increase motivation, engagement and retention while reducing dissatisfaction and unrealistic assumptions about promotion opportunities (CIPD, 2023).</w:t>
      </w:r>
    </w:p>
    <w:p w14:paraId="19654955"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3.1 Understanding Employee Expectations</w:t>
      </w:r>
    </w:p>
    <w:p w14:paraId="5DBAFDBF"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Psychological Contract Theory</w:t>
      </w:r>
    </w:p>
    <w:p w14:paraId="69A5673E"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Rousseau (1989) defines the psychological contract as an individual's perception of the mutual obligations between themselves and their employer. Guest (2004) argues that psychological contracts significantly influence employee commitment, trust and job satisfaction.</w:t>
      </w:r>
    </w:p>
    <w:p w14:paraId="0976B415"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Within Accomplish, a Support Worker completing additional qualifications may expect progression into a Team Leader role. However, qualifications alone do not guarantee promotion, as leadership positions require appropriate competencies, organisational need and available vacancies. If these expectations are not discussed openly, employees may experience frustration, reduced morale and decreased engagement.</w:t>
      </w:r>
    </w:p>
    <w:p w14:paraId="29E73517"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The theory highlights the importance of trust and transparent communication. However, psychological contracts remain subjective and can be interpreted differently by managers and employees. Consequently, during supervision and appraisal meetings, I would clearly explain promotion criteria, development opportunities and organisational constraints to ensure expectations remain realistic and achievable.</w:t>
      </w:r>
    </w:p>
    <w:p w14:paraId="7B3733C5"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Vroom's (1964) Expectancy Theory proposes that motivation is influenced by expectancy, instrumentality and valence. Employees are more likely to engage in learning when they believe their effort will improve performance and support desired outcomes.</w:t>
      </w:r>
    </w:p>
    <w:p w14:paraId="0FC9FF6F"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From this perspective, development programmes can enhance both performance and employee engagement.</w:t>
      </w:r>
    </w:p>
    <w:p w14:paraId="53590A55"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However, Porter and Lawler (1968) argue that motivation is influenced by multiple factors, including rewards, organisational structures and perceived fairness. This approach balances encouragement with realistic expectation management.</w:t>
      </w:r>
    </w:p>
    <w:p w14:paraId="19EE43E3"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3.2 Role of the Deputy Manager</w:t>
      </w:r>
    </w:p>
    <w:p w14:paraId="64AF093E"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As Deputy Manager, I support employee development through supervision, performance reviews, coaching, mentoring and the identification of learning needs. The CIPD (2023) highlights the importance of managers in facilitating workplace learning and supporting career development.</w:t>
      </w:r>
    </w:p>
    <w:p w14:paraId="2A028F0E"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lastRenderedPageBreak/>
        <w:t>During supervision, I discuss individual strengths, development areas, performance concerns and career aspirations.</w:t>
      </w:r>
    </w:p>
    <w:p w14:paraId="3F36C568" w14:textId="77777777" w:rsidR="00613083" w:rsidRPr="00272DA5" w:rsidRDefault="00613083" w:rsidP="00613083">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 Personal Development Plan (PDP) can then be created using SMART objectives, which Doran (1981) identifies as Specific, Measurable, Achievable, Relevant and Time-bound. For instance, an employee may be tasked with leading two staff handovers and participating in supervision sessions over a three-month period while receiving structured feedback.</w:t>
      </w:r>
    </w:p>
    <w:p w14:paraId="43090641" w14:textId="62122AE7" w:rsidR="00941196" w:rsidRPr="00272DA5" w:rsidRDefault="00941196"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Annual appraisals also provide opportunities to review development progress, identify training requirements and discuss longer-term career goals. However, effective managers must remain realistic.</w:t>
      </w:r>
    </w:p>
    <w:p w14:paraId="39228869"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3.3 Communication and Feedback Methods</w:t>
      </w:r>
    </w:p>
    <w:p w14:paraId="7CD7E93A" w14:textId="77777777" w:rsidR="00613083" w:rsidRPr="00272DA5" w:rsidRDefault="00613083" w:rsidP="00613083">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To ensure fair and objective assessment, I would use consistent criteria, multiple observations and documented examples rather than relying on a single incident. Development records and appraisal feedback should be shared only with authorised individuals and stored securely, with staff given an opportunity to respond to assessments.</w:t>
      </w:r>
    </w:p>
    <w:p w14:paraId="021B420C"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Effective communication is essential when managing personal development expectations. Within Accomplish, supervision, appraisals, reflective practice and informal one-to-one discussions each contribute to employee growth and engagement.</w:t>
      </w:r>
    </w:p>
    <w:p w14:paraId="6AC17018"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Formal supervision provides a structured environment for reviewing performance, identifying development needs and monitoring progress. However, supervision may lose value if it focuses exclusively on operational issues rather than development.</w:t>
      </w:r>
    </w:p>
    <w:p w14:paraId="19F6293B"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Annual appraisals support strategic career planning and help employees reflect on longer-term aspirations. Nevertheless, relying solely on annual reviews may be ineffective because development needs can change throughout the year.</w:t>
      </w:r>
    </w:p>
    <w:p w14:paraId="1398851E"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Reflective practice is another important tool. Schön (1983) suggests that reflection enables professionals to learn from experience and improve future performance. However, this approach requires psychological safety, as employees may be reluctant to openly discuss mistakes if they fear criticism (Edmondson, 1999).</w:t>
      </w:r>
    </w:p>
    <w:p w14:paraId="5D378AB7"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Informal one-to-one discussions provide timely feedback and support, particularly following challenging situations. While these conversations strengthen workplace relationships, key development decisions should be recorded to ensure transparency, consistency and fairness.</w:t>
      </w:r>
    </w:p>
    <w:p w14:paraId="36D17EE0"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Applying the GROW Model and SMART Objectives</w:t>
      </w:r>
    </w:p>
    <w:p w14:paraId="1DFD1C89"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Whitmore's (2017) GROW Model provides a structured coaching framework based on Goal, Reality, Options and Will.</w:t>
      </w:r>
    </w:p>
    <w:p w14:paraId="3DE80A4C" w14:textId="1409DF52" w:rsidR="00A62B30" w:rsidRPr="00272DA5" w:rsidRDefault="00613083" w:rsidP="00613083">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SMART objectives then convert these discussions into measurable development targets. This ensures that progress can be monitored and reviewed during supervision sessions while helping employees understand realistic timescales and expectations.</w:t>
      </w:r>
    </w:p>
    <w:p w14:paraId="3614A23C"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Critical Evaluation</w:t>
      </w:r>
    </w:p>
    <w:p w14:paraId="50A0B1B6"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In practice, regular supervision supported by reflective practice, coaching and ongoing feedback is likely to be the most effective approach within residential and supported living services. Annual appraisals remain valuable for reviewing long-term aspirations but should complement rather than replace continuous developmental conversations.</w:t>
      </w:r>
    </w:p>
    <w:p w14:paraId="75D569A9" w14:textId="770BBEB1" w:rsidR="002218FD" w:rsidRDefault="00613083" w:rsidP="00613083">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Overall, managing employee expectations requires a balance between ambition and realism. By aligning individual aspirations with organisational capability, Accomplish can strengthen motivation, professional competence, employee engagement and service quality.</w:t>
      </w:r>
    </w:p>
    <w:p w14:paraId="0737778D" w14:textId="77777777" w:rsidR="009372E1" w:rsidRDefault="009372E1" w:rsidP="00613083">
      <w:pPr>
        <w:rPr>
          <w:rFonts w:asciiTheme="majorHAnsi" w:hAnsiTheme="majorHAnsi" w:cstheme="majorHAnsi"/>
          <w:color w:val="000000" w:themeColor="text1"/>
          <w:szCs w:val="24"/>
        </w:rPr>
      </w:pPr>
    </w:p>
    <w:p w14:paraId="6525771B" w14:textId="77777777" w:rsidR="009372E1" w:rsidRDefault="009372E1" w:rsidP="00613083">
      <w:pPr>
        <w:rPr>
          <w:rFonts w:asciiTheme="majorHAnsi" w:hAnsiTheme="majorHAnsi" w:cstheme="majorHAnsi"/>
          <w:color w:val="000000" w:themeColor="text1"/>
          <w:szCs w:val="24"/>
        </w:rPr>
      </w:pPr>
    </w:p>
    <w:p w14:paraId="53D914EF" w14:textId="77777777" w:rsidR="009372E1" w:rsidRDefault="009372E1" w:rsidP="00613083">
      <w:pPr>
        <w:rPr>
          <w:rFonts w:asciiTheme="majorHAnsi" w:hAnsiTheme="majorHAnsi" w:cstheme="majorHAnsi"/>
          <w:color w:val="000000" w:themeColor="text1"/>
          <w:szCs w:val="24"/>
        </w:rPr>
      </w:pPr>
    </w:p>
    <w:p w14:paraId="3BE86E8C" w14:textId="77777777" w:rsidR="009372E1" w:rsidRDefault="009372E1" w:rsidP="00613083">
      <w:pPr>
        <w:rPr>
          <w:rFonts w:asciiTheme="majorHAnsi" w:hAnsiTheme="majorHAnsi" w:cstheme="majorHAnsi"/>
          <w:color w:val="000000" w:themeColor="text1"/>
          <w:szCs w:val="24"/>
        </w:rPr>
      </w:pPr>
    </w:p>
    <w:p w14:paraId="325E7287" w14:textId="77777777" w:rsidR="009372E1" w:rsidRDefault="009372E1" w:rsidP="00613083">
      <w:pPr>
        <w:rPr>
          <w:rFonts w:asciiTheme="majorHAnsi" w:hAnsiTheme="majorHAnsi" w:cstheme="majorHAnsi"/>
          <w:color w:val="000000" w:themeColor="text1"/>
          <w:szCs w:val="24"/>
        </w:rPr>
      </w:pPr>
    </w:p>
    <w:p w14:paraId="2F0FE8BB" w14:textId="77777777" w:rsidR="009372E1" w:rsidRDefault="009372E1" w:rsidP="00613083">
      <w:pPr>
        <w:rPr>
          <w:rFonts w:asciiTheme="majorHAnsi" w:hAnsiTheme="majorHAnsi" w:cstheme="majorHAnsi"/>
          <w:color w:val="000000" w:themeColor="text1"/>
          <w:szCs w:val="24"/>
        </w:rPr>
      </w:pPr>
    </w:p>
    <w:p w14:paraId="4FEED620" w14:textId="77777777" w:rsidR="009372E1" w:rsidRDefault="009372E1" w:rsidP="00613083">
      <w:pPr>
        <w:rPr>
          <w:rFonts w:asciiTheme="majorHAnsi" w:hAnsiTheme="majorHAnsi" w:cstheme="majorHAnsi"/>
          <w:color w:val="000000" w:themeColor="text1"/>
          <w:szCs w:val="24"/>
        </w:rPr>
      </w:pPr>
    </w:p>
    <w:p w14:paraId="4E646B18" w14:textId="77777777" w:rsidR="009372E1" w:rsidRDefault="009372E1" w:rsidP="00613083">
      <w:pPr>
        <w:rPr>
          <w:rFonts w:asciiTheme="majorHAnsi" w:hAnsiTheme="majorHAnsi" w:cstheme="majorHAnsi"/>
          <w:color w:val="000000" w:themeColor="text1"/>
          <w:szCs w:val="24"/>
        </w:rPr>
      </w:pPr>
    </w:p>
    <w:p w14:paraId="658E303D" w14:textId="77777777" w:rsidR="009372E1" w:rsidRDefault="009372E1" w:rsidP="00613083">
      <w:pPr>
        <w:rPr>
          <w:rFonts w:asciiTheme="majorHAnsi" w:hAnsiTheme="majorHAnsi" w:cstheme="majorHAnsi"/>
          <w:color w:val="000000" w:themeColor="text1"/>
          <w:szCs w:val="24"/>
        </w:rPr>
      </w:pPr>
    </w:p>
    <w:p w14:paraId="41918575" w14:textId="77777777" w:rsidR="009372E1" w:rsidRDefault="009372E1" w:rsidP="00613083">
      <w:pPr>
        <w:rPr>
          <w:rFonts w:asciiTheme="majorHAnsi" w:hAnsiTheme="majorHAnsi" w:cstheme="majorHAnsi"/>
          <w:color w:val="000000" w:themeColor="text1"/>
          <w:szCs w:val="24"/>
        </w:rPr>
      </w:pPr>
    </w:p>
    <w:p w14:paraId="1D10C96B" w14:textId="77777777" w:rsidR="009372E1" w:rsidRDefault="009372E1" w:rsidP="00613083">
      <w:pPr>
        <w:rPr>
          <w:rFonts w:asciiTheme="majorHAnsi" w:hAnsiTheme="majorHAnsi" w:cstheme="majorHAnsi"/>
          <w:color w:val="000000" w:themeColor="text1"/>
          <w:szCs w:val="24"/>
        </w:rPr>
      </w:pPr>
    </w:p>
    <w:p w14:paraId="69A89B1A" w14:textId="77777777" w:rsidR="009372E1" w:rsidRDefault="009372E1" w:rsidP="00613083">
      <w:pPr>
        <w:rPr>
          <w:rFonts w:asciiTheme="majorHAnsi" w:hAnsiTheme="majorHAnsi" w:cstheme="majorHAnsi"/>
          <w:color w:val="000000" w:themeColor="text1"/>
          <w:szCs w:val="24"/>
        </w:rPr>
      </w:pPr>
    </w:p>
    <w:p w14:paraId="02660C0A" w14:textId="77777777" w:rsidR="009372E1" w:rsidRDefault="009372E1" w:rsidP="00613083">
      <w:pPr>
        <w:rPr>
          <w:rFonts w:asciiTheme="majorHAnsi" w:hAnsiTheme="majorHAnsi" w:cstheme="majorHAnsi"/>
          <w:color w:val="000000" w:themeColor="text1"/>
          <w:szCs w:val="24"/>
        </w:rPr>
      </w:pPr>
    </w:p>
    <w:p w14:paraId="3725FE17" w14:textId="77777777" w:rsidR="009372E1" w:rsidRDefault="009372E1" w:rsidP="00613083">
      <w:pPr>
        <w:rPr>
          <w:rFonts w:asciiTheme="majorHAnsi" w:hAnsiTheme="majorHAnsi" w:cstheme="majorHAnsi"/>
          <w:color w:val="000000" w:themeColor="text1"/>
          <w:szCs w:val="24"/>
        </w:rPr>
      </w:pPr>
    </w:p>
    <w:p w14:paraId="345AD417" w14:textId="77777777" w:rsidR="009372E1" w:rsidRDefault="009372E1" w:rsidP="00613083">
      <w:pPr>
        <w:rPr>
          <w:rFonts w:asciiTheme="majorHAnsi" w:hAnsiTheme="majorHAnsi" w:cstheme="majorHAnsi"/>
          <w:color w:val="000000" w:themeColor="text1"/>
          <w:szCs w:val="24"/>
        </w:rPr>
      </w:pPr>
    </w:p>
    <w:p w14:paraId="2FEE8D6B" w14:textId="77777777" w:rsidR="009372E1" w:rsidRDefault="009372E1" w:rsidP="00613083">
      <w:pPr>
        <w:rPr>
          <w:rFonts w:asciiTheme="majorHAnsi" w:hAnsiTheme="majorHAnsi" w:cstheme="majorHAnsi"/>
          <w:color w:val="000000" w:themeColor="text1"/>
          <w:szCs w:val="24"/>
        </w:rPr>
      </w:pPr>
    </w:p>
    <w:p w14:paraId="2D61F74A" w14:textId="77777777" w:rsidR="009372E1" w:rsidRDefault="009372E1" w:rsidP="00613083">
      <w:pPr>
        <w:rPr>
          <w:rFonts w:asciiTheme="majorHAnsi" w:hAnsiTheme="majorHAnsi" w:cstheme="majorHAnsi"/>
          <w:color w:val="000000" w:themeColor="text1"/>
          <w:szCs w:val="24"/>
        </w:rPr>
      </w:pPr>
    </w:p>
    <w:p w14:paraId="3A9359FD" w14:textId="77777777" w:rsidR="009372E1" w:rsidRDefault="009372E1" w:rsidP="00613083">
      <w:pPr>
        <w:rPr>
          <w:rFonts w:asciiTheme="majorHAnsi" w:hAnsiTheme="majorHAnsi" w:cstheme="majorHAnsi"/>
          <w:color w:val="000000" w:themeColor="text1"/>
          <w:szCs w:val="24"/>
        </w:rPr>
      </w:pPr>
    </w:p>
    <w:p w14:paraId="32A792C9" w14:textId="77777777" w:rsidR="009372E1" w:rsidRDefault="009372E1" w:rsidP="00613083">
      <w:pPr>
        <w:rPr>
          <w:rFonts w:asciiTheme="majorHAnsi" w:hAnsiTheme="majorHAnsi" w:cstheme="majorHAnsi"/>
          <w:color w:val="000000" w:themeColor="text1"/>
          <w:szCs w:val="24"/>
        </w:rPr>
      </w:pPr>
    </w:p>
    <w:p w14:paraId="43B39214" w14:textId="77777777" w:rsidR="009372E1" w:rsidRDefault="009372E1" w:rsidP="00613083">
      <w:pPr>
        <w:rPr>
          <w:rFonts w:asciiTheme="majorHAnsi" w:hAnsiTheme="majorHAnsi" w:cstheme="majorHAnsi"/>
          <w:color w:val="000000" w:themeColor="text1"/>
          <w:szCs w:val="24"/>
        </w:rPr>
      </w:pPr>
    </w:p>
    <w:p w14:paraId="5AADE53B" w14:textId="77777777" w:rsidR="009372E1" w:rsidRPr="0097455A" w:rsidRDefault="009372E1" w:rsidP="00613083">
      <w:pPr>
        <w:rPr>
          <w:rFonts w:asciiTheme="majorHAnsi" w:hAnsiTheme="majorHAnsi" w:cstheme="majorHAnsi"/>
          <w:b/>
          <w:bCs/>
          <w:color w:val="000000" w:themeColor="text1"/>
          <w:szCs w:val="24"/>
        </w:rPr>
      </w:pPr>
    </w:p>
    <w:p w14:paraId="04BD5BFE"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4.0 Formal Learning Opportunities</w:t>
      </w:r>
    </w:p>
    <w:p w14:paraId="6F7EC137"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Formal learning provides structured opportunities for employees to develop professional knowledge, practical competence and recognised qualifications. Within Accomplish, formal development supports safe practice, regulatory compliance, career progression and workforce capability. However, the effectiveness of formal learning depends upon whether employees transfer acquired knowledge into workplace practice.</w:t>
      </w:r>
    </w:p>
    <w:p w14:paraId="10103FB6" w14:textId="77777777" w:rsidR="003B3FC0" w:rsidRPr="00272DA5" w:rsidRDefault="003B3FC0" w:rsidP="003B3FC0">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Mandatory Training</w:t>
      </w:r>
    </w:p>
    <w:p w14:paraId="5A68D33A" w14:textId="6B606E6A"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Mandatory training forms the foundation of professional practice within health and social care. In Wales, employees must register with Social Care Wales and comply with professional standards to work within the sector</w:t>
      </w:r>
      <w:r w:rsidR="00A06766">
        <w:rPr>
          <w:rFonts w:asciiTheme="majorHAnsi" w:hAnsiTheme="majorHAnsi" w:cstheme="majorHAnsi"/>
          <w:color w:val="000000" w:themeColor="text1"/>
          <w:szCs w:val="24"/>
        </w:rPr>
        <w:t xml:space="preserve"> </w:t>
      </w:r>
      <w:r w:rsidR="00A06766" w:rsidRPr="00A06766">
        <w:rPr>
          <w:rFonts w:asciiTheme="majorHAnsi" w:hAnsiTheme="majorHAnsi" w:cstheme="majorHAnsi"/>
          <w:color w:val="000000" w:themeColor="text1"/>
          <w:szCs w:val="24"/>
        </w:rPr>
        <w:t>Social Care Wales. (2024)</w:t>
      </w:r>
      <w:r w:rsidRPr="00A06766">
        <w:rPr>
          <w:rFonts w:asciiTheme="majorHAnsi" w:hAnsiTheme="majorHAnsi" w:cstheme="majorHAnsi"/>
          <w:color w:val="000000" w:themeColor="text1"/>
          <w:szCs w:val="24"/>
        </w:rPr>
        <w:t>.</w:t>
      </w:r>
      <w:r w:rsidRPr="00272DA5">
        <w:rPr>
          <w:rFonts w:asciiTheme="majorHAnsi" w:hAnsiTheme="majorHAnsi" w:cstheme="majorHAnsi"/>
          <w:color w:val="000000" w:themeColor="text1"/>
          <w:szCs w:val="24"/>
        </w:rPr>
        <w:t xml:space="preserve"> Mandatory training supports this requirement by ensuring employees understand their legal, ethical and professional responsibilities.</w:t>
      </w:r>
    </w:p>
    <w:p w14:paraId="027C350F"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For example, safeguarding training enables employees to recognise indicators of abuse, follow reporting procedures and protect vulnerable individuals. Similarly, medication training promotes safe administration practices, reducing the likelihood of medication errors and associated risks to residents.</w:t>
      </w:r>
    </w:p>
    <w:p w14:paraId="720C43E2"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Nevertheless, mandatory training can become a compliance-driven activity where success is measured by completion rates rather than improvements in practice. Kirkpatrick and Kirkpatrick (2016) argue that organisations should evaluate not only attendance but also learning, behavioural change and organisational outcomes. Therefore, Accomplish should assess competence through observation, supervision, medication audits and incident reviews to determine whether learning has translated into safer care delivery.</w:t>
      </w:r>
    </w:p>
    <w:p w14:paraId="5B952139" w14:textId="77777777" w:rsidR="003B3FC0" w:rsidRPr="00272DA5" w:rsidRDefault="003B3FC0" w:rsidP="003B3FC0">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Professional Qualifications</w:t>
      </w:r>
    </w:p>
    <w:p w14:paraId="03287CAD"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Professional qualifications such as Level 3 Adult Care and Level 5 Leadership and Management provide structured opportunities for long-term professional development.</w:t>
      </w:r>
    </w:p>
    <w:p w14:paraId="43439AB7"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Level 3 qualifications strengthen knowledge of person-centred practice, safeguarding, communication and legal frameworks, whilst Level 5 programmes enhance leadership, workforce planning, decision-making and quality assurance skills. Garavan et al. (2012) suggest that structured development programmes contribute to organisational capability by preparing employees for future roles and responsibilities.</w:t>
      </w:r>
    </w:p>
    <w:p w14:paraId="13933C39"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As Deputy Manager, I recognise that qualifications enable employees to connect academic knowledge with workplace practice. For example, employees completing leadership qualifications can apply learning directly to supervision, performance management and quality improvement activities.</w:t>
      </w:r>
    </w:p>
    <w:p w14:paraId="127A03BE"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lastRenderedPageBreak/>
        <w:t>However, qualifications require significant investment of time, funding and commitment. Consequently, formal qualifications should be combined with practical learning opportunities to maximise their effectiveness and workplace value.</w:t>
      </w:r>
    </w:p>
    <w:p w14:paraId="6DEE49DE" w14:textId="77777777" w:rsidR="003B3FC0" w:rsidRPr="00272DA5" w:rsidRDefault="003B3FC0" w:rsidP="003B3FC0">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Apprenticeships</w:t>
      </w:r>
    </w:p>
    <w:p w14:paraId="6994AC2D"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Apprenticeships combine employment, formal study and workplace learning, enabling employees to develop skills while remaining in productive roles. They provide an effective route for career progression and support workforce sustainability by developing talent internally.</w:t>
      </w:r>
    </w:p>
    <w:p w14:paraId="079E3529"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Within Accomplish, apprenticeships can help Support Workers progress into senior roles while gaining recognised qualifications. They also promote employee engagement because learning is directly linked to workplace responsibilities and real-life practice.</w:t>
      </w:r>
    </w:p>
    <w:p w14:paraId="0EAFD675" w14:textId="00BBE82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However, apprenticeships require substantial organisational support, including mentoring, protected learning time and assessment requirements. Without sufficient support, employees may struggle to balance operational responsibilities with academic demands.</w:t>
      </w:r>
    </w:p>
    <w:p w14:paraId="0AC2F9C2" w14:textId="77777777" w:rsidR="003B3FC0" w:rsidRPr="00272DA5" w:rsidRDefault="003B3FC0" w:rsidP="003B3FC0">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4.1 Critical Comparison of Development Vehicles</w:t>
      </w:r>
    </w:p>
    <w:p w14:paraId="74F4443E"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Whilst formal learning standardises core knowledge, its effectiveness is limited where employees cannot demonstrate practical competence. In contrast, mentoring and job shadowing support context-specific learning but can promote inconsistent practice unless mentors are competent and appropriately supervised. For Employee A, a blended approach is therefore justified because leadership capability is demonstrated through workplace performance rather than training completion alone.</w:t>
      </w:r>
    </w:p>
    <w:p w14:paraId="59EAE446"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effectiveness of development vehicles depends upon individual learning needs, organisational objectives and the nature of the skills being developed. Pedler et al. (1997) argue that learning organisations utilise multiple development approaches rather than relying on a single method.</w:t>
      </w:r>
    </w:p>
    <w:p w14:paraId="2344450C"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Formal qualifications provide recognised knowledge and support career progression but can be costly and time-consuming. Coaching and mentoring offer personalised development and immediate workplace relevance, although their effectiveness depends largely upon the skills and commitment of the coach or mentor.</w:t>
      </w:r>
    </w:p>
    <w:p w14:paraId="0D199B41"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Job shadowing provides valuable exposure to workplace responsibilities and helps employees understand future roles. However, observation alone cannot demonstrate competence without subsequent practical application and feedback.</w:t>
      </w:r>
    </w:p>
    <w:p w14:paraId="2A65C170"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Digital learning offers significant advantages in flexibility, accessibility and cost-effectiveness. CIPD (2023) highlights the increasing importance of technology-enabled learning in modern organisations. However, e-learning often lacks the practical assessment and feedback necessary for developing the interpersonal, leadership and decision-making skills required within social care environments.</w:t>
      </w:r>
    </w:p>
    <w:p w14:paraId="1CBAC1B4"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lastRenderedPageBreak/>
        <w:t>Kolb's (1984) Experiential Learning Theory suggests that development is most effective when learning combines experience, reflection, conceptual understanding and active experimentation. This perspective supports the argument that no single development vehicle is sufficient to meet all organisational and individual learning needs.</w:t>
      </w:r>
    </w:p>
    <w:p w14:paraId="43A5CBF7" w14:textId="37CD36E9"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Figure 1. Kolb's Experiential Learning Cycle (Kolb, 1984):</w:t>
      </w:r>
      <w:r w:rsidRPr="00272DA5">
        <w:rPr>
          <w:rFonts w:asciiTheme="majorHAnsi" w:hAnsiTheme="majorHAnsi" w:cstheme="majorHAnsi"/>
          <w:color w:val="000000" w:themeColor="text1"/>
          <w:szCs w:val="24"/>
        </w:rPr>
        <w:br/>
        <w:t>Concrete Experience</w:t>
      </w:r>
      <w:r w:rsidR="00FC7ACF" w:rsidRPr="00272DA5">
        <w:rPr>
          <w:rFonts w:asciiTheme="majorHAnsi" w:hAnsiTheme="majorHAnsi" w:cstheme="majorHAnsi"/>
          <w:color w:val="000000" w:themeColor="text1"/>
          <w:szCs w:val="24"/>
        </w:rPr>
        <w:t xml:space="preserve"> </w:t>
      </w:r>
      <w:r w:rsidR="0027281F"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 xml:space="preserve">Reflective Observation </w:t>
      </w:r>
      <w:r w:rsidR="0027281F"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 xml:space="preserve">Abstract Conceptualisation </w:t>
      </w:r>
      <w:r w:rsidR="0027281F"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Active Experimentation → Concrete Experience.</w:t>
      </w:r>
    </w:p>
    <w:p w14:paraId="4A8E97B3"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For example, a Support Worker may lead a handover, reflect on feedback received, identify improvements in communication and subsequently apply these changes during a future handover.</w:t>
      </w:r>
    </w:p>
    <w:p w14:paraId="5B5E871E" w14:textId="77777777" w:rsidR="003B3FC0" w:rsidRPr="00272DA5" w:rsidRDefault="003B3FC0" w:rsidP="003B3FC0">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Overall Critical Evaluation and Conclusion</w:t>
      </w:r>
    </w:p>
    <w:p w14:paraId="5472629D"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 critical evaluation suggests that the most effective development strategy within Accomplish is a blended learning approach that integrates formal education, workplace learning and digital development opportunities. Human Capital Theory (Becker, 1993) supports investment in employee development as a means of improving organisational effectiveness, whilst Senge's (1990) Learning Organisation Theory emphasises the importance of continuous learning and knowledge sharing.</w:t>
      </w:r>
    </w:p>
    <w:p w14:paraId="433DFD46"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Mandatory training and professional qualifications provide essential theoretical knowledge and regulatory understanding. Digital learning enhances accessibility and supports continuous professional development but should complement rather than replace practical learning experiences.</w:t>
      </w:r>
    </w:p>
    <w:p w14:paraId="3C2A30E9"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From a leadership perspective, development vehicles should be selected according to employee needs, career aspirations and organisational priorities. As Deputy Manager, I would use supervision, competency observations, performance reviews and reflective practice to evaluate learning outcomes. This approach ensures development is measured not by training completion alone but by improvements in employee performance, leadership capability, resident outcomes and quality of care.</w:t>
      </w:r>
    </w:p>
    <w:p w14:paraId="39A32340"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Ultimately, the most appropriate development vehicle depends on the desired learning outcome. However, evidence suggests that combining formal qualifications, workplace learning and continuous professional development provides the greatest opportunity for sustainable employee growth, organisational resilience and service effectiveness.</w:t>
      </w:r>
    </w:p>
    <w:p w14:paraId="4460F7E9" w14:textId="77777777" w:rsidR="00E445DD" w:rsidRPr="00272DA5" w:rsidRDefault="00E445DD" w:rsidP="00613083">
      <w:pPr>
        <w:rPr>
          <w:rFonts w:asciiTheme="majorHAnsi" w:hAnsiTheme="majorHAnsi" w:cstheme="majorHAnsi"/>
          <w:b/>
          <w:bCs/>
          <w:color w:val="000000" w:themeColor="text1"/>
          <w:szCs w:val="24"/>
        </w:rPr>
      </w:pPr>
    </w:p>
    <w:p w14:paraId="3A7B567D" w14:textId="77777777" w:rsidR="00824868" w:rsidRDefault="00824868" w:rsidP="00613083">
      <w:pPr>
        <w:rPr>
          <w:rFonts w:asciiTheme="majorHAnsi" w:hAnsiTheme="majorHAnsi" w:cstheme="majorHAnsi"/>
          <w:b/>
          <w:bCs/>
          <w:color w:val="000000" w:themeColor="text1"/>
          <w:szCs w:val="24"/>
        </w:rPr>
      </w:pPr>
    </w:p>
    <w:p w14:paraId="475B82EF" w14:textId="77777777" w:rsidR="00824868" w:rsidRDefault="00824868" w:rsidP="00613083">
      <w:pPr>
        <w:rPr>
          <w:rFonts w:asciiTheme="majorHAnsi" w:hAnsiTheme="majorHAnsi" w:cstheme="majorHAnsi"/>
          <w:b/>
          <w:bCs/>
          <w:color w:val="000000" w:themeColor="text1"/>
          <w:szCs w:val="24"/>
        </w:rPr>
      </w:pPr>
    </w:p>
    <w:p w14:paraId="479E4E0B" w14:textId="77777777" w:rsidR="00824868" w:rsidRDefault="00824868" w:rsidP="00613083">
      <w:pPr>
        <w:rPr>
          <w:rFonts w:asciiTheme="majorHAnsi" w:hAnsiTheme="majorHAnsi" w:cstheme="majorHAnsi"/>
          <w:b/>
          <w:bCs/>
          <w:color w:val="000000" w:themeColor="text1"/>
          <w:szCs w:val="24"/>
        </w:rPr>
      </w:pPr>
    </w:p>
    <w:p w14:paraId="1C1D28D5"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lastRenderedPageBreak/>
        <w:t>5. Personal Development Plan and Performance Management</w:t>
      </w:r>
    </w:p>
    <w:p w14:paraId="33890CC3" w14:textId="1F2915F0" w:rsidR="00BA2D35" w:rsidRPr="00272DA5" w:rsidRDefault="00BA2D35"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This section examines how an individual's development needs can be identified, addressed and evaluated through a structured Personal Development Plan (PDP). It also considers how performance management processes can be used to monitor progress, provide feedback and support continuous improvement. Using a hypothetical employee within Accomplish, the section demonstrates how development activities can be aligned with organisational objectives, service requirements and career aspirations whilst supporting effective performance management and long-term workforce sustainability.</w:t>
      </w:r>
    </w:p>
    <w:p w14:paraId="25B4297B"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5.1 Employee Profile</w:t>
      </w:r>
    </w:p>
    <w:p w14:paraId="0BA80CB5"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 Personal Development Plan (PDP) provides a structured framework for identifying learning needs, setting development objectives and monitoring professional growth. CIPD (2023) emphasises that effective development planning supports employee engagement, retention and workforce sustainability when linked to measurable performance outcomes.</w:t>
      </w:r>
    </w:p>
    <w:p w14:paraId="48FC37FF"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Within Accomplish, part of Keys Group, the following hypothetical example focuses on Employee A, a Support Worker within a residential mental health service supporting eight residents with complex needs. During supervision, they have expressed an ambition to progress into a Team Leader role within the next 12 months.</w:t>
      </w:r>
    </w:p>
    <w:p w14:paraId="0EFD0CFA"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Employee A demonstrates reliability, positive relationships with residents and sound safeguarding practice. However, further development is required in leadership, medication competency, report writing, professional confidence and the management of behaviours that challenge.</w:t>
      </w:r>
    </w:p>
    <w:p w14:paraId="1CE79668"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As Deputy Manager, I would develop a collaborative PDP that aligns Employee A's career aspirations with organisational requirements and service needs. This approach reflects Expectancy Theory (Vroom, 1964), which highlights the importance of balancing employee motivation with realistic opportunities for progression.</w:t>
      </w:r>
    </w:p>
    <w:p w14:paraId="7B81E779"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5.2 Skills Gap Analysis</w:t>
      </w:r>
    </w:p>
    <w:p w14:paraId="419A090A"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 skills gap analysis enables managers to compare existing competencies against those required for a future role. According to Noe (2020), identifying specific development needs ensures learning interventions are targeted and aligned with organisational objectives rather than relying upon generic training provision.</w:t>
      </w:r>
    </w:p>
    <w:p w14:paraId="4D5996AE"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analysis identified several areas requiring development before Employee A could effectively undertake Team Leader responsibilities.</w:t>
      </w:r>
    </w:p>
    <w:p w14:paraId="00F66715"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assessment would utilise multiple sources of evidence, including supervision records, direct observations, incident reports, competency assessments, training records and self-reflection. Combining managerial feedback, performance evidence and employee reflection provides a more accurate understanding of development requirements and reduces subjectivity.</w:t>
      </w:r>
    </w:p>
    <w:p w14:paraId="0A31AC90" w14:textId="2463EFDF" w:rsidR="00B76E33" w:rsidRPr="00A735A6"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lastRenderedPageBreak/>
        <w:t>The process also promotes fairness and transparency because decisions regarding progression are based upon objective evidence rather than assumptions, personal opinion or length of service alone.</w:t>
      </w:r>
    </w:p>
    <w:p w14:paraId="4F7646E0" w14:textId="06C3376B"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5.3 Personal Development Plan</w:t>
      </w:r>
    </w:p>
    <w:p w14:paraId="0789EB9D"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PDP is designed using SMART objectives, enabling progress to be measured against specific outcomes (Doran, 1981). Each objective directly addresses an identified skills gap while supporting organisational priorities such as quality of care, regulatory compliance and leadership succession planning.</w:t>
      </w:r>
    </w:p>
    <w:p w14:paraId="512094F1"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proposed development activities combine formal learning, coaching, mentoring, job shadowing and workplace experience. This reflects best practice because leadership competence is developed through both formal learning and practical application.</w:t>
      </w:r>
    </w:p>
    <w:p w14:paraId="69FEB026"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Whilst the PDP provides a structured pathway for development, successful completion of learning activities does not automatically demonstrate readiness for promotion. This distinction is important because qualifications and training courses primarily assess knowledge acquisition, whereas leadership positions require consistent application of knowledge within complex workplace environments.</w:t>
      </w:r>
    </w:p>
    <w:p w14:paraId="6AB89066"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Monthly reviews would monitor progress, identify barriers and allow objectives to be adjusted where necessary. However, flexibility remains essential because organisational priorities, staffing requirements and individual circumstances may change throughout the development period.</w:t>
      </w:r>
    </w:p>
    <w:p w14:paraId="458876CA"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5.4 Managing Performance</w:t>
      </w:r>
    </w:p>
    <w:p w14:paraId="1F420624" w14:textId="75C9A780"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Performance Management Cycle (Applied to Employee A)</w:t>
      </w:r>
    </w:p>
    <w:p w14:paraId="42F255FD" w14:textId="7F969935"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 xml:space="preserve">PLAN </w:t>
      </w:r>
      <w:r w:rsidR="00E322F7"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 xml:space="preserve">MONITOR </w:t>
      </w:r>
      <w:r w:rsidR="00E322F7"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 xml:space="preserve">REVIEW </w:t>
      </w:r>
      <w:r w:rsidR="00E322F7"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 xml:space="preserve">DEVELOP </w:t>
      </w:r>
      <w:r w:rsidR="00E322F7" w:rsidRPr="00272DA5">
        <w:rPr>
          <w:rFonts w:asciiTheme="majorHAnsi" w:hAnsiTheme="majorHAnsi" w:cstheme="majorHAnsi"/>
          <w:color w:val="000000" w:themeColor="text1"/>
          <w:szCs w:val="24"/>
        </w:rPr>
        <w:t>-</w:t>
      </w:r>
      <w:r w:rsidRPr="00272DA5">
        <w:rPr>
          <w:rFonts w:asciiTheme="majorHAnsi" w:hAnsiTheme="majorHAnsi" w:cstheme="majorHAnsi"/>
          <w:color w:val="000000" w:themeColor="text1"/>
          <w:szCs w:val="24"/>
        </w:rPr>
        <w:t xml:space="preserve"> PLAN</w:t>
      </w:r>
    </w:p>
    <w:p w14:paraId="65D9AC9D" w14:textId="77777777" w:rsidR="00247BBC" w:rsidRPr="00272DA5" w:rsidRDefault="00247BBC" w:rsidP="00247BBC">
      <w:pPr>
        <w:numPr>
          <w:ilvl w:val="0"/>
          <w:numId w:val="4"/>
        </w:num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Agree SMART objectives and evidence requirements.</w:t>
      </w:r>
    </w:p>
    <w:p w14:paraId="6ABFFDD7" w14:textId="77777777" w:rsidR="00247BBC" w:rsidRPr="00272DA5" w:rsidRDefault="00247BBC" w:rsidP="00247BBC">
      <w:pPr>
        <w:numPr>
          <w:ilvl w:val="0"/>
          <w:numId w:val="4"/>
        </w:num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Observe practice and record feedback.</w:t>
      </w:r>
    </w:p>
    <w:p w14:paraId="627A1624" w14:textId="77777777" w:rsidR="00247BBC" w:rsidRPr="00272DA5" w:rsidRDefault="00247BBC" w:rsidP="00247BBC">
      <w:pPr>
        <w:numPr>
          <w:ilvl w:val="0"/>
          <w:numId w:val="4"/>
        </w:num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Compare evidence against agreed standards.</w:t>
      </w:r>
    </w:p>
    <w:p w14:paraId="00B058A5" w14:textId="77777777" w:rsidR="00247BBC" w:rsidRPr="00272DA5" w:rsidRDefault="00247BBC" w:rsidP="00247BBC">
      <w:pPr>
        <w:numPr>
          <w:ilvl w:val="0"/>
          <w:numId w:val="4"/>
        </w:num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Adjust coaching, training and objectives.</w:t>
      </w:r>
    </w:p>
    <w:p w14:paraId="08456532" w14:textId="77777777" w:rsidR="00247BBC" w:rsidRPr="00272DA5" w:rsidRDefault="00247BBC" w:rsidP="00247BBC">
      <w:pPr>
        <w:numPr>
          <w:ilvl w:val="0"/>
          <w:numId w:val="4"/>
        </w:num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Repeat through monthly supervision and formal reviews at six and twelve months.</w:t>
      </w:r>
    </w:p>
    <w:p w14:paraId="6947EBEE"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Performance management is a continuous process involving objective setting, monitoring, feedback and performance review.</w:t>
      </w:r>
    </w:p>
    <w:p w14:paraId="600675B1" w14:textId="70FBEDEE" w:rsidR="00E322F7" w:rsidRPr="00AB295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 xml:space="preserve">Within Accomplish, I would utilise the Performance Management Cycle to ensure Employee A's development activities remain aligned with service objectives and quality standards. The cycle </w:t>
      </w:r>
      <w:r w:rsidRPr="00272DA5">
        <w:rPr>
          <w:rFonts w:asciiTheme="majorHAnsi" w:hAnsiTheme="majorHAnsi" w:cstheme="majorHAnsi"/>
          <w:color w:val="000000" w:themeColor="text1"/>
          <w:szCs w:val="24"/>
        </w:rPr>
        <w:lastRenderedPageBreak/>
        <w:t>would involve planning, monitoring, reviewing and improving performance through regular supervision, coaching and competency assessments.</w:t>
      </w:r>
    </w:p>
    <w:p w14:paraId="49C91A31" w14:textId="68D5756B"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KPI Monitoring</w:t>
      </w:r>
    </w:p>
    <w:p w14:paraId="42FEB03A"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Performance indicators would include documentation accuracy, medication competency completion, leadership observations, training milestones and participation in development activities. However, a significant limitation of KPI-based approaches is their focus on measurable outputs. Brudan (2010) argues that quantitative indicators may overlook wider aspects of professional performance, including relationship-building, compassion and professional judgement.</w:t>
      </w:r>
    </w:p>
    <w:p w14:paraId="3FBB8686"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Therefore, KPIs should be balanced with qualitative measures such as resident feedback, reflective discussions, behavioural observations and evidence of person-centred practice.</w:t>
      </w:r>
    </w:p>
    <w:p w14:paraId="18249A46"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Supervision and Appraisals</w:t>
      </w:r>
    </w:p>
    <w:p w14:paraId="4F3F2FDE"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Regular supervision enables progress to be reviewed, barriers to development identified and objectives revised where necessary. Annual appraisal provides an opportunity to evaluate long-term progress and future career aspirations.</w:t>
      </w:r>
    </w:p>
    <w:p w14:paraId="461C3994"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However, annual reviews alone are insufficient because performance concerns require timely intervention and support. Continuous feedback is therefore more effective than retrospective evaluation and enables issues to be addressed before they impact service quality.</w:t>
      </w:r>
    </w:p>
    <w:p w14:paraId="43D9CC1D"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Feedback and Observation</w:t>
      </w:r>
    </w:p>
    <w:p w14:paraId="15785D37"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Direct observation allows managers to assess competence within real workplace settings.</w:t>
      </w:r>
    </w:p>
    <w:p w14:paraId="459CB0F1"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Nevertheless, observations may capture only isolated examples of performance. To improve reliability, observations should occur on multiple occasions and be combined with additional evidence sources such as resident outcomes, documentation quality, colleague feedback and competency assessments.</w:t>
      </w:r>
    </w:p>
    <w:p w14:paraId="273CDC9A"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Coaching Through the GROW Model</w:t>
      </w:r>
    </w:p>
    <w:p w14:paraId="64E7CB9F"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Whitmore's (2017) GROW Model structures coaching conversations around Goal, Reality, Options and Will. Rather than providing solutions, coaching encourages employees to evaluate challenges, identify options and take ownership of their development.</w:t>
      </w:r>
    </w:p>
    <w:p w14:paraId="2B7B7E23"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This approach promotes self-awareness, accountability and reflective practice, all of which are important qualities for future leaders within social care services.</w:t>
      </w:r>
    </w:p>
    <w:p w14:paraId="3BA2C35B"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5.5 Reflection on Sustainability</w:t>
      </w:r>
    </w:p>
    <w:p w14:paraId="6E2D4E33"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 xml:space="preserve">The cost and sustainability of development also require critical consideration. Protected learning time, mentoring capacity and staffing cover should be evaluated alongside potential </w:t>
      </w:r>
      <w:r w:rsidRPr="00272DA5">
        <w:rPr>
          <w:rFonts w:asciiTheme="majorHAnsi" w:hAnsiTheme="majorHAnsi" w:cstheme="majorHAnsi"/>
          <w:color w:val="000000" w:themeColor="text1"/>
          <w:szCs w:val="24"/>
        </w:rPr>
        <w:lastRenderedPageBreak/>
        <w:t>reductions in agency usage, errors, absenteeism and employee turnover. These benefits should be evidenced through service data rather than assumed.</w:t>
      </w:r>
    </w:p>
    <w:p w14:paraId="5B1DFA0E"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Sustainable workforce development requires organisations to focus on long-term capability rather than addressing immediate training requirements alone. Senge (1990) argues that learning organisations create cultures in which continuous learning, knowledge sharing and professional growth support organisational effectiveness and adaptation.</w:t>
      </w:r>
    </w:p>
    <w:p w14:paraId="280ECAEC"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Within Accomplish, structured PDPs can strengthen succession planning, reduce reliance on external recruitment and improve workforce resilience by preparing employees for future leadership responsibilities. Developing existing employees also preserves organisational knowledge, including understanding residents' individual needs, behavioural support strategies and service-specific practices.</w:t>
      </w:r>
    </w:p>
    <w:p w14:paraId="5A8B7F6C"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However, development initiatives require significant organisational commitment. Time for supervision, access to training, financial investment and managerial support are all necessary for successful implementation.</w:t>
      </w:r>
    </w:p>
    <w:p w14:paraId="34A43B36"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As Deputy Manager, I would therefore ensure that development opportunities remain realistic, inclusive and regularly evaluated. Although Employee A's progression cannot be guaranteed, the competencies developed through the PDP would improve current performance while contributing to organisational capability and service quality.</w:t>
      </w:r>
    </w:p>
    <w:p w14:paraId="1B804C74"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Overall, a structured PDP supported by continuous performance management provides a sustainable approach to workforce development. By combining SMART objectives, ongoing supervision, coaching and evidence-based evaluation, Accomplish can improve individual competence, strengthen leadership succession and support the delivery of safe, effective and person-centred care.</w:t>
      </w:r>
    </w:p>
    <w:p w14:paraId="572DAC01" w14:textId="77777777" w:rsidR="005F7051" w:rsidRPr="00EC3968" w:rsidRDefault="005F7051" w:rsidP="00613083">
      <w:pPr>
        <w:rPr>
          <w:color w:val="000000" w:themeColor="text1"/>
        </w:rPr>
      </w:pPr>
    </w:p>
    <w:p w14:paraId="5DD90F37" w14:textId="77777777" w:rsidR="005F7051" w:rsidRDefault="005F7051" w:rsidP="00613083">
      <w:pPr>
        <w:rPr>
          <w:b/>
          <w:bCs/>
          <w:color w:val="000000" w:themeColor="text1"/>
        </w:rPr>
      </w:pPr>
    </w:p>
    <w:p w14:paraId="335DB05C" w14:textId="77777777" w:rsidR="005F7051" w:rsidRDefault="005F7051" w:rsidP="00613083">
      <w:pPr>
        <w:rPr>
          <w:b/>
          <w:bCs/>
          <w:color w:val="000000" w:themeColor="text1"/>
        </w:rPr>
      </w:pPr>
    </w:p>
    <w:p w14:paraId="35645ACF" w14:textId="77777777" w:rsidR="005F7051" w:rsidRDefault="005F7051" w:rsidP="00613083">
      <w:pPr>
        <w:rPr>
          <w:b/>
          <w:bCs/>
          <w:color w:val="000000" w:themeColor="text1"/>
        </w:rPr>
      </w:pPr>
    </w:p>
    <w:p w14:paraId="375F8CD6" w14:textId="77777777" w:rsidR="002C0198" w:rsidRDefault="002C0198" w:rsidP="00613083">
      <w:pPr>
        <w:rPr>
          <w:b/>
          <w:bCs/>
          <w:color w:val="000000" w:themeColor="text1"/>
        </w:rPr>
      </w:pPr>
    </w:p>
    <w:p w14:paraId="40A7ACF7" w14:textId="77777777" w:rsidR="00B12758" w:rsidRDefault="00B12758" w:rsidP="00613083">
      <w:pPr>
        <w:rPr>
          <w:b/>
          <w:bCs/>
          <w:color w:val="000000" w:themeColor="text1"/>
        </w:rPr>
      </w:pPr>
    </w:p>
    <w:p w14:paraId="44204E2D" w14:textId="77777777" w:rsidR="00B12758" w:rsidRDefault="00B12758" w:rsidP="00613083">
      <w:pPr>
        <w:rPr>
          <w:b/>
          <w:bCs/>
          <w:color w:val="000000" w:themeColor="text1"/>
        </w:rPr>
      </w:pPr>
    </w:p>
    <w:p w14:paraId="64C66150" w14:textId="77777777" w:rsidR="00B12758" w:rsidRDefault="00B12758" w:rsidP="00613083">
      <w:pPr>
        <w:rPr>
          <w:b/>
          <w:bCs/>
          <w:color w:val="000000" w:themeColor="text1"/>
        </w:rPr>
      </w:pPr>
    </w:p>
    <w:p w14:paraId="266A8CBD" w14:textId="77777777" w:rsidR="0062584A" w:rsidRDefault="0062584A" w:rsidP="00613083">
      <w:pPr>
        <w:rPr>
          <w:b/>
          <w:bCs/>
          <w:color w:val="000000" w:themeColor="text1"/>
        </w:rPr>
      </w:pPr>
    </w:p>
    <w:p w14:paraId="18A007D9" w14:textId="77777777" w:rsidR="00B12758" w:rsidRDefault="00B12758" w:rsidP="00613083">
      <w:pPr>
        <w:rPr>
          <w:b/>
          <w:bCs/>
          <w:color w:val="000000" w:themeColor="text1"/>
        </w:rPr>
      </w:pPr>
    </w:p>
    <w:p w14:paraId="23EACE9A" w14:textId="77777777" w:rsidR="005F7051" w:rsidRDefault="005F7051" w:rsidP="00613083">
      <w:pPr>
        <w:rPr>
          <w:b/>
          <w:bCs/>
          <w:color w:val="000000" w:themeColor="text1"/>
        </w:rPr>
      </w:pPr>
    </w:p>
    <w:p w14:paraId="0F7DB322" w14:textId="77777777" w:rsidR="00B76E33" w:rsidRPr="00272DA5" w:rsidRDefault="00B76E33" w:rsidP="00613083">
      <w:pPr>
        <w:rPr>
          <w:rFonts w:asciiTheme="majorHAnsi" w:hAnsiTheme="majorHAnsi" w:cstheme="majorHAnsi"/>
          <w:b/>
          <w:bCs/>
          <w:color w:val="000000" w:themeColor="text1"/>
        </w:rPr>
      </w:pPr>
    </w:p>
    <w:p w14:paraId="37D38F72" w14:textId="77777777" w:rsidR="00613083" w:rsidRPr="00272DA5" w:rsidRDefault="00613083" w:rsidP="00613083">
      <w:pPr>
        <w:pStyle w:val="Heading1"/>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6. Conclusion</w:t>
      </w:r>
    </w:p>
    <w:p w14:paraId="77E8EC61"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This report has critically examined the role of employee development in improving workplace relationships, individual achievement and organisational performance within Accomplish, part of Keys Group.</w:t>
      </w:r>
    </w:p>
    <w:p w14:paraId="3DC14FDB"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discussion of Human Capital Theory, the Resource-Based View, Social Exchange Theory and Learning Organisation Theory demonstrated how learning and development can enhance employee competence, strengthen organisational capability, improve retention and support sustainable organisational success. However, the analysis identified that development activities only achieve value when learning is effectively transferred into workplace practice and reinforced through supervision, coaching, mentoring and continuous performance management. Training completion alone does not guarantee improved performance, safer practice or positive outcomes for residents.</w:t>
      </w:r>
    </w:p>
    <w:p w14:paraId="3C215FE6"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report further demonstrated that managing employee expectations is a critical leadership responsibility. Within Accomplish, employees may aspire to gain qualifications, undertake specialist training and progress into leadership positions. As Deputy Manager, maintaining transparent communication, realistic goal setting and constructive feedback is essential to balancing employee aspirations with organisational opportunities and operational requirements. The application of Psychological Contract Theory and Expectancy Theory highlighted the importance of trust, fairness and motivation when supporting employee development.</w:t>
      </w:r>
    </w:p>
    <w:p w14:paraId="6768BE23"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 critical evaluation of development vehicles demonstrated that no single approach can meet all learning needs. Formal qualifications, mandatory training, coaching, mentoring, job shadowing and digital learning each offer distinct benefits and limitations. Consequently, a blended approach is most effective because it combines theoretical knowledge with practical experience and reflective learning.</w:t>
      </w:r>
    </w:p>
    <w:p w14:paraId="38533EC6"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Personal Development Plan illustrated how structured development, supported by SMART objectives, regular supervision, coaching and performance management, can improve employee capability while supporting organisational objectives. Effective performance management enables managers to monitor progress, identify barriers to development and support continuous improvement.</w:t>
      </w:r>
    </w:p>
    <w:p w14:paraId="6C9C07A5"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Overall, the report concludes that Accomplish can strengthen organisational performance, workforce resilience and quality of care through an integrated approach to employee development. Ultimately, success should be measured not by training completion alone but by demonstrable improvements in employee competence, leadership capability, staff retention, regulatory compliance and the quality of life of the individuals supported by the service.</w:t>
      </w:r>
    </w:p>
    <w:p w14:paraId="68D4470D" w14:textId="77777777" w:rsidR="0062584A" w:rsidRDefault="0062584A" w:rsidP="00983F41"/>
    <w:p w14:paraId="44A8CE3A" w14:textId="77777777" w:rsidR="00F27842" w:rsidRDefault="00F27842" w:rsidP="00983F41"/>
    <w:p w14:paraId="5F3E3AE4" w14:textId="77777777" w:rsidR="00F27842" w:rsidRDefault="00F27842" w:rsidP="00983F41"/>
    <w:p w14:paraId="79239A61" w14:textId="77777777" w:rsidR="00F27842" w:rsidRDefault="00F27842" w:rsidP="00983F41"/>
    <w:p w14:paraId="53F288A1" w14:textId="77777777" w:rsidR="00F27842" w:rsidRDefault="00F27842" w:rsidP="00983F41"/>
    <w:p w14:paraId="634B2FC4" w14:textId="77777777" w:rsidR="00F27842" w:rsidRDefault="00F27842" w:rsidP="00983F41"/>
    <w:p w14:paraId="481FE1F3" w14:textId="77777777" w:rsidR="00F27842" w:rsidRDefault="00F27842" w:rsidP="00983F41"/>
    <w:p w14:paraId="56C33B98" w14:textId="77777777" w:rsidR="00F27842" w:rsidRDefault="00F27842" w:rsidP="00983F41"/>
    <w:p w14:paraId="08123D60" w14:textId="77777777" w:rsidR="00F27842" w:rsidRDefault="00F27842" w:rsidP="00983F41"/>
    <w:p w14:paraId="48D559C6" w14:textId="77777777" w:rsidR="00F27842" w:rsidRDefault="00F27842" w:rsidP="00983F41"/>
    <w:p w14:paraId="62676B2D" w14:textId="77777777" w:rsidR="00F27842" w:rsidRDefault="00F27842" w:rsidP="00983F41"/>
    <w:p w14:paraId="4F66B668" w14:textId="77777777" w:rsidR="00F27842" w:rsidRDefault="00F27842" w:rsidP="00983F41"/>
    <w:p w14:paraId="23043DCA" w14:textId="77777777" w:rsidR="00F27842" w:rsidRDefault="00F27842" w:rsidP="00983F41"/>
    <w:p w14:paraId="7F8EC8B7" w14:textId="77777777" w:rsidR="00F27842" w:rsidRDefault="00F27842" w:rsidP="00983F41"/>
    <w:p w14:paraId="42A403AF" w14:textId="77777777" w:rsidR="00F27842" w:rsidRDefault="00F27842" w:rsidP="00983F41"/>
    <w:p w14:paraId="6840F728" w14:textId="77777777" w:rsidR="00F27842" w:rsidRDefault="00F27842" w:rsidP="00983F41"/>
    <w:p w14:paraId="5990FBF7" w14:textId="77777777" w:rsidR="00F27842" w:rsidRDefault="00F27842" w:rsidP="00983F41"/>
    <w:p w14:paraId="046E6C00" w14:textId="77777777" w:rsidR="00F27842" w:rsidRDefault="00F27842" w:rsidP="00983F41"/>
    <w:p w14:paraId="64331EB5" w14:textId="77777777" w:rsidR="00F27842" w:rsidRPr="00983F41" w:rsidRDefault="00F27842" w:rsidP="00983F41"/>
    <w:p w14:paraId="257FA372" w14:textId="16E6FE0D" w:rsidR="00613083" w:rsidRPr="000E78E4" w:rsidRDefault="00613083" w:rsidP="00613083">
      <w:pPr>
        <w:pStyle w:val="Heading1"/>
        <w:rPr>
          <w:rFonts w:asciiTheme="majorHAnsi" w:hAnsiTheme="majorHAnsi" w:cstheme="majorHAnsi"/>
          <w:b/>
          <w:bCs/>
          <w:color w:val="000000" w:themeColor="text1"/>
          <w:sz w:val="24"/>
          <w:szCs w:val="24"/>
        </w:rPr>
      </w:pPr>
      <w:r w:rsidRPr="000E78E4">
        <w:rPr>
          <w:rFonts w:asciiTheme="majorHAnsi" w:hAnsiTheme="majorHAnsi" w:cstheme="majorHAnsi"/>
          <w:b/>
          <w:bCs/>
          <w:color w:val="000000" w:themeColor="text1"/>
          <w:sz w:val="24"/>
          <w:szCs w:val="24"/>
        </w:rPr>
        <w:t>References</w:t>
      </w:r>
    </w:p>
    <w:p w14:paraId="2CAE0570"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Accomplish. (2024). </w:t>
      </w:r>
      <w:r w:rsidRPr="00480E4E">
        <w:rPr>
          <w:rFonts w:asciiTheme="majorHAnsi" w:hAnsiTheme="majorHAnsi" w:cstheme="majorHAnsi"/>
          <w:i/>
          <w:iCs/>
          <w:color w:val="000000" w:themeColor="text1"/>
          <w:szCs w:val="24"/>
        </w:rPr>
        <w:t>Adult residential and supported living services</w:t>
      </w:r>
      <w:r w:rsidRPr="00480E4E">
        <w:rPr>
          <w:rFonts w:asciiTheme="majorHAnsi" w:hAnsiTheme="majorHAnsi" w:cstheme="majorHAnsi"/>
          <w:color w:val="000000" w:themeColor="text1"/>
          <w:szCs w:val="24"/>
        </w:rPr>
        <w:t>. https://www.accomplish-group.co.uk/</w:t>
      </w:r>
    </w:p>
    <w:p w14:paraId="2B1355EE"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Accomplish. (2024). </w:t>
      </w:r>
      <w:r w:rsidRPr="00480E4E">
        <w:rPr>
          <w:rFonts w:asciiTheme="majorHAnsi" w:hAnsiTheme="majorHAnsi" w:cstheme="majorHAnsi"/>
          <w:i/>
          <w:iCs/>
          <w:color w:val="000000" w:themeColor="text1"/>
          <w:szCs w:val="24"/>
        </w:rPr>
        <w:t>About Accomplish and specialist support services</w:t>
      </w:r>
      <w:r w:rsidRPr="00480E4E">
        <w:rPr>
          <w:rFonts w:asciiTheme="majorHAnsi" w:hAnsiTheme="majorHAnsi" w:cstheme="majorHAnsi"/>
          <w:color w:val="000000" w:themeColor="text1"/>
          <w:szCs w:val="24"/>
        </w:rPr>
        <w:t>. https://www.accomplish-group.co.uk/</w:t>
      </w:r>
    </w:p>
    <w:p w14:paraId="1FD466CD"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Armstrong, M., &amp; Taylor, S. (2023). </w:t>
      </w:r>
      <w:r w:rsidRPr="00480E4E">
        <w:rPr>
          <w:rFonts w:asciiTheme="majorHAnsi" w:hAnsiTheme="majorHAnsi" w:cstheme="majorHAnsi"/>
          <w:i/>
          <w:iCs/>
          <w:color w:val="000000" w:themeColor="text1"/>
          <w:szCs w:val="24"/>
        </w:rPr>
        <w:t>Armstrong's handbook of human resource management practice</w:t>
      </w:r>
      <w:r w:rsidRPr="00480E4E">
        <w:rPr>
          <w:rFonts w:asciiTheme="majorHAnsi" w:hAnsiTheme="majorHAnsi" w:cstheme="majorHAnsi"/>
          <w:color w:val="000000" w:themeColor="text1"/>
          <w:szCs w:val="24"/>
        </w:rPr>
        <w:t xml:space="preserve"> (16th ed.). Kogan Page.</w:t>
      </w:r>
    </w:p>
    <w:p w14:paraId="32788A0F"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Barney, J. (1991). Firm resources and sustained competitive advantage. </w:t>
      </w:r>
      <w:r w:rsidRPr="00480E4E">
        <w:rPr>
          <w:rFonts w:asciiTheme="majorHAnsi" w:hAnsiTheme="majorHAnsi" w:cstheme="majorHAnsi"/>
          <w:i/>
          <w:iCs/>
          <w:color w:val="000000" w:themeColor="text1"/>
          <w:szCs w:val="24"/>
        </w:rPr>
        <w:t>Journal of Management, 17</w:t>
      </w:r>
      <w:r w:rsidRPr="00480E4E">
        <w:rPr>
          <w:rFonts w:asciiTheme="majorHAnsi" w:hAnsiTheme="majorHAnsi" w:cstheme="majorHAnsi"/>
          <w:color w:val="000000" w:themeColor="text1"/>
          <w:szCs w:val="24"/>
        </w:rPr>
        <w:t>(1), 99-120. https://doi.org/10.1177/014920639101700108</w:t>
      </w:r>
    </w:p>
    <w:p w14:paraId="55553525"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Becker, G. S. (1993). </w:t>
      </w:r>
      <w:r w:rsidRPr="00480E4E">
        <w:rPr>
          <w:rFonts w:asciiTheme="majorHAnsi" w:hAnsiTheme="majorHAnsi" w:cstheme="majorHAnsi"/>
          <w:i/>
          <w:iCs/>
          <w:color w:val="000000" w:themeColor="text1"/>
          <w:szCs w:val="24"/>
        </w:rPr>
        <w:t>Human capital: A theoretical and empirical analysis, with special reference to education</w:t>
      </w:r>
      <w:r w:rsidRPr="00480E4E">
        <w:rPr>
          <w:rFonts w:asciiTheme="majorHAnsi" w:hAnsiTheme="majorHAnsi" w:cstheme="majorHAnsi"/>
          <w:color w:val="000000" w:themeColor="text1"/>
          <w:szCs w:val="24"/>
        </w:rPr>
        <w:t xml:space="preserve"> (3rd ed.). University of Chicago Press.</w:t>
      </w:r>
    </w:p>
    <w:p w14:paraId="40E4A229"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lastRenderedPageBreak/>
        <w:t xml:space="preserve">Blau, P. M. (1964). </w:t>
      </w:r>
      <w:r w:rsidRPr="00480E4E">
        <w:rPr>
          <w:rFonts w:asciiTheme="majorHAnsi" w:hAnsiTheme="majorHAnsi" w:cstheme="majorHAnsi"/>
          <w:i/>
          <w:iCs/>
          <w:color w:val="000000" w:themeColor="text1"/>
          <w:szCs w:val="24"/>
        </w:rPr>
        <w:t>Exchange and power in social life</w:t>
      </w:r>
      <w:r w:rsidRPr="00480E4E">
        <w:rPr>
          <w:rFonts w:asciiTheme="majorHAnsi" w:hAnsiTheme="majorHAnsi" w:cstheme="majorHAnsi"/>
          <w:color w:val="000000" w:themeColor="text1"/>
          <w:szCs w:val="24"/>
        </w:rPr>
        <w:t>. Wiley.</w:t>
      </w:r>
    </w:p>
    <w:p w14:paraId="1E2DD0F2"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Boud, D., Cohen, R., &amp; Sampson, J. (2001). </w:t>
      </w:r>
      <w:r w:rsidRPr="00480E4E">
        <w:rPr>
          <w:rFonts w:asciiTheme="majorHAnsi" w:hAnsiTheme="majorHAnsi" w:cstheme="majorHAnsi"/>
          <w:i/>
          <w:iCs/>
          <w:color w:val="000000" w:themeColor="text1"/>
          <w:szCs w:val="24"/>
        </w:rPr>
        <w:t>Peer learning in higher education: Learning from and with each other</w:t>
      </w:r>
      <w:r w:rsidRPr="00480E4E">
        <w:rPr>
          <w:rFonts w:asciiTheme="majorHAnsi" w:hAnsiTheme="majorHAnsi" w:cstheme="majorHAnsi"/>
          <w:color w:val="000000" w:themeColor="text1"/>
          <w:szCs w:val="24"/>
        </w:rPr>
        <w:t>. Kogan Page.</w:t>
      </w:r>
    </w:p>
    <w:p w14:paraId="5EB5836B"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Brudan, A. (2010). Rediscovering performance management: Systems, learning and integration. </w:t>
      </w:r>
      <w:r w:rsidRPr="00480E4E">
        <w:rPr>
          <w:rFonts w:asciiTheme="majorHAnsi" w:hAnsiTheme="majorHAnsi" w:cstheme="majorHAnsi"/>
          <w:i/>
          <w:iCs/>
          <w:color w:val="000000" w:themeColor="text1"/>
          <w:szCs w:val="24"/>
        </w:rPr>
        <w:t>Measuring Business Excellence, 14</w:t>
      </w:r>
      <w:r w:rsidRPr="00480E4E">
        <w:rPr>
          <w:rFonts w:asciiTheme="majorHAnsi" w:hAnsiTheme="majorHAnsi" w:cstheme="majorHAnsi"/>
          <w:color w:val="000000" w:themeColor="text1"/>
          <w:szCs w:val="24"/>
        </w:rPr>
        <w:t>(1), 109-123.</w:t>
      </w:r>
    </w:p>
    <w:p w14:paraId="747F7FDA"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Chartered Institute of Personnel and Development (CIPD). (2023). </w:t>
      </w:r>
      <w:r w:rsidRPr="00480E4E">
        <w:rPr>
          <w:rFonts w:asciiTheme="majorHAnsi" w:hAnsiTheme="majorHAnsi" w:cstheme="majorHAnsi"/>
          <w:i/>
          <w:iCs/>
          <w:color w:val="000000" w:themeColor="text1"/>
          <w:szCs w:val="24"/>
        </w:rPr>
        <w:t>Learning at work survey 2023</w:t>
      </w:r>
      <w:r w:rsidRPr="00480E4E">
        <w:rPr>
          <w:rFonts w:asciiTheme="majorHAnsi" w:hAnsiTheme="majorHAnsi" w:cstheme="majorHAnsi"/>
          <w:color w:val="000000" w:themeColor="text1"/>
          <w:szCs w:val="24"/>
        </w:rPr>
        <w:t>. CIPD.</w:t>
      </w:r>
    </w:p>
    <w:p w14:paraId="5A58C22F"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Doran, G. T. (1981). There's a SMART way to write management's goals and objectives. </w:t>
      </w:r>
      <w:r w:rsidRPr="00480E4E">
        <w:rPr>
          <w:rFonts w:asciiTheme="majorHAnsi" w:hAnsiTheme="majorHAnsi" w:cstheme="majorHAnsi"/>
          <w:i/>
          <w:iCs/>
          <w:color w:val="000000" w:themeColor="text1"/>
          <w:szCs w:val="24"/>
        </w:rPr>
        <w:t>Management Review, 70</w:t>
      </w:r>
      <w:r w:rsidRPr="00480E4E">
        <w:rPr>
          <w:rFonts w:asciiTheme="majorHAnsi" w:hAnsiTheme="majorHAnsi" w:cstheme="majorHAnsi"/>
          <w:color w:val="000000" w:themeColor="text1"/>
          <w:szCs w:val="24"/>
        </w:rPr>
        <w:t>(11), 35-36.</w:t>
      </w:r>
    </w:p>
    <w:p w14:paraId="1A1E65CF"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Edmondson, A. C. (1999). Psychological safety and learning behaviour in work teams. </w:t>
      </w:r>
      <w:r w:rsidRPr="00480E4E">
        <w:rPr>
          <w:rFonts w:asciiTheme="majorHAnsi" w:hAnsiTheme="majorHAnsi" w:cstheme="majorHAnsi"/>
          <w:i/>
          <w:iCs/>
          <w:color w:val="000000" w:themeColor="text1"/>
          <w:szCs w:val="24"/>
        </w:rPr>
        <w:t>Administrative Science Quarterly, 44</w:t>
      </w:r>
      <w:r w:rsidRPr="00480E4E">
        <w:rPr>
          <w:rFonts w:asciiTheme="majorHAnsi" w:hAnsiTheme="majorHAnsi" w:cstheme="majorHAnsi"/>
          <w:color w:val="000000" w:themeColor="text1"/>
          <w:szCs w:val="24"/>
        </w:rPr>
        <w:t>(2), 350-383.</w:t>
      </w:r>
    </w:p>
    <w:p w14:paraId="1B347CC9"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Eisenberger, R., Huntington, R., Hutchison, S., &amp; Sowa, D. (1986). Perceived organisational support. </w:t>
      </w:r>
      <w:r w:rsidRPr="00480E4E">
        <w:rPr>
          <w:rFonts w:asciiTheme="majorHAnsi" w:hAnsiTheme="majorHAnsi" w:cstheme="majorHAnsi"/>
          <w:i/>
          <w:iCs/>
          <w:color w:val="000000" w:themeColor="text1"/>
          <w:szCs w:val="24"/>
        </w:rPr>
        <w:t>Journal of Applied Psychology, 71</w:t>
      </w:r>
      <w:r w:rsidRPr="00480E4E">
        <w:rPr>
          <w:rFonts w:asciiTheme="majorHAnsi" w:hAnsiTheme="majorHAnsi" w:cstheme="majorHAnsi"/>
          <w:color w:val="000000" w:themeColor="text1"/>
          <w:szCs w:val="24"/>
        </w:rPr>
        <w:t>(3), 500-507. https://doi.org/10.1037/0021-9010.71.3.500</w:t>
      </w:r>
    </w:p>
    <w:p w14:paraId="47A3E28B"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Eraut, M. (2004). Informal learning in the workplace. </w:t>
      </w:r>
      <w:r w:rsidRPr="00480E4E">
        <w:rPr>
          <w:rFonts w:asciiTheme="majorHAnsi" w:hAnsiTheme="majorHAnsi" w:cstheme="majorHAnsi"/>
          <w:i/>
          <w:iCs/>
          <w:color w:val="000000" w:themeColor="text1"/>
          <w:szCs w:val="24"/>
        </w:rPr>
        <w:t>Studies in Continuing Education, 26</w:t>
      </w:r>
      <w:r w:rsidRPr="00480E4E">
        <w:rPr>
          <w:rFonts w:asciiTheme="majorHAnsi" w:hAnsiTheme="majorHAnsi" w:cstheme="majorHAnsi"/>
          <w:color w:val="000000" w:themeColor="text1"/>
          <w:szCs w:val="24"/>
        </w:rPr>
        <w:t>(2), 247-273. https://doi.org/10.1080/158037042000225245</w:t>
      </w:r>
    </w:p>
    <w:p w14:paraId="7536B8D2"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Garavan, T. N., Carbery, R., &amp; Rock, A. (2012). Mapping talent development: Definition, scope and architecture. </w:t>
      </w:r>
      <w:r w:rsidRPr="00480E4E">
        <w:rPr>
          <w:rFonts w:asciiTheme="majorHAnsi" w:hAnsiTheme="majorHAnsi" w:cstheme="majorHAnsi"/>
          <w:i/>
          <w:iCs/>
          <w:color w:val="000000" w:themeColor="text1"/>
          <w:szCs w:val="24"/>
        </w:rPr>
        <w:t>European Journal of Training and Development, 36</w:t>
      </w:r>
      <w:r w:rsidRPr="00480E4E">
        <w:rPr>
          <w:rFonts w:asciiTheme="majorHAnsi" w:hAnsiTheme="majorHAnsi" w:cstheme="majorHAnsi"/>
          <w:color w:val="000000" w:themeColor="text1"/>
          <w:szCs w:val="24"/>
        </w:rPr>
        <w:t>(1), 5-24. https://doi.org/10.1108/03090591211192601</w:t>
      </w:r>
    </w:p>
    <w:p w14:paraId="4F5D57AF"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Goleman, D. (2000). Leadership that gets results. </w:t>
      </w:r>
      <w:r w:rsidRPr="00480E4E">
        <w:rPr>
          <w:rFonts w:asciiTheme="majorHAnsi" w:hAnsiTheme="majorHAnsi" w:cstheme="majorHAnsi"/>
          <w:i/>
          <w:iCs/>
          <w:color w:val="000000" w:themeColor="text1"/>
          <w:szCs w:val="24"/>
        </w:rPr>
        <w:t>Harvard Business Review, 78</w:t>
      </w:r>
      <w:r w:rsidRPr="00480E4E">
        <w:rPr>
          <w:rFonts w:asciiTheme="majorHAnsi" w:hAnsiTheme="majorHAnsi" w:cstheme="majorHAnsi"/>
          <w:color w:val="000000" w:themeColor="text1"/>
          <w:szCs w:val="24"/>
        </w:rPr>
        <w:t>(2), 78-90.</w:t>
      </w:r>
    </w:p>
    <w:p w14:paraId="4AF9B71B"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Guest, D. E. (2004). The psychology of the employment relationship: An analysis based on the psychological contract. </w:t>
      </w:r>
      <w:r w:rsidRPr="00480E4E">
        <w:rPr>
          <w:rFonts w:asciiTheme="majorHAnsi" w:hAnsiTheme="majorHAnsi" w:cstheme="majorHAnsi"/>
          <w:i/>
          <w:iCs/>
          <w:color w:val="000000" w:themeColor="text1"/>
          <w:szCs w:val="24"/>
        </w:rPr>
        <w:t>Applied Psychology, 53</w:t>
      </w:r>
      <w:r w:rsidRPr="00480E4E">
        <w:rPr>
          <w:rFonts w:asciiTheme="majorHAnsi" w:hAnsiTheme="majorHAnsi" w:cstheme="majorHAnsi"/>
          <w:color w:val="000000" w:themeColor="text1"/>
          <w:szCs w:val="24"/>
        </w:rPr>
        <w:t>(4), 541-555. https://doi.org/10.1111/j.1464-0597.2004.00187.x</w:t>
      </w:r>
    </w:p>
    <w:p w14:paraId="68F25B2D"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Hawkins, P., &amp; Shohet, R. (2012). </w:t>
      </w:r>
      <w:r w:rsidRPr="00480E4E">
        <w:rPr>
          <w:rFonts w:asciiTheme="majorHAnsi" w:hAnsiTheme="majorHAnsi" w:cstheme="majorHAnsi"/>
          <w:i/>
          <w:iCs/>
          <w:color w:val="000000" w:themeColor="text1"/>
          <w:szCs w:val="24"/>
        </w:rPr>
        <w:t>Supervision in the helping professions</w:t>
      </w:r>
      <w:r w:rsidRPr="00480E4E">
        <w:rPr>
          <w:rFonts w:asciiTheme="majorHAnsi" w:hAnsiTheme="majorHAnsi" w:cstheme="majorHAnsi"/>
          <w:color w:val="000000" w:themeColor="text1"/>
          <w:szCs w:val="24"/>
        </w:rPr>
        <w:t xml:space="preserve"> (4th ed.). Open University Press.</w:t>
      </w:r>
    </w:p>
    <w:p w14:paraId="34A0BB6B"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Kirkpatrick, J. D., &amp; Kirkpatrick, W. K. (2016). </w:t>
      </w:r>
      <w:r w:rsidRPr="00480E4E">
        <w:rPr>
          <w:rFonts w:asciiTheme="majorHAnsi" w:hAnsiTheme="majorHAnsi" w:cstheme="majorHAnsi"/>
          <w:i/>
          <w:iCs/>
          <w:color w:val="000000" w:themeColor="text1"/>
          <w:szCs w:val="24"/>
        </w:rPr>
        <w:t>Kirkpatrick's four levels of training evaluation</w:t>
      </w:r>
      <w:r w:rsidRPr="00480E4E">
        <w:rPr>
          <w:rFonts w:asciiTheme="majorHAnsi" w:hAnsiTheme="majorHAnsi" w:cstheme="majorHAnsi"/>
          <w:color w:val="000000" w:themeColor="text1"/>
          <w:szCs w:val="24"/>
        </w:rPr>
        <w:t>. ATD Press.</w:t>
      </w:r>
    </w:p>
    <w:p w14:paraId="1542CB32"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Kolb, D. A. (1984). </w:t>
      </w:r>
      <w:r w:rsidRPr="00480E4E">
        <w:rPr>
          <w:rFonts w:asciiTheme="majorHAnsi" w:hAnsiTheme="majorHAnsi" w:cstheme="majorHAnsi"/>
          <w:i/>
          <w:iCs/>
          <w:color w:val="000000" w:themeColor="text1"/>
          <w:szCs w:val="24"/>
        </w:rPr>
        <w:t>Experiential learning: Experience as the source of learning and development</w:t>
      </w:r>
      <w:r w:rsidRPr="00480E4E">
        <w:rPr>
          <w:rFonts w:asciiTheme="majorHAnsi" w:hAnsiTheme="majorHAnsi" w:cstheme="majorHAnsi"/>
          <w:color w:val="000000" w:themeColor="text1"/>
          <w:szCs w:val="24"/>
        </w:rPr>
        <w:t>. Prentice Hall.</w:t>
      </w:r>
    </w:p>
    <w:p w14:paraId="3E79F00A"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Kram, K. E. (1985). </w:t>
      </w:r>
      <w:r w:rsidRPr="00480E4E">
        <w:rPr>
          <w:rFonts w:asciiTheme="majorHAnsi" w:hAnsiTheme="majorHAnsi" w:cstheme="majorHAnsi"/>
          <w:i/>
          <w:iCs/>
          <w:color w:val="000000" w:themeColor="text1"/>
          <w:szCs w:val="24"/>
        </w:rPr>
        <w:t>Mentoring at work: Developmental relationships in organizational life</w:t>
      </w:r>
      <w:r w:rsidRPr="00480E4E">
        <w:rPr>
          <w:rFonts w:asciiTheme="majorHAnsi" w:hAnsiTheme="majorHAnsi" w:cstheme="majorHAnsi"/>
          <w:color w:val="000000" w:themeColor="text1"/>
          <w:szCs w:val="24"/>
        </w:rPr>
        <w:t>. Scott Foresman.</w:t>
      </w:r>
    </w:p>
    <w:p w14:paraId="66FA9648"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London, M. (2014). </w:t>
      </w:r>
      <w:r w:rsidRPr="00480E4E">
        <w:rPr>
          <w:rFonts w:asciiTheme="majorHAnsi" w:hAnsiTheme="majorHAnsi" w:cstheme="majorHAnsi"/>
          <w:i/>
          <w:iCs/>
          <w:color w:val="000000" w:themeColor="text1"/>
          <w:szCs w:val="24"/>
        </w:rPr>
        <w:t>The power of feedback: Giving, seeking and using feedback for performance improvement</w:t>
      </w:r>
      <w:r w:rsidRPr="00480E4E">
        <w:rPr>
          <w:rFonts w:asciiTheme="majorHAnsi" w:hAnsiTheme="majorHAnsi" w:cstheme="majorHAnsi"/>
          <w:color w:val="000000" w:themeColor="text1"/>
          <w:szCs w:val="24"/>
        </w:rPr>
        <w:t xml:space="preserve"> (2nd ed.). Routledge.</w:t>
      </w:r>
    </w:p>
    <w:p w14:paraId="30C99210" w14:textId="1E6119F3" w:rsidR="00062E94" w:rsidRPr="00480E4E" w:rsidRDefault="00062E94"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lastRenderedPageBreak/>
        <w:t>Mental Capacity Act 2005, c. 9. https://www.legislation.gov.uk/ukpga/2005/9/contents</w:t>
      </w:r>
    </w:p>
    <w:p w14:paraId="36644284"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Noe, R. A. (2020). </w:t>
      </w:r>
      <w:r w:rsidRPr="00480E4E">
        <w:rPr>
          <w:rFonts w:asciiTheme="majorHAnsi" w:hAnsiTheme="majorHAnsi" w:cstheme="majorHAnsi"/>
          <w:i/>
          <w:iCs/>
          <w:color w:val="000000" w:themeColor="text1"/>
          <w:szCs w:val="24"/>
        </w:rPr>
        <w:t>Employee training and development</w:t>
      </w:r>
      <w:r w:rsidRPr="00480E4E">
        <w:rPr>
          <w:rFonts w:asciiTheme="majorHAnsi" w:hAnsiTheme="majorHAnsi" w:cstheme="majorHAnsi"/>
          <w:color w:val="000000" w:themeColor="text1"/>
          <w:szCs w:val="24"/>
        </w:rPr>
        <w:t xml:space="preserve"> (8th ed.). McGraw-Hill Education.</w:t>
      </w:r>
    </w:p>
    <w:p w14:paraId="3F588D2E"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Pedler, M., Burgoyne, J., &amp; Boydell, T. (1997). </w:t>
      </w:r>
      <w:r w:rsidRPr="00480E4E">
        <w:rPr>
          <w:rFonts w:asciiTheme="majorHAnsi" w:hAnsiTheme="majorHAnsi" w:cstheme="majorHAnsi"/>
          <w:i/>
          <w:iCs/>
          <w:color w:val="000000" w:themeColor="text1"/>
          <w:szCs w:val="24"/>
        </w:rPr>
        <w:t>The learning company: A strategy for sustainable development</w:t>
      </w:r>
      <w:r w:rsidRPr="00480E4E">
        <w:rPr>
          <w:rFonts w:asciiTheme="majorHAnsi" w:hAnsiTheme="majorHAnsi" w:cstheme="majorHAnsi"/>
          <w:color w:val="000000" w:themeColor="text1"/>
          <w:szCs w:val="24"/>
        </w:rPr>
        <w:t xml:space="preserve"> (2nd ed.). McGraw-Hill.</w:t>
      </w:r>
    </w:p>
    <w:p w14:paraId="432D05A3"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Porter, L. W., &amp; Lawler, E. E. (1968). </w:t>
      </w:r>
      <w:r w:rsidRPr="00480E4E">
        <w:rPr>
          <w:rFonts w:asciiTheme="majorHAnsi" w:hAnsiTheme="majorHAnsi" w:cstheme="majorHAnsi"/>
          <w:i/>
          <w:iCs/>
          <w:color w:val="000000" w:themeColor="text1"/>
          <w:szCs w:val="24"/>
        </w:rPr>
        <w:t>Managerial attitudes and performance</w:t>
      </w:r>
      <w:r w:rsidRPr="00480E4E">
        <w:rPr>
          <w:rFonts w:asciiTheme="majorHAnsi" w:hAnsiTheme="majorHAnsi" w:cstheme="majorHAnsi"/>
          <w:color w:val="000000" w:themeColor="text1"/>
          <w:szCs w:val="24"/>
        </w:rPr>
        <w:t>. Irwin.</w:t>
      </w:r>
    </w:p>
    <w:p w14:paraId="313E1595"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Rousseau, D. M. (1989). Psychological and implied contracts in organisations. </w:t>
      </w:r>
      <w:r w:rsidRPr="00480E4E">
        <w:rPr>
          <w:rFonts w:asciiTheme="majorHAnsi" w:hAnsiTheme="majorHAnsi" w:cstheme="majorHAnsi"/>
          <w:i/>
          <w:iCs/>
          <w:color w:val="000000" w:themeColor="text1"/>
          <w:szCs w:val="24"/>
        </w:rPr>
        <w:t>Employee Responsibilities and Rights Journal, 2</w:t>
      </w:r>
      <w:r w:rsidRPr="00480E4E">
        <w:rPr>
          <w:rFonts w:asciiTheme="majorHAnsi" w:hAnsiTheme="majorHAnsi" w:cstheme="majorHAnsi"/>
          <w:color w:val="000000" w:themeColor="text1"/>
          <w:szCs w:val="24"/>
        </w:rPr>
        <w:t>(2), 121-139. https://doi.org/10.1007/BF01384942</w:t>
      </w:r>
    </w:p>
    <w:p w14:paraId="35CEC707"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Schön, D. A. (1983). </w:t>
      </w:r>
      <w:r w:rsidRPr="00480E4E">
        <w:rPr>
          <w:rFonts w:asciiTheme="majorHAnsi" w:hAnsiTheme="majorHAnsi" w:cstheme="majorHAnsi"/>
          <w:i/>
          <w:iCs/>
          <w:color w:val="000000" w:themeColor="text1"/>
          <w:szCs w:val="24"/>
        </w:rPr>
        <w:t>The reflective practitioner: How professionals think in action</w:t>
      </w:r>
      <w:r w:rsidRPr="00480E4E">
        <w:rPr>
          <w:rFonts w:asciiTheme="majorHAnsi" w:hAnsiTheme="majorHAnsi" w:cstheme="majorHAnsi"/>
          <w:color w:val="000000" w:themeColor="text1"/>
          <w:szCs w:val="24"/>
        </w:rPr>
        <w:t>. Basic Books.</w:t>
      </w:r>
    </w:p>
    <w:p w14:paraId="58B61F79"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Schultz, T. W. (1961). Investment in human capital. </w:t>
      </w:r>
      <w:r w:rsidRPr="00480E4E">
        <w:rPr>
          <w:rFonts w:asciiTheme="majorHAnsi" w:hAnsiTheme="majorHAnsi" w:cstheme="majorHAnsi"/>
          <w:i/>
          <w:iCs/>
          <w:color w:val="000000" w:themeColor="text1"/>
          <w:szCs w:val="24"/>
        </w:rPr>
        <w:t>American Economic Review, 51</w:t>
      </w:r>
      <w:r w:rsidRPr="00480E4E">
        <w:rPr>
          <w:rFonts w:asciiTheme="majorHAnsi" w:hAnsiTheme="majorHAnsi" w:cstheme="majorHAnsi"/>
          <w:color w:val="000000" w:themeColor="text1"/>
          <w:szCs w:val="24"/>
        </w:rPr>
        <w:t>(1), 1-17.</w:t>
      </w:r>
    </w:p>
    <w:p w14:paraId="0641CDBC" w14:textId="77777777" w:rsidR="000E78E4" w:rsidRPr="00480E4E" w:rsidRDefault="00613083" w:rsidP="00613083">
      <w:pPr>
        <w:rPr>
          <w:rFonts w:asciiTheme="majorHAnsi" w:hAnsiTheme="majorHAnsi" w:cstheme="majorHAnsi"/>
          <w:i/>
          <w:iCs/>
          <w:color w:val="000000" w:themeColor="text1"/>
          <w:szCs w:val="24"/>
        </w:rPr>
      </w:pPr>
      <w:r w:rsidRPr="00480E4E">
        <w:rPr>
          <w:rFonts w:asciiTheme="majorHAnsi" w:hAnsiTheme="majorHAnsi" w:cstheme="majorHAnsi"/>
          <w:color w:val="000000" w:themeColor="text1"/>
          <w:szCs w:val="24"/>
        </w:rPr>
        <w:t xml:space="preserve">Senge, P. M. (1990). </w:t>
      </w:r>
      <w:r w:rsidRPr="00480E4E">
        <w:rPr>
          <w:rFonts w:asciiTheme="majorHAnsi" w:hAnsiTheme="majorHAnsi" w:cstheme="majorHAnsi"/>
          <w:i/>
          <w:iCs/>
          <w:color w:val="000000" w:themeColor="text1"/>
          <w:szCs w:val="24"/>
        </w:rPr>
        <w:t xml:space="preserve">The fifth discipline: The art and practice of the learning </w:t>
      </w:r>
    </w:p>
    <w:p w14:paraId="5DE24D2E" w14:textId="13462D3A" w:rsidR="00613083" w:rsidRDefault="00613083" w:rsidP="00613083">
      <w:pPr>
        <w:rPr>
          <w:rFonts w:asciiTheme="majorHAnsi" w:hAnsiTheme="majorHAnsi" w:cstheme="majorHAnsi"/>
          <w:color w:val="000000" w:themeColor="text1"/>
          <w:szCs w:val="24"/>
        </w:rPr>
      </w:pPr>
      <w:r w:rsidRPr="00480E4E">
        <w:rPr>
          <w:rFonts w:asciiTheme="majorHAnsi" w:hAnsiTheme="majorHAnsi" w:cstheme="majorHAnsi"/>
          <w:i/>
          <w:iCs/>
          <w:color w:val="000000" w:themeColor="text1"/>
          <w:szCs w:val="24"/>
        </w:rPr>
        <w:t>organization</w:t>
      </w:r>
      <w:r w:rsidRPr="00480E4E">
        <w:rPr>
          <w:rFonts w:asciiTheme="majorHAnsi" w:hAnsiTheme="majorHAnsi" w:cstheme="majorHAnsi"/>
          <w:color w:val="000000" w:themeColor="text1"/>
          <w:szCs w:val="24"/>
        </w:rPr>
        <w:t>. Doubleday.</w:t>
      </w:r>
    </w:p>
    <w:p w14:paraId="453C69C4" w14:textId="00E2495D" w:rsidR="00A06766" w:rsidRPr="00480E4E" w:rsidRDefault="00A06766" w:rsidP="00613083">
      <w:pPr>
        <w:rPr>
          <w:rFonts w:asciiTheme="majorHAnsi" w:hAnsiTheme="majorHAnsi" w:cstheme="majorHAnsi"/>
          <w:color w:val="000000" w:themeColor="text1"/>
          <w:szCs w:val="24"/>
        </w:rPr>
      </w:pPr>
      <w:r w:rsidRPr="00A06766">
        <w:rPr>
          <w:rFonts w:asciiTheme="majorHAnsi" w:hAnsiTheme="majorHAnsi" w:cstheme="majorHAnsi"/>
          <w:color w:val="000000" w:themeColor="text1"/>
          <w:szCs w:val="24"/>
        </w:rPr>
        <w:t xml:space="preserve">Social Care Wales. (2024). Code of professional practice for social care workers. </w:t>
      </w:r>
      <w:hyperlink r:id="rId8" w:history="1">
        <w:r w:rsidRPr="00A06766">
          <w:rPr>
            <w:rStyle w:val="Hyperlink"/>
            <w:rFonts w:asciiTheme="majorHAnsi" w:hAnsiTheme="majorHAnsi" w:cstheme="majorHAnsi"/>
            <w:szCs w:val="24"/>
          </w:rPr>
          <w:t>https://socialcare.wales/codes-of-practice-and-guidance/code-of-professional-practice-for-social-care-workers</w:t>
        </w:r>
      </w:hyperlink>
    </w:p>
    <w:p w14:paraId="7B40142D" w14:textId="1951F998" w:rsidR="000E78E4" w:rsidRPr="00480E4E" w:rsidRDefault="000E78E4"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Social Services and Well-being (Wales) Act 2014, </w:t>
      </w:r>
      <w:r w:rsidR="00A06766">
        <w:rPr>
          <w:rFonts w:asciiTheme="majorHAnsi" w:hAnsiTheme="majorHAnsi" w:cstheme="majorHAnsi"/>
          <w:color w:val="000000" w:themeColor="text1"/>
          <w:szCs w:val="24"/>
        </w:rPr>
        <w:t>ANAW</w:t>
      </w:r>
      <w:r w:rsidRPr="00480E4E">
        <w:rPr>
          <w:rFonts w:asciiTheme="majorHAnsi" w:hAnsiTheme="majorHAnsi" w:cstheme="majorHAnsi"/>
          <w:color w:val="000000" w:themeColor="text1"/>
          <w:szCs w:val="24"/>
        </w:rPr>
        <w:t xml:space="preserve"> 4. https://www.legislation.gov.uk/anaw/2014/4/contents</w:t>
      </w:r>
    </w:p>
    <w:p w14:paraId="4DB7D0F3"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Swart, J., Mann, C., Brown, S., &amp; Price, A. (2019). </w:t>
      </w:r>
      <w:r w:rsidRPr="00480E4E">
        <w:rPr>
          <w:rFonts w:asciiTheme="majorHAnsi" w:hAnsiTheme="majorHAnsi" w:cstheme="majorHAnsi"/>
          <w:i/>
          <w:iCs/>
          <w:color w:val="000000" w:themeColor="text1"/>
          <w:szCs w:val="24"/>
        </w:rPr>
        <w:t>Human resource development: Strategy and tactics</w:t>
      </w:r>
      <w:r w:rsidRPr="00480E4E">
        <w:rPr>
          <w:rFonts w:asciiTheme="majorHAnsi" w:hAnsiTheme="majorHAnsi" w:cstheme="majorHAnsi"/>
          <w:color w:val="000000" w:themeColor="text1"/>
          <w:szCs w:val="24"/>
        </w:rPr>
        <w:t xml:space="preserve"> (3rd ed.). Routledge.</w:t>
      </w:r>
    </w:p>
    <w:p w14:paraId="1FD7E20E"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Vroom, V. H. (1964). </w:t>
      </w:r>
      <w:r w:rsidRPr="00480E4E">
        <w:rPr>
          <w:rFonts w:asciiTheme="majorHAnsi" w:hAnsiTheme="majorHAnsi" w:cstheme="majorHAnsi"/>
          <w:i/>
          <w:iCs/>
          <w:color w:val="000000" w:themeColor="text1"/>
          <w:szCs w:val="24"/>
        </w:rPr>
        <w:t>Work and motivation</w:t>
      </w:r>
      <w:r w:rsidRPr="00480E4E">
        <w:rPr>
          <w:rFonts w:asciiTheme="majorHAnsi" w:hAnsiTheme="majorHAnsi" w:cstheme="majorHAnsi"/>
          <w:color w:val="000000" w:themeColor="text1"/>
          <w:szCs w:val="24"/>
        </w:rPr>
        <w:t>. Wiley.</w:t>
      </w:r>
    </w:p>
    <w:p w14:paraId="3807FC84"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Whitmore, J. (2017). </w:t>
      </w:r>
      <w:r w:rsidRPr="00480E4E">
        <w:rPr>
          <w:rFonts w:asciiTheme="majorHAnsi" w:hAnsiTheme="majorHAnsi" w:cstheme="majorHAnsi"/>
          <w:i/>
          <w:iCs/>
          <w:color w:val="000000" w:themeColor="text1"/>
          <w:szCs w:val="24"/>
        </w:rPr>
        <w:t>Coaching for performance: The principles and practice of coaching and leadership</w:t>
      </w:r>
      <w:r w:rsidRPr="00480E4E">
        <w:rPr>
          <w:rFonts w:asciiTheme="majorHAnsi" w:hAnsiTheme="majorHAnsi" w:cstheme="majorHAnsi"/>
          <w:color w:val="000000" w:themeColor="text1"/>
          <w:szCs w:val="24"/>
        </w:rPr>
        <w:t xml:space="preserve"> (5th ed.). Nicholas Brealey Publishing.</w:t>
      </w:r>
    </w:p>
    <w:p w14:paraId="256F2E18"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Wright, P. M., Dunford, B. B., &amp; Snell, S. A. (2001). Human resources and the resource-based view of the firm. </w:t>
      </w:r>
      <w:r w:rsidRPr="00480E4E">
        <w:rPr>
          <w:rFonts w:asciiTheme="majorHAnsi" w:hAnsiTheme="majorHAnsi" w:cstheme="majorHAnsi"/>
          <w:i/>
          <w:iCs/>
          <w:color w:val="000000" w:themeColor="text1"/>
          <w:szCs w:val="24"/>
        </w:rPr>
        <w:t>Journal of Management, 27</w:t>
      </w:r>
      <w:r w:rsidRPr="00480E4E">
        <w:rPr>
          <w:rFonts w:asciiTheme="majorHAnsi" w:hAnsiTheme="majorHAnsi" w:cstheme="majorHAnsi"/>
          <w:color w:val="000000" w:themeColor="text1"/>
          <w:szCs w:val="24"/>
        </w:rPr>
        <w:t>(6), 701-721. https://doi.org/10.1177/014920630102700607</w:t>
      </w:r>
    </w:p>
    <w:p w14:paraId="354815E7" w14:textId="057FAF67" w:rsidR="00613083" w:rsidRPr="00480E4E" w:rsidRDefault="00613083" w:rsidP="00613083">
      <w:pPr>
        <w:rPr>
          <w:color w:val="000000" w:themeColor="text1"/>
        </w:rPr>
      </w:pPr>
    </w:p>
    <w:p w14:paraId="297D07D3" w14:textId="77777777" w:rsidR="00613083" w:rsidRPr="00480E4E" w:rsidRDefault="00613083" w:rsidP="00613083"/>
    <w:p w14:paraId="3BD29E3E" w14:textId="77777777" w:rsidR="00583709" w:rsidRPr="00480E4E" w:rsidRDefault="00583709"/>
    <w:sectPr w:rsidR="00583709" w:rsidRPr="00480E4E">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0F5C5" w14:textId="77777777" w:rsidR="005771E6" w:rsidRDefault="005771E6" w:rsidP="005831A9">
      <w:pPr>
        <w:spacing w:after="0" w:line="240" w:lineRule="auto"/>
      </w:pPr>
      <w:r>
        <w:separator/>
      </w:r>
    </w:p>
  </w:endnote>
  <w:endnote w:type="continuationSeparator" w:id="0">
    <w:p w14:paraId="756E2429" w14:textId="77777777" w:rsidR="005771E6" w:rsidRDefault="005771E6"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BEF14" w14:textId="77777777" w:rsidR="005771E6" w:rsidRDefault="005771E6" w:rsidP="005831A9">
      <w:pPr>
        <w:spacing w:after="0" w:line="240" w:lineRule="auto"/>
      </w:pPr>
      <w:r>
        <w:separator/>
      </w:r>
    </w:p>
  </w:footnote>
  <w:footnote w:type="continuationSeparator" w:id="0">
    <w:p w14:paraId="3C94AA4B" w14:textId="77777777" w:rsidR="005771E6" w:rsidRDefault="005771E6"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16874"/>
    <w:multiLevelType w:val="hybridMultilevel"/>
    <w:tmpl w:val="DB944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A6769"/>
    <w:multiLevelType w:val="multilevel"/>
    <w:tmpl w:val="013A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B94BF7"/>
    <w:multiLevelType w:val="multilevel"/>
    <w:tmpl w:val="FDBE123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2061897713">
    <w:abstractNumId w:val="0"/>
  </w:num>
  <w:num w:numId="2" w16cid:durableId="1830172072">
    <w:abstractNumId w:val="1"/>
  </w:num>
  <w:num w:numId="3" w16cid:durableId="923490286">
    <w:abstractNumId w:val="3"/>
  </w:num>
  <w:num w:numId="4" w16cid:durableId="13133689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6642"/>
    <w:rsid w:val="000243C7"/>
    <w:rsid w:val="000300AA"/>
    <w:rsid w:val="0003064D"/>
    <w:rsid w:val="0003340F"/>
    <w:rsid w:val="000444C2"/>
    <w:rsid w:val="00045FCA"/>
    <w:rsid w:val="0005084C"/>
    <w:rsid w:val="00052223"/>
    <w:rsid w:val="00054A72"/>
    <w:rsid w:val="00062E94"/>
    <w:rsid w:val="000811A9"/>
    <w:rsid w:val="000853D5"/>
    <w:rsid w:val="00085F3E"/>
    <w:rsid w:val="000A0FBB"/>
    <w:rsid w:val="000A4ADB"/>
    <w:rsid w:val="000B0C59"/>
    <w:rsid w:val="000B142C"/>
    <w:rsid w:val="000C56D7"/>
    <w:rsid w:val="000E78E4"/>
    <w:rsid w:val="000F2288"/>
    <w:rsid w:val="000F29EC"/>
    <w:rsid w:val="00131F6B"/>
    <w:rsid w:val="001543B6"/>
    <w:rsid w:val="00183B04"/>
    <w:rsid w:val="001C09E0"/>
    <w:rsid w:val="001C3207"/>
    <w:rsid w:val="001C36B8"/>
    <w:rsid w:val="001E749E"/>
    <w:rsid w:val="002218FD"/>
    <w:rsid w:val="00225DC7"/>
    <w:rsid w:val="002450A3"/>
    <w:rsid w:val="00247BBC"/>
    <w:rsid w:val="0027281F"/>
    <w:rsid w:val="00272DA5"/>
    <w:rsid w:val="0028162B"/>
    <w:rsid w:val="002B3153"/>
    <w:rsid w:val="002C0198"/>
    <w:rsid w:val="002C05D3"/>
    <w:rsid w:val="002E14B2"/>
    <w:rsid w:val="002E47FE"/>
    <w:rsid w:val="002F15CA"/>
    <w:rsid w:val="002F4AE2"/>
    <w:rsid w:val="002F555A"/>
    <w:rsid w:val="0032340A"/>
    <w:rsid w:val="00386F12"/>
    <w:rsid w:val="003B3FC0"/>
    <w:rsid w:val="003D668E"/>
    <w:rsid w:val="003E2DEA"/>
    <w:rsid w:val="003F1671"/>
    <w:rsid w:val="003F5A67"/>
    <w:rsid w:val="00410E16"/>
    <w:rsid w:val="0042625B"/>
    <w:rsid w:val="00450464"/>
    <w:rsid w:val="0047646C"/>
    <w:rsid w:val="00480AA6"/>
    <w:rsid w:val="00480E4E"/>
    <w:rsid w:val="004D32FF"/>
    <w:rsid w:val="004E7A70"/>
    <w:rsid w:val="004F64E6"/>
    <w:rsid w:val="004F73BD"/>
    <w:rsid w:val="0050251E"/>
    <w:rsid w:val="00514BBB"/>
    <w:rsid w:val="00531CA7"/>
    <w:rsid w:val="00547B35"/>
    <w:rsid w:val="00550ECC"/>
    <w:rsid w:val="00570F5B"/>
    <w:rsid w:val="005771E6"/>
    <w:rsid w:val="00582F52"/>
    <w:rsid w:val="005831A9"/>
    <w:rsid w:val="00583709"/>
    <w:rsid w:val="0059338C"/>
    <w:rsid w:val="00594C03"/>
    <w:rsid w:val="005B3BA5"/>
    <w:rsid w:val="005C105B"/>
    <w:rsid w:val="005D3DFE"/>
    <w:rsid w:val="005E311C"/>
    <w:rsid w:val="005F7051"/>
    <w:rsid w:val="00613083"/>
    <w:rsid w:val="0062584A"/>
    <w:rsid w:val="00657269"/>
    <w:rsid w:val="0068457A"/>
    <w:rsid w:val="006A6BE4"/>
    <w:rsid w:val="006C4F0C"/>
    <w:rsid w:val="006C51FC"/>
    <w:rsid w:val="006D3BB7"/>
    <w:rsid w:val="00726B02"/>
    <w:rsid w:val="0076166B"/>
    <w:rsid w:val="00767209"/>
    <w:rsid w:val="00772030"/>
    <w:rsid w:val="00772F2C"/>
    <w:rsid w:val="007B093E"/>
    <w:rsid w:val="007B7137"/>
    <w:rsid w:val="007C463F"/>
    <w:rsid w:val="007E5C4B"/>
    <w:rsid w:val="007E6645"/>
    <w:rsid w:val="00824868"/>
    <w:rsid w:val="008312FD"/>
    <w:rsid w:val="00831AE9"/>
    <w:rsid w:val="00855884"/>
    <w:rsid w:val="00894679"/>
    <w:rsid w:val="008A21D5"/>
    <w:rsid w:val="008F3320"/>
    <w:rsid w:val="00904419"/>
    <w:rsid w:val="00911BD3"/>
    <w:rsid w:val="009372E1"/>
    <w:rsid w:val="00941196"/>
    <w:rsid w:val="009418A4"/>
    <w:rsid w:val="009523D5"/>
    <w:rsid w:val="0096360A"/>
    <w:rsid w:val="009654A8"/>
    <w:rsid w:val="0097455A"/>
    <w:rsid w:val="00983F41"/>
    <w:rsid w:val="009D0662"/>
    <w:rsid w:val="009E4358"/>
    <w:rsid w:val="009F021D"/>
    <w:rsid w:val="00A05512"/>
    <w:rsid w:val="00A06766"/>
    <w:rsid w:val="00A339C7"/>
    <w:rsid w:val="00A5396F"/>
    <w:rsid w:val="00A552E4"/>
    <w:rsid w:val="00A56580"/>
    <w:rsid w:val="00A56B78"/>
    <w:rsid w:val="00A62B30"/>
    <w:rsid w:val="00A71002"/>
    <w:rsid w:val="00A71CBB"/>
    <w:rsid w:val="00A735A6"/>
    <w:rsid w:val="00A74525"/>
    <w:rsid w:val="00A956CC"/>
    <w:rsid w:val="00AB1F88"/>
    <w:rsid w:val="00AB2955"/>
    <w:rsid w:val="00B12758"/>
    <w:rsid w:val="00B3393E"/>
    <w:rsid w:val="00B5142E"/>
    <w:rsid w:val="00B63832"/>
    <w:rsid w:val="00B72D45"/>
    <w:rsid w:val="00B74F97"/>
    <w:rsid w:val="00B76E33"/>
    <w:rsid w:val="00B92C2B"/>
    <w:rsid w:val="00B9421F"/>
    <w:rsid w:val="00BA2D35"/>
    <w:rsid w:val="00BD6870"/>
    <w:rsid w:val="00BE23AC"/>
    <w:rsid w:val="00BF3C42"/>
    <w:rsid w:val="00C049BD"/>
    <w:rsid w:val="00C13B48"/>
    <w:rsid w:val="00C20A08"/>
    <w:rsid w:val="00C25258"/>
    <w:rsid w:val="00C3678E"/>
    <w:rsid w:val="00C47D89"/>
    <w:rsid w:val="00C9226F"/>
    <w:rsid w:val="00CD66BC"/>
    <w:rsid w:val="00CE430D"/>
    <w:rsid w:val="00CE7200"/>
    <w:rsid w:val="00CF0464"/>
    <w:rsid w:val="00CF371F"/>
    <w:rsid w:val="00CF6447"/>
    <w:rsid w:val="00D03A9C"/>
    <w:rsid w:val="00D117DB"/>
    <w:rsid w:val="00D52D7F"/>
    <w:rsid w:val="00D705E2"/>
    <w:rsid w:val="00D742ED"/>
    <w:rsid w:val="00DA3242"/>
    <w:rsid w:val="00DD5A5C"/>
    <w:rsid w:val="00DE6701"/>
    <w:rsid w:val="00DE7836"/>
    <w:rsid w:val="00E014DB"/>
    <w:rsid w:val="00E17FF7"/>
    <w:rsid w:val="00E322F7"/>
    <w:rsid w:val="00E445DD"/>
    <w:rsid w:val="00E841CA"/>
    <w:rsid w:val="00EC32A6"/>
    <w:rsid w:val="00EC3968"/>
    <w:rsid w:val="00EC798C"/>
    <w:rsid w:val="00EF1815"/>
    <w:rsid w:val="00F06988"/>
    <w:rsid w:val="00F22756"/>
    <w:rsid w:val="00F24CAC"/>
    <w:rsid w:val="00F266C2"/>
    <w:rsid w:val="00F27842"/>
    <w:rsid w:val="00F31F7F"/>
    <w:rsid w:val="00F4235B"/>
    <w:rsid w:val="00F45668"/>
    <w:rsid w:val="00F675A7"/>
    <w:rsid w:val="00F70077"/>
    <w:rsid w:val="00F867C0"/>
    <w:rsid w:val="00FC5E0F"/>
    <w:rsid w:val="00FC7ACF"/>
    <w:rsid w:val="00FD1FD1"/>
    <w:rsid w:val="00FF53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Calibri"/>
        <w:sz w:val="24"/>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TOCHeading">
    <w:name w:val="TOC Heading"/>
    <w:basedOn w:val="Heading1"/>
    <w:next w:val="Normal"/>
    <w:uiPriority w:val="39"/>
    <w:unhideWhenUsed/>
    <w:qFormat/>
    <w:rsid w:val="00B74F97"/>
    <w:pPr>
      <w:outlineLvl w:val="9"/>
    </w:pPr>
    <w:rPr>
      <w:rFonts w:asciiTheme="majorHAnsi" w:eastAsiaTheme="majorEastAsia" w:hAnsiTheme="majorHAnsi" w:cstheme="majorBidi"/>
      <w:color w:val="365F91" w:themeColor="accent1" w:themeShade="BF"/>
      <w:lang w:eastAsia="en-GB"/>
    </w:rPr>
  </w:style>
  <w:style w:type="paragraph" w:styleId="TOC3">
    <w:name w:val="toc 3"/>
    <w:basedOn w:val="Normal"/>
    <w:next w:val="Normal"/>
    <w:autoRedefine/>
    <w:uiPriority w:val="39"/>
    <w:unhideWhenUsed/>
    <w:rsid w:val="00B74F97"/>
    <w:pPr>
      <w:spacing w:after="100"/>
      <w:ind w:left="440"/>
    </w:pPr>
    <w:rPr>
      <w:rFonts w:asciiTheme="minorHAnsi" w:eastAsiaTheme="minorEastAsia" w:hAnsiTheme="minorHAnsi" w:cs="Times New Roman"/>
      <w:sz w:val="22"/>
      <w:lang w:eastAsia="en-GB"/>
    </w:rPr>
  </w:style>
  <w:style w:type="character" w:styleId="UnresolvedMention">
    <w:name w:val="Unresolved Mention"/>
    <w:basedOn w:val="DefaultParagraphFont"/>
    <w:uiPriority w:val="99"/>
    <w:semiHidden/>
    <w:unhideWhenUsed/>
    <w:rsid w:val="00A067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ocialcare.wales/codes-of-practice-and-guidance/code-of-professional-practice-for-social-care-workers?utm_source=chatgpt.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6884</Words>
  <Characters>39242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Schriek</dc:creator>
  <cp:lastModifiedBy>CLARE MAYNE</cp:lastModifiedBy>
  <cp:revision>12</cp:revision>
  <dcterms:created xsi:type="dcterms:W3CDTF">2026-10-17T15:31:00Z</dcterms:created>
  <dcterms:modified xsi:type="dcterms:W3CDTF">2026-10-17T15:56:00Z</dcterms:modified>
</cp:coreProperties>
</file>