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1F62" w:rsidRPr="00CE3584" w:rsidRDefault="00204B47">
      <w:pPr>
        <w:rPr>
          <w:rFonts w:cs="Arial"/>
        </w:rPr>
      </w:pPr>
      <w:r w:rsidRPr="00CE3584">
        <w:rPr>
          <w:rFonts w:cs="Arial"/>
          <w:noProof/>
        </w:rPr>
        <w:drawing>
          <wp:inline distT="0" distB="0" distL="0" distR="0" wp14:anchorId="6E254CEA" wp14:editId="55816D6E">
            <wp:extent cx="2794000" cy="1231900"/>
            <wp:effectExtent l="0" t="0" r="0" b="0"/>
            <wp:docPr id="519717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717801" name=""/>
                    <pic:cNvPicPr/>
                  </pic:nvPicPr>
                  <pic:blipFill>
                    <a:blip r:embed="rId7"/>
                    <a:stretch>
                      <a:fillRect/>
                    </a:stretch>
                  </pic:blipFill>
                  <pic:spPr>
                    <a:xfrm>
                      <a:off x="0" y="0"/>
                      <a:ext cx="2794000" cy="1231900"/>
                    </a:xfrm>
                    <a:prstGeom prst="rect">
                      <a:avLst/>
                    </a:prstGeom>
                  </pic:spPr>
                </pic:pic>
              </a:graphicData>
            </a:graphic>
          </wp:inline>
        </w:drawing>
      </w:r>
    </w:p>
    <w:p w:rsidR="00204B47" w:rsidRPr="00CE3584" w:rsidRDefault="00204B47" w:rsidP="00204B47">
      <w:pPr>
        <w:rPr>
          <w:rFonts w:cs="Arial"/>
          <w:b/>
          <w:bCs/>
          <w:sz w:val="40"/>
          <w:szCs w:val="36"/>
        </w:rPr>
      </w:pPr>
    </w:p>
    <w:p w:rsidR="00204B47" w:rsidRPr="00CE3584" w:rsidRDefault="00204B47" w:rsidP="00204B47">
      <w:pPr>
        <w:jc w:val="center"/>
        <w:rPr>
          <w:rFonts w:cs="Arial"/>
          <w:b/>
          <w:bCs/>
          <w:sz w:val="40"/>
          <w:szCs w:val="36"/>
        </w:rPr>
      </w:pPr>
      <w:r w:rsidRPr="00CE3584">
        <w:rPr>
          <w:rFonts w:cs="Arial"/>
          <w:b/>
          <w:bCs/>
          <w:sz w:val="40"/>
          <w:szCs w:val="36"/>
        </w:rPr>
        <w:t>LCBB4002 Community Engagement</w:t>
      </w:r>
    </w:p>
    <w:p w:rsidR="00204B47" w:rsidRPr="00CE3584" w:rsidRDefault="00204B47" w:rsidP="00204B47">
      <w:pPr>
        <w:jc w:val="center"/>
        <w:rPr>
          <w:rFonts w:cs="Arial"/>
          <w:b/>
          <w:bCs/>
          <w:sz w:val="40"/>
          <w:szCs w:val="36"/>
        </w:rPr>
      </w:pPr>
      <w:r w:rsidRPr="00CE3584">
        <w:rPr>
          <w:rFonts w:cs="Arial"/>
          <w:b/>
          <w:bCs/>
          <w:sz w:val="40"/>
          <w:szCs w:val="36"/>
        </w:rPr>
        <w:t>Component 1: Essay</w:t>
      </w:r>
    </w:p>
    <w:p w:rsidR="00204B47" w:rsidRPr="00CE3584" w:rsidRDefault="00204B47" w:rsidP="00204B47">
      <w:pPr>
        <w:rPr>
          <w:rFonts w:cs="Arial"/>
        </w:rPr>
      </w:pPr>
    </w:p>
    <w:p w:rsidR="00204B47" w:rsidRPr="00CE3584" w:rsidRDefault="00204B47" w:rsidP="00204B47">
      <w:pPr>
        <w:rPr>
          <w:rFonts w:cs="Arial"/>
        </w:rPr>
      </w:pPr>
    </w:p>
    <w:p w:rsidR="00204B47" w:rsidRPr="00CE3584" w:rsidRDefault="00204B47" w:rsidP="00204B47">
      <w:pPr>
        <w:rPr>
          <w:rFonts w:cs="Arial"/>
        </w:rPr>
      </w:pPr>
    </w:p>
    <w:p w:rsidR="00204B47" w:rsidRPr="00CE3584" w:rsidRDefault="00204B47" w:rsidP="00204B47">
      <w:pPr>
        <w:rPr>
          <w:rFonts w:cs="Arial"/>
        </w:rPr>
      </w:pPr>
      <w:r w:rsidRPr="00CE3584">
        <w:rPr>
          <w:rFonts w:cs="Arial"/>
        </w:rPr>
        <w:t>Programme: BA Business Management</w:t>
      </w:r>
    </w:p>
    <w:p w:rsidR="00204B47" w:rsidRPr="00CE3584" w:rsidRDefault="00204B47" w:rsidP="00204B47">
      <w:pPr>
        <w:rPr>
          <w:rFonts w:cs="Arial"/>
        </w:rPr>
      </w:pPr>
      <w:r w:rsidRPr="00CE3584">
        <w:rPr>
          <w:rFonts w:cs="Arial"/>
        </w:rPr>
        <w:t>Student Name:</w:t>
      </w:r>
      <w:r w:rsidR="00CE3584">
        <w:rPr>
          <w:rFonts w:cs="Arial"/>
        </w:rPr>
        <w:t xml:space="preserve"> </w:t>
      </w:r>
      <w:r w:rsidR="00CE3584" w:rsidRPr="00CE3584">
        <w:rPr>
          <w:rFonts w:cs="Arial"/>
        </w:rPr>
        <w:t xml:space="preserve">Tatiana </w:t>
      </w:r>
      <w:proofErr w:type="spellStart"/>
      <w:r w:rsidR="00CE3584" w:rsidRPr="00CE3584">
        <w:rPr>
          <w:rFonts w:cs="Arial"/>
        </w:rPr>
        <w:t>Badescu</w:t>
      </w:r>
      <w:proofErr w:type="spellEnd"/>
      <w:r w:rsidR="00CE3584" w:rsidRPr="00CE3584">
        <w:rPr>
          <w:rFonts w:cs="Arial"/>
        </w:rPr>
        <w:t xml:space="preserve"> </w:t>
      </w:r>
    </w:p>
    <w:p w:rsidR="00204B47" w:rsidRPr="00CE3584" w:rsidRDefault="00204B47" w:rsidP="00204B47">
      <w:pPr>
        <w:rPr>
          <w:rFonts w:cs="Arial"/>
        </w:rPr>
      </w:pPr>
      <w:r w:rsidRPr="00CE3584">
        <w:rPr>
          <w:rFonts w:cs="Arial"/>
        </w:rPr>
        <w:t>Student ID:</w:t>
      </w:r>
      <w:r w:rsidR="003C23A2">
        <w:rPr>
          <w:rFonts w:cs="Arial"/>
        </w:rPr>
        <w:t xml:space="preserve"> </w:t>
      </w:r>
      <w:r w:rsidR="00317AC8">
        <w:rPr>
          <w:rFonts w:cs="Arial"/>
        </w:rPr>
        <w:t>2246905</w:t>
      </w:r>
    </w:p>
    <w:p w:rsidR="00204B47" w:rsidRPr="00CE3584" w:rsidRDefault="00204B47" w:rsidP="00204B47">
      <w:pPr>
        <w:rPr>
          <w:rFonts w:cs="Arial"/>
        </w:rPr>
      </w:pPr>
      <w:r w:rsidRPr="00CE3584">
        <w:rPr>
          <w:rFonts w:cs="Arial"/>
        </w:rPr>
        <w:t>Academic Year:</w:t>
      </w:r>
    </w:p>
    <w:p w:rsidR="00204B47" w:rsidRPr="00CE3584" w:rsidRDefault="00204B47" w:rsidP="00204B47">
      <w:pPr>
        <w:rPr>
          <w:rFonts w:cs="Arial"/>
        </w:rPr>
      </w:pPr>
      <w:r w:rsidRPr="00CE3584">
        <w:rPr>
          <w:rFonts w:cs="Arial"/>
        </w:rPr>
        <w:t>Module Coordinator/ Lecturer: Dr Molly Jack</w:t>
      </w:r>
    </w:p>
    <w:p w:rsidR="00204B47" w:rsidRPr="00CE3584" w:rsidRDefault="00204B47" w:rsidP="00204B47">
      <w:pPr>
        <w:rPr>
          <w:rFonts w:cs="Arial"/>
        </w:rPr>
      </w:pPr>
      <w:r w:rsidRPr="00CE3584">
        <w:rPr>
          <w:rFonts w:cs="Arial"/>
        </w:rPr>
        <w:t>Due Date:</w:t>
      </w:r>
    </w:p>
    <w:p w:rsidR="00204B47" w:rsidRPr="00CE3584" w:rsidRDefault="00204B47" w:rsidP="00414332">
      <w:pPr>
        <w:spacing w:after="0" w:line="240" w:lineRule="auto"/>
        <w:jc w:val="left"/>
        <w:rPr>
          <w:rFonts w:cs="Arial"/>
        </w:rPr>
      </w:pPr>
      <w:r w:rsidRPr="00CE3584">
        <w:rPr>
          <w:rFonts w:cs="Arial"/>
        </w:rPr>
        <w:br w:type="page"/>
      </w:r>
    </w:p>
    <w:p w:rsidR="00204B47" w:rsidRPr="00CE3584" w:rsidRDefault="00204B47" w:rsidP="00204B47">
      <w:pPr>
        <w:pStyle w:val="Heading1"/>
        <w:rPr>
          <w:rFonts w:cs="Arial"/>
        </w:rPr>
      </w:pPr>
      <w:r w:rsidRPr="00CE3584">
        <w:rPr>
          <w:rFonts w:cs="Arial"/>
        </w:rPr>
        <w:lastRenderedPageBreak/>
        <w:t>Introduction</w:t>
      </w:r>
    </w:p>
    <w:p w:rsidR="00A25D9C" w:rsidRPr="00CE3584" w:rsidRDefault="00C6216C" w:rsidP="00A25D9C">
      <w:pPr>
        <w:rPr>
          <w:rFonts w:cs="Arial"/>
        </w:rPr>
      </w:pPr>
      <w:r w:rsidRPr="00CE3584">
        <w:rPr>
          <w:rFonts w:cs="Arial"/>
        </w:rPr>
        <w:t xml:space="preserve">Community engagement entails carrying out initiatives or programmes that provide products or services to people, organisations, or the whole local community in order to produce long-lasting results and foster trust between the government and local communities (Peterson et al., 2019). </w:t>
      </w:r>
      <w:r w:rsidR="00A25D9C" w:rsidRPr="00CE3584">
        <w:rPr>
          <w:rFonts w:cs="Arial"/>
        </w:rPr>
        <w:t xml:space="preserve">In this </w:t>
      </w:r>
      <w:r w:rsidR="00D9574A" w:rsidRPr="00CE3584">
        <w:rPr>
          <w:rFonts w:cs="Arial"/>
        </w:rPr>
        <w:t>essay</w:t>
      </w:r>
      <w:r w:rsidR="00A25D9C" w:rsidRPr="00CE3584">
        <w:rPr>
          <w:rFonts w:cs="Arial"/>
        </w:rPr>
        <w:t xml:space="preserve">, the Barnsley Metropolitan Borough Council will </w:t>
      </w:r>
      <w:r w:rsidR="00D9574A" w:rsidRPr="00CE3584">
        <w:rPr>
          <w:rFonts w:cs="Arial"/>
        </w:rPr>
        <w:t>be examined along with</w:t>
      </w:r>
      <w:r w:rsidR="00A25D9C" w:rsidRPr="00CE3584">
        <w:rPr>
          <w:rFonts w:cs="Arial"/>
        </w:rPr>
        <w:t xml:space="preserve"> its ongoing projects and programmes related to economic, social, and community development.</w:t>
      </w:r>
      <w:r w:rsidRPr="00CE3584">
        <w:rPr>
          <w:rFonts w:cs="Arial"/>
        </w:rPr>
        <w:t xml:space="preserve"> </w:t>
      </w:r>
      <w:r w:rsidR="00A25D9C" w:rsidRPr="00CE3584">
        <w:rPr>
          <w:rFonts w:cs="Arial"/>
        </w:rPr>
        <w:t xml:space="preserve">In addition to describing the project, the </w:t>
      </w:r>
      <w:r w:rsidR="00D9574A" w:rsidRPr="00CE3584">
        <w:rPr>
          <w:rFonts w:cs="Arial"/>
        </w:rPr>
        <w:t>essay</w:t>
      </w:r>
      <w:r w:rsidR="00A25D9C" w:rsidRPr="00CE3584">
        <w:rPr>
          <w:rFonts w:cs="Arial"/>
        </w:rPr>
        <w:t xml:space="preserve"> will examine best practises for community participation standards and principles. The </w:t>
      </w:r>
      <w:r w:rsidR="00D9574A" w:rsidRPr="00CE3584">
        <w:rPr>
          <w:rFonts w:cs="Arial"/>
        </w:rPr>
        <w:t>essay</w:t>
      </w:r>
      <w:r w:rsidR="00A25D9C" w:rsidRPr="00CE3584">
        <w:rPr>
          <w:rFonts w:cs="Arial"/>
        </w:rPr>
        <w:t xml:space="preserve"> will also detail the relationships between the stakeholders and what approaches work best for including them. Additionally, the </w:t>
      </w:r>
      <w:r w:rsidR="00D9574A" w:rsidRPr="00CE3584">
        <w:rPr>
          <w:rFonts w:cs="Arial"/>
        </w:rPr>
        <w:t xml:space="preserve">essay </w:t>
      </w:r>
      <w:r w:rsidR="00A25D9C" w:rsidRPr="00CE3584">
        <w:rPr>
          <w:rFonts w:cs="Arial"/>
        </w:rPr>
        <w:t xml:space="preserve">will suggest to the council ways to enhance their interaction with the people in the areas. In light of this, the </w:t>
      </w:r>
      <w:r w:rsidR="00D9574A" w:rsidRPr="00CE3584">
        <w:rPr>
          <w:rFonts w:cs="Arial"/>
        </w:rPr>
        <w:t>essay</w:t>
      </w:r>
      <w:r w:rsidR="00A25D9C" w:rsidRPr="00CE3584">
        <w:rPr>
          <w:rFonts w:cs="Arial"/>
        </w:rPr>
        <w:t xml:space="preserve"> will examine pertinent avenues and advise the Barnsley Metropolitan Borough Council to pursue them in order to encourage diversity and community involvement.</w:t>
      </w:r>
      <w:r w:rsidRPr="00CE3584">
        <w:rPr>
          <w:rFonts w:cs="Arial"/>
        </w:rPr>
        <w:t xml:space="preserve"> This </w:t>
      </w:r>
      <w:r w:rsidR="00D9574A" w:rsidRPr="00CE3584">
        <w:rPr>
          <w:rFonts w:cs="Arial"/>
        </w:rPr>
        <w:t>essay</w:t>
      </w:r>
      <w:r w:rsidRPr="00CE3584">
        <w:rPr>
          <w:rFonts w:cs="Arial"/>
        </w:rPr>
        <w:t xml:space="preserve"> will conclude by assessing how important it is for community engagement practitioners to take a proactive approach to teaching locals about the many internal and external factors that influence social development.</w:t>
      </w:r>
    </w:p>
    <w:p w:rsidR="00204B47" w:rsidRPr="00CE3584" w:rsidRDefault="00204B47" w:rsidP="00204B47">
      <w:pPr>
        <w:pStyle w:val="Heading1"/>
        <w:rPr>
          <w:rFonts w:cs="Arial"/>
        </w:rPr>
      </w:pPr>
      <w:r w:rsidRPr="00CE3584">
        <w:rPr>
          <w:rFonts w:cs="Arial"/>
        </w:rPr>
        <w:t>Main Body</w:t>
      </w:r>
    </w:p>
    <w:p w:rsidR="00204B47" w:rsidRPr="00CE3584" w:rsidRDefault="00204B47" w:rsidP="00204B47">
      <w:pPr>
        <w:pStyle w:val="Heading2"/>
        <w:rPr>
          <w:rFonts w:cs="Arial"/>
        </w:rPr>
      </w:pPr>
      <w:r w:rsidRPr="00CE3584">
        <w:rPr>
          <w:rFonts w:cs="Arial"/>
        </w:rPr>
        <w:t>Describ</w:t>
      </w:r>
      <w:r w:rsidR="00414332" w:rsidRPr="00CE3584">
        <w:rPr>
          <w:rFonts w:cs="Arial"/>
        </w:rPr>
        <w:t>ing</w:t>
      </w:r>
      <w:r w:rsidRPr="00CE3584">
        <w:rPr>
          <w:rFonts w:cs="Arial"/>
        </w:rPr>
        <w:t xml:space="preserve"> the project</w:t>
      </w:r>
    </w:p>
    <w:p w:rsidR="00204B47" w:rsidRPr="00CE3584" w:rsidRDefault="00A25D9C" w:rsidP="00204B47">
      <w:pPr>
        <w:rPr>
          <w:rFonts w:cs="Arial"/>
        </w:rPr>
      </w:pPr>
      <w:r w:rsidRPr="00CE3584">
        <w:rPr>
          <w:rFonts w:cs="Arial"/>
        </w:rPr>
        <w:t xml:space="preserve">One of the local authorities in England participating in the Barnsley 2030 programme at the moment is the Barnsley Metropolitan Borough Council. Everyone will have access to the greatest local amenities and a decent quality of life, according to the aim of the Barnsley 2030 initiative. The council's proposal aims to create 15500 new </w:t>
      </w:r>
      <w:r w:rsidR="00C6216C" w:rsidRPr="00CE3584">
        <w:rPr>
          <w:rFonts w:cs="Arial"/>
        </w:rPr>
        <w:t>employments</w:t>
      </w:r>
      <w:r w:rsidRPr="00CE3584">
        <w:rPr>
          <w:rFonts w:cs="Arial"/>
        </w:rPr>
        <w:t xml:space="preserve"> by 2030 and 8,000 new jobs by 2025 in Barnsley in order to enhance the city's social, economic, and communal life by 2030</w:t>
      </w:r>
      <w:r w:rsidR="00414332" w:rsidRPr="00CE3584">
        <w:rPr>
          <w:rFonts w:cs="Arial"/>
        </w:rPr>
        <w:t xml:space="preserve"> (Barnsley Metropolitan Borough Council, 2023a)</w:t>
      </w:r>
      <w:r w:rsidRPr="00CE3584">
        <w:rPr>
          <w:rFonts w:cs="Arial"/>
        </w:rPr>
        <w:t>.</w:t>
      </w:r>
      <w:r w:rsidR="00C6216C" w:rsidRPr="00CE3584">
        <w:rPr>
          <w:rFonts w:cs="Arial"/>
        </w:rPr>
        <w:t xml:space="preserve"> </w:t>
      </w:r>
      <w:r w:rsidRPr="00CE3584">
        <w:rPr>
          <w:rFonts w:cs="Arial"/>
        </w:rPr>
        <w:t xml:space="preserve">In order to address the environmental problem, this also entails cutting carbon emissions by 80% across the borough. In order to address prejudice as a major problem in the community, the initiative also aims to increase the number of women working and provide equal pay for men and women by 2030. The council's primary goal, for which it works in many important areas, is social and economic development. 850 new businesses will be supported, and by 2030, annual football attendance in towns and metropolitan centres will increase from 3.5 million to </w:t>
      </w:r>
      <w:r w:rsidRPr="00CE3584">
        <w:rPr>
          <w:rFonts w:cs="Arial"/>
        </w:rPr>
        <w:lastRenderedPageBreak/>
        <w:t>10 million</w:t>
      </w:r>
      <w:r w:rsidR="00414332" w:rsidRPr="00CE3584">
        <w:rPr>
          <w:rFonts w:cs="Arial"/>
        </w:rPr>
        <w:t xml:space="preserve"> (Barnsley Metropolitan Borough Council, 2023b)</w:t>
      </w:r>
      <w:r w:rsidRPr="00CE3584">
        <w:rPr>
          <w:rFonts w:cs="Arial"/>
        </w:rPr>
        <w:t>. The borough's ambitious integrated plan benchmarks against which the council has tracked the project's production and milestone progress on a monthly basis. With its Barnsley 2030 initiative, the council is addressing or aims to lessen major community problems such socioeconomic deprivation, lack of recreational facilities, crime, pollution, and prejudice</w:t>
      </w:r>
      <w:r w:rsidR="00204B47" w:rsidRPr="00CE3584">
        <w:rPr>
          <w:rFonts w:cs="Arial"/>
        </w:rPr>
        <w:t>.</w:t>
      </w:r>
    </w:p>
    <w:p w:rsidR="00C6216C" w:rsidRPr="00CE3584" w:rsidRDefault="00C6216C" w:rsidP="00C6216C">
      <w:pPr>
        <w:pStyle w:val="Heading2"/>
        <w:rPr>
          <w:rFonts w:cs="Arial"/>
        </w:rPr>
      </w:pPr>
      <w:r w:rsidRPr="00CE3584">
        <w:rPr>
          <w:rFonts w:cs="Arial"/>
        </w:rPr>
        <w:t>Community Engagement Best Practices Analysis</w:t>
      </w:r>
    </w:p>
    <w:p w:rsidR="00A25D9C" w:rsidRPr="00CE3584" w:rsidRDefault="00A25D9C" w:rsidP="00A25D9C">
      <w:pPr>
        <w:rPr>
          <w:rFonts w:cs="Arial"/>
        </w:rPr>
      </w:pPr>
      <w:r w:rsidRPr="00CE3584">
        <w:rPr>
          <w:rFonts w:cs="Arial"/>
        </w:rPr>
        <w:t>A community that is engaged is always a healthy community, but in a distant setting, it is crucial for the council to maintain its members' involvement</w:t>
      </w:r>
      <w:r w:rsidR="00414332" w:rsidRPr="00CE3584">
        <w:rPr>
          <w:rFonts w:cs="Arial"/>
        </w:rPr>
        <w:t xml:space="preserve"> (</w:t>
      </w:r>
      <w:proofErr w:type="spellStart"/>
      <w:r w:rsidR="00414332" w:rsidRPr="00CE3584">
        <w:rPr>
          <w:rFonts w:cs="Arial"/>
        </w:rPr>
        <w:t>Dolgon</w:t>
      </w:r>
      <w:proofErr w:type="spellEnd"/>
      <w:r w:rsidR="00414332" w:rsidRPr="00CE3584">
        <w:rPr>
          <w:rFonts w:cs="Arial"/>
        </w:rPr>
        <w:t xml:space="preserve"> et al., 2019)</w:t>
      </w:r>
      <w:r w:rsidRPr="00CE3584">
        <w:rPr>
          <w:rFonts w:cs="Arial"/>
        </w:rPr>
        <w:t>. The following best practises for community involvement are used by Barnsley Metropolitan Borough Council:</w:t>
      </w:r>
    </w:p>
    <w:p w:rsidR="00C6216C" w:rsidRPr="00CE3584" w:rsidRDefault="00C6216C" w:rsidP="00A25D9C">
      <w:pPr>
        <w:pStyle w:val="ListParagraph"/>
        <w:numPr>
          <w:ilvl w:val="0"/>
          <w:numId w:val="3"/>
        </w:numPr>
        <w:rPr>
          <w:rFonts w:cs="Arial"/>
        </w:rPr>
      </w:pPr>
      <w:r w:rsidRPr="00CE3584">
        <w:rPr>
          <w:rFonts w:cs="Arial"/>
          <w:b/>
          <w:bCs/>
        </w:rPr>
        <w:t xml:space="preserve">Direct communication with members: </w:t>
      </w:r>
      <w:r w:rsidRPr="00CE3584">
        <w:rPr>
          <w:rFonts w:cs="Arial"/>
        </w:rPr>
        <w:t>By interacting and staying in touch with its members, Barnsley Metropolitan Borough Council uses a very successful community engagement approach to guarantee active involvement in the Barnsley 2030 programme.</w:t>
      </w:r>
    </w:p>
    <w:p w:rsidR="00A25D9C" w:rsidRPr="00CE3584" w:rsidRDefault="00A25D9C" w:rsidP="00A25D9C">
      <w:pPr>
        <w:pStyle w:val="ListParagraph"/>
        <w:numPr>
          <w:ilvl w:val="0"/>
          <w:numId w:val="3"/>
        </w:numPr>
        <w:rPr>
          <w:rFonts w:cs="Arial"/>
        </w:rPr>
      </w:pPr>
      <w:r w:rsidRPr="00CE3584">
        <w:rPr>
          <w:rFonts w:cs="Arial"/>
          <w:b/>
          <w:bCs/>
        </w:rPr>
        <w:t>Reward active member:</w:t>
      </w:r>
      <w:r w:rsidRPr="00CE3584">
        <w:rPr>
          <w:rFonts w:cs="Arial"/>
        </w:rPr>
        <w:t xml:space="preserve"> In addition, the council will provide rewards to its diligent and engaged members in order to further inspire other members to strive towards the Barnsley 2030 program's objectives (</w:t>
      </w:r>
      <w:proofErr w:type="spellStart"/>
      <w:r w:rsidRPr="00CE3584">
        <w:rPr>
          <w:rFonts w:cs="Arial"/>
        </w:rPr>
        <w:t>Relton</w:t>
      </w:r>
      <w:proofErr w:type="spellEnd"/>
      <w:r w:rsidRPr="00CE3584">
        <w:rPr>
          <w:rFonts w:cs="Arial"/>
        </w:rPr>
        <w:t xml:space="preserve"> et al., 202</w:t>
      </w:r>
      <w:r w:rsidR="00414332" w:rsidRPr="00CE3584">
        <w:rPr>
          <w:rFonts w:cs="Arial"/>
        </w:rPr>
        <w:t>0</w:t>
      </w:r>
      <w:r w:rsidRPr="00CE3584">
        <w:rPr>
          <w:rFonts w:cs="Arial"/>
        </w:rPr>
        <w:t>).</w:t>
      </w:r>
    </w:p>
    <w:p w:rsidR="00A25D9C" w:rsidRPr="00CE3584" w:rsidRDefault="00204B47" w:rsidP="00A25D9C">
      <w:pPr>
        <w:rPr>
          <w:rFonts w:cs="Arial"/>
        </w:rPr>
      </w:pPr>
      <w:r w:rsidRPr="00CE3584">
        <w:rPr>
          <w:rFonts w:cs="Arial"/>
          <w:b/>
          <w:bCs/>
        </w:rPr>
        <w:t>National Standards for community engagement (UK):</w:t>
      </w:r>
      <w:r w:rsidRPr="00CE3584">
        <w:rPr>
          <w:rFonts w:cs="Arial"/>
        </w:rPr>
        <w:t xml:space="preserve"> </w:t>
      </w:r>
      <w:r w:rsidR="00A25D9C" w:rsidRPr="00CE3584">
        <w:rPr>
          <w:rFonts w:cs="Arial"/>
        </w:rPr>
        <w:t>The process of community participation is intended to be supported and informed by good-practice standards</w:t>
      </w:r>
      <w:r w:rsidR="00414332" w:rsidRPr="00CE3584">
        <w:rPr>
          <w:rFonts w:cs="Arial"/>
        </w:rPr>
        <w:t xml:space="preserve"> (Tran et al., 2019)</w:t>
      </w:r>
      <w:r w:rsidR="00A25D9C" w:rsidRPr="00CE3584">
        <w:rPr>
          <w:rFonts w:cs="Arial"/>
        </w:rPr>
        <w:t>. The Barnsley Metropolitan Borough Council adheres to the following fundamental community involvement principles in accordance with UK national standards:</w:t>
      </w:r>
    </w:p>
    <w:p w:rsidR="00A25D9C" w:rsidRPr="00CE3584" w:rsidRDefault="00A25D9C" w:rsidP="00A25D9C">
      <w:pPr>
        <w:pStyle w:val="ListParagraph"/>
        <w:numPr>
          <w:ilvl w:val="0"/>
          <w:numId w:val="6"/>
        </w:numPr>
        <w:rPr>
          <w:rFonts w:cs="Arial"/>
        </w:rPr>
      </w:pPr>
      <w:r w:rsidRPr="00CE3584">
        <w:rPr>
          <w:rFonts w:cs="Arial"/>
          <w:b/>
          <w:bCs/>
        </w:rPr>
        <w:t>Careful planning and preparation:</w:t>
      </w:r>
      <w:r w:rsidRPr="00CE3584">
        <w:rPr>
          <w:rFonts w:cs="Arial"/>
        </w:rPr>
        <w:t xml:space="preserve"> The council meticulously plans and prepares the numerous projects related to social, cultural, and economic development.</w:t>
      </w:r>
    </w:p>
    <w:p w:rsidR="00A25D9C" w:rsidRPr="00CE3584" w:rsidRDefault="00A25D9C" w:rsidP="00A25D9C">
      <w:pPr>
        <w:pStyle w:val="ListParagraph"/>
        <w:numPr>
          <w:ilvl w:val="0"/>
          <w:numId w:val="6"/>
        </w:numPr>
        <w:rPr>
          <w:rFonts w:cs="Arial"/>
        </w:rPr>
      </w:pPr>
      <w:r w:rsidRPr="00CE3584">
        <w:rPr>
          <w:rFonts w:cs="Arial"/>
          <w:b/>
          <w:bCs/>
        </w:rPr>
        <w:t xml:space="preserve">Cooperation and shared purpose: </w:t>
      </w:r>
      <w:r w:rsidRPr="00CE3584">
        <w:rPr>
          <w:rFonts w:cs="Arial"/>
        </w:rPr>
        <w:t xml:space="preserve">The council further supports and fosters cooperation among the government, community organisations, and other stakeholders in order to accomplish a shared objective (McCabe et al., 2023). </w:t>
      </w:r>
    </w:p>
    <w:p w:rsidR="00204B47" w:rsidRPr="00CE3584" w:rsidRDefault="00A25D9C" w:rsidP="00A25D9C">
      <w:pPr>
        <w:pStyle w:val="ListParagraph"/>
        <w:numPr>
          <w:ilvl w:val="0"/>
          <w:numId w:val="6"/>
        </w:numPr>
        <w:rPr>
          <w:rFonts w:cs="Arial"/>
        </w:rPr>
      </w:pPr>
      <w:r w:rsidRPr="00CE3584">
        <w:rPr>
          <w:rFonts w:cs="Arial"/>
          <w:b/>
          <w:bCs/>
        </w:rPr>
        <w:lastRenderedPageBreak/>
        <w:t xml:space="preserve">Trust and transparency: </w:t>
      </w:r>
      <w:r w:rsidRPr="00CE3584">
        <w:rPr>
          <w:rFonts w:cs="Arial"/>
        </w:rPr>
        <w:t>The council maintains a public record of sponsors, results, organisers, and other details and is forthright and transparent about the process.</w:t>
      </w:r>
    </w:p>
    <w:p w:rsidR="00204B47" w:rsidRPr="00CE3584" w:rsidRDefault="00204B47" w:rsidP="00204B47">
      <w:pPr>
        <w:rPr>
          <w:rFonts w:cs="Arial"/>
        </w:rPr>
      </w:pPr>
      <w:r w:rsidRPr="00CE3584">
        <w:rPr>
          <w:rFonts w:cs="Arial"/>
          <w:b/>
          <w:bCs/>
        </w:rPr>
        <w:t>Stakeholder participation:</w:t>
      </w:r>
      <w:r w:rsidRPr="00CE3584">
        <w:rPr>
          <w:rFonts w:cs="Arial"/>
        </w:rPr>
        <w:t xml:space="preserve"> </w:t>
      </w:r>
      <w:r w:rsidR="00A25D9C" w:rsidRPr="00CE3584">
        <w:rPr>
          <w:rFonts w:cs="Arial"/>
        </w:rPr>
        <w:t>Stakeholder engagement is essential to the growth of the community, society, and economy. In addition to lowering the likelihood of disputes and fostering and sustaining support for the project, meaningful stakeholder involvement also strengthens the council's reputation. Therefore, it is critical that Barnsley Metropolitan Borough Council successfully or effectively execute the policy pertaining to stakeholder involvement in order to successfully accomplish the goals of the Barnsley 2030 programme (Gilmore et al., 2020). The council might also benefit from gathering information for their project or programme</w:t>
      </w:r>
      <w:r w:rsidRPr="00CE3584">
        <w:rPr>
          <w:rFonts w:cs="Arial"/>
        </w:rPr>
        <w:t>.</w:t>
      </w:r>
    </w:p>
    <w:p w:rsidR="00C6216C" w:rsidRPr="00CE3584" w:rsidRDefault="00C6216C" w:rsidP="00C6216C">
      <w:pPr>
        <w:pStyle w:val="Heading2"/>
        <w:rPr>
          <w:rFonts w:cs="Arial"/>
        </w:rPr>
      </w:pPr>
      <w:r w:rsidRPr="00CE3584">
        <w:rPr>
          <w:rFonts w:cs="Arial"/>
        </w:rPr>
        <w:t>Stakeholder Relationship Identification and Strategies</w:t>
      </w:r>
    </w:p>
    <w:p w:rsidR="00A25D9C" w:rsidRPr="00CE3584" w:rsidRDefault="00C6216C" w:rsidP="00A25D9C">
      <w:pPr>
        <w:rPr>
          <w:rFonts w:cs="Arial"/>
        </w:rPr>
      </w:pPr>
      <w:r w:rsidRPr="00CE3584">
        <w:rPr>
          <w:rFonts w:cs="Arial"/>
        </w:rPr>
        <w:t>Any person, organisation, or group having a stake in a project's or company's decision-making procedures is considered a stakeholder</w:t>
      </w:r>
      <w:r w:rsidR="00414332" w:rsidRPr="00CE3584">
        <w:rPr>
          <w:rFonts w:cs="Arial"/>
        </w:rPr>
        <w:t xml:space="preserve"> (Marsh, 2018)</w:t>
      </w:r>
      <w:r w:rsidRPr="00CE3584">
        <w:rPr>
          <w:rFonts w:cs="Arial"/>
        </w:rPr>
        <w:t xml:space="preserve">. The government, community development organisations, locals, citizen associations, environmental development organisations, and non-governmental organisations (NGOs) are the main stakeholders in the Barnsley Metropolitan Borough Council. </w:t>
      </w:r>
      <w:r w:rsidR="00A25D9C" w:rsidRPr="00CE3584">
        <w:rPr>
          <w:rFonts w:cs="Arial"/>
        </w:rPr>
        <w:t>The several parties involved in the Barnsley Metropolitan Borough Council have a connection where they exchange ideas and opinions. The council must continue working on the social, economic, and community development aspects of the Barnsley 2030 initiative (Ferreira et al., 2020). Fulfilling each other's interests and working for the welfare of the community and its residents is the fundamental relationship between the council and stakeholders in Barnsley.</w:t>
      </w:r>
    </w:p>
    <w:p w:rsidR="00BF47A3" w:rsidRPr="00CE3584" w:rsidRDefault="00A25D9C" w:rsidP="00A25D9C">
      <w:pPr>
        <w:rPr>
          <w:rFonts w:cs="Arial"/>
        </w:rPr>
      </w:pPr>
      <w:r w:rsidRPr="00CE3584">
        <w:rPr>
          <w:rFonts w:cs="Arial"/>
        </w:rPr>
        <w:t>Additionally, Barnsley Metropolitan Borough Council may use social media platforms as effective tactics to maintain stakeholder engagement. This implies that the council may use social media to share the tough aims of the Barnsley 2030 initiative that it has accomplished.</w:t>
      </w:r>
    </w:p>
    <w:p w:rsidR="00C6216C" w:rsidRPr="00CE3584" w:rsidRDefault="00C6216C" w:rsidP="00A25D9C">
      <w:pPr>
        <w:rPr>
          <w:rFonts w:eastAsiaTheme="majorEastAsia" w:cs="Arial"/>
          <w:b/>
          <w:color w:val="000000" w:themeColor="text1"/>
          <w:sz w:val="28"/>
          <w:szCs w:val="33"/>
        </w:rPr>
      </w:pPr>
      <w:r w:rsidRPr="00CE3584">
        <w:rPr>
          <w:rFonts w:eastAsiaTheme="majorEastAsia" w:cs="Arial"/>
          <w:b/>
          <w:color w:val="000000" w:themeColor="text1"/>
          <w:sz w:val="28"/>
          <w:szCs w:val="33"/>
        </w:rPr>
        <w:t>Social Media Platforms for Project Support</w:t>
      </w:r>
    </w:p>
    <w:p w:rsidR="00A25D9C" w:rsidRPr="00CE3584" w:rsidRDefault="00A25D9C" w:rsidP="00A25D9C">
      <w:pPr>
        <w:rPr>
          <w:rFonts w:cs="Arial"/>
        </w:rPr>
      </w:pPr>
      <w:r w:rsidRPr="00CE3584">
        <w:rPr>
          <w:rFonts w:cs="Arial"/>
        </w:rPr>
        <w:t>Barnsley Metropolitan Borough Council has many social media tools at its disposal to maintain stakeholder engagement and awareness on its initiative, "Barnsley 2030</w:t>
      </w:r>
      <w:r w:rsidR="00C6216C" w:rsidRPr="00CE3584">
        <w:rPr>
          <w:rFonts w:cs="Arial"/>
        </w:rPr>
        <w:t>”.</w:t>
      </w:r>
      <w:r w:rsidRPr="00CE3584">
        <w:rPr>
          <w:rFonts w:cs="Arial"/>
        </w:rPr>
        <w:t xml:space="preserve"> </w:t>
      </w:r>
    </w:p>
    <w:p w:rsidR="00A25D9C" w:rsidRPr="00CE3584" w:rsidRDefault="00A25D9C" w:rsidP="00A25D9C">
      <w:pPr>
        <w:rPr>
          <w:rFonts w:cs="Arial"/>
        </w:rPr>
      </w:pPr>
      <w:r w:rsidRPr="00CE3584">
        <w:rPr>
          <w:rFonts w:cs="Arial"/>
          <w:b/>
          <w:bCs/>
        </w:rPr>
        <w:lastRenderedPageBreak/>
        <w:t>Facebook:</w:t>
      </w:r>
      <w:r w:rsidRPr="00CE3584">
        <w:rPr>
          <w:rFonts w:cs="Arial"/>
        </w:rPr>
        <w:t xml:space="preserve"> One of the greatest social media sites, Facebook offers the option to set up a page dedicated to community participation. According to Adhikari</w:t>
      </w:r>
      <w:r w:rsidR="00414332" w:rsidRPr="00CE3584">
        <w:rPr>
          <w:rFonts w:cs="Arial"/>
        </w:rPr>
        <w:t xml:space="preserve"> et al.</w:t>
      </w:r>
      <w:r w:rsidRPr="00CE3584">
        <w:rPr>
          <w:rFonts w:cs="Arial"/>
        </w:rPr>
        <w:t xml:space="preserve"> (2020), the Barnsley Metropolitan Borough Council is able to maintain engagement with its stakeholders by means of postings, articles, comments, and messages.</w:t>
      </w:r>
    </w:p>
    <w:p w:rsidR="00A25D9C" w:rsidRPr="00CE3584" w:rsidRDefault="00A25D9C" w:rsidP="00A25D9C">
      <w:pPr>
        <w:rPr>
          <w:rFonts w:cs="Arial"/>
        </w:rPr>
      </w:pPr>
      <w:r w:rsidRPr="00CE3584">
        <w:rPr>
          <w:rFonts w:cs="Arial"/>
          <w:b/>
          <w:bCs/>
        </w:rPr>
        <w:t>Instagram or Tik Tok:</w:t>
      </w:r>
      <w:r w:rsidRPr="00CE3584">
        <w:rPr>
          <w:rFonts w:cs="Arial"/>
        </w:rPr>
        <w:t xml:space="preserve"> Barnsley Metropolitan Borough Council may also regularly publish project updates, accomplishment postings, and tales on social media channels like Instagram and Tik Tok.</w:t>
      </w:r>
    </w:p>
    <w:p w:rsidR="00A25D9C" w:rsidRPr="00CE3584" w:rsidRDefault="00A25D9C" w:rsidP="00A25D9C">
      <w:pPr>
        <w:rPr>
          <w:rFonts w:cs="Arial"/>
        </w:rPr>
      </w:pPr>
      <w:r w:rsidRPr="00CE3584">
        <w:rPr>
          <w:rFonts w:cs="Arial"/>
          <w:b/>
          <w:bCs/>
        </w:rPr>
        <w:t>YouTube:</w:t>
      </w:r>
      <w:r w:rsidRPr="00CE3584">
        <w:rPr>
          <w:rFonts w:cs="Arial"/>
        </w:rPr>
        <w:t xml:space="preserve"> To keep stakeholders informed and involved, the council may use films to discuss with them their social and economic development programmes, such Barnsley 2030. Barnsley Council could embrace YouTube events as a new method of engaging stakeholders and the community</w:t>
      </w:r>
      <w:r w:rsidR="00414332" w:rsidRPr="00CE3584">
        <w:rPr>
          <w:rFonts w:cs="Arial"/>
        </w:rPr>
        <w:t xml:space="preserve"> (Evans, 2017)</w:t>
      </w:r>
      <w:r w:rsidRPr="00CE3584">
        <w:rPr>
          <w:rFonts w:cs="Arial"/>
        </w:rPr>
        <w:t>.</w:t>
      </w:r>
    </w:p>
    <w:p w:rsidR="00BF47A3" w:rsidRPr="00CE3584" w:rsidRDefault="00A25D9C" w:rsidP="00A25D9C">
      <w:pPr>
        <w:rPr>
          <w:rFonts w:cs="Arial"/>
        </w:rPr>
      </w:pPr>
      <w:r w:rsidRPr="00CE3584">
        <w:rPr>
          <w:rFonts w:cs="Arial"/>
          <w:b/>
          <w:bCs/>
        </w:rPr>
        <w:t>Twitter:</w:t>
      </w:r>
      <w:r w:rsidRPr="00CE3584">
        <w:rPr>
          <w:rFonts w:cs="Arial"/>
        </w:rPr>
        <w:t xml:space="preserve"> Through one-on-one conversations, Twitter provides the council with the best opportunity to establish relationships with its stakeholders and the community. Through wise decision-making, risk management, and goodwill, it assists the Barnsley Council in avoiding delays and obstacles for its 2030 project (McCabe et</w:t>
      </w:r>
      <w:r w:rsidR="00414332" w:rsidRPr="00CE3584">
        <w:rPr>
          <w:rFonts w:cs="Arial"/>
        </w:rPr>
        <w:t xml:space="preserve"> </w:t>
      </w:r>
      <w:r w:rsidRPr="00CE3584">
        <w:rPr>
          <w:rFonts w:cs="Arial"/>
        </w:rPr>
        <w:t>al., 2023).</w:t>
      </w:r>
    </w:p>
    <w:p w:rsidR="00C6216C" w:rsidRPr="00CE3584" w:rsidRDefault="00C6216C" w:rsidP="00C6216C">
      <w:pPr>
        <w:pStyle w:val="Heading2"/>
        <w:rPr>
          <w:rFonts w:cs="Arial"/>
        </w:rPr>
      </w:pPr>
      <w:r w:rsidRPr="00CE3584">
        <w:rPr>
          <w:rFonts w:cs="Arial"/>
        </w:rPr>
        <w:t>Options for Promoting Community Engagement at Barnsley Metropolitan Borough Council</w:t>
      </w:r>
    </w:p>
    <w:p w:rsidR="00A25D9C" w:rsidRPr="00CE3584" w:rsidRDefault="00A25D9C" w:rsidP="00A25D9C">
      <w:pPr>
        <w:rPr>
          <w:rFonts w:cs="Arial"/>
        </w:rPr>
      </w:pPr>
      <w:r w:rsidRPr="00CE3584">
        <w:rPr>
          <w:rFonts w:cs="Arial"/>
        </w:rPr>
        <w:t>The Barnsley Metropolitan Borough Council has the following alternatives or methods at its disposal to fulfil its Barnsley 2030 programme in order to foster community involvement, cooperation, diversity, and inclusion as well as to enable social-cultural integration and multiculturalism:</w:t>
      </w:r>
    </w:p>
    <w:p w:rsidR="00A25D9C" w:rsidRPr="00CE3584" w:rsidRDefault="00A25D9C" w:rsidP="00A25D9C">
      <w:pPr>
        <w:rPr>
          <w:rFonts w:cs="Arial"/>
        </w:rPr>
      </w:pPr>
      <w:r w:rsidRPr="00CE3584">
        <w:rPr>
          <w:rFonts w:cs="Arial"/>
          <w:b/>
          <w:bCs/>
        </w:rPr>
        <w:t>Accept new people into the community or council:</w:t>
      </w:r>
      <w:r w:rsidRPr="00CE3584">
        <w:rPr>
          <w:rFonts w:cs="Arial"/>
        </w:rPr>
        <w:t xml:space="preserve"> According to one of the techniques, the Barnsley council should accept new members into their community or council who come from a variety of cultural backgrounds. It assists them in gathering fresh and original ideas for communal, social, and economic growth</w:t>
      </w:r>
      <w:r w:rsidR="00414332" w:rsidRPr="00CE3584">
        <w:rPr>
          <w:rFonts w:cs="Arial"/>
        </w:rPr>
        <w:t xml:space="preserve"> (Fitzgerald and Primavera, 2019)</w:t>
      </w:r>
      <w:r w:rsidRPr="00CE3584">
        <w:rPr>
          <w:rFonts w:cs="Arial"/>
        </w:rPr>
        <w:t>.</w:t>
      </w:r>
    </w:p>
    <w:p w:rsidR="00C6216C" w:rsidRPr="00CE3584" w:rsidRDefault="00C6216C" w:rsidP="00A25D9C">
      <w:pPr>
        <w:rPr>
          <w:rFonts w:cs="Arial"/>
          <w:b/>
          <w:bCs/>
        </w:rPr>
      </w:pPr>
      <w:r w:rsidRPr="00CE3584">
        <w:rPr>
          <w:rFonts w:cs="Arial"/>
          <w:b/>
          <w:bCs/>
        </w:rPr>
        <w:t xml:space="preserve">Diversifying content: </w:t>
      </w:r>
      <w:r w:rsidRPr="00CE3584">
        <w:rPr>
          <w:rFonts w:cs="Arial"/>
        </w:rPr>
        <w:t>Beyond the Barnsley 2030 plan, the council should try out additional methods to diversify its material. The council has launched a number of alternative projects alongside Barnsley 2030, including a renewable energy action plan and a place-based investment strategy.</w:t>
      </w:r>
    </w:p>
    <w:p w:rsidR="00A25D9C" w:rsidRPr="00CE3584" w:rsidRDefault="00A25D9C" w:rsidP="00A25D9C">
      <w:pPr>
        <w:rPr>
          <w:rFonts w:cs="Arial"/>
        </w:rPr>
      </w:pPr>
      <w:r w:rsidRPr="00CE3584">
        <w:rPr>
          <w:rFonts w:cs="Arial"/>
          <w:b/>
          <w:bCs/>
        </w:rPr>
        <w:t>Creating or launching own platform:</w:t>
      </w:r>
      <w:r w:rsidRPr="00CE3584">
        <w:rPr>
          <w:rFonts w:cs="Arial"/>
        </w:rPr>
        <w:t xml:space="preserve"> In addition to cultivating a following on social media, the council should establish or launch a website to maintain contact with stakeholders and other communities.</w:t>
      </w:r>
    </w:p>
    <w:p w:rsidR="00A25D9C" w:rsidRPr="00CE3584" w:rsidRDefault="00A25D9C" w:rsidP="00A25D9C">
      <w:pPr>
        <w:rPr>
          <w:rFonts w:cs="Arial"/>
        </w:rPr>
      </w:pPr>
      <w:r w:rsidRPr="00CE3584">
        <w:rPr>
          <w:rFonts w:cs="Arial"/>
          <w:b/>
          <w:bCs/>
        </w:rPr>
        <w:t>Organise a webinar:</w:t>
      </w:r>
      <w:r w:rsidRPr="00CE3584">
        <w:rPr>
          <w:rFonts w:cs="Arial"/>
        </w:rPr>
        <w:t xml:space="preserve"> This is a great approach to address community concerns and involves more planning than a typical Q&amp;A session. Thus, in order to address key community issues like unemployment, discrimination, environmental concerns, etc., the council may host a webinar, hear from stakeholders, and identify those issues</w:t>
      </w:r>
      <w:r w:rsidR="00414332" w:rsidRPr="00CE3584">
        <w:rPr>
          <w:rFonts w:cs="Arial"/>
        </w:rPr>
        <w:t xml:space="preserve"> (Fitzgerald and Primavera, 2019)</w:t>
      </w:r>
      <w:r w:rsidRPr="00CE3584">
        <w:rPr>
          <w:rFonts w:cs="Arial"/>
        </w:rPr>
        <w:t>.</w:t>
      </w:r>
    </w:p>
    <w:p w:rsidR="00A25D9C" w:rsidRPr="00CE3584" w:rsidRDefault="00A25D9C" w:rsidP="00A25D9C">
      <w:pPr>
        <w:rPr>
          <w:rFonts w:cs="Arial"/>
        </w:rPr>
      </w:pPr>
      <w:r w:rsidRPr="00CE3584">
        <w:rPr>
          <w:rFonts w:cs="Arial"/>
          <w:b/>
          <w:bCs/>
        </w:rPr>
        <w:t>Promote member content and accomplishments:</w:t>
      </w:r>
      <w:r w:rsidRPr="00CE3584">
        <w:rPr>
          <w:rFonts w:cs="Arial"/>
        </w:rPr>
        <w:t xml:space="preserve"> One of the best community engagement techniques is to promote member content and accomplishments. To do this, the council should post member material and accomplishments on social media, in their newsletter, and other channels. This aids in inspiring the participant to complete the Barnsley 2030 project.</w:t>
      </w:r>
    </w:p>
    <w:p w:rsidR="00BF47A3" w:rsidRPr="00CE3584" w:rsidRDefault="00A25D9C" w:rsidP="00A25D9C">
      <w:pPr>
        <w:rPr>
          <w:rFonts w:cs="Arial"/>
        </w:rPr>
      </w:pPr>
      <w:r w:rsidRPr="00CE3584">
        <w:rPr>
          <w:rFonts w:cs="Arial"/>
          <w:b/>
          <w:bCs/>
        </w:rPr>
        <w:t>Community moderating:</w:t>
      </w:r>
      <w:r w:rsidRPr="00CE3584">
        <w:rPr>
          <w:rFonts w:cs="Arial"/>
        </w:rPr>
        <w:t xml:space="preserve"> It is critical that the council provide room for community members to express themselves on the website (Gilmore et al., 2020). Keeping an eye on the work that members are performing in the community is made possible by the moderation.</w:t>
      </w:r>
    </w:p>
    <w:p w:rsidR="00C6216C" w:rsidRPr="00CE3584" w:rsidRDefault="00C6216C" w:rsidP="00C6216C">
      <w:pPr>
        <w:pStyle w:val="Heading2"/>
        <w:rPr>
          <w:rFonts w:cs="Arial"/>
        </w:rPr>
      </w:pPr>
      <w:r w:rsidRPr="00CE3584">
        <w:rPr>
          <w:rFonts w:cs="Arial"/>
        </w:rPr>
        <w:t>Educating Community on Impact of Internal and External Factors for Future Development</w:t>
      </w:r>
    </w:p>
    <w:p w:rsidR="00A25D9C" w:rsidRPr="00CE3584" w:rsidRDefault="00A25D9C" w:rsidP="00A25D9C">
      <w:pPr>
        <w:rPr>
          <w:rFonts w:cs="Arial"/>
        </w:rPr>
      </w:pPr>
      <w:r w:rsidRPr="00CE3584">
        <w:rPr>
          <w:rFonts w:cs="Arial"/>
        </w:rPr>
        <w:t>When developing a strategy, project, or programme, ahead looking, often referred to as forward thinking, is the process of taking future developments into account. The Barnsley Metropolitan Borough Council is able to properly educate its members on many internal and external issues, including their influence on community development, thanks to this strategy. This strategy benefits the council by enabling them to maintain community members' involvement and activity in the initiatives (Sharma et al., 2022). A significant disadvantage of this strategy is that it does not place as much emphasis on the past or the present.</w:t>
      </w:r>
    </w:p>
    <w:p w:rsidR="00BF47A3" w:rsidRPr="00CE3584" w:rsidRDefault="00A25D9C" w:rsidP="00A25D9C">
      <w:pPr>
        <w:rPr>
          <w:rFonts w:cs="Arial"/>
        </w:rPr>
      </w:pPr>
      <w:r w:rsidRPr="00CE3584">
        <w:rPr>
          <w:rFonts w:cs="Arial"/>
        </w:rPr>
        <w:t>For example, Barnsley 2030's target of creating 8,000 new employments by 2025 has been greatly hampered by the economic crisis of the Covid-19 pandemic. When a community member doubts their ability to realise the project's objective, they get demotivated</w:t>
      </w:r>
      <w:r w:rsidR="00414332" w:rsidRPr="00CE3584">
        <w:rPr>
          <w:rFonts w:cs="Arial"/>
        </w:rPr>
        <w:t xml:space="preserve"> (Barnsley Metropolitan Borough Council, 2023a)</w:t>
      </w:r>
      <w:r w:rsidRPr="00CE3584">
        <w:rPr>
          <w:rFonts w:cs="Arial"/>
        </w:rPr>
        <w:t xml:space="preserve">. The council will be able to educate its members that although they cannot alter the past, they can influence the future in this scenario by taking a forward-looking perspective </w:t>
      </w:r>
      <w:r w:rsidR="00414332" w:rsidRPr="00CE3584">
        <w:rPr>
          <w:rFonts w:cs="Arial"/>
        </w:rPr>
        <w:t>(</w:t>
      </w:r>
      <w:proofErr w:type="spellStart"/>
      <w:r w:rsidR="00414332" w:rsidRPr="00CE3584">
        <w:rPr>
          <w:rFonts w:cs="Arial"/>
        </w:rPr>
        <w:t>Sladek</w:t>
      </w:r>
      <w:proofErr w:type="spellEnd"/>
      <w:r w:rsidR="00414332" w:rsidRPr="00CE3584">
        <w:rPr>
          <w:rFonts w:cs="Arial"/>
        </w:rPr>
        <w:t xml:space="preserve"> and Bergen, 2019)</w:t>
      </w:r>
      <w:r w:rsidRPr="00CE3584">
        <w:rPr>
          <w:rFonts w:cs="Arial"/>
        </w:rPr>
        <w:t>. By disregarding the previous outcomes, this will enable them to maintain the community member's involvement and active participation in the project's future development.</w:t>
      </w:r>
      <w:r w:rsidR="00BF47A3" w:rsidRPr="00CE3584">
        <w:rPr>
          <w:rFonts w:cs="Arial"/>
        </w:rPr>
        <w:t xml:space="preserve"> </w:t>
      </w:r>
      <w:r w:rsidR="00414332" w:rsidRPr="00CE3584">
        <w:rPr>
          <w:rFonts w:cs="Arial"/>
        </w:rPr>
        <w:t xml:space="preserve"> </w:t>
      </w:r>
    </w:p>
    <w:p w:rsidR="00BF47A3" w:rsidRPr="00CE3584" w:rsidRDefault="00BF47A3" w:rsidP="00BF47A3">
      <w:pPr>
        <w:pStyle w:val="Heading1"/>
        <w:rPr>
          <w:rFonts w:cs="Arial"/>
        </w:rPr>
      </w:pPr>
      <w:r w:rsidRPr="00CE3584">
        <w:rPr>
          <w:rFonts w:cs="Arial"/>
        </w:rPr>
        <w:t>C</w:t>
      </w:r>
      <w:r w:rsidR="00414332" w:rsidRPr="00CE3584">
        <w:rPr>
          <w:rFonts w:cs="Arial"/>
        </w:rPr>
        <w:t>onclusion</w:t>
      </w:r>
    </w:p>
    <w:p w:rsidR="00414332" w:rsidRPr="00CE3584" w:rsidRDefault="00A25D9C" w:rsidP="00204B47">
      <w:pPr>
        <w:rPr>
          <w:rFonts w:cs="Arial"/>
        </w:rPr>
      </w:pPr>
      <w:r w:rsidRPr="00CE3584">
        <w:rPr>
          <w:rFonts w:cs="Arial"/>
        </w:rPr>
        <w:t>The material above has been summarised to show that adequate stakeholder and community participation is necessary for economic, social, and communal development. The</w:t>
      </w:r>
      <w:r w:rsidR="00414332" w:rsidRPr="00CE3584">
        <w:rPr>
          <w:rFonts w:cs="Arial"/>
        </w:rPr>
        <w:t xml:space="preserve"> essay</w:t>
      </w:r>
      <w:r w:rsidRPr="00CE3584">
        <w:rPr>
          <w:rFonts w:cs="Arial"/>
        </w:rPr>
        <w:t xml:space="preserve"> has come to an end on the social and economic development project "Barnsley 2030" that the England local authority "Barnsley Metropolitan Borough Council" is now doing. The study also outlined the project's primary goal and the important topics and community problems it is tackling, including insecurity, crime, environmental concerns, and prejudice. The </w:t>
      </w:r>
      <w:r w:rsidR="00414332" w:rsidRPr="00CE3584">
        <w:rPr>
          <w:rFonts w:cs="Arial"/>
        </w:rPr>
        <w:t>essay</w:t>
      </w:r>
      <w:r w:rsidRPr="00CE3584">
        <w:rPr>
          <w:rFonts w:cs="Arial"/>
        </w:rPr>
        <w:t xml:space="preserve"> provides a summary of the fundamental principles or best practises for community involvement as specified in the UK's National Standards for community engagement, including equity, equality, diversity, openness, and trust. This is supported by the </w:t>
      </w:r>
      <w:r w:rsidR="00ED4587">
        <w:rPr>
          <w:rFonts w:cs="Arial"/>
        </w:rPr>
        <w:t>essay</w:t>
      </w:r>
      <w:r w:rsidRPr="00CE3584">
        <w:rPr>
          <w:rFonts w:cs="Arial"/>
        </w:rPr>
        <w:t>'s further discussion of the various options or paths for encouraging community involvement and cooperation. The Barnsley Metropolitan Borough Council is advised to implement community modernization strategies or measures to increase community engagement, as well as to diversify their content, welcome new and diverse members to the community, launch their own platform, host a webinar, share member content, and celebrate their accomplishments. Finally, the council has been advised by the study to take a forward-looking strategy in educating community members about the effect of internal and external factors on community growth.</w:t>
      </w:r>
    </w:p>
    <w:p w:rsidR="00414332" w:rsidRPr="00CE3584" w:rsidRDefault="00414332">
      <w:pPr>
        <w:spacing w:after="0" w:line="240" w:lineRule="auto"/>
        <w:jc w:val="left"/>
        <w:rPr>
          <w:rFonts w:cs="Arial"/>
        </w:rPr>
      </w:pPr>
      <w:r w:rsidRPr="00CE3584">
        <w:rPr>
          <w:rFonts w:cs="Arial"/>
        </w:rPr>
        <w:br w:type="page"/>
      </w:r>
    </w:p>
    <w:p w:rsidR="00BF47A3" w:rsidRPr="00CE3584" w:rsidRDefault="00414332" w:rsidP="00414332">
      <w:pPr>
        <w:pStyle w:val="Heading1"/>
        <w:rPr>
          <w:rFonts w:cs="Arial"/>
        </w:rPr>
      </w:pPr>
      <w:r w:rsidRPr="00CE3584">
        <w:rPr>
          <w:rFonts w:cs="Arial"/>
        </w:rPr>
        <w:t>References</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Adhikari, B., Pell, C. and Cheah, P.Y. (2019). Community engagement and ethical global health research. </w:t>
      </w:r>
      <w:r w:rsidRPr="00CE3584">
        <w:rPr>
          <w:rFonts w:ascii="Arial" w:hAnsi="Arial" w:cs="Arial"/>
          <w:i/>
          <w:iCs/>
        </w:rPr>
        <w:t>Global Bioethics</w:t>
      </w:r>
      <w:r w:rsidRPr="00CE3584">
        <w:rPr>
          <w:rFonts w:ascii="Arial" w:hAnsi="Arial" w:cs="Arial"/>
        </w:rPr>
        <w:t>, 31(1), pp.1–12. doi:https://doi.org/10.1080/11287462.2019.1703504.</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Barnsley Metropolitan Borough Council (2023a). </w:t>
      </w:r>
      <w:r w:rsidRPr="00CE3584">
        <w:rPr>
          <w:rFonts w:ascii="Arial" w:hAnsi="Arial" w:cs="Arial"/>
          <w:i/>
          <w:iCs/>
        </w:rPr>
        <w:t>Barnsley 2030</w:t>
      </w:r>
      <w:r w:rsidRPr="00CE3584">
        <w:rPr>
          <w:rFonts w:ascii="Arial" w:hAnsi="Arial" w:cs="Arial"/>
        </w:rPr>
        <w:t>. [online] www.barnsley.gov.uk. Available at: https://www.barnsley.gov.uk/services/our-council/barnsley-2030/.</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Barnsley Metropolitan Borough Council (2023b). </w:t>
      </w:r>
      <w:r w:rsidRPr="00CE3584">
        <w:rPr>
          <w:rFonts w:ascii="Arial" w:hAnsi="Arial" w:cs="Arial"/>
          <w:i/>
          <w:iCs/>
        </w:rPr>
        <w:t>Barnsley 2030 strategy</w:t>
      </w:r>
      <w:r w:rsidRPr="00CE3584">
        <w:rPr>
          <w:rFonts w:ascii="Arial" w:hAnsi="Arial" w:cs="Arial"/>
        </w:rPr>
        <w:t>. [online] www.barnsley.gov.uk. Available at: https://www.barnsley.gov.uk/services/our-council/barnsley-2030/barnsley-2030-strategy/ [Accessed 30 Nov. 2023].</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Dolgon, C., Mitchell, T.D. and Eatman, T.K. (2019). </w:t>
      </w:r>
      <w:r w:rsidRPr="00CE3584">
        <w:rPr>
          <w:rFonts w:ascii="Arial" w:hAnsi="Arial" w:cs="Arial"/>
          <w:i/>
          <w:iCs/>
        </w:rPr>
        <w:t>The Cambridge handbook of service learning and community engagement</w:t>
      </w:r>
      <w:r w:rsidRPr="00CE3584">
        <w:rPr>
          <w:rFonts w:ascii="Arial" w:hAnsi="Arial" w:cs="Arial"/>
        </w:rPr>
        <w:t>. Cambridge: Cambridge University Press.</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Evans, H.K. (2017). </w:t>
      </w:r>
      <w:r w:rsidRPr="00CE3584">
        <w:rPr>
          <w:rFonts w:ascii="Arial" w:hAnsi="Arial" w:cs="Arial"/>
          <w:i/>
          <w:iCs/>
        </w:rPr>
        <w:t>Community engagement findings across the disciplines : applying course content to community needs</w:t>
      </w:r>
      <w:r w:rsidRPr="00CE3584">
        <w:rPr>
          <w:rFonts w:ascii="Arial" w:hAnsi="Arial" w:cs="Arial"/>
        </w:rPr>
        <w:t>. 4th ed. Lanham, Maryland: Rowman &amp; Littlefield.</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Ferreira, V., Barreira, A.P., Loures, L., Antunes, D. and Panagopoulos, T. (2020). Stakeholders’ Engagement on Nature-Based Solutions: A Systematic Literature Review. </w:t>
      </w:r>
      <w:r w:rsidRPr="00CE3584">
        <w:rPr>
          <w:rFonts w:ascii="Arial" w:hAnsi="Arial" w:cs="Arial"/>
          <w:i/>
          <w:iCs/>
        </w:rPr>
        <w:t>Sustainability</w:t>
      </w:r>
      <w:r w:rsidRPr="00CE3584">
        <w:rPr>
          <w:rFonts w:ascii="Arial" w:hAnsi="Arial" w:cs="Arial"/>
        </w:rPr>
        <w:t>, [online] 12(2), p.640. doi:https://doi.org/10.3390/su12020640.</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Fitzgerald, H.E. and Primavera, J. (2019). </w:t>
      </w:r>
      <w:r w:rsidRPr="00CE3584">
        <w:rPr>
          <w:rFonts w:ascii="Arial" w:hAnsi="Arial" w:cs="Arial"/>
          <w:i/>
          <w:iCs/>
        </w:rPr>
        <w:t>Going Public : Civic and Community Engagement</w:t>
      </w:r>
      <w:r w:rsidRPr="00CE3584">
        <w:rPr>
          <w:rFonts w:ascii="Arial" w:hAnsi="Arial" w:cs="Arial"/>
        </w:rPr>
        <w:t>. 4th ed. East Lansing: Michigan State University Press.</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Gilmore, B., Ndejjo, R., Tchetchia, A., de Claro, V., Mago, E., Diallo, A.A., Lopes, C. and Bhattacharyya, S. (2020). Community engagement for COVID-19 prevention and control: a rapid evidence synthesis. </w:t>
      </w:r>
      <w:r w:rsidRPr="00CE3584">
        <w:rPr>
          <w:rFonts w:ascii="Arial" w:hAnsi="Arial" w:cs="Arial"/>
          <w:i/>
          <w:iCs/>
        </w:rPr>
        <w:t>BMJ global health</w:t>
      </w:r>
      <w:r w:rsidRPr="00CE3584">
        <w:rPr>
          <w:rFonts w:ascii="Arial" w:hAnsi="Arial" w:cs="Arial"/>
        </w:rPr>
        <w:t>, [online] 5(10). doi:https://doi.org/10.1136/bmjgh-2020-003188.</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Marsh, G. (2018). </w:t>
      </w:r>
      <w:r w:rsidRPr="00CE3584">
        <w:rPr>
          <w:rFonts w:ascii="Arial" w:hAnsi="Arial" w:cs="Arial"/>
          <w:i/>
          <w:iCs/>
        </w:rPr>
        <w:t>Community engagement in post-disaster recovery</w:t>
      </w:r>
      <w:r w:rsidRPr="00CE3584">
        <w:rPr>
          <w:rFonts w:ascii="Arial" w:hAnsi="Arial" w:cs="Arial"/>
        </w:rPr>
        <w:t>. 3rd ed. Abingdon, Oxon ; New York, Ny: Routledge.</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McCabe, R., Whittaker, C., Sheppard, R., Abdelmagid, N., Ahmed, A., Israa Zain Alabdeen, Brazeau, N.F., Abd, A., Abdulla Salem Bin-Ghouth, Hamlet, A., Rahaf AbuKoura, Barnsley, G., Hay, J.A., Mervat Alhaffar, Emilie Koum Besson, Semira Mitiku Saje, Binyam Girma Sisay, Seifu Hagos Gebreyesus, Adane Petros Sikamo and Worku, A. (2023). Alternative epidemic indicators for COVID-19 in three settings with incomplete death registration systems. </w:t>
      </w:r>
      <w:r w:rsidRPr="00CE3584">
        <w:rPr>
          <w:rFonts w:ascii="Arial" w:hAnsi="Arial" w:cs="Arial"/>
          <w:i/>
          <w:iCs/>
        </w:rPr>
        <w:t>Science Advances</w:t>
      </w:r>
      <w:r w:rsidRPr="00CE3584">
        <w:rPr>
          <w:rFonts w:ascii="Arial" w:hAnsi="Arial" w:cs="Arial"/>
        </w:rPr>
        <w:t>, 9(23). doi:https://doi.org/10.1126/sciadv.adg7676.</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Peterson, P., Ali, S., Kenneh, A. and Wakefield, A. (2019). Community engagement with refugee-background communities around health: the experience of the Group of 11. </w:t>
      </w:r>
      <w:r w:rsidRPr="00CE3584">
        <w:rPr>
          <w:rFonts w:ascii="Arial" w:hAnsi="Arial" w:cs="Arial"/>
          <w:i/>
          <w:iCs/>
        </w:rPr>
        <w:t>Australian Journal of Primary Health</w:t>
      </w:r>
      <w:r w:rsidRPr="00CE3584">
        <w:rPr>
          <w:rFonts w:ascii="Arial" w:hAnsi="Arial" w:cs="Arial"/>
        </w:rPr>
        <w:t>, 25(2), p.113. doi:https://doi.org/10.1071/py18139.</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Relton, C., Crowder, M., Blake, M. and Strong, M. (2020). Fresh street: the development and feasibility of a place-based, subsidy for fresh fruit and vegetables. </w:t>
      </w:r>
      <w:r w:rsidRPr="00CE3584">
        <w:rPr>
          <w:rFonts w:ascii="Arial" w:hAnsi="Arial" w:cs="Arial"/>
          <w:i/>
          <w:iCs/>
        </w:rPr>
        <w:t>Journal of Public Health</w:t>
      </w:r>
      <w:r w:rsidRPr="00CE3584">
        <w:rPr>
          <w:rFonts w:ascii="Arial" w:hAnsi="Arial" w:cs="Arial"/>
        </w:rPr>
        <w:t>, 44(1). doi:https://doi.org/10.1093/pubmed/fdaa190.</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Sharma, P., Sadh, A., Billore, A. and Motiani, M. (2021). Investigating brand community engagement and evangelistic tendencies on social media. </w:t>
      </w:r>
      <w:r w:rsidRPr="00CE3584">
        <w:rPr>
          <w:rFonts w:ascii="Arial" w:hAnsi="Arial" w:cs="Arial"/>
          <w:i/>
          <w:iCs/>
        </w:rPr>
        <w:t>Journal of Product &amp; Brand Management</w:t>
      </w:r>
      <w:r w:rsidRPr="00CE3584">
        <w:rPr>
          <w:rFonts w:ascii="Arial" w:hAnsi="Arial" w:cs="Arial"/>
        </w:rPr>
        <w:t>, ahead-of-print(ahead-of-print). doi:https://doi.org/10.1108/jpbm-01-2020-2705.</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Sladek, E. and Bergen, D. (2019). Considering the Anchor Mission Strategy within the Competing ‘Regimes’ of Higher Education Community Engagement. </w:t>
      </w:r>
      <w:r w:rsidRPr="00CE3584">
        <w:rPr>
          <w:rFonts w:ascii="Arial" w:hAnsi="Arial" w:cs="Arial"/>
          <w:i/>
          <w:iCs/>
        </w:rPr>
        <w:t>Metropolitan Universities</w:t>
      </w:r>
      <w:r w:rsidRPr="00CE3584">
        <w:rPr>
          <w:rFonts w:ascii="Arial" w:hAnsi="Arial" w:cs="Arial"/>
        </w:rPr>
        <w:t>, 30(1). doi:https://doi.org/10.18060/22917.</w:t>
      </w:r>
    </w:p>
    <w:p w:rsidR="00414332" w:rsidRPr="00CE3584" w:rsidRDefault="00414332" w:rsidP="00414332">
      <w:pPr>
        <w:pStyle w:val="NormalWeb"/>
        <w:spacing w:before="0" w:beforeAutospacing="0" w:after="240" w:afterAutospacing="0" w:line="360" w:lineRule="auto"/>
        <w:jc w:val="both"/>
        <w:rPr>
          <w:rFonts w:ascii="Arial" w:hAnsi="Arial" w:cs="Arial"/>
        </w:rPr>
      </w:pPr>
      <w:r w:rsidRPr="00CE3584">
        <w:rPr>
          <w:rFonts w:ascii="Arial" w:hAnsi="Arial" w:cs="Arial"/>
        </w:rPr>
        <w:t xml:space="preserve">Tran, H., Smith, D.A. and Buckman, D.G. (2019). </w:t>
      </w:r>
      <w:r w:rsidRPr="00CE3584">
        <w:rPr>
          <w:rFonts w:ascii="Arial" w:hAnsi="Arial" w:cs="Arial"/>
          <w:i/>
          <w:iCs/>
        </w:rPr>
        <w:t>Stakeholder Engagement</w:t>
      </w:r>
      <w:r w:rsidRPr="00CE3584">
        <w:rPr>
          <w:rFonts w:ascii="Arial" w:hAnsi="Arial" w:cs="Arial"/>
        </w:rPr>
        <w:t>. 3rd ed. Rowman &amp; Littlefield Publishers.</w:t>
      </w:r>
    </w:p>
    <w:p w:rsidR="00414332" w:rsidRPr="00CE3584" w:rsidRDefault="00414332" w:rsidP="00414332">
      <w:pPr>
        <w:rPr>
          <w:rFonts w:cs="Arial"/>
        </w:rPr>
      </w:pPr>
    </w:p>
    <w:p w:rsidR="00BF47A3" w:rsidRPr="00CE3584" w:rsidRDefault="00BF47A3" w:rsidP="00414332">
      <w:pPr>
        <w:rPr>
          <w:rFonts w:cs="Arial"/>
        </w:rPr>
      </w:pPr>
    </w:p>
    <w:p w:rsidR="00204B47" w:rsidRPr="00CE3584" w:rsidRDefault="00204B47" w:rsidP="00414332">
      <w:pPr>
        <w:rPr>
          <w:rFonts w:cs="Arial"/>
        </w:rPr>
      </w:pPr>
    </w:p>
    <w:sectPr w:rsidR="00204B47" w:rsidRPr="00CE3584">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F34E6" w:rsidRDefault="006F34E6" w:rsidP="00D9574A">
      <w:pPr>
        <w:spacing w:after="0" w:line="240" w:lineRule="auto"/>
      </w:pPr>
      <w:r>
        <w:separator/>
      </w:r>
    </w:p>
  </w:endnote>
  <w:endnote w:type="continuationSeparator" w:id="0">
    <w:p w:rsidR="006F34E6" w:rsidRDefault="006F34E6" w:rsidP="00D95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7089684"/>
      <w:docPartObj>
        <w:docPartGallery w:val="Page Numbers (Bottom of Page)"/>
        <w:docPartUnique/>
      </w:docPartObj>
    </w:sdtPr>
    <w:sdtEndPr>
      <w:rPr>
        <w:rStyle w:val="PageNumber"/>
      </w:rPr>
    </w:sdtEndPr>
    <w:sdtContent>
      <w:p w:rsidR="00D9574A" w:rsidRDefault="00D9574A" w:rsidP="001131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9574A" w:rsidRDefault="00D9574A" w:rsidP="00D957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4390986"/>
      <w:docPartObj>
        <w:docPartGallery w:val="Page Numbers (Bottom of Page)"/>
        <w:docPartUnique/>
      </w:docPartObj>
    </w:sdtPr>
    <w:sdtEndPr>
      <w:rPr>
        <w:rStyle w:val="PageNumber"/>
      </w:rPr>
    </w:sdtEndPr>
    <w:sdtContent>
      <w:p w:rsidR="00D9574A" w:rsidRDefault="00D9574A" w:rsidP="001131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D9574A" w:rsidRDefault="00D9574A" w:rsidP="00D9574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F34E6" w:rsidRDefault="006F34E6" w:rsidP="00D9574A">
      <w:pPr>
        <w:spacing w:after="0" w:line="240" w:lineRule="auto"/>
      </w:pPr>
      <w:r>
        <w:separator/>
      </w:r>
    </w:p>
  </w:footnote>
  <w:footnote w:type="continuationSeparator" w:id="0">
    <w:p w:rsidR="006F34E6" w:rsidRDefault="006F34E6" w:rsidP="00D957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7EAF"/>
    <w:multiLevelType w:val="hybridMultilevel"/>
    <w:tmpl w:val="F86850B8"/>
    <w:lvl w:ilvl="0" w:tplc="08090001">
      <w:start w:val="1"/>
      <w:numFmt w:val="bullet"/>
      <w:lvlText w:val=""/>
      <w:lvlJc w:val="left"/>
      <w:pPr>
        <w:ind w:left="720" w:hanging="360"/>
      </w:pPr>
      <w:rPr>
        <w:rFonts w:ascii="Symbol" w:hAnsi="Symbol" w:hint="default"/>
      </w:rPr>
    </w:lvl>
    <w:lvl w:ilvl="1" w:tplc="BCBAC87C">
      <w:start w:val="2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DE64B1"/>
    <w:multiLevelType w:val="hybridMultilevel"/>
    <w:tmpl w:val="6F9E9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F6CB0"/>
    <w:multiLevelType w:val="hybridMultilevel"/>
    <w:tmpl w:val="BD6A3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10442B"/>
    <w:multiLevelType w:val="hybridMultilevel"/>
    <w:tmpl w:val="AECE9D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AF7BE0"/>
    <w:multiLevelType w:val="hybridMultilevel"/>
    <w:tmpl w:val="428ECB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A61802"/>
    <w:multiLevelType w:val="hybridMultilevel"/>
    <w:tmpl w:val="65A60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987741">
    <w:abstractNumId w:val="2"/>
  </w:num>
  <w:num w:numId="2" w16cid:durableId="1237125657">
    <w:abstractNumId w:val="1"/>
  </w:num>
  <w:num w:numId="3" w16cid:durableId="467163078">
    <w:abstractNumId w:val="0"/>
  </w:num>
  <w:num w:numId="4" w16cid:durableId="2003239177">
    <w:abstractNumId w:val="5"/>
  </w:num>
  <w:num w:numId="5" w16cid:durableId="1899364767">
    <w:abstractNumId w:val="4"/>
  </w:num>
  <w:num w:numId="6" w16cid:durableId="15744377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B47"/>
    <w:rsid w:val="00204B47"/>
    <w:rsid w:val="002E0ED3"/>
    <w:rsid w:val="00317AC8"/>
    <w:rsid w:val="003C23A2"/>
    <w:rsid w:val="00413A8D"/>
    <w:rsid w:val="00414332"/>
    <w:rsid w:val="006F34E6"/>
    <w:rsid w:val="007847BA"/>
    <w:rsid w:val="00801F62"/>
    <w:rsid w:val="00A25D9C"/>
    <w:rsid w:val="00BB109F"/>
    <w:rsid w:val="00BF47A3"/>
    <w:rsid w:val="00C6216C"/>
    <w:rsid w:val="00CE3584"/>
    <w:rsid w:val="00D9574A"/>
    <w:rsid w:val="00ED4587"/>
  </w:rsids>
  <m:mathPr>
    <m:mathFont m:val="Cambria Math"/>
    <m:brkBin m:val="before"/>
    <m:brkBinSub m:val="--"/>
    <m:smallFrac m:val="0"/>
    <m:dispDef/>
    <m:lMargin m:val="0"/>
    <m:rMargin m:val="0"/>
    <m:defJc m:val="centerGroup"/>
    <m:wrapIndent m:val="1440"/>
    <m:intLim m:val="subSup"/>
    <m:naryLim m:val="undOvr"/>
  </m:mathPr>
  <w:themeFontLang w:bidi="bn-IN"/>
  <w:clrSchemeMapping w:bg1="light1" w:t1="dark1" w:bg2="light2" w:t2="dark2" w:accent1="accent1" w:accent2="accent2" w:accent3="accent3" w:accent4="accent4" w:accent5="accent5" w:accent6="accent6" w:hyperlink="hyperlink" w:followedHyperlink="followedHyperlink"/>
  <w:decimalSymbol w:val="."/>
  <w:listSeparator w:val=","/>
  <w14:docId w14:val="1BAB0B6E"/>
  <w15:chartTrackingRefBased/>
  <w15:docId w15:val="{C5035C0C-3CE7-FC4B-B50F-39C5F9E45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0"/>
        <w:lang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7BA"/>
    <w:pPr>
      <w:spacing w:after="160" w:line="360" w:lineRule="auto"/>
      <w:jc w:val="both"/>
    </w:pPr>
    <w:rPr>
      <w:rFonts w:ascii="Arial" w:hAnsi="Arial"/>
      <w:kern w:val="2"/>
      <w:szCs w:val="22"/>
      <w:lang w:val="en-GB" w:bidi="ar-SA"/>
      <w14:ligatures w14:val="standardContextual"/>
    </w:rPr>
  </w:style>
  <w:style w:type="paragraph" w:styleId="Heading1">
    <w:name w:val="heading 1"/>
    <w:basedOn w:val="Normal"/>
    <w:next w:val="Normal"/>
    <w:link w:val="Heading1Char"/>
    <w:autoRedefine/>
    <w:uiPriority w:val="9"/>
    <w:qFormat/>
    <w:rsid w:val="007847BA"/>
    <w:pPr>
      <w:keepNext/>
      <w:keepLines/>
      <w:spacing w:before="240"/>
      <w:outlineLvl w:val="0"/>
    </w:pPr>
    <w:rPr>
      <w:rFonts w:eastAsiaTheme="majorEastAsia" w:cstheme="majorBidi"/>
      <w:b/>
      <w:color w:val="000000" w:themeColor="text1"/>
      <w:sz w:val="32"/>
      <w:szCs w:val="40"/>
    </w:rPr>
  </w:style>
  <w:style w:type="paragraph" w:styleId="Heading2">
    <w:name w:val="heading 2"/>
    <w:basedOn w:val="Normal"/>
    <w:next w:val="Normal"/>
    <w:link w:val="Heading2Char"/>
    <w:autoRedefine/>
    <w:uiPriority w:val="9"/>
    <w:unhideWhenUsed/>
    <w:qFormat/>
    <w:rsid w:val="007847BA"/>
    <w:pPr>
      <w:keepNext/>
      <w:keepLines/>
      <w:spacing w:before="4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7BA"/>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7847BA"/>
    <w:rPr>
      <w:rFonts w:ascii="Times New Roman" w:eastAsiaTheme="majorEastAsia" w:hAnsi="Times New Roman" w:cstheme="majorBidi"/>
      <w:b/>
      <w:color w:val="000000" w:themeColor="text1"/>
      <w:sz w:val="28"/>
      <w:szCs w:val="33"/>
    </w:rPr>
  </w:style>
  <w:style w:type="paragraph" w:styleId="ListParagraph">
    <w:name w:val="List Paragraph"/>
    <w:basedOn w:val="Normal"/>
    <w:uiPriority w:val="34"/>
    <w:qFormat/>
    <w:rsid w:val="00BF47A3"/>
    <w:pPr>
      <w:ind w:left="720"/>
      <w:contextualSpacing/>
    </w:pPr>
  </w:style>
  <w:style w:type="paragraph" w:styleId="Footer">
    <w:name w:val="footer"/>
    <w:basedOn w:val="Normal"/>
    <w:link w:val="FooterChar"/>
    <w:uiPriority w:val="99"/>
    <w:unhideWhenUsed/>
    <w:rsid w:val="00D95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74A"/>
    <w:rPr>
      <w:rFonts w:ascii="Arial" w:hAnsi="Arial"/>
      <w:kern w:val="2"/>
      <w:szCs w:val="22"/>
      <w:lang w:val="en-GB" w:bidi="ar-SA"/>
      <w14:ligatures w14:val="standardContextual"/>
    </w:rPr>
  </w:style>
  <w:style w:type="character" w:styleId="PageNumber">
    <w:name w:val="page number"/>
    <w:basedOn w:val="DefaultParagraphFont"/>
    <w:uiPriority w:val="99"/>
    <w:semiHidden/>
    <w:unhideWhenUsed/>
    <w:rsid w:val="00D9574A"/>
  </w:style>
  <w:style w:type="paragraph" w:styleId="NormalWeb">
    <w:name w:val="Normal (Web)"/>
    <w:basedOn w:val="Normal"/>
    <w:uiPriority w:val="99"/>
    <w:semiHidden/>
    <w:unhideWhenUsed/>
    <w:rsid w:val="00414332"/>
    <w:pPr>
      <w:spacing w:before="100" w:beforeAutospacing="1" w:after="100" w:afterAutospacing="1" w:line="240" w:lineRule="auto"/>
      <w:jc w:val="left"/>
    </w:pPr>
    <w:rPr>
      <w:rFonts w:ascii="Times New Roman" w:eastAsia="Times New Roman" w:hAnsi="Times New Roman" w:cs="Times New Roman"/>
      <w:kern w:val="0"/>
      <w:szCs w:val="24"/>
      <w:lang w:eastAsia="en-GB" w:bidi="b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06946">
      <w:bodyDiv w:val="1"/>
      <w:marLeft w:val="0"/>
      <w:marRight w:val="0"/>
      <w:marTop w:val="0"/>
      <w:marBottom w:val="0"/>
      <w:divBdr>
        <w:top w:val="none" w:sz="0" w:space="0" w:color="auto"/>
        <w:left w:val="none" w:sz="0" w:space="0" w:color="auto"/>
        <w:bottom w:val="none" w:sz="0" w:space="0" w:color="auto"/>
        <w:right w:val="none" w:sz="0" w:space="0" w:color="auto"/>
      </w:divBdr>
      <w:divsChild>
        <w:div w:id="1884052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2409</Words>
  <Characters>13733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rakib hossain</dc:creator>
  <cp:keywords/>
  <dc:description/>
  <cp:lastModifiedBy>TatiAna Badescu</cp:lastModifiedBy>
  <cp:revision>2</cp:revision>
  <dcterms:created xsi:type="dcterms:W3CDTF">2023-12-01T20:48:00Z</dcterms:created>
  <dcterms:modified xsi:type="dcterms:W3CDTF">2023-12-01T20:48:00Z</dcterms:modified>
</cp:coreProperties>
</file>