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6C4B5B" w14:textId="644ABBF5"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Professional Career Development</w:t>
      </w:r>
    </w:p>
    <w:p w14:paraId="2E93A0ED"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BMSW4012</w:t>
      </w:r>
    </w:p>
    <w:p w14:paraId="709166C8"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Individual reflection</w:t>
      </w:r>
    </w:p>
    <w:p w14:paraId="1520F9D3"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 xml:space="preserve">Student Name- Nicolae </w:t>
      </w:r>
      <w:proofErr w:type="spellStart"/>
      <w:r w:rsidRPr="000E4667">
        <w:rPr>
          <w:rFonts w:ascii="Times New Roman" w:eastAsia="Times New Roman" w:hAnsi="Times New Roman" w:cs="Times New Roman"/>
          <w:color w:val="000000"/>
          <w:sz w:val="27"/>
          <w:szCs w:val="27"/>
          <w:lang w:val="en-GB" w:eastAsia="en-GB"/>
        </w:rPr>
        <w:t>Gheorghica</w:t>
      </w:r>
      <w:proofErr w:type="spellEnd"/>
    </w:p>
    <w:p w14:paraId="2D1CCE2C"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Student ID-2330417</w:t>
      </w:r>
    </w:p>
    <w:p w14:paraId="451E4281"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This study will examine the value of developing one's professional abilities in a variety of businesses. It will explain how these abilities are valuable assets that promote personal development and increase employability in the fast-paced labour market. Additionally, this reflection's goal will be to show that the major models covered in the Professional Career Development courses have been well understood and used. Insights into how these models which include learning styles, SMART objectives, the Johari Window, SWOT analysis, as well as Personal Development Plans (PDP) have been applied to enhance and manage individual professional trajectories will be shared during the next conversation.</w:t>
      </w:r>
    </w:p>
    <w:p w14:paraId="34EA2482"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SWOT analysis is a framework that is utilised to understand the competitive position of any individual or a company. This model is followed to make a strategic planning after proper identification of the strengths, weaknesses, opportunities as well as threats. These four elements are important and are the main components of this framework that are needed to consider. Using this framework helps one to solve complex problems easily. Uncovering opportunities and understanding the areas of weakness can be possible with the application of this self-assessment tool. One can prepare strategies and eliminate threats from their life to get bright future career growth (Schooley, 2024). SWOT analysis has been a crucial part of my professional development process. I have been able to pinpoint my advantages through this procedure, including my technical expertise and effective communication abilities. It has also highlighted areas that need development, such networking and time management. My ability to identify opportunities like market trends and professional development programs has allowed me to take advantage of advantageous situations. Proactive steps to reduce risks have been spurred by the recognition of possible dangers, such as market rivalry and technology improvements. All things considered, the SWOT analysis has given me the ability to strategically manage my career path and make well-informed judgments. For example, while studying my higher education I always communicated and interacted well with my tutors and</w:t>
      </w:r>
    </w:p>
    <w:p w14:paraId="15875A4F"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 xml:space="preserve">cleared my confusion regarding anything (Robertson et al., 2020). I have good technical abilities as I know that I never faced issues using different technical devices, </w:t>
      </w:r>
      <w:r w:rsidRPr="000E4667">
        <w:rPr>
          <w:rFonts w:ascii="Times New Roman" w:eastAsia="Times New Roman" w:hAnsi="Times New Roman" w:cs="Times New Roman"/>
          <w:color w:val="000000"/>
          <w:sz w:val="27"/>
          <w:szCs w:val="27"/>
          <w:lang w:val="en-GB" w:eastAsia="en-GB"/>
        </w:rPr>
        <w:lastRenderedPageBreak/>
        <w:t xml:space="preserve">surfing the internet and researching. I took effective decisions and prepared my career strategies through the various insights offered by SWOT analysis understanding the areas of strength I have been able to use them in my career opportunities seeking professional aspirations. For example, I know that my data analysis power is so </w:t>
      </w:r>
      <w:proofErr w:type="gramStart"/>
      <w:r w:rsidRPr="000E4667">
        <w:rPr>
          <w:rFonts w:ascii="Times New Roman" w:eastAsia="Times New Roman" w:hAnsi="Times New Roman" w:cs="Times New Roman"/>
          <w:color w:val="000000"/>
          <w:sz w:val="27"/>
          <w:szCs w:val="27"/>
          <w:lang w:val="en-GB" w:eastAsia="en-GB"/>
        </w:rPr>
        <w:t>proficient</w:t>
      </w:r>
      <w:proofErr w:type="gramEnd"/>
      <w:r w:rsidRPr="000E4667">
        <w:rPr>
          <w:rFonts w:ascii="Times New Roman" w:eastAsia="Times New Roman" w:hAnsi="Times New Roman" w:cs="Times New Roman"/>
          <w:color w:val="000000"/>
          <w:sz w:val="27"/>
          <w:szCs w:val="27"/>
          <w:lang w:val="en-GB" w:eastAsia="en-GB"/>
        </w:rPr>
        <w:t xml:space="preserve"> and I use to find or pursue job roles that aligns with the analytical prowess and search jobs related to data driven fields. Proper identification of the areas of weakness through the SWOT analysis is very effective to prepare proactive strategies for addressing my skill gaps (Cottrell, 2021). I can be able to enhance my competence by developing abilities or skills that I lack. For example, I identified that my time management abilities are </w:t>
      </w:r>
      <w:proofErr w:type="gramStart"/>
      <w:r w:rsidRPr="000E4667">
        <w:rPr>
          <w:rFonts w:ascii="Times New Roman" w:eastAsia="Times New Roman" w:hAnsi="Times New Roman" w:cs="Times New Roman"/>
          <w:color w:val="000000"/>
          <w:sz w:val="27"/>
          <w:szCs w:val="27"/>
          <w:lang w:val="en-GB" w:eastAsia="en-GB"/>
        </w:rPr>
        <w:t>weak</w:t>
      </w:r>
      <w:proofErr w:type="gramEnd"/>
      <w:r w:rsidRPr="000E4667">
        <w:rPr>
          <w:rFonts w:ascii="Times New Roman" w:eastAsia="Times New Roman" w:hAnsi="Times New Roman" w:cs="Times New Roman"/>
          <w:color w:val="000000"/>
          <w:sz w:val="27"/>
          <w:szCs w:val="27"/>
          <w:lang w:val="en-GB" w:eastAsia="en-GB"/>
        </w:rPr>
        <w:t xml:space="preserve"> and I prepared strategies to enhance my time management by practising several tasks within a limited time bound. Another benefit that this framework has provided me is I can evaluate my career path and make informed decisions regarding that addressing the opportunities as well as traits is very important to create a clear path for achieving the future career goals. SWOT analysis provided me with that opportunity so that I can be able to align my career goals with my opportunities that are emerging (Gallagher, 2022).</w:t>
      </w:r>
    </w:p>
    <w:p w14:paraId="04A03C54"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 xml:space="preserve">SMART goals are precise objectives that are intended to be time-bound, relevant, measurable, achievable, and clear. Being specific guarantees that objectives are clear and precise, eliminating any possibility of confusion. Measurability makes it possible to monitor progress and assess goal achievement. Achievability makes ensuring that objectives are reasonable and doable, </w:t>
      </w:r>
      <w:proofErr w:type="gramStart"/>
      <w:r w:rsidRPr="000E4667">
        <w:rPr>
          <w:rFonts w:ascii="Times New Roman" w:eastAsia="Times New Roman" w:hAnsi="Times New Roman" w:cs="Times New Roman"/>
          <w:color w:val="000000"/>
          <w:sz w:val="27"/>
          <w:szCs w:val="27"/>
          <w:lang w:val="en-GB" w:eastAsia="en-GB"/>
        </w:rPr>
        <w:t>taking into account</w:t>
      </w:r>
      <w:proofErr w:type="gramEnd"/>
      <w:r w:rsidRPr="000E4667">
        <w:rPr>
          <w:rFonts w:ascii="Times New Roman" w:eastAsia="Times New Roman" w:hAnsi="Times New Roman" w:cs="Times New Roman"/>
          <w:color w:val="000000"/>
          <w:sz w:val="27"/>
          <w:szCs w:val="27"/>
          <w:lang w:val="en-GB" w:eastAsia="en-GB"/>
        </w:rPr>
        <w:t xml:space="preserve"> the skills and resources at hand. Relevance guarantees that objectives support overall success by lining up with more general aims (</w:t>
      </w:r>
      <w:proofErr w:type="spellStart"/>
      <w:r w:rsidRPr="000E4667">
        <w:rPr>
          <w:rFonts w:ascii="Times New Roman" w:eastAsia="Times New Roman" w:hAnsi="Times New Roman" w:cs="Times New Roman"/>
          <w:color w:val="000000"/>
          <w:sz w:val="27"/>
          <w:szCs w:val="27"/>
          <w:lang w:val="en-GB" w:eastAsia="en-GB"/>
        </w:rPr>
        <w:t>Corporatefinanceinstitute</w:t>
      </w:r>
      <w:proofErr w:type="spellEnd"/>
      <w:r w:rsidRPr="000E4667">
        <w:rPr>
          <w:rFonts w:ascii="Times New Roman" w:eastAsia="Times New Roman" w:hAnsi="Times New Roman" w:cs="Times New Roman"/>
          <w:color w:val="000000"/>
          <w:sz w:val="27"/>
          <w:szCs w:val="27"/>
          <w:lang w:val="en-GB" w:eastAsia="en-GB"/>
        </w:rPr>
        <w:t xml:space="preserve">, 2024). </w:t>
      </w:r>
      <w:proofErr w:type="gramStart"/>
      <w:r w:rsidRPr="000E4667">
        <w:rPr>
          <w:rFonts w:ascii="Times New Roman" w:eastAsia="Times New Roman" w:hAnsi="Times New Roman" w:cs="Times New Roman"/>
          <w:color w:val="000000"/>
          <w:sz w:val="27"/>
          <w:szCs w:val="27"/>
          <w:lang w:val="en-GB" w:eastAsia="en-GB"/>
        </w:rPr>
        <w:t>Last but not least</w:t>
      </w:r>
      <w:proofErr w:type="gramEnd"/>
      <w:r w:rsidRPr="000E4667">
        <w:rPr>
          <w:rFonts w:ascii="Times New Roman" w:eastAsia="Times New Roman" w:hAnsi="Times New Roman" w:cs="Times New Roman"/>
          <w:color w:val="000000"/>
          <w:sz w:val="27"/>
          <w:szCs w:val="27"/>
          <w:lang w:val="en-GB" w:eastAsia="en-GB"/>
        </w:rPr>
        <w:t xml:space="preserve">, having a time limit for objective completion creates responsibility and a feeling of urgency. These requirements when combined provide a framework for defining goals that are realistic, significant, and successful. SMART goals are more effective than the normal goals as it gives direction to any individual </w:t>
      </w:r>
      <w:proofErr w:type="gramStart"/>
      <w:r w:rsidRPr="000E4667">
        <w:rPr>
          <w:rFonts w:ascii="Times New Roman" w:eastAsia="Times New Roman" w:hAnsi="Times New Roman" w:cs="Times New Roman"/>
          <w:color w:val="000000"/>
          <w:sz w:val="27"/>
          <w:szCs w:val="27"/>
          <w:lang w:val="en-GB" w:eastAsia="en-GB"/>
        </w:rPr>
        <w:t>while</w:t>
      </w:r>
      <w:proofErr w:type="gramEnd"/>
    </w:p>
    <w:p w14:paraId="12371BC4"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 xml:space="preserve">achieving their objectives. This method is effective to push forward providing a sense of seriousness and dedication to fulfil the future career goals. A clear set of goals are essential to decide to achieve those faster. It is effective to organise the resources and apply them efficiently to manage all the problems and go forward to the future advancement. My personal as well as professional growth is marked through the setting of this framework. For example, I wanted to develop my coding skills and </w:t>
      </w:r>
      <w:proofErr w:type="gramStart"/>
      <w:r w:rsidRPr="000E4667">
        <w:rPr>
          <w:rFonts w:ascii="Times New Roman" w:eastAsia="Times New Roman" w:hAnsi="Times New Roman" w:cs="Times New Roman"/>
          <w:color w:val="000000"/>
          <w:sz w:val="27"/>
          <w:szCs w:val="27"/>
          <w:lang w:val="en-GB" w:eastAsia="en-GB"/>
        </w:rPr>
        <w:t>as a result of</w:t>
      </w:r>
      <w:proofErr w:type="gramEnd"/>
      <w:r w:rsidRPr="000E4667">
        <w:rPr>
          <w:rFonts w:ascii="Times New Roman" w:eastAsia="Times New Roman" w:hAnsi="Times New Roman" w:cs="Times New Roman"/>
          <w:color w:val="000000"/>
          <w:sz w:val="27"/>
          <w:szCs w:val="27"/>
          <w:lang w:val="en-GB" w:eastAsia="en-GB"/>
        </w:rPr>
        <w:t xml:space="preserve"> that I set a smart goal for learning various programming languages within the next seven months. The goal I set was very specific as it mentioned called the requirements I needed to remember. It is a measurable by the tracking process and I measured it by taking online tutorials practising coating exercises. I considered the achievement of coding skills by evaluating my existing programming language knowledge development and it is very relevant to my fulfilment of future aspirations </w:t>
      </w:r>
      <w:r w:rsidRPr="000E4667">
        <w:rPr>
          <w:rFonts w:ascii="Times New Roman" w:eastAsia="Times New Roman" w:hAnsi="Times New Roman" w:cs="Times New Roman"/>
          <w:color w:val="000000"/>
          <w:sz w:val="27"/>
          <w:szCs w:val="27"/>
          <w:lang w:val="en-GB" w:eastAsia="en-GB"/>
        </w:rPr>
        <w:lastRenderedPageBreak/>
        <w:t>in data analysis. Similarly, while improving my time management abilities, I also set another smart goal by proper utilisation of structured daily schedule. I have detailed all my tasks and maintained a discipline to accomplish it each day. I have gradually implemented time management techniques for enhancing my productivity within the limited time bound. Preparing the SMART objectives was challenging to me due to lack of knowledge however the support of my tutor helped me to overcome that obstacle (Cottrell, 2019).</w:t>
      </w:r>
    </w:p>
    <w:p w14:paraId="6730D8FC"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 xml:space="preserve">A psychological strategy for improving interpersonal connections and self-awareness is the Johari Window paradigm. It has four quadrants: open, blind, hidden from view and unknown, which stand for different facets of the person. The model shows how reciprocal disclosure as well as self-awareness may increase the open area, lessen blind spots, and improve relationship comprehension. People may develop connections, enhance communication, and become more self-aware by asking for and sharing personal comments and information (Dweck, 2017). The Johari Window paradigm emphasises the value of openness and vulnerability in creating deep connections and promoting individual development. Applying this model, I took the feedback from my peers and understood my blind spots related to the communication. I have </w:t>
      </w:r>
      <w:proofErr w:type="gramStart"/>
      <w:r w:rsidRPr="000E4667">
        <w:rPr>
          <w:rFonts w:ascii="Times New Roman" w:eastAsia="Times New Roman" w:hAnsi="Times New Roman" w:cs="Times New Roman"/>
          <w:color w:val="000000"/>
          <w:sz w:val="27"/>
          <w:szCs w:val="27"/>
          <w:lang w:val="en-GB" w:eastAsia="en-GB"/>
        </w:rPr>
        <w:t>tendencies</w:t>
      </w:r>
      <w:proofErr w:type="gramEnd"/>
    </w:p>
    <w:p w14:paraId="580130E2"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to interrupt people while communicating and this knowledge helped to be conscious about enhancing my listening powers. The Johari window helped me to foster an open communication by sharing my personal experiences building trust and empathy with others (Smale, 2015).</w:t>
      </w:r>
    </w:p>
    <w:p w14:paraId="40BD392D"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A personal development plan can be outlined as a structured roadmap that is mainly designed to enhance an individual's knowledge, skills and abilities to achieve personal as well as professional goals easily (Karas et al., 2020). It includes the process of identification of individual strengths and weaknesses based on which an individual might work more in the future to improve personal skill sets effectively. It is mainly used to specify key objectives along with outlining clear actions to boost professional activities effectively. PDP plays a crucial role in creating and guiding frameworks for individua’s to navigate their career goals easily. Then, by identifying career necessary skills to improve and competencies with effective planning actionable steps PDP is very essential for every individual. Proper self-assessment, action planning and goal setting help an individual to measure, achieve and create SMART objectives for their personal and professional improvement. For example, goal setting is very essential for an individual to achieve their individual goals by attending various workshops, seeking mentorship and further education (Nordgren et al., 2021). It impacts positively on the personal and professional development of an individual as it creates a straight path of personal development to become successful in the desired field effectively.</w:t>
      </w:r>
    </w:p>
    <w:p w14:paraId="36473C7B"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lastRenderedPageBreak/>
        <w:t xml:space="preserve">Learning styles can be referred to as the ways that are preferred by individuals to acquire new information and knowledge along with skills and abilities, Common learning styles include visual, </w:t>
      </w:r>
      <w:proofErr w:type="spellStart"/>
      <w:r w:rsidRPr="000E4667">
        <w:rPr>
          <w:rFonts w:ascii="Times New Roman" w:eastAsia="Times New Roman" w:hAnsi="Times New Roman" w:cs="Times New Roman"/>
          <w:color w:val="000000"/>
          <w:sz w:val="27"/>
          <w:szCs w:val="27"/>
          <w:lang w:val="en-GB" w:eastAsia="en-GB"/>
        </w:rPr>
        <w:t>kinesthetic</w:t>
      </w:r>
      <w:proofErr w:type="spellEnd"/>
      <w:r w:rsidRPr="000E4667">
        <w:rPr>
          <w:rFonts w:ascii="Times New Roman" w:eastAsia="Times New Roman" w:hAnsi="Times New Roman" w:cs="Times New Roman"/>
          <w:color w:val="000000"/>
          <w:sz w:val="27"/>
          <w:szCs w:val="27"/>
          <w:lang w:val="en-GB" w:eastAsia="en-GB"/>
        </w:rPr>
        <w:t xml:space="preserve"> and auditory learning styles. Visual learners learn from visual aids such as charts, diagrams and videos. While auditory learners learn from verbal instructions preferring discussions, lectures and audio materials. Besides that, </w:t>
      </w:r>
      <w:proofErr w:type="spellStart"/>
      <w:r w:rsidRPr="000E4667">
        <w:rPr>
          <w:rFonts w:ascii="Times New Roman" w:eastAsia="Times New Roman" w:hAnsi="Times New Roman" w:cs="Times New Roman"/>
          <w:color w:val="000000"/>
          <w:sz w:val="27"/>
          <w:szCs w:val="27"/>
          <w:lang w:val="en-GB" w:eastAsia="en-GB"/>
        </w:rPr>
        <w:t>kinesthetic</w:t>
      </w:r>
      <w:proofErr w:type="spellEnd"/>
      <w:r w:rsidRPr="000E4667">
        <w:rPr>
          <w:rFonts w:ascii="Times New Roman" w:eastAsia="Times New Roman" w:hAnsi="Times New Roman" w:cs="Times New Roman"/>
          <w:color w:val="000000"/>
          <w:sz w:val="27"/>
          <w:szCs w:val="27"/>
          <w:lang w:val="en-GB" w:eastAsia="en-GB"/>
        </w:rPr>
        <w:t xml:space="preserve"> learners learn by engaging themselves in hands-on activities such as physical demonstrations and experimental learning. Learning styles are highly dependent on the learning time and abilities of an individual as they</w:t>
      </w:r>
    </w:p>
    <w:p w14:paraId="65E7F8F2"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tailor the overall learning experience of an individual (</w:t>
      </w:r>
      <w:proofErr w:type="spellStart"/>
      <w:r w:rsidRPr="000E4667">
        <w:rPr>
          <w:rFonts w:ascii="Times New Roman" w:eastAsia="Times New Roman" w:hAnsi="Times New Roman" w:cs="Times New Roman"/>
          <w:color w:val="000000"/>
          <w:sz w:val="27"/>
          <w:szCs w:val="27"/>
          <w:lang w:val="en-GB" w:eastAsia="en-GB"/>
        </w:rPr>
        <w:t>Luangrungruang</w:t>
      </w:r>
      <w:proofErr w:type="spellEnd"/>
      <w:r w:rsidRPr="000E4667">
        <w:rPr>
          <w:rFonts w:ascii="Times New Roman" w:eastAsia="Times New Roman" w:hAnsi="Times New Roman" w:cs="Times New Roman"/>
          <w:color w:val="000000"/>
          <w:sz w:val="27"/>
          <w:szCs w:val="27"/>
          <w:lang w:val="en-GB" w:eastAsia="en-GB"/>
        </w:rPr>
        <w:t xml:space="preserve"> and </w:t>
      </w:r>
      <w:proofErr w:type="spellStart"/>
      <w:r w:rsidRPr="000E4667">
        <w:rPr>
          <w:rFonts w:ascii="Times New Roman" w:eastAsia="Times New Roman" w:hAnsi="Times New Roman" w:cs="Times New Roman"/>
          <w:color w:val="000000"/>
          <w:sz w:val="27"/>
          <w:szCs w:val="27"/>
          <w:lang w:val="en-GB" w:eastAsia="en-GB"/>
        </w:rPr>
        <w:t>Kokaew</w:t>
      </w:r>
      <w:proofErr w:type="spellEnd"/>
      <w:r w:rsidRPr="000E4667">
        <w:rPr>
          <w:rFonts w:ascii="Times New Roman" w:eastAsia="Times New Roman" w:hAnsi="Times New Roman" w:cs="Times New Roman"/>
          <w:color w:val="000000"/>
          <w:sz w:val="27"/>
          <w:szCs w:val="27"/>
          <w:lang w:val="en-GB" w:eastAsia="en-GB"/>
        </w:rPr>
        <w:t xml:space="preserve">, 2022). Identification of personal learning style is very necessary for an individual based on the time taken, improvements in learning and efficiency in learning new skills and abilities. For example, visual learners might not go for auditory learning tactics along with </w:t>
      </w:r>
      <w:proofErr w:type="spellStart"/>
      <w:r w:rsidRPr="000E4667">
        <w:rPr>
          <w:rFonts w:ascii="Times New Roman" w:eastAsia="Times New Roman" w:hAnsi="Times New Roman" w:cs="Times New Roman"/>
          <w:color w:val="000000"/>
          <w:sz w:val="27"/>
          <w:szCs w:val="27"/>
          <w:lang w:val="en-GB" w:eastAsia="en-GB"/>
        </w:rPr>
        <w:t>kinesthetic</w:t>
      </w:r>
      <w:proofErr w:type="spellEnd"/>
      <w:r w:rsidRPr="000E4667">
        <w:rPr>
          <w:rFonts w:ascii="Times New Roman" w:eastAsia="Times New Roman" w:hAnsi="Times New Roman" w:cs="Times New Roman"/>
          <w:color w:val="000000"/>
          <w:sz w:val="27"/>
          <w:szCs w:val="27"/>
          <w:lang w:val="en-GB" w:eastAsia="en-GB"/>
        </w:rPr>
        <w:t xml:space="preserve"> learning activity as it could hinder their learning process effectively (</w:t>
      </w:r>
      <w:proofErr w:type="spellStart"/>
      <w:r w:rsidRPr="000E4667">
        <w:rPr>
          <w:rFonts w:ascii="Times New Roman" w:eastAsia="Times New Roman" w:hAnsi="Times New Roman" w:cs="Times New Roman"/>
          <w:color w:val="000000"/>
          <w:sz w:val="27"/>
          <w:szCs w:val="27"/>
          <w:lang w:val="en-GB" w:eastAsia="en-GB"/>
        </w:rPr>
        <w:t>Darmayanti</w:t>
      </w:r>
      <w:proofErr w:type="spellEnd"/>
      <w:r w:rsidRPr="000E4667">
        <w:rPr>
          <w:rFonts w:ascii="Times New Roman" w:eastAsia="Times New Roman" w:hAnsi="Times New Roman" w:cs="Times New Roman"/>
          <w:color w:val="000000"/>
          <w:sz w:val="27"/>
          <w:szCs w:val="27"/>
          <w:lang w:val="en-GB" w:eastAsia="en-GB"/>
        </w:rPr>
        <w:t xml:space="preserve"> et al., 2022). Effective selection of learning style plays a vital role for every individual in their learning as significant improvements are directly proportional to the chosen learning style suitable for an individual. Then, by leveraging preferred learning styles, a student could optimize their professional development process and achieve greater success in their chosen field.</w:t>
      </w:r>
    </w:p>
    <w:p w14:paraId="0F4659F2"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Conclusion</w:t>
      </w:r>
    </w:p>
    <w:p w14:paraId="18F56053"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Professional career development skills have become very essential through the whole analysis done in the essay. In the fight against the evolving job market and getting suitable job opportunities in desired fields professional and personal development plans have become very vital. Personal development plans and understanding learning styles have become very crucial to enhancing individuals' ability to plan and execute their professional journey effectively. The whole essay has discussed personal strengths and weaknesses through an effective SWOT analysis. Fate that, with effective SMART goals and the use of Johari Window, the effectiveness of creating a PDP plan and following it to improve personal and professional career effectively has been discussed briefly in this essay.</w:t>
      </w:r>
    </w:p>
    <w:p w14:paraId="187D079A"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References</w:t>
      </w:r>
    </w:p>
    <w:p w14:paraId="0F99624F"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proofErr w:type="spellStart"/>
      <w:r w:rsidRPr="000E4667">
        <w:rPr>
          <w:rFonts w:ascii="Times New Roman" w:eastAsia="Times New Roman" w:hAnsi="Times New Roman" w:cs="Times New Roman"/>
          <w:color w:val="000000"/>
          <w:sz w:val="27"/>
          <w:szCs w:val="27"/>
          <w:lang w:val="en-GB" w:eastAsia="en-GB"/>
        </w:rPr>
        <w:t>Corporatefinanceinstitute</w:t>
      </w:r>
      <w:proofErr w:type="spellEnd"/>
      <w:r w:rsidRPr="000E4667">
        <w:rPr>
          <w:rFonts w:ascii="Times New Roman" w:eastAsia="Times New Roman" w:hAnsi="Times New Roman" w:cs="Times New Roman"/>
          <w:color w:val="000000"/>
          <w:sz w:val="27"/>
          <w:szCs w:val="27"/>
          <w:lang w:val="en-GB" w:eastAsia="en-GB"/>
        </w:rPr>
        <w:t xml:space="preserve">, (2024). SMART Goals. [Online] Available at: </w:t>
      </w:r>
      <w:proofErr w:type="gramStart"/>
      <w:r w:rsidRPr="000E4667">
        <w:rPr>
          <w:rFonts w:ascii="Times New Roman" w:eastAsia="Times New Roman" w:hAnsi="Times New Roman" w:cs="Times New Roman"/>
          <w:color w:val="000000"/>
          <w:sz w:val="27"/>
          <w:szCs w:val="27"/>
          <w:lang w:val="en-GB" w:eastAsia="en-GB"/>
        </w:rPr>
        <w:t>https://corporatefinanceinstitute.com/resources/management/smart-goal/[</w:t>
      </w:r>
      <w:proofErr w:type="gramEnd"/>
      <w:r w:rsidRPr="000E4667">
        <w:rPr>
          <w:rFonts w:ascii="Times New Roman" w:eastAsia="Times New Roman" w:hAnsi="Times New Roman" w:cs="Times New Roman"/>
          <w:color w:val="000000"/>
          <w:sz w:val="27"/>
          <w:szCs w:val="27"/>
          <w:lang w:val="en-GB" w:eastAsia="en-GB"/>
        </w:rPr>
        <w:t>Accessed 10 May 2024].</w:t>
      </w:r>
    </w:p>
    <w:p w14:paraId="0A5D2F7E"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Cottrell, S. (2019) The Study Skills Handbook. Fifth edition. London, Macmillan International Higher Education/Red Globe Press an imprint of Springer Nature Limited.</w:t>
      </w:r>
    </w:p>
    <w:p w14:paraId="33F3B07E"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lastRenderedPageBreak/>
        <w:t>Cottrell, S. (2021) Skills for success: personal development and employability. 4th edition. London: Red Globe Press.</w:t>
      </w:r>
    </w:p>
    <w:p w14:paraId="26C6A2B3"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proofErr w:type="spellStart"/>
      <w:r w:rsidRPr="000E4667">
        <w:rPr>
          <w:rFonts w:ascii="Times New Roman" w:eastAsia="Times New Roman" w:hAnsi="Times New Roman" w:cs="Times New Roman"/>
          <w:color w:val="000000"/>
          <w:sz w:val="27"/>
          <w:szCs w:val="27"/>
          <w:lang w:val="en-GB" w:eastAsia="en-GB"/>
        </w:rPr>
        <w:t>Darmayanti</w:t>
      </w:r>
      <w:proofErr w:type="spellEnd"/>
      <w:r w:rsidRPr="000E4667">
        <w:rPr>
          <w:rFonts w:ascii="Times New Roman" w:eastAsia="Times New Roman" w:hAnsi="Times New Roman" w:cs="Times New Roman"/>
          <w:color w:val="000000"/>
          <w:sz w:val="27"/>
          <w:szCs w:val="27"/>
          <w:lang w:val="en-GB" w:eastAsia="en-GB"/>
        </w:rPr>
        <w:t xml:space="preserve">, R., Sugianto, R., Muhammad, Y. and da Silva Santiago, P.V., (2022). Analysis of Students' Adaptive Reasoning Ability in Solving HOTS Problems Arithmetic Sequences and Series in Terms of Learning Style. Numerical: </w:t>
      </w:r>
      <w:proofErr w:type="spellStart"/>
      <w:r w:rsidRPr="000E4667">
        <w:rPr>
          <w:rFonts w:ascii="Times New Roman" w:eastAsia="Times New Roman" w:hAnsi="Times New Roman" w:cs="Times New Roman"/>
          <w:color w:val="000000"/>
          <w:sz w:val="27"/>
          <w:szCs w:val="27"/>
          <w:lang w:val="en-GB" w:eastAsia="en-GB"/>
        </w:rPr>
        <w:t>Jurnal</w:t>
      </w:r>
      <w:proofErr w:type="spellEnd"/>
      <w:r w:rsidRPr="000E4667">
        <w:rPr>
          <w:rFonts w:ascii="Times New Roman" w:eastAsia="Times New Roman" w:hAnsi="Times New Roman" w:cs="Times New Roman"/>
          <w:color w:val="000000"/>
          <w:sz w:val="27"/>
          <w:szCs w:val="27"/>
          <w:lang w:val="en-GB" w:eastAsia="en-GB"/>
        </w:rPr>
        <w:t xml:space="preserve"> </w:t>
      </w:r>
      <w:proofErr w:type="spellStart"/>
      <w:r w:rsidRPr="000E4667">
        <w:rPr>
          <w:rFonts w:ascii="Times New Roman" w:eastAsia="Times New Roman" w:hAnsi="Times New Roman" w:cs="Times New Roman"/>
          <w:color w:val="000000"/>
          <w:sz w:val="27"/>
          <w:szCs w:val="27"/>
          <w:lang w:val="en-GB" w:eastAsia="en-GB"/>
        </w:rPr>
        <w:t>Matematika</w:t>
      </w:r>
      <w:proofErr w:type="spellEnd"/>
      <w:r w:rsidRPr="000E4667">
        <w:rPr>
          <w:rFonts w:ascii="Times New Roman" w:eastAsia="Times New Roman" w:hAnsi="Times New Roman" w:cs="Times New Roman"/>
          <w:color w:val="000000"/>
          <w:sz w:val="27"/>
          <w:szCs w:val="27"/>
          <w:lang w:val="en-GB" w:eastAsia="en-GB"/>
        </w:rPr>
        <w:t xml:space="preserve"> Dan Pendidikan </w:t>
      </w:r>
      <w:proofErr w:type="spellStart"/>
      <w:r w:rsidRPr="000E4667">
        <w:rPr>
          <w:rFonts w:ascii="Times New Roman" w:eastAsia="Times New Roman" w:hAnsi="Times New Roman" w:cs="Times New Roman"/>
          <w:color w:val="000000"/>
          <w:sz w:val="27"/>
          <w:szCs w:val="27"/>
          <w:lang w:val="en-GB" w:eastAsia="en-GB"/>
        </w:rPr>
        <w:t>Matematika</w:t>
      </w:r>
      <w:proofErr w:type="spellEnd"/>
      <w:r w:rsidRPr="000E4667">
        <w:rPr>
          <w:rFonts w:ascii="Times New Roman" w:eastAsia="Times New Roman" w:hAnsi="Times New Roman" w:cs="Times New Roman"/>
          <w:color w:val="000000"/>
          <w:sz w:val="27"/>
          <w:szCs w:val="27"/>
          <w:lang w:val="en-GB" w:eastAsia="en-GB"/>
        </w:rPr>
        <w:t>, pp.73-90.</w:t>
      </w:r>
    </w:p>
    <w:p w14:paraId="2D5C6719"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Dweck, C.S. (2017) Mindset. Updated edition. London: Robinson.</w:t>
      </w:r>
    </w:p>
    <w:p w14:paraId="4CEBFB27"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Gallagher, K. (2022) Essential study and employment skills for business and management students. Fourth edition. Oxford: Oxford University Press.</w:t>
      </w:r>
    </w:p>
    <w:p w14:paraId="140EF58A"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Karas, M., Sheen, N.J., North, R.V., Ryan, B. and Bullock, A., (2020). Continuing professional development requirements for UK health professionals: a scoping review. BMJ open, 10(3), p.e032781.</w:t>
      </w:r>
    </w:p>
    <w:p w14:paraId="1CEE77F7"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proofErr w:type="spellStart"/>
      <w:r w:rsidRPr="000E4667">
        <w:rPr>
          <w:rFonts w:ascii="Times New Roman" w:eastAsia="Times New Roman" w:hAnsi="Times New Roman" w:cs="Times New Roman"/>
          <w:color w:val="000000"/>
          <w:sz w:val="27"/>
          <w:szCs w:val="27"/>
          <w:lang w:val="en-GB" w:eastAsia="en-GB"/>
        </w:rPr>
        <w:t>Luangrungruang</w:t>
      </w:r>
      <w:proofErr w:type="spellEnd"/>
      <w:r w:rsidRPr="000E4667">
        <w:rPr>
          <w:rFonts w:ascii="Times New Roman" w:eastAsia="Times New Roman" w:hAnsi="Times New Roman" w:cs="Times New Roman"/>
          <w:color w:val="000000"/>
          <w:sz w:val="27"/>
          <w:szCs w:val="27"/>
          <w:lang w:val="en-GB" w:eastAsia="en-GB"/>
        </w:rPr>
        <w:t xml:space="preserve">, T. and </w:t>
      </w:r>
      <w:proofErr w:type="spellStart"/>
      <w:r w:rsidRPr="000E4667">
        <w:rPr>
          <w:rFonts w:ascii="Times New Roman" w:eastAsia="Times New Roman" w:hAnsi="Times New Roman" w:cs="Times New Roman"/>
          <w:color w:val="000000"/>
          <w:sz w:val="27"/>
          <w:szCs w:val="27"/>
          <w:lang w:val="en-GB" w:eastAsia="en-GB"/>
        </w:rPr>
        <w:t>Kokaew</w:t>
      </w:r>
      <w:proofErr w:type="spellEnd"/>
      <w:r w:rsidRPr="000E4667">
        <w:rPr>
          <w:rFonts w:ascii="Times New Roman" w:eastAsia="Times New Roman" w:hAnsi="Times New Roman" w:cs="Times New Roman"/>
          <w:color w:val="000000"/>
          <w:sz w:val="27"/>
          <w:szCs w:val="27"/>
          <w:lang w:val="en-GB" w:eastAsia="en-GB"/>
        </w:rPr>
        <w:t>, U., (2022). E-Learning Model to Identify the Learning Styles of Hearing-Impaired Students. Sustainability, 14(20), p.13280.</w:t>
      </w:r>
    </w:p>
    <w:p w14:paraId="037D077D"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Nordgren, K., Kristiansson, M., Liljekvist, Y. and Bergh, D., (2021). Collegial collaboration when planning and preparing lessons: A large-scale study exploring the conditions and infrastructure for teachers’ professional development. Teaching and Teacher Education, 108, p.103513.</w:t>
      </w:r>
    </w:p>
    <w:p w14:paraId="6E950832"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P.J. Robertson, T. Hooley, &amp; P. McCash (eds.) (2020) The Oxford handbook of career development / [electronic resource]. New York: Oxford University Press.</w:t>
      </w:r>
    </w:p>
    <w:p w14:paraId="6668526F" w14:textId="77777777" w:rsidR="000E4667" w:rsidRP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 xml:space="preserve">Schooley, S., (2024). What is a SWOT Analysis? (And When </w:t>
      </w:r>
      <w:proofErr w:type="gramStart"/>
      <w:r w:rsidRPr="000E4667">
        <w:rPr>
          <w:rFonts w:ascii="Times New Roman" w:eastAsia="Times New Roman" w:hAnsi="Times New Roman" w:cs="Times New Roman"/>
          <w:color w:val="000000"/>
          <w:sz w:val="27"/>
          <w:szCs w:val="27"/>
          <w:lang w:val="en-GB" w:eastAsia="en-GB"/>
        </w:rPr>
        <w:t>To</w:t>
      </w:r>
      <w:proofErr w:type="gramEnd"/>
      <w:r w:rsidRPr="000E4667">
        <w:rPr>
          <w:rFonts w:ascii="Times New Roman" w:eastAsia="Times New Roman" w:hAnsi="Times New Roman" w:cs="Times New Roman"/>
          <w:color w:val="000000"/>
          <w:sz w:val="27"/>
          <w:szCs w:val="27"/>
          <w:lang w:val="en-GB" w:eastAsia="en-GB"/>
        </w:rPr>
        <w:t xml:space="preserve"> Use It). [Online] Available at: </w:t>
      </w:r>
      <w:proofErr w:type="gramStart"/>
      <w:r w:rsidRPr="000E4667">
        <w:rPr>
          <w:rFonts w:ascii="Times New Roman" w:eastAsia="Times New Roman" w:hAnsi="Times New Roman" w:cs="Times New Roman"/>
          <w:color w:val="000000"/>
          <w:sz w:val="27"/>
          <w:szCs w:val="27"/>
          <w:lang w:val="en-GB" w:eastAsia="en-GB"/>
        </w:rPr>
        <w:t>https://www.businessnewsdaily.com/4245-swot-analysis.html[</w:t>
      </w:r>
      <w:proofErr w:type="gramEnd"/>
      <w:r w:rsidRPr="000E4667">
        <w:rPr>
          <w:rFonts w:ascii="Times New Roman" w:eastAsia="Times New Roman" w:hAnsi="Times New Roman" w:cs="Times New Roman"/>
          <w:color w:val="000000"/>
          <w:sz w:val="27"/>
          <w:szCs w:val="27"/>
          <w:lang w:val="en-GB" w:eastAsia="en-GB"/>
        </w:rPr>
        <w:t>Accessed 10 May 2024].</w:t>
      </w:r>
    </w:p>
    <w:p w14:paraId="4B2F584C" w14:textId="77777777" w:rsidR="000E4667" w:rsidRDefault="000E4667"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sidRPr="000E4667">
        <w:rPr>
          <w:rFonts w:ascii="Times New Roman" w:eastAsia="Times New Roman" w:hAnsi="Times New Roman" w:cs="Times New Roman"/>
          <w:color w:val="000000"/>
          <w:sz w:val="27"/>
          <w:szCs w:val="27"/>
          <w:lang w:val="en-GB" w:eastAsia="en-GB"/>
        </w:rPr>
        <w:t>Smale, B. (2015) How to succeed at university: an essential guide to academic skills, personal development and employability. Second edition. London: SAGE.</w:t>
      </w:r>
    </w:p>
    <w:p w14:paraId="0D00A1A0" w14:textId="77777777" w:rsidR="0020155A" w:rsidRDefault="0020155A"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p>
    <w:p w14:paraId="3767C2CC" w14:textId="77777777" w:rsidR="0020155A" w:rsidRDefault="0020155A"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p>
    <w:p w14:paraId="449E8C0B" w14:textId="77777777" w:rsidR="0020155A" w:rsidRDefault="0020155A"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p>
    <w:p w14:paraId="797EC2C3" w14:textId="77777777" w:rsidR="0020155A" w:rsidRDefault="0020155A"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p>
    <w:p w14:paraId="758D1F76" w14:textId="5A1EBC10" w:rsidR="0020155A" w:rsidRPr="000E4667" w:rsidRDefault="00805BAF" w:rsidP="000E4667">
      <w:pPr>
        <w:spacing w:before="100" w:beforeAutospacing="1" w:after="100" w:afterAutospacing="1" w:line="240" w:lineRule="auto"/>
        <w:ind w:firstLine="0"/>
        <w:rPr>
          <w:rFonts w:ascii="Times New Roman" w:eastAsia="Times New Roman" w:hAnsi="Times New Roman" w:cs="Times New Roman"/>
          <w:color w:val="000000"/>
          <w:sz w:val="27"/>
          <w:szCs w:val="27"/>
          <w:lang w:val="en-GB" w:eastAsia="en-GB"/>
        </w:rPr>
      </w:pPr>
      <w:r>
        <w:rPr>
          <w:rFonts w:ascii="Times New Roman" w:eastAsia="Times New Roman" w:hAnsi="Times New Roman" w:cs="Times New Roman"/>
          <w:color w:val="000000"/>
          <w:sz w:val="27"/>
          <w:szCs w:val="27"/>
          <w:lang w:val="en-GB" w:eastAsia="en-GB"/>
        </w:rPr>
        <w:lastRenderedPageBreak/>
        <w:t>Johari Window</w:t>
      </w:r>
    </w:p>
    <w:p w14:paraId="7DEA9873" w14:textId="01B525FC" w:rsidR="67AE9998" w:rsidRPr="00AB6698" w:rsidRDefault="0020155A" w:rsidP="3D0A9892">
      <w:pPr>
        <w:pStyle w:val="TableFigure"/>
        <w:spacing w:after="160"/>
        <w:rPr>
          <w:rFonts w:ascii="Aptos" w:eastAsia="Calibri" w:hAnsi="Aptos" w:cstheme="minorHAnsi"/>
          <w:noProof/>
          <w:color w:val="000000" w:themeColor="text2"/>
          <w:szCs w:val="22"/>
        </w:rPr>
      </w:pPr>
      <w:r w:rsidRPr="0020155A">
        <w:rPr>
          <w:rFonts w:ascii="Aptos" w:eastAsia="Calibri" w:hAnsi="Aptos" w:cstheme="minorHAnsi"/>
          <w:noProof/>
          <w:color w:val="000000" w:themeColor="text2"/>
          <w:szCs w:val="22"/>
        </w:rPr>
        <w:drawing>
          <wp:inline distT="0" distB="0" distL="0" distR="0" wp14:anchorId="691ECA19" wp14:editId="37129F7C">
            <wp:extent cx="5943600" cy="5581650"/>
            <wp:effectExtent l="0" t="0" r="0" b="0"/>
            <wp:docPr id="783630858" name="Picture 1"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630858" name="Picture 1" descr="A white paper with writing on it&#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160" t="6304" r="160" b="25286"/>
                    <a:stretch/>
                  </pic:blipFill>
                  <pic:spPr bwMode="auto">
                    <a:xfrm>
                      <a:off x="0" y="0"/>
                      <a:ext cx="5943600" cy="5581650"/>
                    </a:xfrm>
                    <a:prstGeom prst="rect">
                      <a:avLst/>
                    </a:prstGeom>
                    <a:noFill/>
                    <a:ln>
                      <a:noFill/>
                    </a:ln>
                    <a:extLst>
                      <a:ext uri="{53640926-AAD7-44D8-BBD7-CCE9431645EC}">
                        <a14:shadowObscured xmlns:a14="http://schemas.microsoft.com/office/drawing/2010/main"/>
                      </a:ext>
                    </a:extLst>
                  </pic:spPr>
                </pic:pic>
              </a:graphicData>
            </a:graphic>
          </wp:inline>
        </w:drawing>
      </w:r>
    </w:p>
    <w:sectPr w:rsidR="67AE9998" w:rsidRPr="00AB6698">
      <w:headerReference w:type="even" r:id="rId11"/>
      <w:headerReference w:type="default" r:id="rId12"/>
      <w:footerReference w:type="even" r:id="rId13"/>
      <w:footerReference w:type="default" r:id="rId14"/>
      <w:headerReference w:type="first" r:id="rId15"/>
      <w:footerReference w:type="first" r:id="rId16"/>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CA79F0" w14:textId="77777777" w:rsidR="00B16DD0" w:rsidRDefault="00B16DD0">
      <w:pPr>
        <w:spacing w:line="240" w:lineRule="auto"/>
      </w:pPr>
      <w:r>
        <w:separator/>
      </w:r>
    </w:p>
    <w:p w14:paraId="40B4A9B4" w14:textId="77777777" w:rsidR="00B16DD0" w:rsidRDefault="00B16DD0"/>
  </w:endnote>
  <w:endnote w:type="continuationSeparator" w:id="0">
    <w:p w14:paraId="2837D8B3" w14:textId="77777777" w:rsidR="00B16DD0" w:rsidRDefault="00B16DD0">
      <w:pPr>
        <w:spacing w:line="240" w:lineRule="auto"/>
      </w:pPr>
      <w:r>
        <w:continuationSeparator/>
      </w:r>
    </w:p>
    <w:p w14:paraId="0181252C" w14:textId="77777777" w:rsidR="00B16DD0" w:rsidRDefault="00B16DD0"/>
  </w:endnote>
  <w:endnote w:type="continuationNotice" w:id="1">
    <w:p w14:paraId="6D2E0CBD" w14:textId="77777777" w:rsidR="00B16DD0" w:rsidRDefault="00B16DD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377C03" w14:textId="77777777" w:rsidR="002F3AE9" w:rsidRDefault="002F3A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3A0867" w14:textId="7C3440BE" w:rsidR="0D6E5604" w:rsidRPr="002F3AE9" w:rsidRDefault="0D6E5604" w:rsidP="002F3A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5FF295" w14:textId="2EB6A54D" w:rsidR="3E192C66" w:rsidRPr="002F3AE9" w:rsidRDefault="3E192C66" w:rsidP="002F3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E4F9B1" w14:textId="77777777" w:rsidR="00B16DD0" w:rsidRDefault="00B16DD0">
      <w:pPr>
        <w:spacing w:line="240" w:lineRule="auto"/>
      </w:pPr>
      <w:r>
        <w:separator/>
      </w:r>
    </w:p>
    <w:p w14:paraId="744BC2DB" w14:textId="77777777" w:rsidR="00B16DD0" w:rsidRDefault="00B16DD0"/>
  </w:footnote>
  <w:footnote w:type="continuationSeparator" w:id="0">
    <w:p w14:paraId="40798CF8" w14:textId="77777777" w:rsidR="00B16DD0" w:rsidRDefault="00B16DD0">
      <w:pPr>
        <w:spacing w:line="240" w:lineRule="auto"/>
      </w:pPr>
      <w:r>
        <w:continuationSeparator/>
      </w:r>
    </w:p>
    <w:p w14:paraId="1221D393" w14:textId="77777777" w:rsidR="00B16DD0" w:rsidRDefault="00B16DD0"/>
  </w:footnote>
  <w:footnote w:type="continuationNotice" w:id="1">
    <w:p w14:paraId="3FAF9291" w14:textId="77777777" w:rsidR="00B16DD0" w:rsidRDefault="00B16DD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B633DF" w14:textId="77777777" w:rsidR="002F3AE9" w:rsidRDefault="002F3A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61A12B" w14:textId="1D46AAEE" w:rsidR="0D6E5604" w:rsidRPr="002F3AE9" w:rsidRDefault="0D6E5604" w:rsidP="002F3A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6E1725" w14:textId="28B77960" w:rsidR="3E192C66" w:rsidRPr="002F3AE9" w:rsidRDefault="3E192C66" w:rsidP="002F3A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num w:numId="1" w16cid:durableId="1583753049">
    <w:abstractNumId w:val="9"/>
  </w:num>
  <w:num w:numId="2" w16cid:durableId="1672021673">
    <w:abstractNumId w:val="7"/>
  </w:num>
  <w:num w:numId="3" w16cid:durableId="1661418664">
    <w:abstractNumId w:val="6"/>
  </w:num>
  <w:num w:numId="4" w16cid:durableId="28338585">
    <w:abstractNumId w:val="5"/>
  </w:num>
  <w:num w:numId="5" w16cid:durableId="10451996">
    <w:abstractNumId w:val="4"/>
  </w:num>
  <w:num w:numId="6" w16cid:durableId="1118185191">
    <w:abstractNumId w:val="8"/>
  </w:num>
  <w:num w:numId="7" w16cid:durableId="944580785">
    <w:abstractNumId w:val="3"/>
  </w:num>
  <w:num w:numId="8" w16cid:durableId="1728843970">
    <w:abstractNumId w:val="2"/>
  </w:num>
  <w:num w:numId="9" w16cid:durableId="261961369">
    <w:abstractNumId w:val="1"/>
  </w:num>
  <w:num w:numId="10" w16cid:durableId="940600249">
    <w:abstractNumId w:val="0"/>
  </w:num>
  <w:num w:numId="11" w16cid:durableId="1773084239">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defaultTableStyle w:val="APAReport"/>
  <w:characterSpacingControl w:val="doNotCompress"/>
  <w:hdrShapeDefaults>
    <o:shapedefaults v:ext="edit" spidmax="2050"/>
  </w:hdrShapeDefaults>
  <w:footnotePr>
    <w:pos w:val="beneathText"/>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C0665C1"/>
    <w:rsid w:val="000146A1"/>
    <w:rsid w:val="00023AFE"/>
    <w:rsid w:val="00040DC5"/>
    <w:rsid w:val="000822E0"/>
    <w:rsid w:val="000A3D9B"/>
    <w:rsid w:val="000D4642"/>
    <w:rsid w:val="000D539D"/>
    <w:rsid w:val="000E4667"/>
    <w:rsid w:val="00116273"/>
    <w:rsid w:val="001E54AF"/>
    <w:rsid w:val="0020155A"/>
    <w:rsid w:val="00266C6D"/>
    <w:rsid w:val="002C79E6"/>
    <w:rsid w:val="002D134E"/>
    <w:rsid w:val="002F3AE9"/>
    <w:rsid w:val="00331F0D"/>
    <w:rsid w:val="003804CC"/>
    <w:rsid w:val="00443511"/>
    <w:rsid w:val="006065B8"/>
    <w:rsid w:val="006102E2"/>
    <w:rsid w:val="00661EBB"/>
    <w:rsid w:val="00664C1A"/>
    <w:rsid w:val="00766750"/>
    <w:rsid w:val="007E3152"/>
    <w:rsid w:val="00805BAF"/>
    <w:rsid w:val="0087407D"/>
    <w:rsid w:val="00A417C1"/>
    <w:rsid w:val="00AB6698"/>
    <w:rsid w:val="00B16DD0"/>
    <w:rsid w:val="00B863FB"/>
    <w:rsid w:val="00B86440"/>
    <w:rsid w:val="00BB2D6F"/>
    <w:rsid w:val="00BC6D7E"/>
    <w:rsid w:val="00C00F8F"/>
    <w:rsid w:val="00C03068"/>
    <w:rsid w:val="00D620FD"/>
    <w:rsid w:val="00D91044"/>
    <w:rsid w:val="00DF5915"/>
    <w:rsid w:val="00E163B6"/>
    <w:rsid w:val="00E67454"/>
    <w:rsid w:val="00EF55C5"/>
    <w:rsid w:val="00F6242A"/>
    <w:rsid w:val="00F71037"/>
    <w:rsid w:val="00F76480"/>
    <w:rsid w:val="00FD0666"/>
    <w:rsid w:val="00FD09FD"/>
    <w:rsid w:val="00FF55EC"/>
    <w:rsid w:val="014CA2B6"/>
    <w:rsid w:val="0D6E5604"/>
    <w:rsid w:val="1C0665C1"/>
    <w:rsid w:val="1E84F322"/>
    <w:rsid w:val="201D26C8"/>
    <w:rsid w:val="212F006F"/>
    <w:rsid w:val="2CCDFC8D"/>
    <w:rsid w:val="3236C9DF"/>
    <w:rsid w:val="3660B96E"/>
    <w:rsid w:val="3D0A9892"/>
    <w:rsid w:val="3E192C66"/>
    <w:rsid w:val="3FD79D39"/>
    <w:rsid w:val="4A446072"/>
    <w:rsid w:val="52694629"/>
    <w:rsid w:val="52E8D6D8"/>
    <w:rsid w:val="593F41A5"/>
    <w:rsid w:val="5A1CFD60"/>
    <w:rsid w:val="5D68E123"/>
    <w:rsid w:val="6451CACF"/>
    <w:rsid w:val="67AE9998"/>
    <w:rsid w:val="689E33FC"/>
    <w:rsid w:val="68E35553"/>
    <w:rsid w:val="6A36C4BF"/>
    <w:rsid w:val="7050BCB6"/>
    <w:rsid w:val="7CCA2D81"/>
    <w:rsid w:val="7F11E2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E8D6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3FB"/>
    <w:rPr>
      <w:sz w:val="22"/>
    </w:rPr>
  </w:style>
  <w:style w:type="paragraph" w:styleId="Heading1">
    <w:name w:val="heading 1"/>
    <w:basedOn w:val="Normal"/>
    <w:next w:val="Normal"/>
    <w:link w:val="Heading1Char"/>
    <w:uiPriority w:val="3"/>
    <w:qFormat/>
    <w:rsid w:val="002C79E6"/>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3"/>
    <w:unhideWhenUsed/>
    <w:qFormat/>
    <w:rsid w:val="00C00F8F"/>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3"/>
    <w:unhideWhenUsed/>
    <w:qFormat/>
    <w:rsid w:val="00C00F8F"/>
    <w:pPr>
      <w:keepNext/>
      <w:keepLines/>
      <w:ind w:firstLine="0"/>
      <w:outlineLvl w:val="2"/>
    </w:pPr>
    <w:rPr>
      <w:rFonts w:asciiTheme="majorHAnsi" w:eastAsiaTheme="majorEastAsia" w:hAnsiTheme="majorHAnsi" w:cstheme="majorBidi"/>
      <w:b/>
      <w:bCs/>
      <w:i/>
    </w:rPr>
  </w:style>
  <w:style w:type="paragraph" w:styleId="Heading4">
    <w:name w:val="heading 4"/>
    <w:basedOn w:val="Normal"/>
    <w:next w:val="Normal"/>
    <w:link w:val="Heading4Char"/>
    <w:uiPriority w:val="3"/>
    <w:unhideWhenUsed/>
    <w:qFormat/>
    <w:rsid w:val="00664C1A"/>
    <w:pPr>
      <w:keepNext/>
      <w:keepLines/>
      <w:outlineLvl w:val="3"/>
    </w:pPr>
    <w:rPr>
      <w:rFonts w:asciiTheme="majorHAnsi" w:eastAsiaTheme="majorEastAsia" w:hAnsiTheme="majorHAnsi" w:cstheme="majorBidi"/>
      <w:b/>
      <w:bCs/>
      <w:iCs/>
    </w:rPr>
  </w:style>
  <w:style w:type="paragraph" w:styleId="Heading5">
    <w:name w:val="heading 5"/>
    <w:basedOn w:val="Normal"/>
    <w:next w:val="Normal"/>
    <w:link w:val="Heading5Char"/>
    <w:uiPriority w:val="3"/>
    <w:unhideWhenUsed/>
    <w:qFormat/>
    <w:rsid w:val="00664C1A"/>
    <w:pPr>
      <w:keepNext/>
      <w:keepLines/>
      <w:outlineLvl w:val="4"/>
    </w:pPr>
    <w:rPr>
      <w:rFonts w:asciiTheme="majorHAnsi" w:eastAsiaTheme="majorEastAsia" w:hAnsiTheme="majorHAnsi" w:cstheme="majorBidi"/>
      <w:b/>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15"/>
    <w:qFormat/>
    <w:rsid w:val="002C79E6"/>
    <w:pPr>
      <w:pageBreakBefore/>
      <w:ind w:firstLine="0"/>
      <w:jc w:val="center"/>
      <w:outlineLvl w:val="0"/>
    </w:pPr>
    <w:rPr>
      <w:rFonts w:asciiTheme="majorHAnsi" w:eastAsiaTheme="majorEastAsia" w:hAnsiTheme="majorHAnsi" w:cstheme="majorBidi"/>
      <w:b/>
      <w:color w:val="auto"/>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rsid w:val="00B863FB"/>
    <w:pPr>
      <w:ind w:firstLine="0"/>
    </w:pPr>
    <w:rPr>
      <w:sz w:val="22"/>
    </w:rPr>
  </w:style>
  <w:style w:type="character" w:customStyle="1" w:styleId="Heading1Char">
    <w:name w:val="Heading 1 Char"/>
    <w:basedOn w:val="DefaultParagraphFont"/>
    <w:link w:val="Heading1"/>
    <w:uiPriority w:val="3"/>
    <w:rsid w:val="002C79E6"/>
    <w:rPr>
      <w:rFonts w:asciiTheme="majorHAnsi" w:eastAsiaTheme="majorEastAsia" w:hAnsiTheme="majorHAnsi" w:cstheme="majorBidi"/>
      <w:b/>
      <w:bCs/>
      <w:sz w:val="22"/>
    </w:rPr>
  </w:style>
  <w:style w:type="character" w:customStyle="1" w:styleId="Heading2Char">
    <w:name w:val="Heading 2 Char"/>
    <w:basedOn w:val="DefaultParagraphFont"/>
    <w:link w:val="Heading2"/>
    <w:uiPriority w:val="3"/>
    <w:rsid w:val="00C00F8F"/>
    <w:rPr>
      <w:rFonts w:asciiTheme="majorHAnsi" w:eastAsiaTheme="majorEastAsia" w:hAnsiTheme="majorHAnsi" w:cstheme="majorBidi"/>
      <w:b/>
      <w:bCs/>
      <w:sz w:val="22"/>
    </w:rPr>
  </w:style>
  <w:style w:type="paragraph" w:styleId="Title">
    <w:name w:val="Title"/>
    <w:basedOn w:val="Normal"/>
    <w:next w:val="Normal"/>
    <w:link w:val="TitleChar"/>
    <w:uiPriority w:val="16"/>
    <w:qFormat/>
    <w:rsid w:val="00B863FB"/>
    <w:pPr>
      <w:ind w:firstLine="0"/>
      <w:contextualSpacing/>
      <w:jc w:val="center"/>
    </w:pPr>
    <w:rPr>
      <w:rFonts w:asciiTheme="majorHAnsi" w:eastAsiaTheme="majorEastAsia" w:hAnsiTheme="majorHAnsi" w:cstheme="majorBidi"/>
      <w:b/>
    </w:rPr>
  </w:style>
  <w:style w:type="character" w:customStyle="1" w:styleId="TitleChar">
    <w:name w:val="Title Char"/>
    <w:basedOn w:val="DefaultParagraphFont"/>
    <w:link w:val="Title"/>
    <w:uiPriority w:val="16"/>
    <w:rsid w:val="00B863FB"/>
    <w:rPr>
      <w:rFonts w:asciiTheme="majorHAnsi" w:eastAsiaTheme="majorEastAsia" w:hAnsiTheme="majorHAnsi" w:cstheme="majorBidi"/>
      <w:b/>
      <w:sz w:val="22"/>
    </w:rPr>
  </w:style>
  <w:style w:type="character" w:styleId="Emphasis">
    <w:name w:val="Emphasis"/>
    <w:basedOn w:val="DefaultParagraphFont"/>
    <w:uiPriority w:val="3"/>
    <w:unhideWhenUsed/>
    <w:qFormat/>
    <w:rPr>
      <w:i/>
      <w:iCs/>
    </w:rPr>
  </w:style>
  <w:style w:type="character" w:customStyle="1" w:styleId="Heading3Char">
    <w:name w:val="Heading 3 Char"/>
    <w:basedOn w:val="DefaultParagraphFont"/>
    <w:link w:val="Heading3"/>
    <w:uiPriority w:val="3"/>
    <w:rsid w:val="00C00F8F"/>
    <w:rPr>
      <w:rFonts w:asciiTheme="majorHAnsi" w:eastAsiaTheme="majorEastAsia" w:hAnsiTheme="majorHAnsi" w:cstheme="majorBidi"/>
      <w:b/>
      <w:bCs/>
      <w:i/>
      <w:sz w:val="22"/>
    </w:rPr>
  </w:style>
  <w:style w:type="character" w:customStyle="1" w:styleId="Heading4Char">
    <w:name w:val="Heading 4 Char"/>
    <w:basedOn w:val="DefaultParagraphFont"/>
    <w:link w:val="Heading4"/>
    <w:uiPriority w:val="3"/>
    <w:rsid w:val="00664C1A"/>
    <w:rPr>
      <w:rFonts w:asciiTheme="majorHAnsi" w:eastAsiaTheme="majorEastAsia" w:hAnsiTheme="majorHAnsi" w:cstheme="majorBidi"/>
      <w:b/>
      <w:bCs/>
      <w:iCs/>
      <w:sz w:val="22"/>
    </w:rPr>
  </w:style>
  <w:style w:type="character" w:customStyle="1" w:styleId="Heading5Char">
    <w:name w:val="Heading 5 Char"/>
    <w:basedOn w:val="DefaultParagraphFont"/>
    <w:link w:val="Heading5"/>
    <w:uiPriority w:val="3"/>
    <w:rsid w:val="00664C1A"/>
    <w:rPr>
      <w:rFonts w:asciiTheme="majorHAnsi" w:eastAsiaTheme="majorEastAsia" w:hAnsiTheme="majorHAnsi" w:cstheme="majorBidi"/>
      <w:b/>
      <w:i/>
      <w:iCs/>
      <w:sz w:val="22"/>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rsid w:val="000D4642"/>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qFormat/>
    <w:rsid w:val="00664C1A"/>
    <w:pPr>
      <w:ind w:left="720" w:firstLine="0"/>
    </w:pPr>
    <w:rPr>
      <w:iCs/>
      <w:color w:val="auto"/>
    </w:rPr>
  </w:style>
  <w:style w:type="character" w:customStyle="1" w:styleId="QuoteChar">
    <w:name w:val="Quote Char"/>
    <w:basedOn w:val="DefaultParagraphFont"/>
    <w:link w:val="Quote"/>
    <w:uiPriority w:val="29"/>
    <w:rsid w:val="00664C1A"/>
    <w:rPr>
      <w:iCs/>
      <w:color w:val="auto"/>
      <w:sz w:val="22"/>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rPr>
      <w:kern w:val="24"/>
    </w:rPr>
  </w:style>
  <w:style w:type="character" w:styleId="CommentReference">
    <w:name w:val="annotation reference"/>
    <w:basedOn w:val="DefaultParagraphFont"/>
    <w:uiPriority w:val="99"/>
    <w:semiHidden/>
    <w:unhideWhenUsed/>
    <w:rsid w:val="00B86440"/>
    <w:rPr>
      <w:sz w:val="16"/>
      <w:szCs w:val="16"/>
    </w:rPr>
  </w:style>
  <w:style w:type="character" w:styleId="Hyperlink">
    <w:name w:val="Hyperlink"/>
    <w:basedOn w:val="DefaultParagraphFont"/>
    <w:uiPriority w:val="99"/>
    <w:unhideWhenUsed/>
    <w:rPr>
      <w:color w:val="5F5F5F" w:themeColor="hyperlink"/>
      <w:u w:val="single"/>
    </w:rPr>
  </w:style>
  <w:style w:type="paragraph" w:styleId="Subtitle">
    <w:name w:val="Subtitle"/>
    <w:basedOn w:val="Normal"/>
    <w:next w:val="Normal"/>
    <w:link w:val="SubtitleChar"/>
    <w:uiPriority w:val="18"/>
    <w:qFormat/>
    <w:rsid w:val="00B863FB"/>
    <w:pPr>
      <w:ind w:firstLine="0"/>
      <w:jc w:val="center"/>
    </w:pPr>
    <w:rPr>
      <w:rFonts w:eastAsia="Calibri" w:cs="Calibri"/>
      <w:szCs w:val="22"/>
    </w:rPr>
  </w:style>
  <w:style w:type="character" w:customStyle="1" w:styleId="SubtitleChar">
    <w:name w:val="Subtitle Char"/>
    <w:basedOn w:val="DefaultParagraphFont"/>
    <w:link w:val="Subtitle"/>
    <w:uiPriority w:val="18"/>
    <w:rsid w:val="00B863FB"/>
    <w:rPr>
      <w:rFonts w:eastAsia="Calibri" w:cs="Calibri"/>
      <w:sz w:val="22"/>
      <w:szCs w:val="22"/>
    </w:rPr>
  </w:style>
  <w:style w:type="character" w:styleId="UnresolvedMention">
    <w:name w:val="Unresolved Mention"/>
    <w:basedOn w:val="DefaultParagraphFont"/>
    <w:uiPriority w:val="99"/>
    <w:semiHidden/>
    <w:unhideWhenUsed/>
    <w:rsid w:val="000822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0324563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211EE3-941D-48FB-AF55-C68D06FB18BA}">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1849F8D5-0D56-4D70-8E17-89486A398A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924D2F-C1BE-4F6E-B090-B751CAAF0631}">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0</TotalTime>
  <Pages>6</Pages>
  <Words>1956</Words>
  <Characters>11150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2024-05-30T21:40:00Z</dcterms:created>
  <dcterms:modified xsi:type="dcterms:W3CDTF">2024-05-30T21:55:00Z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