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798E0C" w14:textId="1D71EF01" w:rsidR="00271508" w:rsidRDefault="001A24F3" w:rsidP="00986FB5">
      <w:pPr>
        <w:pStyle w:val="Header"/>
        <w:tabs>
          <w:tab w:val="clear" w:pos="4153"/>
          <w:tab w:val="clear" w:pos="8306"/>
        </w:tabs>
        <w:jc w:val="right"/>
        <w:rPr>
          <w:rFonts w:ascii="Arial" w:hAnsi="Arial" w:cs="Arial"/>
          <w:b/>
          <w:bCs/>
          <w:sz w:val="24"/>
          <w:szCs w:val="24"/>
        </w:rPr>
      </w:pPr>
      <w:r w:rsidRPr="00A406E5">
        <w:rPr>
          <w:rFonts w:ascii="Arial" w:hAnsi="Arial" w:cs="Arial"/>
          <w:noProof/>
        </w:rPr>
        <w:drawing>
          <wp:anchor distT="0" distB="0" distL="114300" distR="114300" simplePos="0" relativeHeight="251658240" behindDoc="0" locked="0" layoutInCell="1" allowOverlap="1" wp14:anchorId="137091CC" wp14:editId="6095F14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14:paraId="21B8C9F2" w14:textId="77777777" w:rsidR="00FF2098" w:rsidRDefault="00FF2098" w:rsidP="00986FB5">
      <w:pPr>
        <w:pStyle w:val="Title"/>
      </w:pPr>
    </w:p>
    <w:p w14:paraId="22BEC3D1" w14:textId="77777777" w:rsidR="00FF2098" w:rsidRDefault="00FF2098" w:rsidP="00986FB5">
      <w:pPr>
        <w:pStyle w:val="Title"/>
      </w:pPr>
    </w:p>
    <w:p w14:paraId="1D768E84" w14:textId="77777777" w:rsidR="00FF2098" w:rsidRDefault="00FF2098" w:rsidP="00986FB5">
      <w:pPr>
        <w:pStyle w:val="Title"/>
      </w:pPr>
    </w:p>
    <w:p w14:paraId="64118F61" w14:textId="77777777" w:rsidR="00FF2098" w:rsidRDefault="00FF2098" w:rsidP="00986FB5">
      <w:pPr>
        <w:pStyle w:val="Title"/>
      </w:pPr>
    </w:p>
    <w:p w14:paraId="3CC6706E" w14:textId="4CDEB195" w:rsidR="00986FB5" w:rsidRDefault="00986FB5" w:rsidP="00B358CC">
      <w:pPr>
        <w:pStyle w:val="Title"/>
      </w:pPr>
      <w:r>
        <w:t xml:space="preserve">Module Name and Code: </w:t>
      </w:r>
      <w:r w:rsidR="00B358CC" w:rsidRPr="00B358CC">
        <w:rPr>
          <w:b w:val="0"/>
          <w:bCs/>
        </w:rPr>
        <w:t>Principles of Professional Legal Practice (BMLW4001)</w:t>
      </w:r>
    </w:p>
    <w:p w14:paraId="23D4014E" w14:textId="6AD6C1D5" w:rsidR="00986FB5" w:rsidRDefault="00986FB5" w:rsidP="00986FB5">
      <w:pPr>
        <w:pStyle w:val="Normal1"/>
        <w:jc w:val="center"/>
        <w:rPr>
          <w:rFonts w:ascii="Arial" w:hAnsi="Arial" w:cs="Arial"/>
          <w:b/>
          <w:bCs/>
          <w:sz w:val="36"/>
          <w:szCs w:val="36"/>
        </w:rPr>
      </w:pPr>
      <w:r>
        <w:rPr>
          <w:rFonts w:ascii="Arial" w:hAnsi="Arial" w:cs="Arial"/>
          <w:b/>
          <w:bCs/>
          <w:sz w:val="36"/>
          <w:szCs w:val="36"/>
        </w:rPr>
        <w:t xml:space="preserve">Lecturer’s name: </w:t>
      </w:r>
      <w:r w:rsidR="00B358CC" w:rsidRPr="00B358CC">
        <w:rPr>
          <w:rFonts w:ascii="Arial" w:hAnsi="Arial" w:cs="Arial"/>
          <w:sz w:val="36"/>
          <w:szCs w:val="36"/>
        </w:rPr>
        <w:t>James Drew</w:t>
      </w:r>
    </w:p>
    <w:p w14:paraId="1742E2E8" w14:textId="77777777" w:rsidR="00986FB5" w:rsidRDefault="00986FB5" w:rsidP="00986FB5">
      <w:pPr>
        <w:pStyle w:val="Title"/>
      </w:pPr>
      <w:bookmarkStart w:id="0" w:name="_hrab1la7g868"/>
      <w:bookmarkEnd w:id="0"/>
      <w:r>
        <w:t xml:space="preserve">Student Name: </w:t>
      </w:r>
      <w:r>
        <w:rPr>
          <w:b w:val="0"/>
          <w:bCs/>
        </w:rPr>
        <w:t>Andreea-Teodora Calin</w:t>
      </w:r>
    </w:p>
    <w:p w14:paraId="7C07A263" w14:textId="77777777" w:rsidR="00986FB5" w:rsidRDefault="00986FB5" w:rsidP="00986FB5">
      <w:pPr>
        <w:pStyle w:val="Title"/>
        <w:rPr>
          <w:b w:val="0"/>
          <w:bCs/>
        </w:rPr>
      </w:pPr>
      <w:bookmarkStart w:id="1" w:name="_16hbnnhkbeu"/>
      <w:bookmarkEnd w:id="1"/>
      <w:r>
        <w:t xml:space="preserve">Student ID: </w:t>
      </w:r>
      <w:r>
        <w:rPr>
          <w:b w:val="0"/>
          <w:bCs/>
        </w:rPr>
        <w:t>2207380</w:t>
      </w:r>
    </w:p>
    <w:p w14:paraId="2B22DE56" w14:textId="77777777" w:rsidR="00986FB5" w:rsidRPr="00894B18" w:rsidRDefault="00986FB5" w:rsidP="00986FB5">
      <w:pPr>
        <w:pStyle w:val="Header"/>
        <w:tabs>
          <w:tab w:val="clear" w:pos="4153"/>
          <w:tab w:val="clear" w:pos="8306"/>
        </w:tabs>
        <w:jc w:val="center"/>
        <w:rPr>
          <w:rFonts w:ascii="Arial" w:hAnsi="Arial" w:cs="Arial"/>
          <w:b/>
          <w:bCs/>
          <w:sz w:val="24"/>
          <w:szCs w:val="24"/>
        </w:rPr>
      </w:pPr>
    </w:p>
    <w:p w14:paraId="241987C0" w14:textId="7ADF285F" w:rsidR="00271508" w:rsidRDefault="00271508" w:rsidP="0036338C">
      <w:pPr>
        <w:rPr>
          <w:rFonts w:ascii="Arial" w:eastAsia="Arial" w:hAnsi="Arial" w:cs="Arial"/>
          <w:sz w:val="24"/>
          <w:szCs w:val="24"/>
        </w:rPr>
      </w:pPr>
    </w:p>
    <w:p w14:paraId="5E1CB55A" w14:textId="0E662CD1" w:rsidR="00EB03C0" w:rsidRDefault="00EB03C0" w:rsidP="0036338C">
      <w:pPr>
        <w:rPr>
          <w:rFonts w:ascii="Arial" w:eastAsia="Arial" w:hAnsi="Arial" w:cs="Arial"/>
          <w:sz w:val="24"/>
          <w:szCs w:val="24"/>
        </w:rPr>
      </w:pPr>
    </w:p>
    <w:p w14:paraId="00D20FB8" w14:textId="15B1A564" w:rsidR="00EB03C0" w:rsidRDefault="00EB03C0" w:rsidP="0036338C">
      <w:pPr>
        <w:rPr>
          <w:rFonts w:ascii="Arial" w:eastAsia="Arial" w:hAnsi="Arial" w:cs="Arial"/>
          <w:sz w:val="24"/>
          <w:szCs w:val="24"/>
        </w:rPr>
      </w:pPr>
    </w:p>
    <w:p w14:paraId="5B22B2DD" w14:textId="5D349CD7" w:rsidR="00EB03C0" w:rsidRDefault="00EB03C0" w:rsidP="0036338C">
      <w:pPr>
        <w:rPr>
          <w:rFonts w:ascii="Arial" w:eastAsia="Arial" w:hAnsi="Arial" w:cs="Arial"/>
          <w:sz w:val="24"/>
          <w:szCs w:val="24"/>
        </w:rPr>
      </w:pPr>
    </w:p>
    <w:p w14:paraId="4671D074" w14:textId="1EB92A81" w:rsidR="00EB03C0" w:rsidRDefault="00EB03C0" w:rsidP="0036338C">
      <w:pPr>
        <w:rPr>
          <w:rFonts w:ascii="Arial" w:eastAsia="Arial" w:hAnsi="Arial" w:cs="Arial"/>
          <w:sz w:val="24"/>
          <w:szCs w:val="24"/>
        </w:rPr>
      </w:pPr>
    </w:p>
    <w:p w14:paraId="40A06085" w14:textId="63A396FF" w:rsidR="00272254" w:rsidRDefault="00272254" w:rsidP="0036338C">
      <w:pPr>
        <w:rPr>
          <w:rFonts w:ascii="Arial" w:eastAsia="Arial" w:hAnsi="Arial" w:cs="Arial"/>
          <w:sz w:val="24"/>
          <w:szCs w:val="24"/>
        </w:rPr>
      </w:pPr>
    </w:p>
    <w:p w14:paraId="15E495D2" w14:textId="7D546351" w:rsidR="00272254" w:rsidRDefault="00272254" w:rsidP="0036338C">
      <w:pPr>
        <w:rPr>
          <w:rFonts w:ascii="Arial" w:eastAsia="Arial" w:hAnsi="Arial" w:cs="Arial"/>
          <w:sz w:val="24"/>
          <w:szCs w:val="24"/>
        </w:rPr>
      </w:pPr>
    </w:p>
    <w:p w14:paraId="297305F3" w14:textId="3CB807EE" w:rsidR="00272254" w:rsidRDefault="00272254" w:rsidP="0036338C">
      <w:pPr>
        <w:rPr>
          <w:rFonts w:ascii="Arial" w:eastAsia="Arial" w:hAnsi="Arial" w:cs="Arial"/>
          <w:sz w:val="24"/>
          <w:szCs w:val="24"/>
        </w:rPr>
      </w:pPr>
    </w:p>
    <w:p w14:paraId="7B150854" w14:textId="70ED7AAB" w:rsidR="00272254" w:rsidRDefault="00272254" w:rsidP="0036338C">
      <w:pPr>
        <w:rPr>
          <w:rFonts w:ascii="Arial" w:eastAsia="Arial" w:hAnsi="Arial" w:cs="Arial"/>
          <w:sz w:val="24"/>
          <w:szCs w:val="24"/>
        </w:rPr>
      </w:pPr>
    </w:p>
    <w:p w14:paraId="6187F193" w14:textId="374B6D31" w:rsidR="00272254" w:rsidRDefault="00272254" w:rsidP="0036338C">
      <w:pPr>
        <w:rPr>
          <w:rFonts w:ascii="Arial" w:eastAsia="Arial" w:hAnsi="Arial" w:cs="Arial"/>
          <w:sz w:val="24"/>
          <w:szCs w:val="24"/>
        </w:rPr>
      </w:pPr>
    </w:p>
    <w:p w14:paraId="63A8D401" w14:textId="5EDA1715" w:rsidR="00272254" w:rsidRDefault="00272254" w:rsidP="0036338C">
      <w:pPr>
        <w:rPr>
          <w:rFonts w:ascii="Arial" w:eastAsia="Arial" w:hAnsi="Arial" w:cs="Arial"/>
          <w:sz w:val="24"/>
          <w:szCs w:val="24"/>
        </w:rPr>
      </w:pPr>
    </w:p>
    <w:p w14:paraId="6FB46FF8" w14:textId="78387A25" w:rsidR="00272254" w:rsidRDefault="00272254" w:rsidP="0036338C">
      <w:pPr>
        <w:rPr>
          <w:rFonts w:ascii="Arial" w:eastAsia="Arial" w:hAnsi="Arial" w:cs="Arial"/>
          <w:sz w:val="24"/>
          <w:szCs w:val="24"/>
        </w:rPr>
      </w:pPr>
    </w:p>
    <w:p w14:paraId="29B2E3CA" w14:textId="4ED98A15" w:rsidR="00272254" w:rsidRDefault="00272254" w:rsidP="0036338C">
      <w:pPr>
        <w:rPr>
          <w:rFonts w:ascii="Arial" w:eastAsia="Arial" w:hAnsi="Arial" w:cs="Arial"/>
          <w:sz w:val="24"/>
          <w:szCs w:val="24"/>
        </w:rPr>
      </w:pPr>
    </w:p>
    <w:p w14:paraId="0A932F55" w14:textId="4B8B9257" w:rsidR="00272254" w:rsidRDefault="00272254" w:rsidP="0036338C">
      <w:pPr>
        <w:rPr>
          <w:rFonts w:ascii="Arial" w:eastAsia="Arial" w:hAnsi="Arial" w:cs="Arial"/>
          <w:sz w:val="24"/>
          <w:szCs w:val="24"/>
        </w:rPr>
      </w:pPr>
    </w:p>
    <w:p w14:paraId="4479F1DE" w14:textId="15409875" w:rsidR="00272254" w:rsidRDefault="00272254" w:rsidP="0036338C">
      <w:pPr>
        <w:rPr>
          <w:rFonts w:ascii="Arial" w:eastAsia="Arial" w:hAnsi="Arial" w:cs="Arial"/>
          <w:sz w:val="24"/>
          <w:szCs w:val="24"/>
        </w:rPr>
      </w:pPr>
    </w:p>
    <w:p w14:paraId="6A258CEE" w14:textId="3D9C6ACA" w:rsidR="00272254" w:rsidRDefault="00272254" w:rsidP="0036338C">
      <w:pPr>
        <w:rPr>
          <w:rFonts w:ascii="Arial" w:eastAsia="Arial" w:hAnsi="Arial" w:cs="Arial"/>
          <w:sz w:val="24"/>
          <w:szCs w:val="24"/>
        </w:rPr>
      </w:pPr>
    </w:p>
    <w:p w14:paraId="041CEC34" w14:textId="77777777" w:rsidR="00986FB5" w:rsidRDefault="00986FB5" w:rsidP="0036338C">
      <w:pPr>
        <w:rPr>
          <w:rFonts w:ascii="Arial" w:eastAsia="Arial" w:hAnsi="Arial" w:cs="Arial"/>
          <w:sz w:val="24"/>
          <w:szCs w:val="24"/>
        </w:rPr>
      </w:pPr>
    </w:p>
    <w:p w14:paraId="27C43C35" w14:textId="77777777" w:rsidR="00986FB5" w:rsidRDefault="00986FB5" w:rsidP="0036338C">
      <w:pPr>
        <w:rPr>
          <w:rFonts w:ascii="Arial" w:eastAsia="Arial" w:hAnsi="Arial" w:cs="Arial"/>
          <w:sz w:val="24"/>
          <w:szCs w:val="24"/>
        </w:rPr>
      </w:pPr>
    </w:p>
    <w:p w14:paraId="619B8DDE" w14:textId="77777777" w:rsidR="00986FB5" w:rsidRDefault="00986FB5" w:rsidP="0036338C">
      <w:pPr>
        <w:rPr>
          <w:rFonts w:ascii="Arial" w:eastAsia="Arial" w:hAnsi="Arial" w:cs="Arial"/>
          <w:sz w:val="24"/>
          <w:szCs w:val="24"/>
        </w:rPr>
      </w:pPr>
    </w:p>
    <w:p w14:paraId="0412DF9B" w14:textId="77777777" w:rsidR="00986FB5" w:rsidRDefault="00986FB5" w:rsidP="0036338C">
      <w:pPr>
        <w:rPr>
          <w:rFonts w:ascii="Arial" w:eastAsia="Arial" w:hAnsi="Arial" w:cs="Arial"/>
          <w:sz w:val="24"/>
          <w:szCs w:val="24"/>
        </w:rPr>
      </w:pPr>
    </w:p>
    <w:p w14:paraId="50F3A882" w14:textId="77777777" w:rsidR="00986FB5" w:rsidRDefault="00986FB5" w:rsidP="0036338C">
      <w:pPr>
        <w:rPr>
          <w:rFonts w:ascii="Arial" w:eastAsia="Arial" w:hAnsi="Arial" w:cs="Arial"/>
          <w:sz w:val="24"/>
          <w:szCs w:val="24"/>
        </w:rPr>
      </w:pPr>
    </w:p>
    <w:p w14:paraId="0C308D72" w14:textId="77777777" w:rsidR="00986FB5" w:rsidRDefault="00986FB5" w:rsidP="0036338C">
      <w:pPr>
        <w:rPr>
          <w:rFonts w:ascii="Arial" w:eastAsia="Arial" w:hAnsi="Arial" w:cs="Arial"/>
          <w:sz w:val="24"/>
          <w:szCs w:val="24"/>
        </w:rPr>
      </w:pPr>
    </w:p>
    <w:p w14:paraId="00975A98" w14:textId="77777777" w:rsidR="00986FB5" w:rsidRDefault="00986FB5" w:rsidP="0036338C">
      <w:pPr>
        <w:rPr>
          <w:rFonts w:ascii="Arial" w:eastAsia="Arial" w:hAnsi="Arial" w:cs="Arial"/>
          <w:sz w:val="24"/>
          <w:szCs w:val="24"/>
        </w:rPr>
      </w:pPr>
    </w:p>
    <w:p w14:paraId="155DE41D" w14:textId="4E04F2E5" w:rsidR="00EB03C0" w:rsidRDefault="00EB03C0" w:rsidP="0036338C">
      <w:pPr>
        <w:rPr>
          <w:rFonts w:ascii="Arial" w:eastAsia="Arial" w:hAnsi="Arial" w:cs="Arial"/>
          <w:sz w:val="24"/>
          <w:szCs w:val="24"/>
        </w:rPr>
      </w:pPr>
    </w:p>
    <w:p w14:paraId="71F1EE26" w14:textId="467CD09A" w:rsidR="00EB03C0" w:rsidRPr="00EB03C0" w:rsidRDefault="00EB03C0" w:rsidP="0036338C">
      <w:pPr>
        <w:spacing w:line="480" w:lineRule="auto"/>
        <w:jc w:val="both"/>
        <w:rPr>
          <w:rFonts w:ascii="Arial" w:eastAsia="Arial" w:hAnsi="Arial" w:cs="Arial"/>
          <w:sz w:val="24"/>
          <w:szCs w:val="24"/>
        </w:rPr>
      </w:pPr>
      <w:r>
        <w:rPr>
          <w:rFonts w:ascii="Arial" w:eastAsia="Arial" w:hAnsi="Arial" w:cs="Arial"/>
          <w:sz w:val="24"/>
          <w:szCs w:val="24"/>
        </w:rPr>
        <w:lastRenderedPageBreak/>
        <w:t xml:space="preserve">        </w:t>
      </w:r>
      <w:r w:rsidRPr="00EB03C0">
        <w:rPr>
          <w:rFonts w:ascii="Arial" w:eastAsia="Arial" w:hAnsi="Arial" w:cs="Arial"/>
          <w:sz w:val="24"/>
          <w:szCs w:val="24"/>
        </w:rPr>
        <w:t>Equality and diversity are crucial within the legal profession for several reasons. Firstly, the legal profession should reflect the diversity of the society it serves to ensure that all individuals have equal access to justice. This means that legal professionals from different backgrounds, races, genders, religions, and socio-economic groups should be represented within the profession.</w:t>
      </w:r>
      <w:r w:rsidR="000C68E4">
        <w:rPr>
          <w:rFonts w:ascii="Arial" w:eastAsia="Arial" w:hAnsi="Arial" w:cs="Arial"/>
          <w:sz w:val="24"/>
          <w:szCs w:val="24"/>
        </w:rPr>
        <w:t xml:space="preserve"> </w:t>
      </w:r>
      <w:r w:rsidR="00EF4E47" w:rsidRPr="00EF4E47">
        <w:rPr>
          <w:rFonts w:ascii="Arial" w:eastAsia="Arial" w:hAnsi="Arial" w:cs="Arial"/>
          <w:sz w:val="24"/>
          <w:szCs w:val="24"/>
        </w:rPr>
        <w:t>Legal professionals are expected to be impartial and objective in their work, and to avoid any bias or discrimination in their decision-making. Promoting equality and diversity within the legal profession can help ensure that legal professionals are able to carry out their duties in a fair and unbiased manner.</w:t>
      </w:r>
    </w:p>
    <w:p w14:paraId="58673A84" w14:textId="292A6FE9" w:rsidR="00EB03C0" w:rsidRPr="00EB03C0" w:rsidRDefault="00EB03C0" w:rsidP="0036338C">
      <w:pPr>
        <w:spacing w:line="480" w:lineRule="auto"/>
        <w:jc w:val="both"/>
        <w:rPr>
          <w:rFonts w:ascii="Arial" w:eastAsia="Arial" w:hAnsi="Arial" w:cs="Arial"/>
          <w:sz w:val="24"/>
          <w:szCs w:val="24"/>
        </w:rPr>
      </w:pPr>
      <w:r>
        <w:rPr>
          <w:rFonts w:ascii="Arial" w:eastAsia="Arial" w:hAnsi="Arial" w:cs="Arial"/>
          <w:sz w:val="24"/>
          <w:szCs w:val="24"/>
        </w:rPr>
        <w:t xml:space="preserve">        </w:t>
      </w:r>
      <w:r w:rsidRPr="00EB03C0">
        <w:rPr>
          <w:rFonts w:ascii="Arial" w:eastAsia="Arial" w:hAnsi="Arial" w:cs="Arial"/>
          <w:sz w:val="24"/>
          <w:szCs w:val="24"/>
        </w:rPr>
        <w:t>Secondly, diversity within the legal profession brings a range of perspectives and experiences, leading to more innovative and effective solutions to legal problems. This is because people from different backgrounds and experiences can bring fresh ideas and challenge existing ways of thinking, leading to better outcomes for clients.</w:t>
      </w:r>
      <w:r w:rsidR="00D44085">
        <w:rPr>
          <w:rFonts w:ascii="Arial" w:eastAsia="Arial" w:hAnsi="Arial" w:cs="Arial"/>
          <w:sz w:val="24"/>
          <w:szCs w:val="24"/>
        </w:rPr>
        <w:t xml:space="preserve"> </w:t>
      </w:r>
      <w:r w:rsidR="00D44085" w:rsidRPr="00D44085">
        <w:rPr>
          <w:rFonts w:ascii="Arial" w:eastAsia="Arial" w:hAnsi="Arial" w:cs="Arial"/>
          <w:sz w:val="24"/>
          <w:szCs w:val="24"/>
        </w:rPr>
        <w:t>The legal profession plays a crucial role in ensuring access to justice for all members of society, regardless of their background, identity, or social status. Promoting equality and diversity within the legal profession is essential to ensure that all individuals can access legal services and representation, without fear of discrimination or unequal treatment.</w:t>
      </w:r>
    </w:p>
    <w:p w14:paraId="0E0602EE" w14:textId="31C53B43" w:rsidR="00294C6F" w:rsidRPr="00294C6F" w:rsidRDefault="00EB03C0" w:rsidP="0036338C">
      <w:pPr>
        <w:spacing w:line="480" w:lineRule="auto"/>
        <w:jc w:val="both"/>
        <w:rPr>
          <w:rFonts w:ascii="Arial" w:eastAsia="Arial" w:hAnsi="Arial" w:cs="Arial"/>
          <w:sz w:val="24"/>
          <w:szCs w:val="24"/>
        </w:rPr>
      </w:pPr>
      <w:r>
        <w:rPr>
          <w:rFonts w:ascii="Arial" w:eastAsia="Arial" w:hAnsi="Arial" w:cs="Arial"/>
          <w:sz w:val="24"/>
          <w:szCs w:val="24"/>
        </w:rPr>
        <w:t xml:space="preserve">        </w:t>
      </w:r>
      <w:r w:rsidRPr="00EB03C0">
        <w:rPr>
          <w:rFonts w:ascii="Arial" w:eastAsia="Arial" w:hAnsi="Arial" w:cs="Arial"/>
          <w:sz w:val="24"/>
          <w:szCs w:val="24"/>
        </w:rPr>
        <w:t>Thirdly, promoting equality and diversity within the legal profession can help to build trust in the legal system. When individuals see themselves reflected in the legal profession, they are more likely to have confidence in the justice system and trust that their rights will be protected and upheld.</w:t>
      </w:r>
      <w:r w:rsidR="00074475">
        <w:rPr>
          <w:rFonts w:ascii="Arial" w:eastAsia="Arial" w:hAnsi="Arial" w:cs="Arial"/>
          <w:sz w:val="24"/>
          <w:szCs w:val="24"/>
        </w:rPr>
        <w:t xml:space="preserve"> </w:t>
      </w:r>
      <w:r w:rsidR="00074475" w:rsidRPr="000C68E4">
        <w:rPr>
          <w:rFonts w:ascii="Arial" w:eastAsia="Arial" w:hAnsi="Arial" w:cs="Arial"/>
          <w:sz w:val="24"/>
          <w:szCs w:val="24"/>
        </w:rPr>
        <w:t>A legal profession that values equality and diversity is more likely to be respected and trusted by the public. This can help build a positive reputation for the profession and encourage more diverse individuals to consider a career in law.</w:t>
      </w:r>
    </w:p>
    <w:p w14:paraId="0851C10D" w14:textId="1E8594AB" w:rsidR="00494C60" w:rsidRPr="00494C60" w:rsidRDefault="00EB03C0" w:rsidP="0036338C">
      <w:pPr>
        <w:spacing w:line="480" w:lineRule="auto"/>
        <w:jc w:val="both"/>
        <w:rPr>
          <w:rFonts w:ascii="Arial" w:eastAsia="Arial" w:hAnsi="Arial" w:cs="Arial"/>
          <w:sz w:val="24"/>
          <w:szCs w:val="24"/>
        </w:rPr>
      </w:pPr>
      <w:r>
        <w:rPr>
          <w:rFonts w:ascii="Arial" w:eastAsia="Arial" w:hAnsi="Arial" w:cs="Arial"/>
          <w:sz w:val="24"/>
          <w:szCs w:val="24"/>
        </w:rPr>
        <w:lastRenderedPageBreak/>
        <w:t xml:space="preserve">        </w:t>
      </w:r>
      <w:r w:rsidRPr="00EB03C0">
        <w:rPr>
          <w:rFonts w:ascii="Arial" w:eastAsia="Arial" w:hAnsi="Arial" w:cs="Arial"/>
          <w:sz w:val="24"/>
          <w:szCs w:val="24"/>
        </w:rPr>
        <w:t>Lastly, promoting equality and diversity within the legal profession is not only the right thing to do, but it is also a legal requirement. The Equality Act 2010 imposes a duty on all employers, including law firms, to promote equality and diversity in the workplace.</w:t>
      </w:r>
      <w:r w:rsidR="00494C60">
        <w:rPr>
          <w:rFonts w:ascii="Arial" w:eastAsia="Arial" w:hAnsi="Arial" w:cs="Arial"/>
          <w:sz w:val="24"/>
          <w:szCs w:val="24"/>
        </w:rPr>
        <w:t xml:space="preserve"> </w:t>
      </w:r>
      <w:r w:rsidR="00494C60" w:rsidRPr="00494C60">
        <w:rPr>
          <w:rFonts w:ascii="Arial" w:eastAsia="Arial" w:hAnsi="Arial" w:cs="Arial"/>
          <w:sz w:val="24"/>
          <w:szCs w:val="24"/>
        </w:rPr>
        <w:t>Equality Act 2010 and the SRA Code of Conduct (2019) are both important frameworks that promote equality and diversity in the legal profession in the UK.</w:t>
      </w:r>
    </w:p>
    <w:p w14:paraId="7CAA44DD" w14:textId="21FC75F9" w:rsidR="00494C60" w:rsidRPr="00494C60" w:rsidRDefault="0041131E" w:rsidP="0036338C">
      <w:pPr>
        <w:spacing w:line="480" w:lineRule="auto"/>
        <w:jc w:val="both"/>
        <w:rPr>
          <w:rFonts w:ascii="Arial" w:eastAsia="Arial" w:hAnsi="Arial" w:cs="Arial"/>
          <w:sz w:val="24"/>
          <w:szCs w:val="24"/>
        </w:rPr>
      </w:pPr>
      <w:r>
        <w:rPr>
          <w:rFonts w:ascii="Arial" w:eastAsia="Arial" w:hAnsi="Arial" w:cs="Arial"/>
          <w:sz w:val="24"/>
          <w:szCs w:val="24"/>
        </w:rPr>
        <w:t xml:space="preserve">        </w:t>
      </w:r>
      <w:r w:rsidR="00494C60" w:rsidRPr="00494C60">
        <w:rPr>
          <w:rFonts w:ascii="Arial" w:eastAsia="Arial" w:hAnsi="Arial" w:cs="Arial"/>
          <w:sz w:val="24"/>
          <w:szCs w:val="24"/>
        </w:rPr>
        <w:t>The Equality Act 2010 provides a legal framework for preventing discrimination against individuals based on their protected characteristics, such as age, disability, gender reassignment, marriage and civil partnership, pregnancy and maternity, race, religion or belief, sex, and sexual orientation. The Act applies to all areas of life, including employment, education, and the provision of goods and services.</w:t>
      </w:r>
    </w:p>
    <w:p w14:paraId="06C52390" w14:textId="30E48573" w:rsidR="00EB03C0" w:rsidRDefault="00F434AA" w:rsidP="0077183E">
      <w:pPr>
        <w:spacing w:line="480" w:lineRule="auto"/>
        <w:jc w:val="both"/>
        <w:rPr>
          <w:rFonts w:ascii="Arial" w:eastAsia="Arial" w:hAnsi="Arial" w:cs="Arial"/>
          <w:sz w:val="24"/>
          <w:szCs w:val="24"/>
        </w:rPr>
      </w:pPr>
      <w:r>
        <w:rPr>
          <w:rFonts w:ascii="Arial" w:eastAsia="Arial" w:hAnsi="Arial" w:cs="Arial"/>
          <w:sz w:val="24"/>
          <w:szCs w:val="24"/>
        </w:rPr>
        <w:t xml:space="preserve">        </w:t>
      </w:r>
      <w:r w:rsidR="00494C60" w:rsidRPr="00494C60">
        <w:rPr>
          <w:rFonts w:ascii="Arial" w:eastAsia="Arial" w:hAnsi="Arial" w:cs="Arial"/>
          <w:sz w:val="24"/>
          <w:szCs w:val="24"/>
        </w:rPr>
        <w:t xml:space="preserve">The SRA Code of Conduct (2019) is a set of ethical principles and professional standards that govern the conduct of solicitors and law firms in England and Wales. The Code includes </w:t>
      </w:r>
      <w:proofErr w:type="gramStart"/>
      <w:r w:rsidR="00494C60" w:rsidRPr="00494C60">
        <w:rPr>
          <w:rFonts w:ascii="Arial" w:eastAsia="Arial" w:hAnsi="Arial" w:cs="Arial"/>
          <w:sz w:val="24"/>
          <w:szCs w:val="24"/>
        </w:rPr>
        <w:t>a number of</w:t>
      </w:r>
      <w:proofErr w:type="gramEnd"/>
      <w:r w:rsidR="00494C60" w:rsidRPr="00494C60">
        <w:rPr>
          <w:rFonts w:ascii="Arial" w:eastAsia="Arial" w:hAnsi="Arial" w:cs="Arial"/>
          <w:sz w:val="24"/>
          <w:szCs w:val="24"/>
        </w:rPr>
        <w:t xml:space="preserve"> provisions related to equality and diversity, such as the obligation to promote equality of opportunity and to avoid discrimination, harassment, or victimization of clients, colleagues, and third parties.</w:t>
      </w:r>
      <w:r w:rsidR="00B55F32">
        <w:rPr>
          <w:rFonts w:ascii="Arial" w:eastAsia="Arial" w:hAnsi="Arial" w:cs="Arial"/>
          <w:sz w:val="24"/>
          <w:szCs w:val="24"/>
        </w:rPr>
        <w:t xml:space="preserve"> </w:t>
      </w:r>
      <w:r w:rsidR="00494C60" w:rsidRPr="00494C60">
        <w:rPr>
          <w:rFonts w:ascii="Arial" w:eastAsia="Arial" w:hAnsi="Arial" w:cs="Arial"/>
          <w:sz w:val="24"/>
          <w:szCs w:val="24"/>
        </w:rPr>
        <w:t>In particular, the Code requires solicitors and law firms to:</w:t>
      </w:r>
      <w:r w:rsidR="0087653A">
        <w:rPr>
          <w:rFonts w:ascii="Arial" w:eastAsia="Arial" w:hAnsi="Arial" w:cs="Arial"/>
          <w:sz w:val="24"/>
          <w:szCs w:val="24"/>
        </w:rPr>
        <w:t xml:space="preserve"> a</w:t>
      </w:r>
      <w:r w:rsidR="00494C60" w:rsidRPr="00494C60">
        <w:rPr>
          <w:rFonts w:ascii="Arial" w:eastAsia="Arial" w:hAnsi="Arial" w:cs="Arial"/>
          <w:sz w:val="24"/>
          <w:szCs w:val="24"/>
        </w:rPr>
        <w:t>ct with integrity and uphold the rule of law, which includes complying with anti-discrimination and equal opportunities legislation</w:t>
      </w:r>
      <w:r w:rsidR="0087653A">
        <w:rPr>
          <w:rFonts w:ascii="Arial" w:eastAsia="Arial" w:hAnsi="Arial" w:cs="Arial"/>
          <w:sz w:val="24"/>
          <w:szCs w:val="24"/>
        </w:rPr>
        <w:t>, e</w:t>
      </w:r>
      <w:r w:rsidR="00494C60" w:rsidRPr="00494C60">
        <w:rPr>
          <w:rFonts w:ascii="Arial" w:eastAsia="Arial" w:hAnsi="Arial" w:cs="Arial"/>
          <w:sz w:val="24"/>
          <w:szCs w:val="24"/>
        </w:rPr>
        <w:t>ncourage equality of opportunity and respect for diversity in the workplace and in dealings with clients and third parties</w:t>
      </w:r>
      <w:r w:rsidR="0087653A">
        <w:rPr>
          <w:rFonts w:ascii="Arial" w:eastAsia="Arial" w:hAnsi="Arial" w:cs="Arial"/>
          <w:sz w:val="24"/>
          <w:szCs w:val="24"/>
        </w:rPr>
        <w:t>, n</w:t>
      </w:r>
      <w:r w:rsidR="00494C60" w:rsidRPr="00494C60">
        <w:rPr>
          <w:rFonts w:ascii="Arial" w:eastAsia="Arial" w:hAnsi="Arial" w:cs="Arial"/>
          <w:sz w:val="24"/>
          <w:szCs w:val="24"/>
        </w:rPr>
        <w:t>ot discriminate against, harass, or victimize anyone on the basis of their protected characteristics</w:t>
      </w:r>
      <w:r w:rsidR="0087653A">
        <w:rPr>
          <w:rFonts w:ascii="Arial" w:eastAsia="Arial" w:hAnsi="Arial" w:cs="Arial"/>
          <w:sz w:val="24"/>
          <w:szCs w:val="24"/>
        </w:rPr>
        <w:t>, t</w:t>
      </w:r>
      <w:r w:rsidR="00494C60" w:rsidRPr="00494C60">
        <w:rPr>
          <w:rFonts w:ascii="Arial" w:eastAsia="Arial" w:hAnsi="Arial" w:cs="Arial"/>
          <w:sz w:val="24"/>
          <w:szCs w:val="24"/>
        </w:rPr>
        <w:t>ake steps to identify and remove any barriers to equality and diversity in the workplace or in the provision of legal services</w:t>
      </w:r>
      <w:r w:rsidR="0087653A">
        <w:rPr>
          <w:rFonts w:ascii="Arial" w:eastAsia="Arial" w:hAnsi="Arial" w:cs="Arial"/>
          <w:sz w:val="24"/>
          <w:szCs w:val="24"/>
        </w:rPr>
        <w:t>, e</w:t>
      </w:r>
      <w:r w:rsidR="00494C60" w:rsidRPr="00494C60">
        <w:rPr>
          <w:rFonts w:ascii="Arial" w:eastAsia="Arial" w:hAnsi="Arial" w:cs="Arial"/>
          <w:sz w:val="24"/>
          <w:szCs w:val="24"/>
        </w:rPr>
        <w:t>nsure that all staff receive appropriate training on equality and diversity issues.</w:t>
      </w:r>
      <w:r w:rsidR="003700C9">
        <w:rPr>
          <w:rFonts w:ascii="Arial" w:eastAsia="Arial" w:hAnsi="Arial" w:cs="Arial"/>
          <w:sz w:val="24"/>
          <w:szCs w:val="24"/>
        </w:rPr>
        <w:t xml:space="preserve"> </w:t>
      </w:r>
      <w:r w:rsidR="00494C60" w:rsidRPr="00494C60">
        <w:rPr>
          <w:rFonts w:ascii="Arial" w:eastAsia="Arial" w:hAnsi="Arial" w:cs="Arial"/>
          <w:sz w:val="24"/>
          <w:szCs w:val="24"/>
        </w:rPr>
        <w:t>The SRA can take disciplinary action against solicitors and law firms who fail to comply with the Code, including sanctions such as fines, reprimands, and suspension or revocation of practicing certificates.</w:t>
      </w:r>
      <w:r w:rsidR="00494C60">
        <w:rPr>
          <w:rFonts w:ascii="Arial" w:eastAsia="Arial" w:hAnsi="Arial" w:cs="Arial"/>
          <w:sz w:val="24"/>
          <w:szCs w:val="24"/>
        </w:rPr>
        <w:t xml:space="preserve"> </w:t>
      </w:r>
      <w:r w:rsidR="00494C60" w:rsidRPr="00494C60">
        <w:rPr>
          <w:rFonts w:ascii="Arial" w:eastAsia="Arial" w:hAnsi="Arial" w:cs="Arial"/>
          <w:sz w:val="24"/>
          <w:szCs w:val="24"/>
        </w:rPr>
        <w:t xml:space="preserve">Overall, the Equality Act 2010 and </w:t>
      </w:r>
      <w:r w:rsidR="00494C60" w:rsidRPr="00494C60">
        <w:rPr>
          <w:rFonts w:ascii="Arial" w:eastAsia="Arial" w:hAnsi="Arial" w:cs="Arial"/>
          <w:sz w:val="24"/>
          <w:szCs w:val="24"/>
        </w:rPr>
        <w:lastRenderedPageBreak/>
        <w:t>the SRA Code of Conduct (2019) are both important tools for promoting equality and diversity in the legal profession and ensuring that solicitors and law firms uphold the highest standards of ethical and professional conduct.</w:t>
      </w:r>
    </w:p>
    <w:p w14:paraId="49040F22" w14:textId="44CBBB7C" w:rsidR="00BA489F" w:rsidRPr="00BA489F" w:rsidRDefault="00BA489F" w:rsidP="001078B5">
      <w:pPr>
        <w:spacing w:line="480" w:lineRule="auto"/>
        <w:jc w:val="both"/>
        <w:rPr>
          <w:rFonts w:ascii="Arial" w:eastAsia="Arial" w:hAnsi="Arial" w:cs="Arial"/>
          <w:sz w:val="24"/>
          <w:szCs w:val="24"/>
        </w:rPr>
      </w:pPr>
      <w:r>
        <w:rPr>
          <w:rFonts w:ascii="Arial" w:eastAsia="Arial" w:hAnsi="Arial" w:cs="Arial"/>
          <w:sz w:val="24"/>
          <w:szCs w:val="24"/>
        </w:rPr>
        <w:t xml:space="preserve">        </w:t>
      </w:r>
      <w:r w:rsidRPr="00BA489F">
        <w:rPr>
          <w:rFonts w:ascii="Arial" w:eastAsia="Arial" w:hAnsi="Arial" w:cs="Arial"/>
          <w:sz w:val="24"/>
          <w:szCs w:val="24"/>
        </w:rPr>
        <w:t>The Law Commission has published several reports that highlight the importance of equality and diversity in the legal profession. Here are some examples</w:t>
      </w:r>
      <w:r w:rsidR="00727DE9">
        <w:rPr>
          <w:rFonts w:ascii="Arial" w:eastAsia="Arial" w:hAnsi="Arial" w:cs="Arial"/>
          <w:sz w:val="24"/>
          <w:szCs w:val="24"/>
        </w:rPr>
        <w:t>.</w:t>
      </w:r>
      <w:r w:rsidR="00A8196F">
        <w:rPr>
          <w:rFonts w:ascii="Arial" w:eastAsia="Arial" w:hAnsi="Arial" w:cs="Arial"/>
          <w:sz w:val="24"/>
          <w:szCs w:val="24"/>
        </w:rPr>
        <w:t xml:space="preserve"> </w:t>
      </w:r>
      <w:r w:rsidRPr="00BA489F">
        <w:rPr>
          <w:rFonts w:ascii="Arial" w:eastAsia="Arial" w:hAnsi="Arial" w:cs="Arial"/>
          <w:sz w:val="24"/>
          <w:szCs w:val="24"/>
        </w:rPr>
        <w:t>Review of the Framework of Employment Law (201</w:t>
      </w:r>
      <w:r w:rsidR="00E42B72">
        <w:rPr>
          <w:rFonts w:ascii="Arial" w:eastAsia="Arial" w:hAnsi="Arial" w:cs="Arial"/>
          <w:sz w:val="24"/>
          <w:szCs w:val="24"/>
        </w:rPr>
        <w:t>7</w:t>
      </w:r>
      <w:r w:rsidRPr="00BA489F">
        <w:rPr>
          <w:rFonts w:ascii="Arial" w:eastAsia="Arial" w:hAnsi="Arial" w:cs="Arial"/>
          <w:sz w:val="24"/>
          <w:szCs w:val="24"/>
        </w:rPr>
        <w:t xml:space="preserve">) </w:t>
      </w:r>
      <w:r w:rsidR="00727DE9">
        <w:rPr>
          <w:rFonts w:ascii="Arial" w:eastAsia="Arial" w:hAnsi="Arial" w:cs="Arial"/>
          <w:sz w:val="24"/>
          <w:szCs w:val="24"/>
        </w:rPr>
        <w:t xml:space="preserve">report </w:t>
      </w:r>
      <w:r w:rsidRPr="00BA489F">
        <w:rPr>
          <w:rFonts w:ascii="Arial" w:eastAsia="Arial" w:hAnsi="Arial" w:cs="Arial"/>
          <w:sz w:val="24"/>
          <w:szCs w:val="24"/>
        </w:rPr>
        <w:t xml:space="preserve">addresses the need for employment law to ensure equality and diversity in the workplace. It discusses the importance of eliminating discrimination in the recruitment and retention of employees, ensuring fair </w:t>
      </w:r>
      <w:proofErr w:type="gramStart"/>
      <w:r w:rsidRPr="00BA489F">
        <w:rPr>
          <w:rFonts w:ascii="Arial" w:eastAsia="Arial" w:hAnsi="Arial" w:cs="Arial"/>
          <w:sz w:val="24"/>
          <w:szCs w:val="24"/>
        </w:rPr>
        <w:t>pay</w:t>
      </w:r>
      <w:proofErr w:type="gramEnd"/>
      <w:r w:rsidRPr="00BA489F">
        <w:rPr>
          <w:rFonts w:ascii="Arial" w:eastAsia="Arial" w:hAnsi="Arial" w:cs="Arial"/>
          <w:sz w:val="24"/>
          <w:szCs w:val="24"/>
        </w:rPr>
        <w:t xml:space="preserve"> and working conditions, and promoting diversity and inclusion.</w:t>
      </w:r>
      <w:r w:rsidR="00BB335B">
        <w:rPr>
          <w:rFonts w:ascii="Arial" w:eastAsia="Arial" w:hAnsi="Arial" w:cs="Arial"/>
          <w:sz w:val="24"/>
          <w:szCs w:val="24"/>
        </w:rPr>
        <w:t xml:space="preserve"> </w:t>
      </w:r>
      <w:r w:rsidRPr="00BA489F">
        <w:rPr>
          <w:rFonts w:ascii="Arial" w:eastAsia="Arial" w:hAnsi="Arial" w:cs="Arial"/>
          <w:sz w:val="24"/>
          <w:szCs w:val="24"/>
        </w:rPr>
        <w:t xml:space="preserve">Review of Hate Crime Legislation (2014) report examines the existing hate crime legislation in the UK and makes recommendations for improving its effectiveness. It emphasizes the importance of protecting vulnerable groups from hate crime and </w:t>
      </w:r>
      <w:r w:rsidR="00BB335B" w:rsidRPr="00BA489F">
        <w:rPr>
          <w:rFonts w:ascii="Arial" w:eastAsia="Arial" w:hAnsi="Arial" w:cs="Arial"/>
          <w:sz w:val="24"/>
          <w:szCs w:val="24"/>
        </w:rPr>
        <w:t>discrimination and</w:t>
      </w:r>
      <w:r w:rsidRPr="00BA489F">
        <w:rPr>
          <w:rFonts w:ascii="Arial" w:eastAsia="Arial" w:hAnsi="Arial" w:cs="Arial"/>
          <w:sz w:val="24"/>
          <w:szCs w:val="24"/>
        </w:rPr>
        <w:t xml:space="preserve"> highlights the need for a clear and consistent legal framework to address these issues.</w:t>
      </w:r>
      <w:r w:rsidR="00BB335B">
        <w:rPr>
          <w:rFonts w:ascii="Arial" w:eastAsia="Arial" w:hAnsi="Arial" w:cs="Arial"/>
          <w:sz w:val="24"/>
          <w:szCs w:val="24"/>
        </w:rPr>
        <w:t xml:space="preserve"> </w:t>
      </w:r>
      <w:r w:rsidRPr="00BA489F">
        <w:rPr>
          <w:rFonts w:ascii="Arial" w:eastAsia="Arial" w:hAnsi="Arial" w:cs="Arial"/>
          <w:sz w:val="24"/>
          <w:szCs w:val="24"/>
        </w:rPr>
        <w:t>The Equality Act 2010: the Public Sector Equality Duty (2013) report discusses the Public Sector Equality Duty (PSED), which requires public authorities to consider the impact of their policies and practices on different groups of people. The report highlights the importance of the PSED in promoting equality and diversity in public services and ensuring that they meet the needs of all members of society.</w:t>
      </w:r>
      <w:r w:rsidR="00BB335B">
        <w:rPr>
          <w:rFonts w:ascii="Arial" w:eastAsia="Arial" w:hAnsi="Arial" w:cs="Arial"/>
          <w:sz w:val="24"/>
          <w:szCs w:val="24"/>
        </w:rPr>
        <w:t xml:space="preserve"> </w:t>
      </w:r>
      <w:r w:rsidRPr="00BA489F">
        <w:rPr>
          <w:rFonts w:ascii="Arial" w:eastAsia="Arial" w:hAnsi="Arial" w:cs="Arial"/>
          <w:sz w:val="24"/>
          <w:szCs w:val="24"/>
        </w:rPr>
        <w:t>Making Rights a Reality</w:t>
      </w:r>
      <w:r w:rsidR="001078B5">
        <w:rPr>
          <w:rFonts w:ascii="Arial" w:eastAsia="Arial" w:hAnsi="Arial" w:cs="Arial"/>
          <w:sz w:val="24"/>
          <w:szCs w:val="24"/>
        </w:rPr>
        <w:t>,</w:t>
      </w:r>
      <w:r w:rsidRPr="00BA489F">
        <w:rPr>
          <w:rFonts w:ascii="Arial" w:eastAsia="Arial" w:hAnsi="Arial" w:cs="Arial"/>
          <w:sz w:val="24"/>
          <w:szCs w:val="24"/>
        </w:rPr>
        <w:t xml:space="preserve"> Reform of the European Court of Human Rights (2013) focuses on the role of the European Court of Human Rights in protecting human rights in Europe. It emphasizes the importance of ensuring that the Court's procedures are accessible to all, regardless of their background or circumstances, and that the Court </w:t>
      </w:r>
      <w:proofErr w:type="gramStart"/>
      <w:r w:rsidRPr="00BA489F">
        <w:rPr>
          <w:rFonts w:ascii="Arial" w:eastAsia="Arial" w:hAnsi="Arial" w:cs="Arial"/>
          <w:sz w:val="24"/>
          <w:szCs w:val="24"/>
        </w:rPr>
        <w:t>is able to</w:t>
      </w:r>
      <w:proofErr w:type="gramEnd"/>
      <w:r w:rsidRPr="00BA489F">
        <w:rPr>
          <w:rFonts w:ascii="Arial" w:eastAsia="Arial" w:hAnsi="Arial" w:cs="Arial"/>
          <w:sz w:val="24"/>
          <w:szCs w:val="24"/>
        </w:rPr>
        <w:t xml:space="preserve"> address the diverse range of human rights issues that arise in different contexts.</w:t>
      </w:r>
    </w:p>
    <w:p w14:paraId="666A31E3" w14:textId="2A5A95B6" w:rsidR="00BA489F" w:rsidRDefault="00BB335B" w:rsidP="0036338C">
      <w:pPr>
        <w:spacing w:line="480" w:lineRule="auto"/>
        <w:jc w:val="both"/>
        <w:rPr>
          <w:rFonts w:ascii="Arial" w:eastAsia="Arial" w:hAnsi="Arial" w:cs="Arial"/>
          <w:sz w:val="24"/>
          <w:szCs w:val="24"/>
        </w:rPr>
      </w:pPr>
      <w:r>
        <w:rPr>
          <w:rFonts w:ascii="Arial" w:eastAsia="Arial" w:hAnsi="Arial" w:cs="Arial"/>
          <w:sz w:val="24"/>
          <w:szCs w:val="24"/>
        </w:rPr>
        <w:t xml:space="preserve">        </w:t>
      </w:r>
      <w:r w:rsidR="00BA489F" w:rsidRPr="00BA489F">
        <w:rPr>
          <w:rFonts w:ascii="Arial" w:eastAsia="Arial" w:hAnsi="Arial" w:cs="Arial"/>
          <w:sz w:val="24"/>
          <w:szCs w:val="24"/>
        </w:rPr>
        <w:t xml:space="preserve">These reports, among others published by the Law Commission, demonstrate the importance of promoting equality and diversity in the legal profession and in society </w:t>
      </w:r>
      <w:r w:rsidR="00BA489F" w:rsidRPr="00BA489F">
        <w:rPr>
          <w:rFonts w:ascii="Arial" w:eastAsia="Arial" w:hAnsi="Arial" w:cs="Arial"/>
          <w:sz w:val="24"/>
          <w:szCs w:val="24"/>
        </w:rPr>
        <w:lastRenderedPageBreak/>
        <w:t xml:space="preserve">more broadly. They highlight the need for legal frameworks that are inclusive and protect the rights of all members of </w:t>
      </w:r>
      <w:r w:rsidRPr="00BA489F">
        <w:rPr>
          <w:rFonts w:ascii="Arial" w:eastAsia="Arial" w:hAnsi="Arial" w:cs="Arial"/>
          <w:sz w:val="24"/>
          <w:szCs w:val="24"/>
        </w:rPr>
        <w:t>society and</w:t>
      </w:r>
      <w:r w:rsidR="00BA489F" w:rsidRPr="00BA489F">
        <w:rPr>
          <w:rFonts w:ascii="Arial" w:eastAsia="Arial" w:hAnsi="Arial" w:cs="Arial"/>
          <w:sz w:val="24"/>
          <w:szCs w:val="24"/>
        </w:rPr>
        <w:t xml:space="preserve"> call for action to address discrimination and inequality wherever it exists.</w:t>
      </w:r>
    </w:p>
    <w:p w14:paraId="702E31BE" w14:textId="503BEB43" w:rsidR="00756DCC" w:rsidRDefault="00756DCC" w:rsidP="0036338C">
      <w:pPr>
        <w:spacing w:line="480" w:lineRule="auto"/>
        <w:jc w:val="both"/>
        <w:rPr>
          <w:rFonts w:ascii="Arial" w:eastAsia="Arial" w:hAnsi="Arial" w:cs="Arial"/>
          <w:sz w:val="24"/>
          <w:szCs w:val="24"/>
        </w:rPr>
      </w:pPr>
      <w:r>
        <w:rPr>
          <w:rFonts w:ascii="Arial" w:eastAsia="Arial" w:hAnsi="Arial" w:cs="Arial"/>
          <w:sz w:val="24"/>
          <w:szCs w:val="24"/>
        </w:rPr>
        <w:t xml:space="preserve">        </w:t>
      </w:r>
      <w:r w:rsidRPr="00294C6F">
        <w:rPr>
          <w:rFonts w:ascii="Arial" w:eastAsia="Arial" w:hAnsi="Arial" w:cs="Arial"/>
          <w:sz w:val="24"/>
          <w:szCs w:val="24"/>
        </w:rPr>
        <w:t xml:space="preserve">One example of a landmark case in the UK </w:t>
      </w:r>
      <w:proofErr w:type="gramStart"/>
      <w:r w:rsidRPr="00294C6F">
        <w:rPr>
          <w:rFonts w:ascii="Arial" w:eastAsia="Arial" w:hAnsi="Arial" w:cs="Arial"/>
          <w:sz w:val="24"/>
          <w:szCs w:val="24"/>
        </w:rPr>
        <w:t>in the area of</w:t>
      </w:r>
      <w:proofErr w:type="gramEnd"/>
      <w:r w:rsidRPr="00294C6F">
        <w:rPr>
          <w:rFonts w:ascii="Arial" w:eastAsia="Arial" w:hAnsi="Arial" w:cs="Arial"/>
          <w:sz w:val="24"/>
          <w:szCs w:val="24"/>
        </w:rPr>
        <w:t xml:space="preserve"> equality and diversity is the case of </w:t>
      </w:r>
      <w:r w:rsidR="004D29D9">
        <w:rPr>
          <w:rFonts w:ascii="Arial" w:eastAsia="Arial" w:hAnsi="Arial" w:cs="Arial"/>
          <w:sz w:val="24"/>
          <w:szCs w:val="24"/>
        </w:rPr>
        <w:t>Stacey Macken v BNP Paribas</w:t>
      </w:r>
      <w:r w:rsidR="001D6C49">
        <w:rPr>
          <w:rFonts w:ascii="Arial" w:eastAsia="Arial" w:hAnsi="Arial" w:cs="Arial"/>
          <w:sz w:val="24"/>
          <w:szCs w:val="24"/>
        </w:rPr>
        <w:t xml:space="preserve"> (2017)</w:t>
      </w:r>
      <w:r w:rsidRPr="00294C6F">
        <w:rPr>
          <w:rFonts w:ascii="Arial" w:eastAsia="Arial" w:hAnsi="Arial" w:cs="Arial"/>
          <w:sz w:val="24"/>
          <w:szCs w:val="24"/>
        </w:rPr>
        <w:t xml:space="preserve">, which deals with </w:t>
      </w:r>
      <w:r w:rsidR="004D29D9">
        <w:rPr>
          <w:rFonts w:ascii="Arial" w:eastAsia="Arial" w:hAnsi="Arial" w:cs="Arial"/>
          <w:sz w:val="24"/>
          <w:szCs w:val="24"/>
        </w:rPr>
        <w:t xml:space="preserve">sex </w:t>
      </w:r>
      <w:r w:rsidRPr="00294C6F">
        <w:rPr>
          <w:rFonts w:ascii="Arial" w:eastAsia="Arial" w:hAnsi="Arial" w:cs="Arial"/>
          <w:sz w:val="24"/>
          <w:szCs w:val="24"/>
        </w:rPr>
        <w:t>discrimination</w:t>
      </w:r>
      <w:r w:rsidR="004611F3">
        <w:rPr>
          <w:rFonts w:ascii="Arial" w:eastAsia="Arial" w:hAnsi="Arial" w:cs="Arial"/>
          <w:sz w:val="24"/>
          <w:szCs w:val="24"/>
        </w:rPr>
        <w:t xml:space="preserve"> and equal pay</w:t>
      </w:r>
      <w:r w:rsidRPr="00294C6F">
        <w:rPr>
          <w:rFonts w:ascii="Arial" w:eastAsia="Arial" w:hAnsi="Arial" w:cs="Arial"/>
          <w:sz w:val="24"/>
          <w:szCs w:val="24"/>
        </w:rPr>
        <w:t xml:space="preserve"> in the workplace.</w:t>
      </w:r>
      <w:r>
        <w:rPr>
          <w:rFonts w:ascii="Arial" w:eastAsia="Arial" w:hAnsi="Arial" w:cs="Arial"/>
          <w:sz w:val="24"/>
          <w:szCs w:val="24"/>
        </w:rPr>
        <w:t xml:space="preserve"> </w:t>
      </w:r>
      <w:r w:rsidRPr="00294C6F">
        <w:rPr>
          <w:rFonts w:ascii="Arial" w:eastAsia="Arial" w:hAnsi="Arial" w:cs="Arial"/>
          <w:sz w:val="24"/>
          <w:szCs w:val="24"/>
        </w:rPr>
        <w:t xml:space="preserve">In this case, </w:t>
      </w:r>
      <w:r w:rsidR="00087050" w:rsidRPr="00087050">
        <w:rPr>
          <w:rFonts w:ascii="Arial" w:eastAsia="Arial" w:hAnsi="Arial" w:cs="Arial"/>
          <w:sz w:val="24"/>
          <w:szCs w:val="24"/>
        </w:rPr>
        <w:t>many scandalous details have been widely published, such as inebriated male colleagues leaving a witch's hat on Ms Macken's desk, a manager informing her about his friend's sexual role play with his wife, and a boss's frequent use of the phrase "not now, Stacey."</w:t>
      </w:r>
      <w:r w:rsidR="00424B97">
        <w:rPr>
          <w:rFonts w:ascii="Arial" w:eastAsia="Arial" w:hAnsi="Arial" w:cs="Arial"/>
          <w:sz w:val="24"/>
          <w:szCs w:val="24"/>
        </w:rPr>
        <w:t xml:space="preserve"> </w:t>
      </w:r>
      <w:r w:rsidR="00424B97" w:rsidRPr="00424B97">
        <w:rPr>
          <w:rFonts w:ascii="Arial" w:eastAsia="Arial" w:hAnsi="Arial" w:cs="Arial"/>
          <w:sz w:val="24"/>
          <w:szCs w:val="24"/>
        </w:rPr>
        <w:t xml:space="preserve">According to reports, she was given almost £2 million for her accusations of sex discrimination and equal pay - reputedly one of the highest awards ever made by a British </w:t>
      </w:r>
      <w:r w:rsidR="00D21314" w:rsidRPr="00424B97">
        <w:rPr>
          <w:rFonts w:ascii="Arial" w:eastAsia="Arial" w:hAnsi="Arial" w:cs="Arial"/>
          <w:sz w:val="24"/>
          <w:szCs w:val="24"/>
        </w:rPr>
        <w:t>Tribunal.</w:t>
      </w:r>
      <w:r w:rsidR="00D21314" w:rsidRPr="00255D1C">
        <w:rPr>
          <w:rFonts w:ascii="Arial" w:eastAsia="Arial" w:hAnsi="Arial" w:cs="Arial"/>
          <w:sz w:val="24"/>
          <w:szCs w:val="24"/>
        </w:rPr>
        <w:t xml:space="preserve"> The</w:t>
      </w:r>
      <w:r w:rsidR="00255D1C" w:rsidRPr="00255D1C">
        <w:rPr>
          <w:rFonts w:ascii="Arial" w:eastAsia="Arial" w:hAnsi="Arial" w:cs="Arial"/>
          <w:sz w:val="24"/>
          <w:szCs w:val="24"/>
        </w:rPr>
        <w:t xml:space="preserve"> case shows that employers must take steps to ensure that their policies and practices do not discriminate against employees based on their gender or equal pay.</w:t>
      </w:r>
      <w:r w:rsidRPr="00294C6F">
        <w:rPr>
          <w:rFonts w:ascii="Arial" w:eastAsia="Arial" w:hAnsi="Arial" w:cs="Arial"/>
          <w:sz w:val="24"/>
          <w:szCs w:val="24"/>
        </w:rPr>
        <w:t xml:space="preserve"> The case also emphasizes the need for employers to consider alternative ways of achieving their legitimate aims without discriminating against their employees.</w:t>
      </w:r>
      <w:r w:rsidR="00D844E3">
        <w:rPr>
          <w:rFonts w:ascii="Arial" w:eastAsia="Arial" w:hAnsi="Arial" w:cs="Arial"/>
          <w:sz w:val="24"/>
          <w:szCs w:val="24"/>
        </w:rPr>
        <w:t xml:space="preserve"> </w:t>
      </w:r>
      <w:r w:rsidR="00D844E3" w:rsidRPr="00D844E3">
        <w:rPr>
          <w:rFonts w:ascii="Arial" w:eastAsia="Arial" w:hAnsi="Arial" w:cs="Arial"/>
          <w:sz w:val="24"/>
          <w:szCs w:val="24"/>
        </w:rPr>
        <w:t>It also demonstrates that tribunals are willing to take a tough stance against employers that enable discriminatory behaviour to continue unabated in the workplace</w:t>
      </w:r>
      <w:r w:rsidR="001139B6">
        <w:rPr>
          <w:rFonts w:ascii="Arial" w:eastAsia="Arial" w:hAnsi="Arial" w:cs="Arial"/>
          <w:sz w:val="24"/>
          <w:szCs w:val="24"/>
        </w:rPr>
        <w:t xml:space="preserve"> and</w:t>
      </w:r>
      <w:r w:rsidR="001139B6" w:rsidRPr="001139B6">
        <w:rPr>
          <w:rFonts w:ascii="Arial" w:eastAsia="Arial" w:hAnsi="Arial" w:cs="Arial"/>
          <w:sz w:val="24"/>
          <w:szCs w:val="24"/>
        </w:rPr>
        <w:t xml:space="preserve"> received significant media attention and was seen as an important victory for women's rights and the fight against workplace discrimination.</w:t>
      </w:r>
    </w:p>
    <w:p w14:paraId="609BB8CD" w14:textId="329C976C" w:rsidR="003C18C0" w:rsidRPr="00EB03C0" w:rsidRDefault="003C18C0" w:rsidP="008A21A6">
      <w:pPr>
        <w:spacing w:line="480" w:lineRule="auto"/>
        <w:jc w:val="both"/>
        <w:rPr>
          <w:rFonts w:ascii="Arial" w:eastAsia="Arial" w:hAnsi="Arial" w:cs="Arial"/>
          <w:sz w:val="24"/>
          <w:szCs w:val="24"/>
        </w:rPr>
      </w:pPr>
      <w:r>
        <w:rPr>
          <w:rFonts w:ascii="Arial" w:eastAsia="Arial" w:hAnsi="Arial" w:cs="Arial"/>
          <w:sz w:val="24"/>
          <w:szCs w:val="24"/>
        </w:rPr>
        <w:t xml:space="preserve">        </w:t>
      </w:r>
      <w:r w:rsidR="00636B64" w:rsidRPr="003C18C0">
        <w:rPr>
          <w:rFonts w:ascii="Arial" w:eastAsia="Arial" w:hAnsi="Arial" w:cs="Arial"/>
          <w:sz w:val="24"/>
          <w:szCs w:val="24"/>
        </w:rPr>
        <w:t>Another</w:t>
      </w:r>
      <w:r w:rsidRPr="003C18C0">
        <w:rPr>
          <w:rFonts w:ascii="Arial" w:eastAsia="Arial" w:hAnsi="Arial" w:cs="Arial"/>
          <w:sz w:val="24"/>
          <w:szCs w:val="24"/>
        </w:rPr>
        <w:t xml:space="preserve"> landmark case in the UK </w:t>
      </w:r>
      <w:proofErr w:type="gramStart"/>
      <w:r w:rsidRPr="003C18C0">
        <w:rPr>
          <w:rFonts w:ascii="Arial" w:eastAsia="Arial" w:hAnsi="Arial" w:cs="Arial"/>
          <w:sz w:val="24"/>
          <w:szCs w:val="24"/>
        </w:rPr>
        <w:t>in the area of</w:t>
      </w:r>
      <w:proofErr w:type="gramEnd"/>
      <w:r w:rsidRPr="003C18C0">
        <w:rPr>
          <w:rFonts w:ascii="Arial" w:eastAsia="Arial" w:hAnsi="Arial" w:cs="Arial"/>
          <w:sz w:val="24"/>
          <w:szCs w:val="24"/>
        </w:rPr>
        <w:t xml:space="preserve"> equality and diversity is the case of R (on the application of UNISON) v Lord Chancellor (2017).</w:t>
      </w:r>
      <w:r w:rsidR="00E53540">
        <w:rPr>
          <w:rFonts w:ascii="Arial" w:eastAsia="Arial" w:hAnsi="Arial" w:cs="Arial"/>
          <w:sz w:val="24"/>
          <w:szCs w:val="24"/>
        </w:rPr>
        <w:t xml:space="preserve"> </w:t>
      </w:r>
      <w:r w:rsidRPr="003C18C0">
        <w:rPr>
          <w:rFonts w:ascii="Arial" w:eastAsia="Arial" w:hAnsi="Arial" w:cs="Arial"/>
          <w:sz w:val="24"/>
          <w:szCs w:val="24"/>
        </w:rPr>
        <w:t>In this case, the UK's highest court, the Supreme Court, ruled that the introduction of employment tribunal fees in 2013 was unlawful because it prevented access to justice and disproportionately impacted women and other protected groups who were less able to afford the fees.</w:t>
      </w:r>
      <w:r w:rsidR="00E53540">
        <w:rPr>
          <w:rFonts w:ascii="Arial" w:eastAsia="Arial" w:hAnsi="Arial" w:cs="Arial"/>
          <w:sz w:val="24"/>
          <w:szCs w:val="24"/>
        </w:rPr>
        <w:t xml:space="preserve"> </w:t>
      </w:r>
      <w:r w:rsidRPr="003C18C0">
        <w:rPr>
          <w:rFonts w:ascii="Arial" w:eastAsia="Arial" w:hAnsi="Arial" w:cs="Arial"/>
          <w:sz w:val="24"/>
          <w:szCs w:val="24"/>
        </w:rPr>
        <w:t xml:space="preserve">The case was brought by UNISON, a trade union representing public </w:t>
      </w:r>
      <w:r w:rsidRPr="003C18C0">
        <w:rPr>
          <w:rFonts w:ascii="Arial" w:eastAsia="Arial" w:hAnsi="Arial" w:cs="Arial"/>
          <w:sz w:val="24"/>
          <w:szCs w:val="24"/>
        </w:rPr>
        <w:lastRenderedPageBreak/>
        <w:t xml:space="preserve">sector workers, who argued that the fees of up to £1,200 per case were a barrier to justice and resulted in a significant reduction in the number of claims being brought, particularly in cases involving discrimination, </w:t>
      </w:r>
      <w:proofErr w:type="gramStart"/>
      <w:r w:rsidRPr="003C18C0">
        <w:rPr>
          <w:rFonts w:ascii="Arial" w:eastAsia="Arial" w:hAnsi="Arial" w:cs="Arial"/>
          <w:sz w:val="24"/>
          <w:szCs w:val="24"/>
        </w:rPr>
        <w:t>harassment</w:t>
      </w:r>
      <w:proofErr w:type="gramEnd"/>
      <w:r w:rsidRPr="003C18C0">
        <w:rPr>
          <w:rFonts w:ascii="Arial" w:eastAsia="Arial" w:hAnsi="Arial" w:cs="Arial"/>
          <w:sz w:val="24"/>
          <w:szCs w:val="24"/>
        </w:rPr>
        <w:t xml:space="preserve"> and other forms of unequal treatment.</w:t>
      </w:r>
      <w:r w:rsidR="00E614E1">
        <w:rPr>
          <w:rFonts w:ascii="Arial" w:eastAsia="Arial" w:hAnsi="Arial" w:cs="Arial"/>
          <w:sz w:val="24"/>
          <w:szCs w:val="24"/>
        </w:rPr>
        <w:t xml:space="preserve"> </w:t>
      </w:r>
      <w:r w:rsidRPr="003C18C0">
        <w:rPr>
          <w:rFonts w:ascii="Arial" w:eastAsia="Arial" w:hAnsi="Arial" w:cs="Arial"/>
          <w:sz w:val="24"/>
          <w:szCs w:val="24"/>
        </w:rPr>
        <w:t>The Supreme Court agreed with UNISON, stating that the fees were a "constitutional" issue as they hindered access to justice, which is a fundamental principle of the rule of law. The court also found that the fees indirectly discriminated against women and other protected groups, who were more likely to be on lower incomes and less able to afford the fees.</w:t>
      </w:r>
      <w:r w:rsidR="008A21A6">
        <w:rPr>
          <w:rFonts w:ascii="Arial" w:eastAsia="Arial" w:hAnsi="Arial" w:cs="Arial"/>
          <w:sz w:val="24"/>
          <w:szCs w:val="24"/>
        </w:rPr>
        <w:t xml:space="preserve"> </w:t>
      </w:r>
      <w:r w:rsidRPr="003C18C0">
        <w:rPr>
          <w:rFonts w:ascii="Arial" w:eastAsia="Arial" w:hAnsi="Arial" w:cs="Arial"/>
          <w:sz w:val="24"/>
          <w:szCs w:val="24"/>
        </w:rPr>
        <w:t>The ruling led to the immediate abolition of employment tribunal fees and was widely seen as a victory for equality and access to justice.</w:t>
      </w:r>
      <w:r>
        <w:rPr>
          <w:rFonts w:ascii="Arial" w:eastAsia="Arial" w:hAnsi="Arial" w:cs="Arial"/>
          <w:sz w:val="24"/>
          <w:szCs w:val="24"/>
        </w:rPr>
        <w:t xml:space="preserve"> </w:t>
      </w:r>
      <w:r w:rsidRPr="003C18C0">
        <w:rPr>
          <w:rFonts w:ascii="Arial" w:eastAsia="Arial" w:hAnsi="Arial" w:cs="Arial"/>
          <w:sz w:val="24"/>
          <w:szCs w:val="24"/>
        </w:rPr>
        <w:t>The case of UNISON v Lord Chancellor (2017) is considered a landmark case in the UK because it demonstrated the importance of upholding the principles of equality and access to justice, even in the face of government policies and regulations that may have a discriminatory impact. It also highlighted the need for legal protection against discrimination and unequal treatment, particularly for vulnerable and marginalized groups.</w:t>
      </w:r>
    </w:p>
    <w:p w14:paraId="2C608094" w14:textId="16A26B11" w:rsidR="005471DC" w:rsidRDefault="00EB03C0" w:rsidP="0036338C">
      <w:pPr>
        <w:spacing w:line="480" w:lineRule="auto"/>
        <w:jc w:val="both"/>
        <w:rPr>
          <w:rFonts w:ascii="Arial" w:eastAsia="Arial" w:hAnsi="Arial" w:cs="Arial"/>
          <w:sz w:val="24"/>
          <w:szCs w:val="24"/>
        </w:rPr>
      </w:pPr>
      <w:r>
        <w:rPr>
          <w:rFonts w:ascii="Arial" w:eastAsia="Arial" w:hAnsi="Arial" w:cs="Arial"/>
          <w:sz w:val="24"/>
          <w:szCs w:val="24"/>
        </w:rPr>
        <w:t xml:space="preserve">        </w:t>
      </w:r>
      <w:r w:rsidRPr="00EB03C0">
        <w:rPr>
          <w:rFonts w:ascii="Arial" w:eastAsia="Arial" w:hAnsi="Arial" w:cs="Arial"/>
          <w:sz w:val="24"/>
          <w:szCs w:val="24"/>
        </w:rPr>
        <w:t>In summary, equality and diversity are essential within the legal profession to ensure that the profession represents the communities it serves, provides better legal solutions, builds trust in the legal system, and meets legal obligations.</w:t>
      </w:r>
      <w:r w:rsidR="00E1149B">
        <w:rPr>
          <w:rFonts w:ascii="Arial" w:eastAsia="Arial" w:hAnsi="Arial" w:cs="Arial"/>
          <w:sz w:val="24"/>
          <w:szCs w:val="24"/>
        </w:rPr>
        <w:t xml:space="preserve"> </w:t>
      </w:r>
      <w:r w:rsidR="00E1149B" w:rsidRPr="00E1149B">
        <w:rPr>
          <w:rFonts w:ascii="Arial" w:eastAsia="Arial" w:hAnsi="Arial" w:cs="Arial"/>
          <w:sz w:val="24"/>
          <w:szCs w:val="24"/>
        </w:rPr>
        <w:t xml:space="preserve">Also, promoting equality and diversity within the legal profession is important to ensure access to justice, effective representation, respect for the law, impartiality, a positive </w:t>
      </w:r>
      <w:proofErr w:type="gramStart"/>
      <w:r w:rsidR="00E1149B" w:rsidRPr="00E1149B">
        <w:rPr>
          <w:rFonts w:ascii="Arial" w:eastAsia="Arial" w:hAnsi="Arial" w:cs="Arial"/>
          <w:sz w:val="24"/>
          <w:szCs w:val="24"/>
        </w:rPr>
        <w:t>reputation</w:t>
      </w:r>
      <w:proofErr w:type="gramEnd"/>
      <w:r w:rsidR="00E1149B" w:rsidRPr="00E1149B">
        <w:rPr>
          <w:rFonts w:ascii="Arial" w:eastAsia="Arial" w:hAnsi="Arial" w:cs="Arial"/>
          <w:sz w:val="24"/>
          <w:szCs w:val="24"/>
        </w:rPr>
        <w:t xml:space="preserve"> and wider social responsibility.</w:t>
      </w:r>
      <w:r w:rsidR="00484E7B">
        <w:rPr>
          <w:rFonts w:ascii="Arial" w:eastAsia="Arial" w:hAnsi="Arial" w:cs="Arial"/>
          <w:sz w:val="24"/>
          <w:szCs w:val="24"/>
        </w:rPr>
        <w:t xml:space="preserve"> </w:t>
      </w:r>
      <w:r w:rsidR="00484E7B" w:rsidRPr="00484E7B">
        <w:rPr>
          <w:rFonts w:ascii="Arial" w:eastAsia="Arial" w:hAnsi="Arial" w:cs="Arial"/>
          <w:sz w:val="24"/>
          <w:szCs w:val="24"/>
        </w:rPr>
        <w:t xml:space="preserve">This means that legal firms and organisations should strive to promote equality and diversity in their recruitment and employment </w:t>
      </w:r>
      <w:r w:rsidR="00155E2B" w:rsidRPr="00484E7B">
        <w:rPr>
          <w:rFonts w:ascii="Arial" w:eastAsia="Arial" w:hAnsi="Arial" w:cs="Arial"/>
          <w:sz w:val="24"/>
          <w:szCs w:val="24"/>
        </w:rPr>
        <w:t>practices and</w:t>
      </w:r>
      <w:r w:rsidR="00484E7B" w:rsidRPr="00484E7B">
        <w:rPr>
          <w:rFonts w:ascii="Arial" w:eastAsia="Arial" w:hAnsi="Arial" w:cs="Arial"/>
          <w:sz w:val="24"/>
          <w:szCs w:val="24"/>
        </w:rPr>
        <w:t xml:space="preserve"> provide an inclusive and supportive workplace culture.</w:t>
      </w:r>
    </w:p>
    <w:p w14:paraId="21164F73" w14:textId="014E0431" w:rsidR="00845F15" w:rsidRDefault="00041636" w:rsidP="006C6E67">
      <w:pPr>
        <w:spacing w:line="480" w:lineRule="auto"/>
        <w:jc w:val="both"/>
        <w:rPr>
          <w:rFonts w:ascii="Arial" w:eastAsia="Arial" w:hAnsi="Arial" w:cs="Arial"/>
          <w:b/>
          <w:bCs/>
          <w:sz w:val="24"/>
          <w:szCs w:val="24"/>
        </w:rPr>
      </w:pPr>
      <w:r>
        <w:rPr>
          <w:rFonts w:ascii="Arial" w:eastAsia="Arial" w:hAnsi="Arial" w:cs="Arial"/>
          <w:b/>
          <w:bCs/>
          <w:sz w:val="24"/>
          <w:szCs w:val="24"/>
        </w:rPr>
        <w:t>Sources</w:t>
      </w:r>
    </w:p>
    <w:p w14:paraId="1897E0A7" w14:textId="254BDDB6" w:rsidR="00D23753" w:rsidRDefault="00D23753" w:rsidP="0030113A">
      <w:pPr>
        <w:spacing w:line="360" w:lineRule="auto"/>
        <w:jc w:val="both"/>
        <w:rPr>
          <w:rFonts w:ascii="Arial" w:eastAsia="Arial" w:hAnsi="Arial" w:cs="Arial"/>
          <w:color w:val="000000" w:themeColor="text1"/>
          <w:sz w:val="24"/>
          <w:szCs w:val="24"/>
        </w:rPr>
      </w:pPr>
      <w:proofErr w:type="spellStart"/>
      <w:r w:rsidRPr="009F12EF">
        <w:rPr>
          <w:rFonts w:ascii="Arial" w:eastAsia="Arial" w:hAnsi="Arial" w:cs="Arial"/>
          <w:color w:val="000000" w:themeColor="text1"/>
          <w:sz w:val="24"/>
          <w:szCs w:val="24"/>
        </w:rPr>
        <w:t>Ashiagbor</w:t>
      </w:r>
      <w:proofErr w:type="spellEnd"/>
      <w:r w:rsidRPr="009F12EF">
        <w:rPr>
          <w:rFonts w:ascii="Arial" w:eastAsia="Arial" w:hAnsi="Arial" w:cs="Arial"/>
          <w:color w:val="000000" w:themeColor="text1"/>
          <w:sz w:val="24"/>
          <w:szCs w:val="24"/>
        </w:rPr>
        <w:t xml:space="preserve">, D. and </w:t>
      </w:r>
      <w:proofErr w:type="spellStart"/>
      <w:r w:rsidRPr="009F12EF">
        <w:rPr>
          <w:rFonts w:ascii="Arial" w:eastAsia="Arial" w:hAnsi="Arial" w:cs="Arial"/>
          <w:color w:val="000000" w:themeColor="text1"/>
          <w:sz w:val="24"/>
          <w:szCs w:val="24"/>
        </w:rPr>
        <w:t>Guth</w:t>
      </w:r>
      <w:proofErr w:type="spellEnd"/>
      <w:r w:rsidRPr="009F12EF">
        <w:rPr>
          <w:rFonts w:ascii="Arial" w:eastAsia="Arial" w:hAnsi="Arial" w:cs="Arial"/>
          <w:color w:val="000000" w:themeColor="text1"/>
          <w:sz w:val="24"/>
          <w:szCs w:val="24"/>
        </w:rPr>
        <w:t>, J</w:t>
      </w:r>
      <w:r w:rsidRPr="009F12EF">
        <w:rPr>
          <w:rFonts w:ascii="Arial" w:eastAsia="Arial" w:hAnsi="Arial" w:cs="Arial"/>
          <w:i/>
          <w:iCs/>
          <w:color w:val="000000" w:themeColor="text1"/>
          <w:sz w:val="24"/>
          <w:szCs w:val="24"/>
        </w:rPr>
        <w:t xml:space="preserve">. </w:t>
      </w:r>
      <w:r w:rsidRPr="009F12EF">
        <w:rPr>
          <w:rFonts w:ascii="Arial" w:eastAsia="Arial" w:hAnsi="Arial" w:cs="Arial"/>
          <w:color w:val="000000" w:themeColor="text1"/>
          <w:sz w:val="24"/>
          <w:szCs w:val="24"/>
        </w:rPr>
        <w:t>(2012)</w:t>
      </w:r>
      <w:r w:rsidRPr="009F12EF">
        <w:rPr>
          <w:rFonts w:ascii="Arial" w:eastAsia="Arial" w:hAnsi="Arial" w:cs="Arial"/>
          <w:i/>
          <w:iCs/>
          <w:color w:val="000000" w:themeColor="text1"/>
          <w:sz w:val="24"/>
          <w:szCs w:val="24"/>
        </w:rPr>
        <w:t xml:space="preserve"> Equality and Diversity in the Legal Professio</w:t>
      </w:r>
      <w:r w:rsidRPr="009F12EF">
        <w:rPr>
          <w:rFonts w:ascii="Arial" w:eastAsia="Arial" w:hAnsi="Arial" w:cs="Arial"/>
          <w:color w:val="000000" w:themeColor="text1"/>
          <w:sz w:val="24"/>
          <w:szCs w:val="24"/>
        </w:rPr>
        <w:t>n. United Kingdom: Hart Publishing.</w:t>
      </w:r>
    </w:p>
    <w:p w14:paraId="75F52A0F" w14:textId="354E5176" w:rsidR="00B75FDC" w:rsidRPr="009F12EF" w:rsidRDefault="00B75FDC" w:rsidP="0030113A">
      <w:pPr>
        <w:spacing w:line="360" w:lineRule="auto"/>
        <w:jc w:val="both"/>
        <w:rPr>
          <w:rFonts w:ascii="Arial" w:eastAsia="Arial" w:hAnsi="Arial" w:cs="Arial"/>
          <w:color w:val="000000" w:themeColor="text1"/>
          <w:sz w:val="24"/>
          <w:szCs w:val="24"/>
        </w:rPr>
      </w:pPr>
      <w:r w:rsidRPr="009F12EF">
        <w:rPr>
          <w:rFonts w:ascii="Arial" w:eastAsia="Arial" w:hAnsi="Arial" w:cs="Arial"/>
          <w:color w:val="000000" w:themeColor="text1"/>
          <w:sz w:val="24"/>
          <w:szCs w:val="24"/>
        </w:rPr>
        <w:lastRenderedPageBreak/>
        <w:t xml:space="preserve">Allen, A. and </w:t>
      </w:r>
      <w:proofErr w:type="spellStart"/>
      <w:r w:rsidRPr="009F12EF">
        <w:rPr>
          <w:rFonts w:ascii="Arial" w:eastAsia="Arial" w:hAnsi="Arial" w:cs="Arial"/>
          <w:color w:val="000000" w:themeColor="text1"/>
          <w:sz w:val="24"/>
          <w:szCs w:val="24"/>
        </w:rPr>
        <w:t>Crasnow</w:t>
      </w:r>
      <w:proofErr w:type="spellEnd"/>
      <w:r w:rsidRPr="009F12EF">
        <w:rPr>
          <w:rFonts w:ascii="Arial" w:eastAsia="Arial" w:hAnsi="Arial" w:cs="Arial"/>
          <w:color w:val="000000" w:themeColor="text1"/>
          <w:sz w:val="24"/>
          <w:szCs w:val="24"/>
        </w:rPr>
        <w:t xml:space="preserve">, R. and McCann, C. (2012) </w:t>
      </w:r>
      <w:r w:rsidRPr="009F12EF">
        <w:rPr>
          <w:rFonts w:ascii="Arial" w:eastAsia="Arial" w:hAnsi="Arial" w:cs="Arial"/>
          <w:i/>
          <w:iCs/>
          <w:color w:val="000000" w:themeColor="text1"/>
          <w:sz w:val="24"/>
          <w:szCs w:val="24"/>
        </w:rPr>
        <w:t>The Equality Act 2010 and the Legal Profession</w:t>
      </w:r>
      <w:r w:rsidRPr="009F12EF">
        <w:rPr>
          <w:rFonts w:ascii="Arial" w:eastAsia="Arial" w:hAnsi="Arial" w:cs="Arial"/>
          <w:color w:val="000000" w:themeColor="text1"/>
          <w:sz w:val="24"/>
          <w:szCs w:val="24"/>
        </w:rPr>
        <w:t>. United Kingdom: Oxford University Press.</w:t>
      </w:r>
    </w:p>
    <w:p w14:paraId="29539588" w14:textId="77777777" w:rsidR="00B75FDC" w:rsidRPr="009F12EF" w:rsidRDefault="00B75FDC" w:rsidP="0030113A">
      <w:pPr>
        <w:spacing w:line="360" w:lineRule="auto"/>
        <w:jc w:val="both"/>
        <w:rPr>
          <w:rFonts w:ascii="Arial" w:hAnsi="Arial" w:cs="Arial"/>
          <w:color w:val="000000" w:themeColor="text1"/>
          <w:sz w:val="24"/>
          <w:szCs w:val="24"/>
        </w:rPr>
      </w:pPr>
      <w:r w:rsidRPr="009F12EF">
        <w:rPr>
          <w:rFonts w:ascii="Arial" w:eastAsia="Arial" w:hAnsi="Arial" w:cs="Arial"/>
          <w:color w:val="000000" w:themeColor="text1"/>
          <w:sz w:val="24"/>
          <w:szCs w:val="24"/>
        </w:rPr>
        <w:t>Bar Standards Board (2023) </w:t>
      </w:r>
      <w:r w:rsidRPr="009F12EF">
        <w:rPr>
          <w:rFonts w:ascii="Arial" w:eastAsia="Arial" w:hAnsi="Arial" w:cs="Arial"/>
          <w:i/>
          <w:iCs/>
          <w:color w:val="000000" w:themeColor="text1"/>
          <w:sz w:val="24"/>
          <w:szCs w:val="24"/>
        </w:rPr>
        <w:t>Equality and diversity rules. </w:t>
      </w:r>
      <w:r w:rsidRPr="009F12EF">
        <w:rPr>
          <w:rFonts w:ascii="Arial" w:hAnsi="Arial" w:cs="Arial"/>
          <w:color w:val="000000" w:themeColor="text1"/>
          <w:sz w:val="24"/>
          <w:szCs w:val="24"/>
        </w:rPr>
        <w:t>Available </w:t>
      </w:r>
      <w:proofErr w:type="gramStart"/>
      <w:r w:rsidRPr="009F12EF">
        <w:rPr>
          <w:rFonts w:ascii="Arial" w:hAnsi="Arial" w:cs="Arial"/>
          <w:color w:val="000000" w:themeColor="text1"/>
          <w:sz w:val="24"/>
          <w:szCs w:val="24"/>
        </w:rPr>
        <w:t>at:https://www.barstandardsboard.org.uk/for-barristers/compliance-with-your-obligations/equality-and-diversity-rules.html</w:t>
      </w:r>
      <w:proofErr w:type="gramEnd"/>
      <w:r w:rsidRPr="009F12EF">
        <w:rPr>
          <w:rFonts w:ascii="Arial" w:eastAsia="Arial" w:hAnsi="Arial" w:cs="Arial"/>
          <w:color w:val="000000" w:themeColor="text1"/>
          <w:sz w:val="24"/>
          <w:szCs w:val="24"/>
        </w:rPr>
        <w:t xml:space="preserve"> </w:t>
      </w:r>
      <w:r w:rsidRPr="009F12EF">
        <w:rPr>
          <w:rFonts w:ascii="Arial" w:hAnsi="Arial" w:cs="Arial"/>
          <w:color w:val="000000" w:themeColor="text1"/>
          <w:sz w:val="24"/>
          <w:szCs w:val="24"/>
        </w:rPr>
        <w:t>(Accessed at: 21 April 2023).</w:t>
      </w:r>
    </w:p>
    <w:p w14:paraId="04230F6A" w14:textId="77777777" w:rsidR="00B75FDC" w:rsidRPr="009F12EF" w:rsidRDefault="00B75FDC" w:rsidP="0030113A">
      <w:pPr>
        <w:spacing w:line="360" w:lineRule="auto"/>
        <w:jc w:val="both"/>
        <w:rPr>
          <w:rFonts w:ascii="Arial" w:hAnsi="Arial" w:cs="Arial"/>
          <w:color w:val="000000" w:themeColor="text1"/>
          <w:sz w:val="24"/>
          <w:szCs w:val="24"/>
        </w:rPr>
      </w:pPr>
      <w:r w:rsidRPr="009F12EF">
        <w:rPr>
          <w:rFonts w:ascii="Arial" w:eastAsia="Arial" w:hAnsi="Arial" w:cs="Arial"/>
          <w:color w:val="000000" w:themeColor="text1"/>
          <w:sz w:val="24"/>
          <w:szCs w:val="24"/>
        </w:rPr>
        <w:t>Bar Standards Board (2023) </w:t>
      </w:r>
      <w:r w:rsidRPr="009F12EF">
        <w:rPr>
          <w:rFonts w:ascii="Arial" w:eastAsia="Arial" w:hAnsi="Arial" w:cs="Arial"/>
          <w:i/>
          <w:iCs/>
          <w:color w:val="000000" w:themeColor="text1"/>
          <w:sz w:val="24"/>
          <w:szCs w:val="24"/>
        </w:rPr>
        <w:t>Transparency rules. </w:t>
      </w:r>
      <w:r w:rsidRPr="009F12EF">
        <w:rPr>
          <w:rFonts w:ascii="Arial" w:hAnsi="Arial" w:cs="Arial"/>
          <w:color w:val="000000" w:themeColor="text1"/>
          <w:sz w:val="24"/>
          <w:szCs w:val="24"/>
        </w:rPr>
        <w:t>Available </w:t>
      </w:r>
      <w:proofErr w:type="gramStart"/>
      <w:r w:rsidRPr="009F12EF">
        <w:rPr>
          <w:rFonts w:ascii="Arial" w:hAnsi="Arial" w:cs="Arial"/>
          <w:color w:val="000000" w:themeColor="text1"/>
          <w:sz w:val="24"/>
          <w:szCs w:val="24"/>
        </w:rPr>
        <w:t>at:https://www.barstandardsboard.org.uk/for-barristers/compliance-with-your-obligations/equality-and-diversity-rules.html</w:t>
      </w:r>
      <w:proofErr w:type="gramEnd"/>
      <w:r w:rsidRPr="009F12EF">
        <w:rPr>
          <w:rFonts w:ascii="Arial" w:eastAsia="Arial" w:hAnsi="Arial" w:cs="Arial"/>
          <w:color w:val="000000" w:themeColor="text1"/>
          <w:sz w:val="24"/>
          <w:szCs w:val="24"/>
        </w:rPr>
        <w:t xml:space="preserve"> </w:t>
      </w:r>
      <w:r w:rsidRPr="009F12EF">
        <w:rPr>
          <w:rFonts w:ascii="Arial" w:hAnsi="Arial" w:cs="Arial"/>
          <w:color w:val="000000" w:themeColor="text1"/>
          <w:sz w:val="24"/>
          <w:szCs w:val="24"/>
        </w:rPr>
        <w:t>(Accessed at: 21 April 2023).</w:t>
      </w:r>
    </w:p>
    <w:p w14:paraId="3B5FA992" w14:textId="0BAA7D95" w:rsidR="00D80A1E" w:rsidRDefault="00D80A1E" w:rsidP="0030113A">
      <w:pPr>
        <w:spacing w:line="360" w:lineRule="auto"/>
        <w:jc w:val="both"/>
        <w:rPr>
          <w:rFonts w:ascii="Arial" w:eastAsia="Arial" w:hAnsi="Arial" w:cs="Arial"/>
          <w:color w:val="000000" w:themeColor="text1"/>
          <w:sz w:val="24"/>
          <w:szCs w:val="24"/>
        </w:rPr>
      </w:pPr>
      <w:r w:rsidRPr="009F12EF">
        <w:rPr>
          <w:rFonts w:ascii="Arial" w:eastAsia="Arial" w:hAnsi="Arial" w:cs="Arial"/>
          <w:color w:val="000000" w:themeColor="text1"/>
          <w:sz w:val="24"/>
          <w:szCs w:val="24"/>
        </w:rPr>
        <w:t xml:space="preserve">Bliss, R. (2013) </w:t>
      </w:r>
      <w:r w:rsidRPr="009F12EF">
        <w:rPr>
          <w:rFonts w:ascii="Arial" w:eastAsia="Arial" w:hAnsi="Arial" w:cs="Arial"/>
          <w:i/>
          <w:iCs/>
          <w:color w:val="000000" w:themeColor="text1"/>
          <w:sz w:val="24"/>
          <w:szCs w:val="24"/>
        </w:rPr>
        <w:t>Diversity in the Legal Profession</w:t>
      </w:r>
      <w:r w:rsidRPr="009F12EF">
        <w:rPr>
          <w:rFonts w:ascii="Arial" w:eastAsia="Arial" w:hAnsi="Arial" w:cs="Arial"/>
          <w:color w:val="000000" w:themeColor="text1"/>
          <w:sz w:val="24"/>
          <w:szCs w:val="24"/>
        </w:rPr>
        <w:t>. United Kingdom: Bloomsbury Professional.</w:t>
      </w:r>
    </w:p>
    <w:p w14:paraId="57DD8F86" w14:textId="0FE964CC" w:rsidR="00EB3D77" w:rsidRDefault="00EB3D77" w:rsidP="0030113A">
      <w:pPr>
        <w:spacing w:line="360" w:lineRule="auto"/>
        <w:jc w:val="both"/>
        <w:rPr>
          <w:rFonts w:ascii="Arial" w:hAnsi="Arial" w:cs="Arial"/>
          <w:sz w:val="24"/>
          <w:szCs w:val="24"/>
        </w:rPr>
      </w:pPr>
      <w:r>
        <w:rPr>
          <w:rFonts w:ascii="Arial" w:hAnsi="Arial" w:cs="Arial"/>
          <w:sz w:val="24"/>
          <w:szCs w:val="24"/>
        </w:rPr>
        <w:t>Council of Europe </w:t>
      </w:r>
      <w:r w:rsidRPr="00B62DFD">
        <w:rPr>
          <w:rFonts w:ascii="Arial" w:hAnsi="Arial" w:cs="Arial"/>
          <w:sz w:val="24"/>
          <w:szCs w:val="24"/>
        </w:rPr>
        <w:t>(20</w:t>
      </w:r>
      <w:r>
        <w:rPr>
          <w:rFonts w:ascii="Arial" w:hAnsi="Arial" w:cs="Arial"/>
          <w:sz w:val="24"/>
          <w:szCs w:val="24"/>
        </w:rPr>
        <w:t>13</w:t>
      </w:r>
      <w:r w:rsidRPr="00B62DFD">
        <w:rPr>
          <w:rFonts w:ascii="Arial" w:hAnsi="Arial" w:cs="Arial"/>
          <w:sz w:val="24"/>
          <w:szCs w:val="24"/>
        </w:rPr>
        <w:t>)</w:t>
      </w:r>
      <w:r>
        <w:rPr>
          <w:rFonts w:ascii="Arial" w:hAnsi="Arial" w:cs="Arial"/>
          <w:sz w:val="24"/>
          <w:szCs w:val="24"/>
        </w:rPr>
        <w:t> </w:t>
      </w:r>
      <w:r>
        <w:rPr>
          <w:rFonts w:ascii="Arial" w:hAnsi="Arial" w:cs="Arial"/>
          <w:i/>
          <w:iCs/>
          <w:sz w:val="24"/>
          <w:szCs w:val="24"/>
        </w:rPr>
        <w:t>European Convention on Human Rights</w:t>
      </w:r>
      <w:r w:rsidRPr="00B62DFD">
        <w:rPr>
          <w:rFonts w:ascii="Arial" w:hAnsi="Arial" w:cs="Arial"/>
          <w:sz w:val="24"/>
          <w:szCs w:val="24"/>
        </w:rPr>
        <w:t>.</w:t>
      </w:r>
      <w:r>
        <w:rPr>
          <w:rFonts w:ascii="Arial" w:hAnsi="Arial" w:cs="Arial"/>
          <w:sz w:val="24"/>
          <w:szCs w:val="24"/>
        </w:rPr>
        <w:t> </w:t>
      </w:r>
      <w:r w:rsidRPr="00B62DFD">
        <w:rPr>
          <w:rFonts w:ascii="Arial" w:hAnsi="Arial" w:cs="Arial"/>
          <w:sz w:val="24"/>
          <w:szCs w:val="24"/>
        </w:rPr>
        <w:t>Available</w:t>
      </w:r>
      <w:r>
        <w:rPr>
          <w:rFonts w:ascii="Arial" w:hAnsi="Arial" w:cs="Arial"/>
          <w:sz w:val="24"/>
          <w:szCs w:val="24"/>
        </w:rPr>
        <w:t> </w:t>
      </w:r>
      <w:proofErr w:type="gramStart"/>
      <w:r w:rsidRPr="00B62DFD">
        <w:rPr>
          <w:rFonts w:ascii="Arial" w:hAnsi="Arial" w:cs="Arial"/>
          <w:sz w:val="24"/>
          <w:szCs w:val="24"/>
        </w:rPr>
        <w:t>at:</w:t>
      </w:r>
      <w:r w:rsidRPr="00EB3D77">
        <w:rPr>
          <w:rFonts w:ascii="Arial" w:hAnsi="Arial" w:cs="Arial"/>
          <w:sz w:val="24"/>
          <w:szCs w:val="24"/>
        </w:rPr>
        <w:t>https://edoc.coe.int/en/european-convention-on-human-rights/5579-european-convention-on-human-rights.html#</w:t>
      </w:r>
      <w:proofErr w:type="gramEnd"/>
      <w:r w:rsidRPr="008813D2">
        <w:rPr>
          <w:rFonts w:ascii="Arial" w:hAnsi="Arial" w:cs="Arial"/>
          <w:sz w:val="32"/>
          <w:szCs w:val="32"/>
        </w:rPr>
        <w:t xml:space="preserve"> </w:t>
      </w:r>
      <w:r w:rsidRPr="00B62DFD">
        <w:rPr>
          <w:rFonts w:ascii="Arial" w:hAnsi="Arial" w:cs="Arial"/>
          <w:sz w:val="24"/>
          <w:szCs w:val="24"/>
        </w:rPr>
        <w:t xml:space="preserve">(Accessed: </w:t>
      </w:r>
      <w:r>
        <w:rPr>
          <w:rFonts w:ascii="Arial" w:hAnsi="Arial" w:cs="Arial"/>
          <w:sz w:val="24"/>
          <w:szCs w:val="24"/>
        </w:rPr>
        <w:t>24 April</w:t>
      </w:r>
      <w:r w:rsidRPr="00B62DFD">
        <w:rPr>
          <w:rFonts w:ascii="Arial" w:hAnsi="Arial" w:cs="Arial"/>
          <w:sz w:val="24"/>
          <w:szCs w:val="24"/>
        </w:rPr>
        <w:t xml:space="preserve"> 20</w:t>
      </w:r>
      <w:r>
        <w:rPr>
          <w:rFonts w:ascii="Arial" w:hAnsi="Arial" w:cs="Arial"/>
          <w:sz w:val="24"/>
          <w:szCs w:val="24"/>
        </w:rPr>
        <w:t>23</w:t>
      </w:r>
      <w:r w:rsidRPr="00B62DFD">
        <w:rPr>
          <w:rFonts w:ascii="Arial" w:hAnsi="Arial" w:cs="Arial"/>
          <w:sz w:val="24"/>
          <w:szCs w:val="24"/>
        </w:rPr>
        <w:t>).</w:t>
      </w:r>
    </w:p>
    <w:p w14:paraId="3DA4015F" w14:textId="22A00EE4" w:rsidR="00E946E4" w:rsidRPr="00EB3D77" w:rsidRDefault="00E946E4" w:rsidP="0030113A">
      <w:pPr>
        <w:spacing w:line="360" w:lineRule="auto"/>
        <w:jc w:val="both"/>
        <w:rPr>
          <w:rFonts w:ascii="Arial" w:hAnsi="Arial" w:cs="Arial"/>
          <w:sz w:val="24"/>
          <w:szCs w:val="24"/>
        </w:rPr>
      </w:pPr>
      <w:r>
        <w:rPr>
          <w:rFonts w:ascii="Arial" w:hAnsi="Arial" w:cs="Arial"/>
          <w:sz w:val="24"/>
          <w:szCs w:val="24"/>
        </w:rPr>
        <w:t>Department of Health </w:t>
      </w:r>
      <w:r w:rsidRPr="00B62DFD">
        <w:rPr>
          <w:rFonts w:ascii="Arial" w:hAnsi="Arial" w:cs="Arial"/>
          <w:sz w:val="24"/>
          <w:szCs w:val="24"/>
        </w:rPr>
        <w:t>(20</w:t>
      </w:r>
      <w:r>
        <w:rPr>
          <w:rFonts w:ascii="Arial" w:hAnsi="Arial" w:cs="Arial"/>
          <w:sz w:val="24"/>
          <w:szCs w:val="24"/>
        </w:rPr>
        <w:t>13</w:t>
      </w:r>
      <w:r w:rsidRPr="00B62DFD">
        <w:rPr>
          <w:rFonts w:ascii="Arial" w:hAnsi="Arial" w:cs="Arial"/>
          <w:sz w:val="24"/>
          <w:szCs w:val="24"/>
        </w:rPr>
        <w:t>)</w:t>
      </w:r>
      <w:r>
        <w:rPr>
          <w:rFonts w:ascii="Arial" w:hAnsi="Arial" w:cs="Arial"/>
          <w:sz w:val="24"/>
          <w:szCs w:val="24"/>
        </w:rPr>
        <w:t> </w:t>
      </w:r>
      <w:r>
        <w:rPr>
          <w:rFonts w:ascii="Arial" w:hAnsi="Arial" w:cs="Arial"/>
          <w:i/>
          <w:iCs/>
          <w:sz w:val="24"/>
          <w:szCs w:val="24"/>
        </w:rPr>
        <w:t>Equality duty</w:t>
      </w:r>
      <w:r w:rsidRPr="00B62DFD">
        <w:rPr>
          <w:rFonts w:ascii="Arial" w:hAnsi="Arial" w:cs="Arial"/>
          <w:sz w:val="24"/>
          <w:szCs w:val="24"/>
        </w:rPr>
        <w:t>.</w:t>
      </w:r>
      <w:r>
        <w:rPr>
          <w:rFonts w:ascii="Arial" w:hAnsi="Arial" w:cs="Arial"/>
          <w:sz w:val="24"/>
          <w:szCs w:val="24"/>
        </w:rPr>
        <w:t> </w:t>
      </w:r>
      <w:r w:rsidRPr="00B62DFD">
        <w:rPr>
          <w:rFonts w:ascii="Arial" w:hAnsi="Arial" w:cs="Arial"/>
          <w:sz w:val="24"/>
          <w:szCs w:val="24"/>
        </w:rPr>
        <w:t>Available</w:t>
      </w:r>
      <w:r>
        <w:rPr>
          <w:rFonts w:ascii="Arial" w:hAnsi="Arial" w:cs="Arial"/>
          <w:sz w:val="24"/>
          <w:szCs w:val="24"/>
        </w:rPr>
        <w:t> </w:t>
      </w:r>
      <w:r w:rsidRPr="00B62DFD">
        <w:rPr>
          <w:rFonts w:ascii="Arial" w:hAnsi="Arial" w:cs="Arial"/>
          <w:sz w:val="24"/>
          <w:szCs w:val="24"/>
        </w:rPr>
        <w:t>at:</w:t>
      </w:r>
      <w:r>
        <w:rPr>
          <w:rFonts w:ascii="Arial" w:hAnsi="Arial" w:cs="Arial"/>
          <w:sz w:val="24"/>
          <w:szCs w:val="24"/>
        </w:rPr>
        <w:t> </w:t>
      </w:r>
      <w:r w:rsidRPr="00C41EC8">
        <w:rPr>
          <w:rFonts w:ascii="Arial" w:hAnsi="Arial" w:cs="Arial"/>
          <w:sz w:val="24"/>
          <w:szCs w:val="24"/>
        </w:rPr>
        <w:t>https://assets.publishing.service.gov.uk/government/uploads/system/uploads/attachment_data/file/276682/2014_services.pdf</w:t>
      </w:r>
      <w:r w:rsidRPr="008813D2">
        <w:rPr>
          <w:rFonts w:ascii="Arial" w:hAnsi="Arial" w:cs="Arial"/>
          <w:sz w:val="32"/>
          <w:szCs w:val="32"/>
        </w:rPr>
        <w:t xml:space="preserve"> </w:t>
      </w:r>
      <w:r w:rsidRPr="00B62DFD">
        <w:rPr>
          <w:rFonts w:ascii="Arial" w:hAnsi="Arial" w:cs="Arial"/>
          <w:sz w:val="24"/>
          <w:szCs w:val="24"/>
        </w:rPr>
        <w:t xml:space="preserve">(Accessed: </w:t>
      </w:r>
      <w:r>
        <w:rPr>
          <w:rFonts w:ascii="Arial" w:hAnsi="Arial" w:cs="Arial"/>
          <w:sz w:val="24"/>
          <w:szCs w:val="24"/>
        </w:rPr>
        <w:t>24 April</w:t>
      </w:r>
      <w:r w:rsidRPr="00B62DFD">
        <w:rPr>
          <w:rFonts w:ascii="Arial" w:hAnsi="Arial" w:cs="Arial"/>
          <w:sz w:val="24"/>
          <w:szCs w:val="24"/>
        </w:rPr>
        <w:t xml:space="preserve"> 20</w:t>
      </w:r>
      <w:r>
        <w:rPr>
          <w:rFonts w:ascii="Arial" w:hAnsi="Arial" w:cs="Arial"/>
          <w:sz w:val="24"/>
          <w:szCs w:val="24"/>
        </w:rPr>
        <w:t>23</w:t>
      </w:r>
      <w:r w:rsidRPr="00B62DFD">
        <w:rPr>
          <w:rFonts w:ascii="Arial" w:hAnsi="Arial" w:cs="Arial"/>
          <w:sz w:val="24"/>
          <w:szCs w:val="24"/>
        </w:rPr>
        <w:t>).</w:t>
      </w:r>
    </w:p>
    <w:p w14:paraId="71F09B1F" w14:textId="6542E066" w:rsidR="00483BD8" w:rsidRPr="00483BD8" w:rsidRDefault="00483BD8" w:rsidP="00483BD8">
      <w:pPr>
        <w:pStyle w:val="Bibliography"/>
        <w:spacing w:line="360" w:lineRule="auto"/>
        <w:jc w:val="both"/>
        <w:rPr>
          <w:rFonts w:ascii="Arial" w:hAnsi="Arial" w:cs="Arial"/>
          <w:color w:val="000000" w:themeColor="text1"/>
          <w:sz w:val="24"/>
          <w:szCs w:val="24"/>
          <w:lang w:val="ro-RO"/>
        </w:rPr>
      </w:pPr>
      <w:r w:rsidRPr="004F0C2D">
        <w:rPr>
          <w:rFonts w:ascii="Arial" w:hAnsi="Arial" w:cs="Arial"/>
          <w:noProof/>
          <w:color w:val="000000" w:themeColor="text1"/>
          <w:sz w:val="24"/>
          <w:szCs w:val="24"/>
          <w:lang w:val="ro-RO"/>
        </w:rPr>
        <w:t>Equality Act 2010</w:t>
      </w:r>
      <w:r w:rsidRPr="009F12EF">
        <w:rPr>
          <w:rFonts w:ascii="Arial" w:hAnsi="Arial" w:cs="Arial"/>
          <w:noProof/>
          <w:color w:val="000000" w:themeColor="text1"/>
          <w:sz w:val="24"/>
          <w:szCs w:val="24"/>
          <w:lang w:val="ro-RO"/>
        </w:rPr>
        <w:t>, Available</w:t>
      </w:r>
      <w:r w:rsidRPr="009F12EF">
        <w:rPr>
          <w:rFonts w:ascii="Arial" w:hAnsi="Arial" w:cs="Arial"/>
          <w:color w:val="000000" w:themeColor="text1"/>
          <w:sz w:val="24"/>
          <w:szCs w:val="24"/>
        </w:rPr>
        <w:t> </w:t>
      </w:r>
      <w:r w:rsidRPr="009F12EF">
        <w:rPr>
          <w:rFonts w:ascii="Arial" w:hAnsi="Arial" w:cs="Arial"/>
          <w:noProof/>
          <w:color w:val="000000" w:themeColor="text1"/>
          <w:sz w:val="24"/>
          <w:szCs w:val="24"/>
          <w:lang w:val="ro-RO"/>
        </w:rPr>
        <w:t>at:</w:t>
      </w:r>
      <w:hyperlink r:id="rId10" w:history="1">
        <w:r w:rsidRPr="009F12EF">
          <w:rPr>
            <w:rStyle w:val="Hyperlink"/>
            <w:rFonts w:ascii="Arial" w:hAnsi="Arial" w:cs="Arial"/>
            <w:noProof/>
            <w:color w:val="000000" w:themeColor="text1"/>
            <w:sz w:val="24"/>
            <w:szCs w:val="24"/>
            <w:lang w:val="ro-RO"/>
          </w:rPr>
          <w:t>https://www.legislation.gov.uk/ukpga/1968/60/section/1</w:t>
        </w:r>
      </w:hyperlink>
      <w:r w:rsidRPr="009F12EF">
        <w:rPr>
          <w:rFonts w:ascii="Arial" w:hAnsi="Arial" w:cs="Arial"/>
          <w:noProof/>
          <w:color w:val="000000" w:themeColor="text1"/>
          <w:sz w:val="24"/>
          <w:szCs w:val="24"/>
          <w:lang w:val="ro-RO"/>
        </w:rPr>
        <w:t xml:space="preserve"> </w:t>
      </w:r>
      <w:r w:rsidRPr="009F12EF">
        <w:rPr>
          <w:rFonts w:ascii="Arial" w:hAnsi="Arial" w:cs="Arial"/>
          <w:color w:val="000000" w:themeColor="text1"/>
          <w:sz w:val="24"/>
          <w:szCs w:val="24"/>
          <w:lang w:val="ro-RO"/>
        </w:rPr>
        <w:t>(Accessed: 22 April 2023).</w:t>
      </w:r>
    </w:p>
    <w:p w14:paraId="3669A209" w14:textId="5BF7DBD6" w:rsidR="005010B0" w:rsidRPr="009F12EF" w:rsidRDefault="005010B0" w:rsidP="0030113A">
      <w:pPr>
        <w:spacing w:line="360" w:lineRule="auto"/>
        <w:jc w:val="both"/>
        <w:rPr>
          <w:rFonts w:ascii="Arial" w:eastAsia="Arial" w:hAnsi="Arial" w:cs="Arial"/>
          <w:color w:val="000000" w:themeColor="text1"/>
          <w:sz w:val="24"/>
          <w:szCs w:val="24"/>
        </w:rPr>
      </w:pPr>
      <w:r w:rsidRPr="009F12EF">
        <w:rPr>
          <w:rFonts w:ascii="Arial" w:eastAsia="Arial" w:hAnsi="Arial" w:cs="Arial"/>
          <w:color w:val="000000" w:themeColor="text1"/>
          <w:sz w:val="24"/>
          <w:szCs w:val="24"/>
        </w:rPr>
        <w:t xml:space="preserve">Farrar, C. (2022) </w:t>
      </w:r>
      <w:r w:rsidRPr="009F12EF">
        <w:rPr>
          <w:rFonts w:ascii="Arial" w:eastAsia="Arial" w:hAnsi="Arial" w:cs="Arial"/>
          <w:i/>
          <w:iCs/>
          <w:color w:val="000000" w:themeColor="text1"/>
          <w:sz w:val="24"/>
          <w:szCs w:val="24"/>
        </w:rPr>
        <w:t>Sex discrimination and equal pay: why a city banker was awarded £2m. </w:t>
      </w:r>
      <w:r w:rsidRPr="009F12EF">
        <w:rPr>
          <w:rFonts w:ascii="Arial" w:hAnsi="Arial" w:cs="Arial"/>
          <w:color w:val="000000" w:themeColor="text1"/>
          <w:sz w:val="24"/>
          <w:szCs w:val="24"/>
        </w:rPr>
        <w:t>Available at: </w:t>
      </w:r>
      <w:hyperlink r:id="rId11" w:history="1">
        <w:r w:rsidR="00607470" w:rsidRPr="009F12EF">
          <w:rPr>
            <w:rStyle w:val="Hyperlink"/>
            <w:rFonts w:ascii="Arial" w:hAnsi="Arial" w:cs="Arial"/>
            <w:color w:val="000000" w:themeColor="text1"/>
            <w:sz w:val="24"/>
            <w:szCs w:val="24"/>
          </w:rPr>
          <w:t>https://www.farrer.co.uk/news-and-insights/blogs/sex-discrimination-and-equal-pay-why-a-city-banker-was-awarded-2m/</w:t>
        </w:r>
      </w:hyperlink>
      <w:r w:rsidR="00607470" w:rsidRPr="009F12EF">
        <w:rPr>
          <w:rFonts w:ascii="Arial" w:hAnsi="Arial" w:cs="Arial"/>
          <w:color w:val="000000" w:themeColor="text1"/>
          <w:sz w:val="24"/>
          <w:szCs w:val="24"/>
        </w:rPr>
        <w:t xml:space="preserve"> (Accessed at: 24 April 2023).</w:t>
      </w:r>
    </w:p>
    <w:p w14:paraId="55BD0F49" w14:textId="35E70661" w:rsidR="008441C3" w:rsidRDefault="008441C3" w:rsidP="0030113A">
      <w:pPr>
        <w:spacing w:line="360" w:lineRule="auto"/>
        <w:jc w:val="both"/>
        <w:rPr>
          <w:rFonts w:ascii="Arial" w:eastAsia="Arial" w:hAnsi="Arial" w:cs="Arial"/>
          <w:color w:val="000000" w:themeColor="text1"/>
          <w:sz w:val="24"/>
          <w:szCs w:val="24"/>
        </w:rPr>
      </w:pPr>
      <w:proofErr w:type="spellStart"/>
      <w:r w:rsidRPr="009F12EF">
        <w:rPr>
          <w:rFonts w:ascii="Arial" w:eastAsia="Arial" w:hAnsi="Arial" w:cs="Arial"/>
          <w:color w:val="000000" w:themeColor="text1"/>
          <w:sz w:val="24"/>
          <w:szCs w:val="24"/>
        </w:rPr>
        <w:t>Hedworth</w:t>
      </w:r>
      <w:proofErr w:type="spellEnd"/>
      <w:r w:rsidRPr="009F12EF">
        <w:rPr>
          <w:rFonts w:ascii="Arial" w:eastAsia="Arial" w:hAnsi="Arial" w:cs="Arial"/>
          <w:color w:val="000000" w:themeColor="text1"/>
          <w:sz w:val="24"/>
          <w:szCs w:val="24"/>
        </w:rPr>
        <w:t xml:space="preserve">, S. et al. (2016) </w:t>
      </w:r>
      <w:r w:rsidRPr="009F12EF">
        <w:rPr>
          <w:rFonts w:ascii="Arial" w:eastAsia="Arial" w:hAnsi="Arial" w:cs="Arial"/>
          <w:i/>
          <w:iCs/>
          <w:color w:val="000000" w:themeColor="text1"/>
          <w:sz w:val="24"/>
          <w:szCs w:val="24"/>
        </w:rPr>
        <w:t>Diversity in Practice: Race, Gender, and Class in Legal and Professional Careers</w:t>
      </w:r>
      <w:r w:rsidRPr="009F12EF">
        <w:rPr>
          <w:rFonts w:ascii="Arial" w:eastAsia="Arial" w:hAnsi="Arial" w:cs="Arial"/>
          <w:color w:val="000000" w:themeColor="text1"/>
          <w:sz w:val="24"/>
          <w:szCs w:val="24"/>
        </w:rPr>
        <w:t>. United Kingdom: Cambridge University Press.</w:t>
      </w:r>
    </w:p>
    <w:p w14:paraId="12B0569B" w14:textId="30C5A07D" w:rsidR="00E42B72" w:rsidRDefault="00E42B72" w:rsidP="0030113A">
      <w:pPr>
        <w:spacing w:line="360" w:lineRule="auto"/>
        <w:jc w:val="both"/>
        <w:rPr>
          <w:rFonts w:ascii="Arial" w:hAnsi="Arial" w:cs="Arial"/>
          <w:color w:val="000000" w:themeColor="text1"/>
          <w:sz w:val="24"/>
          <w:szCs w:val="24"/>
        </w:rPr>
      </w:pPr>
      <w:r w:rsidRPr="00E42B72">
        <w:rPr>
          <w:rFonts w:ascii="Arial" w:hAnsi="Arial" w:cs="Arial"/>
          <w:sz w:val="24"/>
          <w:szCs w:val="24"/>
        </w:rPr>
        <w:t xml:space="preserve">House of Commons, Work and Pensions and Business, </w:t>
      </w:r>
      <w:proofErr w:type="gramStart"/>
      <w:r w:rsidRPr="00E42B72">
        <w:rPr>
          <w:rFonts w:ascii="Arial" w:hAnsi="Arial" w:cs="Arial"/>
          <w:sz w:val="24"/>
          <w:szCs w:val="24"/>
        </w:rPr>
        <w:t>Energy</w:t>
      </w:r>
      <w:proofErr w:type="gramEnd"/>
      <w:r w:rsidRPr="00E42B72">
        <w:rPr>
          <w:rFonts w:ascii="Arial" w:hAnsi="Arial" w:cs="Arial"/>
          <w:sz w:val="24"/>
          <w:szCs w:val="24"/>
        </w:rPr>
        <w:t xml:space="preserve"> and Industrial Strategy Committees</w:t>
      </w:r>
      <w:r>
        <w:rPr>
          <w:rFonts w:ascii="Arial" w:hAnsi="Arial" w:cs="Arial"/>
          <w:sz w:val="24"/>
          <w:szCs w:val="24"/>
        </w:rPr>
        <w:t xml:space="preserve"> (2017), </w:t>
      </w:r>
      <w:r w:rsidRPr="00E42B72">
        <w:rPr>
          <w:rFonts w:ascii="Arial" w:hAnsi="Arial" w:cs="Arial"/>
          <w:i/>
          <w:iCs/>
          <w:sz w:val="24"/>
          <w:szCs w:val="24"/>
        </w:rPr>
        <w:t>A framework for modern employment</w:t>
      </w:r>
      <w:r>
        <w:rPr>
          <w:rFonts w:ascii="Arial" w:hAnsi="Arial" w:cs="Arial"/>
          <w:sz w:val="24"/>
          <w:szCs w:val="24"/>
        </w:rPr>
        <w:t xml:space="preserve">. </w:t>
      </w:r>
      <w:r w:rsidRPr="009F12EF">
        <w:rPr>
          <w:rFonts w:ascii="Arial" w:hAnsi="Arial" w:cs="Arial"/>
          <w:color w:val="000000" w:themeColor="text1"/>
          <w:sz w:val="24"/>
          <w:szCs w:val="24"/>
        </w:rPr>
        <w:t>Available at</w:t>
      </w:r>
      <w:r>
        <w:rPr>
          <w:rFonts w:ascii="Arial" w:hAnsi="Arial" w:cs="Arial"/>
          <w:color w:val="000000" w:themeColor="text1"/>
          <w:sz w:val="24"/>
          <w:szCs w:val="24"/>
        </w:rPr>
        <w:t xml:space="preserve">: </w:t>
      </w:r>
      <w:hyperlink r:id="rId12" w:history="1">
        <w:r w:rsidRPr="00027376">
          <w:rPr>
            <w:rStyle w:val="Hyperlink"/>
            <w:rFonts w:ascii="Arial" w:hAnsi="Arial" w:cs="Arial"/>
            <w:sz w:val="24"/>
            <w:szCs w:val="24"/>
          </w:rPr>
          <w:t>https://publications.parliament.uk/pa/cm201719/cmselect/cmworpen/352/352.pdf</w:t>
        </w:r>
      </w:hyperlink>
      <w:r>
        <w:rPr>
          <w:rFonts w:ascii="Arial" w:hAnsi="Arial" w:cs="Arial"/>
          <w:color w:val="000000" w:themeColor="text1"/>
          <w:sz w:val="24"/>
          <w:szCs w:val="24"/>
        </w:rPr>
        <w:t xml:space="preserve">. Accessed: </w:t>
      </w:r>
      <w:r w:rsidRPr="009F12EF">
        <w:rPr>
          <w:rFonts w:ascii="Arial" w:hAnsi="Arial" w:cs="Arial"/>
          <w:color w:val="000000" w:themeColor="text1"/>
          <w:sz w:val="24"/>
          <w:szCs w:val="24"/>
        </w:rPr>
        <w:t>24 April 2023).</w:t>
      </w:r>
    </w:p>
    <w:p w14:paraId="5625C204" w14:textId="5F02CDB0" w:rsidR="00D23753" w:rsidRPr="008813D2" w:rsidRDefault="00D23753" w:rsidP="0030113A">
      <w:pPr>
        <w:spacing w:line="360" w:lineRule="auto"/>
        <w:jc w:val="both"/>
        <w:rPr>
          <w:rFonts w:ascii="Arial" w:hAnsi="Arial" w:cs="Arial"/>
          <w:sz w:val="24"/>
          <w:szCs w:val="24"/>
        </w:rPr>
      </w:pPr>
      <w:r>
        <w:rPr>
          <w:rFonts w:ascii="Arial" w:hAnsi="Arial" w:cs="Arial"/>
          <w:sz w:val="24"/>
          <w:szCs w:val="24"/>
        </w:rPr>
        <w:t>Law Commission Reforming the law</w:t>
      </w:r>
      <w:r w:rsidRPr="00B62DFD">
        <w:rPr>
          <w:rFonts w:ascii="Arial" w:hAnsi="Arial" w:cs="Arial"/>
          <w:sz w:val="24"/>
          <w:szCs w:val="24"/>
        </w:rPr>
        <w:t xml:space="preserve"> (20</w:t>
      </w:r>
      <w:r w:rsidR="00CB170D">
        <w:rPr>
          <w:rFonts w:ascii="Arial" w:hAnsi="Arial" w:cs="Arial"/>
          <w:sz w:val="24"/>
          <w:szCs w:val="24"/>
        </w:rPr>
        <w:t>14</w:t>
      </w:r>
      <w:r w:rsidRPr="00B62DFD">
        <w:rPr>
          <w:rFonts w:ascii="Arial" w:hAnsi="Arial" w:cs="Arial"/>
          <w:sz w:val="24"/>
          <w:szCs w:val="24"/>
        </w:rPr>
        <w:t xml:space="preserve">) </w:t>
      </w:r>
      <w:r w:rsidR="008813D2">
        <w:rPr>
          <w:rFonts w:ascii="Arial" w:hAnsi="Arial" w:cs="Arial"/>
          <w:i/>
          <w:iCs/>
          <w:sz w:val="24"/>
          <w:szCs w:val="24"/>
        </w:rPr>
        <w:t>Hate Crime</w:t>
      </w:r>
      <w:r w:rsidRPr="00B62DFD">
        <w:rPr>
          <w:rFonts w:ascii="Arial" w:hAnsi="Arial" w:cs="Arial"/>
          <w:sz w:val="24"/>
          <w:szCs w:val="24"/>
        </w:rPr>
        <w:t xml:space="preserve">. Available at: </w:t>
      </w:r>
      <w:r w:rsidR="008813D2" w:rsidRPr="008813D2">
        <w:rPr>
          <w:rFonts w:ascii="Arial" w:hAnsi="Arial" w:cs="Arial"/>
          <w:sz w:val="24"/>
          <w:szCs w:val="24"/>
        </w:rPr>
        <w:t>https://www.lawcom.gov.uk/project/hate-crime-completed-report-2014/</w:t>
      </w:r>
      <w:r w:rsidRPr="008813D2">
        <w:rPr>
          <w:rFonts w:ascii="Arial" w:hAnsi="Arial" w:cs="Arial"/>
          <w:sz w:val="32"/>
          <w:szCs w:val="32"/>
        </w:rPr>
        <w:t xml:space="preserve"> </w:t>
      </w:r>
      <w:r w:rsidRPr="00B62DFD">
        <w:rPr>
          <w:rFonts w:ascii="Arial" w:hAnsi="Arial" w:cs="Arial"/>
          <w:sz w:val="24"/>
          <w:szCs w:val="24"/>
        </w:rPr>
        <w:t xml:space="preserve">(Accessed: </w:t>
      </w:r>
      <w:r w:rsidR="00FF63A1">
        <w:rPr>
          <w:rFonts w:ascii="Arial" w:hAnsi="Arial" w:cs="Arial"/>
          <w:sz w:val="24"/>
          <w:szCs w:val="24"/>
        </w:rPr>
        <w:t>24</w:t>
      </w:r>
      <w:r>
        <w:rPr>
          <w:rFonts w:ascii="Arial" w:hAnsi="Arial" w:cs="Arial"/>
          <w:sz w:val="24"/>
          <w:szCs w:val="24"/>
        </w:rPr>
        <w:t xml:space="preserve"> April</w:t>
      </w:r>
      <w:r w:rsidRPr="00B62DFD">
        <w:rPr>
          <w:rFonts w:ascii="Arial" w:hAnsi="Arial" w:cs="Arial"/>
          <w:sz w:val="24"/>
          <w:szCs w:val="24"/>
        </w:rPr>
        <w:t xml:space="preserve"> 20</w:t>
      </w:r>
      <w:r>
        <w:rPr>
          <w:rFonts w:ascii="Arial" w:hAnsi="Arial" w:cs="Arial"/>
          <w:sz w:val="24"/>
          <w:szCs w:val="24"/>
        </w:rPr>
        <w:t>23</w:t>
      </w:r>
      <w:r w:rsidRPr="00B62DFD">
        <w:rPr>
          <w:rFonts w:ascii="Arial" w:hAnsi="Arial" w:cs="Arial"/>
          <w:sz w:val="24"/>
          <w:szCs w:val="24"/>
        </w:rPr>
        <w:t>).</w:t>
      </w:r>
    </w:p>
    <w:p w14:paraId="2FA223FD" w14:textId="551BCB04" w:rsidR="00E55932" w:rsidRPr="009F12EF" w:rsidRDefault="00E55932" w:rsidP="0030113A">
      <w:pPr>
        <w:spacing w:line="360" w:lineRule="auto"/>
        <w:jc w:val="both"/>
        <w:rPr>
          <w:rFonts w:ascii="Arial" w:hAnsi="Arial" w:cs="Arial"/>
          <w:color w:val="000000" w:themeColor="text1"/>
          <w:sz w:val="24"/>
          <w:szCs w:val="24"/>
        </w:rPr>
      </w:pPr>
      <w:r w:rsidRPr="009F12EF">
        <w:rPr>
          <w:rFonts w:ascii="Arial" w:eastAsia="Arial" w:hAnsi="Arial" w:cs="Arial"/>
          <w:color w:val="000000" w:themeColor="text1"/>
          <w:sz w:val="24"/>
          <w:szCs w:val="24"/>
        </w:rPr>
        <w:t>Macken</w:t>
      </w:r>
      <w:r w:rsidR="004078AB" w:rsidRPr="009F12EF">
        <w:rPr>
          <w:rFonts w:ascii="Arial" w:eastAsia="Arial" w:hAnsi="Arial" w:cs="Arial"/>
          <w:color w:val="000000" w:themeColor="text1"/>
          <w:sz w:val="24"/>
          <w:szCs w:val="24"/>
        </w:rPr>
        <w:t> </w:t>
      </w:r>
      <w:r w:rsidRPr="009F12EF">
        <w:rPr>
          <w:rFonts w:ascii="Arial" w:eastAsia="Arial" w:hAnsi="Arial" w:cs="Arial"/>
          <w:color w:val="000000" w:themeColor="text1"/>
          <w:sz w:val="24"/>
          <w:szCs w:val="24"/>
        </w:rPr>
        <w:t>v</w:t>
      </w:r>
      <w:r w:rsidR="004078AB" w:rsidRPr="009F12EF">
        <w:rPr>
          <w:rFonts w:ascii="Arial" w:eastAsia="Arial" w:hAnsi="Arial" w:cs="Arial"/>
          <w:color w:val="000000" w:themeColor="text1"/>
          <w:sz w:val="24"/>
          <w:szCs w:val="24"/>
        </w:rPr>
        <w:t> </w:t>
      </w:r>
      <w:r w:rsidRPr="009F12EF">
        <w:rPr>
          <w:rFonts w:ascii="Arial" w:eastAsia="Arial" w:hAnsi="Arial" w:cs="Arial"/>
          <w:color w:val="000000" w:themeColor="text1"/>
          <w:sz w:val="24"/>
          <w:szCs w:val="24"/>
        </w:rPr>
        <w:t>BNP</w:t>
      </w:r>
      <w:r w:rsidR="004078AB" w:rsidRPr="009F12EF">
        <w:rPr>
          <w:rFonts w:ascii="Arial" w:eastAsia="Arial" w:hAnsi="Arial" w:cs="Arial"/>
          <w:color w:val="000000" w:themeColor="text1"/>
          <w:sz w:val="24"/>
          <w:szCs w:val="24"/>
        </w:rPr>
        <w:t> </w:t>
      </w:r>
      <w:r w:rsidRPr="009F12EF">
        <w:rPr>
          <w:rFonts w:ascii="Arial" w:eastAsia="Arial" w:hAnsi="Arial" w:cs="Arial"/>
          <w:color w:val="000000" w:themeColor="text1"/>
          <w:sz w:val="24"/>
          <w:szCs w:val="24"/>
        </w:rPr>
        <w:t>Paribas</w:t>
      </w:r>
      <w:r w:rsidR="004078AB" w:rsidRPr="009F12EF">
        <w:rPr>
          <w:rFonts w:ascii="Arial" w:eastAsia="Arial" w:hAnsi="Arial" w:cs="Arial"/>
          <w:color w:val="000000" w:themeColor="text1"/>
          <w:sz w:val="24"/>
          <w:szCs w:val="24"/>
        </w:rPr>
        <w:t> </w:t>
      </w:r>
      <w:r w:rsidRPr="009F12EF">
        <w:rPr>
          <w:rFonts w:ascii="Arial" w:eastAsia="Arial" w:hAnsi="Arial" w:cs="Arial"/>
          <w:color w:val="000000" w:themeColor="text1"/>
          <w:sz w:val="24"/>
          <w:szCs w:val="24"/>
        </w:rPr>
        <w:t>London</w:t>
      </w:r>
      <w:r w:rsidR="004078AB" w:rsidRPr="009F12EF">
        <w:rPr>
          <w:rFonts w:ascii="Arial" w:eastAsia="Arial" w:hAnsi="Arial" w:cs="Arial"/>
          <w:color w:val="000000" w:themeColor="text1"/>
          <w:sz w:val="24"/>
          <w:szCs w:val="24"/>
        </w:rPr>
        <w:t> </w:t>
      </w:r>
      <w:r w:rsidRPr="009F12EF">
        <w:rPr>
          <w:rFonts w:ascii="Arial" w:eastAsia="Arial" w:hAnsi="Arial" w:cs="Arial"/>
          <w:color w:val="000000" w:themeColor="text1"/>
          <w:sz w:val="24"/>
          <w:szCs w:val="24"/>
        </w:rPr>
        <w:t>Branch</w:t>
      </w:r>
      <w:r w:rsidR="004078AB" w:rsidRPr="009F12EF">
        <w:rPr>
          <w:rFonts w:ascii="Arial" w:eastAsia="Arial" w:hAnsi="Arial" w:cs="Arial"/>
          <w:color w:val="000000" w:themeColor="text1"/>
          <w:sz w:val="24"/>
          <w:szCs w:val="24"/>
        </w:rPr>
        <w:t> </w:t>
      </w:r>
      <w:r w:rsidRPr="009F12EF">
        <w:rPr>
          <w:rFonts w:ascii="Arial" w:eastAsia="Arial" w:hAnsi="Arial" w:cs="Arial"/>
          <w:color w:val="000000" w:themeColor="text1"/>
          <w:sz w:val="24"/>
          <w:szCs w:val="24"/>
        </w:rPr>
        <w:t>[2017],</w:t>
      </w:r>
      <w:r w:rsidR="004078AB" w:rsidRPr="009F12EF">
        <w:rPr>
          <w:rFonts w:ascii="Arial" w:eastAsia="Arial" w:hAnsi="Arial" w:cs="Arial"/>
          <w:color w:val="000000" w:themeColor="text1"/>
          <w:sz w:val="24"/>
          <w:szCs w:val="24"/>
        </w:rPr>
        <w:t> </w:t>
      </w:r>
      <w:r w:rsidRPr="009F12EF">
        <w:rPr>
          <w:rFonts w:ascii="Arial" w:hAnsi="Arial" w:cs="Arial"/>
          <w:color w:val="000000" w:themeColor="text1"/>
          <w:sz w:val="24"/>
          <w:szCs w:val="24"/>
        </w:rPr>
        <w:t>Available</w:t>
      </w:r>
      <w:r w:rsidR="004078AB" w:rsidRPr="009F12EF">
        <w:rPr>
          <w:rFonts w:ascii="Arial" w:hAnsi="Arial" w:cs="Arial"/>
          <w:color w:val="000000" w:themeColor="text1"/>
          <w:sz w:val="24"/>
          <w:szCs w:val="24"/>
        </w:rPr>
        <w:t> </w:t>
      </w:r>
      <w:proofErr w:type="gramStart"/>
      <w:r w:rsidRPr="009F12EF">
        <w:rPr>
          <w:rFonts w:ascii="Arial" w:hAnsi="Arial" w:cs="Arial"/>
          <w:color w:val="000000" w:themeColor="text1"/>
          <w:sz w:val="24"/>
          <w:szCs w:val="24"/>
        </w:rPr>
        <w:t>at:https://assets.publishing.service.gov.uk/media/62050638e90e077f70b3fe80/Ms_S_Macken__vs_BNP_Paribas_SA__London_Branch.pdf</w:t>
      </w:r>
      <w:proofErr w:type="gramEnd"/>
      <w:r w:rsidRPr="009F12EF">
        <w:rPr>
          <w:rFonts w:ascii="Arial" w:hAnsi="Arial" w:cs="Arial"/>
          <w:color w:val="000000" w:themeColor="text1"/>
          <w:sz w:val="24"/>
          <w:szCs w:val="24"/>
        </w:rPr>
        <w:t xml:space="preserve"> (Accessed at: 24 April 2023).</w:t>
      </w:r>
    </w:p>
    <w:p w14:paraId="4E938A53" w14:textId="6A9DEA8C" w:rsidR="00B75FDC" w:rsidRPr="009F12EF" w:rsidRDefault="00B75FDC" w:rsidP="0030113A">
      <w:pPr>
        <w:spacing w:line="360" w:lineRule="auto"/>
        <w:jc w:val="both"/>
        <w:rPr>
          <w:rFonts w:ascii="Arial" w:eastAsia="Arial" w:hAnsi="Arial" w:cs="Arial"/>
          <w:color w:val="000000" w:themeColor="text1"/>
          <w:sz w:val="24"/>
          <w:szCs w:val="24"/>
        </w:rPr>
      </w:pPr>
      <w:r w:rsidRPr="009F12EF">
        <w:rPr>
          <w:rFonts w:ascii="Arial" w:eastAsia="Arial" w:hAnsi="Arial" w:cs="Arial"/>
          <w:color w:val="000000" w:themeColor="text1"/>
          <w:sz w:val="24"/>
          <w:szCs w:val="24"/>
        </w:rPr>
        <w:lastRenderedPageBreak/>
        <w:t xml:space="preserve">Monaghan, K. and </w:t>
      </w:r>
      <w:proofErr w:type="spellStart"/>
      <w:r w:rsidRPr="009F12EF">
        <w:rPr>
          <w:rFonts w:ascii="Arial" w:eastAsia="Arial" w:hAnsi="Arial" w:cs="Arial"/>
          <w:color w:val="000000" w:themeColor="text1"/>
          <w:sz w:val="24"/>
          <w:szCs w:val="24"/>
        </w:rPr>
        <w:t>O’dempsey</w:t>
      </w:r>
      <w:proofErr w:type="spellEnd"/>
      <w:r w:rsidRPr="009F12EF">
        <w:rPr>
          <w:rFonts w:ascii="Arial" w:eastAsia="Arial" w:hAnsi="Arial" w:cs="Arial"/>
          <w:color w:val="000000" w:themeColor="text1"/>
          <w:sz w:val="24"/>
          <w:szCs w:val="24"/>
        </w:rPr>
        <w:t xml:space="preserve">, D. (2014) </w:t>
      </w:r>
      <w:r w:rsidRPr="009F12EF">
        <w:rPr>
          <w:rFonts w:ascii="Arial" w:eastAsia="Arial" w:hAnsi="Arial" w:cs="Arial"/>
          <w:i/>
          <w:iCs/>
          <w:color w:val="000000" w:themeColor="text1"/>
          <w:sz w:val="24"/>
          <w:szCs w:val="24"/>
        </w:rPr>
        <w:t>Equality, Diversity and Discrimination in the Workplace: A Practical Guide</w:t>
      </w:r>
      <w:r w:rsidRPr="009F12EF">
        <w:rPr>
          <w:rFonts w:ascii="Arial" w:eastAsia="Arial" w:hAnsi="Arial" w:cs="Arial"/>
          <w:color w:val="000000" w:themeColor="text1"/>
          <w:sz w:val="24"/>
          <w:szCs w:val="24"/>
        </w:rPr>
        <w:t>.  United Kingdom: Law Society Publishing.</w:t>
      </w:r>
    </w:p>
    <w:p w14:paraId="1FD8E404" w14:textId="77777777" w:rsidR="00A03191" w:rsidRPr="009F12EF" w:rsidRDefault="00A03191" w:rsidP="0030113A">
      <w:pPr>
        <w:spacing w:line="360" w:lineRule="auto"/>
        <w:jc w:val="both"/>
        <w:rPr>
          <w:rFonts w:ascii="Arial" w:hAnsi="Arial" w:cs="Arial"/>
          <w:color w:val="000000" w:themeColor="text1"/>
          <w:sz w:val="24"/>
          <w:szCs w:val="24"/>
        </w:rPr>
      </w:pPr>
      <w:r w:rsidRPr="009F12EF">
        <w:rPr>
          <w:rFonts w:ascii="Arial" w:eastAsia="Arial" w:hAnsi="Arial" w:cs="Arial"/>
          <w:color w:val="000000" w:themeColor="text1"/>
          <w:sz w:val="24"/>
          <w:szCs w:val="24"/>
        </w:rPr>
        <w:t xml:space="preserve">Solicitors Regulation Authority (2018) </w:t>
      </w:r>
      <w:r w:rsidRPr="009F12EF">
        <w:rPr>
          <w:rFonts w:ascii="Arial" w:eastAsia="Arial" w:hAnsi="Arial" w:cs="Arial"/>
          <w:i/>
          <w:iCs/>
          <w:color w:val="000000" w:themeColor="text1"/>
          <w:sz w:val="24"/>
          <w:szCs w:val="24"/>
        </w:rPr>
        <w:t>Code of Conduct for Solicitors, RELs and RFLs.</w:t>
      </w:r>
      <w:r w:rsidRPr="009F12EF">
        <w:rPr>
          <w:rFonts w:ascii="Arial" w:eastAsia="Arial" w:hAnsi="Arial" w:cs="Arial"/>
          <w:color w:val="000000" w:themeColor="text1"/>
          <w:sz w:val="24"/>
          <w:szCs w:val="24"/>
        </w:rPr>
        <w:t xml:space="preserve">  </w:t>
      </w:r>
      <w:r w:rsidRPr="009F12EF">
        <w:rPr>
          <w:rFonts w:ascii="Arial" w:hAnsi="Arial" w:cs="Arial"/>
          <w:color w:val="000000" w:themeColor="text1"/>
          <w:sz w:val="24"/>
          <w:szCs w:val="24"/>
        </w:rPr>
        <w:t>Available at: </w:t>
      </w:r>
      <w:hyperlink r:id="rId13" w:history="1">
        <w:r w:rsidRPr="009F12EF">
          <w:rPr>
            <w:rStyle w:val="Hyperlink"/>
            <w:rFonts w:ascii="Arial" w:eastAsia="Arial" w:hAnsi="Arial" w:cs="Arial"/>
            <w:color w:val="000000" w:themeColor="text1"/>
            <w:sz w:val="24"/>
            <w:szCs w:val="24"/>
          </w:rPr>
          <w:t>https://www.sra.org.uk/solicitors/standards-regulations/code-conduct-solicitors/</w:t>
        </w:r>
      </w:hyperlink>
      <w:r w:rsidRPr="009F12EF">
        <w:rPr>
          <w:rFonts w:ascii="Arial" w:eastAsia="Arial" w:hAnsi="Arial" w:cs="Arial"/>
          <w:color w:val="000000" w:themeColor="text1"/>
          <w:sz w:val="24"/>
          <w:szCs w:val="24"/>
        </w:rPr>
        <w:t xml:space="preserve"> </w:t>
      </w:r>
      <w:r w:rsidRPr="009F12EF">
        <w:rPr>
          <w:rFonts w:ascii="Arial" w:hAnsi="Arial" w:cs="Arial"/>
          <w:color w:val="000000" w:themeColor="text1"/>
          <w:sz w:val="24"/>
          <w:szCs w:val="24"/>
        </w:rPr>
        <w:t>(Accessed at: 22 April 2023).</w:t>
      </w:r>
    </w:p>
    <w:p w14:paraId="3A0472E6" w14:textId="381FFB47" w:rsidR="00665025" w:rsidRPr="009F12EF" w:rsidRDefault="00A03191" w:rsidP="0030113A">
      <w:pPr>
        <w:spacing w:line="360" w:lineRule="auto"/>
        <w:jc w:val="both"/>
        <w:rPr>
          <w:rFonts w:ascii="Arial" w:hAnsi="Arial" w:cs="Arial"/>
          <w:color w:val="000000" w:themeColor="text1"/>
          <w:sz w:val="24"/>
          <w:szCs w:val="24"/>
        </w:rPr>
      </w:pPr>
      <w:r w:rsidRPr="009F12EF">
        <w:rPr>
          <w:rFonts w:ascii="Arial" w:hAnsi="Arial" w:cs="Arial"/>
          <w:color w:val="000000" w:themeColor="text1"/>
          <w:sz w:val="24"/>
          <w:szCs w:val="24"/>
        </w:rPr>
        <w:t xml:space="preserve">UNISON, R (on the application of) v Lord Chancellor [2017] UKSC 51 (26 July 2017). Available at: </w:t>
      </w:r>
      <w:hyperlink r:id="rId14" w:history="1">
        <w:r w:rsidRPr="009F12EF">
          <w:rPr>
            <w:rStyle w:val="Hyperlink"/>
            <w:rFonts w:ascii="Arial" w:hAnsi="Arial" w:cs="Arial"/>
            <w:color w:val="000000" w:themeColor="text1"/>
            <w:sz w:val="24"/>
            <w:szCs w:val="24"/>
          </w:rPr>
          <w:t>https://www.bailii.org/ew/cases/EWCA/Crim/2005/824.html</w:t>
        </w:r>
      </w:hyperlink>
      <w:r w:rsidRPr="009F12EF">
        <w:rPr>
          <w:rFonts w:ascii="Arial" w:hAnsi="Arial" w:cs="Arial"/>
          <w:color w:val="000000" w:themeColor="text1"/>
          <w:sz w:val="24"/>
          <w:szCs w:val="24"/>
        </w:rPr>
        <w:t xml:space="preserve"> (Accessed at: 22 April 2023).</w:t>
      </w:r>
    </w:p>
    <w:sectPr w:rsidR="00665025" w:rsidRPr="009F12EF" w:rsidSect="00E521FE">
      <w:footerReference w:type="default" r:id="rId15"/>
      <w:pgSz w:w="11894" w:h="16834"/>
      <w:pgMar w:top="1418" w:right="1418" w:bottom="1418" w:left="1418" w:header="709" w:footer="45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AB8548" w14:textId="77777777" w:rsidR="00664729" w:rsidRDefault="00664729">
      <w:r>
        <w:separator/>
      </w:r>
    </w:p>
  </w:endnote>
  <w:endnote w:type="continuationSeparator" w:id="0">
    <w:p w14:paraId="73950CC0" w14:textId="77777777" w:rsidR="00664729" w:rsidRDefault="006647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4574935"/>
      <w:docPartObj>
        <w:docPartGallery w:val="Page Numbers (Bottom of Page)"/>
        <w:docPartUnique/>
      </w:docPartObj>
    </w:sdtPr>
    <w:sdtEndPr>
      <w:rPr>
        <w:noProof/>
      </w:rPr>
    </w:sdtEndPr>
    <w:sdtContent>
      <w:p w14:paraId="2D6788C7" w14:textId="252A17E1" w:rsidR="006D37F2" w:rsidRDefault="006D37F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F952CC" w14:textId="77777777" w:rsidR="006D37F2" w:rsidRDefault="006D37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8E5D64" w14:textId="77777777" w:rsidR="00664729" w:rsidRDefault="00664729">
      <w:r>
        <w:separator/>
      </w:r>
    </w:p>
  </w:footnote>
  <w:footnote w:type="continuationSeparator" w:id="0">
    <w:p w14:paraId="32F136FA" w14:textId="77777777" w:rsidR="00664729" w:rsidRDefault="006647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0640270"/>
    <w:multiLevelType w:val="hybridMultilevel"/>
    <w:tmpl w:val="E74CD7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A47A61"/>
    <w:multiLevelType w:val="hybridMultilevel"/>
    <w:tmpl w:val="40D6AFDE"/>
    <w:lvl w:ilvl="0" w:tplc="8666A20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937550"/>
    <w:multiLevelType w:val="hybridMultilevel"/>
    <w:tmpl w:val="ECB20872"/>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8E540A2"/>
    <w:multiLevelType w:val="multilevel"/>
    <w:tmpl w:val="B52AAA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3F93F44"/>
    <w:multiLevelType w:val="hybridMultilevel"/>
    <w:tmpl w:val="CD4A0A90"/>
    <w:lvl w:ilvl="0" w:tplc="8B6AEE2E">
      <w:start w:val="1"/>
      <w:numFmt w:val="bullet"/>
      <w:lvlText w:val="•"/>
      <w:lvlJc w:val="left"/>
      <w:pPr>
        <w:tabs>
          <w:tab w:val="num" w:pos="720"/>
        </w:tabs>
        <w:ind w:left="720" w:hanging="360"/>
      </w:pPr>
      <w:rPr>
        <w:rFonts w:ascii="Times New Roman" w:hAnsi="Times New Roman" w:hint="default"/>
      </w:rPr>
    </w:lvl>
    <w:lvl w:ilvl="1" w:tplc="0706F01E" w:tentative="1">
      <w:start w:val="1"/>
      <w:numFmt w:val="bullet"/>
      <w:lvlText w:val="•"/>
      <w:lvlJc w:val="left"/>
      <w:pPr>
        <w:tabs>
          <w:tab w:val="num" w:pos="1440"/>
        </w:tabs>
        <w:ind w:left="1440" w:hanging="360"/>
      </w:pPr>
      <w:rPr>
        <w:rFonts w:ascii="Times New Roman" w:hAnsi="Times New Roman" w:hint="default"/>
      </w:rPr>
    </w:lvl>
    <w:lvl w:ilvl="2" w:tplc="49D25158" w:tentative="1">
      <w:start w:val="1"/>
      <w:numFmt w:val="bullet"/>
      <w:lvlText w:val="•"/>
      <w:lvlJc w:val="left"/>
      <w:pPr>
        <w:tabs>
          <w:tab w:val="num" w:pos="2160"/>
        </w:tabs>
        <w:ind w:left="2160" w:hanging="360"/>
      </w:pPr>
      <w:rPr>
        <w:rFonts w:ascii="Times New Roman" w:hAnsi="Times New Roman" w:hint="default"/>
      </w:rPr>
    </w:lvl>
    <w:lvl w:ilvl="3" w:tplc="27147414" w:tentative="1">
      <w:start w:val="1"/>
      <w:numFmt w:val="bullet"/>
      <w:lvlText w:val="•"/>
      <w:lvlJc w:val="left"/>
      <w:pPr>
        <w:tabs>
          <w:tab w:val="num" w:pos="2880"/>
        </w:tabs>
        <w:ind w:left="2880" w:hanging="360"/>
      </w:pPr>
      <w:rPr>
        <w:rFonts w:ascii="Times New Roman" w:hAnsi="Times New Roman" w:hint="default"/>
      </w:rPr>
    </w:lvl>
    <w:lvl w:ilvl="4" w:tplc="B2DEA458" w:tentative="1">
      <w:start w:val="1"/>
      <w:numFmt w:val="bullet"/>
      <w:lvlText w:val="•"/>
      <w:lvlJc w:val="left"/>
      <w:pPr>
        <w:tabs>
          <w:tab w:val="num" w:pos="3600"/>
        </w:tabs>
        <w:ind w:left="3600" w:hanging="360"/>
      </w:pPr>
      <w:rPr>
        <w:rFonts w:ascii="Times New Roman" w:hAnsi="Times New Roman" w:hint="default"/>
      </w:rPr>
    </w:lvl>
    <w:lvl w:ilvl="5" w:tplc="4F9EF514" w:tentative="1">
      <w:start w:val="1"/>
      <w:numFmt w:val="bullet"/>
      <w:lvlText w:val="•"/>
      <w:lvlJc w:val="left"/>
      <w:pPr>
        <w:tabs>
          <w:tab w:val="num" w:pos="4320"/>
        </w:tabs>
        <w:ind w:left="4320" w:hanging="360"/>
      </w:pPr>
      <w:rPr>
        <w:rFonts w:ascii="Times New Roman" w:hAnsi="Times New Roman" w:hint="default"/>
      </w:rPr>
    </w:lvl>
    <w:lvl w:ilvl="6" w:tplc="8020E5C8" w:tentative="1">
      <w:start w:val="1"/>
      <w:numFmt w:val="bullet"/>
      <w:lvlText w:val="•"/>
      <w:lvlJc w:val="left"/>
      <w:pPr>
        <w:tabs>
          <w:tab w:val="num" w:pos="5040"/>
        </w:tabs>
        <w:ind w:left="5040" w:hanging="360"/>
      </w:pPr>
      <w:rPr>
        <w:rFonts w:ascii="Times New Roman" w:hAnsi="Times New Roman" w:hint="default"/>
      </w:rPr>
    </w:lvl>
    <w:lvl w:ilvl="7" w:tplc="B550369E" w:tentative="1">
      <w:start w:val="1"/>
      <w:numFmt w:val="bullet"/>
      <w:lvlText w:val="•"/>
      <w:lvlJc w:val="left"/>
      <w:pPr>
        <w:tabs>
          <w:tab w:val="num" w:pos="5760"/>
        </w:tabs>
        <w:ind w:left="5760" w:hanging="360"/>
      </w:pPr>
      <w:rPr>
        <w:rFonts w:ascii="Times New Roman" w:hAnsi="Times New Roman" w:hint="default"/>
      </w:rPr>
    </w:lvl>
    <w:lvl w:ilvl="8" w:tplc="9DCADD7E" w:tentative="1">
      <w:start w:val="1"/>
      <w:numFmt w:val="bullet"/>
      <w:lvlText w:val="•"/>
      <w:lvlJc w:val="left"/>
      <w:pPr>
        <w:tabs>
          <w:tab w:val="num" w:pos="6480"/>
        </w:tabs>
        <w:ind w:left="6480" w:hanging="360"/>
      </w:pPr>
      <w:rPr>
        <w:rFonts w:ascii="Times New Roman" w:hAnsi="Times New Roman" w:hint="default"/>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39A4F37"/>
    <w:multiLevelType w:val="hybridMultilevel"/>
    <w:tmpl w:val="79286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154760759">
    <w:abstractNumId w:val="2"/>
  </w:num>
  <w:num w:numId="2" w16cid:durableId="856576380">
    <w:abstractNumId w:val="12"/>
  </w:num>
  <w:num w:numId="3" w16cid:durableId="1332638111">
    <w:abstractNumId w:val="21"/>
  </w:num>
  <w:num w:numId="4" w16cid:durableId="764619974">
    <w:abstractNumId w:val="14"/>
  </w:num>
  <w:num w:numId="5" w16cid:durableId="2128817458">
    <w:abstractNumId w:val="9"/>
  </w:num>
  <w:num w:numId="6" w16cid:durableId="606159885">
    <w:abstractNumId w:val="20"/>
  </w:num>
  <w:num w:numId="7" w16cid:durableId="1315257309">
    <w:abstractNumId w:val="3"/>
  </w:num>
  <w:num w:numId="8" w16cid:durableId="438373729">
    <w:abstractNumId w:val="18"/>
  </w:num>
  <w:num w:numId="9" w16cid:durableId="80493864">
    <w:abstractNumId w:val="13"/>
  </w:num>
  <w:num w:numId="10" w16cid:durableId="1566140623">
    <w:abstractNumId w:val="6"/>
  </w:num>
  <w:num w:numId="11" w16cid:durableId="818882386">
    <w:abstractNumId w:val="7"/>
  </w:num>
  <w:num w:numId="12" w16cid:durableId="1574700408">
    <w:abstractNumId w:val="10"/>
  </w:num>
  <w:num w:numId="13" w16cid:durableId="251085168">
    <w:abstractNumId w:val="17"/>
  </w:num>
  <w:num w:numId="14" w16cid:durableId="1837842989">
    <w:abstractNumId w:val="4"/>
  </w:num>
  <w:num w:numId="15" w16cid:durableId="1919704304">
    <w:abstractNumId w:val="0"/>
  </w:num>
  <w:num w:numId="16" w16cid:durableId="1163082347">
    <w:abstractNumId w:val="8"/>
  </w:num>
  <w:num w:numId="17" w16cid:durableId="647057867">
    <w:abstractNumId w:val="19"/>
  </w:num>
  <w:num w:numId="18" w16cid:durableId="16856475">
    <w:abstractNumId w:val="15"/>
  </w:num>
  <w:num w:numId="19" w16cid:durableId="564683329">
    <w:abstractNumId w:val="5"/>
  </w:num>
  <w:num w:numId="20" w16cid:durableId="1647972311">
    <w:abstractNumId w:val="1"/>
  </w:num>
  <w:num w:numId="21" w16cid:durableId="1296065925">
    <w:abstractNumId w:val="16"/>
  </w:num>
  <w:num w:numId="22" w16cid:durableId="1601449510">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1636"/>
    <w:rsid w:val="00042B83"/>
    <w:rsid w:val="00044D58"/>
    <w:rsid w:val="00074475"/>
    <w:rsid w:val="000822E5"/>
    <w:rsid w:val="00083CB8"/>
    <w:rsid w:val="00085BA1"/>
    <w:rsid w:val="00087050"/>
    <w:rsid w:val="000971FC"/>
    <w:rsid w:val="000A2A3A"/>
    <w:rsid w:val="000A492A"/>
    <w:rsid w:val="000A6376"/>
    <w:rsid w:val="000B0B67"/>
    <w:rsid w:val="000C68E4"/>
    <w:rsid w:val="000D2F80"/>
    <w:rsid w:val="000E413A"/>
    <w:rsid w:val="000F5AA3"/>
    <w:rsid w:val="00100396"/>
    <w:rsid w:val="00100B5C"/>
    <w:rsid w:val="001014F7"/>
    <w:rsid w:val="0010418C"/>
    <w:rsid w:val="001078B5"/>
    <w:rsid w:val="001105FC"/>
    <w:rsid w:val="001106E9"/>
    <w:rsid w:val="00111B63"/>
    <w:rsid w:val="00112107"/>
    <w:rsid w:val="001139B6"/>
    <w:rsid w:val="001152DE"/>
    <w:rsid w:val="00124CA5"/>
    <w:rsid w:val="00134F77"/>
    <w:rsid w:val="001363A5"/>
    <w:rsid w:val="00152E9D"/>
    <w:rsid w:val="00154487"/>
    <w:rsid w:val="00155E2B"/>
    <w:rsid w:val="0017512A"/>
    <w:rsid w:val="00191658"/>
    <w:rsid w:val="00196958"/>
    <w:rsid w:val="001A1E39"/>
    <w:rsid w:val="001A24F3"/>
    <w:rsid w:val="001B405C"/>
    <w:rsid w:val="001B5F45"/>
    <w:rsid w:val="001B62A5"/>
    <w:rsid w:val="001D3F6D"/>
    <w:rsid w:val="001D6C49"/>
    <w:rsid w:val="001E1050"/>
    <w:rsid w:val="001E1E1F"/>
    <w:rsid w:val="001E2007"/>
    <w:rsid w:val="001E57C1"/>
    <w:rsid w:val="001F07EF"/>
    <w:rsid w:val="001F50B6"/>
    <w:rsid w:val="001F6D7A"/>
    <w:rsid w:val="00211D06"/>
    <w:rsid w:val="002143B2"/>
    <w:rsid w:val="00224849"/>
    <w:rsid w:val="0022746E"/>
    <w:rsid w:val="00235D5C"/>
    <w:rsid w:val="00235F71"/>
    <w:rsid w:val="002444CA"/>
    <w:rsid w:val="002503EF"/>
    <w:rsid w:val="00255D1C"/>
    <w:rsid w:val="0025628E"/>
    <w:rsid w:val="00260DE6"/>
    <w:rsid w:val="00271508"/>
    <w:rsid w:val="00272254"/>
    <w:rsid w:val="00273FEE"/>
    <w:rsid w:val="0028204E"/>
    <w:rsid w:val="0028591B"/>
    <w:rsid w:val="002878BF"/>
    <w:rsid w:val="00291841"/>
    <w:rsid w:val="00294C6F"/>
    <w:rsid w:val="002C449B"/>
    <w:rsid w:val="002C5462"/>
    <w:rsid w:val="002C6040"/>
    <w:rsid w:val="002D4D81"/>
    <w:rsid w:val="002D5B3F"/>
    <w:rsid w:val="002E272E"/>
    <w:rsid w:val="002F508E"/>
    <w:rsid w:val="002F5778"/>
    <w:rsid w:val="00300F95"/>
    <w:rsid w:val="0030113A"/>
    <w:rsid w:val="00301E29"/>
    <w:rsid w:val="003223E0"/>
    <w:rsid w:val="00352C4A"/>
    <w:rsid w:val="00362560"/>
    <w:rsid w:val="0036338C"/>
    <w:rsid w:val="003700C9"/>
    <w:rsid w:val="003732FD"/>
    <w:rsid w:val="003750BA"/>
    <w:rsid w:val="003753B2"/>
    <w:rsid w:val="00376559"/>
    <w:rsid w:val="00382BAA"/>
    <w:rsid w:val="00384D73"/>
    <w:rsid w:val="00393EB6"/>
    <w:rsid w:val="0039763A"/>
    <w:rsid w:val="003A1117"/>
    <w:rsid w:val="003A3CE5"/>
    <w:rsid w:val="003B366F"/>
    <w:rsid w:val="003B3F9D"/>
    <w:rsid w:val="003B5599"/>
    <w:rsid w:val="003B6C95"/>
    <w:rsid w:val="003C18C0"/>
    <w:rsid w:val="003E1264"/>
    <w:rsid w:val="003E5751"/>
    <w:rsid w:val="003E68C7"/>
    <w:rsid w:val="004046A9"/>
    <w:rsid w:val="00404938"/>
    <w:rsid w:val="00404C50"/>
    <w:rsid w:val="004078AB"/>
    <w:rsid w:val="0041131E"/>
    <w:rsid w:val="004123F3"/>
    <w:rsid w:val="00413811"/>
    <w:rsid w:val="00423934"/>
    <w:rsid w:val="00424B97"/>
    <w:rsid w:val="00426244"/>
    <w:rsid w:val="00451810"/>
    <w:rsid w:val="004611F3"/>
    <w:rsid w:val="0046747E"/>
    <w:rsid w:val="00470A38"/>
    <w:rsid w:val="00477880"/>
    <w:rsid w:val="00483BD8"/>
    <w:rsid w:val="00484E7B"/>
    <w:rsid w:val="004874DE"/>
    <w:rsid w:val="00494C60"/>
    <w:rsid w:val="00495ABC"/>
    <w:rsid w:val="004A4469"/>
    <w:rsid w:val="004B5334"/>
    <w:rsid w:val="004B6C14"/>
    <w:rsid w:val="004C18EA"/>
    <w:rsid w:val="004C1F4B"/>
    <w:rsid w:val="004D29D9"/>
    <w:rsid w:val="004D5E9B"/>
    <w:rsid w:val="004D63D9"/>
    <w:rsid w:val="004E6585"/>
    <w:rsid w:val="004F0C2D"/>
    <w:rsid w:val="004F3372"/>
    <w:rsid w:val="004F38B4"/>
    <w:rsid w:val="005010B0"/>
    <w:rsid w:val="0050249F"/>
    <w:rsid w:val="00505E89"/>
    <w:rsid w:val="00520637"/>
    <w:rsid w:val="00524566"/>
    <w:rsid w:val="00527E60"/>
    <w:rsid w:val="00530BEF"/>
    <w:rsid w:val="005469D7"/>
    <w:rsid w:val="005471DC"/>
    <w:rsid w:val="00552351"/>
    <w:rsid w:val="0055284C"/>
    <w:rsid w:val="00553B38"/>
    <w:rsid w:val="00561F00"/>
    <w:rsid w:val="00562C4E"/>
    <w:rsid w:val="00562DEC"/>
    <w:rsid w:val="00572FA5"/>
    <w:rsid w:val="0057395A"/>
    <w:rsid w:val="00576AB4"/>
    <w:rsid w:val="00577917"/>
    <w:rsid w:val="0058048A"/>
    <w:rsid w:val="005854BC"/>
    <w:rsid w:val="00590667"/>
    <w:rsid w:val="005912A6"/>
    <w:rsid w:val="00595F95"/>
    <w:rsid w:val="005965A9"/>
    <w:rsid w:val="005969E2"/>
    <w:rsid w:val="005A14E4"/>
    <w:rsid w:val="005A1689"/>
    <w:rsid w:val="005A6532"/>
    <w:rsid w:val="005A7F88"/>
    <w:rsid w:val="005B61CD"/>
    <w:rsid w:val="005C1518"/>
    <w:rsid w:val="005D1D58"/>
    <w:rsid w:val="005D432C"/>
    <w:rsid w:val="005E285E"/>
    <w:rsid w:val="005E7140"/>
    <w:rsid w:val="005E72F8"/>
    <w:rsid w:val="005F0579"/>
    <w:rsid w:val="005F3A53"/>
    <w:rsid w:val="00602F0D"/>
    <w:rsid w:val="006062A3"/>
    <w:rsid w:val="00607470"/>
    <w:rsid w:val="00610E08"/>
    <w:rsid w:val="006140BF"/>
    <w:rsid w:val="006161BE"/>
    <w:rsid w:val="00620787"/>
    <w:rsid w:val="00630159"/>
    <w:rsid w:val="00632434"/>
    <w:rsid w:val="0063478F"/>
    <w:rsid w:val="00636B64"/>
    <w:rsid w:val="00636BD4"/>
    <w:rsid w:val="00644256"/>
    <w:rsid w:val="00661D6F"/>
    <w:rsid w:val="006628E9"/>
    <w:rsid w:val="00664729"/>
    <w:rsid w:val="00665025"/>
    <w:rsid w:val="0066725E"/>
    <w:rsid w:val="006716C7"/>
    <w:rsid w:val="00681208"/>
    <w:rsid w:val="00681FA9"/>
    <w:rsid w:val="00691EA9"/>
    <w:rsid w:val="006920E9"/>
    <w:rsid w:val="006934D4"/>
    <w:rsid w:val="006A5438"/>
    <w:rsid w:val="006A678B"/>
    <w:rsid w:val="006A6DC3"/>
    <w:rsid w:val="006B6BF5"/>
    <w:rsid w:val="006C14F8"/>
    <w:rsid w:val="006C2A86"/>
    <w:rsid w:val="006C6E67"/>
    <w:rsid w:val="006D37F2"/>
    <w:rsid w:val="006D49ED"/>
    <w:rsid w:val="006D55CE"/>
    <w:rsid w:val="006D637A"/>
    <w:rsid w:val="006D6F24"/>
    <w:rsid w:val="006F0F95"/>
    <w:rsid w:val="006F45BF"/>
    <w:rsid w:val="006F60E0"/>
    <w:rsid w:val="00702F71"/>
    <w:rsid w:val="00727DE9"/>
    <w:rsid w:val="0073249E"/>
    <w:rsid w:val="00735E1B"/>
    <w:rsid w:val="007366DF"/>
    <w:rsid w:val="007369E7"/>
    <w:rsid w:val="00746C99"/>
    <w:rsid w:val="00752D85"/>
    <w:rsid w:val="007550F5"/>
    <w:rsid w:val="00756DCC"/>
    <w:rsid w:val="00757839"/>
    <w:rsid w:val="00770C81"/>
    <w:rsid w:val="0077183E"/>
    <w:rsid w:val="00775E8D"/>
    <w:rsid w:val="0077746A"/>
    <w:rsid w:val="00791024"/>
    <w:rsid w:val="00791947"/>
    <w:rsid w:val="00792CCA"/>
    <w:rsid w:val="00793F0A"/>
    <w:rsid w:val="007A2657"/>
    <w:rsid w:val="007A44E3"/>
    <w:rsid w:val="007C16D4"/>
    <w:rsid w:val="007C4B06"/>
    <w:rsid w:val="007C4EFA"/>
    <w:rsid w:val="007C682C"/>
    <w:rsid w:val="007D2385"/>
    <w:rsid w:val="007D5DE2"/>
    <w:rsid w:val="007E4BFC"/>
    <w:rsid w:val="007F214F"/>
    <w:rsid w:val="007F2D8B"/>
    <w:rsid w:val="00800069"/>
    <w:rsid w:val="00802539"/>
    <w:rsid w:val="008042F0"/>
    <w:rsid w:val="008240CA"/>
    <w:rsid w:val="00827710"/>
    <w:rsid w:val="008310A0"/>
    <w:rsid w:val="00831AD9"/>
    <w:rsid w:val="008322B0"/>
    <w:rsid w:val="00835D29"/>
    <w:rsid w:val="00842E7F"/>
    <w:rsid w:val="008441C3"/>
    <w:rsid w:val="00845F15"/>
    <w:rsid w:val="00852933"/>
    <w:rsid w:val="00854EF9"/>
    <w:rsid w:val="008566E5"/>
    <w:rsid w:val="008566FE"/>
    <w:rsid w:val="00865B46"/>
    <w:rsid w:val="0087653A"/>
    <w:rsid w:val="008813D2"/>
    <w:rsid w:val="00896134"/>
    <w:rsid w:val="008969AC"/>
    <w:rsid w:val="008A1573"/>
    <w:rsid w:val="008A21A6"/>
    <w:rsid w:val="008A2F0B"/>
    <w:rsid w:val="008A62BC"/>
    <w:rsid w:val="008B1B24"/>
    <w:rsid w:val="008B218A"/>
    <w:rsid w:val="008B43E7"/>
    <w:rsid w:val="008C34D3"/>
    <w:rsid w:val="008D763F"/>
    <w:rsid w:val="008F036F"/>
    <w:rsid w:val="008F1308"/>
    <w:rsid w:val="008F33E7"/>
    <w:rsid w:val="008F78C2"/>
    <w:rsid w:val="00904568"/>
    <w:rsid w:val="00911394"/>
    <w:rsid w:val="009160F3"/>
    <w:rsid w:val="00920630"/>
    <w:rsid w:val="00923EF2"/>
    <w:rsid w:val="00926D25"/>
    <w:rsid w:val="00926E9D"/>
    <w:rsid w:val="009315A0"/>
    <w:rsid w:val="00932C6E"/>
    <w:rsid w:val="00933F10"/>
    <w:rsid w:val="009433C5"/>
    <w:rsid w:val="009578FC"/>
    <w:rsid w:val="00965881"/>
    <w:rsid w:val="009759DF"/>
    <w:rsid w:val="00986FB5"/>
    <w:rsid w:val="009871FF"/>
    <w:rsid w:val="00990799"/>
    <w:rsid w:val="00995D51"/>
    <w:rsid w:val="009A0631"/>
    <w:rsid w:val="009B10ED"/>
    <w:rsid w:val="009D0351"/>
    <w:rsid w:val="009D3EA4"/>
    <w:rsid w:val="009D649C"/>
    <w:rsid w:val="009E4BC1"/>
    <w:rsid w:val="009F12EF"/>
    <w:rsid w:val="009F4432"/>
    <w:rsid w:val="009F5CB2"/>
    <w:rsid w:val="00A03191"/>
    <w:rsid w:val="00A03BB8"/>
    <w:rsid w:val="00A07D8A"/>
    <w:rsid w:val="00A16E98"/>
    <w:rsid w:val="00A17439"/>
    <w:rsid w:val="00A30149"/>
    <w:rsid w:val="00A3505D"/>
    <w:rsid w:val="00A4036F"/>
    <w:rsid w:val="00A406E5"/>
    <w:rsid w:val="00A423D0"/>
    <w:rsid w:val="00A4641C"/>
    <w:rsid w:val="00A501A8"/>
    <w:rsid w:val="00A55876"/>
    <w:rsid w:val="00A67FB1"/>
    <w:rsid w:val="00A8196F"/>
    <w:rsid w:val="00A85BFE"/>
    <w:rsid w:val="00AB0A47"/>
    <w:rsid w:val="00AB6FE7"/>
    <w:rsid w:val="00AB7AD7"/>
    <w:rsid w:val="00AD2430"/>
    <w:rsid w:val="00AD3BD3"/>
    <w:rsid w:val="00AE1724"/>
    <w:rsid w:val="00AE41A6"/>
    <w:rsid w:val="00AF0E34"/>
    <w:rsid w:val="00AF271D"/>
    <w:rsid w:val="00AF56C2"/>
    <w:rsid w:val="00B0029F"/>
    <w:rsid w:val="00B004E6"/>
    <w:rsid w:val="00B0744D"/>
    <w:rsid w:val="00B21781"/>
    <w:rsid w:val="00B32422"/>
    <w:rsid w:val="00B358CC"/>
    <w:rsid w:val="00B50EA8"/>
    <w:rsid w:val="00B542BE"/>
    <w:rsid w:val="00B55F32"/>
    <w:rsid w:val="00B64082"/>
    <w:rsid w:val="00B64EE3"/>
    <w:rsid w:val="00B72325"/>
    <w:rsid w:val="00B74FE8"/>
    <w:rsid w:val="00B75FDC"/>
    <w:rsid w:val="00B771A7"/>
    <w:rsid w:val="00B81AD3"/>
    <w:rsid w:val="00B829D8"/>
    <w:rsid w:val="00B84B5B"/>
    <w:rsid w:val="00B85B13"/>
    <w:rsid w:val="00B86446"/>
    <w:rsid w:val="00BA1176"/>
    <w:rsid w:val="00BA489F"/>
    <w:rsid w:val="00BB335B"/>
    <w:rsid w:val="00BB706F"/>
    <w:rsid w:val="00BC54D5"/>
    <w:rsid w:val="00BE0B01"/>
    <w:rsid w:val="00BE79C7"/>
    <w:rsid w:val="00BF3CB5"/>
    <w:rsid w:val="00C01A3F"/>
    <w:rsid w:val="00C073F1"/>
    <w:rsid w:val="00C1285B"/>
    <w:rsid w:val="00C1361B"/>
    <w:rsid w:val="00C14E1F"/>
    <w:rsid w:val="00C25420"/>
    <w:rsid w:val="00C30467"/>
    <w:rsid w:val="00C315AF"/>
    <w:rsid w:val="00C36D9A"/>
    <w:rsid w:val="00C41EC8"/>
    <w:rsid w:val="00C44A72"/>
    <w:rsid w:val="00C61F02"/>
    <w:rsid w:val="00C61FC2"/>
    <w:rsid w:val="00C705F9"/>
    <w:rsid w:val="00C80F0F"/>
    <w:rsid w:val="00C84FD9"/>
    <w:rsid w:val="00C8667A"/>
    <w:rsid w:val="00C8773B"/>
    <w:rsid w:val="00C93BCB"/>
    <w:rsid w:val="00C9564C"/>
    <w:rsid w:val="00CA529D"/>
    <w:rsid w:val="00CB170D"/>
    <w:rsid w:val="00CC241A"/>
    <w:rsid w:val="00CD260C"/>
    <w:rsid w:val="00CD6C28"/>
    <w:rsid w:val="00CE0C71"/>
    <w:rsid w:val="00CE21BD"/>
    <w:rsid w:val="00CE4035"/>
    <w:rsid w:val="00CE65AB"/>
    <w:rsid w:val="00CF4266"/>
    <w:rsid w:val="00D04ABB"/>
    <w:rsid w:val="00D21314"/>
    <w:rsid w:val="00D22D9C"/>
    <w:rsid w:val="00D23753"/>
    <w:rsid w:val="00D241F1"/>
    <w:rsid w:val="00D275CB"/>
    <w:rsid w:val="00D30DFA"/>
    <w:rsid w:val="00D358C7"/>
    <w:rsid w:val="00D429CE"/>
    <w:rsid w:val="00D44085"/>
    <w:rsid w:val="00D463A5"/>
    <w:rsid w:val="00D4710D"/>
    <w:rsid w:val="00D47D25"/>
    <w:rsid w:val="00D47F67"/>
    <w:rsid w:val="00D62ACD"/>
    <w:rsid w:val="00D63E24"/>
    <w:rsid w:val="00D665FD"/>
    <w:rsid w:val="00D67851"/>
    <w:rsid w:val="00D80A1E"/>
    <w:rsid w:val="00D844E3"/>
    <w:rsid w:val="00DA36EE"/>
    <w:rsid w:val="00DB116D"/>
    <w:rsid w:val="00DC0D73"/>
    <w:rsid w:val="00DC2C83"/>
    <w:rsid w:val="00DD17CC"/>
    <w:rsid w:val="00DD1FBA"/>
    <w:rsid w:val="00DD2590"/>
    <w:rsid w:val="00DE194D"/>
    <w:rsid w:val="00DE217A"/>
    <w:rsid w:val="00DE67C2"/>
    <w:rsid w:val="00DE7197"/>
    <w:rsid w:val="00DF321B"/>
    <w:rsid w:val="00E022E6"/>
    <w:rsid w:val="00E061AD"/>
    <w:rsid w:val="00E1149B"/>
    <w:rsid w:val="00E1737F"/>
    <w:rsid w:val="00E17BB3"/>
    <w:rsid w:val="00E230E0"/>
    <w:rsid w:val="00E27F15"/>
    <w:rsid w:val="00E3354A"/>
    <w:rsid w:val="00E3631D"/>
    <w:rsid w:val="00E42B72"/>
    <w:rsid w:val="00E507FB"/>
    <w:rsid w:val="00E51AAC"/>
    <w:rsid w:val="00E521FE"/>
    <w:rsid w:val="00E53540"/>
    <w:rsid w:val="00E55932"/>
    <w:rsid w:val="00E614E1"/>
    <w:rsid w:val="00E66CC0"/>
    <w:rsid w:val="00E728A9"/>
    <w:rsid w:val="00E807D9"/>
    <w:rsid w:val="00E946E4"/>
    <w:rsid w:val="00EA0F4E"/>
    <w:rsid w:val="00EA295B"/>
    <w:rsid w:val="00EA3B9B"/>
    <w:rsid w:val="00EA6801"/>
    <w:rsid w:val="00EB03C0"/>
    <w:rsid w:val="00EB3D77"/>
    <w:rsid w:val="00EB4F96"/>
    <w:rsid w:val="00ED7072"/>
    <w:rsid w:val="00EE3132"/>
    <w:rsid w:val="00EE3D9D"/>
    <w:rsid w:val="00EE6F25"/>
    <w:rsid w:val="00EF4E47"/>
    <w:rsid w:val="00F02126"/>
    <w:rsid w:val="00F03D85"/>
    <w:rsid w:val="00F07C8C"/>
    <w:rsid w:val="00F20C94"/>
    <w:rsid w:val="00F249F1"/>
    <w:rsid w:val="00F25B9D"/>
    <w:rsid w:val="00F2664E"/>
    <w:rsid w:val="00F31163"/>
    <w:rsid w:val="00F311D9"/>
    <w:rsid w:val="00F31C04"/>
    <w:rsid w:val="00F434AA"/>
    <w:rsid w:val="00F442A7"/>
    <w:rsid w:val="00F45385"/>
    <w:rsid w:val="00F459CA"/>
    <w:rsid w:val="00F5658A"/>
    <w:rsid w:val="00F57A89"/>
    <w:rsid w:val="00F61A20"/>
    <w:rsid w:val="00F63DD9"/>
    <w:rsid w:val="00F67644"/>
    <w:rsid w:val="00F8381F"/>
    <w:rsid w:val="00F847F3"/>
    <w:rsid w:val="00F85ABE"/>
    <w:rsid w:val="00F85AF2"/>
    <w:rsid w:val="00FA04CD"/>
    <w:rsid w:val="00FA25F5"/>
    <w:rsid w:val="00FA2810"/>
    <w:rsid w:val="00FA68F8"/>
    <w:rsid w:val="00FA7971"/>
    <w:rsid w:val="00FB1DC0"/>
    <w:rsid w:val="00FB31BC"/>
    <w:rsid w:val="00FB3322"/>
    <w:rsid w:val="00FB3B4E"/>
    <w:rsid w:val="00FB4521"/>
    <w:rsid w:val="00FB4F84"/>
    <w:rsid w:val="00FB5CF8"/>
    <w:rsid w:val="00FD16EC"/>
    <w:rsid w:val="00FE1C48"/>
    <w:rsid w:val="00FF2098"/>
    <w:rsid w:val="00FF273B"/>
    <w:rsid w:val="00FF27EF"/>
    <w:rsid w:val="00FF564C"/>
    <w:rsid w:val="00FF5AAD"/>
    <w:rsid w:val="00FF63A1"/>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F2A06D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nhideWhenUsed/>
    <w:rsid w:val="001E2007"/>
    <w:rPr>
      <w:color w:val="0000FF"/>
      <w:u w:val="single"/>
    </w:rPr>
  </w:style>
  <w:style w:type="paragraph" w:styleId="ListParagraph">
    <w:name w:val="List Paragraph"/>
    <w:basedOn w:val="Normal"/>
    <w:link w:val="ListParagraphChar"/>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602F0D"/>
    <w:rPr>
      <w:lang w:eastAsia="en-GB"/>
    </w:rPr>
  </w:style>
  <w:style w:type="paragraph" w:styleId="FootnoteText">
    <w:name w:val="footnote text"/>
    <w:basedOn w:val="Normal"/>
    <w:link w:val="FootnoteTextChar"/>
    <w:semiHidden/>
    <w:unhideWhenUsed/>
    <w:rsid w:val="005C1518"/>
  </w:style>
  <w:style w:type="character" w:customStyle="1" w:styleId="FootnoteTextChar">
    <w:name w:val="Footnote Text Char"/>
    <w:basedOn w:val="DefaultParagraphFont"/>
    <w:link w:val="FootnoteText"/>
    <w:semiHidden/>
    <w:rsid w:val="005C1518"/>
    <w:rPr>
      <w:lang w:eastAsia="en-GB"/>
    </w:rPr>
  </w:style>
  <w:style w:type="character" w:styleId="FootnoteReference">
    <w:name w:val="footnote reference"/>
    <w:basedOn w:val="DefaultParagraphFont"/>
    <w:semiHidden/>
    <w:unhideWhenUsed/>
    <w:rsid w:val="005C1518"/>
    <w:rPr>
      <w:vertAlign w:val="superscript"/>
    </w:rPr>
  </w:style>
  <w:style w:type="paragraph" w:styleId="BodyText">
    <w:name w:val="Body Text"/>
    <w:basedOn w:val="Normal"/>
    <w:link w:val="BodyTextChar"/>
    <w:semiHidden/>
    <w:unhideWhenUsed/>
    <w:rsid w:val="004A4469"/>
    <w:pPr>
      <w:spacing w:after="120"/>
    </w:pPr>
  </w:style>
  <w:style w:type="character" w:customStyle="1" w:styleId="BodyTextChar">
    <w:name w:val="Body Text Char"/>
    <w:basedOn w:val="DefaultParagraphFont"/>
    <w:link w:val="BodyText"/>
    <w:semiHidden/>
    <w:rsid w:val="004A4469"/>
    <w:rPr>
      <w:lang w:eastAsia="en-GB"/>
    </w:rPr>
  </w:style>
  <w:style w:type="paragraph" w:styleId="PlainText">
    <w:name w:val="Plain Text"/>
    <w:basedOn w:val="Normal"/>
    <w:link w:val="PlainTextChar"/>
    <w:semiHidden/>
    <w:rsid w:val="004A4469"/>
    <w:rPr>
      <w:rFonts w:ascii="Courier New" w:hAnsi="Courier New"/>
      <w:lang w:eastAsia="en-US"/>
    </w:rPr>
  </w:style>
  <w:style w:type="character" w:customStyle="1" w:styleId="PlainTextChar">
    <w:name w:val="Plain Text Char"/>
    <w:basedOn w:val="DefaultParagraphFont"/>
    <w:link w:val="PlainText"/>
    <w:semiHidden/>
    <w:rsid w:val="004A4469"/>
    <w:rPr>
      <w:rFonts w:ascii="Courier New" w:hAnsi="Courier New"/>
    </w:rPr>
  </w:style>
  <w:style w:type="paragraph" w:customStyle="1" w:styleId="DocumentLabel">
    <w:name w:val="Document Label"/>
    <w:next w:val="Normal"/>
    <w:rsid w:val="004A4469"/>
    <w:pPr>
      <w:spacing w:before="140" w:after="540" w:line="600" w:lineRule="atLeast"/>
      <w:ind w:left="840"/>
    </w:pPr>
    <w:rPr>
      <w:spacing w:val="-38"/>
      <w:sz w:val="60"/>
      <w:lang w:val="en-US"/>
    </w:rPr>
  </w:style>
  <w:style w:type="character" w:customStyle="1" w:styleId="MessageHeaderLabel">
    <w:name w:val="Message Header Label"/>
    <w:rsid w:val="004A4469"/>
    <w:rPr>
      <w:rFonts w:ascii="Arial" w:hAnsi="Arial"/>
      <w:b/>
      <w:spacing w:val="-4"/>
      <w:sz w:val="18"/>
      <w:vertAlign w:val="baseline"/>
    </w:rPr>
  </w:style>
  <w:style w:type="paragraph" w:styleId="MessageHeader">
    <w:name w:val="Message Header"/>
    <w:basedOn w:val="BodyText"/>
    <w:link w:val="MessageHeaderChar"/>
    <w:semiHidden/>
    <w:rsid w:val="004A4469"/>
    <w:pPr>
      <w:keepLines/>
      <w:spacing w:after="0" w:line="415" w:lineRule="atLeast"/>
      <w:ind w:left="1560" w:hanging="720"/>
    </w:pPr>
    <w:rPr>
      <w:lang w:eastAsia="en-US"/>
    </w:rPr>
  </w:style>
  <w:style w:type="character" w:customStyle="1" w:styleId="MessageHeaderChar">
    <w:name w:val="Message Header Char"/>
    <w:basedOn w:val="DefaultParagraphFont"/>
    <w:link w:val="MessageHeader"/>
    <w:semiHidden/>
    <w:rsid w:val="004A4469"/>
  </w:style>
  <w:style w:type="paragraph" w:customStyle="1" w:styleId="cpe2">
    <w:name w:val="cpe2"/>
    <w:basedOn w:val="Normal"/>
    <w:rsid w:val="0010418C"/>
    <w:rPr>
      <w:b/>
      <w:sz w:val="28"/>
    </w:rPr>
  </w:style>
  <w:style w:type="character" w:styleId="UnresolvedMention">
    <w:name w:val="Unresolved Mention"/>
    <w:basedOn w:val="DefaultParagraphFont"/>
    <w:uiPriority w:val="99"/>
    <w:semiHidden/>
    <w:unhideWhenUsed/>
    <w:rsid w:val="00041636"/>
    <w:rPr>
      <w:color w:val="605E5C"/>
      <w:shd w:val="clear" w:color="auto" w:fill="E1DFDD"/>
    </w:rPr>
  </w:style>
  <w:style w:type="paragraph" w:customStyle="1" w:styleId="Normal1">
    <w:name w:val="Normal1"/>
    <w:rsid w:val="00986FB5"/>
    <w:pPr>
      <w:spacing w:line="360" w:lineRule="auto"/>
      <w:jc w:val="both"/>
    </w:pPr>
    <w:rPr>
      <w:sz w:val="24"/>
      <w:szCs w:val="24"/>
      <w:lang w:eastAsia="en-IN"/>
    </w:rPr>
  </w:style>
  <w:style w:type="paragraph" w:styleId="Title">
    <w:name w:val="Title"/>
    <w:basedOn w:val="Normal1"/>
    <w:next w:val="Normal1"/>
    <w:link w:val="TitleChar"/>
    <w:qFormat/>
    <w:rsid w:val="00986FB5"/>
    <w:pPr>
      <w:keepNext/>
      <w:keepLines/>
      <w:jc w:val="center"/>
    </w:pPr>
    <w:rPr>
      <w:rFonts w:ascii="Arial" w:eastAsia="Arial" w:hAnsi="Arial" w:cs="Arial"/>
      <w:b/>
      <w:sz w:val="36"/>
      <w:szCs w:val="36"/>
    </w:rPr>
  </w:style>
  <w:style w:type="character" w:customStyle="1" w:styleId="TitleChar">
    <w:name w:val="Title Char"/>
    <w:basedOn w:val="DefaultParagraphFont"/>
    <w:link w:val="Title"/>
    <w:rsid w:val="00986FB5"/>
    <w:rPr>
      <w:rFonts w:ascii="Arial" w:eastAsia="Arial" w:hAnsi="Arial" w:cs="Arial"/>
      <w:b/>
      <w:sz w:val="36"/>
      <w:szCs w:val="36"/>
      <w:lang w:eastAsia="en-IN"/>
    </w:rPr>
  </w:style>
  <w:style w:type="character" w:styleId="FollowedHyperlink">
    <w:name w:val="FollowedHyperlink"/>
    <w:basedOn w:val="DefaultParagraphFont"/>
    <w:semiHidden/>
    <w:unhideWhenUsed/>
    <w:rsid w:val="00B542BE"/>
    <w:rPr>
      <w:color w:val="800080" w:themeColor="followedHyperlink"/>
      <w:u w:val="single"/>
    </w:rPr>
  </w:style>
  <w:style w:type="paragraph" w:styleId="Bibliography">
    <w:name w:val="Bibliography"/>
    <w:basedOn w:val="Normal"/>
    <w:next w:val="Normal"/>
    <w:uiPriority w:val="37"/>
    <w:unhideWhenUsed/>
    <w:rsid w:val="00845F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142512">
      <w:bodyDiv w:val="1"/>
      <w:marLeft w:val="0"/>
      <w:marRight w:val="0"/>
      <w:marTop w:val="0"/>
      <w:marBottom w:val="0"/>
      <w:divBdr>
        <w:top w:val="none" w:sz="0" w:space="0" w:color="auto"/>
        <w:left w:val="none" w:sz="0" w:space="0" w:color="auto"/>
        <w:bottom w:val="none" w:sz="0" w:space="0" w:color="auto"/>
        <w:right w:val="none" w:sz="0" w:space="0" w:color="auto"/>
      </w:divBdr>
    </w:div>
    <w:div w:id="63989289">
      <w:bodyDiv w:val="1"/>
      <w:marLeft w:val="0"/>
      <w:marRight w:val="0"/>
      <w:marTop w:val="0"/>
      <w:marBottom w:val="0"/>
      <w:divBdr>
        <w:top w:val="none" w:sz="0" w:space="0" w:color="auto"/>
        <w:left w:val="none" w:sz="0" w:space="0" w:color="auto"/>
        <w:bottom w:val="none" w:sz="0" w:space="0" w:color="auto"/>
        <w:right w:val="none" w:sz="0" w:space="0" w:color="auto"/>
      </w:divBdr>
    </w:div>
    <w:div w:id="64450852">
      <w:bodyDiv w:val="1"/>
      <w:marLeft w:val="0"/>
      <w:marRight w:val="0"/>
      <w:marTop w:val="0"/>
      <w:marBottom w:val="0"/>
      <w:divBdr>
        <w:top w:val="none" w:sz="0" w:space="0" w:color="auto"/>
        <w:left w:val="none" w:sz="0" w:space="0" w:color="auto"/>
        <w:bottom w:val="none" w:sz="0" w:space="0" w:color="auto"/>
        <w:right w:val="none" w:sz="0" w:space="0" w:color="auto"/>
      </w:divBdr>
    </w:div>
    <w:div w:id="77557745">
      <w:bodyDiv w:val="1"/>
      <w:marLeft w:val="0"/>
      <w:marRight w:val="0"/>
      <w:marTop w:val="0"/>
      <w:marBottom w:val="0"/>
      <w:divBdr>
        <w:top w:val="none" w:sz="0" w:space="0" w:color="auto"/>
        <w:left w:val="none" w:sz="0" w:space="0" w:color="auto"/>
        <w:bottom w:val="none" w:sz="0" w:space="0" w:color="auto"/>
        <w:right w:val="none" w:sz="0" w:space="0" w:color="auto"/>
      </w:divBdr>
    </w:div>
    <w:div w:id="343750210">
      <w:bodyDiv w:val="1"/>
      <w:marLeft w:val="0"/>
      <w:marRight w:val="0"/>
      <w:marTop w:val="0"/>
      <w:marBottom w:val="0"/>
      <w:divBdr>
        <w:top w:val="none" w:sz="0" w:space="0" w:color="auto"/>
        <w:left w:val="none" w:sz="0" w:space="0" w:color="auto"/>
        <w:bottom w:val="none" w:sz="0" w:space="0" w:color="auto"/>
        <w:right w:val="none" w:sz="0" w:space="0" w:color="auto"/>
      </w:divBdr>
      <w:divsChild>
        <w:div w:id="1116408279">
          <w:marLeft w:val="0"/>
          <w:marRight w:val="0"/>
          <w:marTop w:val="0"/>
          <w:marBottom w:val="0"/>
          <w:divBdr>
            <w:top w:val="none" w:sz="0" w:space="0" w:color="auto"/>
            <w:left w:val="none" w:sz="0" w:space="0" w:color="auto"/>
            <w:bottom w:val="none" w:sz="0" w:space="0" w:color="auto"/>
            <w:right w:val="none" w:sz="0" w:space="0" w:color="auto"/>
          </w:divBdr>
          <w:divsChild>
            <w:div w:id="228656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4521447">
      <w:bodyDiv w:val="1"/>
      <w:marLeft w:val="0"/>
      <w:marRight w:val="0"/>
      <w:marTop w:val="0"/>
      <w:marBottom w:val="0"/>
      <w:divBdr>
        <w:top w:val="none" w:sz="0" w:space="0" w:color="auto"/>
        <w:left w:val="none" w:sz="0" w:space="0" w:color="auto"/>
        <w:bottom w:val="none" w:sz="0" w:space="0" w:color="auto"/>
        <w:right w:val="none" w:sz="0" w:space="0" w:color="auto"/>
      </w:divBdr>
    </w:div>
    <w:div w:id="506869417">
      <w:bodyDiv w:val="1"/>
      <w:marLeft w:val="0"/>
      <w:marRight w:val="0"/>
      <w:marTop w:val="0"/>
      <w:marBottom w:val="0"/>
      <w:divBdr>
        <w:top w:val="none" w:sz="0" w:space="0" w:color="auto"/>
        <w:left w:val="none" w:sz="0" w:space="0" w:color="auto"/>
        <w:bottom w:val="none" w:sz="0" w:space="0" w:color="auto"/>
        <w:right w:val="none" w:sz="0" w:space="0" w:color="auto"/>
      </w:divBdr>
    </w:div>
    <w:div w:id="803355069">
      <w:bodyDiv w:val="1"/>
      <w:marLeft w:val="0"/>
      <w:marRight w:val="0"/>
      <w:marTop w:val="0"/>
      <w:marBottom w:val="0"/>
      <w:divBdr>
        <w:top w:val="none" w:sz="0" w:space="0" w:color="auto"/>
        <w:left w:val="none" w:sz="0" w:space="0" w:color="auto"/>
        <w:bottom w:val="none" w:sz="0" w:space="0" w:color="auto"/>
        <w:right w:val="none" w:sz="0" w:space="0" w:color="auto"/>
      </w:divBdr>
      <w:divsChild>
        <w:div w:id="1553272284">
          <w:marLeft w:val="547"/>
          <w:marRight w:val="0"/>
          <w:marTop w:val="0"/>
          <w:marBottom w:val="0"/>
          <w:divBdr>
            <w:top w:val="none" w:sz="0" w:space="0" w:color="auto"/>
            <w:left w:val="none" w:sz="0" w:space="0" w:color="auto"/>
            <w:bottom w:val="none" w:sz="0" w:space="0" w:color="auto"/>
            <w:right w:val="none" w:sz="0" w:space="0" w:color="auto"/>
          </w:divBdr>
        </w:div>
      </w:divsChild>
    </w:div>
    <w:div w:id="872310119">
      <w:bodyDiv w:val="1"/>
      <w:marLeft w:val="0"/>
      <w:marRight w:val="0"/>
      <w:marTop w:val="0"/>
      <w:marBottom w:val="0"/>
      <w:divBdr>
        <w:top w:val="none" w:sz="0" w:space="0" w:color="auto"/>
        <w:left w:val="none" w:sz="0" w:space="0" w:color="auto"/>
        <w:bottom w:val="none" w:sz="0" w:space="0" w:color="auto"/>
        <w:right w:val="none" w:sz="0" w:space="0" w:color="auto"/>
      </w:divBdr>
    </w:div>
    <w:div w:id="1190025900">
      <w:bodyDiv w:val="1"/>
      <w:marLeft w:val="0"/>
      <w:marRight w:val="0"/>
      <w:marTop w:val="0"/>
      <w:marBottom w:val="0"/>
      <w:divBdr>
        <w:top w:val="none" w:sz="0" w:space="0" w:color="auto"/>
        <w:left w:val="none" w:sz="0" w:space="0" w:color="auto"/>
        <w:bottom w:val="none" w:sz="0" w:space="0" w:color="auto"/>
        <w:right w:val="none" w:sz="0" w:space="0" w:color="auto"/>
      </w:divBdr>
    </w:div>
    <w:div w:id="119053341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9654068">
      <w:bodyDiv w:val="1"/>
      <w:marLeft w:val="0"/>
      <w:marRight w:val="0"/>
      <w:marTop w:val="0"/>
      <w:marBottom w:val="0"/>
      <w:divBdr>
        <w:top w:val="none" w:sz="0" w:space="0" w:color="auto"/>
        <w:left w:val="none" w:sz="0" w:space="0" w:color="auto"/>
        <w:bottom w:val="none" w:sz="0" w:space="0" w:color="auto"/>
        <w:right w:val="none" w:sz="0" w:space="0" w:color="auto"/>
      </w:divBdr>
      <w:divsChild>
        <w:div w:id="358161706">
          <w:marLeft w:val="0"/>
          <w:marRight w:val="0"/>
          <w:marTop w:val="0"/>
          <w:marBottom w:val="0"/>
          <w:divBdr>
            <w:top w:val="single" w:sz="2" w:space="0" w:color="D9D9E3"/>
            <w:left w:val="single" w:sz="2" w:space="0" w:color="D9D9E3"/>
            <w:bottom w:val="single" w:sz="2" w:space="0" w:color="D9D9E3"/>
            <w:right w:val="single" w:sz="2" w:space="0" w:color="D9D9E3"/>
          </w:divBdr>
          <w:divsChild>
            <w:div w:id="369452466">
              <w:marLeft w:val="0"/>
              <w:marRight w:val="0"/>
              <w:marTop w:val="0"/>
              <w:marBottom w:val="0"/>
              <w:divBdr>
                <w:top w:val="single" w:sz="2" w:space="0" w:color="D9D9E3"/>
                <w:left w:val="single" w:sz="2" w:space="0" w:color="D9D9E3"/>
                <w:bottom w:val="single" w:sz="2" w:space="0" w:color="D9D9E3"/>
                <w:right w:val="single" w:sz="2" w:space="0" w:color="D9D9E3"/>
              </w:divBdr>
              <w:divsChild>
                <w:div w:id="1899703630">
                  <w:marLeft w:val="0"/>
                  <w:marRight w:val="0"/>
                  <w:marTop w:val="0"/>
                  <w:marBottom w:val="0"/>
                  <w:divBdr>
                    <w:top w:val="single" w:sz="2" w:space="0" w:color="D9D9E3"/>
                    <w:left w:val="single" w:sz="2" w:space="0" w:color="D9D9E3"/>
                    <w:bottom w:val="single" w:sz="2" w:space="0" w:color="D9D9E3"/>
                    <w:right w:val="single" w:sz="2" w:space="0" w:color="D9D9E3"/>
                  </w:divBdr>
                  <w:divsChild>
                    <w:div w:id="1929346917">
                      <w:marLeft w:val="0"/>
                      <w:marRight w:val="0"/>
                      <w:marTop w:val="0"/>
                      <w:marBottom w:val="0"/>
                      <w:divBdr>
                        <w:top w:val="single" w:sz="2" w:space="0" w:color="D9D9E3"/>
                        <w:left w:val="single" w:sz="2" w:space="0" w:color="D9D9E3"/>
                        <w:bottom w:val="single" w:sz="2" w:space="0" w:color="D9D9E3"/>
                        <w:right w:val="single" w:sz="2" w:space="0" w:color="D9D9E3"/>
                      </w:divBdr>
                      <w:divsChild>
                        <w:div w:id="690690973">
                          <w:marLeft w:val="0"/>
                          <w:marRight w:val="0"/>
                          <w:marTop w:val="0"/>
                          <w:marBottom w:val="0"/>
                          <w:divBdr>
                            <w:top w:val="single" w:sz="2" w:space="0" w:color="auto"/>
                            <w:left w:val="single" w:sz="2" w:space="0" w:color="auto"/>
                            <w:bottom w:val="single" w:sz="6" w:space="0" w:color="auto"/>
                            <w:right w:val="single" w:sz="2" w:space="0" w:color="auto"/>
                          </w:divBdr>
                          <w:divsChild>
                            <w:div w:id="958220941">
                              <w:marLeft w:val="0"/>
                              <w:marRight w:val="0"/>
                              <w:marTop w:val="100"/>
                              <w:marBottom w:val="100"/>
                              <w:divBdr>
                                <w:top w:val="single" w:sz="2" w:space="0" w:color="D9D9E3"/>
                                <w:left w:val="single" w:sz="2" w:space="0" w:color="D9D9E3"/>
                                <w:bottom w:val="single" w:sz="2" w:space="0" w:color="D9D9E3"/>
                                <w:right w:val="single" w:sz="2" w:space="0" w:color="D9D9E3"/>
                              </w:divBdr>
                              <w:divsChild>
                                <w:div w:id="708184480">
                                  <w:marLeft w:val="0"/>
                                  <w:marRight w:val="0"/>
                                  <w:marTop w:val="0"/>
                                  <w:marBottom w:val="0"/>
                                  <w:divBdr>
                                    <w:top w:val="single" w:sz="2" w:space="0" w:color="D9D9E3"/>
                                    <w:left w:val="single" w:sz="2" w:space="0" w:color="D9D9E3"/>
                                    <w:bottom w:val="single" w:sz="2" w:space="0" w:color="D9D9E3"/>
                                    <w:right w:val="single" w:sz="2" w:space="0" w:color="D9D9E3"/>
                                  </w:divBdr>
                                  <w:divsChild>
                                    <w:div w:id="456071911">
                                      <w:marLeft w:val="0"/>
                                      <w:marRight w:val="0"/>
                                      <w:marTop w:val="0"/>
                                      <w:marBottom w:val="0"/>
                                      <w:divBdr>
                                        <w:top w:val="single" w:sz="2" w:space="0" w:color="D9D9E3"/>
                                        <w:left w:val="single" w:sz="2" w:space="0" w:color="D9D9E3"/>
                                        <w:bottom w:val="single" w:sz="2" w:space="0" w:color="D9D9E3"/>
                                        <w:right w:val="single" w:sz="2" w:space="0" w:color="D9D9E3"/>
                                      </w:divBdr>
                                      <w:divsChild>
                                        <w:div w:id="403375442">
                                          <w:marLeft w:val="0"/>
                                          <w:marRight w:val="0"/>
                                          <w:marTop w:val="0"/>
                                          <w:marBottom w:val="0"/>
                                          <w:divBdr>
                                            <w:top w:val="single" w:sz="2" w:space="0" w:color="D9D9E3"/>
                                            <w:left w:val="single" w:sz="2" w:space="0" w:color="D9D9E3"/>
                                            <w:bottom w:val="single" w:sz="2" w:space="0" w:color="D9D9E3"/>
                                            <w:right w:val="single" w:sz="2" w:space="0" w:color="D9D9E3"/>
                                          </w:divBdr>
                                          <w:divsChild>
                                            <w:div w:id="648409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503159415">
          <w:marLeft w:val="0"/>
          <w:marRight w:val="0"/>
          <w:marTop w:val="0"/>
          <w:marBottom w:val="0"/>
          <w:divBdr>
            <w:top w:val="none" w:sz="0" w:space="0" w:color="auto"/>
            <w:left w:val="none" w:sz="0" w:space="0" w:color="auto"/>
            <w:bottom w:val="none" w:sz="0" w:space="0" w:color="auto"/>
            <w:right w:val="none" w:sz="0" w:space="0" w:color="auto"/>
          </w:divBdr>
          <w:divsChild>
            <w:div w:id="1999919099">
              <w:marLeft w:val="0"/>
              <w:marRight w:val="0"/>
              <w:marTop w:val="0"/>
              <w:marBottom w:val="0"/>
              <w:divBdr>
                <w:top w:val="single" w:sz="2" w:space="0" w:color="D9D9E3"/>
                <w:left w:val="single" w:sz="2" w:space="0" w:color="D9D9E3"/>
                <w:bottom w:val="single" w:sz="2" w:space="0" w:color="D9D9E3"/>
                <w:right w:val="single" w:sz="2" w:space="0" w:color="D9D9E3"/>
              </w:divBdr>
              <w:divsChild>
                <w:div w:id="629214612">
                  <w:marLeft w:val="0"/>
                  <w:marRight w:val="0"/>
                  <w:marTop w:val="0"/>
                  <w:marBottom w:val="0"/>
                  <w:divBdr>
                    <w:top w:val="single" w:sz="2" w:space="0" w:color="D9D9E3"/>
                    <w:left w:val="single" w:sz="2" w:space="0" w:color="D9D9E3"/>
                    <w:bottom w:val="single" w:sz="2" w:space="0" w:color="D9D9E3"/>
                    <w:right w:val="single" w:sz="2" w:space="0" w:color="D9D9E3"/>
                  </w:divBdr>
                  <w:divsChild>
                    <w:div w:id="17593997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ra.org.uk/solicitors/standards-regulations/code-conduct-solicitor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ublications.parliament.uk/pa/cm201719/cmselect/cmworpen/352/352.pdf"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arrer.co.uk/news-and-insights/blogs/sex-discrimination-and-equal-pay-why-a-city-banker-was-awarded-2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lation.gov.uk/ukpga/1968/60/section/1"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www.bailii.org/ew/cases/EWCA/Crim/2005/824.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D31BB3-6F15-450E-B30B-24CA799AB2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315</TotalTime>
  <Pages>8</Pages>
  <Words>2027</Words>
  <Characters>11555</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13555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Andreea Calin (2207380)</cp:lastModifiedBy>
  <cp:revision>153</cp:revision>
  <cp:lastPrinted>2014-10-10T07:42:00Z</cp:lastPrinted>
  <dcterms:created xsi:type="dcterms:W3CDTF">2022-01-06T10:16:00Z</dcterms:created>
  <dcterms:modified xsi:type="dcterms:W3CDTF">2023-04-24T18:18:00Z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