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D16EC" w14:textId="77777777"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w:t>
      </w:r>
    </w:p>
    <w:p w14:paraId="36BECC48" w14:textId="2F7C67FD"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w:t>
      </w:r>
      <w:r w:rsidRPr="00C44F21">
        <w:rPr>
          <w:rFonts w:ascii="Arial" w:hAnsi="Arial" w:cs="Arial"/>
          <w:b/>
          <w:bCs/>
          <w:sz w:val="48"/>
          <w:szCs w:val="48"/>
        </w:rPr>
        <w:t xml:space="preserve">Module Title: </w:t>
      </w:r>
    </w:p>
    <w:p w14:paraId="5FD68B3B" w14:textId="753930BF"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w:t>
      </w:r>
      <w:r w:rsidRPr="00C44F21">
        <w:rPr>
          <w:rFonts w:ascii="Arial" w:hAnsi="Arial" w:cs="Arial"/>
          <w:b/>
          <w:bCs/>
          <w:sz w:val="48"/>
          <w:szCs w:val="48"/>
        </w:rPr>
        <w:t>Understanding and Engaging</w:t>
      </w:r>
    </w:p>
    <w:p w14:paraId="223DFF82" w14:textId="3560D96D" w:rsidR="00F92AAA" w:rsidRDefault="00C44F21" w:rsidP="00A948DA">
      <w:pPr>
        <w:spacing w:line="360" w:lineRule="auto"/>
        <w:rPr>
          <w:rFonts w:ascii="Arial" w:hAnsi="Arial" w:cs="Arial"/>
          <w:b/>
          <w:bCs/>
          <w:sz w:val="48"/>
          <w:szCs w:val="48"/>
        </w:rPr>
      </w:pPr>
      <w:r>
        <w:rPr>
          <w:rFonts w:ascii="Arial" w:hAnsi="Arial" w:cs="Arial"/>
          <w:b/>
          <w:bCs/>
          <w:sz w:val="48"/>
          <w:szCs w:val="48"/>
        </w:rPr>
        <w:t xml:space="preserve">                    </w:t>
      </w:r>
      <w:r w:rsidRPr="00C44F21">
        <w:rPr>
          <w:rFonts w:ascii="Arial" w:hAnsi="Arial" w:cs="Arial"/>
          <w:b/>
          <w:bCs/>
          <w:sz w:val="48"/>
          <w:szCs w:val="48"/>
        </w:rPr>
        <w:t>Stakeholders</w:t>
      </w:r>
    </w:p>
    <w:p w14:paraId="36CBC147" w14:textId="5DA5FF51"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Module Code: LCLM 5001 </w:t>
      </w:r>
    </w:p>
    <w:p w14:paraId="01537FB8" w14:textId="07490314"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Assignment: Individual Report C1</w:t>
      </w:r>
    </w:p>
    <w:p w14:paraId="22B35A1A" w14:textId="77777777" w:rsidR="00C44F21" w:rsidRDefault="00C44F21" w:rsidP="00A948DA">
      <w:pPr>
        <w:spacing w:line="360" w:lineRule="auto"/>
        <w:rPr>
          <w:rFonts w:ascii="Arial" w:hAnsi="Arial" w:cs="Arial"/>
          <w:b/>
          <w:bCs/>
          <w:sz w:val="48"/>
          <w:szCs w:val="48"/>
        </w:rPr>
      </w:pPr>
    </w:p>
    <w:p w14:paraId="3552EE2D" w14:textId="2836C68D"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Student Name: Daniel Amisculesei</w:t>
      </w:r>
    </w:p>
    <w:p w14:paraId="3C26FB86" w14:textId="6F68815A"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Student Number: 2411947</w:t>
      </w:r>
    </w:p>
    <w:p w14:paraId="41A8DC7E" w14:textId="719011FD" w:rsidR="00C44F21" w:rsidRDefault="00C44F21" w:rsidP="00A948DA">
      <w:pPr>
        <w:spacing w:line="360" w:lineRule="auto"/>
        <w:rPr>
          <w:rFonts w:ascii="Arial" w:hAnsi="Arial" w:cs="Arial"/>
          <w:b/>
          <w:bCs/>
          <w:sz w:val="48"/>
          <w:szCs w:val="48"/>
        </w:rPr>
      </w:pPr>
      <w:r>
        <w:rPr>
          <w:rFonts w:ascii="Arial" w:hAnsi="Arial" w:cs="Arial"/>
          <w:b/>
          <w:bCs/>
          <w:sz w:val="48"/>
          <w:szCs w:val="48"/>
        </w:rPr>
        <w:t xml:space="preserve">            Lecture’s Name: Eric Osei</w:t>
      </w:r>
    </w:p>
    <w:p w14:paraId="7255C00A" w14:textId="77777777" w:rsidR="00374918" w:rsidRDefault="00374918" w:rsidP="00A948DA">
      <w:pPr>
        <w:spacing w:line="360" w:lineRule="auto"/>
        <w:rPr>
          <w:rFonts w:ascii="Arial" w:hAnsi="Arial" w:cs="Arial"/>
          <w:b/>
          <w:bCs/>
          <w:sz w:val="48"/>
          <w:szCs w:val="48"/>
        </w:rPr>
      </w:pPr>
    </w:p>
    <w:p w14:paraId="6A0895E8" w14:textId="77777777" w:rsidR="00374918" w:rsidRDefault="00374918" w:rsidP="00A948DA">
      <w:pPr>
        <w:spacing w:line="360" w:lineRule="auto"/>
        <w:rPr>
          <w:rFonts w:ascii="Arial" w:hAnsi="Arial" w:cs="Arial"/>
          <w:b/>
          <w:bCs/>
          <w:sz w:val="48"/>
          <w:szCs w:val="48"/>
        </w:rPr>
      </w:pPr>
    </w:p>
    <w:p w14:paraId="5BB4BC91" w14:textId="77777777" w:rsidR="00374918" w:rsidRPr="00C44F21" w:rsidRDefault="00374918" w:rsidP="00A948DA">
      <w:pPr>
        <w:spacing w:line="360" w:lineRule="auto"/>
        <w:rPr>
          <w:rFonts w:ascii="Arial" w:hAnsi="Arial" w:cs="Arial"/>
          <w:b/>
          <w:bCs/>
          <w:sz w:val="48"/>
          <w:szCs w:val="48"/>
        </w:rPr>
      </w:pPr>
    </w:p>
    <w:p w14:paraId="6FAE18CB" w14:textId="77777777" w:rsidR="00374918" w:rsidRPr="00DB4CB5" w:rsidRDefault="00374918" w:rsidP="00374918">
      <w:pPr>
        <w:pStyle w:val="Heading1"/>
      </w:pPr>
      <w:bookmarkStart w:id="0" w:name="_Toc224997198"/>
      <w:r w:rsidRPr="00DB4CB5">
        <w:lastRenderedPageBreak/>
        <w:t>Executive Summary</w:t>
      </w:r>
      <w:bookmarkEnd w:id="0"/>
    </w:p>
    <w:p w14:paraId="04FA0AED" w14:textId="77777777" w:rsidR="00374918" w:rsidRPr="00F92AAA" w:rsidRDefault="00374918" w:rsidP="00374918">
      <w:pPr>
        <w:spacing w:line="360" w:lineRule="auto"/>
        <w:rPr>
          <w:rFonts w:ascii="Arial" w:hAnsi="Arial" w:cs="Arial"/>
          <w:sz w:val="22"/>
          <w:szCs w:val="22"/>
        </w:rPr>
      </w:pPr>
      <w:r w:rsidRPr="00F92AAA">
        <w:rPr>
          <w:rFonts w:ascii="Arial" w:hAnsi="Arial" w:cs="Arial"/>
          <w:sz w:val="22"/>
          <w:szCs w:val="22"/>
        </w:rPr>
        <w:t>This report outlines a comprehensive stakeholder engagement strategy for the launch of "</w:t>
      </w:r>
      <w:proofErr w:type="spellStart"/>
      <w:r w:rsidRPr="00F92AAA">
        <w:rPr>
          <w:rFonts w:ascii="Arial" w:hAnsi="Arial" w:cs="Arial"/>
          <w:sz w:val="22"/>
          <w:szCs w:val="22"/>
        </w:rPr>
        <w:t>StaySmart</w:t>
      </w:r>
      <w:proofErr w:type="spellEnd"/>
      <w:r w:rsidRPr="00F92AAA">
        <w:rPr>
          <w:rFonts w:ascii="Arial" w:hAnsi="Arial" w:cs="Arial"/>
          <w:sz w:val="22"/>
          <w:szCs w:val="22"/>
        </w:rPr>
        <w:t>+," a new AI-driven premium customer experience service, by the Birmingham-based global hotel group, </w:t>
      </w:r>
      <w:r w:rsidRPr="00F92AAA">
        <w:rPr>
          <w:rFonts w:ascii="Arial" w:hAnsi="Arial" w:cs="Arial"/>
          <w:b/>
          <w:bCs/>
          <w:sz w:val="22"/>
          <w:szCs w:val="22"/>
        </w:rPr>
        <w:t>Apex Hotels International</w:t>
      </w:r>
      <w:r w:rsidRPr="00F92AAA">
        <w:rPr>
          <w:rFonts w:ascii="Arial" w:hAnsi="Arial" w:cs="Arial"/>
          <w:sz w:val="22"/>
          <w:szCs w:val="22"/>
        </w:rPr>
        <w:t>. The project's success in diverse local and international markets hinges on the effective identification, analysis, and engagement of a complex network of internal and external stakeholders (Freeman, 1984).</w:t>
      </w:r>
    </w:p>
    <w:p w14:paraId="0781DE39" w14:textId="77777777" w:rsidR="00374918" w:rsidRPr="00F92AAA" w:rsidRDefault="00374918" w:rsidP="00374918">
      <w:pPr>
        <w:spacing w:line="360" w:lineRule="auto"/>
        <w:rPr>
          <w:rFonts w:ascii="Arial" w:hAnsi="Arial" w:cs="Arial"/>
          <w:sz w:val="22"/>
          <w:szCs w:val="22"/>
        </w:rPr>
      </w:pPr>
      <w:r w:rsidRPr="00F92AAA">
        <w:rPr>
          <w:rFonts w:ascii="Arial" w:hAnsi="Arial" w:cs="Arial"/>
          <w:sz w:val="22"/>
          <w:szCs w:val="22"/>
        </w:rPr>
        <w:t xml:space="preserve">The report begins with an introduction to Apex Hotels International and the strategic rationale for </w:t>
      </w:r>
      <w:proofErr w:type="spellStart"/>
      <w:r w:rsidRPr="00F92AAA">
        <w:rPr>
          <w:rFonts w:ascii="Arial" w:hAnsi="Arial" w:cs="Arial"/>
          <w:sz w:val="22"/>
          <w:szCs w:val="22"/>
        </w:rPr>
        <w:t>StaySmart</w:t>
      </w:r>
      <w:proofErr w:type="spellEnd"/>
      <w:r w:rsidRPr="00F92AAA">
        <w:rPr>
          <w:rFonts w:ascii="Arial" w:hAnsi="Arial" w:cs="Arial"/>
          <w:sz w:val="22"/>
          <w:szCs w:val="22"/>
        </w:rPr>
        <w:t>+. A situational analysis, incorporating SWOT and PESTLE frameworks, is conducted to contextualise the project environment (Johnson, Scholes and Whittington, 2008). Drawing on foundational stakeholder theory, key stakeholders are identified and categorised. Their roles, responsibilities, and significance are analysed using tools such as the RACI Matrix and Mendelow's Power-Interest Grid, which form the basis for a targeted stakeholder engagement and communication plan (Mendelow, 1991).</w:t>
      </w:r>
    </w:p>
    <w:p w14:paraId="1C36E60F" w14:textId="77777777" w:rsidR="00374918" w:rsidRPr="00F92AAA" w:rsidRDefault="00374918" w:rsidP="00374918">
      <w:pPr>
        <w:spacing w:line="360" w:lineRule="auto"/>
        <w:rPr>
          <w:rFonts w:ascii="Arial" w:hAnsi="Arial" w:cs="Arial"/>
          <w:sz w:val="22"/>
          <w:szCs w:val="22"/>
        </w:rPr>
      </w:pPr>
      <w:r w:rsidRPr="00F92AAA">
        <w:rPr>
          <w:rFonts w:ascii="Arial" w:hAnsi="Arial" w:cs="Arial"/>
          <w:sz w:val="22"/>
          <w:szCs w:val="22"/>
        </w:rPr>
        <w:t xml:space="preserve">The core of the report critically applies the 4C's model—Communication, Collaboration, Consultation, and Commitment—as a process for managing stakeholder relationships and mitigating conflict throughout the project lifecycle (Z/Yen Group, 2003). Finally, the impact of this engagement on business performance is evaluated, and strategic recommendations are provided to foster long-term stakeholder buy-in and maximise the value derived from the </w:t>
      </w:r>
      <w:proofErr w:type="spellStart"/>
      <w:r w:rsidRPr="00F92AAA">
        <w:rPr>
          <w:rFonts w:ascii="Arial" w:hAnsi="Arial" w:cs="Arial"/>
          <w:sz w:val="22"/>
          <w:szCs w:val="22"/>
        </w:rPr>
        <w:t>StaySmart</w:t>
      </w:r>
      <w:proofErr w:type="spellEnd"/>
      <w:r w:rsidRPr="00F92AAA">
        <w:rPr>
          <w:rFonts w:ascii="Arial" w:hAnsi="Arial" w:cs="Arial"/>
          <w:sz w:val="22"/>
          <w:szCs w:val="22"/>
        </w:rPr>
        <w:t xml:space="preserve">+ initiative. The report concludes that a proactive, </w:t>
      </w:r>
      <w:proofErr w:type="gramStart"/>
      <w:r w:rsidRPr="00F92AAA">
        <w:rPr>
          <w:rFonts w:ascii="Arial" w:hAnsi="Arial" w:cs="Arial"/>
          <w:sz w:val="22"/>
          <w:szCs w:val="22"/>
        </w:rPr>
        <w:t>culturally-attuned</w:t>
      </w:r>
      <w:proofErr w:type="gramEnd"/>
      <w:r w:rsidRPr="00F92AAA">
        <w:rPr>
          <w:rFonts w:ascii="Arial" w:hAnsi="Arial" w:cs="Arial"/>
          <w:sz w:val="22"/>
          <w:szCs w:val="22"/>
        </w:rPr>
        <w:t xml:space="preserve">, and structured approach to stakeholder engagement is not merely a project management tool but a strategic imperative for achieving competitive advantage and ensuring the successful global adoption of </w:t>
      </w:r>
      <w:proofErr w:type="spellStart"/>
      <w:r w:rsidRPr="00F92AAA">
        <w:rPr>
          <w:rFonts w:ascii="Arial" w:hAnsi="Arial" w:cs="Arial"/>
          <w:sz w:val="22"/>
          <w:szCs w:val="22"/>
        </w:rPr>
        <w:t>StaySmart</w:t>
      </w:r>
      <w:proofErr w:type="spellEnd"/>
      <w:r w:rsidRPr="00F92AAA">
        <w:rPr>
          <w:rFonts w:ascii="Arial" w:hAnsi="Arial" w:cs="Arial"/>
          <w:sz w:val="22"/>
          <w:szCs w:val="22"/>
        </w:rPr>
        <w:t>+ (Donaldson and Preston, 1995).</w:t>
      </w:r>
    </w:p>
    <w:p w14:paraId="258898F8" w14:textId="77777777" w:rsidR="00F92AAA" w:rsidRPr="00A948DA" w:rsidRDefault="00F92AAA" w:rsidP="00A948DA">
      <w:pPr>
        <w:spacing w:line="360" w:lineRule="auto"/>
        <w:rPr>
          <w:rFonts w:ascii="Arial" w:hAnsi="Arial" w:cs="Arial"/>
          <w:b/>
          <w:bCs/>
          <w:sz w:val="22"/>
          <w:szCs w:val="22"/>
        </w:rPr>
      </w:pPr>
    </w:p>
    <w:p w14:paraId="7EEF1393" w14:textId="77777777" w:rsidR="00323893" w:rsidRDefault="00323893" w:rsidP="00A948DA">
      <w:pPr>
        <w:spacing w:line="360" w:lineRule="auto"/>
        <w:rPr>
          <w:rFonts w:ascii="Arial" w:hAnsi="Arial" w:cs="Arial"/>
          <w:b/>
          <w:bCs/>
          <w:sz w:val="22"/>
          <w:szCs w:val="22"/>
        </w:rPr>
      </w:pPr>
    </w:p>
    <w:p w14:paraId="7E65C781" w14:textId="77777777" w:rsidR="00323893" w:rsidRDefault="00323893" w:rsidP="00A948DA">
      <w:pPr>
        <w:spacing w:line="360" w:lineRule="auto"/>
        <w:rPr>
          <w:rFonts w:ascii="Arial" w:hAnsi="Arial" w:cs="Arial"/>
          <w:b/>
          <w:bCs/>
          <w:sz w:val="22"/>
          <w:szCs w:val="22"/>
        </w:rPr>
      </w:pPr>
    </w:p>
    <w:p w14:paraId="19C845F6" w14:textId="77777777" w:rsidR="00323893" w:rsidRDefault="00323893" w:rsidP="00A948DA">
      <w:pPr>
        <w:spacing w:line="360" w:lineRule="auto"/>
        <w:rPr>
          <w:rFonts w:ascii="Arial" w:hAnsi="Arial" w:cs="Arial"/>
          <w:b/>
          <w:bCs/>
          <w:sz w:val="22"/>
          <w:szCs w:val="22"/>
        </w:rPr>
      </w:pPr>
    </w:p>
    <w:p w14:paraId="46F42FE1" w14:textId="77777777" w:rsidR="00374918" w:rsidRDefault="00374918" w:rsidP="00A948DA">
      <w:pPr>
        <w:spacing w:line="360" w:lineRule="auto"/>
        <w:rPr>
          <w:rFonts w:ascii="Arial" w:hAnsi="Arial" w:cs="Arial"/>
          <w:b/>
          <w:bCs/>
          <w:sz w:val="22"/>
          <w:szCs w:val="22"/>
        </w:rPr>
      </w:pPr>
    </w:p>
    <w:p w14:paraId="37457E75" w14:textId="77777777" w:rsidR="00374918" w:rsidRDefault="00374918" w:rsidP="00A948DA">
      <w:pPr>
        <w:spacing w:line="360" w:lineRule="auto"/>
        <w:rPr>
          <w:rFonts w:ascii="Arial" w:hAnsi="Arial" w:cs="Arial"/>
          <w:b/>
          <w:bCs/>
          <w:sz w:val="22"/>
          <w:szCs w:val="22"/>
        </w:rPr>
      </w:pPr>
    </w:p>
    <w:p w14:paraId="6EDFA90E" w14:textId="77777777" w:rsidR="00323893" w:rsidRDefault="00323893" w:rsidP="00A948DA">
      <w:pPr>
        <w:spacing w:line="360" w:lineRule="auto"/>
        <w:rPr>
          <w:rFonts w:ascii="Arial" w:hAnsi="Arial" w:cs="Arial"/>
          <w:b/>
          <w:bCs/>
          <w:sz w:val="22"/>
          <w:szCs w:val="22"/>
        </w:rPr>
      </w:pPr>
    </w:p>
    <w:p w14:paraId="71C48D63" w14:textId="77777777" w:rsidR="00323893" w:rsidRDefault="00323893" w:rsidP="00A948DA">
      <w:pPr>
        <w:spacing w:line="360" w:lineRule="auto"/>
        <w:rPr>
          <w:rFonts w:ascii="Arial" w:hAnsi="Arial" w:cs="Arial"/>
          <w:b/>
          <w:bCs/>
          <w:sz w:val="22"/>
          <w:szCs w:val="22"/>
        </w:rPr>
      </w:pPr>
    </w:p>
    <w:p w14:paraId="7C225180" w14:textId="77777777" w:rsidR="00C44F21" w:rsidRDefault="00C44F21" w:rsidP="00A948DA">
      <w:pPr>
        <w:spacing w:line="360" w:lineRule="auto"/>
        <w:rPr>
          <w:rFonts w:ascii="Arial" w:hAnsi="Arial" w:cs="Arial"/>
          <w:b/>
          <w:bCs/>
          <w:sz w:val="22"/>
          <w:szCs w:val="22"/>
        </w:rPr>
      </w:pPr>
    </w:p>
    <w:p w14:paraId="112BAF98" w14:textId="52AE19D8" w:rsidR="00323893" w:rsidRPr="00B13093" w:rsidRDefault="00323893" w:rsidP="00A948DA">
      <w:pPr>
        <w:spacing w:line="360" w:lineRule="auto"/>
        <w:rPr>
          <w:rFonts w:ascii="Arial" w:hAnsi="Arial" w:cs="Arial"/>
          <w:b/>
          <w:bCs/>
          <w:sz w:val="32"/>
          <w:szCs w:val="32"/>
        </w:rPr>
      </w:pPr>
      <w:r w:rsidRPr="00B13093">
        <w:rPr>
          <w:rFonts w:ascii="Arial" w:hAnsi="Arial" w:cs="Arial"/>
          <w:b/>
          <w:bCs/>
          <w:sz w:val="32"/>
          <w:szCs w:val="32"/>
        </w:rPr>
        <w:lastRenderedPageBreak/>
        <w:t>Table of Contents</w:t>
      </w:r>
    </w:p>
    <w:sdt>
      <w:sdtPr>
        <w:rPr>
          <w:rFonts w:asciiTheme="minorHAnsi" w:eastAsiaTheme="minorHAnsi" w:hAnsiTheme="minorHAnsi" w:cstheme="minorBidi"/>
          <w:color w:val="auto"/>
          <w:kern w:val="2"/>
          <w:sz w:val="24"/>
          <w:szCs w:val="24"/>
          <w:lang w:eastAsia="en-US"/>
          <w14:ligatures w14:val="standardContextual"/>
        </w:rPr>
        <w:id w:val="1025368642"/>
        <w:docPartObj>
          <w:docPartGallery w:val="Table of Contents"/>
          <w:docPartUnique/>
        </w:docPartObj>
      </w:sdtPr>
      <w:sdtEndPr>
        <w:rPr>
          <w:b/>
          <w:bCs/>
        </w:rPr>
      </w:sdtEndPr>
      <w:sdtContent>
        <w:p w14:paraId="1FB0BF61" w14:textId="34EC5515" w:rsidR="005D5862" w:rsidRDefault="005D5862">
          <w:pPr>
            <w:pStyle w:val="TOCHeading"/>
          </w:pPr>
          <w:r>
            <w:t>Contents</w:t>
          </w:r>
        </w:p>
        <w:p w14:paraId="05364661" w14:textId="48C3B373" w:rsidR="00C134AD" w:rsidRDefault="005D58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997198" w:history="1">
            <w:r w:rsidR="00C134AD" w:rsidRPr="00F25B3F">
              <w:rPr>
                <w:rStyle w:val="Hyperlink"/>
                <w:noProof/>
              </w:rPr>
              <w:t>Executive Summary</w:t>
            </w:r>
            <w:r w:rsidR="00C134AD">
              <w:rPr>
                <w:noProof/>
                <w:webHidden/>
              </w:rPr>
              <w:tab/>
            </w:r>
            <w:r w:rsidR="00C134AD">
              <w:rPr>
                <w:noProof/>
                <w:webHidden/>
              </w:rPr>
              <w:fldChar w:fldCharType="begin"/>
            </w:r>
            <w:r w:rsidR="00C134AD">
              <w:rPr>
                <w:noProof/>
                <w:webHidden/>
              </w:rPr>
              <w:instrText xml:space="preserve"> PAGEREF _Toc224997198 \h </w:instrText>
            </w:r>
            <w:r w:rsidR="00C134AD">
              <w:rPr>
                <w:noProof/>
                <w:webHidden/>
              </w:rPr>
            </w:r>
            <w:r w:rsidR="00C134AD">
              <w:rPr>
                <w:noProof/>
                <w:webHidden/>
              </w:rPr>
              <w:fldChar w:fldCharType="separate"/>
            </w:r>
            <w:r w:rsidR="00C134AD">
              <w:rPr>
                <w:noProof/>
                <w:webHidden/>
              </w:rPr>
              <w:t>2</w:t>
            </w:r>
            <w:r w:rsidR="00C134AD">
              <w:rPr>
                <w:noProof/>
                <w:webHidden/>
              </w:rPr>
              <w:fldChar w:fldCharType="end"/>
            </w:r>
          </w:hyperlink>
        </w:p>
        <w:p w14:paraId="0E36AB51" w14:textId="1474DCCA" w:rsidR="00C134AD" w:rsidRDefault="00C134AD">
          <w:pPr>
            <w:pStyle w:val="TOC1"/>
            <w:tabs>
              <w:tab w:val="right" w:leader="dot" w:pos="9016"/>
            </w:tabs>
            <w:rPr>
              <w:rFonts w:eastAsiaTheme="minorEastAsia"/>
              <w:noProof/>
              <w:lang w:eastAsia="en-GB"/>
            </w:rPr>
          </w:pPr>
          <w:hyperlink w:anchor="_Toc224997199" w:history="1">
            <w:r w:rsidRPr="00F25B3F">
              <w:rPr>
                <w:rStyle w:val="Hyperlink"/>
                <w:noProof/>
              </w:rPr>
              <w:t>Introduction of Apex Hotels International and the StaySmart+ Project</w:t>
            </w:r>
            <w:r>
              <w:rPr>
                <w:noProof/>
                <w:webHidden/>
              </w:rPr>
              <w:tab/>
            </w:r>
            <w:r>
              <w:rPr>
                <w:noProof/>
                <w:webHidden/>
              </w:rPr>
              <w:fldChar w:fldCharType="begin"/>
            </w:r>
            <w:r>
              <w:rPr>
                <w:noProof/>
                <w:webHidden/>
              </w:rPr>
              <w:instrText xml:space="preserve"> PAGEREF _Toc224997199 \h </w:instrText>
            </w:r>
            <w:r>
              <w:rPr>
                <w:noProof/>
                <w:webHidden/>
              </w:rPr>
            </w:r>
            <w:r>
              <w:rPr>
                <w:noProof/>
                <w:webHidden/>
              </w:rPr>
              <w:fldChar w:fldCharType="separate"/>
            </w:r>
            <w:r>
              <w:rPr>
                <w:noProof/>
                <w:webHidden/>
              </w:rPr>
              <w:t>4</w:t>
            </w:r>
            <w:r>
              <w:rPr>
                <w:noProof/>
                <w:webHidden/>
              </w:rPr>
              <w:fldChar w:fldCharType="end"/>
            </w:r>
          </w:hyperlink>
        </w:p>
        <w:p w14:paraId="6256FF1E" w14:textId="58D44EE8" w:rsidR="00C134AD" w:rsidRDefault="00C134AD">
          <w:pPr>
            <w:pStyle w:val="TOC1"/>
            <w:tabs>
              <w:tab w:val="right" w:leader="dot" w:pos="9016"/>
            </w:tabs>
            <w:rPr>
              <w:rFonts w:eastAsiaTheme="minorEastAsia"/>
              <w:noProof/>
              <w:lang w:eastAsia="en-GB"/>
            </w:rPr>
          </w:pPr>
          <w:hyperlink w:anchor="_Toc224997200" w:history="1">
            <w:r w:rsidRPr="00F25B3F">
              <w:rPr>
                <w:rStyle w:val="Hyperlink"/>
                <w:noProof/>
              </w:rPr>
              <w:t>Situational Analysis: SWOT and PESTLE</w:t>
            </w:r>
            <w:r>
              <w:rPr>
                <w:noProof/>
                <w:webHidden/>
              </w:rPr>
              <w:tab/>
            </w:r>
            <w:r>
              <w:rPr>
                <w:noProof/>
                <w:webHidden/>
              </w:rPr>
              <w:fldChar w:fldCharType="begin"/>
            </w:r>
            <w:r>
              <w:rPr>
                <w:noProof/>
                <w:webHidden/>
              </w:rPr>
              <w:instrText xml:space="preserve"> PAGEREF _Toc224997200 \h </w:instrText>
            </w:r>
            <w:r>
              <w:rPr>
                <w:noProof/>
                <w:webHidden/>
              </w:rPr>
            </w:r>
            <w:r>
              <w:rPr>
                <w:noProof/>
                <w:webHidden/>
              </w:rPr>
              <w:fldChar w:fldCharType="separate"/>
            </w:r>
            <w:r>
              <w:rPr>
                <w:noProof/>
                <w:webHidden/>
              </w:rPr>
              <w:t>5</w:t>
            </w:r>
            <w:r>
              <w:rPr>
                <w:noProof/>
                <w:webHidden/>
              </w:rPr>
              <w:fldChar w:fldCharType="end"/>
            </w:r>
          </w:hyperlink>
        </w:p>
        <w:p w14:paraId="3E8600AF" w14:textId="3C4CAD19" w:rsidR="00C134AD" w:rsidRDefault="00C134AD">
          <w:pPr>
            <w:pStyle w:val="TOC2"/>
            <w:tabs>
              <w:tab w:val="right" w:leader="dot" w:pos="9016"/>
            </w:tabs>
            <w:rPr>
              <w:rFonts w:eastAsiaTheme="minorEastAsia"/>
              <w:noProof/>
              <w:lang w:eastAsia="en-GB"/>
            </w:rPr>
          </w:pPr>
          <w:hyperlink w:anchor="_Toc224997201" w:history="1">
            <w:r w:rsidRPr="00F25B3F">
              <w:rPr>
                <w:rStyle w:val="Hyperlink"/>
                <w:noProof/>
              </w:rPr>
              <w:t>SWOT Analysis</w:t>
            </w:r>
            <w:r>
              <w:rPr>
                <w:noProof/>
                <w:webHidden/>
              </w:rPr>
              <w:tab/>
            </w:r>
            <w:r>
              <w:rPr>
                <w:noProof/>
                <w:webHidden/>
              </w:rPr>
              <w:fldChar w:fldCharType="begin"/>
            </w:r>
            <w:r>
              <w:rPr>
                <w:noProof/>
                <w:webHidden/>
              </w:rPr>
              <w:instrText xml:space="preserve"> PAGEREF _Toc224997201 \h </w:instrText>
            </w:r>
            <w:r>
              <w:rPr>
                <w:noProof/>
                <w:webHidden/>
              </w:rPr>
            </w:r>
            <w:r>
              <w:rPr>
                <w:noProof/>
                <w:webHidden/>
              </w:rPr>
              <w:fldChar w:fldCharType="separate"/>
            </w:r>
            <w:r>
              <w:rPr>
                <w:noProof/>
                <w:webHidden/>
              </w:rPr>
              <w:t>5</w:t>
            </w:r>
            <w:r>
              <w:rPr>
                <w:noProof/>
                <w:webHidden/>
              </w:rPr>
              <w:fldChar w:fldCharType="end"/>
            </w:r>
          </w:hyperlink>
        </w:p>
        <w:p w14:paraId="35D50ACC" w14:textId="6ACBBDE6" w:rsidR="00C134AD" w:rsidRDefault="00C134AD">
          <w:pPr>
            <w:pStyle w:val="TOC2"/>
            <w:tabs>
              <w:tab w:val="right" w:leader="dot" w:pos="9016"/>
            </w:tabs>
            <w:rPr>
              <w:rFonts w:eastAsiaTheme="minorEastAsia"/>
              <w:noProof/>
              <w:lang w:eastAsia="en-GB"/>
            </w:rPr>
          </w:pPr>
          <w:hyperlink w:anchor="_Toc224997202" w:history="1">
            <w:r w:rsidRPr="00F25B3F">
              <w:rPr>
                <w:rStyle w:val="Hyperlink"/>
                <w:noProof/>
              </w:rPr>
              <w:t>PESTLE Analysis</w:t>
            </w:r>
            <w:r>
              <w:rPr>
                <w:noProof/>
                <w:webHidden/>
              </w:rPr>
              <w:tab/>
            </w:r>
            <w:r>
              <w:rPr>
                <w:noProof/>
                <w:webHidden/>
              </w:rPr>
              <w:fldChar w:fldCharType="begin"/>
            </w:r>
            <w:r>
              <w:rPr>
                <w:noProof/>
                <w:webHidden/>
              </w:rPr>
              <w:instrText xml:space="preserve"> PAGEREF _Toc224997202 \h </w:instrText>
            </w:r>
            <w:r>
              <w:rPr>
                <w:noProof/>
                <w:webHidden/>
              </w:rPr>
            </w:r>
            <w:r>
              <w:rPr>
                <w:noProof/>
                <w:webHidden/>
              </w:rPr>
              <w:fldChar w:fldCharType="separate"/>
            </w:r>
            <w:r>
              <w:rPr>
                <w:noProof/>
                <w:webHidden/>
              </w:rPr>
              <w:t>6</w:t>
            </w:r>
            <w:r>
              <w:rPr>
                <w:noProof/>
                <w:webHidden/>
              </w:rPr>
              <w:fldChar w:fldCharType="end"/>
            </w:r>
          </w:hyperlink>
        </w:p>
        <w:p w14:paraId="490C0A0D" w14:textId="4D7BB0D8" w:rsidR="00C134AD" w:rsidRDefault="00C134AD">
          <w:pPr>
            <w:pStyle w:val="TOC1"/>
            <w:tabs>
              <w:tab w:val="right" w:leader="dot" w:pos="9016"/>
            </w:tabs>
            <w:rPr>
              <w:rFonts w:eastAsiaTheme="minorEastAsia"/>
              <w:noProof/>
              <w:lang w:eastAsia="en-GB"/>
            </w:rPr>
          </w:pPr>
          <w:hyperlink w:anchor="_Toc224997203" w:history="1">
            <w:r w:rsidRPr="00F25B3F">
              <w:rPr>
                <w:rStyle w:val="Hyperlink"/>
                <w:noProof/>
              </w:rPr>
              <w:t>SMART Objective for StaySmart+ Project</w:t>
            </w:r>
            <w:r>
              <w:rPr>
                <w:noProof/>
                <w:webHidden/>
              </w:rPr>
              <w:tab/>
            </w:r>
            <w:r>
              <w:rPr>
                <w:noProof/>
                <w:webHidden/>
              </w:rPr>
              <w:fldChar w:fldCharType="begin"/>
            </w:r>
            <w:r>
              <w:rPr>
                <w:noProof/>
                <w:webHidden/>
              </w:rPr>
              <w:instrText xml:space="preserve"> PAGEREF _Toc224997203 \h </w:instrText>
            </w:r>
            <w:r>
              <w:rPr>
                <w:noProof/>
                <w:webHidden/>
              </w:rPr>
            </w:r>
            <w:r>
              <w:rPr>
                <w:noProof/>
                <w:webHidden/>
              </w:rPr>
              <w:fldChar w:fldCharType="separate"/>
            </w:r>
            <w:r>
              <w:rPr>
                <w:noProof/>
                <w:webHidden/>
              </w:rPr>
              <w:t>7</w:t>
            </w:r>
            <w:r>
              <w:rPr>
                <w:noProof/>
                <w:webHidden/>
              </w:rPr>
              <w:fldChar w:fldCharType="end"/>
            </w:r>
          </w:hyperlink>
        </w:p>
        <w:p w14:paraId="6DEA7BAC" w14:textId="2692DF81" w:rsidR="00C134AD" w:rsidRDefault="00C134AD">
          <w:pPr>
            <w:pStyle w:val="TOC1"/>
            <w:tabs>
              <w:tab w:val="right" w:leader="dot" w:pos="9016"/>
            </w:tabs>
            <w:rPr>
              <w:rFonts w:eastAsiaTheme="minorEastAsia"/>
              <w:noProof/>
              <w:lang w:eastAsia="en-GB"/>
            </w:rPr>
          </w:pPr>
          <w:hyperlink w:anchor="_Toc224997204" w:history="1">
            <w:r w:rsidRPr="00F25B3F">
              <w:rPr>
                <w:rStyle w:val="Hyperlink"/>
                <w:rFonts w:eastAsia="Times New Roman"/>
                <w:noProof/>
                <w:lang w:eastAsia="en-GB"/>
              </w:rPr>
              <w:t>Identification of Internal and External Stakeholders</w:t>
            </w:r>
            <w:r>
              <w:rPr>
                <w:noProof/>
                <w:webHidden/>
              </w:rPr>
              <w:tab/>
            </w:r>
            <w:r>
              <w:rPr>
                <w:noProof/>
                <w:webHidden/>
              </w:rPr>
              <w:fldChar w:fldCharType="begin"/>
            </w:r>
            <w:r>
              <w:rPr>
                <w:noProof/>
                <w:webHidden/>
              </w:rPr>
              <w:instrText xml:space="preserve"> PAGEREF _Toc224997204 \h </w:instrText>
            </w:r>
            <w:r>
              <w:rPr>
                <w:noProof/>
                <w:webHidden/>
              </w:rPr>
            </w:r>
            <w:r>
              <w:rPr>
                <w:noProof/>
                <w:webHidden/>
              </w:rPr>
              <w:fldChar w:fldCharType="separate"/>
            </w:r>
            <w:r>
              <w:rPr>
                <w:noProof/>
                <w:webHidden/>
              </w:rPr>
              <w:t>7</w:t>
            </w:r>
            <w:r>
              <w:rPr>
                <w:noProof/>
                <w:webHidden/>
              </w:rPr>
              <w:fldChar w:fldCharType="end"/>
            </w:r>
          </w:hyperlink>
        </w:p>
        <w:p w14:paraId="5797655A" w14:textId="5314156B" w:rsidR="00C134AD" w:rsidRDefault="00C134AD">
          <w:pPr>
            <w:pStyle w:val="TOC2"/>
            <w:tabs>
              <w:tab w:val="right" w:leader="dot" w:pos="9016"/>
            </w:tabs>
            <w:rPr>
              <w:rFonts w:eastAsiaTheme="minorEastAsia"/>
              <w:noProof/>
              <w:lang w:eastAsia="en-GB"/>
            </w:rPr>
          </w:pPr>
          <w:hyperlink w:anchor="_Toc224997205" w:history="1">
            <w:r w:rsidRPr="00F25B3F">
              <w:rPr>
                <w:rStyle w:val="Hyperlink"/>
                <w:noProof/>
              </w:rPr>
              <w:t>Internal Stakeholders</w:t>
            </w:r>
            <w:r>
              <w:rPr>
                <w:noProof/>
                <w:webHidden/>
              </w:rPr>
              <w:tab/>
            </w:r>
            <w:r>
              <w:rPr>
                <w:noProof/>
                <w:webHidden/>
              </w:rPr>
              <w:fldChar w:fldCharType="begin"/>
            </w:r>
            <w:r>
              <w:rPr>
                <w:noProof/>
                <w:webHidden/>
              </w:rPr>
              <w:instrText xml:space="preserve"> PAGEREF _Toc224997205 \h </w:instrText>
            </w:r>
            <w:r>
              <w:rPr>
                <w:noProof/>
                <w:webHidden/>
              </w:rPr>
            </w:r>
            <w:r>
              <w:rPr>
                <w:noProof/>
                <w:webHidden/>
              </w:rPr>
              <w:fldChar w:fldCharType="separate"/>
            </w:r>
            <w:r>
              <w:rPr>
                <w:noProof/>
                <w:webHidden/>
              </w:rPr>
              <w:t>7</w:t>
            </w:r>
            <w:r>
              <w:rPr>
                <w:noProof/>
                <w:webHidden/>
              </w:rPr>
              <w:fldChar w:fldCharType="end"/>
            </w:r>
          </w:hyperlink>
        </w:p>
        <w:p w14:paraId="66180EE0" w14:textId="799F95F5" w:rsidR="00C134AD" w:rsidRDefault="00C134AD">
          <w:pPr>
            <w:pStyle w:val="TOC2"/>
            <w:tabs>
              <w:tab w:val="right" w:leader="dot" w:pos="9016"/>
            </w:tabs>
            <w:rPr>
              <w:rFonts w:eastAsiaTheme="minorEastAsia"/>
              <w:noProof/>
              <w:lang w:eastAsia="en-GB"/>
            </w:rPr>
          </w:pPr>
          <w:hyperlink w:anchor="_Toc224997206" w:history="1">
            <w:r w:rsidRPr="00F25B3F">
              <w:rPr>
                <w:rStyle w:val="Hyperlink"/>
                <w:noProof/>
              </w:rPr>
              <w:t>External Stakeholders</w:t>
            </w:r>
            <w:r>
              <w:rPr>
                <w:noProof/>
                <w:webHidden/>
              </w:rPr>
              <w:tab/>
            </w:r>
            <w:r>
              <w:rPr>
                <w:noProof/>
                <w:webHidden/>
              </w:rPr>
              <w:fldChar w:fldCharType="begin"/>
            </w:r>
            <w:r>
              <w:rPr>
                <w:noProof/>
                <w:webHidden/>
              </w:rPr>
              <w:instrText xml:space="preserve"> PAGEREF _Toc224997206 \h </w:instrText>
            </w:r>
            <w:r>
              <w:rPr>
                <w:noProof/>
                <w:webHidden/>
              </w:rPr>
            </w:r>
            <w:r>
              <w:rPr>
                <w:noProof/>
                <w:webHidden/>
              </w:rPr>
              <w:fldChar w:fldCharType="separate"/>
            </w:r>
            <w:r>
              <w:rPr>
                <w:noProof/>
                <w:webHidden/>
              </w:rPr>
              <w:t>8</w:t>
            </w:r>
            <w:r>
              <w:rPr>
                <w:noProof/>
                <w:webHidden/>
              </w:rPr>
              <w:fldChar w:fldCharType="end"/>
            </w:r>
          </w:hyperlink>
        </w:p>
        <w:p w14:paraId="43FF97C4" w14:textId="53F22529" w:rsidR="00C134AD" w:rsidRDefault="00C134AD">
          <w:pPr>
            <w:pStyle w:val="TOC1"/>
            <w:tabs>
              <w:tab w:val="right" w:leader="dot" w:pos="9016"/>
            </w:tabs>
            <w:rPr>
              <w:rFonts w:eastAsiaTheme="minorEastAsia"/>
              <w:noProof/>
              <w:lang w:eastAsia="en-GB"/>
            </w:rPr>
          </w:pPr>
          <w:hyperlink w:anchor="_Toc224997207" w:history="1">
            <w:r w:rsidRPr="00F25B3F">
              <w:rPr>
                <w:rStyle w:val="Hyperlink"/>
                <w:rFonts w:eastAsia="Times New Roman"/>
                <w:noProof/>
                <w:lang w:eastAsia="en-GB"/>
              </w:rPr>
              <w:t>Stakeholder Roles, Responsibilities, and Analysis</w:t>
            </w:r>
            <w:r>
              <w:rPr>
                <w:noProof/>
                <w:webHidden/>
              </w:rPr>
              <w:tab/>
            </w:r>
            <w:r>
              <w:rPr>
                <w:noProof/>
                <w:webHidden/>
              </w:rPr>
              <w:fldChar w:fldCharType="begin"/>
            </w:r>
            <w:r>
              <w:rPr>
                <w:noProof/>
                <w:webHidden/>
              </w:rPr>
              <w:instrText xml:space="preserve"> PAGEREF _Toc224997207 \h </w:instrText>
            </w:r>
            <w:r>
              <w:rPr>
                <w:noProof/>
                <w:webHidden/>
              </w:rPr>
            </w:r>
            <w:r>
              <w:rPr>
                <w:noProof/>
                <w:webHidden/>
              </w:rPr>
              <w:fldChar w:fldCharType="separate"/>
            </w:r>
            <w:r>
              <w:rPr>
                <w:noProof/>
                <w:webHidden/>
              </w:rPr>
              <w:t>8</w:t>
            </w:r>
            <w:r>
              <w:rPr>
                <w:noProof/>
                <w:webHidden/>
              </w:rPr>
              <w:fldChar w:fldCharType="end"/>
            </w:r>
          </w:hyperlink>
        </w:p>
        <w:p w14:paraId="3F6E25BA" w14:textId="0D4D044C" w:rsidR="00C134AD" w:rsidRDefault="00C134AD">
          <w:pPr>
            <w:pStyle w:val="TOC2"/>
            <w:tabs>
              <w:tab w:val="right" w:leader="dot" w:pos="9016"/>
            </w:tabs>
            <w:rPr>
              <w:rFonts w:eastAsiaTheme="minorEastAsia"/>
              <w:noProof/>
              <w:lang w:eastAsia="en-GB"/>
            </w:rPr>
          </w:pPr>
          <w:hyperlink w:anchor="_Toc224997208" w:history="1">
            <w:r w:rsidRPr="00F25B3F">
              <w:rPr>
                <w:rStyle w:val="Hyperlink"/>
                <w:rFonts w:eastAsia="Times New Roman"/>
                <w:noProof/>
                <w:lang w:eastAsia="en-GB"/>
              </w:rPr>
              <w:t>RACI Matrix for StaySmart+ Launch</w:t>
            </w:r>
            <w:r>
              <w:rPr>
                <w:noProof/>
                <w:webHidden/>
              </w:rPr>
              <w:tab/>
            </w:r>
            <w:r>
              <w:rPr>
                <w:noProof/>
                <w:webHidden/>
              </w:rPr>
              <w:fldChar w:fldCharType="begin"/>
            </w:r>
            <w:r>
              <w:rPr>
                <w:noProof/>
                <w:webHidden/>
              </w:rPr>
              <w:instrText xml:space="preserve"> PAGEREF _Toc224997208 \h </w:instrText>
            </w:r>
            <w:r>
              <w:rPr>
                <w:noProof/>
                <w:webHidden/>
              </w:rPr>
            </w:r>
            <w:r>
              <w:rPr>
                <w:noProof/>
                <w:webHidden/>
              </w:rPr>
              <w:fldChar w:fldCharType="separate"/>
            </w:r>
            <w:r>
              <w:rPr>
                <w:noProof/>
                <w:webHidden/>
              </w:rPr>
              <w:t>9</w:t>
            </w:r>
            <w:r>
              <w:rPr>
                <w:noProof/>
                <w:webHidden/>
              </w:rPr>
              <w:fldChar w:fldCharType="end"/>
            </w:r>
          </w:hyperlink>
        </w:p>
        <w:p w14:paraId="7FAA1D25" w14:textId="524CFE24" w:rsidR="00C134AD" w:rsidRDefault="00C134AD">
          <w:pPr>
            <w:pStyle w:val="TOC2"/>
            <w:tabs>
              <w:tab w:val="right" w:leader="dot" w:pos="9016"/>
            </w:tabs>
            <w:rPr>
              <w:rFonts w:eastAsiaTheme="minorEastAsia"/>
              <w:noProof/>
              <w:lang w:eastAsia="en-GB"/>
            </w:rPr>
          </w:pPr>
          <w:hyperlink w:anchor="_Toc224997209" w:history="1">
            <w:r w:rsidRPr="00F25B3F">
              <w:rPr>
                <w:rStyle w:val="Hyperlink"/>
                <w:noProof/>
              </w:rPr>
              <w:t>Mendelow's Power-Interest Grid Analysis</w:t>
            </w:r>
            <w:r>
              <w:rPr>
                <w:noProof/>
                <w:webHidden/>
              </w:rPr>
              <w:tab/>
            </w:r>
            <w:r>
              <w:rPr>
                <w:noProof/>
                <w:webHidden/>
              </w:rPr>
              <w:fldChar w:fldCharType="begin"/>
            </w:r>
            <w:r>
              <w:rPr>
                <w:noProof/>
                <w:webHidden/>
              </w:rPr>
              <w:instrText xml:space="preserve"> PAGEREF _Toc224997209 \h </w:instrText>
            </w:r>
            <w:r>
              <w:rPr>
                <w:noProof/>
                <w:webHidden/>
              </w:rPr>
            </w:r>
            <w:r>
              <w:rPr>
                <w:noProof/>
                <w:webHidden/>
              </w:rPr>
              <w:fldChar w:fldCharType="separate"/>
            </w:r>
            <w:r>
              <w:rPr>
                <w:noProof/>
                <w:webHidden/>
              </w:rPr>
              <w:t>10</w:t>
            </w:r>
            <w:r>
              <w:rPr>
                <w:noProof/>
                <w:webHidden/>
              </w:rPr>
              <w:fldChar w:fldCharType="end"/>
            </w:r>
          </w:hyperlink>
        </w:p>
        <w:p w14:paraId="3C2D06B5" w14:textId="21A712E3" w:rsidR="00C134AD" w:rsidRDefault="00C134AD">
          <w:pPr>
            <w:pStyle w:val="TOC1"/>
            <w:tabs>
              <w:tab w:val="right" w:leader="dot" w:pos="9016"/>
            </w:tabs>
            <w:rPr>
              <w:rFonts w:eastAsiaTheme="minorEastAsia"/>
              <w:noProof/>
              <w:lang w:eastAsia="en-GB"/>
            </w:rPr>
          </w:pPr>
          <w:hyperlink w:anchor="_Toc224997210" w:history="1">
            <w:r w:rsidRPr="00F25B3F">
              <w:rPr>
                <w:rStyle w:val="Hyperlink"/>
                <w:rFonts w:eastAsia="Times New Roman"/>
                <w:noProof/>
                <w:lang w:eastAsia="en-GB"/>
              </w:rPr>
              <w:t>Stakeholder Engagement and Communication Plan</w:t>
            </w:r>
            <w:r>
              <w:rPr>
                <w:noProof/>
                <w:webHidden/>
              </w:rPr>
              <w:tab/>
            </w:r>
            <w:r>
              <w:rPr>
                <w:noProof/>
                <w:webHidden/>
              </w:rPr>
              <w:fldChar w:fldCharType="begin"/>
            </w:r>
            <w:r>
              <w:rPr>
                <w:noProof/>
                <w:webHidden/>
              </w:rPr>
              <w:instrText xml:space="preserve"> PAGEREF _Toc224997210 \h </w:instrText>
            </w:r>
            <w:r>
              <w:rPr>
                <w:noProof/>
                <w:webHidden/>
              </w:rPr>
            </w:r>
            <w:r>
              <w:rPr>
                <w:noProof/>
                <w:webHidden/>
              </w:rPr>
              <w:fldChar w:fldCharType="separate"/>
            </w:r>
            <w:r>
              <w:rPr>
                <w:noProof/>
                <w:webHidden/>
              </w:rPr>
              <w:t>11</w:t>
            </w:r>
            <w:r>
              <w:rPr>
                <w:noProof/>
                <w:webHidden/>
              </w:rPr>
              <w:fldChar w:fldCharType="end"/>
            </w:r>
          </w:hyperlink>
        </w:p>
        <w:p w14:paraId="266727BF" w14:textId="1C9C8E4B" w:rsidR="00C134AD" w:rsidRDefault="00C134AD">
          <w:pPr>
            <w:pStyle w:val="TOC3"/>
            <w:tabs>
              <w:tab w:val="right" w:leader="dot" w:pos="9016"/>
            </w:tabs>
            <w:rPr>
              <w:rFonts w:eastAsiaTheme="minorEastAsia"/>
              <w:noProof/>
              <w:lang w:eastAsia="en-GB"/>
            </w:rPr>
          </w:pPr>
          <w:hyperlink w:anchor="_Toc224997211" w:history="1">
            <w:r w:rsidRPr="00F25B3F">
              <w:rPr>
                <w:rStyle w:val="Hyperlink"/>
                <w:rFonts w:asciiTheme="majorHAnsi" w:eastAsiaTheme="majorEastAsia" w:hAnsiTheme="majorHAnsi" w:cstheme="majorBidi"/>
                <w:noProof/>
              </w:rPr>
              <w:t>The Process of Engagement and Conflict Management</w:t>
            </w:r>
            <w:r w:rsidRPr="00F25B3F">
              <w:rPr>
                <w:rStyle w:val="Hyperlink"/>
                <w:rFonts w:ascii="Arial" w:eastAsia="Times New Roman" w:hAnsi="Arial" w:cs="Arial"/>
                <w:b/>
                <w:bCs/>
                <w:noProof/>
                <w:kern w:val="0"/>
                <w:lang w:eastAsia="en-GB"/>
                <w14:ligatures w14:val="none"/>
              </w:rPr>
              <w:t>: Applying the 4C's Model</w:t>
            </w:r>
            <w:r>
              <w:rPr>
                <w:noProof/>
                <w:webHidden/>
              </w:rPr>
              <w:tab/>
            </w:r>
            <w:r>
              <w:rPr>
                <w:noProof/>
                <w:webHidden/>
              </w:rPr>
              <w:fldChar w:fldCharType="begin"/>
            </w:r>
            <w:r>
              <w:rPr>
                <w:noProof/>
                <w:webHidden/>
              </w:rPr>
              <w:instrText xml:space="preserve"> PAGEREF _Toc224997211 \h </w:instrText>
            </w:r>
            <w:r>
              <w:rPr>
                <w:noProof/>
                <w:webHidden/>
              </w:rPr>
            </w:r>
            <w:r>
              <w:rPr>
                <w:noProof/>
                <w:webHidden/>
              </w:rPr>
              <w:fldChar w:fldCharType="separate"/>
            </w:r>
            <w:r>
              <w:rPr>
                <w:noProof/>
                <w:webHidden/>
              </w:rPr>
              <w:t>12</w:t>
            </w:r>
            <w:r>
              <w:rPr>
                <w:noProof/>
                <w:webHidden/>
              </w:rPr>
              <w:fldChar w:fldCharType="end"/>
            </w:r>
          </w:hyperlink>
        </w:p>
        <w:p w14:paraId="5E6C83A1" w14:textId="024CCA11" w:rsidR="00C134AD" w:rsidRDefault="00C134AD">
          <w:pPr>
            <w:pStyle w:val="TOC1"/>
            <w:tabs>
              <w:tab w:val="right" w:leader="dot" w:pos="9016"/>
            </w:tabs>
            <w:rPr>
              <w:rFonts w:eastAsiaTheme="minorEastAsia"/>
              <w:noProof/>
              <w:lang w:eastAsia="en-GB"/>
            </w:rPr>
          </w:pPr>
          <w:hyperlink w:anchor="_Toc224997212" w:history="1">
            <w:r w:rsidRPr="00F25B3F">
              <w:rPr>
                <w:rStyle w:val="Hyperlink"/>
                <w:noProof/>
              </w:rPr>
              <w:t>Evaluating the Impact of Stakeholder Engagement on Business Performance</w:t>
            </w:r>
            <w:r>
              <w:rPr>
                <w:noProof/>
                <w:webHidden/>
              </w:rPr>
              <w:tab/>
            </w:r>
            <w:r>
              <w:rPr>
                <w:noProof/>
                <w:webHidden/>
              </w:rPr>
              <w:fldChar w:fldCharType="begin"/>
            </w:r>
            <w:r>
              <w:rPr>
                <w:noProof/>
                <w:webHidden/>
              </w:rPr>
              <w:instrText xml:space="preserve"> PAGEREF _Toc224997212 \h </w:instrText>
            </w:r>
            <w:r>
              <w:rPr>
                <w:noProof/>
                <w:webHidden/>
              </w:rPr>
            </w:r>
            <w:r>
              <w:rPr>
                <w:noProof/>
                <w:webHidden/>
              </w:rPr>
              <w:fldChar w:fldCharType="separate"/>
            </w:r>
            <w:r>
              <w:rPr>
                <w:noProof/>
                <w:webHidden/>
              </w:rPr>
              <w:t>14</w:t>
            </w:r>
            <w:r>
              <w:rPr>
                <w:noProof/>
                <w:webHidden/>
              </w:rPr>
              <w:fldChar w:fldCharType="end"/>
            </w:r>
          </w:hyperlink>
        </w:p>
        <w:p w14:paraId="0402AF01" w14:textId="690BCE9D" w:rsidR="00C134AD" w:rsidRDefault="00C134AD">
          <w:pPr>
            <w:pStyle w:val="TOC1"/>
            <w:tabs>
              <w:tab w:val="right" w:leader="dot" w:pos="9016"/>
            </w:tabs>
            <w:rPr>
              <w:rFonts w:eastAsiaTheme="minorEastAsia"/>
              <w:noProof/>
              <w:lang w:eastAsia="en-GB"/>
            </w:rPr>
          </w:pPr>
          <w:hyperlink w:anchor="_Toc224997213" w:history="1">
            <w:r w:rsidRPr="00F25B3F">
              <w:rPr>
                <w:rStyle w:val="Hyperlink"/>
                <w:rFonts w:eastAsia="Times New Roman"/>
                <w:noProof/>
                <w:lang w:eastAsia="en-GB"/>
              </w:rPr>
              <w:t>Recommendations for Future Stakeholder Engagement</w:t>
            </w:r>
            <w:r>
              <w:rPr>
                <w:noProof/>
                <w:webHidden/>
              </w:rPr>
              <w:tab/>
            </w:r>
            <w:r>
              <w:rPr>
                <w:noProof/>
                <w:webHidden/>
              </w:rPr>
              <w:fldChar w:fldCharType="begin"/>
            </w:r>
            <w:r>
              <w:rPr>
                <w:noProof/>
                <w:webHidden/>
              </w:rPr>
              <w:instrText xml:space="preserve"> PAGEREF _Toc224997213 \h </w:instrText>
            </w:r>
            <w:r>
              <w:rPr>
                <w:noProof/>
                <w:webHidden/>
              </w:rPr>
            </w:r>
            <w:r>
              <w:rPr>
                <w:noProof/>
                <w:webHidden/>
              </w:rPr>
              <w:fldChar w:fldCharType="separate"/>
            </w:r>
            <w:r>
              <w:rPr>
                <w:noProof/>
                <w:webHidden/>
              </w:rPr>
              <w:t>15</w:t>
            </w:r>
            <w:r>
              <w:rPr>
                <w:noProof/>
                <w:webHidden/>
              </w:rPr>
              <w:fldChar w:fldCharType="end"/>
            </w:r>
          </w:hyperlink>
        </w:p>
        <w:p w14:paraId="760061F9" w14:textId="46C29EB4" w:rsidR="00C134AD" w:rsidRDefault="00C134AD">
          <w:pPr>
            <w:pStyle w:val="TOC1"/>
            <w:tabs>
              <w:tab w:val="right" w:leader="dot" w:pos="9016"/>
            </w:tabs>
            <w:rPr>
              <w:rFonts w:eastAsiaTheme="minorEastAsia"/>
              <w:noProof/>
              <w:lang w:eastAsia="en-GB"/>
            </w:rPr>
          </w:pPr>
          <w:hyperlink w:anchor="_Toc224997214" w:history="1">
            <w:r w:rsidRPr="00F25B3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_Toc224997214 \h </w:instrText>
            </w:r>
            <w:r>
              <w:rPr>
                <w:noProof/>
                <w:webHidden/>
              </w:rPr>
            </w:r>
            <w:r>
              <w:rPr>
                <w:noProof/>
                <w:webHidden/>
              </w:rPr>
              <w:fldChar w:fldCharType="separate"/>
            </w:r>
            <w:r>
              <w:rPr>
                <w:noProof/>
                <w:webHidden/>
              </w:rPr>
              <w:t>16</w:t>
            </w:r>
            <w:r>
              <w:rPr>
                <w:noProof/>
                <w:webHidden/>
              </w:rPr>
              <w:fldChar w:fldCharType="end"/>
            </w:r>
          </w:hyperlink>
        </w:p>
        <w:p w14:paraId="07BB7889" w14:textId="00A40600" w:rsidR="00C134AD" w:rsidRDefault="00C134AD">
          <w:pPr>
            <w:pStyle w:val="TOC1"/>
            <w:tabs>
              <w:tab w:val="right" w:leader="dot" w:pos="9016"/>
            </w:tabs>
            <w:rPr>
              <w:rFonts w:eastAsiaTheme="minorEastAsia"/>
              <w:noProof/>
              <w:lang w:eastAsia="en-GB"/>
            </w:rPr>
          </w:pPr>
          <w:hyperlink w:anchor="_Toc224997215" w:history="1">
            <w:r w:rsidRPr="00F25B3F">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_Toc224997215 \h </w:instrText>
            </w:r>
            <w:r>
              <w:rPr>
                <w:noProof/>
                <w:webHidden/>
              </w:rPr>
            </w:r>
            <w:r>
              <w:rPr>
                <w:noProof/>
                <w:webHidden/>
              </w:rPr>
              <w:fldChar w:fldCharType="separate"/>
            </w:r>
            <w:r>
              <w:rPr>
                <w:noProof/>
                <w:webHidden/>
              </w:rPr>
              <w:t>17</w:t>
            </w:r>
            <w:r>
              <w:rPr>
                <w:noProof/>
                <w:webHidden/>
              </w:rPr>
              <w:fldChar w:fldCharType="end"/>
            </w:r>
          </w:hyperlink>
        </w:p>
        <w:p w14:paraId="5AAAB717" w14:textId="3E0BC29D" w:rsidR="005D5862" w:rsidRDefault="005D5862">
          <w:r>
            <w:rPr>
              <w:b/>
              <w:bCs/>
            </w:rPr>
            <w:fldChar w:fldCharType="end"/>
          </w:r>
        </w:p>
      </w:sdtContent>
    </w:sdt>
    <w:p w14:paraId="169C358F" w14:textId="77777777" w:rsidR="0080074A" w:rsidRPr="00BD6537" w:rsidRDefault="0080074A" w:rsidP="0080074A">
      <w:pPr>
        <w:pStyle w:val="NoSpacing"/>
        <w:spacing w:line="360" w:lineRule="auto"/>
        <w:rPr>
          <w:rFonts w:ascii="Arial" w:hAnsi="Arial" w:cs="Arial"/>
        </w:rPr>
      </w:pPr>
    </w:p>
    <w:p w14:paraId="3CDC871B" w14:textId="77777777" w:rsidR="00B13093" w:rsidRDefault="00B13093" w:rsidP="0080074A">
      <w:pPr>
        <w:pStyle w:val="NoSpacing"/>
        <w:spacing w:line="360" w:lineRule="auto"/>
      </w:pPr>
    </w:p>
    <w:p w14:paraId="70F847AD" w14:textId="77777777" w:rsidR="00B13093" w:rsidRDefault="00B13093" w:rsidP="00B13093">
      <w:pPr>
        <w:pStyle w:val="NoSpacing"/>
      </w:pPr>
    </w:p>
    <w:p w14:paraId="2FB3E4E0" w14:textId="77777777" w:rsidR="00B13093" w:rsidRPr="00B13093" w:rsidRDefault="00B13093" w:rsidP="00B13093">
      <w:pPr>
        <w:spacing w:line="360" w:lineRule="auto"/>
        <w:rPr>
          <w:rFonts w:ascii="Arial" w:hAnsi="Arial" w:cs="Arial"/>
          <w:b/>
          <w:bCs/>
          <w:sz w:val="22"/>
          <w:szCs w:val="22"/>
        </w:rPr>
      </w:pPr>
    </w:p>
    <w:p w14:paraId="393BB2EF" w14:textId="77777777" w:rsidR="00323893" w:rsidRDefault="00323893" w:rsidP="00A948DA">
      <w:pPr>
        <w:spacing w:line="360" w:lineRule="auto"/>
        <w:rPr>
          <w:rFonts w:ascii="Arial" w:hAnsi="Arial" w:cs="Arial"/>
          <w:b/>
          <w:bCs/>
          <w:sz w:val="22"/>
          <w:szCs w:val="22"/>
        </w:rPr>
      </w:pPr>
    </w:p>
    <w:p w14:paraId="05E5A919" w14:textId="77777777" w:rsidR="00323893" w:rsidRDefault="00323893" w:rsidP="00A948DA">
      <w:pPr>
        <w:spacing w:line="360" w:lineRule="auto"/>
        <w:rPr>
          <w:rFonts w:ascii="Arial" w:hAnsi="Arial" w:cs="Arial"/>
          <w:b/>
          <w:bCs/>
          <w:sz w:val="22"/>
          <w:szCs w:val="22"/>
        </w:rPr>
      </w:pPr>
    </w:p>
    <w:p w14:paraId="25890CDC" w14:textId="77777777" w:rsidR="00323893" w:rsidRDefault="00323893" w:rsidP="00A948DA">
      <w:pPr>
        <w:spacing w:line="360" w:lineRule="auto"/>
        <w:rPr>
          <w:rFonts w:ascii="Arial" w:hAnsi="Arial" w:cs="Arial"/>
          <w:b/>
          <w:bCs/>
          <w:sz w:val="22"/>
          <w:szCs w:val="22"/>
        </w:rPr>
      </w:pPr>
    </w:p>
    <w:p w14:paraId="4BD4B213" w14:textId="77777777" w:rsidR="00F92AAA" w:rsidRPr="00A948DA" w:rsidRDefault="00F92AAA" w:rsidP="00A948DA">
      <w:pPr>
        <w:spacing w:line="360" w:lineRule="auto"/>
        <w:rPr>
          <w:rFonts w:ascii="Arial" w:hAnsi="Arial" w:cs="Arial"/>
          <w:b/>
          <w:bCs/>
          <w:sz w:val="22"/>
          <w:szCs w:val="22"/>
        </w:rPr>
      </w:pPr>
    </w:p>
    <w:p w14:paraId="5A32310D" w14:textId="77777777" w:rsidR="00AD4556" w:rsidRDefault="00AD4556" w:rsidP="00A948DA">
      <w:pPr>
        <w:spacing w:line="360" w:lineRule="auto"/>
        <w:rPr>
          <w:rFonts w:ascii="Arial" w:hAnsi="Arial" w:cs="Arial"/>
          <w:b/>
          <w:bCs/>
          <w:sz w:val="22"/>
          <w:szCs w:val="22"/>
        </w:rPr>
      </w:pPr>
    </w:p>
    <w:p w14:paraId="3DFF9B66" w14:textId="49443F03" w:rsidR="00F92AAA" w:rsidRPr="00DB4CB5" w:rsidRDefault="00F92AAA" w:rsidP="00132FBA">
      <w:pPr>
        <w:pStyle w:val="Heading1"/>
      </w:pPr>
      <w:r w:rsidRPr="00E035FA">
        <w:rPr>
          <w:sz w:val="36"/>
          <w:szCs w:val="36"/>
        </w:rPr>
        <w:lastRenderedPageBreak/>
        <w:t xml:space="preserve"> </w:t>
      </w:r>
      <w:bookmarkStart w:id="1" w:name="_Toc224997199"/>
      <w:r w:rsidRPr="00DB4CB5">
        <w:t>Introduction</w:t>
      </w:r>
      <w:r w:rsidR="00E035FA" w:rsidRPr="00DB4CB5">
        <w:t xml:space="preserve"> of </w:t>
      </w:r>
      <w:r w:rsidRPr="00DB4CB5">
        <w:t xml:space="preserve">Apex Hotels International and the </w:t>
      </w:r>
      <w:proofErr w:type="spellStart"/>
      <w:r w:rsidRPr="00DB4CB5">
        <w:t>StaySmart</w:t>
      </w:r>
      <w:proofErr w:type="spellEnd"/>
      <w:r w:rsidRPr="00DB4CB5">
        <w:t>+ Project</w:t>
      </w:r>
      <w:bookmarkEnd w:id="1"/>
    </w:p>
    <w:p w14:paraId="11F97AF7" w14:textId="598E826F" w:rsidR="00F92AAA" w:rsidRPr="00F92AAA" w:rsidRDefault="00F92AAA" w:rsidP="00A948DA">
      <w:pPr>
        <w:spacing w:line="360" w:lineRule="auto"/>
        <w:rPr>
          <w:rFonts w:ascii="Arial" w:hAnsi="Arial" w:cs="Arial"/>
          <w:sz w:val="22"/>
          <w:szCs w:val="22"/>
        </w:rPr>
      </w:pPr>
      <w:r w:rsidRPr="00F92AAA">
        <w:rPr>
          <w:rFonts w:ascii="Arial" w:hAnsi="Arial" w:cs="Arial"/>
          <w:sz w:val="22"/>
          <w:szCs w:val="22"/>
        </w:rPr>
        <w:t>Apex Hotels International (AHI) is a premier global hospitality group headquartered in Birmingham, United Kingdom. With a portfolio spanning over 15 brands, from luxury full-service hotels to economy lodgings, AHI operates more than 800 properties across 60 countries, employing approximately 150,000 people worldwide. Renowned for its commitment to service excellence and operational consistency, AHI's mission is to create exceptional experiences that enrich lives</w:t>
      </w:r>
      <w:r w:rsidR="00E035FA">
        <w:rPr>
          <w:rFonts w:ascii="Arial" w:hAnsi="Arial" w:cs="Arial"/>
          <w:sz w:val="22"/>
          <w:szCs w:val="22"/>
        </w:rPr>
        <w:t>.</w:t>
      </w:r>
      <w:r w:rsidRPr="00F92AAA">
        <w:rPr>
          <w:rFonts w:ascii="Arial" w:hAnsi="Arial" w:cs="Arial"/>
          <w:sz w:val="22"/>
          <w:szCs w:val="22"/>
        </w:rPr>
        <w:t xml:space="preserve"> The company's culture is deeply rooted in placing the guest at the centre of its universe, a principle that drives its continuous innovation (Kotler, Bowen and </w:t>
      </w:r>
      <w:proofErr w:type="spellStart"/>
      <w:r w:rsidRPr="00F92AAA">
        <w:rPr>
          <w:rFonts w:ascii="Arial" w:hAnsi="Arial" w:cs="Arial"/>
          <w:sz w:val="22"/>
          <w:szCs w:val="22"/>
        </w:rPr>
        <w:t>Baloglu</w:t>
      </w:r>
      <w:proofErr w:type="spellEnd"/>
      <w:r w:rsidRPr="00F92AAA">
        <w:rPr>
          <w:rFonts w:ascii="Arial" w:hAnsi="Arial" w:cs="Arial"/>
          <w:sz w:val="22"/>
          <w:szCs w:val="22"/>
        </w:rPr>
        <w:t>, 2017).</w:t>
      </w:r>
    </w:p>
    <w:p w14:paraId="2AEF0037" w14:textId="77777777" w:rsidR="00F92AAA" w:rsidRPr="00F92AAA" w:rsidRDefault="00F92AAA" w:rsidP="00A948DA">
      <w:pPr>
        <w:spacing w:line="360" w:lineRule="auto"/>
        <w:rPr>
          <w:rFonts w:ascii="Arial" w:hAnsi="Arial" w:cs="Arial"/>
          <w:sz w:val="22"/>
          <w:szCs w:val="22"/>
        </w:rPr>
      </w:pPr>
      <w:r w:rsidRPr="00F92AAA">
        <w:rPr>
          <w:rFonts w:ascii="Arial" w:hAnsi="Arial" w:cs="Arial"/>
          <w:sz w:val="22"/>
          <w:szCs w:val="22"/>
        </w:rPr>
        <w:t>In line with this commitment, AHI is preparing to launch "</w:t>
      </w:r>
      <w:proofErr w:type="spellStart"/>
      <w:r w:rsidRPr="00F92AAA">
        <w:rPr>
          <w:rFonts w:ascii="Arial" w:hAnsi="Arial" w:cs="Arial"/>
          <w:sz w:val="22"/>
          <w:szCs w:val="22"/>
        </w:rPr>
        <w:t>StaySmart</w:t>
      </w:r>
      <w:proofErr w:type="spellEnd"/>
      <w:r w:rsidRPr="00F92AAA">
        <w:rPr>
          <w:rFonts w:ascii="Arial" w:hAnsi="Arial" w:cs="Arial"/>
          <w:sz w:val="22"/>
          <w:szCs w:val="22"/>
        </w:rPr>
        <w:t xml:space="preserve">+," a new premium customer experience service. </w:t>
      </w:r>
      <w:proofErr w:type="spellStart"/>
      <w:r w:rsidRPr="00F92AAA">
        <w:rPr>
          <w:rFonts w:ascii="Arial" w:hAnsi="Arial" w:cs="Arial"/>
          <w:sz w:val="22"/>
          <w:szCs w:val="22"/>
        </w:rPr>
        <w:t>StaySmart</w:t>
      </w:r>
      <w:proofErr w:type="spellEnd"/>
      <w:r w:rsidRPr="00F92AAA">
        <w:rPr>
          <w:rFonts w:ascii="Arial" w:hAnsi="Arial" w:cs="Arial"/>
          <w:sz w:val="22"/>
          <w:szCs w:val="22"/>
        </w:rPr>
        <w:t>+ integrates three core pillars:</w:t>
      </w:r>
    </w:p>
    <w:p w14:paraId="2DE81772" w14:textId="585EC433" w:rsidR="00F92AAA" w:rsidRPr="00F92AAA" w:rsidRDefault="00F92AAA" w:rsidP="00A948DA">
      <w:pPr>
        <w:numPr>
          <w:ilvl w:val="0"/>
          <w:numId w:val="1"/>
        </w:numPr>
        <w:spacing w:line="360" w:lineRule="auto"/>
        <w:rPr>
          <w:rFonts w:ascii="Arial" w:hAnsi="Arial" w:cs="Arial"/>
          <w:sz w:val="22"/>
          <w:szCs w:val="22"/>
        </w:rPr>
      </w:pPr>
      <w:r w:rsidRPr="00F92AAA">
        <w:rPr>
          <w:rFonts w:ascii="Arial" w:hAnsi="Arial" w:cs="Arial"/>
          <w:b/>
          <w:bCs/>
          <w:sz w:val="22"/>
          <w:szCs w:val="22"/>
        </w:rPr>
        <w:t>AI-Driven Guest Interaction:</w:t>
      </w:r>
      <w:r w:rsidRPr="00F92AAA">
        <w:rPr>
          <w:rFonts w:ascii="Arial" w:hAnsi="Arial" w:cs="Arial"/>
          <w:sz w:val="22"/>
          <w:szCs w:val="22"/>
        </w:rPr>
        <w:t xml:space="preserve"> A proprietary mobile app and in-room interface that uses artificial intelligence to offer 24/7 </w:t>
      </w:r>
      <w:r w:rsidR="00E55374">
        <w:rPr>
          <w:rFonts w:ascii="Arial" w:hAnsi="Arial" w:cs="Arial"/>
          <w:sz w:val="22"/>
          <w:szCs w:val="22"/>
        </w:rPr>
        <w:t>continues</w:t>
      </w:r>
      <w:r w:rsidRPr="00F92AAA">
        <w:rPr>
          <w:rFonts w:ascii="Arial" w:hAnsi="Arial" w:cs="Arial"/>
          <w:sz w:val="22"/>
          <w:szCs w:val="22"/>
        </w:rPr>
        <w:t xml:space="preserve"> services, maintenance alerts, and personalised recommendations for dining and local attractions (</w:t>
      </w:r>
      <w:proofErr w:type="spellStart"/>
      <w:r w:rsidRPr="00F92AAA">
        <w:rPr>
          <w:rFonts w:ascii="Arial" w:hAnsi="Arial" w:cs="Arial"/>
          <w:sz w:val="22"/>
          <w:szCs w:val="22"/>
        </w:rPr>
        <w:t>Buhalis</w:t>
      </w:r>
      <w:proofErr w:type="spellEnd"/>
      <w:r w:rsidRPr="00F92AAA">
        <w:rPr>
          <w:rFonts w:ascii="Arial" w:hAnsi="Arial" w:cs="Arial"/>
          <w:sz w:val="22"/>
          <w:szCs w:val="22"/>
        </w:rPr>
        <w:t xml:space="preserve"> and Leung, 2018).</w:t>
      </w:r>
    </w:p>
    <w:p w14:paraId="3BD8459C" w14:textId="40B424AC" w:rsidR="00F92AAA" w:rsidRPr="00F92AAA" w:rsidRDefault="00F92AAA" w:rsidP="00A948DA">
      <w:pPr>
        <w:numPr>
          <w:ilvl w:val="0"/>
          <w:numId w:val="1"/>
        </w:numPr>
        <w:spacing w:line="360" w:lineRule="auto"/>
        <w:rPr>
          <w:rFonts w:ascii="Arial" w:hAnsi="Arial" w:cs="Arial"/>
          <w:sz w:val="22"/>
          <w:szCs w:val="22"/>
        </w:rPr>
      </w:pPr>
      <w:r w:rsidRPr="00F92AAA">
        <w:rPr>
          <w:rFonts w:ascii="Arial" w:hAnsi="Arial" w:cs="Arial"/>
          <w:b/>
          <w:bCs/>
          <w:sz w:val="22"/>
          <w:szCs w:val="22"/>
        </w:rPr>
        <w:t>Personalised Travel Planning:</w:t>
      </w:r>
      <w:r w:rsidRPr="00F92AAA">
        <w:rPr>
          <w:rFonts w:ascii="Arial" w:hAnsi="Arial" w:cs="Arial"/>
          <w:sz w:val="22"/>
          <w:szCs w:val="22"/>
        </w:rPr>
        <w:t> A pre-arrival service where guests can create itineraries, select room preferences (e.g., pillow type, room temperature), and arrange seamless transport, all powered by data from previous stays.</w:t>
      </w:r>
    </w:p>
    <w:p w14:paraId="72F3394D" w14:textId="2658158D" w:rsidR="00F92AAA" w:rsidRPr="00F92AAA" w:rsidRDefault="00F92AAA" w:rsidP="00A948DA">
      <w:pPr>
        <w:numPr>
          <w:ilvl w:val="0"/>
          <w:numId w:val="1"/>
        </w:numPr>
        <w:spacing w:line="360" w:lineRule="auto"/>
        <w:rPr>
          <w:rFonts w:ascii="Arial" w:hAnsi="Arial" w:cs="Arial"/>
          <w:sz w:val="22"/>
          <w:szCs w:val="22"/>
        </w:rPr>
      </w:pPr>
      <w:r w:rsidRPr="00F92AAA">
        <w:rPr>
          <w:rFonts w:ascii="Arial" w:hAnsi="Arial" w:cs="Arial"/>
          <w:b/>
          <w:bCs/>
          <w:sz w:val="22"/>
          <w:szCs w:val="22"/>
        </w:rPr>
        <w:t>Sustainability-Focused Amenities:</w:t>
      </w:r>
      <w:r w:rsidRPr="00F92AAA">
        <w:rPr>
          <w:rFonts w:ascii="Arial" w:hAnsi="Arial" w:cs="Arial"/>
          <w:sz w:val="22"/>
          <w:szCs w:val="22"/>
        </w:rPr>
        <w:t> A move towards zero-waste toiletry dispensers, in-room energy efficiency dashboards that</w:t>
      </w:r>
      <w:r w:rsidR="003333CC">
        <w:rPr>
          <w:rFonts w:ascii="Arial" w:hAnsi="Arial" w:cs="Arial"/>
          <w:sz w:val="22"/>
          <w:szCs w:val="22"/>
        </w:rPr>
        <w:t xml:space="preserve"> promote</w:t>
      </w:r>
      <w:r w:rsidRPr="00F92AAA">
        <w:rPr>
          <w:rFonts w:ascii="Arial" w:hAnsi="Arial" w:cs="Arial"/>
          <w:sz w:val="22"/>
          <w:szCs w:val="22"/>
        </w:rPr>
        <w:t xml:space="preserve"> conservation, and partnerships with local suppliers for minibar and dining options (Jones, Hillier and Comfort, 2016).</w:t>
      </w:r>
    </w:p>
    <w:p w14:paraId="77EA31AF" w14:textId="4ED99855" w:rsidR="00F92AAA" w:rsidRPr="00F92AAA" w:rsidRDefault="00F92AAA" w:rsidP="00A948DA">
      <w:pPr>
        <w:spacing w:line="360" w:lineRule="auto"/>
        <w:rPr>
          <w:rFonts w:ascii="Arial" w:hAnsi="Arial" w:cs="Arial"/>
          <w:sz w:val="22"/>
          <w:szCs w:val="22"/>
        </w:rPr>
      </w:pPr>
      <w:r w:rsidRPr="00F92AAA">
        <w:rPr>
          <w:rFonts w:ascii="Arial" w:hAnsi="Arial" w:cs="Arial"/>
          <w:sz w:val="22"/>
          <w:szCs w:val="22"/>
        </w:rPr>
        <w:t xml:space="preserve">The </w:t>
      </w:r>
      <w:proofErr w:type="spellStart"/>
      <w:r w:rsidRPr="00F92AAA">
        <w:rPr>
          <w:rFonts w:ascii="Arial" w:hAnsi="Arial" w:cs="Arial"/>
          <w:sz w:val="22"/>
          <w:szCs w:val="22"/>
        </w:rPr>
        <w:t>StaySmart</w:t>
      </w:r>
      <w:proofErr w:type="spellEnd"/>
      <w:r w:rsidRPr="00F92AAA">
        <w:rPr>
          <w:rFonts w:ascii="Arial" w:hAnsi="Arial" w:cs="Arial"/>
          <w:sz w:val="22"/>
          <w:szCs w:val="22"/>
        </w:rPr>
        <w:t>+ rollout is scheduled for six months across 50 selected pilot hotels in key markets:</w:t>
      </w:r>
      <w:r w:rsidR="003333CC">
        <w:rPr>
          <w:rFonts w:ascii="Arial" w:hAnsi="Arial" w:cs="Arial"/>
          <w:sz w:val="22"/>
          <w:szCs w:val="22"/>
        </w:rPr>
        <w:t xml:space="preserve"> </w:t>
      </w:r>
      <w:r w:rsidRPr="00F92AAA">
        <w:rPr>
          <w:rFonts w:ascii="Arial" w:hAnsi="Arial" w:cs="Arial"/>
          <w:sz w:val="22"/>
          <w:szCs w:val="22"/>
        </w:rPr>
        <w:t xml:space="preserve">UK, USA, and Singapore. The project's success is not </w:t>
      </w:r>
      <w:r w:rsidR="003333CC">
        <w:rPr>
          <w:rFonts w:ascii="Arial" w:hAnsi="Arial" w:cs="Arial"/>
          <w:sz w:val="22"/>
          <w:szCs w:val="22"/>
        </w:rPr>
        <w:t>just</w:t>
      </w:r>
      <w:r w:rsidRPr="00F92AAA">
        <w:rPr>
          <w:rFonts w:ascii="Arial" w:hAnsi="Arial" w:cs="Arial"/>
          <w:sz w:val="22"/>
          <w:szCs w:val="22"/>
        </w:rPr>
        <w:t xml:space="preserve"> technological but fundamentally relational, requiring cooperation, and active participation of a diverse group of stakeholders across different cultural and operational contexts (Freeman et al., 2010). A robust stakeholder engagement strategy is critical to navigating this complex landscape.</w:t>
      </w:r>
    </w:p>
    <w:p w14:paraId="6E810A5F" w14:textId="77777777" w:rsidR="00F92AAA" w:rsidRPr="00F92AAA" w:rsidRDefault="00F92AAA" w:rsidP="00A948DA">
      <w:pPr>
        <w:spacing w:line="360" w:lineRule="auto"/>
        <w:rPr>
          <w:rFonts w:ascii="Arial" w:hAnsi="Arial" w:cs="Arial"/>
          <w:sz w:val="22"/>
          <w:szCs w:val="22"/>
        </w:rPr>
      </w:pPr>
    </w:p>
    <w:p w14:paraId="6777CBD4" w14:textId="77777777" w:rsidR="00F92AAA" w:rsidRPr="00F92AAA" w:rsidRDefault="00F92AAA" w:rsidP="00A948DA">
      <w:pPr>
        <w:spacing w:line="360" w:lineRule="auto"/>
        <w:rPr>
          <w:rFonts w:ascii="Arial" w:hAnsi="Arial" w:cs="Arial"/>
          <w:sz w:val="22"/>
          <w:szCs w:val="22"/>
        </w:rPr>
      </w:pPr>
    </w:p>
    <w:p w14:paraId="72675195" w14:textId="77777777" w:rsidR="00DB4CB5" w:rsidRDefault="00DB4CB5" w:rsidP="00A948DA">
      <w:pPr>
        <w:spacing w:line="360" w:lineRule="auto"/>
        <w:rPr>
          <w:rFonts w:ascii="Arial" w:hAnsi="Arial" w:cs="Arial"/>
          <w:sz w:val="22"/>
          <w:szCs w:val="22"/>
        </w:rPr>
      </w:pPr>
    </w:p>
    <w:p w14:paraId="3A369AF6" w14:textId="77777777" w:rsidR="00DB4CB5" w:rsidRDefault="00DB4CB5" w:rsidP="00A948DA">
      <w:pPr>
        <w:spacing w:line="360" w:lineRule="auto"/>
        <w:rPr>
          <w:rFonts w:ascii="Arial" w:hAnsi="Arial" w:cs="Arial"/>
          <w:sz w:val="22"/>
          <w:szCs w:val="22"/>
        </w:rPr>
      </w:pPr>
    </w:p>
    <w:p w14:paraId="5580041E" w14:textId="00B1A5E9" w:rsidR="00F92AAA" w:rsidRPr="00DB4CB5" w:rsidRDefault="00F92AAA" w:rsidP="00132FBA">
      <w:pPr>
        <w:pStyle w:val="Heading1"/>
      </w:pPr>
      <w:bookmarkStart w:id="2" w:name="_Toc224997200"/>
      <w:r w:rsidRPr="00DB4CB5">
        <w:lastRenderedPageBreak/>
        <w:t>Situational Analysis: SWOT and PESTLE</w:t>
      </w:r>
      <w:bookmarkEnd w:id="2"/>
    </w:p>
    <w:p w14:paraId="2B2AD20F" w14:textId="77777777" w:rsidR="00F92AAA" w:rsidRDefault="00F92AAA" w:rsidP="00A948DA">
      <w:pPr>
        <w:spacing w:line="360" w:lineRule="auto"/>
        <w:rPr>
          <w:rFonts w:ascii="Arial" w:hAnsi="Arial" w:cs="Arial"/>
          <w:sz w:val="22"/>
          <w:szCs w:val="22"/>
        </w:rPr>
      </w:pPr>
      <w:r w:rsidRPr="00F92AAA">
        <w:rPr>
          <w:rFonts w:ascii="Arial" w:hAnsi="Arial" w:cs="Arial"/>
          <w:sz w:val="22"/>
          <w:szCs w:val="22"/>
        </w:rPr>
        <w:t xml:space="preserve">To effectively plan the </w:t>
      </w:r>
      <w:proofErr w:type="spellStart"/>
      <w:r w:rsidRPr="00F92AAA">
        <w:rPr>
          <w:rFonts w:ascii="Arial" w:hAnsi="Arial" w:cs="Arial"/>
          <w:sz w:val="22"/>
          <w:szCs w:val="22"/>
        </w:rPr>
        <w:t>StaySmart</w:t>
      </w:r>
      <w:proofErr w:type="spellEnd"/>
      <w:r w:rsidRPr="00F92AAA">
        <w:rPr>
          <w:rFonts w:ascii="Arial" w:hAnsi="Arial" w:cs="Arial"/>
          <w:sz w:val="22"/>
          <w:szCs w:val="22"/>
        </w:rPr>
        <w:t>+ launch, it is essential to understand the internal and external environment in which AHI and the project will operate (Johnson, Scholes and Whittington, 2008).</w:t>
      </w:r>
    </w:p>
    <w:p w14:paraId="4872210D" w14:textId="77777777" w:rsidR="00DB4CB5" w:rsidRDefault="00DB4CB5" w:rsidP="00A948DA">
      <w:pPr>
        <w:spacing w:line="360" w:lineRule="auto"/>
        <w:rPr>
          <w:rFonts w:ascii="Arial" w:hAnsi="Arial" w:cs="Arial"/>
          <w:sz w:val="22"/>
          <w:szCs w:val="22"/>
        </w:rPr>
      </w:pPr>
    </w:p>
    <w:p w14:paraId="24C95727" w14:textId="77777777" w:rsidR="00F92AAA" w:rsidRDefault="00F92AAA" w:rsidP="00132FBA">
      <w:pPr>
        <w:pStyle w:val="Heading2"/>
      </w:pPr>
      <w:bookmarkStart w:id="3" w:name="_Toc224997201"/>
      <w:r w:rsidRPr="00F92AAA">
        <w:t>SWOT Analysis</w:t>
      </w:r>
      <w:bookmarkEnd w:id="3"/>
    </w:p>
    <w:p w14:paraId="29864F7C" w14:textId="5D3A4721" w:rsidR="00DB4CB5" w:rsidRDefault="00434BCF" w:rsidP="00A948DA">
      <w:pPr>
        <w:spacing w:line="360" w:lineRule="auto"/>
        <w:rPr>
          <w:rFonts w:ascii="Arial" w:hAnsi="Arial" w:cs="Arial"/>
          <w:sz w:val="28"/>
          <w:szCs w:val="28"/>
        </w:rPr>
      </w:pPr>
      <w:r>
        <w:rPr>
          <w:rFonts w:ascii="Arial" w:hAnsi="Arial" w:cs="Arial"/>
          <w:b/>
          <w:bCs/>
          <w:sz w:val="28"/>
          <w:szCs w:val="28"/>
        </w:rPr>
        <w:t xml:space="preserve">SWOT </w:t>
      </w:r>
      <w:r w:rsidRPr="00434BCF">
        <w:rPr>
          <w:rFonts w:ascii="Arial" w:hAnsi="Arial" w:cs="Arial"/>
          <w:sz w:val="22"/>
          <w:szCs w:val="22"/>
        </w:rPr>
        <w:t>is an acronym for</w:t>
      </w:r>
      <w:r>
        <w:rPr>
          <w:rFonts w:ascii="Arial" w:hAnsi="Arial" w:cs="Arial"/>
          <w:sz w:val="28"/>
          <w:szCs w:val="28"/>
        </w:rPr>
        <w:t xml:space="preserve">: Strength, Weakness, Opportunities and Threats </w:t>
      </w:r>
      <w:r w:rsidR="00324C4B">
        <w:rPr>
          <w:rFonts w:ascii="Arial" w:hAnsi="Arial" w:cs="Arial"/>
          <w:sz w:val="28"/>
          <w:szCs w:val="28"/>
        </w:rPr>
        <w:t>and it serves as a situational analysis tool that identifies internal factors (Strength and Weakness) and external factors (Opportunities and Threats)</w:t>
      </w:r>
    </w:p>
    <w:p w14:paraId="5C2344D3" w14:textId="4D3A3722" w:rsidR="00DB4CB5" w:rsidRPr="00DB4CB5" w:rsidRDefault="00DB4CB5" w:rsidP="00A948DA">
      <w:pPr>
        <w:spacing w:line="360" w:lineRule="auto"/>
        <w:rPr>
          <w:rFonts w:ascii="Arial" w:hAnsi="Arial" w:cs="Arial"/>
          <w:b/>
          <w:bCs/>
          <w:sz w:val="22"/>
          <w:szCs w:val="22"/>
        </w:rPr>
      </w:pPr>
      <w:r w:rsidRPr="00DB4CB5">
        <w:rPr>
          <w:rFonts w:ascii="Arial" w:hAnsi="Arial" w:cs="Arial"/>
          <w:b/>
          <w:bCs/>
          <w:sz w:val="22"/>
          <w:szCs w:val="22"/>
        </w:rPr>
        <w:t>Tab</w:t>
      </w:r>
      <w:r w:rsidR="004E1A80">
        <w:rPr>
          <w:rFonts w:ascii="Arial" w:hAnsi="Arial" w:cs="Arial"/>
          <w:b/>
          <w:bCs/>
          <w:sz w:val="22"/>
          <w:szCs w:val="22"/>
        </w:rPr>
        <w:t>le</w:t>
      </w:r>
      <w:r w:rsidRPr="00DB4CB5">
        <w:rPr>
          <w:rFonts w:ascii="Arial" w:hAnsi="Arial" w:cs="Arial"/>
          <w:b/>
          <w:bCs/>
          <w:sz w:val="22"/>
          <w:szCs w:val="22"/>
        </w:rPr>
        <w:t>.1</w:t>
      </w:r>
    </w:p>
    <w:tbl>
      <w:tblPr>
        <w:tblStyle w:val="GridTable4-Accent2"/>
        <w:tblW w:w="9776" w:type="dxa"/>
        <w:tblLook w:val="04A0" w:firstRow="1" w:lastRow="0" w:firstColumn="1" w:lastColumn="0" w:noHBand="0" w:noVBand="1"/>
      </w:tblPr>
      <w:tblGrid>
        <w:gridCol w:w="4815"/>
        <w:gridCol w:w="4961"/>
      </w:tblGrid>
      <w:tr w:rsidR="00F92AAA" w:rsidRPr="00F92AAA" w14:paraId="1B613B33" w14:textId="77777777" w:rsidTr="006D7A58">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15" w:type="dxa"/>
          </w:tcPr>
          <w:p w14:paraId="5B213481" w14:textId="77777777" w:rsidR="00F92AAA" w:rsidRPr="00F92AAA" w:rsidRDefault="00F92AAA" w:rsidP="00A948DA">
            <w:pPr>
              <w:spacing w:after="160" w:line="360" w:lineRule="auto"/>
              <w:rPr>
                <w:rFonts w:ascii="Arial" w:hAnsi="Arial" w:cs="Arial"/>
                <w:b w:val="0"/>
                <w:bCs w:val="0"/>
                <w:sz w:val="22"/>
                <w:szCs w:val="22"/>
              </w:rPr>
            </w:pPr>
            <w:r w:rsidRPr="00F92AAA">
              <w:rPr>
                <w:rFonts w:ascii="Arial" w:hAnsi="Arial" w:cs="Arial"/>
                <w:sz w:val="22"/>
                <w:szCs w:val="22"/>
              </w:rPr>
              <w:t>Strengths</w:t>
            </w:r>
          </w:p>
        </w:tc>
        <w:tc>
          <w:tcPr>
            <w:tcW w:w="4961" w:type="dxa"/>
          </w:tcPr>
          <w:p w14:paraId="23E821B1" w14:textId="77777777" w:rsidR="00F92AAA" w:rsidRPr="00F92AAA" w:rsidRDefault="00F92AAA" w:rsidP="00A948D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F92AAA">
              <w:rPr>
                <w:rFonts w:ascii="Arial" w:hAnsi="Arial" w:cs="Arial"/>
                <w:sz w:val="22"/>
                <w:szCs w:val="22"/>
              </w:rPr>
              <w:t>Weaknesses</w:t>
            </w:r>
          </w:p>
        </w:tc>
      </w:tr>
      <w:tr w:rsidR="00F92AAA" w:rsidRPr="00F92AAA" w14:paraId="717031EE" w14:textId="77777777" w:rsidTr="006D7A58">
        <w:trPr>
          <w:cnfStyle w:val="000000100000" w:firstRow="0" w:lastRow="0" w:firstColumn="0" w:lastColumn="0" w:oddVBand="0" w:evenVBand="0" w:oddHBand="1" w:evenHBand="0" w:firstRowFirstColumn="0" w:firstRowLastColumn="0" w:lastRowFirstColumn="0" w:lastRowLastColumn="0"/>
          <w:trHeight w:val="3314"/>
        </w:trPr>
        <w:tc>
          <w:tcPr>
            <w:cnfStyle w:val="001000000000" w:firstRow="0" w:lastRow="0" w:firstColumn="1" w:lastColumn="0" w:oddVBand="0" w:evenVBand="0" w:oddHBand="0" w:evenHBand="0" w:firstRowFirstColumn="0" w:firstRowLastColumn="0" w:lastRowFirstColumn="0" w:lastRowLastColumn="0"/>
            <w:tcW w:w="4815" w:type="dxa"/>
          </w:tcPr>
          <w:p w14:paraId="7C28DA55"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t>- Strong global brand recognition and established customer loyalty (Keller, 2013).</w:t>
            </w:r>
          </w:p>
          <w:p w14:paraId="464CE1AB"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t>- Extensive portfolio of properties providing a large-scale testbed.</w:t>
            </w:r>
          </w:p>
          <w:p w14:paraId="0E7A4174"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t>- Robust financial position to fund R&amp;D and initial rollout.</w:t>
            </w:r>
          </w:p>
          <w:p w14:paraId="032DBAF0" w14:textId="77777777" w:rsidR="00F92AAA" w:rsidRPr="00F92AAA" w:rsidRDefault="00F92AAA" w:rsidP="00A948DA">
            <w:pPr>
              <w:spacing w:after="160" w:line="360" w:lineRule="auto"/>
              <w:rPr>
                <w:rFonts w:ascii="Arial" w:hAnsi="Arial" w:cs="Arial"/>
                <w:b w:val="0"/>
                <w:bCs w:val="0"/>
                <w:sz w:val="22"/>
                <w:szCs w:val="22"/>
              </w:rPr>
            </w:pPr>
            <w:r w:rsidRPr="00F92AAA">
              <w:rPr>
                <w:rFonts w:ascii="Arial" w:hAnsi="Arial" w:cs="Arial"/>
                <w:sz w:val="22"/>
                <w:szCs w:val="22"/>
              </w:rPr>
              <w:t>- Proven track record in service innovation.</w:t>
            </w:r>
          </w:p>
        </w:tc>
        <w:tc>
          <w:tcPr>
            <w:tcW w:w="4961" w:type="dxa"/>
          </w:tcPr>
          <w:p w14:paraId="0C693AB8"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2AAA">
              <w:rPr>
                <w:rFonts w:ascii="Arial" w:hAnsi="Arial" w:cs="Arial"/>
                <w:sz w:val="22"/>
                <w:szCs w:val="22"/>
              </w:rPr>
              <w:t>- Potential resistance from franchisees concerned about implementation costs and ROI.</w:t>
            </w:r>
          </w:p>
          <w:p w14:paraId="3BFE5ACC"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2AAA">
              <w:rPr>
                <w:rFonts w:ascii="Arial" w:hAnsi="Arial" w:cs="Arial"/>
                <w:sz w:val="22"/>
                <w:szCs w:val="22"/>
              </w:rPr>
              <w:t>- Varying levels of technological infrastructure and digital maturity across international properties.</w:t>
            </w:r>
          </w:p>
          <w:p w14:paraId="27EE0630"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92AAA">
              <w:rPr>
                <w:rFonts w:ascii="Arial" w:hAnsi="Arial" w:cs="Arial"/>
                <w:sz w:val="22"/>
                <w:szCs w:val="22"/>
              </w:rPr>
              <w:t>- Internal silos between brand management, IT, and operations that could slow decision-making (Gulati, 2007).</w:t>
            </w:r>
          </w:p>
        </w:tc>
      </w:tr>
      <w:tr w:rsidR="00F92AAA" w:rsidRPr="00F92AAA" w14:paraId="006C1E32" w14:textId="77777777" w:rsidTr="006D7A58">
        <w:tc>
          <w:tcPr>
            <w:cnfStyle w:val="001000000000" w:firstRow="0" w:lastRow="0" w:firstColumn="1" w:lastColumn="0" w:oddVBand="0" w:evenVBand="0" w:oddHBand="0" w:evenHBand="0" w:firstRowFirstColumn="0" w:firstRowLastColumn="0" w:lastRowFirstColumn="0" w:lastRowLastColumn="0"/>
            <w:tcW w:w="4815" w:type="dxa"/>
          </w:tcPr>
          <w:p w14:paraId="78387723" w14:textId="77777777" w:rsidR="00F92AAA" w:rsidRPr="00F92AAA" w:rsidRDefault="00F92AAA" w:rsidP="00A948DA">
            <w:pPr>
              <w:spacing w:after="160" w:line="360" w:lineRule="auto"/>
              <w:rPr>
                <w:rFonts w:ascii="Arial" w:hAnsi="Arial" w:cs="Arial"/>
                <w:b w:val="0"/>
                <w:bCs w:val="0"/>
                <w:sz w:val="22"/>
                <w:szCs w:val="22"/>
              </w:rPr>
            </w:pPr>
            <w:r w:rsidRPr="00F92AAA">
              <w:rPr>
                <w:rFonts w:ascii="Arial" w:hAnsi="Arial" w:cs="Arial"/>
                <w:sz w:val="22"/>
                <w:szCs w:val="22"/>
              </w:rPr>
              <w:t>Opportunities</w:t>
            </w:r>
          </w:p>
        </w:tc>
        <w:tc>
          <w:tcPr>
            <w:tcW w:w="4961" w:type="dxa"/>
          </w:tcPr>
          <w:p w14:paraId="293F6756" w14:textId="77777777" w:rsidR="00F92AAA" w:rsidRPr="00F92AAA" w:rsidRDefault="00F92AAA" w:rsidP="00A948D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92AAA">
              <w:rPr>
                <w:rFonts w:ascii="Arial" w:hAnsi="Arial" w:cs="Arial"/>
                <w:b/>
                <w:bCs/>
                <w:sz w:val="22"/>
                <w:szCs w:val="22"/>
              </w:rPr>
              <w:t>Threats</w:t>
            </w:r>
          </w:p>
        </w:tc>
      </w:tr>
      <w:tr w:rsidR="00F92AAA" w:rsidRPr="00F92AAA" w14:paraId="6AD90AC9" w14:textId="77777777" w:rsidTr="006D7A58">
        <w:trPr>
          <w:cnfStyle w:val="000000100000" w:firstRow="0" w:lastRow="0" w:firstColumn="0" w:lastColumn="0" w:oddVBand="0" w:evenVBand="0" w:oddHBand="1"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4815" w:type="dxa"/>
          </w:tcPr>
          <w:p w14:paraId="4ECF105F"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t>- Growing market demand for personalised and tech-enabled travel experiences (</w:t>
            </w:r>
            <w:proofErr w:type="spellStart"/>
            <w:r w:rsidRPr="00F92AAA">
              <w:rPr>
                <w:rFonts w:ascii="Arial" w:hAnsi="Arial" w:cs="Arial"/>
                <w:sz w:val="22"/>
                <w:szCs w:val="22"/>
              </w:rPr>
              <w:t>Neuhofer</w:t>
            </w:r>
            <w:proofErr w:type="spellEnd"/>
            <w:r w:rsidRPr="00F92AAA">
              <w:rPr>
                <w:rFonts w:ascii="Arial" w:hAnsi="Arial" w:cs="Arial"/>
                <w:sz w:val="22"/>
                <w:szCs w:val="22"/>
              </w:rPr>
              <w:t xml:space="preserve">, </w:t>
            </w:r>
            <w:proofErr w:type="spellStart"/>
            <w:r w:rsidRPr="00F92AAA">
              <w:rPr>
                <w:rFonts w:ascii="Arial" w:hAnsi="Arial" w:cs="Arial"/>
                <w:sz w:val="22"/>
                <w:szCs w:val="22"/>
              </w:rPr>
              <w:t>Buhalis</w:t>
            </w:r>
            <w:proofErr w:type="spellEnd"/>
            <w:r w:rsidRPr="00F92AAA">
              <w:rPr>
                <w:rFonts w:ascii="Arial" w:hAnsi="Arial" w:cs="Arial"/>
                <w:sz w:val="22"/>
                <w:szCs w:val="22"/>
              </w:rPr>
              <w:t xml:space="preserve"> and </w:t>
            </w:r>
            <w:proofErr w:type="spellStart"/>
            <w:r w:rsidRPr="00F92AAA">
              <w:rPr>
                <w:rFonts w:ascii="Arial" w:hAnsi="Arial" w:cs="Arial"/>
                <w:sz w:val="22"/>
                <w:szCs w:val="22"/>
              </w:rPr>
              <w:t>Ladkin</w:t>
            </w:r>
            <w:proofErr w:type="spellEnd"/>
            <w:r w:rsidRPr="00F92AAA">
              <w:rPr>
                <w:rFonts w:ascii="Arial" w:hAnsi="Arial" w:cs="Arial"/>
                <w:sz w:val="22"/>
                <w:szCs w:val="22"/>
              </w:rPr>
              <w:t>, 2015).</w:t>
            </w:r>
          </w:p>
          <w:p w14:paraId="78B3ECCB"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t>- Increasing global emphasis on sustainability, enhancing brand differentiation (Elkington, 1997).</w:t>
            </w:r>
          </w:p>
          <w:p w14:paraId="29901CB6" w14:textId="77777777" w:rsidR="00F92AAA" w:rsidRPr="00F92AAA" w:rsidRDefault="00F92AAA" w:rsidP="00A948DA">
            <w:pPr>
              <w:spacing w:after="160" w:line="360" w:lineRule="auto"/>
              <w:rPr>
                <w:rFonts w:ascii="Arial" w:hAnsi="Arial" w:cs="Arial"/>
                <w:sz w:val="22"/>
                <w:szCs w:val="22"/>
              </w:rPr>
            </w:pPr>
            <w:r w:rsidRPr="00F92AAA">
              <w:rPr>
                <w:rFonts w:ascii="Arial" w:hAnsi="Arial" w:cs="Arial"/>
                <w:sz w:val="22"/>
                <w:szCs w:val="22"/>
              </w:rPr>
              <w:lastRenderedPageBreak/>
              <w:t xml:space="preserve">- Expansion into emerging economies where </w:t>
            </w:r>
            <w:proofErr w:type="spellStart"/>
            <w:r w:rsidRPr="00F92AAA">
              <w:rPr>
                <w:rFonts w:ascii="Arial" w:hAnsi="Arial" w:cs="Arial"/>
                <w:sz w:val="22"/>
                <w:szCs w:val="22"/>
              </w:rPr>
              <w:t>StaySmart</w:t>
            </w:r>
            <w:proofErr w:type="spellEnd"/>
            <w:r w:rsidRPr="00F92AAA">
              <w:rPr>
                <w:rFonts w:ascii="Arial" w:hAnsi="Arial" w:cs="Arial"/>
                <w:sz w:val="22"/>
                <w:szCs w:val="22"/>
              </w:rPr>
              <w:t>+ could be a key differentiator.</w:t>
            </w:r>
          </w:p>
          <w:p w14:paraId="18AA3A6D" w14:textId="77777777" w:rsidR="00F92AAA" w:rsidRPr="00F92AAA" w:rsidRDefault="00F92AAA" w:rsidP="00A948DA">
            <w:pPr>
              <w:spacing w:after="160" w:line="360" w:lineRule="auto"/>
              <w:rPr>
                <w:rFonts w:ascii="Arial" w:hAnsi="Arial" w:cs="Arial"/>
                <w:b w:val="0"/>
                <w:bCs w:val="0"/>
                <w:sz w:val="22"/>
                <w:szCs w:val="22"/>
              </w:rPr>
            </w:pPr>
            <w:r w:rsidRPr="00F92AAA">
              <w:rPr>
                <w:rFonts w:ascii="Arial" w:hAnsi="Arial" w:cs="Arial"/>
                <w:sz w:val="22"/>
                <w:szCs w:val="22"/>
              </w:rPr>
              <w:t>- Ability to generate new revenue streams through personalised, paid-for services.</w:t>
            </w:r>
          </w:p>
        </w:tc>
        <w:tc>
          <w:tcPr>
            <w:tcW w:w="4961" w:type="dxa"/>
          </w:tcPr>
          <w:p w14:paraId="559025F0"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2AAA">
              <w:rPr>
                <w:rFonts w:ascii="Arial" w:hAnsi="Arial" w:cs="Arial"/>
                <w:sz w:val="22"/>
                <w:szCs w:val="22"/>
              </w:rPr>
              <w:lastRenderedPageBreak/>
              <w:t>- Intense competition from other hotel groups launching similar AI-driven services (Porter, 1980).</w:t>
            </w:r>
          </w:p>
          <w:p w14:paraId="160C46D3"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2AAA">
              <w:rPr>
                <w:rFonts w:ascii="Arial" w:hAnsi="Arial" w:cs="Arial"/>
                <w:sz w:val="22"/>
                <w:szCs w:val="22"/>
              </w:rPr>
              <w:t xml:space="preserve">- Potential data privacy regulations and cybersecurity risks associated with AI and guest data (Taddeo and </w:t>
            </w:r>
            <w:proofErr w:type="spellStart"/>
            <w:r w:rsidRPr="00F92AAA">
              <w:rPr>
                <w:rFonts w:ascii="Arial" w:hAnsi="Arial" w:cs="Arial"/>
                <w:sz w:val="22"/>
                <w:szCs w:val="22"/>
              </w:rPr>
              <w:t>Floridi</w:t>
            </w:r>
            <w:proofErr w:type="spellEnd"/>
            <w:r w:rsidRPr="00F92AAA">
              <w:rPr>
                <w:rFonts w:ascii="Arial" w:hAnsi="Arial" w:cs="Arial"/>
                <w:sz w:val="22"/>
                <w:szCs w:val="22"/>
              </w:rPr>
              <w:t>, 2017).</w:t>
            </w:r>
          </w:p>
          <w:p w14:paraId="7005CFEF"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2AAA">
              <w:rPr>
                <w:rFonts w:ascii="Arial" w:hAnsi="Arial" w:cs="Arial"/>
                <w:sz w:val="22"/>
                <w:szCs w:val="22"/>
              </w:rPr>
              <w:lastRenderedPageBreak/>
              <w:t>- Global economic uncertainty or recession impacting corporate and leisure travel budgets (Pike and Page, 2014).</w:t>
            </w:r>
          </w:p>
          <w:p w14:paraId="2A070860" w14:textId="77777777" w:rsidR="00F92AAA" w:rsidRPr="00F92AAA" w:rsidRDefault="00F92AAA" w:rsidP="00A948D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92AAA">
              <w:rPr>
                <w:rFonts w:ascii="Arial" w:hAnsi="Arial" w:cs="Arial"/>
                <w:sz w:val="22"/>
                <w:szCs w:val="22"/>
              </w:rPr>
              <w:t>- Supply chain disruptions affecting the installation of new in-room technology.</w:t>
            </w:r>
          </w:p>
        </w:tc>
      </w:tr>
    </w:tbl>
    <w:p w14:paraId="474C0810" w14:textId="77777777" w:rsidR="00324C4B" w:rsidRDefault="00324C4B" w:rsidP="003D06D0">
      <w:pPr>
        <w:pStyle w:val="Heading2"/>
      </w:pPr>
    </w:p>
    <w:p w14:paraId="4382D6BB" w14:textId="405CE864" w:rsidR="003D06D0" w:rsidRPr="003D06D0" w:rsidRDefault="00A948DA" w:rsidP="003D06D0">
      <w:pPr>
        <w:pStyle w:val="Heading2"/>
      </w:pPr>
      <w:bookmarkStart w:id="4" w:name="_Toc224997202"/>
      <w:r w:rsidRPr="00C863AA">
        <w:t>P</w:t>
      </w:r>
      <w:r w:rsidR="00224666">
        <w:t>ESTLE</w:t>
      </w:r>
      <w:r w:rsidRPr="00C863AA">
        <w:t xml:space="preserve"> Analysis</w:t>
      </w:r>
      <w:bookmarkEnd w:id="4"/>
      <w:r w:rsidRPr="00C863AA">
        <w:t xml:space="preserve"> </w:t>
      </w:r>
    </w:p>
    <w:p w14:paraId="2D6C8E46" w14:textId="00105B28" w:rsidR="00224666" w:rsidRDefault="00224666" w:rsidP="00A948DA">
      <w:pPr>
        <w:spacing w:line="360" w:lineRule="auto"/>
        <w:rPr>
          <w:rFonts w:ascii="Arial" w:hAnsi="Arial" w:cs="Arial"/>
          <w:sz w:val="22"/>
          <w:szCs w:val="22"/>
        </w:rPr>
      </w:pPr>
      <w:r>
        <w:rPr>
          <w:rFonts w:ascii="Arial" w:hAnsi="Arial" w:cs="Arial"/>
          <w:b/>
          <w:bCs/>
          <w:sz w:val="28"/>
          <w:szCs w:val="28"/>
        </w:rPr>
        <w:t xml:space="preserve">PESTLE </w:t>
      </w:r>
      <w:r w:rsidRPr="002B3396">
        <w:rPr>
          <w:rFonts w:ascii="Arial" w:hAnsi="Arial" w:cs="Arial"/>
          <w:sz w:val="22"/>
          <w:szCs w:val="22"/>
        </w:rPr>
        <w:t xml:space="preserve">is </w:t>
      </w:r>
      <w:r w:rsidR="002B3396">
        <w:rPr>
          <w:rFonts w:ascii="Arial" w:hAnsi="Arial" w:cs="Arial"/>
          <w:sz w:val="22"/>
          <w:szCs w:val="22"/>
        </w:rPr>
        <w:t>an acronym for: Political, Economic, Social, Technological, Legal</w:t>
      </w:r>
      <w:r w:rsidR="00C134AD">
        <w:rPr>
          <w:rFonts w:ascii="Arial" w:hAnsi="Arial" w:cs="Arial"/>
          <w:sz w:val="22"/>
          <w:szCs w:val="22"/>
        </w:rPr>
        <w:t xml:space="preserve">, </w:t>
      </w:r>
      <w:r w:rsidR="002B3396">
        <w:rPr>
          <w:rFonts w:ascii="Arial" w:hAnsi="Arial" w:cs="Arial"/>
          <w:sz w:val="22"/>
          <w:szCs w:val="22"/>
        </w:rPr>
        <w:t>Environmental</w:t>
      </w:r>
      <w:r w:rsidR="003D06D0">
        <w:rPr>
          <w:rFonts w:ascii="Arial" w:hAnsi="Arial" w:cs="Arial"/>
          <w:sz w:val="22"/>
          <w:szCs w:val="22"/>
        </w:rPr>
        <w:t xml:space="preserve"> and </w:t>
      </w:r>
      <w:r w:rsidR="003D06D0" w:rsidRPr="003D06D0">
        <w:rPr>
          <w:rFonts w:ascii="Arial" w:hAnsi="Arial" w:cs="Arial"/>
          <w:sz w:val="22"/>
          <w:szCs w:val="22"/>
        </w:rPr>
        <w:t>It is used to analyse the External environment of a business</w:t>
      </w:r>
      <w:r w:rsidR="00E1389F">
        <w:rPr>
          <w:rFonts w:ascii="Arial" w:hAnsi="Arial" w:cs="Arial"/>
          <w:sz w:val="22"/>
          <w:szCs w:val="22"/>
        </w:rPr>
        <w:t>.</w:t>
      </w:r>
    </w:p>
    <w:p w14:paraId="46E7DA1F" w14:textId="4E3FA9D4" w:rsidR="00DB4CB5" w:rsidRPr="00DB4CB5" w:rsidRDefault="00DB4CB5" w:rsidP="00A948DA">
      <w:pPr>
        <w:spacing w:line="360" w:lineRule="auto"/>
        <w:rPr>
          <w:rFonts w:ascii="Arial" w:hAnsi="Arial" w:cs="Arial"/>
          <w:b/>
          <w:bCs/>
          <w:sz w:val="22"/>
          <w:szCs w:val="22"/>
        </w:rPr>
      </w:pPr>
      <w:r w:rsidRPr="00DB4CB5">
        <w:rPr>
          <w:rFonts w:ascii="Arial" w:hAnsi="Arial" w:cs="Arial"/>
          <w:b/>
          <w:bCs/>
          <w:sz w:val="22"/>
          <w:szCs w:val="22"/>
        </w:rPr>
        <w:t>Tab</w:t>
      </w:r>
      <w:r w:rsidR="007160A6">
        <w:rPr>
          <w:rFonts w:ascii="Arial" w:hAnsi="Arial" w:cs="Arial"/>
          <w:b/>
          <w:bCs/>
          <w:sz w:val="22"/>
          <w:szCs w:val="22"/>
        </w:rPr>
        <w:t>le</w:t>
      </w:r>
      <w:r w:rsidRPr="00DB4CB5">
        <w:rPr>
          <w:rFonts w:ascii="Arial" w:hAnsi="Arial" w:cs="Arial"/>
          <w:b/>
          <w:bCs/>
          <w:sz w:val="22"/>
          <w:szCs w:val="22"/>
        </w:rPr>
        <w:t>.2</w:t>
      </w:r>
    </w:p>
    <w:tbl>
      <w:tblPr>
        <w:tblStyle w:val="GridTable4-Accent2"/>
        <w:tblW w:w="9351" w:type="dxa"/>
        <w:tblLook w:val="04A0" w:firstRow="1" w:lastRow="0" w:firstColumn="1" w:lastColumn="0" w:noHBand="0" w:noVBand="1"/>
      </w:tblPr>
      <w:tblGrid>
        <w:gridCol w:w="1745"/>
        <w:gridCol w:w="7606"/>
      </w:tblGrid>
      <w:tr w:rsidR="00A948DA" w14:paraId="6E011003" w14:textId="77777777" w:rsidTr="006D7A58">
        <w:trPr>
          <w:cnfStyle w:val="100000000000" w:firstRow="1" w:lastRow="0" w:firstColumn="0" w:lastColumn="0" w:oddVBand="0" w:evenVBand="0" w:oddHBand="0" w:evenHBand="0" w:firstRowFirstColumn="0" w:firstRowLastColumn="0" w:lastRowFirstColumn="0" w:lastRowLastColumn="0"/>
          <w:trHeight w:val="1870"/>
        </w:trPr>
        <w:tc>
          <w:tcPr>
            <w:cnfStyle w:val="001000000000" w:firstRow="0" w:lastRow="0" w:firstColumn="1" w:lastColumn="0" w:oddVBand="0" w:evenVBand="0" w:oddHBand="0" w:evenHBand="0" w:firstRowFirstColumn="0" w:firstRowLastColumn="0" w:lastRowFirstColumn="0" w:lastRowLastColumn="0"/>
            <w:tcW w:w="1745" w:type="dxa"/>
          </w:tcPr>
          <w:p w14:paraId="5F4F31EE" w14:textId="77777777" w:rsidR="00A948DA" w:rsidRDefault="00A948DA" w:rsidP="00A948DA">
            <w:pPr>
              <w:spacing w:line="360" w:lineRule="auto"/>
              <w:rPr>
                <w:rFonts w:ascii="Arial" w:hAnsi="Arial" w:cs="Arial"/>
                <w:b w:val="0"/>
                <w:bCs w:val="0"/>
                <w:sz w:val="22"/>
                <w:szCs w:val="22"/>
              </w:rPr>
            </w:pPr>
          </w:p>
          <w:p w14:paraId="0DAA461E" w14:textId="77777777" w:rsidR="00C863AA" w:rsidRDefault="00C863AA" w:rsidP="00A948DA">
            <w:pPr>
              <w:spacing w:line="360" w:lineRule="auto"/>
              <w:rPr>
                <w:rFonts w:ascii="Arial" w:hAnsi="Arial" w:cs="Arial"/>
                <w:b w:val="0"/>
                <w:bCs w:val="0"/>
                <w:sz w:val="22"/>
                <w:szCs w:val="22"/>
              </w:rPr>
            </w:pPr>
          </w:p>
          <w:p w14:paraId="07889D35" w14:textId="6AC674DB" w:rsidR="00C863AA" w:rsidRDefault="00C863AA" w:rsidP="00A948DA">
            <w:pPr>
              <w:spacing w:line="360" w:lineRule="auto"/>
              <w:rPr>
                <w:rFonts w:ascii="Arial" w:hAnsi="Arial" w:cs="Arial"/>
                <w:b w:val="0"/>
                <w:bCs w:val="0"/>
                <w:sz w:val="22"/>
                <w:szCs w:val="22"/>
              </w:rPr>
            </w:pPr>
            <w:r>
              <w:rPr>
                <w:rFonts w:ascii="Arial" w:hAnsi="Arial" w:cs="Arial"/>
                <w:sz w:val="22"/>
                <w:szCs w:val="22"/>
              </w:rPr>
              <w:t>Political</w:t>
            </w:r>
          </w:p>
        </w:tc>
        <w:tc>
          <w:tcPr>
            <w:tcW w:w="7606" w:type="dxa"/>
          </w:tcPr>
          <w:p w14:paraId="28A1212F" w14:textId="77777777" w:rsidR="00A948DA" w:rsidRPr="00C863AA" w:rsidRDefault="00A948DA"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p w14:paraId="1F03C09D" w14:textId="0803095D" w:rsidR="00C863AA" w:rsidRPr="00C863AA" w:rsidRDefault="00C863AA"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863AA">
              <w:rPr>
                <w:rFonts w:ascii="Arial" w:hAnsi="Arial" w:cs="Arial"/>
                <w:sz w:val="22"/>
                <w:szCs w:val="22"/>
              </w:rPr>
              <w:t xml:space="preserve">Varying political stability and government attitudes towards data sovereignty (e.g., GDPR in Europe, CCPA in California) will require a flexible, compliant approach in each market (Voigt and Von </w:t>
            </w:r>
            <w:proofErr w:type="spellStart"/>
            <w:r w:rsidRPr="00C863AA">
              <w:rPr>
                <w:rFonts w:ascii="Arial" w:hAnsi="Arial" w:cs="Arial"/>
                <w:sz w:val="22"/>
                <w:szCs w:val="22"/>
              </w:rPr>
              <w:t>dem</w:t>
            </w:r>
            <w:proofErr w:type="spellEnd"/>
            <w:r w:rsidRPr="00C863AA">
              <w:rPr>
                <w:rFonts w:ascii="Arial" w:hAnsi="Arial" w:cs="Arial"/>
                <w:sz w:val="22"/>
                <w:szCs w:val="22"/>
              </w:rPr>
              <w:t xml:space="preserve"> </w:t>
            </w:r>
            <w:proofErr w:type="spellStart"/>
            <w:r w:rsidRPr="00C863AA">
              <w:rPr>
                <w:rFonts w:ascii="Arial" w:hAnsi="Arial" w:cs="Arial"/>
                <w:sz w:val="22"/>
                <w:szCs w:val="22"/>
              </w:rPr>
              <w:t>Bussche</w:t>
            </w:r>
            <w:proofErr w:type="spellEnd"/>
            <w:r w:rsidRPr="00C863AA">
              <w:rPr>
                <w:rFonts w:ascii="Arial" w:hAnsi="Arial" w:cs="Arial"/>
                <w:sz w:val="22"/>
                <w:szCs w:val="22"/>
              </w:rPr>
              <w:t>, 2017).</w:t>
            </w:r>
          </w:p>
        </w:tc>
      </w:tr>
      <w:tr w:rsidR="00A948DA" w14:paraId="1072423A" w14:textId="77777777" w:rsidTr="006D7A58">
        <w:trPr>
          <w:cnfStyle w:val="000000100000" w:firstRow="0" w:lastRow="0" w:firstColumn="0" w:lastColumn="0" w:oddVBand="0" w:evenVBand="0" w:oddHBand="1" w:evenHBand="0" w:firstRowFirstColumn="0" w:firstRowLastColumn="0" w:lastRowFirstColumn="0" w:lastRowLastColumn="0"/>
          <w:trHeight w:val="1982"/>
        </w:trPr>
        <w:tc>
          <w:tcPr>
            <w:cnfStyle w:val="001000000000" w:firstRow="0" w:lastRow="0" w:firstColumn="1" w:lastColumn="0" w:oddVBand="0" w:evenVBand="0" w:oddHBand="0" w:evenHBand="0" w:firstRowFirstColumn="0" w:firstRowLastColumn="0" w:lastRowFirstColumn="0" w:lastRowLastColumn="0"/>
            <w:tcW w:w="1745" w:type="dxa"/>
          </w:tcPr>
          <w:p w14:paraId="28C63AF4" w14:textId="77777777" w:rsidR="00A948DA" w:rsidRDefault="00A948DA" w:rsidP="00A948DA">
            <w:pPr>
              <w:spacing w:line="360" w:lineRule="auto"/>
              <w:rPr>
                <w:rFonts w:ascii="Arial" w:hAnsi="Arial" w:cs="Arial"/>
                <w:b w:val="0"/>
                <w:bCs w:val="0"/>
                <w:sz w:val="22"/>
                <w:szCs w:val="22"/>
              </w:rPr>
            </w:pPr>
          </w:p>
          <w:p w14:paraId="39D04025" w14:textId="4C2EB88C" w:rsidR="00C863AA" w:rsidRDefault="00C863AA" w:rsidP="00A948DA">
            <w:pPr>
              <w:spacing w:line="360" w:lineRule="auto"/>
              <w:rPr>
                <w:rFonts w:ascii="Arial" w:hAnsi="Arial" w:cs="Arial"/>
                <w:b w:val="0"/>
                <w:bCs w:val="0"/>
                <w:sz w:val="22"/>
                <w:szCs w:val="22"/>
              </w:rPr>
            </w:pPr>
            <w:r>
              <w:rPr>
                <w:rFonts w:ascii="Arial" w:hAnsi="Arial" w:cs="Arial"/>
                <w:sz w:val="22"/>
                <w:szCs w:val="22"/>
              </w:rPr>
              <w:t xml:space="preserve">Economic </w:t>
            </w:r>
          </w:p>
        </w:tc>
        <w:tc>
          <w:tcPr>
            <w:tcW w:w="7606" w:type="dxa"/>
          </w:tcPr>
          <w:p w14:paraId="78A5AB12" w14:textId="77777777" w:rsidR="00A948DA" w:rsidRPr="00C863AA" w:rsidRDefault="00A948D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63532F7E" w14:textId="498B5702" w:rsidR="00C863AA" w:rsidRPr="00C863AA" w:rsidRDefault="00C863A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863AA">
              <w:rPr>
                <w:rFonts w:ascii="Arial" w:hAnsi="Arial" w:cs="Arial"/>
                <w:sz w:val="22"/>
                <w:szCs w:val="22"/>
              </w:rPr>
              <w:t>Fluctuating exchange rates and inflationary pressures could impact the project's budget and the perceived value of a premium service for cost-conscious consumers (Pike and Page, 2014).</w:t>
            </w:r>
          </w:p>
          <w:p w14:paraId="0539AB6E" w14:textId="77777777" w:rsidR="00C863AA" w:rsidRPr="00C863AA" w:rsidRDefault="00C863A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A948DA" w14:paraId="426932BD" w14:textId="77777777" w:rsidTr="006D7A58">
        <w:trPr>
          <w:trHeight w:val="2251"/>
        </w:trPr>
        <w:tc>
          <w:tcPr>
            <w:cnfStyle w:val="001000000000" w:firstRow="0" w:lastRow="0" w:firstColumn="1" w:lastColumn="0" w:oddVBand="0" w:evenVBand="0" w:oddHBand="0" w:evenHBand="0" w:firstRowFirstColumn="0" w:firstRowLastColumn="0" w:lastRowFirstColumn="0" w:lastRowLastColumn="0"/>
            <w:tcW w:w="1745" w:type="dxa"/>
          </w:tcPr>
          <w:p w14:paraId="68103647" w14:textId="77777777" w:rsidR="00A948DA" w:rsidRDefault="00A948DA" w:rsidP="00A948DA">
            <w:pPr>
              <w:spacing w:line="360" w:lineRule="auto"/>
              <w:rPr>
                <w:rFonts w:ascii="Arial" w:hAnsi="Arial" w:cs="Arial"/>
                <w:b w:val="0"/>
                <w:bCs w:val="0"/>
                <w:sz w:val="22"/>
                <w:szCs w:val="22"/>
              </w:rPr>
            </w:pPr>
          </w:p>
          <w:p w14:paraId="0A636571" w14:textId="5775F872" w:rsidR="00C863AA" w:rsidRDefault="00C863AA" w:rsidP="00A948DA">
            <w:pPr>
              <w:spacing w:line="360" w:lineRule="auto"/>
              <w:rPr>
                <w:rFonts w:ascii="Arial" w:hAnsi="Arial" w:cs="Arial"/>
                <w:b w:val="0"/>
                <w:bCs w:val="0"/>
                <w:sz w:val="22"/>
                <w:szCs w:val="22"/>
              </w:rPr>
            </w:pPr>
            <w:r>
              <w:rPr>
                <w:rFonts w:ascii="Arial" w:hAnsi="Arial" w:cs="Arial"/>
                <w:sz w:val="22"/>
                <w:szCs w:val="22"/>
              </w:rPr>
              <w:t>Social</w:t>
            </w:r>
          </w:p>
        </w:tc>
        <w:tc>
          <w:tcPr>
            <w:tcW w:w="7606" w:type="dxa"/>
          </w:tcPr>
          <w:p w14:paraId="33B1F408" w14:textId="77777777" w:rsidR="00A948DA" w:rsidRPr="00C863AA" w:rsidRDefault="00A948DA"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23766A3" w14:textId="0065C923" w:rsidR="00C863AA" w:rsidRPr="00C863AA" w:rsidRDefault="00C863AA"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863AA">
              <w:rPr>
                <w:rFonts w:ascii="Arial" w:hAnsi="Arial" w:cs="Arial"/>
                <w:sz w:val="22"/>
                <w:szCs w:val="22"/>
              </w:rPr>
              <w:t>A cultural shift towards "</w:t>
            </w:r>
            <w:proofErr w:type="spellStart"/>
            <w:r w:rsidRPr="00C863AA">
              <w:rPr>
                <w:rFonts w:ascii="Arial" w:hAnsi="Arial" w:cs="Arial"/>
                <w:sz w:val="22"/>
                <w:szCs w:val="22"/>
              </w:rPr>
              <w:t>phigital</w:t>
            </w:r>
            <w:proofErr w:type="spellEnd"/>
            <w:r w:rsidRPr="00C863AA">
              <w:rPr>
                <w:rFonts w:ascii="Arial" w:hAnsi="Arial" w:cs="Arial"/>
                <w:sz w:val="22"/>
                <w:szCs w:val="22"/>
              </w:rPr>
              <w:t>" experiences (physical + digital) and a growing demand for authentic, localised, and sustainable travel (</w:t>
            </w:r>
            <w:proofErr w:type="spellStart"/>
            <w:r w:rsidRPr="00C863AA">
              <w:rPr>
                <w:rFonts w:ascii="Arial" w:hAnsi="Arial" w:cs="Arial"/>
                <w:sz w:val="22"/>
                <w:szCs w:val="22"/>
              </w:rPr>
              <w:t>Gretzel</w:t>
            </w:r>
            <w:proofErr w:type="spellEnd"/>
            <w:r w:rsidRPr="00C863AA">
              <w:rPr>
                <w:rFonts w:ascii="Arial" w:hAnsi="Arial" w:cs="Arial"/>
                <w:sz w:val="22"/>
                <w:szCs w:val="22"/>
              </w:rPr>
              <w:t xml:space="preserve"> et al., 2015). Engagement strategies must be adapted to local cultural norms regarding technology and service (Hofstede, 2001).</w:t>
            </w:r>
          </w:p>
        </w:tc>
      </w:tr>
      <w:tr w:rsidR="00A948DA" w14:paraId="48B15802" w14:textId="77777777" w:rsidTr="006D7A58">
        <w:trPr>
          <w:cnfStyle w:val="000000100000" w:firstRow="0" w:lastRow="0" w:firstColumn="0" w:lastColumn="0" w:oddVBand="0" w:evenVBand="0" w:oddHBand="1" w:evenHBand="0" w:firstRowFirstColumn="0" w:firstRowLastColumn="0" w:lastRowFirstColumn="0" w:lastRowLastColumn="0"/>
          <w:trHeight w:val="2398"/>
        </w:trPr>
        <w:tc>
          <w:tcPr>
            <w:cnfStyle w:val="001000000000" w:firstRow="0" w:lastRow="0" w:firstColumn="1" w:lastColumn="0" w:oddVBand="0" w:evenVBand="0" w:oddHBand="0" w:evenHBand="0" w:firstRowFirstColumn="0" w:firstRowLastColumn="0" w:lastRowFirstColumn="0" w:lastRowLastColumn="0"/>
            <w:tcW w:w="1745" w:type="dxa"/>
          </w:tcPr>
          <w:p w14:paraId="04510172" w14:textId="77777777" w:rsidR="00A948DA" w:rsidRDefault="00A948DA" w:rsidP="00A948DA">
            <w:pPr>
              <w:spacing w:line="360" w:lineRule="auto"/>
              <w:rPr>
                <w:rFonts w:ascii="Arial" w:hAnsi="Arial" w:cs="Arial"/>
                <w:b w:val="0"/>
                <w:bCs w:val="0"/>
                <w:sz w:val="22"/>
                <w:szCs w:val="22"/>
              </w:rPr>
            </w:pPr>
          </w:p>
          <w:p w14:paraId="1F1D0628" w14:textId="77777777" w:rsidR="00C863AA" w:rsidRDefault="00C863AA" w:rsidP="00A948DA">
            <w:pPr>
              <w:spacing w:line="360" w:lineRule="auto"/>
              <w:rPr>
                <w:rFonts w:ascii="Arial" w:hAnsi="Arial" w:cs="Arial"/>
                <w:b w:val="0"/>
                <w:bCs w:val="0"/>
                <w:sz w:val="22"/>
                <w:szCs w:val="22"/>
              </w:rPr>
            </w:pPr>
          </w:p>
          <w:p w14:paraId="58CC46FD" w14:textId="796B2951" w:rsidR="00C863AA" w:rsidRDefault="00C863AA" w:rsidP="00A948DA">
            <w:pPr>
              <w:spacing w:line="360" w:lineRule="auto"/>
              <w:rPr>
                <w:rFonts w:ascii="Arial" w:hAnsi="Arial" w:cs="Arial"/>
                <w:b w:val="0"/>
                <w:bCs w:val="0"/>
                <w:sz w:val="22"/>
                <w:szCs w:val="22"/>
              </w:rPr>
            </w:pPr>
            <w:r>
              <w:rPr>
                <w:rFonts w:ascii="Arial" w:hAnsi="Arial" w:cs="Arial"/>
                <w:sz w:val="22"/>
                <w:szCs w:val="22"/>
              </w:rPr>
              <w:t xml:space="preserve">Technological </w:t>
            </w:r>
          </w:p>
        </w:tc>
        <w:tc>
          <w:tcPr>
            <w:tcW w:w="7606" w:type="dxa"/>
          </w:tcPr>
          <w:p w14:paraId="111049A3" w14:textId="77777777" w:rsidR="00A948DA" w:rsidRPr="00C863AA" w:rsidRDefault="00A948D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2FCC38F2" w14:textId="31ED6C65" w:rsidR="00C863AA" w:rsidRPr="00C863AA" w:rsidRDefault="00C863A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863AA">
              <w:rPr>
                <w:rFonts w:ascii="Arial" w:hAnsi="Arial" w:cs="Arial"/>
                <w:sz w:val="22"/>
                <w:szCs w:val="22"/>
              </w:rPr>
              <w:t>Rapid advancements in AI and IoT present both an opportunity (for enhancement) and a threat (of quick obsolescence) (Porter and Heppelmann, 2014). Reliable, high-speed internet infrastructure is a prerequisite that varies by location.</w:t>
            </w:r>
          </w:p>
        </w:tc>
      </w:tr>
      <w:tr w:rsidR="00A948DA" w14:paraId="625DEFDF" w14:textId="77777777" w:rsidTr="006D7A58">
        <w:trPr>
          <w:trHeight w:val="1980"/>
        </w:trPr>
        <w:tc>
          <w:tcPr>
            <w:cnfStyle w:val="001000000000" w:firstRow="0" w:lastRow="0" w:firstColumn="1" w:lastColumn="0" w:oddVBand="0" w:evenVBand="0" w:oddHBand="0" w:evenHBand="0" w:firstRowFirstColumn="0" w:firstRowLastColumn="0" w:lastRowFirstColumn="0" w:lastRowLastColumn="0"/>
            <w:tcW w:w="1745" w:type="dxa"/>
          </w:tcPr>
          <w:p w14:paraId="29F3C0F0" w14:textId="77777777" w:rsidR="00A948DA" w:rsidRDefault="00A948DA" w:rsidP="00A948DA">
            <w:pPr>
              <w:spacing w:line="360" w:lineRule="auto"/>
              <w:rPr>
                <w:rFonts w:ascii="Arial" w:hAnsi="Arial" w:cs="Arial"/>
                <w:b w:val="0"/>
                <w:bCs w:val="0"/>
                <w:sz w:val="22"/>
                <w:szCs w:val="22"/>
              </w:rPr>
            </w:pPr>
          </w:p>
          <w:p w14:paraId="5B0683DC" w14:textId="77777777" w:rsidR="00C863AA" w:rsidRDefault="00C863AA" w:rsidP="00A948DA">
            <w:pPr>
              <w:spacing w:line="360" w:lineRule="auto"/>
              <w:rPr>
                <w:rFonts w:ascii="Arial" w:hAnsi="Arial" w:cs="Arial"/>
                <w:b w:val="0"/>
                <w:bCs w:val="0"/>
                <w:sz w:val="22"/>
                <w:szCs w:val="22"/>
              </w:rPr>
            </w:pPr>
          </w:p>
          <w:p w14:paraId="568A1220" w14:textId="3DCE1E47" w:rsidR="00C863AA" w:rsidRDefault="00C863AA" w:rsidP="00A948DA">
            <w:pPr>
              <w:spacing w:line="360" w:lineRule="auto"/>
              <w:rPr>
                <w:rFonts w:ascii="Arial" w:hAnsi="Arial" w:cs="Arial"/>
                <w:b w:val="0"/>
                <w:bCs w:val="0"/>
                <w:sz w:val="22"/>
                <w:szCs w:val="22"/>
              </w:rPr>
            </w:pPr>
            <w:r>
              <w:rPr>
                <w:rFonts w:ascii="Arial" w:hAnsi="Arial" w:cs="Arial"/>
                <w:sz w:val="22"/>
                <w:szCs w:val="22"/>
              </w:rPr>
              <w:t>Legal</w:t>
            </w:r>
          </w:p>
        </w:tc>
        <w:tc>
          <w:tcPr>
            <w:tcW w:w="7606" w:type="dxa"/>
          </w:tcPr>
          <w:p w14:paraId="039EB662" w14:textId="77777777" w:rsidR="00A948DA" w:rsidRPr="00C863AA" w:rsidRDefault="00A948DA"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9E647D2" w14:textId="60BDA2F7" w:rsidR="00C863AA" w:rsidRPr="00C863AA" w:rsidRDefault="00C863AA"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863AA">
              <w:rPr>
                <w:rFonts w:ascii="Arial" w:hAnsi="Arial" w:cs="Arial"/>
                <w:sz w:val="22"/>
                <w:szCs w:val="22"/>
              </w:rPr>
              <w:t xml:space="preserve">Complex and differing international laws on data privacy, AI ethics, and consumer protection must be meticulously navigated to avoid fines and reputational damage (Taddeo and </w:t>
            </w:r>
            <w:proofErr w:type="spellStart"/>
            <w:r w:rsidRPr="00C863AA">
              <w:rPr>
                <w:rFonts w:ascii="Arial" w:hAnsi="Arial" w:cs="Arial"/>
                <w:sz w:val="22"/>
                <w:szCs w:val="22"/>
              </w:rPr>
              <w:t>Floridi</w:t>
            </w:r>
            <w:proofErr w:type="spellEnd"/>
            <w:r w:rsidRPr="00C863AA">
              <w:rPr>
                <w:rFonts w:ascii="Arial" w:hAnsi="Arial" w:cs="Arial"/>
                <w:sz w:val="22"/>
                <w:szCs w:val="22"/>
              </w:rPr>
              <w:t>, 2017).</w:t>
            </w:r>
          </w:p>
        </w:tc>
      </w:tr>
      <w:tr w:rsidR="00A948DA" w14:paraId="0EEB5AC7" w14:textId="77777777" w:rsidTr="006D7A58">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1745" w:type="dxa"/>
          </w:tcPr>
          <w:p w14:paraId="3AE49BAA" w14:textId="77777777" w:rsidR="00A948DA" w:rsidRDefault="00A948DA" w:rsidP="00A948DA">
            <w:pPr>
              <w:spacing w:line="360" w:lineRule="auto"/>
              <w:rPr>
                <w:rFonts w:ascii="Arial" w:hAnsi="Arial" w:cs="Arial"/>
                <w:b w:val="0"/>
                <w:bCs w:val="0"/>
                <w:sz w:val="22"/>
                <w:szCs w:val="22"/>
              </w:rPr>
            </w:pPr>
          </w:p>
          <w:p w14:paraId="4DF31FEC" w14:textId="77777777" w:rsidR="00C863AA" w:rsidRDefault="00C863AA" w:rsidP="00A948DA">
            <w:pPr>
              <w:spacing w:line="360" w:lineRule="auto"/>
              <w:rPr>
                <w:rFonts w:ascii="Arial" w:hAnsi="Arial" w:cs="Arial"/>
                <w:b w:val="0"/>
                <w:bCs w:val="0"/>
                <w:sz w:val="22"/>
                <w:szCs w:val="22"/>
              </w:rPr>
            </w:pPr>
          </w:p>
          <w:p w14:paraId="48C81AC6" w14:textId="712CECB9" w:rsidR="00C863AA" w:rsidRDefault="00C863AA" w:rsidP="00A948DA">
            <w:pPr>
              <w:spacing w:line="360" w:lineRule="auto"/>
              <w:rPr>
                <w:rFonts w:ascii="Arial" w:hAnsi="Arial" w:cs="Arial"/>
                <w:b w:val="0"/>
                <w:bCs w:val="0"/>
                <w:sz w:val="22"/>
                <w:szCs w:val="22"/>
              </w:rPr>
            </w:pPr>
            <w:r>
              <w:rPr>
                <w:rFonts w:ascii="Arial" w:hAnsi="Arial" w:cs="Arial"/>
                <w:sz w:val="22"/>
                <w:szCs w:val="22"/>
              </w:rPr>
              <w:t xml:space="preserve">Environmental </w:t>
            </w:r>
          </w:p>
        </w:tc>
        <w:tc>
          <w:tcPr>
            <w:tcW w:w="7606" w:type="dxa"/>
          </w:tcPr>
          <w:p w14:paraId="1E49959E" w14:textId="77777777" w:rsidR="00A948DA" w:rsidRPr="00C863AA" w:rsidRDefault="00A948D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3FB7F2D3" w14:textId="07534784" w:rsidR="00C863AA" w:rsidRPr="00C863AA" w:rsidRDefault="00C863AA"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863AA">
              <w:rPr>
                <w:rFonts w:ascii="Arial" w:hAnsi="Arial" w:cs="Arial"/>
                <w:sz w:val="22"/>
                <w:szCs w:val="22"/>
              </w:rPr>
              <w:t xml:space="preserve">The sustainability pillar of </w:t>
            </w:r>
            <w:proofErr w:type="spellStart"/>
            <w:r w:rsidRPr="00C863AA">
              <w:rPr>
                <w:rFonts w:ascii="Arial" w:hAnsi="Arial" w:cs="Arial"/>
                <w:sz w:val="22"/>
                <w:szCs w:val="22"/>
              </w:rPr>
              <w:t>StaySmart</w:t>
            </w:r>
            <w:proofErr w:type="spellEnd"/>
            <w:r w:rsidRPr="00C863AA">
              <w:rPr>
                <w:rFonts w:ascii="Arial" w:hAnsi="Arial" w:cs="Arial"/>
                <w:sz w:val="22"/>
                <w:szCs w:val="22"/>
              </w:rPr>
              <w:t>+ aligns with global ESG trends and can improve stakeholder relations, but requires credible, verifiable practices to avoid accusations of greenwashing (Jones, Hillier and Comfort, 2016).</w:t>
            </w:r>
          </w:p>
        </w:tc>
      </w:tr>
    </w:tbl>
    <w:p w14:paraId="60BE830C" w14:textId="77777777" w:rsidR="002B3396" w:rsidRDefault="002B3396" w:rsidP="000C0069">
      <w:pPr>
        <w:spacing w:before="240" w:after="240" w:line="360" w:lineRule="auto"/>
        <w:rPr>
          <w:rFonts w:ascii="Arial" w:eastAsia="Times New Roman" w:hAnsi="Arial" w:cs="Arial"/>
          <w:b/>
          <w:bCs/>
          <w:color w:val="0F1115"/>
          <w:kern w:val="0"/>
          <w:sz w:val="22"/>
          <w:szCs w:val="22"/>
          <w:lang w:eastAsia="en-GB"/>
          <w14:ligatures w14:val="none"/>
        </w:rPr>
      </w:pPr>
    </w:p>
    <w:p w14:paraId="5D0A81CD" w14:textId="11CF8218" w:rsidR="000C0069" w:rsidRDefault="000C0069" w:rsidP="000C0069">
      <w:pPr>
        <w:spacing w:before="240" w:after="240" w:line="360" w:lineRule="auto"/>
        <w:rPr>
          <w:rFonts w:ascii="Arial" w:eastAsia="Times New Roman" w:hAnsi="Arial" w:cs="Arial"/>
          <w:color w:val="0F1115"/>
          <w:kern w:val="0"/>
          <w:sz w:val="22"/>
          <w:szCs w:val="22"/>
          <w:lang w:eastAsia="en-GB"/>
          <w14:ligatures w14:val="none"/>
        </w:rPr>
      </w:pPr>
      <w:bookmarkStart w:id="5" w:name="_Toc224997203"/>
      <w:r w:rsidRPr="00132FBA">
        <w:rPr>
          <w:rStyle w:val="Heading1Char"/>
        </w:rPr>
        <w:t xml:space="preserve">SMART Objective for </w:t>
      </w:r>
      <w:proofErr w:type="spellStart"/>
      <w:r w:rsidRPr="00132FBA">
        <w:rPr>
          <w:rStyle w:val="Heading1Char"/>
        </w:rPr>
        <w:t>StaySmart</w:t>
      </w:r>
      <w:proofErr w:type="spellEnd"/>
      <w:r w:rsidRPr="00132FBA">
        <w:rPr>
          <w:rStyle w:val="Heading1Char"/>
        </w:rPr>
        <w:t>+ Project</w:t>
      </w:r>
      <w:bookmarkEnd w:id="5"/>
      <w:r w:rsidRPr="00797240">
        <w:rPr>
          <w:rFonts w:ascii="Arial" w:eastAsia="Times New Roman" w:hAnsi="Arial" w:cs="Arial"/>
          <w:b/>
          <w:bCs/>
          <w:color w:val="0F1115"/>
          <w:kern w:val="0"/>
          <w:sz w:val="28"/>
          <w:szCs w:val="28"/>
          <w:lang w:eastAsia="en-GB"/>
          <w14:ligatures w14:val="none"/>
        </w:rPr>
        <w:t>:</w:t>
      </w:r>
      <w:r w:rsidRPr="00BA1817">
        <w:rPr>
          <w:rFonts w:ascii="Arial" w:eastAsia="Times New Roman" w:hAnsi="Arial" w:cs="Arial"/>
          <w:color w:val="0F1115"/>
          <w:kern w:val="0"/>
          <w:sz w:val="22"/>
          <w:szCs w:val="22"/>
          <w:lang w:eastAsia="en-GB"/>
          <w14:ligatures w14:val="none"/>
        </w:rPr>
        <w:br/>
        <w:t>By the end of the 6-month pilot phase, achieve a 15% increase in guest satisfaction scores (as measured by post-stay surveys) and a 10% increase in direct booking revenue in the 50 pilot hotels, while ensuring 100% compliance with local data privacy regulations in all operating markets (Doran, 1981).</w:t>
      </w:r>
    </w:p>
    <w:p w14:paraId="1C4476C1" w14:textId="321F7A1D" w:rsidR="000C0069" w:rsidRPr="00797240" w:rsidRDefault="000C0069" w:rsidP="00132FBA">
      <w:pPr>
        <w:pStyle w:val="Heading1"/>
        <w:rPr>
          <w:rFonts w:eastAsia="Times New Roman"/>
          <w:lang w:eastAsia="en-GB"/>
        </w:rPr>
      </w:pPr>
      <w:r w:rsidRPr="00797240">
        <w:rPr>
          <w:rFonts w:eastAsia="Times New Roman"/>
          <w:lang w:eastAsia="en-GB"/>
        </w:rPr>
        <w:t xml:space="preserve"> </w:t>
      </w:r>
      <w:bookmarkStart w:id="6" w:name="_Toc224997204"/>
      <w:r w:rsidRPr="00797240">
        <w:rPr>
          <w:rFonts w:eastAsia="Times New Roman"/>
          <w:lang w:eastAsia="en-GB"/>
        </w:rPr>
        <w:t>Identification of Internal and External Stakeholders</w:t>
      </w:r>
      <w:bookmarkEnd w:id="6"/>
    </w:p>
    <w:p w14:paraId="67DC916C" w14:textId="77777777" w:rsidR="007D19AF" w:rsidRDefault="000C0069" w:rsidP="000C0069">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 Freeman's (1984) seminal stakeholder theory</w:t>
      </w:r>
      <w:r w:rsidR="002B3396">
        <w:rPr>
          <w:rFonts w:ascii="Arial" w:eastAsia="Times New Roman" w:hAnsi="Arial" w:cs="Arial"/>
          <w:color w:val="0F1115"/>
          <w:kern w:val="0"/>
          <w:sz w:val="22"/>
          <w:szCs w:val="22"/>
          <w:lang w:eastAsia="en-GB"/>
          <w14:ligatures w14:val="none"/>
        </w:rPr>
        <w:t xml:space="preserve"> </w:t>
      </w:r>
      <w:r w:rsidR="00D209B2">
        <w:rPr>
          <w:rFonts w:ascii="Arial" w:eastAsia="Times New Roman" w:hAnsi="Arial" w:cs="Arial"/>
          <w:color w:val="0F1115"/>
          <w:kern w:val="0"/>
          <w:sz w:val="22"/>
          <w:szCs w:val="22"/>
          <w:lang w:eastAsia="en-GB"/>
          <w14:ligatures w14:val="none"/>
        </w:rPr>
        <w:t>states</w:t>
      </w:r>
      <w:r w:rsidR="002B3396">
        <w:rPr>
          <w:rFonts w:ascii="Arial" w:eastAsia="Times New Roman" w:hAnsi="Arial" w:cs="Arial"/>
          <w:color w:val="0F1115"/>
          <w:kern w:val="0"/>
          <w:sz w:val="22"/>
          <w:szCs w:val="22"/>
          <w:lang w:eastAsia="en-GB"/>
          <w14:ligatures w14:val="none"/>
        </w:rPr>
        <w:t>,</w:t>
      </w:r>
      <w:r w:rsidRPr="00BA1817">
        <w:rPr>
          <w:rFonts w:ascii="Arial" w:eastAsia="Times New Roman" w:hAnsi="Arial" w:cs="Arial"/>
          <w:color w:val="0F1115"/>
          <w:kern w:val="0"/>
          <w:sz w:val="22"/>
          <w:szCs w:val="22"/>
          <w:lang w:eastAsia="en-GB"/>
          <w14:ligatures w14:val="none"/>
        </w:rPr>
        <w:t xml:space="preserve"> that a firm must create value for all stakeholders, not just shareholders</w:t>
      </w:r>
      <w:r w:rsidR="00D209B2">
        <w:rPr>
          <w:rFonts w:ascii="Arial" w:eastAsia="Times New Roman" w:hAnsi="Arial" w:cs="Arial"/>
          <w:color w:val="0F1115"/>
          <w:kern w:val="0"/>
          <w:sz w:val="22"/>
          <w:szCs w:val="22"/>
          <w:lang w:eastAsia="en-GB"/>
          <w14:ligatures w14:val="none"/>
        </w:rPr>
        <w:t>.</w:t>
      </w:r>
      <w:r w:rsidRPr="00BA1817">
        <w:rPr>
          <w:rFonts w:ascii="Arial" w:eastAsia="Times New Roman" w:hAnsi="Arial" w:cs="Arial"/>
          <w:color w:val="0F1115"/>
          <w:kern w:val="0"/>
          <w:sz w:val="22"/>
          <w:szCs w:val="22"/>
          <w:lang w:eastAsia="en-GB"/>
          <w14:ligatures w14:val="none"/>
        </w:rPr>
        <w:t xml:space="preserve"> we identify any group or individual who can affect or is affected by the achievement of the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project's objectives (Freeman et al., 2010; Donaldson and Preston, 1995).</w:t>
      </w:r>
    </w:p>
    <w:p w14:paraId="6DDD59F9" w14:textId="412315DE" w:rsidR="000C0069" w:rsidRPr="007D19AF" w:rsidRDefault="007D19AF" w:rsidP="000C0069">
      <w:pPr>
        <w:spacing w:before="240" w:after="240" w:line="360" w:lineRule="auto"/>
        <w:rPr>
          <w:rFonts w:ascii="Arial" w:eastAsia="Times New Roman" w:hAnsi="Arial" w:cs="Arial"/>
          <w:color w:val="0F1115"/>
          <w:kern w:val="0"/>
          <w:sz w:val="22"/>
          <w:szCs w:val="22"/>
          <w:lang w:eastAsia="en-GB"/>
          <w14:ligatures w14:val="none"/>
        </w:rPr>
      </w:pPr>
      <w:r>
        <w:rPr>
          <w:rFonts w:ascii="Arial" w:eastAsia="Times New Roman" w:hAnsi="Arial" w:cs="Arial"/>
          <w:color w:val="0F1115"/>
          <w:kern w:val="0"/>
          <w:sz w:val="22"/>
          <w:szCs w:val="22"/>
          <w:lang w:eastAsia="en-GB"/>
          <w14:ligatures w14:val="none"/>
        </w:rPr>
        <w:t xml:space="preserve">        </w:t>
      </w:r>
      <w:r w:rsidR="00D209B2" w:rsidRPr="00797240">
        <w:rPr>
          <w:rFonts w:ascii="Arial" w:eastAsia="Times New Roman" w:hAnsi="Arial" w:cs="Arial"/>
          <w:b/>
          <w:bCs/>
          <w:color w:val="0F1115"/>
          <w:kern w:val="0"/>
          <w:sz w:val="28"/>
          <w:szCs w:val="28"/>
          <w:lang w:eastAsia="en-GB"/>
          <w14:ligatures w14:val="none"/>
        </w:rPr>
        <w:t xml:space="preserve"> </w:t>
      </w:r>
      <w:bookmarkStart w:id="7" w:name="_Toc224997205"/>
      <w:r w:rsidR="000C0069" w:rsidRPr="00132FBA">
        <w:rPr>
          <w:rStyle w:val="Heading2Char"/>
        </w:rPr>
        <w:t>Internal Stakeholders</w:t>
      </w:r>
      <w:bookmarkEnd w:id="7"/>
      <w:r w:rsidR="000C0069" w:rsidRPr="00797240">
        <w:rPr>
          <w:rFonts w:ascii="Arial" w:eastAsia="Times New Roman" w:hAnsi="Arial" w:cs="Arial"/>
          <w:b/>
          <w:bCs/>
          <w:color w:val="0F1115"/>
          <w:kern w:val="0"/>
          <w:sz w:val="28"/>
          <w:szCs w:val="28"/>
          <w:lang w:eastAsia="en-GB"/>
          <w14:ligatures w14:val="none"/>
        </w:rPr>
        <w:t xml:space="preserve"> (Within AHI)</w:t>
      </w:r>
    </w:p>
    <w:p w14:paraId="5FD19A1E" w14:textId="551ADC4B" w:rsidR="000C0069" w:rsidRPr="00D209B2" w:rsidRDefault="000C0069" w:rsidP="00D209B2">
      <w:pPr>
        <w:pStyle w:val="ListParagraph"/>
        <w:numPr>
          <w:ilvl w:val="0"/>
          <w:numId w:val="10"/>
        </w:numPr>
        <w:spacing w:after="0" w:line="360" w:lineRule="auto"/>
        <w:rPr>
          <w:rFonts w:ascii="Arial" w:eastAsia="Times New Roman" w:hAnsi="Arial" w:cs="Arial"/>
          <w:b/>
          <w:bCs/>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Executive Leadership Team:</w:t>
      </w:r>
      <w:r w:rsidRPr="00D209B2">
        <w:rPr>
          <w:rFonts w:ascii="Arial" w:eastAsia="Times New Roman" w:hAnsi="Arial" w:cs="Arial"/>
          <w:color w:val="0F1115"/>
          <w:kern w:val="0"/>
          <w:sz w:val="22"/>
          <w:szCs w:val="22"/>
          <w:lang w:eastAsia="en-GB"/>
          <w14:ligatures w14:val="none"/>
        </w:rPr>
        <w:t> Approve budget, set strategic vision, and champion the project at the highest level.</w:t>
      </w:r>
    </w:p>
    <w:p w14:paraId="07126A10" w14:textId="23A582D2" w:rsidR="000C0069" w:rsidRPr="00D209B2" w:rsidRDefault="000C0069" w:rsidP="00D209B2">
      <w:pPr>
        <w:pStyle w:val="ListParagraph"/>
        <w:numPr>
          <w:ilvl w:val="0"/>
          <w:numId w:val="10"/>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Product Development &amp; IT Team:</w:t>
      </w:r>
      <w:r w:rsidRPr="00D209B2">
        <w:rPr>
          <w:rFonts w:ascii="Arial" w:eastAsia="Times New Roman" w:hAnsi="Arial" w:cs="Arial"/>
          <w:color w:val="0F1115"/>
          <w:kern w:val="0"/>
          <w:sz w:val="22"/>
          <w:szCs w:val="22"/>
          <w:lang w:eastAsia="en-GB"/>
          <w14:ligatures w14:val="none"/>
        </w:rPr>
        <w:t xml:space="preserve"> Responsible for designing, building, testing, and maintaining the </w:t>
      </w:r>
      <w:proofErr w:type="spellStart"/>
      <w:r w:rsidRPr="00D209B2">
        <w:rPr>
          <w:rFonts w:ascii="Arial" w:eastAsia="Times New Roman" w:hAnsi="Arial" w:cs="Arial"/>
          <w:color w:val="0F1115"/>
          <w:kern w:val="0"/>
          <w:sz w:val="22"/>
          <w:szCs w:val="22"/>
          <w:lang w:eastAsia="en-GB"/>
          <w14:ligatures w14:val="none"/>
        </w:rPr>
        <w:t>StaySmart</w:t>
      </w:r>
      <w:proofErr w:type="spellEnd"/>
      <w:r w:rsidRPr="00D209B2">
        <w:rPr>
          <w:rFonts w:ascii="Arial" w:eastAsia="Times New Roman" w:hAnsi="Arial" w:cs="Arial"/>
          <w:color w:val="0F1115"/>
          <w:kern w:val="0"/>
          <w:sz w:val="22"/>
          <w:szCs w:val="22"/>
          <w:lang w:eastAsia="en-GB"/>
          <w14:ligatures w14:val="none"/>
        </w:rPr>
        <w:t>+ technology platform.</w:t>
      </w:r>
    </w:p>
    <w:p w14:paraId="687B9046" w14:textId="3BA941C9" w:rsidR="000C0069" w:rsidRPr="00D209B2" w:rsidRDefault="000C0069" w:rsidP="00D209B2">
      <w:pPr>
        <w:pStyle w:val="ListParagraph"/>
        <w:numPr>
          <w:ilvl w:val="0"/>
          <w:numId w:val="10"/>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Global Marketing &amp; Sales Team:</w:t>
      </w:r>
      <w:r w:rsidRPr="00D209B2">
        <w:rPr>
          <w:rFonts w:ascii="Arial" w:eastAsia="Times New Roman" w:hAnsi="Arial" w:cs="Arial"/>
          <w:color w:val="0F1115"/>
          <w:kern w:val="0"/>
          <w:sz w:val="22"/>
          <w:szCs w:val="22"/>
          <w:lang w:eastAsia="en-GB"/>
          <w14:ligatures w14:val="none"/>
        </w:rPr>
        <w:t xml:space="preserve"> Develop the go-to-market strategy, brand messaging, and sales collateral to promote </w:t>
      </w:r>
      <w:proofErr w:type="spellStart"/>
      <w:r w:rsidRPr="00D209B2">
        <w:rPr>
          <w:rFonts w:ascii="Arial" w:eastAsia="Times New Roman" w:hAnsi="Arial" w:cs="Arial"/>
          <w:color w:val="0F1115"/>
          <w:kern w:val="0"/>
          <w:sz w:val="22"/>
          <w:szCs w:val="22"/>
          <w:lang w:eastAsia="en-GB"/>
          <w14:ligatures w14:val="none"/>
        </w:rPr>
        <w:t>StaySmart</w:t>
      </w:r>
      <w:proofErr w:type="spellEnd"/>
      <w:r w:rsidRPr="00D209B2">
        <w:rPr>
          <w:rFonts w:ascii="Arial" w:eastAsia="Times New Roman" w:hAnsi="Arial" w:cs="Arial"/>
          <w:color w:val="0F1115"/>
          <w:kern w:val="0"/>
          <w:sz w:val="22"/>
          <w:szCs w:val="22"/>
          <w:lang w:eastAsia="en-GB"/>
          <w14:ligatures w14:val="none"/>
        </w:rPr>
        <w:t>+ to guests and corporate clients.</w:t>
      </w:r>
    </w:p>
    <w:p w14:paraId="675AAA90" w14:textId="7547A993" w:rsidR="000C0069" w:rsidRPr="00D209B2" w:rsidRDefault="000C0069" w:rsidP="00D209B2">
      <w:pPr>
        <w:pStyle w:val="ListParagraph"/>
        <w:numPr>
          <w:ilvl w:val="0"/>
          <w:numId w:val="10"/>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lastRenderedPageBreak/>
        <w:t>Hotel Operations (GMs &amp; Staff):</w:t>
      </w:r>
      <w:r w:rsidRPr="00D209B2">
        <w:rPr>
          <w:rFonts w:ascii="Arial" w:eastAsia="Times New Roman" w:hAnsi="Arial" w:cs="Arial"/>
          <w:color w:val="0F1115"/>
          <w:kern w:val="0"/>
          <w:sz w:val="22"/>
          <w:szCs w:val="22"/>
          <w:lang w:eastAsia="en-GB"/>
          <w14:ligatures w14:val="none"/>
        </w:rPr>
        <w:t> The frontline users and deliverers of the service. Their adoption and enthusiasm are critical for guest experience (Bitner, Booms and Tetreault, 1990).</w:t>
      </w:r>
    </w:p>
    <w:p w14:paraId="1C4E4E0D" w14:textId="6311FDF2" w:rsidR="000C0069" w:rsidRPr="00D209B2" w:rsidRDefault="000C0069" w:rsidP="00D209B2">
      <w:pPr>
        <w:pStyle w:val="ListParagraph"/>
        <w:numPr>
          <w:ilvl w:val="0"/>
          <w:numId w:val="10"/>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Human Resources Team:</w:t>
      </w:r>
      <w:r w:rsidRPr="00D209B2">
        <w:rPr>
          <w:rFonts w:ascii="Arial" w:eastAsia="Times New Roman" w:hAnsi="Arial" w:cs="Arial"/>
          <w:color w:val="0F1115"/>
          <w:kern w:val="0"/>
          <w:sz w:val="22"/>
          <w:szCs w:val="22"/>
          <w:lang w:eastAsia="en-GB"/>
          <w14:ligatures w14:val="none"/>
        </w:rPr>
        <w:t> Responsible for training and upskilling staff on the new systems and service protocols.</w:t>
      </w:r>
    </w:p>
    <w:p w14:paraId="6CF7C66A" w14:textId="14521D48" w:rsidR="00D209B2" w:rsidRPr="00D209B2" w:rsidRDefault="000C0069" w:rsidP="00D209B2">
      <w:pPr>
        <w:pStyle w:val="ListParagraph"/>
        <w:numPr>
          <w:ilvl w:val="0"/>
          <w:numId w:val="10"/>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Legal &amp; Compliance Team:</w:t>
      </w:r>
      <w:r w:rsidRPr="00D209B2">
        <w:rPr>
          <w:rFonts w:ascii="Arial" w:eastAsia="Times New Roman" w:hAnsi="Arial" w:cs="Arial"/>
          <w:color w:val="0F1115"/>
          <w:kern w:val="0"/>
          <w:sz w:val="22"/>
          <w:szCs w:val="22"/>
          <w:lang w:eastAsia="en-GB"/>
          <w14:ligatures w14:val="none"/>
        </w:rPr>
        <w:t> Ensure the project complies with all relevant laws, particularly concerning data privacy and consumer rights.</w:t>
      </w:r>
    </w:p>
    <w:p w14:paraId="1351191B" w14:textId="77777777" w:rsidR="00AD4556" w:rsidRDefault="00AD4556" w:rsidP="00D209B2">
      <w:pPr>
        <w:spacing w:after="0" w:line="360" w:lineRule="auto"/>
        <w:ind w:left="720"/>
        <w:rPr>
          <w:rFonts w:ascii="Arial" w:eastAsia="Times New Roman" w:hAnsi="Arial" w:cs="Arial"/>
          <w:b/>
          <w:bCs/>
          <w:color w:val="0F1115"/>
          <w:kern w:val="0"/>
          <w:sz w:val="28"/>
          <w:szCs w:val="28"/>
          <w:lang w:eastAsia="en-GB"/>
          <w14:ligatures w14:val="none"/>
        </w:rPr>
      </w:pPr>
    </w:p>
    <w:p w14:paraId="3711FC6D" w14:textId="5290AD31" w:rsidR="00D209B2" w:rsidRPr="00797240" w:rsidRDefault="000C0069" w:rsidP="00D209B2">
      <w:pPr>
        <w:spacing w:after="0" w:line="360" w:lineRule="auto"/>
        <w:ind w:left="720"/>
        <w:rPr>
          <w:rFonts w:ascii="Arial" w:eastAsia="Times New Roman" w:hAnsi="Arial" w:cs="Arial"/>
          <w:b/>
          <w:bCs/>
          <w:color w:val="0F1115"/>
          <w:kern w:val="0"/>
          <w:sz w:val="28"/>
          <w:szCs w:val="28"/>
          <w:lang w:eastAsia="en-GB"/>
          <w14:ligatures w14:val="none"/>
        </w:rPr>
      </w:pPr>
      <w:bookmarkStart w:id="8" w:name="_Toc224997206"/>
      <w:r w:rsidRPr="00132FBA">
        <w:rPr>
          <w:rStyle w:val="Heading2Char"/>
        </w:rPr>
        <w:t>External Stakeholders</w:t>
      </w:r>
      <w:bookmarkEnd w:id="8"/>
      <w:r w:rsidRPr="00797240">
        <w:rPr>
          <w:rFonts w:ascii="Arial" w:eastAsia="Times New Roman" w:hAnsi="Arial" w:cs="Arial"/>
          <w:b/>
          <w:bCs/>
          <w:color w:val="0F1115"/>
          <w:kern w:val="0"/>
          <w:sz w:val="28"/>
          <w:szCs w:val="28"/>
          <w:lang w:eastAsia="en-GB"/>
          <w14:ligatures w14:val="none"/>
        </w:rPr>
        <w:t xml:space="preserve"> (Outside AHI)</w:t>
      </w:r>
    </w:p>
    <w:p w14:paraId="5F1E1439" w14:textId="77777777" w:rsidR="007D4348" w:rsidRPr="00D209B2" w:rsidRDefault="007D4348" w:rsidP="00D209B2">
      <w:pPr>
        <w:spacing w:after="0" w:line="360" w:lineRule="auto"/>
        <w:ind w:left="720"/>
        <w:rPr>
          <w:rFonts w:ascii="Arial" w:eastAsia="Times New Roman" w:hAnsi="Arial" w:cs="Arial"/>
          <w:b/>
          <w:bCs/>
          <w:color w:val="0F1115"/>
          <w:kern w:val="0"/>
          <w:sz w:val="22"/>
          <w:szCs w:val="22"/>
          <w:lang w:eastAsia="en-GB"/>
          <w14:ligatures w14:val="none"/>
        </w:rPr>
      </w:pPr>
    </w:p>
    <w:p w14:paraId="2168A545" w14:textId="0CFB4382"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Hotel Owners and Franchisees:</w:t>
      </w:r>
      <w:r w:rsidRPr="00D209B2">
        <w:rPr>
          <w:rFonts w:ascii="Arial" w:eastAsia="Times New Roman" w:hAnsi="Arial" w:cs="Arial"/>
          <w:color w:val="0F1115"/>
          <w:kern w:val="0"/>
          <w:sz w:val="22"/>
          <w:szCs w:val="22"/>
          <w:lang w:eastAsia="en-GB"/>
          <w14:ligatures w14:val="none"/>
        </w:rPr>
        <w:t> Invest in AHI properties and must approve capital expenditure for new technology and renovations. Their primary interest is ROI (</w:t>
      </w:r>
      <w:proofErr w:type="spellStart"/>
      <w:r w:rsidRPr="00D209B2">
        <w:rPr>
          <w:rFonts w:ascii="Arial" w:eastAsia="Times New Roman" w:hAnsi="Arial" w:cs="Arial"/>
          <w:color w:val="0F1115"/>
          <w:kern w:val="0"/>
          <w:sz w:val="22"/>
          <w:szCs w:val="22"/>
          <w:lang w:eastAsia="en-GB"/>
          <w14:ligatures w14:val="none"/>
        </w:rPr>
        <w:t>Guilding</w:t>
      </w:r>
      <w:proofErr w:type="spellEnd"/>
      <w:r w:rsidRPr="00D209B2">
        <w:rPr>
          <w:rFonts w:ascii="Arial" w:eastAsia="Times New Roman" w:hAnsi="Arial" w:cs="Arial"/>
          <w:color w:val="0F1115"/>
          <w:kern w:val="0"/>
          <w:sz w:val="22"/>
          <w:szCs w:val="22"/>
          <w:lang w:eastAsia="en-GB"/>
          <w14:ligatures w14:val="none"/>
        </w:rPr>
        <w:t>, 2002).</w:t>
      </w:r>
    </w:p>
    <w:p w14:paraId="469912C5" w14:textId="292FAC20"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Guests (Current and Potential):</w:t>
      </w:r>
      <w:r w:rsidRPr="00D209B2">
        <w:rPr>
          <w:rFonts w:ascii="Arial" w:eastAsia="Times New Roman" w:hAnsi="Arial" w:cs="Arial"/>
          <w:color w:val="0F1115"/>
          <w:kern w:val="0"/>
          <w:sz w:val="22"/>
          <w:szCs w:val="22"/>
          <w:lang w:eastAsia="en-GB"/>
          <w14:ligatures w14:val="none"/>
        </w:rPr>
        <w:t xml:space="preserve"> The end-users of </w:t>
      </w:r>
      <w:proofErr w:type="spellStart"/>
      <w:r w:rsidRPr="00D209B2">
        <w:rPr>
          <w:rFonts w:ascii="Arial" w:eastAsia="Times New Roman" w:hAnsi="Arial" w:cs="Arial"/>
          <w:color w:val="0F1115"/>
          <w:kern w:val="0"/>
          <w:sz w:val="22"/>
          <w:szCs w:val="22"/>
          <w:lang w:eastAsia="en-GB"/>
          <w14:ligatures w14:val="none"/>
        </w:rPr>
        <w:t>StaySmart</w:t>
      </w:r>
      <w:proofErr w:type="spellEnd"/>
      <w:r w:rsidRPr="00D209B2">
        <w:rPr>
          <w:rFonts w:ascii="Arial" w:eastAsia="Times New Roman" w:hAnsi="Arial" w:cs="Arial"/>
          <w:color w:val="0F1115"/>
          <w:kern w:val="0"/>
          <w:sz w:val="22"/>
          <w:szCs w:val="22"/>
          <w:lang w:eastAsia="en-GB"/>
          <w14:ligatures w14:val="none"/>
        </w:rPr>
        <w:t xml:space="preserve">+. Their needs, preferences, and privacy concerns are paramount (Kotler, Bowen and </w:t>
      </w:r>
      <w:proofErr w:type="spellStart"/>
      <w:r w:rsidRPr="00D209B2">
        <w:rPr>
          <w:rFonts w:ascii="Arial" w:eastAsia="Times New Roman" w:hAnsi="Arial" w:cs="Arial"/>
          <w:color w:val="0F1115"/>
          <w:kern w:val="0"/>
          <w:sz w:val="22"/>
          <w:szCs w:val="22"/>
          <w:lang w:eastAsia="en-GB"/>
          <w14:ligatures w14:val="none"/>
        </w:rPr>
        <w:t>Baloglu</w:t>
      </w:r>
      <w:proofErr w:type="spellEnd"/>
      <w:r w:rsidRPr="00D209B2">
        <w:rPr>
          <w:rFonts w:ascii="Arial" w:eastAsia="Times New Roman" w:hAnsi="Arial" w:cs="Arial"/>
          <w:color w:val="0F1115"/>
          <w:kern w:val="0"/>
          <w:sz w:val="22"/>
          <w:szCs w:val="22"/>
          <w:lang w:eastAsia="en-GB"/>
          <w14:ligatures w14:val="none"/>
        </w:rPr>
        <w:t>, 2017).</w:t>
      </w:r>
    </w:p>
    <w:p w14:paraId="7971ED13" w14:textId="049D2CC4"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Suppliers &amp; Technology Partners:</w:t>
      </w:r>
      <w:r w:rsidRPr="00D209B2">
        <w:rPr>
          <w:rFonts w:ascii="Arial" w:eastAsia="Times New Roman" w:hAnsi="Arial" w:cs="Arial"/>
          <w:color w:val="0F1115"/>
          <w:kern w:val="0"/>
          <w:sz w:val="22"/>
          <w:szCs w:val="22"/>
          <w:lang w:eastAsia="en-GB"/>
          <w14:ligatures w14:val="none"/>
        </w:rPr>
        <w:t xml:space="preserve"> Provide the hardware (e.g., smart devices, sensors) and software components that power </w:t>
      </w:r>
      <w:proofErr w:type="spellStart"/>
      <w:r w:rsidRPr="00D209B2">
        <w:rPr>
          <w:rFonts w:ascii="Arial" w:eastAsia="Times New Roman" w:hAnsi="Arial" w:cs="Arial"/>
          <w:color w:val="0F1115"/>
          <w:kern w:val="0"/>
          <w:sz w:val="22"/>
          <w:szCs w:val="22"/>
          <w:lang w:eastAsia="en-GB"/>
          <w14:ligatures w14:val="none"/>
        </w:rPr>
        <w:t>StaySmart</w:t>
      </w:r>
      <w:proofErr w:type="spellEnd"/>
      <w:r w:rsidRPr="00D209B2">
        <w:rPr>
          <w:rFonts w:ascii="Arial" w:eastAsia="Times New Roman" w:hAnsi="Arial" w:cs="Arial"/>
          <w:color w:val="0F1115"/>
          <w:kern w:val="0"/>
          <w:sz w:val="22"/>
          <w:szCs w:val="22"/>
          <w:lang w:eastAsia="en-GB"/>
          <w14:ligatures w14:val="none"/>
        </w:rPr>
        <w:t>+.</w:t>
      </w:r>
    </w:p>
    <w:p w14:paraId="22A0E61E" w14:textId="7FCC2E7A"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Local Communities:</w:t>
      </w:r>
      <w:r w:rsidRPr="00D209B2">
        <w:rPr>
          <w:rFonts w:ascii="Arial" w:eastAsia="Times New Roman" w:hAnsi="Arial" w:cs="Arial"/>
          <w:color w:val="0F1115"/>
          <w:kern w:val="0"/>
          <w:sz w:val="22"/>
          <w:szCs w:val="22"/>
          <w:lang w:eastAsia="en-GB"/>
          <w14:ligatures w14:val="none"/>
        </w:rPr>
        <w:t> Will be impacted by the sustainability initiatives and the integration of AI-driven local recommendations.</w:t>
      </w:r>
    </w:p>
    <w:p w14:paraId="11A8DC40" w14:textId="3F4ADF37"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Regulatory Bodies:</w:t>
      </w:r>
      <w:r w:rsidRPr="00D209B2">
        <w:rPr>
          <w:rFonts w:ascii="Arial" w:eastAsia="Times New Roman" w:hAnsi="Arial" w:cs="Arial"/>
          <w:color w:val="0F1115"/>
          <w:kern w:val="0"/>
          <w:sz w:val="22"/>
          <w:szCs w:val="22"/>
          <w:lang w:eastAsia="en-GB"/>
          <w14:ligatures w14:val="none"/>
        </w:rPr>
        <w:t xml:space="preserve"> Government agencies that oversee data protection (e.g., ICO in the UK), consumer law, and environmental standards (Voigt and Von </w:t>
      </w:r>
      <w:proofErr w:type="spellStart"/>
      <w:r w:rsidRPr="00D209B2">
        <w:rPr>
          <w:rFonts w:ascii="Arial" w:eastAsia="Times New Roman" w:hAnsi="Arial" w:cs="Arial"/>
          <w:color w:val="0F1115"/>
          <w:kern w:val="0"/>
          <w:sz w:val="22"/>
          <w:szCs w:val="22"/>
          <w:lang w:eastAsia="en-GB"/>
          <w14:ligatures w14:val="none"/>
        </w:rPr>
        <w:t>dem</w:t>
      </w:r>
      <w:proofErr w:type="spellEnd"/>
      <w:r w:rsidRPr="00D209B2">
        <w:rPr>
          <w:rFonts w:ascii="Arial" w:eastAsia="Times New Roman" w:hAnsi="Arial" w:cs="Arial"/>
          <w:color w:val="0F1115"/>
          <w:kern w:val="0"/>
          <w:sz w:val="22"/>
          <w:szCs w:val="22"/>
          <w:lang w:eastAsia="en-GB"/>
          <w14:ligatures w14:val="none"/>
        </w:rPr>
        <w:t xml:space="preserve"> </w:t>
      </w:r>
      <w:proofErr w:type="spellStart"/>
      <w:r w:rsidRPr="00D209B2">
        <w:rPr>
          <w:rFonts w:ascii="Arial" w:eastAsia="Times New Roman" w:hAnsi="Arial" w:cs="Arial"/>
          <w:color w:val="0F1115"/>
          <w:kern w:val="0"/>
          <w:sz w:val="22"/>
          <w:szCs w:val="22"/>
          <w:lang w:eastAsia="en-GB"/>
          <w14:ligatures w14:val="none"/>
        </w:rPr>
        <w:t>Bussche</w:t>
      </w:r>
      <w:proofErr w:type="spellEnd"/>
      <w:r w:rsidRPr="00D209B2">
        <w:rPr>
          <w:rFonts w:ascii="Arial" w:eastAsia="Times New Roman" w:hAnsi="Arial" w:cs="Arial"/>
          <w:color w:val="0F1115"/>
          <w:kern w:val="0"/>
          <w:sz w:val="22"/>
          <w:szCs w:val="22"/>
          <w:lang w:eastAsia="en-GB"/>
          <w14:ligatures w14:val="none"/>
        </w:rPr>
        <w:t>, 2017).</w:t>
      </w:r>
    </w:p>
    <w:p w14:paraId="7FDB4872" w14:textId="3B58F2D0" w:rsidR="000C0069" w:rsidRPr="00D209B2" w:rsidRDefault="000C0069" w:rsidP="00D209B2">
      <w:pPr>
        <w:pStyle w:val="ListParagraph"/>
        <w:numPr>
          <w:ilvl w:val="0"/>
          <w:numId w:val="8"/>
        </w:numPr>
        <w:spacing w:after="0" w:line="360" w:lineRule="auto"/>
        <w:rPr>
          <w:rFonts w:ascii="Arial" w:eastAsia="Times New Roman" w:hAnsi="Arial" w:cs="Arial"/>
          <w:color w:val="0F1115"/>
          <w:kern w:val="0"/>
          <w:sz w:val="22"/>
          <w:szCs w:val="22"/>
          <w:lang w:eastAsia="en-GB"/>
          <w14:ligatures w14:val="none"/>
        </w:rPr>
      </w:pPr>
      <w:r w:rsidRPr="00D209B2">
        <w:rPr>
          <w:rFonts w:ascii="Arial" w:eastAsia="Times New Roman" w:hAnsi="Arial" w:cs="Arial"/>
          <w:b/>
          <w:bCs/>
          <w:color w:val="0F1115"/>
          <w:kern w:val="0"/>
          <w:sz w:val="22"/>
          <w:szCs w:val="22"/>
          <w:lang w:eastAsia="en-GB"/>
          <w14:ligatures w14:val="none"/>
        </w:rPr>
        <w:t>Industry Associations &amp; Media:</w:t>
      </w:r>
      <w:r w:rsidRPr="00D209B2">
        <w:rPr>
          <w:rFonts w:ascii="Arial" w:eastAsia="Times New Roman" w:hAnsi="Arial" w:cs="Arial"/>
          <w:color w:val="0F1115"/>
          <w:kern w:val="0"/>
          <w:sz w:val="22"/>
          <w:szCs w:val="22"/>
          <w:lang w:eastAsia="en-GB"/>
          <w14:ligatures w14:val="none"/>
        </w:rPr>
        <w:t> Can influence the project's public perception and set industry benchmarks.</w:t>
      </w:r>
    </w:p>
    <w:p w14:paraId="3A3CE26E" w14:textId="77777777" w:rsidR="000C0069" w:rsidRDefault="000C0069" w:rsidP="000C0069">
      <w:pPr>
        <w:spacing w:after="0" w:line="360" w:lineRule="auto"/>
        <w:ind w:left="720"/>
        <w:rPr>
          <w:rFonts w:ascii="Arial" w:eastAsia="Times New Roman" w:hAnsi="Arial" w:cs="Arial"/>
          <w:color w:val="0F1115"/>
          <w:kern w:val="0"/>
          <w:sz w:val="22"/>
          <w:szCs w:val="22"/>
          <w:lang w:eastAsia="en-GB"/>
          <w14:ligatures w14:val="none"/>
        </w:rPr>
      </w:pPr>
    </w:p>
    <w:p w14:paraId="1BD6691A" w14:textId="77777777" w:rsidR="000C0069" w:rsidRDefault="000C0069" w:rsidP="000C0069">
      <w:pPr>
        <w:spacing w:after="0" w:line="360" w:lineRule="auto"/>
        <w:ind w:left="720"/>
        <w:rPr>
          <w:rFonts w:ascii="Arial" w:eastAsia="Times New Roman" w:hAnsi="Arial" w:cs="Arial"/>
          <w:color w:val="0F1115"/>
          <w:kern w:val="0"/>
          <w:sz w:val="22"/>
          <w:szCs w:val="22"/>
          <w:lang w:eastAsia="en-GB"/>
          <w14:ligatures w14:val="none"/>
        </w:rPr>
      </w:pPr>
    </w:p>
    <w:p w14:paraId="01BC3603" w14:textId="77777777" w:rsidR="00242A16" w:rsidRDefault="000C0069" w:rsidP="00832B99">
      <w:pPr>
        <w:spacing w:after="0" w:line="360" w:lineRule="auto"/>
        <w:rPr>
          <w:rFonts w:ascii="Arial" w:eastAsia="Times New Roman" w:hAnsi="Arial" w:cs="Arial"/>
          <w:b/>
          <w:bCs/>
          <w:color w:val="0F1115"/>
          <w:kern w:val="0"/>
          <w:sz w:val="36"/>
          <w:szCs w:val="36"/>
          <w:lang w:eastAsia="en-GB"/>
          <w14:ligatures w14:val="none"/>
        </w:rPr>
      </w:pPr>
      <w:r w:rsidRPr="007D4348">
        <w:rPr>
          <w:rFonts w:ascii="Arial" w:eastAsia="Times New Roman" w:hAnsi="Arial" w:cs="Arial"/>
          <w:b/>
          <w:bCs/>
          <w:color w:val="0F1115"/>
          <w:kern w:val="0"/>
          <w:sz w:val="36"/>
          <w:szCs w:val="36"/>
          <w:lang w:eastAsia="en-GB"/>
          <w14:ligatures w14:val="none"/>
        </w:rPr>
        <w:t xml:space="preserve"> </w:t>
      </w:r>
    </w:p>
    <w:p w14:paraId="0481CFC9" w14:textId="43DC9E93" w:rsidR="000C0069" w:rsidRPr="00797240" w:rsidRDefault="000C0069" w:rsidP="005D5862">
      <w:pPr>
        <w:pStyle w:val="Heading1"/>
        <w:rPr>
          <w:rFonts w:eastAsia="Times New Roman"/>
          <w:lang w:eastAsia="en-GB"/>
        </w:rPr>
      </w:pPr>
      <w:bookmarkStart w:id="9" w:name="_Toc224997207"/>
      <w:r w:rsidRPr="00797240">
        <w:rPr>
          <w:rFonts w:eastAsia="Times New Roman"/>
          <w:lang w:eastAsia="en-GB"/>
        </w:rPr>
        <w:t>Stakeholder Roles, Responsibilities, and Analysis</w:t>
      </w:r>
      <w:bookmarkEnd w:id="9"/>
    </w:p>
    <w:p w14:paraId="33DA703D" w14:textId="6DA74E09" w:rsidR="000B645F" w:rsidRDefault="000C0069" w:rsidP="000B645F">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Understanding the nuanced roles and influence of each stakeholder group is crucial (Clarkson, 1995). The </w:t>
      </w:r>
      <w:r w:rsidRPr="00BA1817">
        <w:rPr>
          <w:rFonts w:ascii="Arial" w:eastAsia="Times New Roman" w:hAnsi="Arial" w:cs="Arial"/>
          <w:b/>
          <w:bCs/>
          <w:color w:val="0F1115"/>
          <w:kern w:val="0"/>
          <w:sz w:val="22"/>
          <w:szCs w:val="22"/>
          <w:lang w:eastAsia="en-GB"/>
          <w14:ligatures w14:val="none"/>
        </w:rPr>
        <w:t>RACI Matrix</w:t>
      </w:r>
      <w:r w:rsidRPr="00BA1817">
        <w:rPr>
          <w:rFonts w:ascii="Arial" w:eastAsia="Times New Roman" w:hAnsi="Arial" w:cs="Arial"/>
          <w:color w:val="0F1115"/>
          <w:kern w:val="0"/>
          <w:sz w:val="22"/>
          <w:szCs w:val="22"/>
          <w:lang w:eastAsia="en-GB"/>
          <w14:ligatures w14:val="none"/>
        </w:rPr>
        <w:t> clarifies participation, while </w:t>
      </w:r>
      <w:r w:rsidRPr="00BA1817">
        <w:rPr>
          <w:rFonts w:ascii="Arial" w:eastAsia="Times New Roman" w:hAnsi="Arial" w:cs="Arial"/>
          <w:b/>
          <w:bCs/>
          <w:color w:val="0F1115"/>
          <w:kern w:val="0"/>
          <w:sz w:val="22"/>
          <w:szCs w:val="22"/>
          <w:lang w:eastAsia="en-GB"/>
          <w14:ligatures w14:val="none"/>
        </w:rPr>
        <w:t>Mendelow's Power-Interest Grid</w:t>
      </w:r>
      <w:r w:rsidRPr="00BA1817">
        <w:rPr>
          <w:rFonts w:ascii="Arial" w:eastAsia="Times New Roman" w:hAnsi="Arial" w:cs="Arial"/>
          <w:color w:val="0F1115"/>
          <w:kern w:val="0"/>
          <w:sz w:val="22"/>
          <w:szCs w:val="22"/>
          <w:lang w:eastAsia="en-GB"/>
          <w14:ligatures w14:val="none"/>
        </w:rPr>
        <w:t> informs engagement strategies (Mendelow, 1991).</w:t>
      </w:r>
    </w:p>
    <w:p w14:paraId="4143E9E6" w14:textId="6F221153" w:rsidR="000C0069" w:rsidRPr="00797240" w:rsidRDefault="000C0069" w:rsidP="005D5862">
      <w:pPr>
        <w:pStyle w:val="Heading2"/>
        <w:rPr>
          <w:rFonts w:eastAsia="Times New Roman"/>
          <w:lang w:eastAsia="en-GB"/>
        </w:rPr>
      </w:pPr>
      <w:bookmarkStart w:id="10" w:name="_Toc224997208"/>
      <w:r w:rsidRPr="00797240">
        <w:rPr>
          <w:rFonts w:eastAsia="Times New Roman"/>
          <w:lang w:eastAsia="en-GB"/>
        </w:rPr>
        <w:lastRenderedPageBreak/>
        <w:t xml:space="preserve">RACI Matrix for </w:t>
      </w:r>
      <w:proofErr w:type="spellStart"/>
      <w:r w:rsidRPr="00797240">
        <w:rPr>
          <w:rFonts w:eastAsia="Times New Roman"/>
          <w:lang w:eastAsia="en-GB"/>
        </w:rPr>
        <w:t>StaySmart</w:t>
      </w:r>
      <w:proofErr w:type="spellEnd"/>
      <w:r w:rsidRPr="00797240">
        <w:rPr>
          <w:rFonts w:eastAsia="Times New Roman"/>
          <w:lang w:eastAsia="en-GB"/>
        </w:rPr>
        <w:t>+ Launch</w:t>
      </w:r>
      <w:bookmarkEnd w:id="10"/>
    </w:p>
    <w:p w14:paraId="3FD93437" w14:textId="21EDE1D9" w:rsidR="000B645F" w:rsidRPr="00DB4CB5" w:rsidRDefault="00DB4CB5" w:rsidP="000B645F">
      <w:pPr>
        <w:spacing w:before="240" w:after="240" w:line="360" w:lineRule="auto"/>
        <w:rPr>
          <w:rFonts w:ascii="Arial" w:eastAsia="Times New Roman" w:hAnsi="Arial" w:cs="Arial"/>
          <w:b/>
          <w:bCs/>
          <w:color w:val="0F1115"/>
          <w:kern w:val="0"/>
          <w:sz w:val="22"/>
          <w:szCs w:val="22"/>
          <w:lang w:eastAsia="en-GB"/>
          <w14:ligatures w14:val="none"/>
        </w:rPr>
      </w:pPr>
      <w:r w:rsidRPr="00DB4CB5">
        <w:rPr>
          <w:rFonts w:ascii="Arial" w:eastAsia="Times New Roman" w:hAnsi="Arial" w:cs="Arial"/>
          <w:b/>
          <w:bCs/>
          <w:color w:val="0F1115"/>
          <w:kern w:val="0"/>
          <w:sz w:val="22"/>
          <w:szCs w:val="22"/>
          <w:lang w:eastAsia="en-GB"/>
          <w14:ligatures w14:val="none"/>
        </w:rPr>
        <w:t>Tab</w:t>
      </w:r>
      <w:r w:rsidR="007160A6">
        <w:rPr>
          <w:rFonts w:ascii="Arial" w:eastAsia="Times New Roman" w:hAnsi="Arial" w:cs="Arial"/>
          <w:b/>
          <w:bCs/>
          <w:color w:val="0F1115"/>
          <w:kern w:val="0"/>
          <w:sz w:val="22"/>
          <w:szCs w:val="22"/>
          <w:lang w:eastAsia="en-GB"/>
          <w14:ligatures w14:val="none"/>
        </w:rPr>
        <w:t>le</w:t>
      </w:r>
      <w:r w:rsidRPr="00DB4CB5">
        <w:rPr>
          <w:rFonts w:ascii="Arial" w:eastAsia="Times New Roman" w:hAnsi="Arial" w:cs="Arial"/>
          <w:b/>
          <w:bCs/>
          <w:color w:val="0F1115"/>
          <w:kern w:val="0"/>
          <w:sz w:val="22"/>
          <w:szCs w:val="22"/>
          <w:lang w:eastAsia="en-GB"/>
          <w14:ligatures w14:val="none"/>
        </w:rPr>
        <w:t>.3</w:t>
      </w:r>
    </w:p>
    <w:tbl>
      <w:tblPr>
        <w:tblStyle w:val="TableGrid"/>
        <w:tblW w:w="10348" w:type="dxa"/>
        <w:tblInd w:w="-572" w:type="dxa"/>
        <w:tblLook w:val="04A0" w:firstRow="1" w:lastRow="0" w:firstColumn="1" w:lastColumn="0" w:noHBand="0" w:noVBand="1"/>
      </w:tblPr>
      <w:tblGrid>
        <w:gridCol w:w="2072"/>
        <w:gridCol w:w="1390"/>
        <w:gridCol w:w="1598"/>
        <w:gridCol w:w="1256"/>
        <w:gridCol w:w="957"/>
        <w:gridCol w:w="1463"/>
        <w:gridCol w:w="1612"/>
      </w:tblGrid>
      <w:tr w:rsidR="00C62057" w14:paraId="12A30FB3" w14:textId="77777777" w:rsidTr="00DB4CB5">
        <w:trPr>
          <w:trHeight w:val="1315"/>
        </w:trPr>
        <w:tc>
          <w:tcPr>
            <w:tcW w:w="2072" w:type="dxa"/>
          </w:tcPr>
          <w:p w14:paraId="4EF67B30" w14:textId="77777777" w:rsidR="00844860" w:rsidRPr="00105742" w:rsidRDefault="00844860"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Deliverable/</w:t>
            </w:r>
          </w:p>
          <w:p w14:paraId="239DC03F" w14:textId="2D70799E" w:rsidR="00844860" w:rsidRPr="00105742" w:rsidRDefault="00844860"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 xml:space="preserve">Activity </w:t>
            </w:r>
          </w:p>
        </w:tc>
        <w:tc>
          <w:tcPr>
            <w:tcW w:w="1390" w:type="dxa"/>
          </w:tcPr>
          <w:p w14:paraId="75E4ED93" w14:textId="3BB4855B" w:rsidR="00844860" w:rsidRPr="00105742" w:rsidRDefault="00844860"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Leadership</w:t>
            </w:r>
          </w:p>
        </w:tc>
        <w:tc>
          <w:tcPr>
            <w:tcW w:w="1598" w:type="dxa"/>
          </w:tcPr>
          <w:p w14:paraId="6A7B258C" w14:textId="2F5BD40E"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Product Development</w:t>
            </w:r>
          </w:p>
        </w:tc>
        <w:tc>
          <w:tcPr>
            <w:tcW w:w="1256" w:type="dxa"/>
          </w:tcPr>
          <w:p w14:paraId="115C6386" w14:textId="4BDB3B10"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Marketing</w:t>
            </w:r>
          </w:p>
        </w:tc>
        <w:tc>
          <w:tcPr>
            <w:tcW w:w="957" w:type="dxa"/>
          </w:tcPr>
          <w:p w14:paraId="2062C23B" w14:textId="0E1E8E20" w:rsidR="001066C5"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Hotel Ops</w:t>
            </w:r>
          </w:p>
        </w:tc>
        <w:tc>
          <w:tcPr>
            <w:tcW w:w="1463" w:type="dxa"/>
          </w:tcPr>
          <w:p w14:paraId="07C20DE8" w14:textId="482DCE1F"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Compliance</w:t>
            </w:r>
          </w:p>
        </w:tc>
        <w:tc>
          <w:tcPr>
            <w:tcW w:w="1612" w:type="dxa"/>
          </w:tcPr>
          <w:p w14:paraId="3A9C20CC" w14:textId="2F932F64"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Hotel Owners</w:t>
            </w:r>
          </w:p>
        </w:tc>
      </w:tr>
      <w:tr w:rsidR="00C62057" w14:paraId="00DCEC3D" w14:textId="77777777" w:rsidTr="00374918">
        <w:trPr>
          <w:trHeight w:val="1235"/>
        </w:trPr>
        <w:tc>
          <w:tcPr>
            <w:tcW w:w="2072" w:type="dxa"/>
          </w:tcPr>
          <w:p w14:paraId="149DF47C" w14:textId="2CD36D68" w:rsidR="00844860" w:rsidRPr="00105742" w:rsidRDefault="00844860"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Develop Business Case &amp; Budget</w:t>
            </w:r>
          </w:p>
        </w:tc>
        <w:tc>
          <w:tcPr>
            <w:tcW w:w="1390" w:type="dxa"/>
            <w:shd w:val="clear" w:color="auto" w:fill="DAE9F7" w:themeFill="text2" w:themeFillTint="1A"/>
          </w:tcPr>
          <w:p w14:paraId="0AB90434" w14:textId="6BE3FA09"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00B0F0"/>
                <w:kern w:val="0"/>
                <w:sz w:val="28"/>
                <w:szCs w:val="28"/>
                <w:lang w:eastAsia="en-GB"/>
                <w14:ligatures w14:val="none"/>
              </w:rPr>
              <w:t>A</w:t>
            </w:r>
          </w:p>
        </w:tc>
        <w:tc>
          <w:tcPr>
            <w:tcW w:w="1598" w:type="dxa"/>
            <w:shd w:val="clear" w:color="auto" w:fill="FFC000"/>
          </w:tcPr>
          <w:p w14:paraId="76E2F97B" w14:textId="192894A5"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1256" w:type="dxa"/>
            <w:shd w:val="clear" w:color="auto" w:fill="F2CEED" w:themeFill="accent5" w:themeFillTint="33"/>
          </w:tcPr>
          <w:p w14:paraId="7C89E588" w14:textId="296537A3"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0F1115"/>
                <w:kern w:val="0"/>
                <w:sz w:val="28"/>
                <w:szCs w:val="28"/>
                <w:lang w:eastAsia="en-GB"/>
                <w14:ligatures w14:val="none"/>
              </w:rPr>
              <w:t>C</w:t>
            </w:r>
          </w:p>
        </w:tc>
        <w:tc>
          <w:tcPr>
            <w:tcW w:w="957" w:type="dxa"/>
            <w:shd w:val="clear" w:color="auto" w:fill="F2CEED" w:themeFill="accent5" w:themeFillTint="33"/>
          </w:tcPr>
          <w:p w14:paraId="51378A5E" w14:textId="41EC53A1"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0F1115"/>
                <w:kern w:val="0"/>
                <w:sz w:val="28"/>
                <w:szCs w:val="28"/>
                <w:lang w:eastAsia="en-GB"/>
                <w14:ligatures w14:val="none"/>
              </w:rPr>
              <w:t>C</w:t>
            </w:r>
          </w:p>
        </w:tc>
        <w:tc>
          <w:tcPr>
            <w:tcW w:w="1463" w:type="dxa"/>
            <w:shd w:val="clear" w:color="auto" w:fill="F2CEED" w:themeFill="accent5" w:themeFillTint="33"/>
          </w:tcPr>
          <w:p w14:paraId="5AC40AA5" w14:textId="1F6F6E8F"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612" w:type="dxa"/>
            <w:shd w:val="clear" w:color="auto" w:fill="92D050"/>
          </w:tcPr>
          <w:p w14:paraId="2DD93542" w14:textId="0D3355BA"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r w:rsidR="00C62057" w14:paraId="00D57C83" w14:textId="77777777" w:rsidTr="002B0C18">
        <w:trPr>
          <w:trHeight w:val="1088"/>
        </w:trPr>
        <w:tc>
          <w:tcPr>
            <w:tcW w:w="2072" w:type="dxa"/>
          </w:tcPr>
          <w:p w14:paraId="365F89AC" w14:textId="6D52878B"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Design &amp; Test Tech Platform</w:t>
            </w:r>
          </w:p>
        </w:tc>
        <w:tc>
          <w:tcPr>
            <w:tcW w:w="1390" w:type="dxa"/>
            <w:shd w:val="clear" w:color="auto" w:fill="92D050"/>
          </w:tcPr>
          <w:p w14:paraId="12C4748C" w14:textId="15B7EC6A"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p w14:paraId="0A315718" w14:textId="0876F704" w:rsidR="001066C5" w:rsidRPr="00374918" w:rsidRDefault="001066C5" w:rsidP="00105742">
            <w:pPr>
              <w:spacing w:before="240" w:after="240" w:line="360" w:lineRule="auto"/>
              <w:jc w:val="center"/>
              <w:rPr>
                <w:rFonts w:ascii="Arial" w:eastAsia="Times New Roman" w:hAnsi="Arial" w:cs="Arial"/>
                <w:color w:val="0F1115"/>
                <w:kern w:val="0"/>
                <w:sz w:val="28"/>
                <w:szCs w:val="28"/>
                <w:lang w:eastAsia="en-GB"/>
                <w14:ligatures w14:val="none"/>
              </w:rPr>
            </w:pPr>
          </w:p>
        </w:tc>
        <w:tc>
          <w:tcPr>
            <w:tcW w:w="1598" w:type="dxa"/>
            <w:shd w:val="clear" w:color="auto" w:fill="FFC000"/>
          </w:tcPr>
          <w:p w14:paraId="21E6D6DD" w14:textId="1D54225A"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1256" w:type="dxa"/>
            <w:shd w:val="clear" w:color="auto" w:fill="F2CEED" w:themeFill="accent5" w:themeFillTint="33"/>
          </w:tcPr>
          <w:p w14:paraId="2FCD9708" w14:textId="596C6551"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957" w:type="dxa"/>
            <w:shd w:val="clear" w:color="auto" w:fill="F2CEED" w:themeFill="accent5" w:themeFillTint="33"/>
          </w:tcPr>
          <w:p w14:paraId="7D27D0F7" w14:textId="448FA865"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463" w:type="dxa"/>
            <w:shd w:val="clear" w:color="auto" w:fill="F2CEED" w:themeFill="accent5" w:themeFillTint="33"/>
          </w:tcPr>
          <w:p w14:paraId="7B88835F" w14:textId="584CFE27"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612" w:type="dxa"/>
            <w:shd w:val="clear" w:color="auto" w:fill="92D050"/>
          </w:tcPr>
          <w:p w14:paraId="3F24C63A" w14:textId="688D303F"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r w:rsidR="00C62057" w14:paraId="0EB6A372" w14:textId="77777777" w:rsidTr="002B0C18">
        <w:trPr>
          <w:trHeight w:val="1381"/>
        </w:trPr>
        <w:tc>
          <w:tcPr>
            <w:tcW w:w="2072" w:type="dxa"/>
          </w:tcPr>
          <w:p w14:paraId="19164E1D" w14:textId="31AB053A"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Ensure Data Privacy Compliance</w:t>
            </w:r>
          </w:p>
        </w:tc>
        <w:tc>
          <w:tcPr>
            <w:tcW w:w="1390" w:type="dxa"/>
            <w:shd w:val="clear" w:color="auto" w:fill="92D050"/>
          </w:tcPr>
          <w:p w14:paraId="07BF5B92" w14:textId="4B3B6B8A"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598" w:type="dxa"/>
            <w:shd w:val="clear" w:color="auto" w:fill="F2CEED" w:themeFill="accent5" w:themeFillTint="33"/>
          </w:tcPr>
          <w:p w14:paraId="05FAAB12" w14:textId="7C8195DF" w:rsidR="00844860" w:rsidRPr="00374918" w:rsidRDefault="001066C5" w:rsidP="00105742">
            <w:pPr>
              <w:spacing w:before="240" w:after="240" w:line="360" w:lineRule="auto"/>
              <w:jc w:val="center"/>
              <w:rPr>
                <w:rFonts w:ascii="Arial" w:eastAsia="Times New Roman" w:hAnsi="Arial" w:cs="Arial"/>
                <w:b/>
                <w:bCs/>
                <w:color w:val="196B24" w:themeColor="accent3"/>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p w14:paraId="5328B562" w14:textId="1EAB0B85" w:rsidR="001066C5" w:rsidRPr="00374918" w:rsidRDefault="001066C5" w:rsidP="00105742">
            <w:pPr>
              <w:spacing w:before="240" w:after="240" w:line="360" w:lineRule="auto"/>
              <w:jc w:val="center"/>
              <w:rPr>
                <w:rFonts w:ascii="Arial" w:eastAsia="Times New Roman" w:hAnsi="Arial" w:cs="Arial"/>
                <w:color w:val="0F1115"/>
                <w:kern w:val="0"/>
                <w:sz w:val="28"/>
                <w:szCs w:val="28"/>
                <w:lang w:eastAsia="en-GB"/>
                <w14:ligatures w14:val="none"/>
              </w:rPr>
            </w:pPr>
          </w:p>
        </w:tc>
        <w:tc>
          <w:tcPr>
            <w:tcW w:w="1256" w:type="dxa"/>
            <w:shd w:val="clear" w:color="auto" w:fill="92D050"/>
          </w:tcPr>
          <w:p w14:paraId="5BC361C8" w14:textId="7499027C"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957" w:type="dxa"/>
            <w:shd w:val="clear" w:color="auto" w:fill="92D050"/>
          </w:tcPr>
          <w:p w14:paraId="718B0A79" w14:textId="26BA3708"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463" w:type="dxa"/>
            <w:shd w:val="clear" w:color="auto" w:fill="DAE9F7" w:themeFill="text2" w:themeFillTint="1A"/>
          </w:tcPr>
          <w:p w14:paraId="7E1DB578" w14:textId="6C0AD389"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00B0F0"/>
                <w:kern w:val="0"/>
                <w:sz w:val="28"/>
                <w:szCs w:val="28"/>
                <w:lang w:eastAsia="en-GB"/>
                <w14:ligatures w14:val="none"/>
              </w:rPr>
              <w:t>A</w:t>
            </w:r>
          </w:p>
        </w:tc>
        <w:tc>
          <w:tcPr>
            <w:tcW w:w="1612" w:type="dxa"/>
            <w:shd w:val="clear" w:color="auto" w:fill="92D050"/>
          </w:tcPr>
          <w:p w14:paraId="54C7C3FD" w14:textId="301B3358"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r w:rsidR="00C62057" w14:paraId="584C37B9" w14:textId="77777777" w:rsidTr="00374918">
        <w:trPr>
          <w:trHeight w:val="1634"/>
        </w:trPr>
        <w:tc>
          <w:tcPr>
            <w:tcW w:w="2072" w:type="dxa"/>
          </w:tcPr>
          <w:p w14:paraId="0FA8FA6C" w14:textId="23CFA3D6"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Create Marketing &amp; Training Materials</w:t>
            </w:r>
          </w:p>
        </w:tc>
        <w:tc>
          <w:tcPr>
            <w:tcW w:w="1390" w:type="dxa"/>
            <w:shd w:val="clear" w:color="auto" w:fill="92D050"/>
          </w:tcPr>
          <w:p w14:paraId="609BC8F0" w14:textId="3E71FD85"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598" w:type="dxa"/>
            <w:shd w:val="clear" w:color="auto" w:fill="F2CEED" w:themeFill="accent5" w:themeFillTint="33"/>
          </w:tcPr>
          <w:p w14:paraId="537898DF" w14:textId="46449995"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256" w:type="dxa"/>
            <w:shd w:val="clear" w:color="auto" w:fill="FFC000"/>
          </w:tcPr>
          <w:p w14:paraId="548D7C40" w14:textId="275BB710"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957" w:type="dxa"/>
            <w:shd w:val="clear" w:color="auto" w:fill="F2CEED" w:themeFill="accent5" w:themeFillTint="33"/>
          </w:tcPr>
          <w:p w14:paraId="52E489E7" w14:textId="53C3A86A"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463" w:type="dxa"/>
            <w:shd w:val="clear" w:color="auto" w:fill="92D050"/>
          </w:tcPr>
          <w:p w14:paraId="248B36EA" w14:textId="4B43F789"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612" w:type="dxa"/>
            <w:shd w:val="clear" w:color="auto" w:fill="92D050"/>
          </w:tcPr>
          <w:p w14:paraId="0BC67A3D" w14:textId="77A1F284"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r w:rsidR="00C62057" w14:paraId="1C5C80D6" w14:textId="77777777" w:rsidTr="00374918">
        <w:tc>
          <w:tcPr>
            <w:tcW w:w="2072" w:type="dxa"/>
          </w:tcPr>
          <w:p w14:paraId="7F028B92" w14:textId="542A7C4C" w:rsidR="00844860" w:rsidRPr="00105742" w:rsidRDefault="001066C5"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Approve Hotel-Level Investment</w:t>
            </w:r>
          </w:p>
        </w:tc>
        <w:tc>
          <w:tcPr>
            <w:tcW w:w="1390" w:type="dxa"/>
            <w:shd w:val="clear" w:color="auto" w:fill="F2CEED" w:themeFill="accent5" w:themeFillTint="33"/>
          </w:tcPr>
          <w:p w14:paraId="1FB1584D" w14:textId="293EEE12"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598" w:type="dxa"/>
            <w:shd w:val="clear" w:color="auto" w:fill="92D050"/>
          </w:tcPr>
          <w:p w14:paraId="719549FA" w14:textId="2877371C"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256" w:type="dxa"/>
            <w:shd w:val="clear" w:color="auto" w:fill="92D050"/>
          </w:tcPr>
          <w:p w14:paraId="0743EB05" w14:textId="492D9BEB" w:rsidR="00844860" w:rsidRPr="00374918" w:rsidRDefault="001066C5"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957" w:type="dxa"/>
            <w:shd w:val="clear" w:color="auto" w:fill="FFC000"/>
          </w:tcPr>
          <w:p w14:paraId="539BC135" w14:textId="63CD4F10" w:rsidR="00844860" w:rsidRPr="00374918" w:rsidRDefault="001066C5"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1463" w:type="dxa"/>
            <w:shd w:val="clear" w:color="auto" w:fill="92D050"/>
          </w:tcPr>
          <w:p w14:paraId="194FF668" w14:textId="13E03EB9"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612" w:type="dxa"/>
            <w:shd w:val="clear" w:color="auto" w:fill="DAE9F7" w:themeFill="text2" w:themeFillTint="1A"/>
          </w:tcPr>
          <w:p w14:paraId="2BACB9B1" w14:textId="6398368A"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00B0F0"/>
                <w:kern w:val="0"/>
                <w:sz w:val="28"/>
                <w:szCs w:val="28"/>
                <w:lang w:eastAsia="en-GB"/>
                <w14:ligatures w14:val="none"/>
              </w:rPr>
              <w:t>A</w:t>
            </w:r>
          </w:p>
        </w:tc>
      </w:tr>
      <w:tr w:rsidR="00C62057" w14:paraId="4D4D6C98" w14:textId="77777777" w:rsidTr="00374918">
        <w:tc>
          <w:tcPr>
            <w:tcW w:w="2072" w:type="dxa"/>
          </w:tcPr>
          <w:p w14:paraId="23C75ACD" w14:textId="491E8467" w:rsidR="00844860" w:rsidRPr="00105742" w:rsidRDefault="00C62057"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Train Frontline Staff</w:t>
            </w:r>
          </w:p>
        </w:tc>
        <w:tc>
          <w:tcPr>
            <w:tcW w:w="1390" w:type="dxa"/>
            <w:shd w:val="clear" w:color="auto" w:fill="92D050"/>
          </w:tcPr>
          <w:p w14:paraId="31F321C5" w14:textId="752426BD" w:rsidR="00844860" w:rsidRPr="00374918" w:rsidRDefault="00C62057"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598" w:type="dxa"/>
            <w:shd w:val="clear" w:color="auto" w:fill="F2CEED" w:themeFill="accent5" w:themeFillTint="33"/>
          </w:tcPr>
          <w:p w14:paraId="57635E5A" w14:textId="4B8CD955"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256" w:type="dxa"/>
            <w:shd w:val="clear" w:color="auto" w:fill="92D050"/>
          </w:tcPr>
          <w:p w14:paraId="1A279018" w14:textId="75A2B694"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957" w:type="dxa"/>
            <w:shd w:val="clear" w:color="auto" w:fill="FFC000"/>
          </w:tcPr>
          <w:p w14:paraId="7ACFA3AF" w14:textId="78362A49"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1463" w:type="dxa"/>
          </w:tcPr>
          <w:p w14:paraId="0AC76EE8" w14:textId="32B0DB3C" w:rsidR="00844860" w:rsidRPr="00374918" w:rsidRDefault="00C62057" w:rsidP="00105742">
            <w:pPr>
              <w:spacing w:before="240" w:after="240" w:line="360" w:lineRule="auto"/>
              <w:jc w:val="center"/>
              <w:rPr>
                <w:rFonts w:ascii="Arial" w:eastAsia="Times New Roman" w:hAnsi="Arial" w:cs="Arial"/>
                <w:color w:val="0F1115"/>
                <w:kern w:val="0"/>
                <w:sz w:val="28"/>
                <w:szCs w:val="28"/>
                <w:lang w:eastAsia="en-GB"/>
                <w14:ligatures w14:val="none"/>
              </w:rPr>
            </w:pPr>
            <w:r w:rsidRPr="00374918">
              <w:rPr>
                <w:rFonts w:ascii="Arial" w:eastAsia="Times New Roman" w:hAnsi="Arial" w:cs="Arial"/>
                <w:color w:val="0F1115"/>
                <w:kern w:val="0"/>
                <w:sz w:val="28"/>
                <w:szCs w:val="28"/>
                <w:lang w:eastAsia="en-GB"/>
                <w14:ligatures w14:val="none"/>
              </w:rPr>
              <w:t>-</w:t>
            </w:r>
          </w:p>
        </w:tc>
        <w:tc>
          <w:tcPr>
            <w:tcW w:w="1612" w:type="dxa"/>
            <w:shd w:val="clear" w:color="auto" w:fill="92D050"/>
          </w:tcPr>
          <w:p w14:paraId="1FF6775A" w14:textId="73586F15"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r w:rsidR="00C62057" w14:paraId="383863B4" w14:textId="77777777" w:rsidTr="00374918">
        <w:tc>
          <w:tcPr>
            <w:tcW w:w="2072" w:type="dxa"/>
          </w:tcPr>
          <w:p w14:paraId="2E4BE633" w14:textId="0182C143" w:rsidR="00844860" w:rsidRPr="00105742" w:rsidRDefault="00C62057" w:rsidP="000C0069">
            <w:pPr>
              <w:spacing w:before="240" w:after="240" w:line="360" w:lineRule="auto"/>
              <w:rPr>
                <w:rFonts w:ascii="Arial" w:eastAsia="Times New Roman" w:hAnsi="Arial" w:cs="Arial"/>
                <w:b/>
                <w:bCs/>
                <w:color w:val="0F1115"/>
                <w:kern w:val="0"/>
                <w:sz w:val="22"/>
                <w:szCs w:val="22"/>
                <w:lang w:eastAsia="en-GB"/>
                <w14:ligatures w14:val="none"/>
              </w:rPr>
            </w:pPr>
            <w:r w:rsidRPr="00105742">
              <w:rPr>
                <w:rFonts w:ascii="Arial" w:eastAsia="Times New Roman" w:hAnsi="Arial" w:cs="Arial"/>
                <w:b/>
                <w:bCs/>
                <w:color w:val="0F1115"/>
                <w:kern w:val="0"/>
                <w:sz w:val="22"/>
                <w:szCs w:val="22"/>
                <w:lang w:eastAsia="en-GB"/>
                <w14:ligatures w14:val="none"/>
              </w:rPr>
              <w:t>Execute Local Launch</w:t>
            </w:r>
          </w:p>
        </w:tc>
        <w:tc>
          <w:tcPr>
            <w:tcW w:w="1390" w:type="dxa"/>
            <w:shd w:val="clear" w:color="auto" w:fill="92D050"/>
          </w:tcPr>
          <w:p w14:paraId="30CB0A58" w14:textId="06A2C664" w:rsidR="00844860" w:rsidRPr="00374918" w:rsidRDefault="00C62057" w:rsidP="00105742">
            <w:pPr>
              <w:spacing w:before="240" w:after="240" w:line="360" w:lineRule="auto"/>
              <w:jc w:val="center"/>
              <w:rPr>
                <w:rFonts w:ascii="Arial" w:eastAsia="Times New Roman" w:hAnsi="Arial" w:cs="Arial"/>
                <w:b/>
                <w:bCs/>
                <w:color w:val="A02B93" w:themeColor="accent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c>
          <w:tcPr>
            <w:tcW w:w="1598" w:type="dxa"/>
            <w:shd w:val="clear" w:color="auto" w:fill="F2CEED" w:themeFill="accent5" w:themeFillTint="33"/>
          </w:tcPr>
          <w:p w14:paraId="7858A74F" w14:textId="2CBC932C"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1256" w:type="dxa"/>
            <w:shd w:val="clear" w:color="auto" w:fill="F2CEED" w:themeFill="accent5" w:themeFillTint="33"/>
          </w:tcPr>
          <w:p w14:paraId="7C177DA1" w14:textId="58039A8F"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196B24" w:themeColor="accent3"/>
                <w:kern w:val="0"/>
                <w:sz w:val="28"/>
                <w:szCs w:val="28"/>
                <w:lang w:eastAsia="en-GB"/>
                <w14:ligatures w14:val="none"/>
              </w:rPr>
              <w:t>C</w:t>
            </w:r>
          </w:p>
        </w:tc>
        <w:tc>
          <w:tcPr>
            <w:tcW w:w="957" w:type="dxa"/>
            <w:shd w:val="clear" w:color="auto" w:fill="FFC000"/>
          </w:tcPr>
          <w:p w14:paraId="2C3B741D" w14:textId="37752322"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EE0000"/>
                <w:kern w:val="0"/>
                <w:sz w:val="28"/>
                <w:szCs w:val="28"/>
                <w:lang w:eastAsia="en-GB"/>
                <w14:ligatures w14:val="none"/>
              </w:rPr>
              <w:t>R</w:t>
            </w:r>
          </w:p>
        </w:tc>
        <w:tc>
          <w:tcPr>
            <w:tcW w:w="1463" w:type="dxa"/>
          </w:tcPr>
          <w:p w14:paraId="7FE2424A" w14:textId="3AE4CA89" w:rsidR="00844860" w:rsidRPr="00374918" w:rsidRDefault="00C62057" w:rsidP="00105742">
            <w:pPr>
              <w:spacing w:before="240" w:after="240" w:line="360" w:lineRule="auto"/>
              <w:jc w:val="center"/>
              <w:rPr>
                <w:rFonts w:ascii="Arial" w:eastAsia="Times New Roman" w:hAnsi="Arial" w:cs="Arial"/>
                <w:color w:val="0F1115"/>
                <w:kern w:val="0"/>
                <w:sz w:val="28"/>
                <w:szCs w:val="28"/>
                <w:lang w:eastAsia="en-GB"/>
                <w14:ligatures w14:val="none"/>
              </w:rPr>
            </w:pPr>
            <w:r w:rsidRPr="00374918">
              <w:rPr>
                <w:rFonts w:ascii="Arial" w:eastAsia="Times New Roman" w:hAnsi="Arial" w:cs="Arial"/>
                <w:color w:val="0F1115"/>
                <w:kern w:val="0"/>
                <w:sz w:val="28"/>
                <w:szCs w:val="28"/>
                <w:lang w:eastAsia="en-GB"/>
                <w14:ligatures w14:val="none"/>
              </w:rPr>
              <w:t>-</w:t>
            </w:r>
          </w:p>
        </w:tc>
        <w:tc>
          <w:tcPr>
            <w:tcW w:w="1612" w:type="dxa"/>
            <w:shd w:val="clear" w:color="auto" w:fill="92D050"/>
          </w:tcPr>
          <w:p w14:paraId="26161535" w14:textId="4926D58E" w:rsidR="00844860" w:rsidRPr="00374918" w:rsidRDefault="00C62057" w:rsidP="00105742">
            <w:pPr>
              <w:spacing w:before="240" w:after="240" w:line="360" w:lineRule="auto"/>
              <w:jc w:val="center"/>
              <w:rPr>
                <w:rFonts w:ascii="Arial" w:eastAsia="Times New Roman" w:hAnsi="Arial" w:cs="Arial"/>
                <w:b/>
                <w:bCs/>
                <w:color w:val="0F1115"/>
                <w:kern w:val="0"/>
                <w:sz w:val="28"/>
                <w:szCs w:val="28"/>
                <w:lang w:eastAsia="en-GB"/>
                <w14:ligatures w14:val="none"/>
              </w:rPr>
            </w:pPr>
            <w:r w:rsidRPr="00374918">
              <w:rPr>
                <w:rFonts w:ascii="Arial" w:eastAsia="Times New Roman" w:hAnsi="Arial" w:cs="Arial"/>
                <w:b/>
                <w:bCs/>
                <w:color w:val="A02B93" w:themeColor="accent5"/>
                <w:kern w:val="0"/>
                <w:sz w:val="28"/>
                <w:szCs w:val="28"/>
                <w:lang w:eastAsia="en-GB"/>
                <w14:ligatures w14:val="none"/>
              </w:rPr>
              <w:t>I</w:t>
            </w:r>
          </w:p>
        </w:tc>
      </w:tr>
    </w:tbl>
    <w:p w14:paraId="5F09D173" w14:textId="77777777" w:rsidR="00DB4CB5" w:rsidRDefault="00105742" w:rsidP="00DB4CB5">
      <w:pPr>
        <w:spacing w:before="240" w:after="240" w:line="360" w:lineRule="auto"/>
        <w:rPr>
          <w:rFonts w:ascii="Arial" w:eastAsia="Times New Roman" w:hAnsi="Arial" w:cs="Arial"/>
          <w:b/>
          <w:bCs/>
          <w:color w:val="A02B93" w:themeColor="accent5"/>
          <w:kern w:val="0"/>
          <w:sz w:val="22"/>
          <w:szCs w:val="22"/>
          <w:lang w:eastAsia="en-GB"/>
          <w14:ligatures w14:val="none"/>
        </w:rPr>
      </w:pPr>
      <w:r w:rsidRPr="00105742">
        <w:rPr>
          <w:rFonts w:ascii="Arial" w:eastAsia="Times New Roman" w:hAnsi="Arial" w:cs="Arial"/>
          <w:b/>
          <w:bCs/>
          <w:color w:val="EE0000"/>
          <w:kern w:val="0"/>
          <w:sz w:val="22"/>
          <w:szCs w:val="22"/>
          <w:lang w:eastAsia="en-GB"/>
          <w14:ligatures w14:val="none"/>
        </w:rPr>
        <w:t>R = Responsible</w:t>
      </w:r>
      <w:r w:rsidRPr="00105742">
        <w:rPr>
          <w:rFonts w:ascii="Arial" w:eastAsia="Times New Roman" w:hAnsi="Arial" w:cs="Arial"/>
          <w:b/>
          <w:bCs/>
          <w:color w:val="0F1115"/>
          <w:kern w:val="0"/>
          <w:sz w:val="22"/>
          <w:szCs w:val="22"/>
          <w:lang w:eastAsia="en-GB"/>
          <w14:ligatures w14:val="none"/>
        </w:rPr>
        <w:t xml:space="preserve">, </w:t>
      </w:r>
      <w:r w:rsidRPr="00105742">
        <w:rPr>
          <w:rFonts w:ascii="Arial" w:eastAsia="Times New Roman" w:hAnsi="Arial" w:cs="Arial"/>
          <w:b/>
          <w:bCs/>
          <w:color w:val="00B0F0"/>
          <w:kern w:val="0"/>
          <w:sz w:val="22"/>
          <w:szCs w:val="22"/>
          <w:lang w:eastAsia="en-GB"/>
          <w14:ligatures w14:val="none"/>
        </w:rPr>
        <w:t>A = Accountable</w:t>
      </w:r>
      <w:r w:rsidRPr="00105742">
        <w:rPr>
          <w:rFonts w:ascii="Arial" w:eastAsia="Times New Roman" w:hAnsi="Arial" w:cs="Arial"/>
          <w:b/>
          <w:bCs/>
          <w:color w:val="0F1115"/>
          <w:kern w:val="0"/>
          <w:sz w:val="22"/>
          <w:szCs w:val="22"/>
          <w:lang w:eastAsia="en-GB"/>
          <w14:ligatures w14:val="none"/>
        </w:rPr>
        <w:t xml:space="preserve">, </w:t>
      </w:r>
      <w:r w:rsidRPr="00105742">
        <w:rPr>
          <w:rFonts w:ascii="Arial" w:eastAsia="Times New Roman" w:hAnsi="Arial" w:cs="Arial"/>
          <w:b/>
          <w:bCs/>
          <w:color w:val="3A7C22" w:themeColor="accent6" w:themeShade="BF"/>
          <w:kern w:val="0"/>
          <w:sz w:val="22"/>
          <w:szCs w:val="22"/>
          <w:lang w:eastAsia="en-GB"/>
          <w14:ligatures w14:val="none"/>
        </w:rPr>
        <w:t>C = Consulted</w:t>
      </w:r>
      <w:r w:rsidRPr="00105742">
        <w:rPr>
          <w:rFonts w:ascii="Arial" w:eastAsia="Times New Roman" w:hAnsi="Arial" w:cs="Arial"/>
          <w:b/>
          <w:bCs/>
          <w:color w:val="0F1115"/>
          <w:kern w:val="0"/>
          <w:sz w:val="22"/>
          <w:szCs w:val="22"/>
          <w:lang w:eastAsia="en-GB"/>
          <w14:ligatures w14:val="none"/>
        </w:rPr>
        <w:t xml:space="preserve">, </w:t>
      </w:r>
      <w:r w:rsidRPr="00105742">
        <w:rPr>
          <w:rFonts w:ascii="Arial" w:eastAsia="Times New Roman" w:hAnsi="Arial" w:cs="Arial"/>
          <w:b/>
          <w:bCs/>
          <w:color w:val="A02B93" w:themeColor="accent5"/>
          <w:kern w:val="0"/>
          <w:sz w:val="22"/>
          <w:szCs w:val="22"/>
          <w:lang w:eastAsia="en-GB"/>
          <w14:ligatures w14:val="none"/>
        </w:rPr>
        <w:t>I = Informed</w:t>
      </w:r>
    </w:p>
    <w:p w14:paraId="07D5B115" w14:textId="16B501A5" w:rsidR="000B645F" w:rsidRPr="00797240" w:rsidRDefault="005C1E83" w:rsidP="005D5862">
      <w:pPr>
        <w:pStyle w:val="Heading2"/>
        <w:rPr>
          <w:rFonts w:eastAsia="Times New Roman"/>
          <w:color w:val="0F1115"/>
          <w:kern w:val="0"/>
          <w:lang w:eastAsia="en-GB"/>
          <w14:ligatures w14:val="none"/>
        </w:rPr>
      </w:pPr>
      <w:bookmarkStart w:id="11" w:name="_Toc224997209"/>
      <w:r w:rsidRPr="00797240">
        <w:lastRenderedPageBreak/>
        <w:t>Mendelow's Power-Interest Grid Analysis</w:t>
      </w:r>
      <w:bookmarkEnd w:id="11"/>
    </w:p>
    <w:p w14:paraId="3D30E05A" w14:textId="528AAB71" w:rsidR="00DB4CB5" w:rsidRPr="00DB4CB5" w:rsidRDefault="00DB4CB5" w:rsidP="00DB4CB5">
      <w:pPr>
        <w:spacing w:before="240" w:after="240" w:line="360" w:lineRule="auto"/>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Tab</w:t>
      </w:r>
      <w:r w:rsidR="007160A6">
        <w:rPr>
          <w:rFonts w:ascii="Arial" w:eastAsia="Times New Roman" w:hAnsi="Arial" w:cs="Arial"/>
          <w:b/>
          <w:bCs/>
          <w:color w:val="0F1115"/>
          <w:kern w:val="0"/>
          <w:sz w:val="22"/>
          <w:szCs w:val="22"/>
          <w:lang w:eastAsia="en-GB"/>
          <w14:ligatures w14:val="none"/>
        </w:rPr>
        <w:t>le</w:t>
      </w:r>
      <w:r>
        <w:rPr>
          <w:rFonts w:ascii="Arial" w:eastAsia="Times New Roman" w:hAnsi="Arial" w:cs="Arial"/>
          <w:b/>
          <w:bCs/>
          <w:color w:val="0F1115"/>
          <w:kern w:val="0"/>
          <w:sz w:val="22"/>
          <w:szCs w:val="22"/>
          <w:lang w:eastAsia="en-GB"/>
          <w14:ligatures w14:val="none"/>
        </w:rPr>
        <w:t>.4</w:t>
      </w:r>
    </w:p>
    <w:tbl>
      <w:tblPr>
        <w:tblStyle w:val="GridTable4-Accent2"/>
        <w:tblW w:w="0" w:type="auto"/>
        <w:tblLook w:val="04A0" w:firstRow="1" w:lastRow="0" w:firstColumn="1" w:lastColumn="0" w:noHBand="0" w:noVBand="1"/>
      </w:tblPr>
      <w:tblGrid>
        <w:gridCol w:w="3005"/>
        <w:gridCol w:w="3005"/>
        <w:gridCol w:w="3006"/>
      </w:tblGrid>
      <w:tr w:rsidR="005C1E83" w14:paraId="2F52BB07" w14:textId="77777777" w:rsidTr="006D7A58">
        <w:trPr>
          <w:cnfStyle w:val="100000000000" w:firstRow="1" w:lastRow="0" w:firstColumn="0" w:lastColumn="0" w:oddVBand="0" w:evenVBand="0" w:oddHBand="0" w:evenHBand="0" w:firstRowFirstColumn="0" w:firstRowLastColumn="0" w:lastRowFirstColumn="0" w:lastRowLastColumn="0"/>
          <w:trHeight w:val="1146"/>
        </w:trPr>
        <w:tc>
          <w:tcPr>
            <w:cnfStyle w:val="001000000000" w:firstRow="0" w:lastRow="0" w:firstColumn="1" w:lastColumn="0" w:oddVBand="0" w:evenVBand="0" w:oddHBand="0" w:evenHBand="0" w:firstRowFirstColumn="0" w:firstRowLastColumn="0" w:lastRowFirstColumn="0" w:lastRowLastColumn="0"/>
            <w:tcW w:w="3005" w:type="dxa"/>
          </w:tcPr>
          <w:p w14:paraId="53833064" w14:textId="77777777" w:rsidR="005C1E83" w:rsidRDefault="005C1E83" w:rsidP="00A948DA">
            <w:pPr>
              <w:spacing w:line="360" w:lineRule="auto"/>
              <w:rPr>
                <w:rFonts w:ascii="Arial" w:hAnsi="Arial" w:cs="Arial"/>
                <w:b w:val="0"/>
                <w:bCs w:val="0"/>
                <w:sz w:val="22"/>
                <w:szCs w:val="22"/>
              </w:rPr>
            </w:pPr>
          </w:p>
          <w:p w14:paraId="76DA2B7A" w14:textId="2B450E05" w:rsidR="005C1E83" w:rsidRDefault="005C1E83" w:rsidP="00A948DA">
            <w:pPr>
              <w:spacing w:line="360" w:lineRule="auto"/>
              <w:rPr>
                <w:rFonts w:ascii="Arial" w:hAnsi="Arial" w:cs="Arial"/>
                <w:b w:val="0"/>
                <w:bCs w:val="0"/>
                <w:sz w:val="22"/>
                <w:szCs w:val="22"/>
              </w:rPr>
            </w:pPr>
            <w:r w:rsidRPr="005C1E83">
              <w:rPr>
                <w:rFonts w:ascii="Arial" w:hAnsi="Arial" w:cs="Arial"/>
                <w:sz w:val="22"/>
                <w:szCs w:val="22"/>
              </w:rPr>
              <w:t>Power-Interest</w:t>
            </w:r>
          </w:p>
        </w:tc>
        <w:tc>
          <w:tcPr>
            <w:tcW w:w="3005" w:type="dxa"/>
          </w:tcPr>
          <w:p w14:paraId="5B89E0ED" w14:textId="77777777" w:rsidR="005C1E83" w:rsidRDefault="005C1E83"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
          <w:p w14:paraId="2AC2CD86" w14:textId="78EBCB02" w:rsidR="005C1E83" w:rsidRDefault="005C1E83"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5C1E83">
              <w:rPr>
                <w:rFonts w:ascii="Arial" w:hAnsi="Arial" w:cs="Arial"/>
                <w:sz w:val="22"/>
                <w:szCs w:val="22"/>
              </w:rPr>
              <w:t>Stakeholders</w:t>
            </w:r>
          </w:p>
        </w:tc>
        <w:tc>
          <w:tcPr>
            <w:tcW w:w="3006" w:type="dxa"/>
          </w:tcPr>
          <w:p w14:paraId="74F7CFB2" w14:textId="77777777" w:rsidR="005C1E83" w:rsidRDefault="005C1E83"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
          <w:p w14:paraId="0E535E3B" w14:textId="55B336C2" w:rsidR="005C1E83" w:rsidRDefault="005C1E83" w:rsidP="00A948D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5C1E83">
              <w:rPr>
                <w:rFonts w:ascii="Arial" w:hAnsi="Arial" w:cs="Arial"/>
                <w:sz w:val="22"/>
                <w:szCs w:val="22"/>
              </w:rPr>
              <w:t>Engagement Strategy</w:t>
            </w:r>
          </w:p>
        </w:tc>
      </w:tr>
      <w:tr w:rsidR="005C1E83" w14:paraId="70760EBB" w14:textId="77777777" w:rsidTr="006D7A58">
        <w:trPr>
          <w:cnfStyle w:val="000000100000" w:firstRow="0" w:lastRow="0" w:firstColumn="0" w:lastColumn="0" w:oddVBand="0" w:evenVBand="0" w:oddHBand="1" w:evenHBand="0" w:firstRowFirstColumn="0" w:firstRowLastColumn="0" w:lastRowFirstColumn="0" w:lastRowLastColumn="0"/>
          <w:trHeight w:val="1836"/>
        </w:trPr>
        <w:tc>
          <w:tcPr>
            <w:cnfStyle w:val="001000000000" w:firstRow="0" w:lastRow="0" w:firstColumn="1" w:lastColumn="0" w:oddVBand="0" w:evenVBand="0" w:oddHBand="0" w:evenHBand="0" w:firstRowFirstColumn="0" w:firstRowLastColumn="0" w:lastRowFirstColumn="0" w:lastRowLastColumn="0"/>
            <w:tcW w:w="3005" w:type="dxa"/>
          </w:tcPr>
          <w:p w14:paraId="13DDBADC" w14:textId="72B6FBC7" w:rsidR="005C1E83" w:rsidRDefault="005C1E83" w:rsidP="00A948DA">
            <w:pPr>
              <w:spacing w:line="360" w:lineRule="auto"/>
              <w:rPr>
                <w:rFonts w:ascii="Arial" w:hAnsi="Arial" w:cs="Arial"/>
                <w:b w:val="0"/>
                <w:bCs w:val="0"/>
                <w:sz w:val="22"/>
                <w:szCs w:val="22"/>
              </w:rPr>
            </w:pPr>
            <w:r w:rsidRPr="005C1E83">
              <w:rPr>
                <w:rFonts w:ascii="Arial" w:hAnsi="Arial" w:cs="Arial"/>
                <w:sz w:val="22"/>
                <w:szCs w:val="22"/>
              </w:rPr>
              <w:t>High Power, High Interest</w:t>
            </w:r>
          </w:p>
        </w:tc>
        <w:tc>
          <w:tcPr>
            <w:tcW w:w="3005" w:type="dxa"/>
          </w:tcPr>
          <w:p w14:paraId="74FF927E" w14:textId="3742DE91" w:rsidR="005C1E83" w:rsidRPr="005C1E83" w:rsidRDefault="005C1E83"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C1E83">
              <w:rPr>
                <w:rFonts w:ascii="Arial" w:hAnsi="Arial" w:cs="Arial"/>
                <w:sz w:val="22"/>
                <w:szCs w:val="22"/>
              </w:rPr>
              <w:t>Executive Leadership, Hotel Owners, Key Tech Partners</w:t>
            </w:r>
          </w:p>
          <w:p w14:paraId="3C56500E" w14:textId="77777777" w:rsidR="005C1E83" w:rsidRDefault="005C1E83"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3006" w:type="dxa"/>
          </w:tcPr>
          <w:p w14:paraId="564A0386" w14:textId="414511EF" w:rsidR="005C1E83" w:rsidRPr="005C1E83" w:rsidRDefault="005C1E83"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C1E83">
              <w:rPr>
                <w:rFonts w:ascii="Arial" w:hAnsi="Arial" w:cs="Arial"/>
                <w:b/>
                <w:bCs/>
                <w:sz w:val="22"/>
                <w:szCs w:val="22"/>
              </w:rPr>
              <w:t>Key Players</w:t>
            </w:r>
            <w:r w:rsidRPr="005C1E83">
              <w:rPr>
                <w:rFonts w:ascii="Arial" w:hAnsi="Arial" w:cs="Arial"/>
                <w:sz w:val="22"/>
                <w:szCs w:val="22"/>
              </w:rPr>
              <w:t>: Manage closely. Involve in governance, provide regular performance updates, and secure their active sponsorship (Mendelow, 1991).</w:t>
            </w:r>
          </w:p>
        </w:tc>
      </w:tr>
      <w:tr w:rsidR="005C1E83" w14:paraId="75981780" w14:textId="77777777" w:rsidTr="006D7A58">
        <w:trPr>
          <w:trHeight w:val="2401"/>
        </w:trPr>
        <w:tc>
          <w:tcPr>
            <w:cnfStyle w:val="001000000000" w:firstRow="0" w:lastRow="0" w:firstColumn="1" w:lastColumn="0" w:oddVBand="0" w:evenVBand="0" w:oddHBand="0" w:evenHBand="0" w:firstRowFirstColumn="0" w:firstRowLastColumn="0" w:lastRowFirstColumn="0" w:lastRowLastColumn="0"/>
            <w:tcW w:w="3005" w:type="dxa"/>
          </w:tcPr>
          <w:p w14:paraId="7C202114" w14:textId="64B6F43B" w:rsidR="005C1E83" w:rsidRDefault="005C1E83" w:rsidP="00A948DA">
            <w:pPr>
              <w:spacing w:line="360" w:lineRule="auto"/>
              <w:rPr>
                <w:rFonts w:ascii="Arial" w:hAnsi="Arial" w:cs="Arial"/>
                <w:b w:val="0"/>
                <w:bCs w:val="0"/>
                <w:sz w:val="22"/>
                <w:szCs w:val="22"/>
              </w:rPr>
            </w:pPr>
            <w:r w:rsidRPr="005C1E83">
              <w:rPr>
                <w:rFonts w:ascii="Arial" w:hAnsi="Arial" w:cs="Arial"/>
                <w:sz w:val="22"/>
                <w:szCs w:val="22"/>
              </w:rPr>
              <w:t>High Power, Low Interest</w:t>
            </w:r>
          </w:p>
        </w:tc>
        <w:tc>
          <w:tcPr>
            <w:tcW w:w="3005" w:type="dxa"/>
          </w:tcPr>
          <w:p w14:paraId="77A1F3EC" w14:textId="2AD39B70" w:rsidR="005C1E83" w:rsidRPr="005C1E83" w:rsidRDefault="005C1E83"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C1E83">
              <w:rPr>
                <w:rFonts w:ascii="Arial" w:hAnsi="Arial" w:cs="Arial"/>
                <w:sz w:val="22"/>
                <w:szCs w:val="22"/>
              </w:rPr>
              <w:t>Regulatory Bodies, Major Corporate Clients</w:t>
            </w:r>
          </w:p>
        </w:tc>
        <w:tc>
          <w:tcPr>
            <w:tcW w:w="3006" w:type="dxa"/>
          </w:tcPr>
          <w:p w14:paraId="1B17A816" w14:textId="2F259093" w:rsidR="005C1E83" w:rsidRPr="005C1E83" w:rsidRDefault="005C1E83"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C1E83">
              <w:rPr>
                <w:rFonts w:ascii="Arial" w:hAnsi="Arial" w:cs="Arial"/>
                <w:b/>
                <w:bCs/>
                <w:sz w:val="22"/>
                <w:szCs w:val="22"/>
              </w:rPr>
              <w:t>Keep Satisfied</w:t>
            </w:r>
            <w:r w:rsidRPr="005C1E83">
              <w:rPr>
                <w:rFonts w:ascii="Arial" w:hAnsi="Arial" w:cs="Arial"/>
                <w:sz w:val="22"/>
                <w:szCs w:val="22"/>
              </w:rPr>
              <w:t>: Provide assurance of compliance and value but avoid information overload. Proactive reporting on legal and data security is key (Johnson, Scholes and Whittington, 2008).</w:t>
            </w:r>
          </w:p>
        </w:tc>
      </w:tr>
      <w:tr w:rsidR="005C1E83" w14:paraId="41E7B8A2" w14:textId="77777777" w:rsidTr="006D7A58">
        <w:trPr>
          <w:cnfStyle w:val="000000100000" w:firstRow="0" w:lastRow="0" w:firstColumn="0" w:lastColumn="0" w:oddVBand="0" w:evenVBand="0" w:oddHBand="1" w:evenHBand="0" w:firstRowFirstColumn="0" w:firstRowLastColumn="0" w:lastRowFirstColumn="0" w:lastRowLastColumn="0"/>
          <w:trHeight w:val="2690"/>
        </w:trPr>
        <w:tc>
          <w:tcPr>
            <w:cnfStyle w:val="001000000000" w:firstRow="0" w:lastRow="0" w:firstColumn="1" w:lastColumn="0" w:oddVBand="0" w:evenVBand="0" w:oddHBand="0" w:evenHBand="0" w:firstRowFirstColumn="0" w:firstRowLastColumn="0" w:lastRowFirstColumn="0" w:lastRowLastColumn="0"/>
            <w:tcW w:w="3005" w:type="dxa"/>
          </w:tcPr>
          <w:p w14:paraId="66CA7C96" w14:textId="6E5D98AD" w:rsidR="005C1E83" w:rsidRDefault="005C1E83" w:rsidP="00A948DA">
            <w:pPr>
              <w:spacing w:line="360" w:lineRule="auto"/>
              <w:rPr>
                <w:rFonts w:ascii="Arial" w:hAnsi="Arial" w:cs="Arial"/>
                <w:b w:val="0"/>
                <w:bCs w:val="0"/>
                <w:sz w:val="22"/>
                <w:szCs w:val="22"/>
              </w:rPr>
            </w:pPr>
            <w:r w:rsidRPr="005C1E83">
              <w:rPr>
                <w:rFonts w:ascii="Arial" w:hAnsi="Arial" w:cs="Arial"/>
                <w:sz w:val="22"/>
                <w:szCs w:val="22"/>
              </w:rPr>
              <w:t>Low Power, High Interest</w:t>
            </w:r>
          </w:p>
        </w:tc>
        <w:tc>
          <w:tcPr>
            <w:tcW w:w="3005" w:type="dxa"/>
          </w:tcPr>
          <w:p w14:paraId="011A86B3" w14:textId="162A17C5" w:rsidR="005C1E83" w:rsidRPr="005C1E83" w:rsidRDefault="005C1E83"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C1E83">
              <w:rPr>
                <w:rFonts w:ascii="Arial" w:hAnsi="Arial" w:cs="Arial"/>
                <w:sz w:val="22"/>
                <w:szCs w:val="22"/>
              </w:rPr>
              <w:t>Hotel Staff, Guests, Local Communities</w:t>
            </w:r>
          </w:p>
        </w:tc>
        <w:tc>
          <w:tcPr>
            <w:tcW w:w="3006" w:type="dxa"/>
          </w:tcPr>
          <w:p w14:paraId="71AE2C55" w14:textId="65B5B755" w:rsidR="005C1E83" w:rsidRPr="005C1E83" w:rsidRDefault="005C1E83" w:rsidP="00A948D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C1E83">
              <w:rPr>
                <w:rFonts w:ascii="Arial" w:hAnsi="Arial" w:cs="Arial"/>
                <w:b/>
                <w:bCs/>
                <w:sz w:val="22"/>
                <w:szCs w:val="22"/>
              </w:rPr>
              <w:t>Keep Informed</w:t>
            </w:r>
            <w:r w:rsidRPr="005C1E83">
              <w:rPr>
                <w:rFonts w:ascii="Arial" w:hAnsi="Arial" w:cs="Arial"/>
                <w:sz w:val="22"/>
                <w:szCs w:val="22"/>
              </w:rPr>
              <w:t>: Regular, transparent communication. Engage staff through training and feedback loops; involve guests via beta testing and surveys (Bitner, Booms and Tetreault, 1990).</w:t>
            </w:r>
          </w:p>
        </w:tc>
      </w:tr>
      <w:tr w:rsidR="005C1E83" w14:paraId="268F1ECD" w14:textId="77777777" w:rsidTr="006D7A58">
        <w:trPr>
          <w:trHeight w:val="1225"/>
        </w:trPr>
        <w:tc>
          <w:tcPr>
            <w:cnfStyle w:val="001000000000" w:firstRow="0" w:lastRow="0" w:firstColumn="1" w:lastColumn="0" w:oddVBand="0" w:evenVBand="0" w:oddHBand="0" w:evenHBand="0" w:firstRowFirstColumn="0" w:firstRowLastColumn="0" w:lastRowFirstColumn="0" w:lastRowLastColumn="0"/>
            <w:tcW w:w="3005" w:type="dxa"/>
          </w:tcPr>
          <w:p w14:paraId="71A2F8B0" w14:textId="6C9A0689" w:rsidR="005C1E83" w:rsidRDefault="005C1E83" w:rsidP="00A948DA">
            <w:pPr>
              <w:spacing w:line="360" w:lineRule="auto"/>
              <w:rPr>
                <w:rFonts w:ascii="Arial" w:hAnsi="Arial" w:cs="Arial"/>
                <w:b w:val="0"/>
                <w:bCs w:val="0"/>
                <w:sz w:val="22"/>
                <w:szCs w:val="22"/>
              </w:rPr>
            </w:pPr>
            <w:r w:rsidRPr="005C1E83">
              <w:rPr>
                <w:rFonts w:ascii="Arial" w:hAnsi="Arial" w:cs="Arial"/>
                <w:sz w:val="22"/>
                <w:szCs w:val="22"/>
              </w:rPr>
              <w:t>Low Power, Low Interest</w:t>
            </w:r>
          </w:p>
        </w:tc>
        <w:tc>
          <w:tcPr>
            <w:tcW w:w="3005" w:type="dxa"/>
          </w:tcPr>
          <w:p w14:paraId="142B6FFA" w14:textId="0E2818A2" w:rsidR="005C1E83" w:rsidRPr="005C1E83" w:rsidRDefault="005C1E83"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C1E83">
              <w:rPr>
                <w:rFonts w:ascii="Arial" w:hAnsi="Arial" w:cs="Arial"/>
                <w:sz w:val="22"/>
                <w:szCs w:val="22"/>
              </w:rPr>
              <w:t>Suppliers (non-tech), General Media</w:t>
            </w:r>
          </w:p>
        </w:tc>
        <w:tc>
          <w:tcPr>
            <w:tcW w:w="3006" w:type="dxa"/>
          </w:tcPr>
          <w:p w14:paraId="61737CFF" w14:textId="2F5A4C95" w:rsidR="005C1E83" w:rsidRPr="005C1E83" w:rsidRDefault="005C1E83" w:rsidP="00A948D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C1E83">
              <w:rPr>
                <w:rFonts w:ascii="Arial" w:hAnsi="Arial" w:cs="Arial"/>
                <w:b/>
                <w:bCs/>
                <w:sz w:val="22"/>
                <w:szCs w:val="22"/>
              </w:rPr>
              <w:t>Monitor</w:t>
            </w:r>
            <w:r w:rsidRPr="005C1E83">
              <w:rPr>
                <w:rFonts w:ascii="Arial" w:hAnsi="Arial" w:cs="Arial"/>
                <w:sz w:val="22"/>
                <w:szCs w:val="22"/>
              </w:rPr>
              <w:t>: Minimal effort, but track for any shifts in interest or influence.</w:t>
            </w:r>
          </w:p>
        </w:tc>
      </w:tr>
    </w:tbl>
    <w:p w14:paraId="068858CF" w14:textId="77777777" w:rsidR="00AD4556" w:rsidRDefault="00AD4556" w:rsidP="007A065D">
      <w:pPr>
        <w:spacing w:before="480" w:after="240" w:line="360" w:lineRule="auto"/>
        <w:outlineLvl w:val="2"/>
        <w:rPr>
          <w:rFonts w:ascii="Arial" w:eastAsia="Times New Roman" w:hAnsi="Arial" w:cs="Arial"/>
          <w:b/>
          <w:bCs/>
          <w:color w:val="0F1115"/>
          <w:kern w:val="0"/>
          <w:sz w:val="32"/>
          <w:szCs w:val="32"/>
          <w:lang w:eastAsia="en-GB"/>
          <w14:ligatures w14:val="none"/>
        </w:rPr>
      </w:pPr>
    </w:p>
    <w:p w14:paraId="0D16E6F2" w14:textId="78C707EF" w:rsidR="007A065D" w:rsidRPr="00797240" w:rsidRDefault="007A065D" w:rsidP="005D5862">
      <w:pPr>
        <w:pStyle w:val="Heading1"/>
        <w:rPr>
          <w:rFonts w:eastAsia="Times New Roman"/>
          <w:lang w:eastAsia="en-GB"/>
        </w:rPr>
      </w:pPr>
      <w:bookmarkStart w:id="12" w:name="_Toc224997210"/>
      <w:r w:rsidRPr="00797240">
        <w:rPr>
          <w:rFonts w:eastAsia="Times New Roman"/>
          <w:lang w:eastAsia="en-GB"/>
        </w:rPr>
        <w:lastRenderedPageBreak/>
        <w:t>Stakeholder Engagement and Communication Plan</w:t>
      </w:r>
      <w:bookmarkEnd w:id="12"/>
    </w:p>
    <w:p w14:paraId="42A68936" w14:textId="77777777" w:rsidR="007A065D" w:rsidRPr="00BA1817" w:rsidRDefault="007A065D" w:rsidP="007A065D">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Leveraging the analysis above, a structured plan ensures that engagement is purposeful and efficient (Phillips, 2003).</w:t>
      </w:r>
    </w:p>
    <w:p w14:paraId="09EAB868" w14:textId="09F9E826" w:rsidR="007A065D" w:rsidRPr="007D19AF" w:rsidRDefault="007A065D" w:rsidP="007D19AF">
      <w:pPr>
        <w:pStyle w:val="ListParagraph"/>
        <w:numPr>
          <w:ilvl w:val="0"/>
          <w:numId w:val="8"/>
        </w:numPr>
        <w:spacing w:before="240" w:after="240" w:line="360" w:lineRule="auto"/>
        <w:rPr>
          <w:rFonts w:ascii="Arial" w:eastAsia="Times New Roman" w:hAnsi="Arial" w:cs="Arial"/>
          <w:color w:val="0F1115"/>
          <w:kern w:val="0"/>
          <w:lang w:eastAsia="en-GB"/>
          <w14:ligatures w14:val="none"/>
        </w:rPr>
      </w:pPr>
      <w:r w:rsidRPr="007D19AF">
        <w:rPr>
          <w:rFonts w:ascii="Arial" w:eastAsia="Times New Roman" w:hAnsi="Arial" w:cs="Arial"/>
          <w:b/>
          <w:bCs/>
          <w:color w:val="0F1115"/>
          <w:kern w:val="0"/>
          <w:lang w:eastAsia="en-GB"/>
          <w14:ligatures w14:val="none"/>
        </w:rPr>
        <w:t>Stakeholder Engagement Plan Objectives:</w:t>
      </w:r>
    </w:p>
    <w:p w14:paraId="0CB134D1" w14:textId="77777777" w:rsidR="007A065D" w:rsidRPr="00BA1817" w:rsidRDefault="007A065D" w:rsidP="007A065D">
      <w:pPr>
        <w:numPr>
          <w:ilvl w:val="0"/>
          <w:numId w:val="4"/>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Build trust and transparency through open dialogue (Ashcroft, 2017).</w:t>
      </w:r>
    </w:p>
    <w:p w14:paraId="0543F0E6" w14:textId="77777777" w:rsidR="007A065D" w:rsidRPr="00BA1817" w:rsidRDefault="007A065D" w:rsidP="007A065D">
      <w:pPr>
        <w:numPr>
          <w:ilvl w:val="0"/>
          <w:numId w:val="4"/>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Foster co-creation by incorporating stakeholder feedback into the service design.</w:t>
      </w:r>
    </w:p>
    <w:p w14:paraId="1A7D5929" w14:textId="77777777" w:rsidR="007A065D" w:rsidRPr="00BA1817" w:rsidRDefault="007A065D" w:rsidP="007A065D">
      <w:pPr>
        <w:numPr>
          <w:ilvl w:val="0"/>
          <w:numId w:val="4"/>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Secure the necessary resources and commitment for successful implementation.</w:t>
      </w:r>
    </w:p>
    <w:p w14:paraId="78ADA3DB" w14:textId="1DDA3D49" w:rsidR="00DB4CB5" w:rsidRDefault="007A065D" w:rsidP="00DB4CB5">
      <w:pPr>
        <w:numPr>
          <w:ilvl w:val="0"/>
          <w:numId w:val="4"/>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Proactively manage risks and resistance.</w:t>
      </w:r>
    </w:p>
    <w:p w14:paraId="695D9EFF" w14:textId="77777777" w:rsidR="009E6014" w:rsidRPr="00DB4CB5" w:rsidRDefault="009E6014" w:rsidP="009E6014">
      <w:pPr>
        <w:spacing w:after="0" w:line="360" w:lineRule="auto"/>
        <w:ind w:left="720"/>
        <w:rPr>
          <w:rFonts w:ascii="Arial" w:eastAsia="Times New Roman" w:hAnsi="Arial" w:cs="Arial"/>
          <w:color w:val="0F1115"/>
          <w:kern w:val="0"/>
          <w:sz w:val="22"/>
          <w:szCs w:val="22"/>
          <w:lang w:eastAsia="en-GB"/>
          <w14:ligatures w14:val="none"/>
        </w:rPr>
      </w:pPr>
    </w:p>
    <w:p w14:paraId="69438DC7" w14:textId="10F09135" w:rsidR="00DB4CB5" w:rsidRPr="007D19AF" w:rsidRDefault="007A065D" w:rsidP="007D19AF">
      <w:pPr>
        <w:pStyle w:val="ListParagraph"/>
        <w:numPr>
          <w:ilvl w:val="0"/>
          <w:numId w:val="8"/>
        </w:numPr>
        <w:spacing w:line="360" w:lineRule="auto"/>
        <w:rPr>
          <w:rFonts w:ascii="Arial" w:eastAsia="Times New Roman" w:hAnsi="Arial" w:cs="Arial"/>
          <w:b/>
          <w:bCs/>
          <w:color w:val="0F1115"/>
          <w:kern w:val="0"/>
          <w:lang w:eastAsia="en-GB"/>
          <w14:ligatures w14:val="none"/>
        </w:rPr>
      </w:pPr>
      <w:r w:rsidRPr="007D19AF">
        <w:rPr>
          <w:rFonts w:ascii="Arial" w:eastAsia="Times New Roman" w:hAnsi="Arial" w:cs="Arial"/>
          <w:b/>
          <w:bCs/>
          <w:color w:val="0F1115"/>
          <w:kern w:val="0"/>
          <w:lang w:eastAsia="en-GB"/>
          <w14:ligatures w14:val="none"/>
        </w:rPr>
        <w:t>Communication Plan</w:t>
      </w:r>
    </w:p>
    <w:p w14:paraId="348891EB" w14:textId="2320BAE7" w:rsidR="00DB4CB5" w:rsidRPr="00DB4CB5" w:rsidRDefault="00DB4CB5" w:rsidP="007A065D">
      <w:pPr>
        <w:spacing w:line="360" w:lineRule="auto"/>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Tab</w:t>
      </w:r>
      <w:r w:rsidR="007160A6">
        <w:rPr>
          <w:rFonts w:ascii="Arial" w:eastAsia="Times New Roman" w:hAnsi="Arial" w:cs="Arial"/>
          <w:b/>
          <w:bCs/>
          <w:color w:val="0F1115"/>
          <w:kern w:val="0"/>
          <w:sz w:val="22"/>
          <w:szCs w:val="22"/>
          <w:lang w:eastAsia="en-GB"/>
          <w14:ligatures w14:val="none"/>
        </w:rPr>
        <w:t>le</w:t>
      </w:r>
      <w:r>
        <w:rPr>
          <w:rFonts w:ascii="Arial" w:eastAsia="Times New Roman" w:hAnsi="Arial" w:cs="Arial"/>
          <w:b/>
          <w:bCs/>
          <w:color w:val="0F1115"/>
          <w:kern w:val="0"/>
          <w:sz w:val="22"/>
          <w:szCs w:val="22"/>
          <w:lang w:eastAsia="en-GB"/>
          <w14:ligatures w14:val="none"/>
        </w:rPr>
        <w:t>.5</w:t>
      </w:r>
    </w:p>
    <w:tbl>
      <w:tblPr>
        <w:tblStyle w:val="GridTable4-Accent2"/>
        <w:tblW w:w="9781" w:type="dxa"/>
        <w:tblLook w:val="04A0" w:firstRow="1" w:lastRow="0" w:firstColumn="1" w:lastColumn="0" w:noHBand="0" w:noVBand="1"/>
      </w:tblPr>
      <w:tblGrid>
        <w:gridCol w:w="2401"/>
        <w:gridCol w:w="2254"/>
        <w:gridCol w:w="2254"/>
        <w:gridCol w:w="2872"/>
      </w:tblGrid>
      <w:tr w:rsidR="007A065D" w14:paraId="5E59B0F4" w14:textId="77777777" w:rsidTr="006D7A58">
        <w:trPr>
          <w:cnfStyle w:val="100000000000" w:firstRow="1" w:lastRow="0" w:firstColumn="0" w:lastColumn="0" w:oddVBand="0" w:evenVBand="0" w:oddHBand="0" w:evenHBand="0" w:firstRowFirstColumn="0" w:firstRowLastColumn="0" w:lastRowFirstColumn="0" w:lastRowLastColumn="0"/>
          <w:trHeight w:val="1214"/>
        </w:trPr>
        <w:tc>
          <w:tcPr>
            <w:cnfStyle w:val="001000000000" w:firstRow="0" w:lastRow="0" w:firstColumn="1" w:lastColumn="0" w:oddVBand="0" w:evenVBand="0" w:oddHBand="0" w:evenHBand="0" w:firstRowFirstColumn="0" w:firstRowLastColumn="0" w:lastRowFirstColumn="0" w:lastRowLastColumn="0"/>
            <w:tcW w:w="2401" w:type="dxa"/>
          </w:tcPr>
          <w:p w14:paraId="04612507" w14:textId="687C0F28" w:rsidR="007A065D" w:rsidRDefault="007A065D"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Stakeholder Group</w:t>
            </w:r>
          </w:p>
        </w:tc>
        <w:tc>
          <w:tcPr>
            <w:tcW w:w="2254" w:type="dxa"/>
          </w:tcPr>
          <w:p w14:paraId="1DD62256" w14:textId="781368BC" w:rsidR="007A065D" w:rsidRDefault="007A065D" w:rsidP="007A06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sz w:val="22"/>
                <w:szCs w:val="22"/>
              </w:rPr>
              <w:t xml:space="preserve">Key message’s </w:t>
            </w:r>
          </w:p>
        </w:tc>
        <w:tc>
          <w:tcPr>
            <w:tcW w:w="2254" w:type="dxa"/>
          </w:tcPr>
          <w:p w14:paraId="3AEFF7D6" w14:textId="1032CFDE" w:rsidR="007A065D" w:rsidRDefault="007A065D" w:rsidP="007A06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sz w:val="22"/>
                <w:szCs w:val="22"/>
              </w:rPr>
              <w:t xml:space="preserve">Frequency </w:t>
            </w:r>
          </w:p>
        </w:tc>
        <w:tc>
          <w:tcPr>
            <w:tcW w:w="2872" w:type="dxa"/>
          </w:tcPr>
          <w:p w14:paraId="5C84C8C8" w14:textId="2BC70121" w:rsidR="007A065D" w:rsidRDefault="007A065D" w:rsidP="007A06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sz w:val="22"/>
                <w:szCs w:val="22"/>
              </w:rPr>
              <w:t>Mechanism’s /</w:t>
            </w:r>
          </w:p>
          <w:p w14:paraId="2303A83B" w14:textId="68432E83" w:rsidR="007A065D" w:rsidRDefault="007A065D" w:rsidP="007A06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sz w:val="22"/>
                <w:szCs w:val="22"/>
              </w:rPr>
              <w:t xml:space="preserve">Channels </w:t>
            </w:r>
          </w:p>
        </w:tc>
      </w:tr>
      <w:tr w:rsidR="007A065D" w14:paraId="69BBC010" w14:textId="77777777" w:rsidTr="006D7A58">
        <w:trPr>
          <w:cnfStyle w:val="000000100000" w:firstRow="0" w:lastRow="0" w:firstColumn="0" w:lastColumn="0" w:oddVBand="0" w:evenVBand="0" w:oddHBand="1" w:evenHBand="0" w:firstRowFirstColumn="0" w:firstRowLastColumn="0" w:lastRowFirstColumn="0" w:lastRowLastColumn="0"/>
          <w:trHeight w:val="1557"/>
        </w:trPr>
        <w:tc>
          <w:tcPr>
            <w:cnfStyle w:val="001000000000" w:firstRow="0" w:lastRow="0" w:firstColumn="1" w:lastColumn="0" w:oddVBand="0" w:evenVBand="0" w:oddHBand="0" w:evenHBand="0" w:firstRowFirstColumn="0" w:firstRowLastColumn="0" w:lastRowFirstColumn="0" w:lastRowLastColumn="0"/>
            <w:tcW w:w="2401" w:type="dxa"/>
          </w:tcPr>
          <w:p w14:paraId="31E67275" w14:textId="7EF65DBF" w:rsidR="007A065D" w:rsidRDefault="004C008C"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Executive Leadership</w:t>
            </w:r>
          </w:p>
        </w:tc>
        <w:tc>
          <w:tcPr>
            <w:tcW w:w="2254" w:type="dxa"/>
          </w:tcPr>
          <w:p w14:paraId="70C1C8F8" w14:textId="1A734528" w:rsidR="007A065D" w:rsidRDefault="004C008C"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Strategic alignment, project milestones, risk mitigation.</w:t>
            </w:r>
          </w:p>
        </w:tc>
        <w:tc>
          <w:tcPr>
            <w:tcW w:w="2254" w:type="dxa"/>
          </w:tcPr>
          <w:p w14:paraId="5547C376" w14:textId="11F5118A" w:rsidR="007A065D" w:rsidRDefault="004C008C"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Monthly</w:t>
            </w:r>
          </w:p>
        </w:tc>
        <w:tc>
          <w:tcPr>
            <w:tcW w:w="2872" w:type="dxa"/>
          </w:tcPr>
          <w:p w14:paraId="3D2258F7" w14:textId="21D8D921" w:rsidR="007A065D" w:rsidRDefault="004C008C"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 xml:space="preserve">Formal </w:t>
            </w:r>
            <w:r w:rsidR="00D47985" w:rsidRPr="00BA1817">
              <w:rPr>
                <w:rFonts w:ascii="Arial" w:eastAsia="Times New Roman" w:hAnsi="Arial" w:cs="Arial"/>
                <w:kern w:val="0"/>
                <w:sz w:val="22"/>
                <w:szCs w:val="22"/>
                <w:lang w:eastAsia="en-GB"/>
                <w14:ligatures w14:val="none"/>
              </w:rPr>
              <w:t>board</w:t>
            </w:r>
            <w:r w:rsidR="00D47985">
              <w:rPr>
                <w:rFonts w:ascii="Arial" w:eastAsia="Times New Roman" w:hAnsi="Arial" w:cs="Arial"/>
                <w:kern w:val="0"/>
                <w:sz w:val="22"/>
                <w:szCs w:val="22"/>
                <w:lang w:eastAsia="en-GB"/>
                <w14:ligatures w14:val="none"/>
              </w:rPr>
              <w:t>,</w:t>
            </w:r>
            <w:r w:rsidR="00D47985" w:rsidRPr="00BA1817">
              <w:rPr>
                <w:rFonts w:ascii="Arial" w:eastAsia="Times New Roman" w:hAnsi="Arial" w:cs="Arial"/>
                <w:kern w:val="0"/>
                <w:sz w:val="22"/>
                <w:szCs w:val="22"/>
                <w:lang w:eastAsia="en-GB"/>
                <w14:ligatures w14:val="none"/>
              </w:rPr>
              <w:t xml:space="preserve"> updates</w:t>
            </w:r>
            <w:r w:rsidRPr="00BA1817">
              <w:rPr>
                <w:rFonts w:ascii="Arial" w:eastAsia="Times New Roman" w:hAnsi="Arial" w:cs="Arial"/>
                <w:kern w:val="0"/>
                <w:sz w:val="22"/>
                <w:szCs w:val="22"/>
                <w:lang w:eastAsia="en-GB"/>
                <w14:ligatures w14:val="none"/>
              </w:rPr>
              <w:t>, executive dashboards, quarterly business reviews.</w:t>
            </w:r>
          </w:p>
        </w:tc>
      </w:tr>
      <w:tr w:rsidR="007A065D" w14:paraId="41AEE305" w14:textId="77777777" w:rsidTr="006D7A58">
        <w:trPr>
          <w:trHeight w:val="1692"/>
        </w:trPr>
        <w:tc>
          <w:tcPr>
            <w:cnfStyle w:val="001000000000" w:firstRow="0" w:lastRow="0" w:firstColumn="1" w:lastColumn="0" w:oddVBand="0" w:evenVBand="0" w:oddHBand="0" w:evenHBand="0" w:firstRowFirstColumn="0" w:firstRowLastColumn="0" w:lastRowFirstColumn="0" w:lastRowLastColumn="0"/>
            <w:tcW w:w="2401" w:type="dxa"/>
          </w:tcPr>
          <w:p w14:paraId="62C418D3" w14:textId="51D0C2D9" w:rsidR="007A065D" w:rsidRDefault="004C008C"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Hotel Owners/ Franchisees</w:t>
            </w:r>
          </w:p>
        </w:tc>
        <w:tc>
          <w:tcPr>
            <w:tcW w:w="2254" w:type="dxa"/>
          </w:tcPr>
          <w:p w14:paraId="17F94FE4" w14:textId="683BF379" w:rsidR="007A065D" w:rsidRDefault="004C008C"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Business case, ROI projections, implementation support, brand enhancement (</w:t>
            </w:r>
            <w:proofErr w:type="spellStart"/>
            <w:r w:rsidRPr="00BA1817">
              <w:rPr>
                <w:rFonts w:ascii="Arial" w:eastAsia="Times New Roman" w:hAnsi="Arial" w:cs="Arial"/>
                <w:kern w:val="0"/>
                <w:sz w:val="22"/>
                <w:szCs w:val="22"/>
                <w:lang w:eastAsia="en-GB"/>
                <w14:ligatures w14:val="none"/>
              </w:rPr>
              <w:t>Guilding</w:t>
            </w:r>
            <w:proofErr w:type="spellEnd"/>
            <w:r w:rsidRPr="00BA1817">
              <w:rPr>
                <w:rFonts w:ascii="Arial" w:eastAsia="Times New Roman" w:hAnsi="Arial" w:cs="Arial"/>
                <w:kern w:val="0"/>
                <w:sz w:val="22"/>
                <w:szCs w:val="22"/>
                <w:lang w:eastAsia="en-GB"/>
                <w14:ligatures w14:val="none"/>
              </w:rPr>
              <w:t>, 2002).</w:t>
            </w:r>
          </w:p>
        </w:tc>
        <w:tc>
          <w:tcPr>
            <w:tcW w:w="2254" w:type="dxa"/>
          </w:tcPr>
          <w:p w14:paraId="527A8D42" w14:textId="343980BC" w:rsidR="007A065D" w:rsidRDefault="004C008C"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Weekly (during rollout)</w:t>
            </w:r>
          </w:p>
        </w:tc>
        <w:tc>
          <w:tcPr>
            <w:tcW w:w="2872" w:type="dxa"/>
          </w:tcPr>
          <w:p w14:paraId="4289F5FE" w14:textId="054BC422" w:rsidR="007A065D" w:rsidRDefault="004C008C"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One-to-one meetings, owner roadshows, detailed financial models, site visits.</w:t>
            </w:r>
          </w:p>
        </w:tc>
      </w:tr>
      <w:tr w:rsidR="007A065D" w14:paraId="2ECD31D8" w14:textId="77777777" w:rsidTr="006D7A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1" w:type="dxa"/>
          </w:tcPr>
          <w:p w14:paraId="6D48172C" w14:textId="574A7817" w:rsidR="007A065D" w:rsidRDefault="004C008C"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Hotel GMs &amp; Staff</w:t>
            </w:r>
          </w:p>
        </w:tc>
        <w:tc>
          <w:tcPr>
            <w:tcW w:w="2254" w:type="dxa"/>
          </w:tcPr>
          <w:p w14:paraId="01ADE375" w14:textId="4E8A5914" w:rsidR="007A065D" w:rsidRDefault="00D47985"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eastAsia="Times New Roman" w:hAnsi="Arial" w:cs="Arial"/>
                <w:kern w:val="0"/>
                <w:sz w:val="22"/>
                <w:szCs w:val="22"/>
                <w:lang w:eastAsia="en-GB"/>
                <w14:ligatures w14:val="none"/>
              </w:rPr>
              <w:t>T</w:t>
            </w:r>
            <w:r w:rsidR="004C008C" w:rsidRPr="00BA1817">
              <w:rPr>
                <w:rFonts w:ascii="Arial" w:eastAsia="Times New Roman" w:hAnsi="Arial" w:cs="Arial"/>
                <w:kern w:val="0"/>
                <w:sz w:val="22"/>
                <w:szCs w:val="22"/>
                <w:lang w:eastAsia="en-GB"/>
                <w14:ligatures w14:val="none"/>
              </w:rPr>
              <w:t>raining support, guest benefit, ease of use.</w:t>
            </w:r>
          </w:p>
        </w:tc>
        <w:tc>
          <w:tcPr>
            <w:tcW w:w="2254" w:type="dxa"/>
          </w:tcPr>
          <w:p w14:paraId="06FBA559" w14:textId="1F15218C" w:rsidR="007A065D" w:rsidRDefault="004C008C"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Weekly</w:t>
            </w:r>
          </w:p>
        </w:tc>
        <w:tc>
          <w:tcPr>
            <w:tcW w:w="2872" w:type="dxa"/>
          </w:tcPr>
          <w:p w14:paraId="7F02F064" w14:textId="7DAE8F70" w:rsidR="007A065D" w:rsidRDefault="00D47985"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Town halls, dedicated intranet site, feedback apps.</w:t>
            </w:r>
          </w:p>
        </w:tc>
      </w:tr>
      <w:tr w:rsidR="007A065D" w14:paraId="008A12D4" w14:textId="77777777" w:rsidTr="006D7A58">
        <w:tc>
          <w:tcPr>
            <w:cnfStyle w:val="001000000000" w:firstRow="0" w:lastRow="0" w:firstColumn="1" w:lastColumn="0" w:oddVBand="0" w:evenVBand="0" w:oddHBand="0" w:evenHBand="0" w:firstRowFirstColumn="0" w:firstRowLastColumn="0" w:lastRowFirstColumn="0" w:lastRowLastColumn="0"/>
            <w:tcW w:w="2401" w:type="dxa"/>
          </w:tcPr>
          <w:p w14:paraId="10FDEA09" w14:textId="350681A7" w:rsidR="007A065D" w:rsidRDefault="00D47985"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Guests</w:t>
            </w:r>
          </w:p>
        </w:tc>
        <w:tc>
          <w:tcPr>
            <w:tcW w:w="2254" w:type="dxa"/>
          </w:tcPr>
          <w:p w14:paraId="78082871" w14:textId="50834438"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Enhanced experience, personalisation, control, sustainability</w:t>
            </w:r>
          </w:p>
        </w:tc>
        <w:tc>
          <w:tcPr>
            <w:tcW w:w="2254" w:type="dxa"/>
          </w:tcPr>
          <w:p w14:paraId="6C047AB3" w14:textId="191A4E29"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Ongoing</w:t>
            </w:r>
          </w:p>
        </w:tc>
        <w:tc>
          <w:tcPr>
            <w:tcW w:w="2872" w:type="dxa"/>
          </w:tcPr>
          <w:p w14:paraId="02E4046A" w14:textId="5C39EAF0"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 xml:space="preserve">In-app notifications, email campaigns, in-room materials, social media engagement (Kotler, Bowen and </w:t>
            </w:r>
            <w:proofErr w:type="spellStart"/>
            <w:r w:rsidRPr="00BA1817">
              <w:rPr>
                <w:rFonts w:ascii="Arial" w:eastAsia="Times New Roman" w:hAnsi="Arial" w:cs="Arial"/>
                <w:kern w:val="0"/>
                <w:sz w:val="22"/>
                <w:szCs w:val="22"/>
                <w:lang w:eastAsia="en-GB"/>
                <w14:ligatures w14:val="none"/>
              </w:rPr>
              <w:t>Baloglu</w:t>
            </w:r>
            <w:proofErr w:type="spellEnd"/>
            <w:r w:rsidRPr="00BA1817">
              <w:rPr>
                <w:rFonts w:ascii="Arial" w:eastAsia="Times New Roman" w:hAnsi="Arial" w:cs="Arial"/>
                <w:kern w:val="0"/>
                <w:sz w:val="22"/>
                <w:szCs w:val="22"/>
                <w:lang w:eastAsia="en-GB"/>
                <w14:ligatures w14:val="none"/>
              </w:rPr>
              <w:t>, 2017).</w:t>
            </w:r>
          </w:p>
        </w:tc>
      </w:tr>
      <w:tr w:rsidR="007A065D" w14:paraId="7074065F" w14:textId="77777777" w:rsidTr="006D7A58">
        <w:trPr>
          <w:cnfStyle w:val="000000100000" w:firstRow="0" w:lastRow="0" w:firstColumn="0" w:lastColumn="0" w:oddVBand="0" w:evenVBand="0" w:oddHBand="1" w:evenHBand="0" w:firstRowFirstColumn="0" w:firstRowLastColumn="0" w:lastRowFirstColumn="0" w:lastRowLastColumn="0"/>
          <w:trHeight w:val="1489"/>
        </w:trPr>
        <w:tc>
          <w:tcPr>
            <w:cnfStyle w:val="001000000000" w:firstRow="0" w:lastRow="0" w:firstColumn="1" w:lastColumn="0" w:oddVBand="0" w:evenVBand="0" w:oddHBand="0" w:evenHBand="0" w:firstRowFirstColumn="0" w:firstRowLastColumn="0" w:lastRowFirstColumn="0" w:lastRowLastColumn="0"/>
            <w:tcW w:w="2401" w:type="dxa"/>
          </w:tcPr>
          <w:p w14:paraId="4C010AF6" w14:textId="701B5AB9" w:rsidR="007A065D" w:rsidRDefault="00D47985"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lastRenderedPageBreak/>
              <w:t>Regulatory Bodies</w:t>
            </w:r>
          </w:p>
        </w:tc>
        <w:tc>
          <w:tcPr>
            <w:tcW w:w="2254" w:type="dxa"/>
          </w:tcPr>
          <w:p w14:paraId="5F0E55D4" w14:textId="2ED31B53" w:rsidR="007A065D" w:rsidRDefault="00D47985"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Compliance, data security protocols, ethical AI use.</w:t>
            </w:r>
          </w:p>
        </w:tc>
        <w:tc>
          <w:tcPr>
            <w:tcW w:w="2254" w:type="dxa"/>
          </w:tcPr>
          <w:p w14:paraId="43FF8447" w14:textId="46495850" w:rsidR="007A065D" w:rsidRDefault="00D47985"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As required</w:t>
            </w:r>
          </w:p>
        </w:tc>
        <w:tc>
          <w:tcPr>
            <w:tcW w:w="2872" w:type="dxa"/>
          </w:tcPr>
          <w:p w14:paraId="3C825E9A" w14:textId="35BA42F9" w:rsidR="007A065D" w:rsidRDefault="00D47985" w:rsidP="007A06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Formal compliance reports, legal consultations, industry working groups (Voigt and Von deem Bussche, 2017).</w:t>
            </w:r>
          </w:p>
        </w:tc>
      </w:tr>
      <w:tr w:rsidR="007A065D" w14:paraId="16C36A0A" w14:textId="77777777" w:rsidTr="006D7A58">
        <w:trPr>
          <w:trHeight w:val="1329"/>
        </w:trPr>
        <w:tc>
          <w:tcPr>
            <w:cnfStyle w:val="001000000000" w:firstRow="0" w:lastRow="0" w:firstColumn="1" w:lastColumn="0" w:oddVBand="0" w:evenVBand="0" w:oddHBand="0" w:evenHBand="0" w:firstRowFirstColumn="0" w:firstRowLastColumn="0" w:lastRowFirstColumn="0" w:lastRowLastColumn="0"/>
            <w:tcW w:w="2401" w:type="dxa"/>
          </w:tcPr>
          <w:p w14:paraId="2E254ED8" w14:textId="7BF9F973" w:rsidR="007A065D" w:rsidRDefault="00D47985" w:rsidP="007A065D">
            <w:pPr>
              <w:spacing w:line="360" w:lineRule="auto"/>
              <w:rPr>
                <w:rFonts w:ascii="Arial" w:hAnsi="Arial" w:cs="Arial"/>
                <w:b w:val="0"/>
                <w:bCs w:val="0"/>
                <w:sz w:val="22"/>
                <w:szCs w:val="22"/>
              </w:rPr>
            </w:pPr>
            <w:r w:rsidRPr="00BA1817">
              <w:rPr>
                <w:rFonts w:ascii="Arial" w:eastAsia="Times New Roman" w:hAnsi="Arial" w:cs="Arial"/>
                <w:kern w:val="0"/>
                <w:sz w:val="22"/>
                <w:szCs w:val="22"/>
                <w:lang w:eastAsia="en-GB"/>
                <w14:ligatures w14:val="none"/>
              </w:rPr>
              <w:t>Suppliers/Partners</w:t>
            </w:r>
          </w:p>
        </w:tc>
        <w:tc>
          <w:tcPr>
            <w:tcW w:w="2254" w:type="dxa"/>
          </w:tcPr>
          <w:p w14:paraId="684E7056" w14:textId="4F599086"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Technical specifications, integration requirements, performance metrics.</w:t>
            </w:r>
          </w:p>
        </w:tc>
        <w:tc>
          <w:tcPr>
            <w:tcW w:w="2254" w:type="dxa"/>
          </w:tcPr>
          <w:p w14:paraId="2438721A" w14:textId="6F376005"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Weekly</w:t>
            </w:r>
          </w:p>
        </w:tc>
        <w:tc>
          <w:tcPr>
            <w:tcW w:w="2872" w:type="dxa"/>
          </w:tcPr>
          <w:p w14:paraId="247E27A3" w14:textId="758DE374" w:rsidR="007A065D" w:rsidRDefault="00D47985" w:rsidP="007A06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A1817">
              <w:rPr>
                <w:rFonts w:ascii="Arial" w:eastAsia="Times New Roman" w:hAnsi="Arial" w:cs="Arial"/>
                <w:kern w:val="0"/>
                <w:sz w:val="22"/>
                <w:szCs w:val="22"/>
                <w:lang w:eastAsia="en-GB"/>
                <w14:ligatures w14:val="none"/>
              </w:rPr>
              <w:t>Joint project meetings, shared development roadmaps, performance dashboards (Porter and Heppelmann, 2014).</w:t>
            </w:r>
          </w:p>
        </w:tc>
      </w:tr>
    </w:tbl>
    <w:p w14:paraId="350C8720" w14:textId="5D6AD133" w:rsidR="000336D2" w:rsidRPr="00797240" w:rsidRDefault="00DB4CB5" w:rsidP="000336D2">
      <w:pPr>
        <w:spacing w:before="480" w:after="240" w:line="360" w:lineRule="auto"/>
        <w:outlineLvl w:val="2"/>
        <w:rPr>
          <w:rFonts w:ascii="Arial" w:eastAsia="Times New Roman" w:hAnsi="Arial" w:cs="Arial"/>
          <w:b/>
          <w:bCs/>
          <w:color w:val="0F1115"/>
          <w:kern w:val="0"/>
          <w:sz w:val="32"/>
          <w:szCs w:val="32"/>
          <w:lang w:eastAsia="en-GB"/>
          <w14:ligatures w14:val="none"/>
        </w:rPr>
      </w:pPr>
      <w:bookmarkStart w:id="13" w:name="_Toc224997211"/>
      <w:r w:rsidRPr="005D5862">
        <w:rPr>
          <w:rStyle w:val="Heading1Char"/>
        </w:rPr>
        <w:t>T</w:t>
      </w:r>
      <w:r w:rsidR="000336D2" w:rsidRPr="005D5862">
        <w:rPr>
          <w:rStyle w:val="Heading1Char"/>
        </w:rPr>
        <w:t>he Process of Engagement and Conflict Management</w:t>
      </w:r>
      <w:r w:rsidR="000336D2" w:rsidRPr="00797240">
        <w:rPr>
          <w:rFonts w:ascii="Arial" w:eastAsia="Times New Roman" w:hAnsi="Arial" w:cs="Arial"/>
          <w:b/>
          <w:bCs/>
          <w:color w:val="0F1115"/>
          <w:kern w:val="0"/>
          <w:sz w:val="32"/>
          <w:szCs w:val="32"/>
          <w:lang w:eastAsia="en-GB"/>
          <w14:ligatures w14:val="none"/>
        </w:rPr>
        <w:t>: Applying the 4C's Model</w:t>
      </w:r>
      <w:bookmarkEnd w:id="13"/>
    </w:p>
    <w:p w14:paraId="3CA8A8AC"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The successful execution of the plans above relies on a dynamic process of engagement. The </w:t>
      </w:r>
      <w:r w:rsidRPr="00BA1817">
        <w:rPr>
          <w:rFonts w:ascii="Arial" w:eastAsia="Times New Roman" w:hAnsi="Arial" w:cs="Arial"/>
          <w:b/>
          <w:bCs/>
          <w:color w:val="0F1115"/>
          <w:kern w:val="0"/>
          <w:sz w:val="22"/>
          <w:szCs w:val="22"/>
          <w:lang w:eastAsia="en-GB"/>
          <w14:ligatures w14:val="none"/>
        </w:rPr>
        <w:t>4C's model—Communication, Collaboration, Consultation, and Commitment</w:t>
      </w:r>
      <w:r w:rsidRPr="00BA1817">
        <w:rPr>
          <w:rFonts w:ascii="Arial" w:eastAsia="Times New Roman" w:hAnsi="Arial" w:cs="Arial"/>
          <w:color w:val="0F1115"/>
          <w:kern w:val="0"/>
          <w:sz w:val="22"/>
          <w:szCs w:val="22"/>
          <w:lang w:eastAsia="en-GB"/>
          <w14:ligatures w14:val="none"/>
        </w:rPr>
        <w:t>—provides an excellent framework for a project manager to navigate this complex social landscape and pre-emptively manage conflict (Z/Yen Group, 2003; Christopher, Payne and Ballantyne, 2013).</w:t>
      </w:r>
    </w:p>
    <w:p w14:paraId="2D5BA45B"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7D19AF">
        <w:rPr>
          <w:rFonts w:ascii="Arial" w:eastAsia="Times New Roman" w:hAnsi="Arial" w:cs="Arial"/>
          <w:b/>
          <w:bCs/>
          <w:color w:val="0F1115"/>
          <w:kern w:val="0"/>
          <w:lang w:eastAsia="en-GB"/>
          <w14:ligatures w14:val="none"/>
        </w:rPr>
        <w:t>1. Communication (The Foundation)</w:t>
      </w:r>
      <w:r w:rsidRPr="007D19AF">
        <w:rPr>
          <w:rFonts w:ascii="Arial" w:eastAsia="Times New Roman" w:hAnsi="Arial" w:cs="Arial"/>
          <w:color w:val="0F1115"/>
          <w:kern w:val="0"/>
          <w:lang w:eastAsia="en-GB"/>
          <w14:ligatures w14:val="none"/>
        </w:rPr>
        <w:br/>
      </w:r>
      <w:r w:rsidRPr="00BA1817">
        <w:rPr>
          <w:rFonts w:ascii="Arial" w:eastAsia="Times New Roman" w:hAnsi="Arial" w:cs="Arial"/>
          <w:color w:val="0F1115"/>
          <w:kern w:val="0"/>
          <w:sz w:val="22"/>
          <w:szCs w:val="22"/>
          <w:lang w:eastAsia="en-GB"/>
          <w14:ligatures w14:val="none"/>
        </w:rPr>
        <w:t xml:space="preserve">The process begins with transparent, timely, and two-way communication. As the Project Manager, my role is to establish a "rhythm" of communication that is culturally sensitive (Hofstede, 2001). For instance, communication with hotel staff in Singapore may need to be more formal and hierarchical than with staff in the UK. The goal is not just to inform, but to create a shared narrative around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I will establish a central project portal with translated materials and host regular "Ask Me Anything" sessions with different regional teams. This proactive communication directly addresses the uncertainty that fuels resistance, a key source of potential conflict (Ford and Ford, 1995).</w:t>
      </w:r>
    </w:p>
    <w:p w14:paraId="2FBCF0AE"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7D19AF">
        <w:rPr>
          <w:rFonts w:ascii="Arial" w:eastAsia="Times New Roman" w:hAnsi="Arial" w:cs="Arial"/>
          <w:b/>
          <w:bCs/>
          <w:color w:val="0F1115"/>
          <w:kern w:val="0"/>
          <w:lang w:eastAsia="en-GB"/>
          <w14:ligatures w14:val="none"/>
        </w:rPr>
        <w:t>2. Consultation (Seeking Input)</w:t>
      </w:r>
      <w:r w:rsidRPr="00BA1817">
        <w:rPr>
          <w:rFonts w:ascii="Arial" w:eastAsia="Times New Roman" w:hAnsi="Arial" w:cs="Arial"/>
          <w:color w:val="0F1115"/>
          <w:kern w:val="0"/>
          <w:sz w:val="22"/>
          <w:szCs w:val="22"/>
          <w:lang w:eastAsia="en-GB"/>
          <w14:ligatures w14:val="none"/>
        </w:rPr>
        <w:br/>
        <w:t>Communication alone is insufficient; genuine consultation is vital. This involves actively seeking stakeholder input </w:t>
      </w:r>
      <w:r w:rsidRPr="00BA1817">
        <w:rPr>
          <w:rFonts w:ascii="Arial" w:eastAsia="Times New Roman" w:hAnsi="Arial" w:cs="Arial"/>
          <w:i/>
          <w:iCs/>
          <w:color w:val="0F1115"/>
          <w:kern w:val="0"/>
          <w:sz w:val="22"/>
          <w:szCs w:val="22"/>
          <w:lang w:eastAsia="en-GB"/>
          <w14:ligatures w14:val="none"/>
        </w:rPr>
        <w:t>before</w:t>
      </w:r>
      <w:r w:rsidRPr="00BA1817">
        <w:rPr>
          <w:rFonts w:ascii="Arial" w:eastAsia="Times New Roman" w:hAnsi="Arial" w:cs="Arial"/>
          <w:color w:val="0F1115"/>
          <w:kern w:val="0"/>
          <w:sz w:val="22"/>
          <w:szCs w:val="22"/>
          <w:lang w:eastAsia="en-GB"/>
          <w14:ligatures w14:val="none"/>
        </w:rPr>
        <w:t xml:space="preserve"> decisions are made (Arnstein, 1969). For example, before finalising the guest app interface, we will conduct focus groups with frequent guests from our key markets. Similarly, we will consult with Hotel GMs on the operational workflow to ensure </w:t>
      </w:r>
      <w:r w:rsidRPr="00BA1817">
        <w:rPr>
          <w:rFonts w:ascii="Arial" w:eastAsia="Times New Roman" w:hAnsi="Arial" w:cs="Arial"/>
          <w:color w:val="0F1115"/>
          <w:kern w:val="0"/>
          <w:sz w:val="22"/>
          <w:szCs w:val="22"/>
          <w:lang w:eastAsia="en-GB"/>
          <w14:ligatures w14:val="none"/>
        </w:rPr>
        <w:lastRenderedPageBreak/>
        <w:t>the new technology simplifies, rather than complicates, their day-to-day tasks. This process of gathering "contributions," as highlighted by the Z/Yen group (2003), ensures that the final product is better informed and that stakeholders feel heard, significantly reducing later resistance. This directly applies the principle of involving those who will be affected by the project.</w:t>
      </w:r>
    </w:p>
    <w:p w14:paraId="7E6A10D5"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7D19AF">
        <w:rPr>
          <w:rFonts w:ascii="Arial" w:eastAsia="Times New Roman" w:hAnsi="Arial" w:cs="Arial"/>
          <w:b/>
          <w:bCs/>
          <w:color w:val="0F1115"/>
          <w:kern w:val="0"/>
          <w:lang w:eastAsia="en-GB"/>
          <w14:ligatures w14:val="none"/>
        </w:rPr>
        <w:t>3. Collaboration (Working Together)</w:t>
      </w:r>
      <w:r w:rsidRPr="007D19AF">
        <w:rPr>
          <w:rFonts w:ascii="Arial" w:eastAsia="Times New Roman" w:hAnsi="Arial" w:cs="Arial"/>
          <w:color w:val="0F1115"/>
          <w:kern w:val="0"/>
          <w:lang w:eastAsia="en-GB"/>
          <w14:ligatures w14:val="none"/>
        </w:rPr>
        <w:br/>
      </w:r>
      <w:r w:rsidRPr="00BA1817">
        <w:rPr>
          <w:rFonts w:ascii="Arial" w:eastAsia="Times New Roman" w:hAnsi="Arial" w:cs="Arial"/>
          <w:color w:val="0F1115"/>
          <w:kern w:val="0"/>
          <w:sz w:val="22"/>
          <w:szCs w:val="22"/>
          <w:lang w:eastAsia="en-GB"/>
          <w14:ligatures w14:val="none"/>
        </w:rPr>
        <w:t>Collaboration moves beyond input to co-creation (Prahalad and Ramaswamy, 2004). A major potential conflict point is with Hotel Owners, who may resist the capital expenditure. To manage this, I will establish a joint Owner-Operator advisory panel for the project. Instead of presenting them with a </w:t>
      </w:r>
      <w:r w:rsidRPr="00BA1817">
        <w:rPr>
          <w:rFonts w:ascii="Arial" w:eastAsia="Times New Roman" w:hAnsi="Arial" w:cs="Arial"/>
          <w:i/>
          <w:iCs/>
          <w:color w:val="0F1115"/>
          <w:kern w:val="0"/>
          <w:sz w:val="22"/>
          <w:szCs w:val="22"/>
          <w:lang w:eastAsia="en-GB"/>
          <w14:ligatures w14:val="none"/>
        </w:rPr>
        <w:t>fait accompli</w:t>
      </w:r>
      <w:r w:rsidRPr="00BA1817">
        <w:rPr>
          <w:rFonts w:ascii="Arial" w:eastAsia="Times New Roman" w:hAnsi="Arial" w:cs="Arial"/>
          <w:color w:val="0F1115"/>
          <w:kern w:val="0"/>
          <w:sz w:val="22"/>
          <w:szCs w:val="22"/>
          <w:lang w:eastAsia="en-GB"/>
          <w14:ligatures w14:val="none"/>
        </w:rPr>
        <w:t>, we will collaborate on the implementation playbook for their specific properties, discussing phasing, local marketing support, and customisation options. This transforms a potential adversarial relationship into a partnership, building trust and shared ownership (Ashcroft, 2017). This collaborative approach is crucial for navigating the diverse interests of stakeholders like owners, employees, and local communities (Clarkson, 1995).</w:t>
      </w:r>
    </w:p>
    <w:p w14:paraId="4614C279" w14:textId="3ADA4576"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7D19AF">
        <w:rPr>
          <w:rFonts w:ascii="Arial" w:eastAsia="Times New Roman" w:hAnsi="Arial" w:cs="Arial"/>
          <w:b/>
          <w:bCs/>
          <w:color w:val="0F1115"/>
          <w:kern w:val="0"/>
          <w:lang w:eastAsia="en-GB"/>
          <w14:ligatures w14:val="none"/>
        </w:rPr>
        <w:t>4. Commitment (Securing Buy-in)</w:t>
      </w:r>
      <w:r w:rsidRPr="00BA1817">
        <w:rPr>
          <w:rFonts w:ascii="Arial" w:eastAsia="Times New Roman" w:hAnsi="Arial" w:cs="Arial"/>
          <w:color w:val="0F1115"/>
          <w:kern w:val="0"/>
          <w:sz w:val="22"/>
          <w:szCs w:val="22"/>
          <w:lang w:eastAsia="en-GB"/>
          <w14:ligatures w14:val="none"/>
        </w:rPr>
        <w:br/>
        <w:t xml:space="preserve">The goal is to secure stakeholder commitment. This is a natural outcome of effective communication, consultation, and collaboration (Christopher, Payne and Ballantyne, 2013). When stakeholders see their input reflected in the final plan and understand how their interests are served, they move from compliance to genuine commitment. For example, a franchisee who collaborated on the rollout plan is far more likely to actively promote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to their guests than one who was simply told to install it. As the Project Manager, I will track commitment through participation in training, feedback quality, and early adoption metrics. Where commitment is lacking, it signals a failure in one of the earlier three C's, requiring a return to deeper consultation or clearer communication.</w:t>
      </w:r>
    </w:p>
    <w:p w14:paraId="2914C3AD" w14:textId="4F7437AE" w:rsidR="000336D2" w:rsidRPr="00E035FA" w:rsidRDefault="000336D2" w:rsidP="00E035FA">
      <w:pPr>
        <w:spacing w:before="240" w:after="240" w:line="360" w:lineRule="auto"/>
        <w:rPr>
          <w:rFonts w:ascii="Arial" w:eastAsia="Times New Roman" w:hAnsi="Arial" w:cs="Arial"/>
          <w:color w:val="0F1115"/>
          <w:kern w:val="0"/>
          <w:sz w:val="22"/>
          <w:szCs w:val="22"/>
          <w:lang w:eastAsia="en-GB"/>
          <w14:ligatures w14:val="none"/>
        </w:rPr>
      </w:pPr>
      <w:r w:rsidRPr="00797240">
        <w:rPr>
          <w:rFonts w:ascii="Arial" w:eastAsia="Times New Roman" w:hAnsi="Arial" w:cs="Arial"/>
          <w:b/>
          <w:bCs/>
          <w:color w:val="0F1115"/>
          <w:kern w:val="0"/>
          <w:sz w:val="32"/>
          <w:szCs w:val="32"/>
          <w:lang w:eastAsia="en-GB"/>
          <w14:ligatures w14:val="none"/>
        </w:rPr>
        <w:t>Managing Conflict</w:t>
      </w:r>
      <w:r w:rsidRPr="00BA1817">
        <w:rPr>
          <w:rFonts w:ascii="Arial" w:eastAsia="Times New Roman" w:hAnsi="Arial" w:cs="Arial"/>
          <w:color w:val="0F1115"/>
          <w:kern w:val="0"/>
          <w:sz w:val="22"/>
          <w:szCs w:val="22"/>
          <w:lang w:eastAsia="en-GB"/>
          <w14:ligatures w14:val="none"/>
        </w:rPr>
        <w:br/>
        <w:t xml:space="preserve">By embedding the 4C's, conflict becomes an opportunity for improvement rather than a project derailer (Tjosvold, 2008). For instance, if the IT team (responsible for development) and Operations (responsible for delivery) clash over a feature's feasibility, I will facilitate a collaborative workshop. Using a structured, consultative approach, we can explore the underlying needs (e.g., Ops needs simplicity, IT needs data integrity) and co-create a solution, such as a simplified user interface for staff that still captures the necessary back-end data. This transparent process, guided by the principles of communication and </w:t>
      </w:r>
      <w:r w:rsidRPr="00BA1817">
        <w:rPr>
          <w:rFonts w:ascii="Arial" w:eastAsia="Times New Roman" w:hAnsi="Arial" w:cs="Arial"/>
          <w:color w:val="0F1115"/>
          <w:kern w:val="0"/>
          <w:sz w:val="22"/>
          <w:szCs w:val="22"/>
          <w:lang w:eastAsia="en-GB"/>
          <w14:ligatures w14:val="none"/>
        </w:rPr>
        <w:lastRenderedPageBreak/>
        <w:t>consensus-building, transforms a positional conflict into a collaborative problem-solving session (Fisher and Ury, 1981).</w:t>
      </w:r>
    </w:p>
    <w:p w14:paraId="1CA38A0F"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bookmarkStart w:id="14" w:name="_Toc224997212"/>
      <w:r w:rsidRPr="005D5862">
        <w:rPr>
          <w:rStyle w:val="Heading1Char"/>
        </w:rPr>
        <w:t>Evaluating the Impact of Stakeholder Engagement on Business Performance</w:t>
      </w:r>
      <w:bookmarkEnd w:id="14"/>
      <w:r w:rsidRPr="005D5862">
        <w:rPr>
          <w:rStyle w:val="Heading1Char"/>
        </w:rPr>
        <w:br/>
      </w:r>
      <w:r w:rsidRPr="00BA1817">
        <w:rPr>
          <w:rFonts w:ascii="Arial" w:eastAsia="Times New Roman" w:hAnsi="Arial" w:cs="Arial"/>
          <w:color w:val="0F1115"/>
          <w:kern w:val="0"/>
          <w:sz w:val="22"/>
          <w:szCs w:val="22"/>
          <w:lang w:eastAsia="en-GB"/>
          <w14:ligatures w14:val="none"/>
        </w:rPr>
        <w:t xml:space="preserve">Effective stakeholder engagement is not an abstract ideal but a measurable driver of business performance for the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launch (Freeman et al., 2010). Its impact can be evaluated across several key performance indicators (KPIs):</w:t>
      </w:r>
    </w:p>
    <w:p w14:paraId="48F41C7E" w14:textId="370E6A8D" w:rsidR="000336D2" w:rsidRPr="00BA1817" w:rsidRDefault="000336D2" w:rsidP="000336D2">
      <w:pPr>
        <w:numPr>
          <w:ilvl w:val="0"/>
          <w:numId w:val="5"/>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 xml:space="preserve">Faster Adoption </w:t>
      </w:r>
      <w:r w:rsidR="004E1A80">
        <w:rPr>
          <w:rFonts w:ascii="Arial" w:eastAsia="Times New Roman" w:hAnsi="Arial" w:cs="Arial"/>
          <w:b/>
          <w:bCs/>
          <w:color w:val="0F1115"/>
          <w:kern w:val="0"/>
          <w:sz w:val="22"/>
          <w:szCs w:val="22"/>
          <w:lang w:eastAsia="en-GB"/>
          <w14:ligatures w14:val="none"/>
        </w:rPr>
        <w:t>and</w:t>
      </w:r>
      <w:r w:rsidRPr="00BA1817">
        <w:rPr>
          <w:rFonts w:ascii="Arial" w:eastAsia="Times New Roman" w:hAnsi="Arial" w:cs="Arial"/>
          <w:b/>
          <w:bCs/>
          <w:color w:val="0F1115"/>
          <w:kern w:val="0"/>
          <w:sz w:val="22"/>
          <w:szCs w:val="22"/>
          <w:lang w:eastAsia="en-GB"/>
          <w14:ligatures w14:val="none"/>
        </w:rPr>
        <w:t xml:space="preserve"> Higher ROI:</w:t>
      </w:r>
      <w:r w:rsidRPr="00BA1817">
        <w:rPr>
          <w:rFonts w:ascii="Arial" w:eastAsia="Times New Roman" w:hAnsi="Arial" w:cs="Arial"/>
          <w:color w:val="0F1115"/>
          <w:kern w:val="0"/>
          <w:sz w:val="22"/>
          <w:szCs w:val="22"/>
          <w:lang w:eastAsia="en-GB"/>
          <w14:ligatures w14:val="none"/>
        </w:rPr>
        <w:t> By securing commitment from Hotel Owners (through consultation) and staff (through training), we reduce resistance and accelerate the rollout timeline. A shorter time-to-value directly improves the project's ROI (</w:t>
      </w:r>
      <w:proofErr w:type="spellStart"/>
      <w:r w:rsidRPr="00BA1817">
        <w:rPr>
          <w:rFonts w:ascii="Arial" w:eastAsia="Times New Roman" w:hAnsi="Arial" w:cs="Arial"/>
          <w:color w:val="0F1115"/>
          <w:kern w:val="0"/>
          <w:sz w:val="22"/>
          <w:szCs w:val="22"/>
          <w:lang w:eastAsia="en-GB"/>
          <w14:ligatures w14:val="none"/>
        </w:rPr>
        <w:t>Guilding</w:t>
      </w:r>
      <w:proofErr w:type="spellEnd"/>
      <w:r w:rsidRPr="00BA1817">
        <w:rPr>
          <w:rFonts w:ascii="Arial" w:eastAsia="Times New Roman" w:hAnsi="Arial" w:cs="Arial"/>
          <w:color w:val="0F1115"/>
          <w:kern w:val="0"/>
          <w:sz w:val="22"/>
          <w:szCs w:val="22"/>
          <w:lang w:eastAsia="en-GB"/>
          <w14:ligatures w14:val="none"/>
        </w:rPr>
        <w:t>, 2002). Engaged franchisees are more likely to invest in local marketing, driving higher guest uptake and revenue.</w:t>
      </w:r>
    </w:p>
    <w:p w14:paraId="57F5ECB5" w14:textId="77777777" w:rsidR="000336D2" w:rsidRPr="00BA1817" w:rsidRDefault="000336D2" w:rsidP="000336D2">
      <w:pPr>
        <w:numPr>
          <w:ilvl w:val="0"/>
          <w:numId w:val="5"/>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Enhanced Product Quality &amp; Innovation:</w:t>
      </w:r>
      <w:r w:rsidRPr="00BA1817">
        <w:rPr>
          <w:rFonts w:ascii="Arial" w:eastAsia="Times New Roman" w:hAnsi="Arial" w:cs="Arial"/>
          <w:color w:val="0F1115"/>
          <w:kern w:val="0"/>
          <w:sz w:val="22"/>
          <w:szCs w:val="22"/>
          <w:lang w:eastAsia="en-GB"/>
          <w14:ligatures w14:val="none"/>
        </w:rPr>
        <w:t> Consultation with guests and frontline staff during the pilot phase generates invaluable feedback, allowing us to fix bugs and refine features before a wider rollout. This results in a superior final product, increasing guest satisfaction scores (a core SMART objective) and positive word-of-mouth (Bitner, Booms and Tetreault, 1990).</w:t>
      </w:r>
    </w:p>
    <w:p w14:paraId="1086BAEB" w14:textId="1D615DE7" w:rsidR="000336D2" w:rsidRPr="00BA1817" w:rsidRDefault="000336D2" w:rsidP="000336D2">
      <w:pPr>
        <w:numPr>
          <w:ilvl w:val="0"/>
          <w:numId w:val="5"/>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Risk Mitigation:</w:t>
      </w:r>
      <w:r w:rsidRPr="00BA1817">
        <w:rPr>
          <w:rFonts w:ascii="Arial" w:eastAsia="Times New Roman" w:hAnsi="Arial" w:cs="Arial"/>
          <w:color w:val="0F1115"/>
          <w:kern w:val="0"/>
          <w:sz w:val="22"/>
          <w:szCs w:val="22"/>
          <w:lang w:eastAsia="en-GB"/>
          <w14:ligatures w14:val="none"/>
        </w:rPr>
        <w:t xml:space="preserve"> Proactive engagement with the Legal &amp; Compliance team and Regulatory bodies ensures we navigate the complex web of international data privacy laws effectively, avoiding costly fines and reputational damage (Voigt and Von </w:t>
      </w:r>
      <w:r w:rsidR="00E035FA" w:rsidRPr="00BA1817">
        <w:rPr>
          <w:rFonts w:ascii="Arial" w:eastAsia="Times New Roman" w:hAnsi="Arial" w:cs="Arial"/>
          <w:color w:val="0F1115"/>
          <w:kern w:val="0"/>
          <w:sz w:val="22"/>
          <w:szCs w:val="22"/>
          <w:lang w:eastAsia="en-GB"/>
          <w14:ligatures w14:val="none"/>
        </w:rPr>
        <w:t>deem</w:t>
      </w:r>
      <w:r w:rsidRPr="00BA1817">
        <w:rPr>
          <w:rFonts w:ascii="Arial" w:eastAsia="Times New Roman" w:hAnsi="Arial" w:cs="Arial"/>
          <w:color w:val="0F1115"/>
          <w:kern w:val="0"/>
          <w:sz w:val="22"/>
          <w:szCs w:val="22"/>
          <w:lang w:eastAsia="en-GB"/>
          <w14:ligatures w14:val="none"/>
        </w:rPr>
        <w:t xml:space="preserve"> Bussche, 2017). Engaging with local communities on our sustainability initiatives builds a social license to operate and prevents potential backlash (Elkington, 1997).</w:t>
      </w:r>
    </w:p>
    <w:p w14:paraId="1BBD70B6" w14:textId="540B178D" w:rsidR="000336D2" w:rsidRPr="00BA1817" w:rsidRDefault="000336D2" w:rsidP="000336D2">
      <w:pPr>
        <w:numPr>
          <w:ilvl w:val="0"/>
          <w:numId w:val="5"/>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Strengthened Brand Reputation:</w:t>
      </w:r>
      <w:r w:rsidRPr="00BA1817">
        <w:rPr>
          <w:rFonts w:ascii="Arial" w:eastAsia="Times New Roman" w:hAnsi="Arial" w:cs="Arial"/>
          <w:color w:val="0F1115"/>
          <w:kern w:val="0"/>
          <w:sz w:val="22"/>
          <w:szCs w:val="22"/>
          <w:lang w:eastAsia="en-GB"/>
          <w14:ligatures w14:val="none"/>
        </w:rPr>
        <w:t xml:space="preserve"> A successful, </w:t>
      </w:r>
      <w:r w:rsidR="00E035FA" w:rsidRPr="00BA1817">
        <w:rPr>
          <w:rFonts w:ascii="Arial" w:eastAsia="Times New Roman" w:hAnsi="Arial" w:cs="Arial"/>
          <w:color w:val="0F1115"/>
          <w:kern w:val="0"/>
          <w:sz w:val="22"/>
          <w:szCs w:val="22"/>
          <w:lang w:eastAsia="en-GB"/>
          <w14:ligatures w14:val="none"/>
        </w:rPr>
        <w:t>collaboratively developed</w:t>
      </w:r>
      <w:r w:rsidRPr="00BA1817">
        <w:rPr>
          <w:rFonts w:ascii="Arial" w:eastAsia="Times New Roman" w:hAnsi="Arial" w:cs="Arial"/>
          <w:color w:val="0F1115"/>
          <w:kern w:val="0"/>
          <w:sz w:val="22"/>
          <w:szCs w:val="22"/>
          <w:lang w:eastAsia="en-GB"/>
          <w14:ligatures w14:val="none"/>
        </w:rPr>
        <w:t xml:space="preserve"> launch enhances AHI's reputation among all stakeholders. Guests see an innovative brand that listens, employees see an employer that values their input, and owners see a partner that is invested in mutual success (Keller, 2013). This creates a virtuous cycle of trust and loyalty (Ashcroft, 2017).</w:t>
      </w:r>
    </w:p>
    <w:p w14:paraId="7CCB92C3" w14:textId="43351A62" w:rsidR="009E6014" w:rsidRPr="005D5862" w:rsidRDefault="000336D2" w:rsidP="005D5862">
      <w:pPr>
        <w:numPr>
          <w:ilvl w:val="0"/>
          <w:numId w:val="5"/>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Reduced Internal Friction:</w:t>
      </w:r>
      <w:r w:rsidRPr="00BA1817">
        <w:rPr>
          <w:rFonts w:ascii="Arial" w:eastAsia="Times New Roman" w:hAnsi="Arial" w:cs="Arial"/>
          <w:color w:val="0F1115"/>
          <w:kern w:val="0"/>
          <w:sz w:val="22"/>
          <w:szCs w:val="22"/>
          <w:lang w:eastAsia="en-GB"/>
          <w14:ligatures w14:val="none"/>
        </w:rPr>
        <w:t> The use of frameworks like RACI and processes like the 4C's minimises internal silos and conflict (Gulati, 2007). When roles are clear and communication is open, cross-functional teams (e.g., IT and Marketing) work more efficiently, reducing delays and wasted effort.</w:t>
      </w:r>
    </w:p>
    <w:p w14:paraId="1D1FC5F8" w14:textId="2E1F2B44" w:rsidR="000336D2" w:rsidRPr="009E6014" w:rsidRDefault="000336D2" w:rsidP="005D5862">
      <w:pPr>
        <w:pStyle w:val="Heading1"/>
        <w:rPr>
          <w:rFonts w:eastAsia="Times New Roman"/>
          <w:lang w:eastAsia="en-GB"/>
        </w:rPr>
      </w:pPr>
      <w:bookmarkStart w:id="15" w:name="_Toc224997213"/>
      <w:r w:rsidRPr="009E6014">
        <w:rPr>
          <w:rFonts w:eastAsia="Times New Roman"/>
          <w:lang w:eastAsia="en-GB"/>
        </w:rPr>
        <w:lastRenderedPageBreak/>
        <w:t>Recommendations for Future Stakeholder Engagement</w:t>
      </w:r>
      <w:bookmarkEnd w:id="15"/>
    </w:p>
    <w:p w14:paraId="66FA72FD"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To build on the success of the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launch and embed stakeholder centricity into AHI's DNA, the following recommendations are made:</w:t>
      </w:r>
    </w:p>
    <w:p w14:paraId="311A4115" w14:textId="77777777" w:rsidR="000336D2" w:rsidRPr="00BA1817" w:rsidRDefault="000336D2" w:rsidP="000336D2">
      <w:pPr>
        <w:numPr>
          <w:ilvl w:val="0"/>
          <w:numId w:val="6"/>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Establish a Permanent Stakeholder Advisory Council:</w:t>
      </w:r>
      <w:r w:rsidRPr="00BA1817">
        <w:rPr>
          <w:rFonts w:ascii="Arial" w:eastAsia="Times New Roman" w:hAnsi="Arial" w:cs="Arial"/>
          <w:color w:val="0F1115"/>
          <w:kern w:val="0"/>
          <w:sz w:val="22"/>
          <w:szCs w:val="22"/>
          <w:lang w:eastAsia="en-GB"/>
          <w14:ligatures w14:val="none"/>
        </w:rPr>
        <w:t> Formalise the ad-hoc panels created for this project into a permanent body with rotating membership from key stakeholder groups (owners, GMs, guests). This ensures continuous dialogue and co-creation on future strategic initiatives, moving beyond project-based engagement to relational engagement (Ashcroft, 2017).</w:t>
      </w:r>
    </w:p>
    <w:p w14:paraId="573F8F0E" w14:textId="77777777" w:rsidR="000336D2" w:rsidRPr="00BA1817" w:rsidRDefault="000336D2" w:rsidP="000336D2">
      <w:pPr>
        <w:numPr>
          <w:ilvl w:val="0"/>
          <w:numId w:val="6"/>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Develop a Cultural Intelligence (CQ) Module for Project Management:</w:t>
      </w:r>
      <w:r w:rsidRPr="00BA1817">
        <w:rPr>
          <w:rFonts w:ascii="Arial" w:eastAsia="Times New Roman" w:hAnsi="Arial" w:cs="Arial"/>
          <w:color w:val="0F1115"/>
          <w:kern w:val="0"/>
          <w:sz w:val="22"/>
          <w:szCs w:val="22"/>
          <w:lang w:eastAsia="en-GB"/>
          <w14:ligatures w14:val="none"/>
        </w:rPr>
        <w:t> To better navigate international markets, all project managers should receive training in Cultural Intelligence. This would enhance their ability to adapt communication and consultation styles to local norms, preventing misunderstandings and building stronger trust with regional stakeholders (Hofstede, 2001).</w:t>
      </w:r>
    </w:p>
    <w:p w14:paraId="3C5FF06A" w14:textId="77777777" w:rsidR="000336D2" w:rsidRPr="00BA1817" w:rsidRDefault="000336D2" w:rsidP="000336D2">
      <w:pPr>
        <w:numPr>
          <w:ilvl w:val="0"/>
          <w:numId w:val="6"/>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Implement a "Voice of Stakeholder" Digital Platform:</w:t>
      </w:r>
      <w:r w:rsidRPr="00BA1817">
        <w:rPr>
          <w:rFonts w:ascii="Arial" w:eastAsia="Times New Roman" w:hAnsi="Arial" w:cs="Arial"/>
          <w:color w:val="0F1115"/>
          <w:kern w:val="0"/>
          <w:sz w:val="22"/>
          <w:szCs w:val="22"/>
          <w:lang w:eastAsia="en-GB"/>
          <w14:ligatures w14:val="none"/>
        </w:rPr>
        <w:t> Create a dedicated digital hub (beyond email) where stakeholders can continuously provide feedback, submit ideas, and track how their input is being acted upon. This fosters transparency and shows that engagement is an ongoing process, not a one-off event (Christopher, Payne and Ballantyne, 2013). This aligns with the "shared learning mechanisms" advocated in the 4C's model.</w:t>
      </w:r>
    </w:p>
    <w:p w14:paraId="4796F4AA" w14:textId="77777777" w:rsidR="000336D2" w:rsidRPr="00BA1817" w:rsidRDefault="000336D2" w:rsidP="000336D2">
      <w:pPr>
        <w:numPr>
          <w:ilvl w:val="0"/>
          <w:numId w:val="6"/>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Link Stakeholder Engagement Metrics to Executive Compensation:</w:t>
      </w:r>
      <w:r w:rsidRPr="00BA1817">
        <w:rPr>
          <w:rFonts w:ascii="Arial" w:eastAsia="Times New Roman" w:hAnsi="Arial" w:cs="Arial"/>
          <w:color w:val="0F1115"/>
          <w:kern w:val="0"/>
          <w:sz w:val="22"/>
          <w:szCs w:val="22"/>
          <w:lang w:eastAsia="en-GB"/>
          <w14:ligatures w14:val="none"/>
        </w:rPr>
        <w:t> To truly embed stakeholder thinking at the highest level, a portion of executive bonuses should be tied to key stakeholder satisfaction metrics (e.g., employee Net Promoter Score, owner satisfaction, guest loyalty) (Jensen, 2001). This ensures that the rhetoric of stakeholder value is backed by tangible accountability.</w:t>
      </w:r>
    </w:p>
    <w:p w14:paraId="30BF7AA6" w14:textId="77777777" w:rsidR="00E035FA" w:rsidRDefault="000336D2" w:rsidP="00E035FA">
      <w:pPr>
        <w:numPr>
          <w:ilvl w:val="0"/>
          <w:numId w:val="6"/>
        </w:numPr>
        <w:spacing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b/>
          <w:bCs/>
          <w:color w:val="0F1115"/>
          <w:kern w:val="0"/>
          <w:sz w:val="22"/>
          <w:szCs w:val="22"/>
          <w:lang w:eastAsia="en-GB"/>
          <w14:ligatures w14:val="none"/>
        </w:rPr>
        <w:t>Conduct Post-Implementation Reviews (PIRs) with All Stakeholders:</w:t>
      </w:r>
      <w:r w:rsidRPr="00BA1817">
        <w:rPr>
          <w:rFonts w:ascii="Arial" w:eastAsia="Times New Roman" w:hAnsi="Arial" w:cs="Arial"/>
          <w:color w:val="0F1115"/>
          <w:kern w:val="0"/>
          <w:sz w:val="22"/>
          <w:szCs w:val="22"/>
          <w:lang w:eastAsia="en-GB"/>
          <w14:ligatures w14:val="none"/>
        </w:rPr>
        <w:t xml:space="preserve"> After the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launch, conduct formal PIRs not just internally, but with key external stakeholders like technology partners and a sample of hotel owners. This demonstrates a commitment to learning and continuous improvement, strengthening relationships for future collaborations (Johnson, Scholes and Whittington, 2008).</w:t>
      </w:r>
    </w:p>
    <w:p w14:paraId="48B6BDA0" w14:textId="77777777" w:rsidR="00E035FA" w:rsidRDefault="00E035FA" w:rsidP="00E035FA">
      <w:pPr>
        <w:spacing w:after="0" w:line="360" w:lineRule="auto"/>
        <w:rPr>
          <w:rFonts w:ascii="Arial" w:eastAsia="Times New Roman" w:hAnsi="Arial" w:cs="Arial"/>
          <w:color w:val="0F1115"/>
          <w:kern w:val="0"/>
          <w:sz w:val="22"/>
          <w:szCs w:val="22"/>
          <w:lang w:eastAsia="en-GB"/>
          <w14:ligatures w14:val="none"/>
        </w:rPr>
      </w:pPr>
    </w:p>
    <w:p w14:paraId="042607DB" w14:textId="77777777" w:rsidR="009E6014" w:rsidRDefault="009E6014" w:rsidP="00E035FA">
      <w:pPr>
        <w:spacing w:after="0" w:line="360" w:lineRule="auto"/>
        <w:rPr>
          <w:rFonts w:ascii="Arial" w:eastAsia="Times New Roman" w:hAnsi="Arial" w:cs="Arial"/>
          <w:b/>
          <w:bCs/>
          <w:color w:val="0F1115"/>
          <w:kern w:val="0"/>
          <w:sz w:val="22"/>
          <w:szCs w:val="22"/>
          <w:lang w:eastAsia="en-GB"/>
          <w14:ligatures w14:val="none"/>
        </w:rPr>
      </w:pPr>
    </w:p>
    <w:p w14:paraId="49BDE20E" w14:textId="77777777" w:rsidR="009E6014" w:rsidRDefault="009E6014" w:rsidP="00E035FA">
      <w:pPr>
        <w:spacing w:after="0" w:line="360" w:lineRule="auto"/>
        <w:rPr>
          <w:rFonts w:ascii="Arial" w:eastAsia="Times New Roman" w:hAnsi="Arial" w:cs="Arial"/>
          <w:b/>
          <w:bCs/>
          <w:color w:val="0F1115"/>
          <w:kern w:val="0"/>
          <w:sz w:val="22"/>
          <w:szCs w:val="22"/>
          <w:lang w:eastAsia="en-GB"/>
          <w14:ligatures w14:val="none"/>
        </w:rPr>
      </w:pPr>
    </w:p>
    <w:p w14:paraId="5AE2589F" w14:textId="77777777" w:rsidR="009E6014" w:rsidRDefault="009E6014" w:rsidP="00E035FA">
      <w:pPr>
        <w:spacing w:after="0" w:line="360" w:lineRule="auto"/>
        <w:rPr>
          <w:rFonts w:ascii="Arial" w:eastAsia="Times New Roman" w:hAnsi="Arial" w:cs="Arial"/>
          <w:b/>
          <w:bCs/>
          <w:color w:val="0F1115"/>
          <w:kern w:val="0"/>
          <w:sz w:val="22"/>
          <w:szCs w:val="22"/>
          <w:lang w:eastAsia="en-GB"/>
          <w14:ligatures w14:val="none"/>
        </w:rPr>
      </w:pPr>
    </w:p>
    <w:p w14:paraId="0BBF097C" w14:textId="77777777" w:rsidR="009E6014" w:rsidRDefault="009E6014" w:rsidP="00E035FA">
      <w:pPr>
        <w:spacing w:after="0" w:line="360" w:lineRule="auto"/>
        <w:rPr>
          <w:rFonts w:ascii="Arial" w:eastAsia="Times New Roman" w:hAnsi="Arial" w:cs="Arial"/>
          <w:b/>
          <w:bCs/>
          <w:color w:val="0F1115"/>
          <w:kern w:val="0"/>
          <w:sz w:val="22"/>
          <w:szCs w:val="22"/>
          <w:lang w:eastAsia="en-GB"/>
          <w14:ligatures w14:val="none"/>
        </w:rPr>
      </w:pPr>
    </w:p>
    <w:p w14:paraId="16AE1E60" w14:textId="77777777" w:rsidR="009E6014" w:rsidRDefault="009E6014" w:rsidP="00E035FA">
      <w:pPr>
        <w:spacing w:after="0" w:line="360" w:lineRule="auto"/>
        <w:rPr>
          <w:rFonts w:ascii="Arial" w:eastAsia="Times New Roman" w:hAnsi="Arial" w:cs="Arial"/>
          <w:b/>
          <w:bCs/>
          <w:color w:val="0F1115"/>
          <w:kern w:val="0"/>
          <w:sz w:val="22"/>
          <w:szCs w:val="22"/>
          <w:lang w:eastAsia="en-GB"/>
          <w14:ligatures w14:val="none"/>
        </w:rPr>
      </w:pPr>
    </w:p>
    <w:p w14:paraId="5BC0BD9D" w14:textId="3ADBA0A1" w:rsidR="000336D2" w:rsidRPr="009E6014" w:rsidRDefault="000336D2" w:rsidP="005D5862">
      <w:pPr>
        <w:pStyle w:val="Heading1"/>
        <w:rPr>
          <w:rFonts w:eastAsia="Times New Roman"/>
          <w:lang w:eastAsia="en-GB"/>
        </w:rPr>
      </w:pPr>
      <w:r w:rsidRPr="00E035FA">
        <w:rPr>
          <w:rFonts w:eastAsia="Times New Roman"/>
          <w:sz w:val="22"/>
          <w:szCs w:val="22"/>
          <w:lang w:eastAsia="en-GB"/>
        </w:rPr>
        <w:lastRenderedPageBreak/>
        <w:t xml:space="preserve"> </w:t>
      </w:r>
      <w:bookmarkStart w:id="16" w:name="_Toc224997214"/>
      <w:r w:rsidRPr="009E6014">
        <w:rPr>
          <w:rFonts w:eastAsia="Times New Roman"/>
          <w:lang w:eastAsia="en-GB"/>
        </w:rPr>
        <w:t>Conclusion</w:t>
      </w:r>
      <w:bookmarkEnd w:id="16"/>
    </w:p>
    <w:p w14:paraId="0C3727D9"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The launch of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represents a significant strategic investment for Apex Hotels International. As this report has demonstrated, its success is contingent not only on the sophistication of its technology but, more critically, on the strength of the relationships it builds and sustains (Freeman et al., 2010). By grounding the project in stakeholder theory, we move beyond a narrow focus on shareholders to recognise the intricate web of internal and external parties whose cooperation is essential for value creation (Donaldson and Preston, 1995).</w:t>
      </w:r>
    </w:p>
    <w:p w14:paraId="3B007451"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The systematic identification and categorisation of stakeholders, using tools like the RACI Matrix and Mendelow's Grid, provide the necessary clarity to develop targeted and efficient engagement and communication plans (Mendelow, 1991). However, these plans are only as good as the process used to execute them. The 4C's model—Communication, Consultation, Collaboration, and Commitment—offers a powerful, people-centric framework for a project manager to navigate the complexities of global rollouts, build trust, and transform potential conflicts into opportunities for co-creation (Z/Yen Group, 2003; Christopher, Payne and Ballantyne, 2013).</w:t>
      </w:r>
    </w:p>
    <w:p w14:paraId="1B7B2204"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The ultimate impact of this rigorous engagement is a direct and positive one on business performance, driving faster adoption, enhancing product quality, mitigating risk, and strengthening brand equity (Keller, 2013). To sustain these benefits, AHI must move from project-based engagement to an embedded, strategic approach to stakeholder relationships. By implementing the recommendations, such as establishing a permanent advisory council and linking engagement metrics to leadership accountability, AHI can ensure that the principles underpinning the </w:t>
      </w:r>
      <w:proofErr w:type="spellStart"/>
      <w:r w:rsidRPr="00BA1817">
        <w:rPr>
          <w:rFonts w:ascii="Arial" w:eastAsia="Times New Roman" w:hAnsi="Arial" w:cs="Arial"/>
          <w:color w:val="0F1115"/>
          <w:kern w:val="0"/>
          <w:sz w:val="22"/>
          <w:szCs w:val="22"/>
          <w:lang w:eastAsia="en-GB"/>
          <w14:ligatures w14:val="none"/>
        </w:rPr>
        <w:t>StaySmart</w:t>
      </w:r>
      <w:proofErr w:type="spellEnd"/>
      <w:r w:rsidRPr="00BA1817">
        <w:rPr>
          <w:rFonts w:ascii="Arial" w:eastAsia="Times New Roman" w:hAnsi="Arial" w:cs="Arial"/>
          <w:color w:val="0F1115"/>
          <w:kern w:val="0"/>
          <w:sz w:val="22"/>
          <w:szCs w:val="22"/>
          <w:lang w:eastAsia="en-GB"/>
          <w14:ligatures w14:val="none"/>
        </w:rPr>
        <w:t>+ launch become a permanent source of competitive advantage, fostering resilience, innovation, and enduring success in the dynamic global hospitality market (Porter, 1980).</w:t>
      </w:r>
    </w:p>
    <w:p w14:paraId="2EDB9630" w14:textId="77777777" w:rsidR="00E035FA" w:rsidRDefault="00E035FA" w:rsidP="00E035FA">
      <w:pPr>
        <w:pStyle w:val="ListParagraph"/>
        <w:spacing w:before="480" w:after="480" w:line="360" w:lineRule="auto"/>
        <w:rPr>
          <w:rFonts w:ascii="Arial" w:eastAsia="Times New Roman" w:hAnsi="Arial" w:cs="Arial"/>
          <w:b/>
          <w:bCs/>
          <w:color w:val="0F1115"/>
          <w:kern w:val="0"/>
          <w:sz w:val="22"/>
          <w:szCs w:val="22"/>
          <w:lang w:eastAsia="en-GB"/>
          <w14:ligatures w14:val="none"/>
        </w:rPr>
      </w:pPr>
    </w:p>
    <w:p w14:paraId="187E7F0A" w14:textId="77777777" w:rsidR="009E6014" w:rsidRDefault="009E6014" w:rsidP="00E035FA">
      <w:pPr>
        <w:spacing w:before="480" w:after="480" w:line="360" w:lineRule="auto"/>
        <w:rPr>
          <w:rFonts w:ascii="Arial" w:eastAsia="Times New Roman" w:hAnsi="Arial" w:cs="Arial"/>
          <w:b/>
          <w:bCs/>
          <w:color w:val="0F1115"/>
          <w:kern w:val="0"/>
          <w:sz w:val="32"/>
          <w:szCs w:val="32"/>
          <w:lang w:eastAsia="en-GB"/>
          <w14:ligatures w14:val="none"/>
        </w:rPr>
      </w:pPr>
    </w:p>
    <w:p w14:paraId="6F191137" w14:textId="77777777" w:rsidR="009E6014" w:rsidRDefault="009E6014" w:rsidP="00E035FA">
      <w:pPr>
        <w:spacing w:before="480" w:after="480" w:line="360" w:lineRule="auto"/>
        <w:rPr>
          <w:rFonts w:ascii="Arial" w:eastAsia="Times New Roman" w:hAnsi="Arial" w:cs="Arial"/>
          <w:b/>
          <w:bCs/>
          <w:color w:val="0F1115"/>
          <w:kern w:val="0"/>
          <w:sz w:val="32"/>
          <w:szCs w:val="32"/>
          <w:lang w:eastAsia="en-GB"/>
          <w14:ligatures w14:val="none"/>
        </w:rPr>
      </w:pPr>
    </w:p>
    <w:p w14:paraId="458D022C" w14:textId="47DC7248" w:rsidR="000336D2" w:rsidRPr="009E6014" w:rsidRDefault="000336D2" w:rsidP="005D5862">
      <w:pPr>
        <w:pStyle w:val="Heading1"/>
        <w:rPr>
          <w:rFonts w:eastAsia="Times New Roman"/>
          <w:lang w:eastAsia="en-GB"/>
        </w:rPr>
      </w:pPr>
      <w:bookmarkStart w:id="17" w:name="_Toc224997215"/>
      <w:r w:rsidRPr="009E6014">
        <w:rPr>
          <w:rFonts w:eastAsia="Times New Roman"/>
          <w:lang w:eastAsia="en-GB"/>
        </w:rPr>
        <w:lastRenderedPageBreak/>
        <w:t>References</w:t>
      </w:r>
      <w:bookmarkEnd w:id="17"/>
    </w:p>
    <w:p w14:paraId="4D9923F5" w14:textId="61AD6AB9" w:rsidR="000336D2" w:rsidRPr="00E035FA" w:rsidRDefault="000336D2" w:rsidP="00E035FA">
      <w:pPr>
        <w:spacing w:before="240" w:after="240" w:line="360" w:lineRule="auto"/>
        <w:rPr>
          <w:rFonts w:ascii="Arial" w:eastAsia="Times New Roman" w:hAnsi="Arial" w:cs="Arial"/>
          <w:color w:val="0F1115"/>
          <w:kern w:val="0"/>
          <w:sz w:val="22"/>
          <w:szCs w:val="22"/>
          <w:lang w:eastAsia="en-GB"/>
          <w14:ligatures w14:val="none"/>
        </w:rPr>
      </w:pPr>
      <w:r w:rsidRPr="00E035FA">
        <w:rPr>
          <w:rFonts w:ascii="Arial" w:eastAsia="Times New Roman" w:hAnsi="Arial" w:cs="Arial"/>
          <w:color w:val="0F1115"/>
          <w:kern w:val="0"/>
          <w:sz w:val="22"/>
          <w:szCs w:val="22"/>
          <w:lang w:eastAsia="en-GB"/>
          <w14:ligatures w14:val="none"/>
        </w:rPr>
        <w:t>Arnstein, S.R. (1969) A Ladder of Citizen Participation, </w:t>
      </w:r>
      <w:r w:rsidRPr="00E035FA">
        <w:rPr>
          <w:rFonts w:ascii="Arial" w:eastAsia="Times New Roman" w:hAnsi="Arial" w:cs="Arial"/>
          <w:i/>
          <w:iCs/>
          <w:color w:val="0F1115"/>
          <w:kern w:val="0"/>
          <w:sz w:val="22"/>
          <w:szCs w:val="22"/>
          <w:lang w:eastAsia="en-GB"/>
          <w14:ligatures w14:val="none"/>
        </w:rPr>
        <w:t>Journal of the American Institute of Planners</w:t>
      </w:r>
      <w:r w:rsidRPr="00E035FA">
        <w:rPr>
          <w:rFonts w:ascii="Arial" w:eastAsia="Times New Roman" w:hAnsi="Arial" w:cs="Arial"/>
          <w:color w:val="0F1115"/>
          <w:kern w:val="0"/>
          <w:sz w:val="22"/>
          <w:szCs w:val="22"/>
          <w:lang w:eastAsia="en-GB"/>
          <w14:ligatures w14:val="none"/>
        </w:rPr>
        <w:t>, 35(4), pp. 216-224.</w:t>
      </w:r>
    </w:p>
    <w:p w14:paraId="07053CE8"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Ashcroft, J. (2017) </w:t>
      </w:r>
      <w:r w:rsidRPr="00BA1817">
        <w:rPr>
          <w:rFonts w:ascii="Arial" w:eastAsia="Times New Roman" w:hAnsi="Arial" w:cs="Arial"/>
          <w:i/>
          <w:iCs/>
          <w:color w:val="0F1115"/>
          <w:kern w:val="0"/>
          <w:sz w:val="22"/>
          <w:szCs w:val="22"/>
          <w:lang w:eastAsia="en-GB"/>
          <w14:ligatures w14:val="none"/>
        </w:rPr>
        <w:t>The Relational Lens: Understanding, Measuring, and Managing Stakeholder Relationships</w:t>
      </w:r>
      <w:r w:rsidRPr="00BA1817">
        <w:rPr>
          <w:rFonts w:ascii="Arial" w:eastAsia="Times New Roman" w:hAnsi="Arial" w:cs="Arial"/>
          <w:color w:val="0F1115"/>
          <w:kern w:val="0"/>
          <w:sz w:val="22"/>
          <w:szCs w:val="22"/>
          <w:lang w:eastAsia="en-GB"/>
          <w14:ligatures w14:val="none"/>
        </w:rPr>
        <w:t>. Cambridge: Cambridge University Press.</w:t>
      </w:r>
    </w:p>
    <w:p w14:paraId="6EFE4E05" w14:textId="7576E2D8"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Bitner, M.J., Booms, B.H. and Tetreault, M.S. (1990) The Service Encounter: Diagnosing </w:t>
      </w:r>
      <w:r w:rsidR="009B273B" w:rsidRPr="00BA1817">
        <w:rPr>
          <w:rFonts w:ascii="Arial" w:eastAsia="Times New Roman" w:hAnsi="Arial" w:cs="Arial"/>
          <w:color w:val="0F1115"/>
          <w:kern w:val="0"/>
          <w:sz w:val="22"/>
          <w:szCs w:val="22"/>
          <w:lang w:eastAsia="en-GB"/>
          <w14:ligatures w14:val="none"/>
        </w:rPr>
        <w:t>Favourable</w:t>
      </w:r>
      <w:r w:rsidRPr="00BA1817">
        <w:rPr>
          <w:rFonts w:ascii="Arial" w:eastAsia="Times New Roman" w:hAnsi="Arial" w:cs="Arial"/>
          <w:color w:val="0F1115"/>
          <w:kern w:val="0"/>
          <w:sz w:val="22"/>
          <w:szCs w:val="22"/>
          <w:lang w:eastAsia="en-GB"/>
          <w14:ligatures w14:val="none"/>
        </w:rPr>
        <w:t xml:space="preserve"> and </w:t>
      </w:r>
      <w:r w:rsidR="009B273B" w:rsidRPr="00BA1817">
        <w:rPr>
          <w:rFonts w:ascii="Arial" w:eastAsia="Times New Roman" w:hAnsi="Arial" w:cs="Arial"/>
          <w:color w:val="0F1115"/>
          <w:kern w:val="0"/>
          <w:sz w:val="22"/>
          <w:szCs w:val="22"/>
          <w:lang w:eastAsia="en-GB"/>
          <w14:ligatures w14:val="none"/>
        </w:rPr>
        <w:t>Unfavourable</w:t>
      </w:r>
      <w:r w:rsidRPr="00BA1817">
        <w:rPr>
          <w:rFonts w:ascii="Arial" w:eastAsia="Times New Roman" w:hAnsi="Arial" w:cs="Arial"/>
          <w:color w:val="0F1115"/>
          <w:kern w:val="0"/>
          <w:sz w:val="22"/>
          <w:szCs w:val="22"/>
          <w:lang w:eastAsia="en-GB"/>
          <w14:ligatures w14:val="none"/>
        </w:rPr>
        <w:t xml:space="preserve"> Incidents, </w:t>
      </w:r>
      <w:r w:rsidRPr="00BA1817">
        <w:rPr>
          <w:rFonts w:ascii="Arial" w:eastAsia="Times New Roman" w:hAnsi="Arial" w:cs="Arial"/>
          <w:i/>
          <w:iCs/>
          <w:color w:val="0F1115"/>
          <w:kern w:val="0"/>
          <w:sz w:val="22"/>
          <w:szCs w:val="22"/>
          <w:lang w:eastAsia="en-GB"/>
          <w14:ligatures w14:val="none"/>
        </w:rPr>
        <w:t>Journal of Marketing</w:t>
      </w:r>
      <w:r w:rsidRPr="00BA1817">
        <w:rPr>
          <w:rFonts w:ascii="Arial" w:eastAsia="Times New Roman" w:hAnsi="Arial" w:cs="Arial"/>
          <w:color w:val="0F1115"/>
          <w:kern w:val="0"/>
          <w:sz w:val="22"/>
          <w:szCs w:val="22"/>
          <w:lang w:eastAsia="en-GB"/>
          <w14:ligatures w14:val="none"/>
        </w:rPr>
        <w:t>, 54(1), pp. 71-84.</w:t>
      </w:r>
    </w:p>
    <w:p w14:paraId="2D04096F" w14:textId="3CDEAEF9"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proofErr w:type="spellStart"/>
      <w:r w:rsidRPr="00BA1817">
        <w:rPr>
          <w:rFonts w:ascii="Arial" w:eastAsia="Times New Roman" w:hAnsi="Arial" w:cs="Arial"/>
          <w:color w:val="0F1115"/>
          <w:kern w:val="0"/>
          <w:sz w:val="22"/>
          <w:szCs w:val="22"/>
          <w:lang w:eastAsia="en-GB"/>
          <w14:ligatures w14:val="none"/>
        </w:rPr>
        <w:t>Buhalis</w:t>
      </w:r>
      <w:proofErr w:type="spellEnd"/>
      <w:r w:rsidRPr="00BA1817">
        <w:rPr>
          <w:rFonts w:ascii="Arial" w:eastAsia="Times New Roman" w:hAnsi="Arial" w:cs="Arial"/>
          <w:color w:val="0F1115"/>
          <w:kern w:val="0"/>
          <w:sz w:val="22"/>
          <w:szCs w:val="22"/>
          <w:lang w:eastAsia="en-GB"/>
          <w14:ligatures w14:val="none"/>
        </w:rPr>
        <w:t>, D. and Leung, R. (2018) Smart hospitality—Interconnectivity and interoperability towards an ecosystem, </w:t>
      </w:r>
      <w:r w:rsidRPr="00BA1817">
        <w:rPr>
          <w:rFonts w:ascii="Arial" w:eastAsia="Times New Roman" w:hAnsi="Arial" w:cs="Arial"/>
          <w:i/>
          <w:iCs/>
          <w:color w:val="0F1115"/>
          <w:kern w:val="0"/>
          <w:sz w:val="22"/>
          <w:szCs w:val="22"/>
          <w:lang w:eastAsia="en-GB"/>
          <w14:ligatures w14:val="none"/>
        </w:rPr>
        <w:t>International Journal of Hospitality Management</w:t>
      </w:r>
      <w:r w:rsidRPr="00BA1817">
        <w:rPr>
          <w:rFonts w:ascii="Arial" w:eastAsia="Times New Roman" w:hAnsi="Arial" w:cs="Arial"/>
          <w:color w:val="0F1115"/>
          <w:kern w:val="0"/>
          <w:sz w:val="22"/>
          <w:szCs w:val="22"/>
          <w:lang w:eastAsia="en-GB"/>
          <w14:ligatures w14:val="none"/>
        </w:rPr>
        <w:t>, 71, pp. 41-50.</w:t>
      </w:r>
    </w:p>
    <w:p w14:paraId="0EEAA54B"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Christopher, M., Payne, A. and Ballantyne, D. (2013) </w:t>
      </w:r>
      <w:r w:rsidRPr="00BA1817">
        <w:rPr>
          <w:rFonts w:ascii="Arial" w:eastAsia="Times New Roman" w:hAnsi="Arial" w:cs="Arial"/>
          <w:i/>
          <w:iCs/>
          <w:color w:val="0F1115"/>
          <w:kern w:val="0"/>
          <w:sz w:val="22"/>
          <w:szCs w:val="22"/>
          <w:lang w:eastAsia="en-GB"/>
          <w14:ligatures w14:val="none"/>
        </w:rPr>
        <w:t>Relationship Marketing: Creating Stakeholder Value</w:t>
      </w:r>
      <w:r w:rsidRPr="00BA1817">
        <w:rPr>
          <w:rFonts w:ascii="Arial" w:eastAsia="Times New Roman" w:hAnsi="Arial" w:cs="Arial"/>
          <w:color w:val="0F1115"/>
          <w:kern w:val="0"/>
          <w:sz w:val="22"/>
          <w:szCs w:val="22"/>
          <w:lang w:eastAsia="en-GB"/>
          <w14:ligatures w14:val="none"/>
        </w:rPr>
        <w:t>. Saint Louis: Taylor and Francis.</w:t>
      </w:r>
    </w:p>
    <w:p w14:paraId="5AD3EA0A" w14:textId="39B45FD0"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Clarkson, M.B.E. (1995) A Stakeholder Framework for </w:t>
      </w:r>
      <w:r w:rsidR="009B273B" w:rsidRPr="00BA1817">
        <w:rPr>
          <w:rFonts w:ascii="Arial" w:eastAsia="Times New Roman" w:hAnsi="Arial" w:cs="Arial"/>
          <w:color w:val="0F1115"/>
          <w:kern w:val="0"/>
          <w:sz w:val="22"/>
          <w:szCs w:val="22"/>
          <w:lang w:eastAsia="en-GB"/>
          <w14:ligatures w14:val="none"/>
        </w:rPr>
        <w:t>Analysing</w:t>
      </w:r>
      <w:r w:rsidRPr="00BA1817">
        <w:rPr>
          <w:rFonts w:ascii="Arial" w:eastAsia="Times New Roman" w:hAnsi="Arial" w:cs="Arial"/>
          <w:color w:val="0F1115"/>
          <w:kern w:val="0"/>
          <w:sz w:val="22"/>
          <w:szCs w:val="22"/>
          <w:lang w:eastAsia="en-GB"/>
          <w14:ligatures w14:val="none"/>
        </w:rPr>
        <w:t xml:space="preserve"> and Evaluating Corporate Social Performance, </w:t>
      </w:r>
      <w:r w:rsidRPr="00BA1817">
        <w:rPr>
          <w:rFonts w:ascii="Arial" w:eastAsia="Times New Roman" w:hAnsi="Arial" w:cs="Arial"/>
          <w:i/>
          <w:iCs/>
          <w:color w:val="0F1115"/>
          <w:kern w:val="0"/>
          <w:sz w:val="22"/>
          <w:szCs w:val="22"/>
          <w:lang w:eastAsia="en-GB"/>
          <w14:ligatures w14:val="none"/>
        </w:rPr>
        <w:t>Academy of Management Review</w:t>
      </w:r>
      <w:r w:rsidRPr="00BA1817">
        <w:rPr>
          <w:rFonts w:ascii="Arial" w:eastAsia="Times New Roman" w:hAnsi="Arial" w:cs="Arial"/>
          <w:color w:val="0F1115"/>
          <w:kern w:val="0"/>
          <w:sz w:val="22"/>
          <w:szCs w:val="22"/>
          <w:lang w:eastAsia="en-GB"/>
          <w14:ligatures w14:val="none"/>
        </w:rPr>
        <w:t>, 20(1), pp. 92-117.</w:t>
      </w:r>
    </w:p>
    <w:p w14:paraId="0EC65987" w14:textId="4113038B"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Donaldson, T. and Preston, L.E. (1995) The Stakeholder Theory of the Corporation: Concepts, Evidence, and Implications, </w:t>
      </w:r>
      <w:r w:rsidRPr="00BA1817">
        <w:rPr>
          <w:rFonts w:ascii="Arial" w:eastAsia="Times New Roman" w:hAnsi="Arial" w:cs="Arial"/>
          <w:i/>
          <w:iCs/>
          <w:color w:val="0F1115"/>
          <w:kern w:val="0"/>
          <w:sz w:val="22"/>
          <w:szCs w:val="22"/>
          <w:lang w:eastAsia="en-GB"/>
          <w14:ligatures w14:val="none"/>
        </w:rPr>
        <w:t>Academy of Management Review</w:t>
      </w:r>
      <w:r w:rsidRPr="00BA1817">
        <w:rPr>
          <w:rFonts w:ascii="Arial" w:eastAsia="Times New Roman" w:hAnsi="Arial" w:cs="Arial"/>
          <w:color w:val="0F1115"/>
          <w:kern w:val="0"/>
          <w:sz w:val="22"/>
          <w:szCs w:val="22"/>
          <w:lang w:eastAsia="en-GB"/>
          <w14:ligatures w14:val="none"/>
        </w:rPr>
        <w:t>, 20(1), pp. 65-91.</w:t>
      </w:r>
    </w:p>
    <w:p w14:paraId="6A6545FD" w14:textId="519C64F4"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Doran, G.T. (1981) There's a S.M.A.R.T. Way to Write Management's Goals and Objectives, </w:t>
      </w:r>
      <w:r w:rsidRPr="00BA1817">
        <w:rPr>
          <w:rFonts w:ascii="Arial" w:eastAsia="Times New Roman" w:hAnsi="Arial" w:cs="Arial"/>
          <w:i/>
          <w:iCs/>
          <w:color w:val="0F1115"/>
          <w:kern w:val="0"/>
          <w:sz w:val="22"/>
          <w:szCs w:val="22"/>
          <w:lang w:eastAsia="en-GB"/>
          <w14:ligatures w14:val="none"/>
        </w:rPr>
        <w:t>Management Review</w:t>
      </w:r>
      <w:r w:rsidRPr="00BA1817">
        <w:rPr>
          <w:rFonts w:ascii="Arial" w:eastAsia="Times New Roman" w:hAnsi="Arial" w:cs="Arial"/>
          <w:color w:val="0F1115"/>
          <w:kern w:val="0"/>
          <w:sz w:val="22"/>
          <w:szCs w:val="22"/>
          <w:lang w:eastAsia="en-GB"/>
          <w14:ligatures w14:val="none"/>
        </w:rPr>
        <w:t>, 70(11), pp. 35-36.</w:t>
      </w:r>
    </w:p>
    <w:p w14:paraId="4A3AF2B8"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Elkington, J. (1997) </w:t>
      </w:r>
      <w:r w:rsidRPr="00BA1817">
        <w:rPr>
          <w:rFonts w:ascii="Arial" w:eastAsia="Times New Roman" w:hAnsi="Arial" w:cs="Arial"/>
          <w:i/>
          <w:iCs/>
          <w:color w:val="0F1115"/>
          <w:kern w:val="0"/>
          <w:sz w:val="22"/>
          <w:szCs w:val="22"/>
          <w:lang w:eastAsia="en-GB"/>
          <w14:ligatures w14:val="none"/>
        </w:rPr>
        <w:t>Cannibals with Forks: The Triple Bottom Line of 21st Century Business</w:t>
      </w:r>
      <w:r w:rsidRPr="00BA1817">
        <w:rPr>
          <w:rFonts w:ascii="Arial" w:eastAsia="Times New Roman" w:hAnsi="Arial" w:cs="Arial"/>
          <w:color w:val="0F1115"/>
          <w:kern w:val="0"/>
          <w:sz w:val="22"/>
          <w:szCs w:val="22"/>
          <w:lang w:eastAsia="en-GB"/>
          <w14:ligatures w14:val="none"/>
        </w:rPr>
        <w:t>. Oxford: Capstone.</w:t>
      </w:r>
    </w:p>
    <w:p w14:paraId="527E67B1"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Fisher, R. and Ury, W. (1981) </w:t>
      </w:r>
      <w:r w:rsidRPr="00BA1817">
        <w:rPr>
          <w:rFonts w:ascii="Arial" w:eastAsia="Times New Roman" w:hAnsi="Arial" w:cs="Arial"/>
          <w:i/>
          <w:iCs/>
          <w:color w:val="0F1115"/>
          <w:kern w:val="0"/>
          <w:sz w:val="22"/>
          <w:szCs w:val="22"/>
          <w:lang w:eastAsia="en-GB"/>
          <w14:ligatures w14:val="none"/>
        </w:rPr>
        <w:t>Getting to Yes: Negotiating Agreement Without Giving In</w:t>
      </w:r>
      <w:r w:rsidRPr="00BA1817">
        <w:rPr>
          <w:rFonts w:ascii="Arial" w:eastAsia="Times New Roman" w:hAnsi="Arial" w:cs="Arial"/>
          <w:color w:val="0F1115"/>
          <w:kern w:val="0"/>
          <w:sz w:val="22"/>
          <w:szCs w:val="22"/>
          <w:lang w:eastAsia="en-GB"/>
          <w14:ligatures w14:val="none"/>
        </w:rPr>
        <w:t>. Boston: Houghton Mifflin.</w:t>
      </w:r>
    </w:p>
    <w:p w14:paraId="565CCBE3" w14:textId="761A159D"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Ford, J.D. and Ford, L.W. (1995) The Role of Conversations in Producing Intentional Change in Organizations, </w:t>
      </w:r>
      <w:r w:rsidRPr="00BA1817">
        <w:rPr>
          <w:rFonts w:ascii="Arial" w:eastAsia="Times New Roman" w:hAnsi="Arial" w:cs="Arial"/>
          <w:i/>
          <w:iCs/>
          <w:color w:val="0F1115"/>
          <w:kern w:val="0"/>
          <w:sz w:val="22"/>
          <w:szCs w:val="22"/>
          <w:lang w:eastAsia="en-GB"/>
          <w14:ligatures w14:val="none"/>
        </w:rPr>
        <w:t>Academy of Management Review</w:t>
      </w:r>
      <w:r w:rsidRPr="00BA1817">
        <w:rPr>
          <w:rFonts w:ascii="Arial" w:eastAsia="Times New Roman" w:hAnsi="Arial" w:cs="Arial"/>
          <w:color w:val="0F1115"/>
          <w:kern w:val="0"/>
          <w:sz w:val="22"/>
          <w:szCs w:val="22"/>
          <w:lang w:eastAsia="en-GB"/>
          <w14:ligatures w14:val="none"/>
        </w:rPr>
        <w:t>, 20(3), pp. 541-570.</w:t>
      </w:r>
    </w:p>
    <w:p w14:paraId="4106B475"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Freeman, R.E. (1984) </w:t>
      </w:r>
      <w:r w:rsidRPr="00BA1817">
        <w:rPr>
          <w:rFonts w:ascii="Arial" w:eastAsia="Times New Roman" w:hAnsi="Arial" w:cs="Arial"/>
          <w:i/>
          <w:iCs/>
          <w:color w:val="0F1115"/>
          <w:kern w:val="0"/>
          <w:sz w:val="22"/>
          <w:szCs w:val="22"/>
          <w:lang w:eastAsia="en-GB"/>
          <w14:ligatures w14:val="none"/>
        </w:rPr>
        <w:t>Strategic Management: A Stakeholder Approach</w:t>
      </w:r>
      <w:r w:rsidRPr="00BA1817">
        <w:rPr>
          <w:rFonts w:ascii="Arial" w:eastAsia="Times New Roman" w:hAnsi="Arial" w:cs="Arial"/>
          <w:color w:val="0F1115"/>
          <w:kern w:val="0"/>
          <w:sz w:val="22"/>
          <w:szCs w:val="22"/>
          <w:lang w:eastAsia="en-GB"/>
          <w14:ligatures w14:val="none"/>
        </w:rPr>
        <w:t>. Boston: Pitman.</w:t>
      </w:r>
    </w:p>
    <w:p w14:paraId="3945C30C"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Freeman, R.E., Harrison, J.S., Wicks, A.C., Parmar, B.L. and de Colle, S. (2010) </w:t>
      </w:r>
      <w:r w:rsidRPr="00BA1817">
        <w:rPr>
          <w:rFonts w:ascii="Arial" w:eastAsia="Times New Roman" w:hAnsi="Arial" w:cs="Arial"/>
          <w:i/>
          <w:iCs/>
          <w:color w:val="0F1115"/>
          <w:kern w:val="0"/>
          <w:sz w:val="22"/>
          <w:szCs w:val="22"/>
          <w:lang w:eastAsia="en-GB"/>
          <w14:ligatures w14:val="none"/>
        </w:rPr>
        <w:t>Stakeholder Theory: The State of the Art</w:t>
      </w:r>
      <w:r w:rsidRPr="00BA1817">
        <w:rPr>
          <w:rFonts w:ascii="Arial" w:eastAsia="Times New Roman" w:hAnsi="Arial" w:cs="Arial"/>
          <w:color w:val="0F1115"/>
          <w:kern w:val="0"/>
          <w:sz w:val="22"/>
          <w:szCs w:val="22"/>
          <w:lang w:eastAsia="en-GB"/>
          <w14:ligatures w14:val="none"/>
        </w:rPr>
        <w:t>. Cambridge: Cambridge University Press.</w:t>
      </w:r>
    </w:p>
    <w:p w14:paraId="44587555" w14:textId="3E5A89AD"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proofErr w:type="spellStart"/>
      <w:r w:rsidRPr="00BA1817">
        <w:rPr>
          <w:rFonts w:ascii="Arial" w:eastAsia="Times New Roman" w:hAnsi="Arial" w:cs="Arial"/>
          <w:color w:val="0F1115"/>
          <w:kern w:val="0"/>
          <w:sz w:val="22"/>
          <w:szCs w:val="22"/>
          <w:lang w:eastAsia="en-GB"/>
          <w14:ligatures w14:val="none"/>
        </w:rPr>
        <w:lastRenderedPageBreak/>
        <w:t>Gretzel</w:t>
      </w:r>
      <w:proofErr w:type="spellEnd"/>
      <w:r w:rsidRPr="00BA1817">
        <w:rPr>
          <w:rFonts w:ascii="Arial" w:eastAsia="Times New Roman" w:hAnsi="Arial" w:cs="Arial"/>
          <w:color w:val="0F1115"/>
          <w:kern w:val="0"/>
          <w:sz w:val="22"/>
          <w:szCs w:val="22"/>
          <w:lang w:eastAsia="en-GB"/>
          <w14:ligatures w14:val="none"/>
        </w:rPr>
        <w:t>, U., Sigala, M., Xiang, Z. and Koo, C. (2015) Smart tourism: foundations and developments, </w:t>
      </w:r>
      <w:r w:rsidRPr="00BA1817">
        <w:rPr>
          <w:rFonts w:ascii="Arial" w:eastAsia="Times New Roman" w:hAnsi="Arial" w:cs="Arial"/>
          <w:i/>
          <w:iCs/>
          <w:color w:val="0F1115"/>
          <w:kern w:val="0"/>
          <w:sz w:val="22"/>
          <w:szCs w:val="22"/>
          <w:lang w:eastAsia="en-GB"/>
          <w14:ligatures w14:val="none"/>
        </w:rPr>
        <w:t>Electronic Markets</w:t>
      </w:r>
      <w:r w:rsidRPr="00BA1817">
        <w:rPr>
          <w:rFonts w:ascii="Arial" w:eastAsia="Times New Roman" w:hAnsi="Arial" w:cs="Arial"/>
          <w:color w:val="0F1115"/>
          <w:kern w:val="0"/>
          <w:sz w:val="22"/>
          <w:szCs w:val="22"/>
          <w:lang w:eastAsia="en-GB"/>
          <w14:ligatures w14:val="none"/>
        </w:rPr>
        <w:t>, 25(3), pp. 179-188.</w:t>
      </w:r>
    </w:p>
    <w:p w14:paraId="109A0CC8"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proofErr w:type="spellStart"/>
      <w:r w:rsidRPr="00BA1817">
        <w:rPr>
          <w:rFonts w:ascii="Arial" w:eastAsia="Times New Roman" w:hAnsi="Arial" w:cs="Arial"/>
          <w:color w:val="0F1115"/>
          <w:kern w:val="0"/>
          <w:sz w:val="22"/>
          <w:szCs w:val="22"/>
          <w:lang w:eastAsia="en-GB"/>
          <w14:ligatures w14:val="none"/>
        </w:rPr>
        <w:t>Guilding</w:t>
      </w:r>
      <w:proofErr w:type="spellEnd"/>
      <w:r w:rsidRPr="00BA1817">
        <w:rPr>
          <w:rFonts w:ascii="Arial" w:eastAsia="Times New Roman" w:hAnsi="Arial" w:cs="Arial"/>
          <w:color w:val="0F1115"/>
          <w:kern w:val="0"/>
          <w:sz w:val="22"/>
          <w:szCs w:val="22"/>
          <w:lang w:eastAsia="en-GB"/>
          <w14:ligatures w14:val="none"/>
        </w:rPr>
        <w:t>, C. (2002) </w:t>
      </w:r>
      <w:r w:rsidRPr="00BA1817">
        <w:rPr>
          <w:rFonts w:ascii="Arial" w:eastAsia="Times New Roman" w:hAnsi="Arial" w:cs="Arial"/>
          <w:i/>
          <w:iCs/>
          <w:color w:val="0F1115"/>
          <w:kern w:val="0"/>
          <w:sz w:val="22"/>
          <w:szCs w:val="22"/>
          <w:lang w:eastAsia="en-GB"/>
          <w14:ligatures w14:val="none"/>
        </w:rPr>
        <w:t>Financial Management for Hospitality Decision Makers</w:t>
      </w:r>
      <w:r w:rsidRPr="00BA1817">
        <w:rPr>
          <w:rFonts w:ascii="Arial" w:eastAsia="Times New Roman" w:hAnsi="Arial" w:cs="Arial"/>
          <w:color w:val="0F1115"/>
          <w:kern w:val="0"/>
          <w:sz w:val="22"/>
          <w:szCs w:val="22"/>
          <w:lang w:eastAsia="en-GB"/>
          <w14:ligatures w14:val="none"/>
        </w:rPr>
        <w:t>. Oxford: Butterworth-Heinemann.</w:t>
      </w:r>
    </w:p>
    <w:p w14:paraId="00E91267" w14:textId="08721428"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Gulati, R. (2007) Silo Busting: How to Execute on the Promise of Customer Focus, </w:t>
      </w:r>
      <w:r w:rsidRPr="00BA1817">
        <w:rPr>
          <w:rFonts w:ascii="Arial" w:eastAsia="Times New Roman" w:hAnsi="Arial" w:cs="Arial"/>
          <w:i/>
          <w:iCs/>
          <w:color w:val="0F1115"/>
          <w:kern w:val="0"/>
          <w:sz w:val="22"/>
          <w:szCs w:val="22"/>
          <w:lang w:eastAsia="en-GB"/>
          <w14:ligatures w14:val="none"/>
        </w:rPr>
        <w:t>Harvard Business Review</w:t>
      </w:r>
      <w:r w:rsidRPr="00BA1817">
        <w:rPr>
          <w:rFonts w:ascii="Arial" w:eastAsia="Times New Roman" w:hAnsi="Arial" w:cs="Arial"/>
          <w:color w:val="0F1115"/>
          <w:kern w:val="0"/>
          <w:sz w:val="22"/>
          <w:szCs w:val="22"/>
          <w:lang w:eastAsia="en-GB"/>
          <w14:ligatures w14:val="none"/>
        </w:rPr>
        <w:t>, 85(5), pp. 98-108.</w:t>
      </w:r>
    </w:p>
    <w:p w14:paraId="0873A04F"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Hofstede, G. (2001) </w:t>
      </w:r>
      <w:r w:rsidRPr="00BA1817">
        <w:rPr>
          <w:rFonts w:ascii="Arial" w:eastAsia="Times New Roman" w:hAnsi="Arial" w:cs="Arial"/>
          <w:i/>
          <w:iCs/>
          <w:color w:val="0F1115"/>
          <w:kern w:val="0"/>
          <w:sz w:val="22"/>
          <w:szCs w:val="22"/>
          <w:lang w:eastAsia="en-GB"/>
          <w14:ligatures w14:val="none"/>
        </w:rPr>
        <w:t xml:space="preserve">Culture's Consequences: Comparing Values, </w:t>
      </w:r>
      <w:proofErr w:type="spellStart"/>
      <w:r w:rsidRPr="00BA1817">
        <w:rPr>
          <w:rFonts w:ascii="Arial" w:eastAsia="Times New Roman" w:hAnsi="Arial" w:cs="Arial"/>
          <w:i/>
          <w:iCs/>
          <w:color w:val="0F1115"/>
          <w:kern w:val="0"/>
          <w:sz w:val="22"/>
          <w:szCs w:val="22"/>
          <w:lang w:eastAsia="en-GB"/>
          <w14:ligatures w14:val="none"/>
        </w:rPr>
        <w:t>Behaviors</w:t>
      </w:r>
      <w:proofErr w:type="spellEnd"/>
      <w:r w:rsidRPr="00BA1817">
        <w:rPr>
          <w:rFonts w:ascii="Arial" w:eastAsia="Times New Roman" w:hAnsi="Arial" w:cs="Arial"/>
          <w:i/>
          <w:iCs/>
          <w:color w:val="0F1115"/>
          <w:kern w:val="0"/>
          <w:sz w:val="22"/>
          <w:szCs w:val="22"/>
          <w:lang w:eastAsia="en-GB"/>
          <w14:ligatures w14:val="none"/>
        </w:rPr>
        <w:t>, Institutions, and Organizations Across Nations</w:t>
      </w:r>
      <w:r w:rsidRPr="00BA1817">
        <w:rPr>
          <w:rFonts w:ascii="Arial" w:eastAsia="Times New Roman" w:hAnsi="Arial" w:cs="Arial"/>
          <w:color w:val="0F1115"/>
          <w:kern w:val="0"/>
          <w:sz w:val="22"/>
          <w:szCs w:val="22"/>
          <w:lang w:eastAsia="en-GB"/>
          <w14:ligatures w14:val="none"/>
        </w:rPr>
        <w:t xml:space="preserve">. 2nd </w:t>
      </w:r>
      <w:proofErr w:type="spellStart"/>
      <w:r w:rsidRPr="00BA1817">
        <w:rPr>
          <w:rFonts w:ascii="Arial" w:eastAsia="Times New Roman" w:hAnsi="Arial" w:cs="Arial"/>
          <w:color w:val="0F1115"/>
          <w:kern w:val="0"/>
          <w:sz w:val="22"/>
          <w:szCs w:val="22"/>
          <w:lang w:eastAsia="en-GB"/>
          <w14:ligatures w14:val="none"/>
        </w:rPr>
        <w:t>edn</w:t>
      </w:r>
      <w:proofErr w:type="spellEnd"/>
      <w:r w:rsidRPr="00BA1817">
        <w:rPr>
          <w:rFonts w:ascii="Arial" w:eastAsia="Times New Roman" w:hAnsi="Arial" w:cs="Arial"/>
          <w:color w:val="0F1115"/>
          <w:kern w:val="0"/>
          <w:sz w:val="22"/>
          <w:szCs w:val="22"/>
          <w:lang w:eastAsia="en-GB"/>
          <w14:ligatures w14:val="none"/>
        </w:rPr>
        <w:t>. Thousand Oaks, CA: Sage Publications.</w:t>
      </w:r>
    </w:p>
    <w:p w14:paraId="56D9B497" w14:textId="7B9133CE"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Jensen, M.C. (2001) Value Maximisation, Stakeholder Theory, and the Corporate Objective Function, </w:t>
      </w:r>
      <w:r w:rsidRPr="00BA1817">
        <w:rPr>
          <w:rFonts w:ascii="Arial" w:eastAsia="Times New Roman" w:hAnsi="Arial" w:cs="Arial"/>
          <w:i/>
          <w:iCs/>
          <w:color w:val="0F1115"/>
          <w:kern w:val="0"/>
          <w:sz w:val="22"/>
          <w:szCs w:val="22"/>
          <w:lang w:eastAsia="en-GB"/>
          <w14:ligatures w14:val="none"/>
        </w:rPr>
        <w:t>European Financial Management</w:t>
      </w:r>
      <w:r w:rsidRPr="00BA1817">
        <w:rPr>
          <w:rFonts w:ascii="Arial" w:eastAsia="Times New Roman" w:hAnsi="Arial" w:cs="Arial"/>
          <w:color w:val="0F1115"/>
          <w:kern w:val="0"/>
          <w:sz w:val="22"/>
          <w:szCs w:val="22"/>
          <w:lang w:eastAsia="en-GB"/>
          <w14:ligatures w14:val="none"/>
        </w:rPr>
        <w:t>, 7(3), pp. 297-317.</w:t>
      </w:r>
    </w:p>
    <w:p w14:paraId="78F1EB8B"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Johnson, G., Scholes, K. and Whittington, R. (2008) </w:t>
      </w:r>
      <w:r w:rsidRPr="00BA1817">
        <w:rPr>
          <w:rFonts w:ascii="Arial" w:eastAsia="Times New Roman" w:hAnsi="Arial" w:cs="Arial"/>
          <w:i/>
          <w:iCs/>
          <w:color w:val="0F1115"/>
          <w:kern w:val="0"/>
          <w:sz w:val="22"/>
          <w:szCs w:val="22"/>
          <w:lang w:eastAsia="en-GB"/>
          <w14:ligatures w14:val="none"/>
        </w:rPr>
        <w:t>Exploring Corporate Strategy</w:t>
      </w:r>
      <w:r w:rsidRPr="00BA1817">
        <w:rPr>
          <w:rFonts w:ascii="Arial" w:eastAsia="Times New Roman" w:hAnsi="Arial" w:cs="Arial"/>
          <w:color w:val="0F1115"/>
          <w:kern w:val="0"/>
          <w:sz w:val="22"/>
          <w:szCs w:val="22"/>
          <w:lang w:eastAsia="en-GB"/>
          <w14:ligatures w14:val="none"/>
        </w:rPr>
        <w:t xml:space="preserve">. 8th </w:t>
      </w:r>
      <w:proofErr w:type="spellStart"/>
      <w:r w:rsidRPr="00BA1817">
        <w:rPr>
          <w:rFonts w:ascii="Arial" w:eastAsia="Times New Roman" w:hAnsi="Arial" w:cs="Arial"/>
          <w:color w:val="0F1115"/>
          <w:kern w:val="0"/>
          <w:sz w:val="22"/>
          <w:szCs w:val="22"/>
          <w:lang w:eastAsia="en-GB"/>
          <w14:ligatures w14:val="none"/>
        </w:rPr>
        <w:t>edn</w:t>
      </w:r>
      <w:proofErr w:type="spellEnd"/>
      <w:r w:rsidRPr="00BA1817">
        <w:rPr>
          <w:rFonts w:ascii="Arial" w:eastAsia="Times New Roman" w:hAnsi="Arial" w:cs="Arial"/>
          <w:color w:val="0F1115"/>
          <w:kern w:val="0"/>
          <w:sz w:val="22"/>
          <w:szCs w:val="22"/>
          <w:lang w:eastAsia="en-GB"/>
          <w14:ligatures w14:val="none"/>
        </w:rPr>
        <w:t>. Harlow: Pearson Education.</w:t>
      </w:r>
    </w:p>
    <w:p w14:paraId="73E61E31" w14:textId="0C7D503D"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Jones, P., Hillier, D. and Comfort, D. (2016) Sustainability in the hospitality industry: Some personal reflections on corporate challenges and research agendas, </w:t>
      </w:r>
      <w:r w:rsidRPr="00BA1817">
        <w:rPr>
          <w:rFonts w:ascii="Arial" w:eastAsia="Times New Roman" w:hAnsi="Arial" w:cs="Arial"/>
          <w:i/>
          <w:iCs/>
          <w:color w:val="0F1115"/>
          <w:kern w:val="0"/>
          <w:sz w:val="22"/>
          <w:szCs w:val="22"/>
          <w:lang w:eastAsia="en-GB"/>
          <w14:ligatures w14:val="none"/>
        </w:rPr>
        <w:t>International Journal of Contemporary Hospitality Management</w:t>
      </w:r>
      <w:r w:rsidRPr="00BA1817">
        <w:rPr>
          <w:rFonts w:ascii="Arial" w:eastAsia="Times New Roman" w:hAnsi="Arial" w:cs="Arial"/>
          <w:color w:val="0F1115"/>
          <w:kern w:val="0"/>
          <w:sz w:val="22"/>
          <w:szCs w:val="22"/>
          <w:lang w:eastAsia="en-GB"/>
          <w14:ligatures w14:val="none"/>
        </w:rPr>
        <w:t>, 28(1), pp. 36-67.</w:t>
      </w:r>
    </w:p>
    <w:p w14:paraId="5E2130D0"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Keller, K.L. (2013) </w:t>
      </w:r>
      <w:r w:rsidRPr="00BA1817">
        <w:rPr>
          <w:rFonts w:ascii="Arial" w:eastAsia="Times New Roman" w:hAnsi="Arial" w:cs="Arial"/>
          <w:i/>
          <w:iCs/>
          <w:color w:val="0F1115"/>
          <w:kern w:val="0"/>
          <w:sz w:val="22"/>
          <w:szCs w:val="22"/>
          <w:lang w:eastAsia="en-GB"/>
          <w14:ligatures w14:val="none"/>
        </w:rPr>
        <w:t>Strategic Brand Management: Building, Measuring, and Managing Brand Equity</w:t>
      </w:r>
      <w:r w:rsidRPr="00BA1817">
        <w:rPr>
          <w:rFonts w:ascii="Arial" w:eastAsia="Times New Roman" w:hAnsi="Arial" w:cs="Arial"/>
          <w:color w:val="0F1115"/>
          <w:kern w:val="0"/>
          <w:sz w:val="22"/>
          <w:szCs w:val="22"/>
          <w:lang w:eastAsia="en-GB"/>
          <w14:ligatures w14:val="none"/>
        </w:rPr>
        <w:t xml:space="preserve">. 4th </w:t>
      </w:r>
      <w:proofErr w:type="spellStart"/>
      <w:r w:rsidRPr="00BA1817">
        <w:rPr>
          <w:rFonts w:ascii="Arial" w:eastAsia="Times New Roman" w:hAnsi="Arial" w:cs="Arial"/>
          <w:color w:val="0F1115"/>
          <w:kern w:val="0"/>
          <w:sz w:val="22"/>
          <w:szCs w:val="22"/>
          <w:lang w:eastAsia="en-GB"/>
          <w14:ligatures w14:val="none"/>
        </w:rPr>
        <w:t>edn</w:t>
      </w:r>
      <w:proofErr w:type="spellEnd"/>
      <w:r w:rsidRPr="00BA1817">
        <w:rPr>
          <w:rFonts w:ascii="Arial" w:eastAsia="Times New Roman" w:hAnsi="Arial" w:cs="Arial"/>
          <w:color w:val="0F1115"/>
          <w:kern w:val="0"/>
          <w:sz w:val="22"/>
          <w:szCs w:val="22"/>
          <w:lang w:eastAsia="en-GB"/>
          <w14:ligatures w14:val="none"/>
        </w:rPr>
        <w:t>. Harlow: Pearson Education.</w:t>
      </w:r>
    </w:p>
    <w:p w14:paraId="3A5A94DF"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Kotler, P., Bowen, J.T. and Baloglu, S. (2017) </w:t>
      </w:r>
      <w:r w:rsidRPr="00BA1817">
        <w:rPr>
          <w:rFonts w:ascii="Arial" w:eastAsia="Times New Roman" w:hAnsi="Arial" w:cs="Arial"/>
          <w:i/>
          <w:iCs/>
          <w:color w:val="0F1115"/>
          <w:kern w:val="0"/>
          <w:sz w:val="22"/>
          <w:szCs w:val="22"/>
          <w:lang w:eastAsia="en-GB"/>
          <w14:ligatures w14:val="none"/>
        </w:rPr>
        <w:t>Marketing for Hospitality and Tourism</w:t>
      </w:r>
      <w:r w:rsidRPr="00BA1817">
        <w:rPr>
          <w:rFonts w:ascii="Arial" w:eastAsia="Times New Roman" w:hAnsi="Arial" w:cs="Arial"/>
          <w:color w:val="0F1115"/>
          <w:kern w:val="0"/>
          <w:sz w:val="22"/>
          <w:szCs w:val="22"/>
          <w:lang w:eastAsia="en-GB"/>
          <w14:ligatures w14:val="none"/>
        </w:rPr>
        <w:t xml:space="preserve">. 7th </w:t>
      </w:r>
      <w:proofErr w:type="spellStart"/>
      <w:r w:rsidRPr="00BA1817">
        <w:rPr>
          <w:rFonts w:ascii="Arial" w:eastAsia="Times New Roman" w:hAnsi="Arial" w:cs="Arial"/>
          <w:color w:val="0F1115"/>
          <w:kern w:val="0"/>
          <w:sz w:val="22"/>
          <w:szCs w:val="22"/>
          <w:lang w:eastAsia="en-GB"/>
          <w14:ligatures w14:val="none"/>
        </w:rPr>
        <w:t>edn</w:t>
      </w:r>
      <w:proofErr w:type="spellEnd"/>
      <w:r w:rsidRPr="00BA1817">
        <w:rPr>
          <w:rFonts w:ascii="Arial" w:eastAsia="Times New Roman" w:hAnsi="Arial" w:cs="Arial"/>
          <w:color w:val="0F1115"/>
          <w:kern w:val="0"/>
          <w:sz w:val="22"/>
          <w:szCs w:val="22"/>
          <w:lang w:eastAsia="en-GB"/>
          <w14:ligatures w14:val="none"/>
        </w:rPr>
        <w:t>. Harlow: Pearson Education.</w:t>
      </w:r>
    </w:p>
    <w:p w14:paraId="400E0BC6" w14:textId="4E9CABC9"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Mendelow, A.L. (1991) Proceedings of the Second International Conference on Information Systems, cited in </w:t>
      </w:r>
      <w:r w:rsidR="009B273B" w:rsidRPr="00BA1817">
        <w:rPr>
          <w:rFonts w:ascii="Arial" w:eastAsia="Times New Roman" w:hAnsi="Arial" w:cs="Arial"/>
          <w:color w:val="0F1115"/>
          <w:kern w:val="0"/>
          <w:sz w:val="22"/>
          <w:szCs w:val="22"/>
          <w:lang w:eastAsia="en-GB"/>
          <w14:ligatures w14:val="none"/>
        </w:rPr>
        <w:t>Open Learn</w:t>
      </w:r>
      <w:r w:rsidRPr="00BA1817">
        <w:rPr>
          <w:rFonts w:ascii="Arial" w:eastAsia="Times New Roman" w:hAnsi="Arial" w:cs="Arial"/>
          <w:color w:val="0F1115"/>
          <w:kern w:val="0"/>
          <w:sz w:val="22"/>
          <w:szCs w:val="22"/>
          <w:lang w:eastAsia="en-GB"/>
          <w14:ligatures w14:val="none"/>
        </w:rPr>
        <w:t xml:space="preserve"> (n.d.) </w:t>
      </w:r>
      <w:r w:rsidRPr="00BA1817">
        <w:rPr>
          <w:rFonts w:ascii="Arial" w:eastAsia="Times New Roman" w:hAnsi="Arial" w:cs="Arial"/>
          <w:i/>
          <w:iCs/>
          <w:color w:val="0F1115"/>
          <w:kern w:val="0"/>
          <w:sz w:val="22"/>
          <w:szCs w:val="22"/>
          <w:lang w:eastAsia="en-GB"/>
          <w14:ligatures w14:val="none"/>
        </w:rPr>
        <w:t>Hybrid working: change management</w:t>
      </w:r>
      <w:r w:rsidRPr="00BA1817">
        <w:rPr>
          <w:rFonts w:ascii="Arial" w:eastAsia="Times New Roman" w:hAnsi="Arial" w:cs="Arial"/>
          <w:color w:val="0F1115"/>
          <w:kern w:val="0"/>
          <w:sz w:val="22"/>
          <w:szCs w:val="22"/>
          <w:lang w:eastAsia="en-GB"/>
          <w14:ligatures w14:val="none"/>
        </w:rPr>
        <w:t>. Available at: The Open University.</w:t>
      </w:r>
    </w:p>
    <w:p w14:paraId="75E67FD2" w14:textId="742DD27B"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proofErr w:type="spellStart"/>
      <w:r w:rsidRPr="00BA1817">
        <w:rPr>
          <w:rFonts w:ascii="Arial" w:eastAsia="Times New Roman" w:hAnsi="Arial" w:cs="Arial"/>
          <w:color w:val="0F1115"/>
          <w:kern w:val="0"/>
          <w:sz w:val="22"/>
          <w:szCs w:val="22"/>
          <w:lang w:eastAsia="en-GB"/>
          <w14:ligatures w14:val="none"/>
        </w:rPr>
        <w:t>Neuhofer</w:t>
      </w:r>
      <w:proofErr w:type="spellEnd"/>
      <w:r w:rsidRPr="00BA1817">
        <w:rPr>
          <w:rFonts w:ascii="Arial" w:eastAsia="Times New Roman" w:hAnsi="Arial" w:cs="Arial"/>
          <w:color w:val="0F1115"/>
          <w:kern w:val="0"/>
          <w:sz w:val="22"/>
          <w:szCs w:val="22"/>
          <w:lang w:eastAsia="en-GB"/>
          <w14:ligatures w14:val="none"/>
        </w:rPr>
        <w:t xml:space="preserve">, B., </w:t>
      </w:r>
      <w:proofErr w:type="spellStart"/>
      <w:r w:rsidRPr="00BA1817">
        <w:rPr>
          <w:rFonts w:ascii="Arial" w:eastAsia="Times New Roman" w:hAnsi="Arial" w:cs="Arial"/>
          <w:color w:val="0F1115"/>
          <w:kern w:val="0"/>
          <w:sz w:val="22"/>
          <w:szCs w:val="22"/>
          <w:lang w:eastAsia="en-GB"/>
          <w14:ligatures w14:val="none"/>
        </w:rPr>
        <w:t>Buhalis</w:t>
      </w:r>
      <w:proofErr w:type="spellEnd"/>
      <w:r w:rsidRPr="00BA1817">
        <w:rPr>
          <w:rFonts w:ascii="Arial" w:eastAsia="Times New Roman" w:hAnsi="Arial" w:cs="Arial"/>
          <w:color w:val="0F1115"/>
          <w:kern w:val="0"/>
          <w:sz w:val="22"/>
          <w:szCs w:val="22"/>
          <w:lang w:eastAsia="en-GB"/>
          <w14:ligatures w14:val="none"/>
        </w:rPr>
        <w:t xml:space="preserve">, D. and </w:t>
      </w:r>
      <w:proofErr w:type="spellStart"/>
      <w:r w:rsidRPr="00BA1817">
        <w:rPr>
          <w:rFonts w:ascii="Arial" w:eastAsia="Times New Roman" w:hAnsi="Arial" w:cs="Arial"/>
          <w:color w:val="0F1115"/>
          <w:kern w:val="0"/>
          <w:sz w:val="22"/>
          <w:szCs w:val="22"/>
          <w:lang w:eastAsia="en-GB"/>
          <w14:ligatures w14:val="none"/>
        </w:rPr>
        <w:t>Ladkin</w:t>
      </w:r>
      <w:proofErr w:type="spellEnd"/>
      <w:r w:rsidRPr="00BA1817">
        <w:rPr>
          <w:rFonts w:ascii="Arial" w:eastAsia="Times New Roman" w:hAnsi="Arial" w:cs="Arial"/>
          <w:color w:val="0F1115"/>
          <w:kern w:val="0"/>
          <w:sz w:val="22"/>
          <w:szCs w:val="22"/>
          <w:lang w:eastAsia="en-GB"/>
          <w14:ligatures w14:val="none"/>
        </w:rPr>
        <w:t>, A. (2015) Smart technologies for personalized experiences: a case study in the hospitality domain, </w:t>
      </w:r>
      <w:r w:rsidRPr="00BA1817">
        <w:rPr>
          <w:rFonts w:ascii="Arial" w:eastAsia="Times New Roman" w:hAnsi="Arial" w:cs="Arial"/>
          <w:i/>
          <w:iCs/>
          <w:color w:val="0F1115"/>
          <w:kern w:val="0"/>
          <w:sz w:val="22"/>
          <w:szCs w:val="22"/>
          <w:lang w:eastAsia="en-GB"/>
          <w14:ligatures w14:val="none"/>
        </w:rPr>
        <w:t>Electronic Markets</w:t>
      </w:r>
      <w:r w:rsidRPr="00BA1817">
        <w:rPr>
          <w:rFonts w:ascii="Arial" w:eastAsia="Times New Roman" w:hAnsi="Arial" w:cs="Arial"/>
          <w:color w:val="0F1115"/>
          <w:kern w:val="0"/>
          <w:sz w:val="22"/>
          <w:szCs w:val="22"/>
          <w:lang w:eastAsia="en-GB"/>
          <w14:ligatures w14:val="none"/>
        </w:rPr>
        <w:t>, 25(3), pp. 243-254.</w:t>
      </w:r>
    </w:p>
    <w:p w14:paraId="26C293C7"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Phillips, R. (2003) </w:t>
      </w:r>
      <w:r w:rsidRPr="00BA1817">
        <w:rPr>
          <w:rFonts w:ascii="Arial" w:eastAsia="Times New Roman" w:hAnsi="Arial" w:cs="Arial"/>
          <w:i/>
          <w:iCs/>
          <w:color w:val="0F1115"/>
          <w:kern w:val="0"/>
          <w:sz w:val="22"/>
          <w:szCs w:val="22"/>
          <w:lang w:eastAsia="en-GB"/>
          <w14:ligatures w14:val="none"/>
        </w:rPr>
        <w:t>Stakeholder Theory and Organizational Ethics</w:t>
      </w:r>
      <w:r w:rsidRPr="00BA1817">
        <w:rPr>
          <w:rFonts w:ascii="Arial" w:eastAsia="Times New Roman" w:hAnsi="Arial" w:cs="Arial"/>
          <w:color w:val="0F1115"/>
          <w:kern w:val="0"/>
          <w:sz w:val="22"/>
          <w:szCs w:val="22"/>
          <w:lang w:eastAsia="en-GB"/>
          <w14:ligatures w14:val="none"/>
        </w:rPr>
        <w:t>. San Francisco: Berrett-Koehler Publishers.</w:t>
      </w:r>
    </w:p>
    <w:p w14:paraId="11ABEFC5" w14:textId="5995B259"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Pike, S. and Page, S.J. (2014) Destination Marketing Organizations and destination marketing: A narrative analysis of the literature, </w:t>
      </w:r>
      <w:r w:rsidRPr="00BA1817">
        <w:rPr>
          <w:rFonts w:ascii="Arial" w:eastAsia="Times New Roman" w:hAnsi="Arial" w:cs="Arial"/>
          <w:i/>
          <w:iCs/>
          <w:color w:val="0F1115"/>
          <w:kern w:val="0"/>
          <w:sz w:val="22"/>
          <w:szCs w:val="22"/>
          <w:lang w:eastAsia="en-GB"/>
          <w14:ligatures w14:val="none"/>
        </w:rPr>
        <w:t>Tourism Management</w:t>
      </w:r>
      <w:r w:rsidRPr="00BA1817">
        <w:rPr>
          <w:rFonts w:ascii="Arial" w:eastAsia="Times New Roman" w:hAnsi="Arial" w:cs="Arial"/>
          <w:color w:val="0F1115"/>
          <w:kern w:val="0"/>
          <w:sz w:val="22"/>
          <w:szCs w:val="22"/>
          <w:lang w:eastAsia="en-GB"/>
          <w14:ligatures w14:val="none"/>
        </w:rPr>
        <w:t>, 41, pp. 202-227.</w:t>
      </w:r>
    </w:p>
    <w:p w14:paraId="0C1A0E12" w14:textId="56089FFE"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lastRenderedPageBreak/>
        <w:t>Porter, M.E. (1980) </w:t>
      </w:r>
      <w:r w:rsidRPr="00BA1817">
        <w:rPr>
          <w:rFonts w:ascii="Arial" w:eastAsia="Times New Roman" w:hAnsi="Arial" w:cs="Arial"/>
          <w:i/>
          <w:iCs/>
          <w:color w:val="0F1115"/>
          <w:kern w:val="0"/>
          <w:sz w:val="22"/>
          <w:szCs w:val="22"/>
          <w:lang w:eastAsia="en-GB"/>
          <w14:ligatures w14:val="none"/>
        </w:rPr>
        <w:t xml:space="preserve">Competitive Strategy: Techniques for </w:t>
      </w:r>
      <w:r w:rsidR="009B273B" w:rsidRPr="00BA1817">
        <w:rPr>
          <w:rFonts w:ascii="Arial" w:eastAsia="Times New Roman" w:hAnsi="Arial" w:cs="Arial"/>
          <w:i/>
          <w:iCs/>
          <w:color w:val="0F1115"/>
          <w:kern w:val="0"/>
          <w:sz w:val="22"/>
          <w:szCs w:val="22"/>
          <w:lang w:eastAsia="en-GB"/>
          <w14:ligatures w14:val="none"/>
        </w:rPr>
        <w:t>Analysing</w:t>
      </w:r>
      <w:r w:rsidRPr="00BA1817">
        <w:rPr>
          <w:rFonts w:ascii="Arial" w:eastAsia="Times New Roman" w:hAnsi="Arial" w:cs="Arial"/>
          <w:i/>
          <w:iCs/>
          <w:color w:val="0F1115"/>
          <w:kern w:val="0"/>
          <w:sz w:val="22"/>
          <w:szCs w:val="22"/>
          <w:lang w:eastAsia="en-GB"/>
          <w14:ligatures w14:val="none"/>
        </w:rPr>
        <w:t xml:space="preserve"> Industries and Competitors</w:t>
      </w:r>
      <w:r w:rsidRPr="00BA1817">
        <w:rPr>
          <w:rFonts w:ascii="Arial" w:eastAsia="Times New Roman" w:hAnsi="Arial" w:cs="Arial"/>
          <w:color w:val="0F1115"/>
          <w:kern w:val="0"/>
          <w:sz w:val="22"/>
          <w:szCs w:val="22"/>
          <w:lang w:eastAsia="en-GB"/>
          <w14:ligatures w14:val="none"/>
        </w:rPr>
        <w:t>. New York: Free Press.</w:t>
      </w:r>
    </w:p>
    <w:p w14:paraId="5E9A702D" w14:textId="03279371"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Porter, M.E. and Heppelmann, J.E. (2014) How Smart, Connected Products Are Transforming Competition, </w:t>
      </w:r>
      <w:r w:rsidRPr="00BA1817">
        <w:rPr>
          <w:rFonts w:ascii="Arial" w:eastAsia="Times New Roman" w:hAnsi="Arial" w:cs="Arial"/>
          <w:i/>
          <w:iCs/>
          <w:color w:val="0F1115"/>
          <w:kern w:val="0"/>
          <w:sz w:val="22"/>
          <w:szCs w:val="22"/>
          <w:lang w:eastAsia="en-GB"/>
          <w14:ligatures w14:val="none"/>
        </w:rPr>
        <w:t>Harvard Business Review</w:t>
      </w:r>
      <w:r w:rsidRPr="00BA1817">
        <w:rPr>
          <w:rFonts w:ascii="Arial" w:eastAsia="Times New Roman" w:hAnsi="Arial" w:cs="Arial"/>
          <w:color w:val="0F1115"/>
          <w:kern w:val="0"/>
          <w:sz w:val="22"/>
          <w:szCs w:val="22"/>
          <w:lang w:eastAsia="en-GB"/>
          <w14:ligatures w14:val="none"/>
        </w:rPr>
        <w:t>, 92(11), pp. 64-88.</w:t>
      </w:r>
    </w:p>
    <w:p w14:paraId="65CE4B8E" w14:textId="37204D86"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Prahalad, C.K. and Ramaswamy, V. (2004) Co-creation experiences: The next practice in value creation, </w:t>
      </w:r>
      <w:r w:rsidRPr="00BA1817">
        <w:rPr>
          <w:rFonts w:ascii="Arial" w:eastAsia="Times New Roman" w:hAnsi="Arial" w:cs="Arial"/>
          <w:i/>
          <w:iCs/>
          <w:color w:val="0F1115"/>
          <w:kern w:val="0"/>
          <w:sz w:val="22"/>
          <w:szCs w:val="22"/>
          <w:lang w:eastAsia="en-GB"/>
          <w14:ligatures w14:val="none"/>
        </w:rPr>
        <w:t>Journal of Interactive Marketing</w:t>
      </w:r>
      <w:r w:rsidRPr="00BA1817">
        <w:rPr>
          <w:rFonts w:ascii="Arial" w:eastAsia="Times New Roman" w:hAnsi="Arial" w:cs="Arial"/>
          <w:color w:val="0F1115"/>
          <w:kern w:val="0"/>
          <w:sz w:val="22"/>
          <w:szCs w:val="22"/>
          <w:lang w:eastAsia="en-GB"/>
          <w14:ligatures w14:val="none"/>
        </w:rPr>
        <w:t>, 18(3), pp. 5-14.</w:t>
      </w:r>
    </w:p>
    <w:p w14:paraId="3635854A" w14:textId="6BCEFFF0"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Taddeo, M. and </w:t>
      </w:r>
      <w:proofErr w:type="spellStart"/>
      <w:r w:rsidRPr="00BA1817">
        <w:rPr>
          <w:rFonts w:ascii="Arial" w:eastAsia="Times New Roman" w:hAnsi="Arial" w:cs="Arial"/>
          <w:color w:val="0F1115"/>
          <w:kern w:val="0"/>
          <w:sz w:val="22"/>
          <w:szCs w:val="22"/>
          <w:lang w:eastAsia="en-GB"/>
          <w14:ligatures w14:val="none"/>
        </w:rPr>
        <w:t>Floridi</w:t>
      </w:r>
      <w:proofErr w:type="spellEnd"/>
      <w:r w:rsidRPr="00BA1817">
        <w:rPr>
          <w:rFonts w:ascii="Arial" w:eastAsia="Times New Roman" w:hAnsi="Arial" w:cs="Arial"/>
          <w:color w:val="0F1115"/>
          <w:kern w:val="0"/>
          <w:sz w:val="22"/>
          <w:szCs w:val="22"/>
          <w:lang w:eastAsia="en-GB"/>
          <w14:ligatures w14:val="none"/>
        </w:rPr>
        <w:t xml:space="preserve">, L. (2017) The moral responsibilities of online service providers, in Taddeo, M. and </w:t>
      </w:r>
      <w:proofErr w:type="spellStart"/>
      <w:r w:rsidRPr="00BA1817">
        <w:rPr>
          <w:rFonts w:ascii="Arial" w:eastAsia="Times New Roman" w:hAnsi="Arial" w:cs="Arial"/>
          <w:color w:val="0F1115"/>
          <w:kern w:val="0"/>
          <w:sz w:val="22"/>
          <w:szCs w:val="22"/>
          <w:lang w:eastAsia="en-GB"/>
          <w14:ligatures w14:val="none"/>
        </w:rPr>
        <w:t>Floridi</w:t>
      </w:r>
      <w:proofErr w:type="spellEnd"/>
      <w:r w:rsidRPr="00BA1817">
        <w:rPr>
          <w:rFonts w:ascii="Arial" w:eastAsia="Times New Roman" w:hAnsi="Arial" w:cs="Arial"/>
          <w:color w:val="0F1115"/>
          <w:kern w:val="0"/>
          <w:sz w:val="22"/>
          <w:szCs w:val="22"/>
          <w:lang w:eastAsia="en-GB"/>
          <w14:ligatures w14:val="none"/>
        </w:rPr>
        <w:t>, L. (eds.) </w:t>
      </w:r>
      <w:r w:rsidRPr="00BA1817">
        <w:rPr>
          <w:rFonts w:ascii="Arial" w:eastAsia="Times New Roman" w:hAnsi="Arial" w:cs="Arial"/>
          <w:i/>
          <w:iCs/>
          <w:color w:val="0F1115"/>
          <w:kern w:val="0"/>
          <w:sz w:val="22"/>
          <w:szCs w:val="22"/>
          <w:lang w:eastAsia="en-GB"/>
          <w14:ligatures w14:val="none"/>
        </w:rPr>
        <w:t>The Responsibilities of Online Service Providers</w:t>
      </w:r>
      <w:r w:rsidRPr="00BA1817">
        <w:rPr>
          <w:rFonts w:ascii="Arial" w:eastAsia="Times New Roman" w:hAnsi="Arial" w:cs="Arial"/>
          <w:color w:val="0F1115"/>
          <w:kern w:val="0"/>
          <w:sz w:val="22"/>
          <w:szCs w:val="22"/>
          <w:lang w:eastAsia="en-GB"/>
          <w14:ligatures w14:val="none"/>
        </w:rPr>
        <w:t>. Cham: Springer, pp. 1-9.</w:t>
      </w:r>
    </w:p>
    <w:p w14:paraId="3E4747A4" w14:textId="12BCCCA0"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Tjosvold, D. (2008) The conflict-positive organization: It depends upon us, </w:t>
      </w:r>
      <w:r w:rsidRPr="00BA1817">
        <w:rPr>
          <w:rFonts w:ascii="Arial" w:eastAsia="Times New Roman" w:hAnsi="Arial" w:cs="Arial"/>
          <w:i/>
          <w:iCs/>
          <w:color w:val="0F1115"/>
          <w:kern w:val="0"/>
          <w:sz w:val="22"/>
          <w:szCs w:val="22"/>
          <w:lang w:eastAsia="en-GB"/>
          <w14:ligatures w14:val="none"/>
        </w:rPr>
        <w:t xml:space="preserve">Journal of Organizational </w:t>
      </w:r>
      <w:r w:rsidR="009B273B" w:rsidRPr="00BA1817">
        <w:rPr>
          <w:rFonts w:ascii="Arial" w:eastAsia="Times New Roman" w:hAnsi="Arial" w:cs="Arial"/>
          <w:i/>
          <w:iCs/>
          <w:color w:val="0F1115"/>
          <w:kern w:val="0"/>
          <w:sz w:val="22"/>
          <w:szCs w:val="22"/>
          <w:lang w:eastAsia="en-GB"/>
          <w14:ligatures w14:val="none"/>
        </w:rPr>
        <w:t>Behaviour</w:t>
      </w:r>
      <w:r w:rsidRPr="00BA1817">
        <w:rPr>
          <w:rFonts w:ascii="Arial" w:eastAsia="Times New Roman" w:hAnsi="Arial" w:cs="Arial"/>
          <w:color w:val="0F1115"/>
          <w:kern w:val="0"/>
          <w:sz w:val="22"/>
          <w:szCs w:val="22"/>
          <w:lang w:eastAsia="en-GB"/>
          <w14:ligatures w14:val="none"/>
        </w:rPr>
        <w:t>, 29(1), pp. 19-28.</w:t>
      </w:r>
    </w:p>
    <w:p w14:paraId="4F943DA9" w14:textId="77777777" w:rsidR="000336D2" w:rsidRPr="00BA1817" w:rsidRDefault="000336D2" w:rsidP="000336D2">
      <w:pPr>
        <w:spacing w:before="240" w:after="24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 xml:space="preserve">Voigt, P. and Von </w:t>
      </w:r>
      <w:proofErr w:type="spellStart"/>
      <w:r w:rsidRPr="00BA1817">
        <w:rPr>
          <w:rFonts w:ascii="Arial" w:eastAsia="Times New Roman" w:hAnsi="Arial" w:cs="Arial"/>
          <w:color w:val="0F1115"/>
          <w:kern w:val="0"/>
          <w:sz w:val="22"/>
          <w:szCs w:val="22"/>
          <w:lang w:eastAsia="en-GB"/>
          <w14:ligatures w14:val="none"/>
        </w:rPr>
        <w:t>dem</w:t>
      </w:r>
      <w:proofErr w:type="spellEnd"/>
      <w:r w:rsidRPr="00BA1817">
        <w:rPr>
          <w:rFonts w:ascii="Arial" w:eastAsia="Times New Roman" w:hAnsi="Arial" w:cs="Arial"/>
          <w:color w:val="0F1115"/>
          <w:kern w:val="0"/>
          <w:sz w:val="22"/>
          <w:szCs w:val="22"/>
          <w:lang w:eastAsia="en-GB"/>
          <w14:ligatures w14:val="none"/>
        </w:rPr>
        <w:t xml:space="preserve"> </w:t>
      </w:r>
      <w:proofErr w:type="spellStart"/>
      <w:r w:rsidRPr="00BA1817">
        <w:rPr>
          <w:rFonts w:ascii="Arial" w:eastAsia="Times New Roman" w:hAnsi="Arial" w:cs="Arial"/>
          <w:color w:val="0F1115"/>
          <w:kern w:val="0"/>
          <w:sz w:val="22"/>
          <w:szCs w:val="22"/>
          <w:lang w:eastAsia="en-GB"/>
          <w14:ligatures w14:val="none"/>
        </w:rPr>
        <w:t>Bussche</w:t>
      </w:r>
      <w:proofErr w:type="spellEnd"/>
      <w:r w:rsidRPr="00BA1817">
        <w:rPr>
          <w:rFonts w:ascii="Arial" w:eastAsia="Times New Roman" w:hAnsi="Arial" w:cs="Arial"/>
          <w:color w:val="0F1115"/>
          <w:kern w:val="0"/>
          <w:sz w:val="22"/>
          <w:szCs w:val="22"/>
          <w:lang w:eastAsia="en-GB"/>
          <w14:ligatures w14:val="none"/>
        </w:rPr>
        <w:t>, A. (2017) </w:t>
      </w:r>
      <w:r w:rsidRPr="00BA1817">
        <w:rPr>
          <w:rFonts w:ascii="Arial" w:eastAsia="Times New Roman" w:hAnsi="Arial" w:cs="Arial"/>
          <w:i/>
          <w:iCs/>
          <w:color w:val="0F1115"/>
          <w:kern w:val="0"/>
          <w:sz w:val="22"/>
          <w:szCs w:val="22"/>
          <w:lang w:eastAsia="en-GB"/>
          <w14:ligatures w14:val="none"/>
        </w:rPr>
        <w:t>The EU General Data Protection Regulation (GDPR): A Practical Guide</w:t>
      </w:r>
      <w:r w:rsidRPr="00BA1817">
        <w:rPr>
          <w:rFonts w:ascii="Arial" w:eastAsia="Times New Roman" w:hAnsi="Arial" w:cs="Arial"/>
          <w:color w:val="0F1115"/>
          <w:kern w:val="0"/>
          <w:sz w:val="22"/>
          <w:szCs w:val="22"/>
          <w:lang w:eastAsia="en-GB"/>
          <w14:ligatures w14:val="none"/>
        </w:rPr>
        <w:t>. Cham: Springer.</w:t>
      </w:r>
    </w:p>
    <w:p w14:paraId="050E697E" w14:textId="4CB2EA20" w:rsidR="000336D2" w:rsidRPr="00BA1817" w:rsidRDefault="000336D2" w:rsidP="000336D2">
      <w:pPr>
        <w:spacing w:before="240" w:after="0" w:line="360" w:lineRule="auto"/>
        <w:rPr>
          <w:rFonts w:ascii="Arial" w:eastAsia="Times New Roman" w:hAnsi="Arial" w:cs="Arial"/>
          <w:color w:val="0F1115"/>
          <w:kern w:val="0"/>
          <w:sz w:val="22"/>
          <w:szCs w:val="22"/>
          <w:lang w:eastAsia="en-GB"/>
          <w14:ligatures w14:val="none"/>
        </w:rPr>
      </w:pPr>
      <w:r w:rsidRPr="00BA1817">
        <w:rPr>
          <w:rFonts w:ascii="Arial" w:eastAsia="Times New Roman" w:hAnsi="Arial" w:cs="Arial"/>
          <w:color w:val="0F1115"/>
          <w:kern w:val="0"/>
          <w:sz w:val="22"/>
          <w:szCs w:val="22"/>
          <w:lang w:eastAsia="en-GB"/>
          <w14:ligatures w14:val="none"/>
        </w:rPr>
        <w:t>Z/Yen Group Limited (2003) Chapter 16: The Four C's, in </w:t>
      </w:r>
      <w:r w:rsidRPr="00BA1817">
        <w:rPr>
          <w:rFonts w:ascii="Arial" w:eastAsia="Times New Roman" w:hAnsi="Arial" w:cs="Arial"/>
          <w:i/>
          <w:iCs/>
          <w:color w:val="0F1115"/>
          <w:kern w:val="0"/>
          <w:sz w:val="22"/>
          <w:szCs w:val="22"/>
          <w:lang w:eastAsia="en-GB"/>
          <w14:ligatures w14:val="none"/>
        </w:rPr>
        <w:t>IT in the Not-for-Profit Sector</w:t>
      </w:r>
      <w:r w:rsidRPr="00BA1817">
        <w:rPr>
          <w:rFonts w:ascii="Arial" w:eastAsia="Times New Roman" w:hAnsi="Arial" w:cs="Arial"/>
          <w:color w:val="0F1115"/>
          <w:kern w:val="0"/>
          <w:sz w:val="22"/>
          <w:szCs w:val="22"/>
          <w:lang w:eastAsia="en-GB"/>
          <w14:ligatures w14:val="none"/>
        </w:rPr>
        <w:t>. Available at: Z/Yen Group.</w:t>
      </w:r>
    </w:p>
    <w:p w14:paraId="14F1CC3C" w14:textId="77777777" w:rsidR="000336D2" w:rsidRPr="009315D0" w:rsidRDefault="000336D2" w:rsidP="000336D2">
      <w:pPr>
        <w:spacing w:line="360" w:lineRule="auto"/>
        <w:rPr>
          <w:rFonts w:ascii="Arial" w:hAnsi="Arial" w:cs="Arial"/>
          <w:sz w:val="22"/>
          <w:szCs w:val="22"/>
        </w:rPr>
      </w:pPr>
    </w:p>
    <w:p w14:paraId="766E0FC3" w14:textId="77777777" w:rsidR="000336D2" w:rsidRPr="00A948DA" w:rsidRDefault="000336D2" w:rsidP="007A065D">
      <w:pPr>
        <w:spacing w:line="360" w:lineRule="auto"/>
        <w:rPr>
          <w:rFonts w:ascii="Arial" w:hAnsi="Arial" w:cs="Arial"/>
          <w:b/>
          <w:bCs/>
          <w:sz w:val="22"/>
          <w:szCs w:val="22"/>
        </w:rPr>
      </w:pPr>
    </w:p>
    <w:sectPr w:rsidR="000336D2" w:rsidRPr="00A948D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18092" w14:textId="77777777" w:rsidR="00D03AEE" w:rsidRDefault="00D03AEE" w:rsidP="005A3847">
      <w:pPr>
        <w:spacing w:after="0" w:line="240" w:lineRule="auto"/>
      </w:pPr>
      <w:r>
        <w:separator/>
      </w:r>
    </w:p>
  </w:endnote>
  <w:endnote w:type="continuationSeparator" w:id="0">
    <w:p w14:paraId="7C9C5E4F" w14:textId="77777777" w:rsidR="00D03AEE" w:rsidRDefault="00D03AEE" w:rsidP="005A3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FF3B0" w14:textId="77777777" w:rsidR="005A3847" w:rsidRDefault="005A3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13328"/>
      <w:docPartObj>
        <w:docPartGallery w:val="Page Numbers (Bottom of Page)"/>
        <w:docPartUnique/>
      </w:docPartObj>
    </w:sdtPr>
    <w:sdtContent>
      <w:p w14:paraId="4BF1054D" w14:textId="49B77CEB" w:rsidR="009E6014" w:rsidRDefault="009E6014">
        <w:pPr>
          <w:pStyle w:val="Footer"/>
          <w:jc w:val="center"/>
        </w:pPr>
        <w:r>
          <w:fldChar w:fldCharType="begin"/>
        </w:r>
        <w:r>
          <w:instrText>PAGE   \* MERGEFORMAT</w:instrText>
        </w:r>
        <w:r>
          <w:fldChar w:fldCharType="separate"/>
        </w:r>
        <w:r>
          <w:t>2</w:t>
        </w:r>
        <w:r>
          <w:fldChar w:fldCharType="end"/>
        </w:r>
      </w:p>
    </w:sdtContent>
  </w:sdt>
  <w:p w14:paraId="41727E08" w14:textId="77777777" w:rsidR="005A3847" w:rsidRPr="005A3847" w:rsidRDefault="005A3847" w:rsidP="005A38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FF866" w14:textId="77777777" w:rsidR="005A3847" w:rsidRDefault="005A3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AC2B2" w14:textId="77777777" w:rsidR="00D03AEE" w:rsidRDefault="00D03AEE" w:rsidP="005A3847">
      <w:pPr>
        <w:spacing w:after="0" w:line="240" w:lineRule="auto"/>
      </w:pPr>
      <w:r>
        <w:separator/>
      </w:r>
    </w:p>
  </w:footnote>
  <w:footnote w:type="continuationSeparator" w:id="0">
    <w:p w14:paraId="40C142A4" w14:textId="77777777" w:rsidR="00D03AEE" w:rsidRDefault="00D03AEE" w:rsidP="005A3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6DCC" w14:textId="77777777" w:rsidR="005A3847" w:rsidRDefault="005A38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756DD" w14:textId="77777777" w:rsidR="005A3847" w:rsidRDefault="005A38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B8C71" w14:textId="77777777" w:rsidR="005A3847" w:rsidRDefault="005A38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75pt" o:hralign="center" o:bullet="t" o:hrstd="t" o:hr="t" fillcolor="#a0a0a0" stroked="f"/>
    </w:pict>
  </w:numPicBullet>
  <w:abstractNum w:abstractNumId="0" w15:restartNumberingAfterBreak="0">
    <w:nsid w:val="029A0E48"/>
    <w:multiLevelType w:val="multilevel"/>
    <w:tmpl w:val="37C4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C1FE0"/>
    <w:multiLevelType w:val="hybridMultilevel"/>
    <w:tmpl w:val="0E9A9280"/>
    <w:lvl w:ilvl="0" w:tplc="CC6034C0">
      <w:start w:val="4"/>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27870"/>
    <w:multiLevelType w:val="multilevel"/>
    <w:tmpl w:val="5208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B61551"/>
    <w:multiLevelType w:val="hybridMultilevel"/>
    <w:tmpl w:val="08840510"/>
    <w:lvl w:ilvl="0" w:tplc="72280006">
      <w:start w:val="1"/>
      <w:numFmt w:val="bullet"/>
      <w:lvlText w:val=""/>
      <w:lvlPicBulletId w:val="0"/>
      <w:lvlJc w:val="left"/>
      <w:pPr>
        <w:tabs>
          <w:tab w:val="num" w:pos="720"/>
        </w:tabs>
        <w:ind w:left="720" w:hanging="360"/>
      </w:pPr>
      <w:rPr>
        <w:rFonts w:ascii="Symbol" w:hAnsi="Symbol" w:hint="default"/>
      </w:rPr>
    </w:lvl>
    <w:lvl w:ilvl="1" w:tplc="281CFE00" w:tentative="1">
      <w:start w:val="1"/>
      <w:numFmt w:val="bullet"/>
      <w:lvlText w:val=""/>
      <w:lvlJc w:val="left"/>
      <w:pPr>
        <w:tabs>
          <w:tab w:val="num" w:pos="1440"/>
        </w:tabs>
        <w:ind w:left="1440" w:hanging="360"/>
      </w:pPr>
      <w:rPr>
        <w:rFonts w:ascii="Symbol" w:hAnsi="Symbol" w:hint="default"/>
      </w:rPr>
    </w:lvl>
    <w:lvl w:ilvl="2" w:tplc="E74615FE" w:tentative="1">
      <w:start w:val="1"/>
      <w:numFmt w:val="bullet"/>
      <w:lvlText w:val=""/>
      <w:lvlJc w:val="left"/>
      <w:pPr>
        <w:tabs>
          <w:tab w:val="num" w:pos="2160"/>
        </w:tabs>
        <w:ind w:left="2160" w:hanging="360"/>
      </w:pPr>
      <w:rPr>
        <w:rFonts w:ascii="Symbol" w:hAnsi="Symbol" w:hint="default"/>
      </w:rPr>
    </w:lvl>
    <w:lvl w:ilvl="3" w:tplc="F398D59A" w:tentative="1">
      <w:start w:val="1"/>
      <w:numFmt w:val="bullet"/>
      <w:lvlText w:val=""/>
      <w:lvlJc w:val="left"/>
      <w:pPr>
        <w:tabs>
          <w:tab w:val="num" w:pos="2880"/>
        </w:tabs>
        <w:ind w:left="2880" w:hanging="360"/>
      </w:pPr>
      <w:rPr>
        <w:rFonts w:ascii="Symbol" w:hAnsi="Symbol" w:hint="default"/>
      </w:rPr>
    </w:lvl>
    <w:lvl w:ilvl="4" w:tplc="02586646" w:tentative="1">
      <w:start w:val="1"/>
      <w:numFmt w:val="bullet"/>
      <w:lvlText w:val=""/>
      <w:lvlJc w:val="left"/>
      <w:pPr>
        <w:tabs>
          <w:tab w:val="num" w:pos="3600"/>
        </w:tabs>
        <w:ind w:left="3600" w:hanging="360"/>
      </w:pPr>
      <w:rPr>
        <w:rFonts w:ascii="Symbol" w:hAnsi="Symbol" w:hint="default"/>
      </w:rPr>
    </w:lvl>
    <w:lvl w:ilvl="5" w:tplc="FC000F18" w:tentative="1">
      <w:start w:val="1"/>
      <w:numFmt w:val="bullet"/>
      <w:lvlText w:val=""/>
      <w:lvlJc w:val="left"/>
      <w:pPr>
        <w:tabs>
          <w:tab w:val="num" w:pos="4320"/>
        </w:tabs>
        <w:ind w:left="4320" w:hanging="360"/>
      </w:pPr>
      <w:rPr>
        <w:rFonts w:ascii="Symbol" w:hAnsi="Symbol" w:hint="default"/>
      </w:rPr>
    </w:lvl>
    <w:lvl w:ilvl="6" w:tplc="77A80064" w:tentative="1">
      <w:start w:val="1"/>
      <w:numFmt w:val="bullet"/>
      <w:lvlText w:val=""/>
      <w:lvlJc w:val="left"/>
      <w:pPr>
        <w:tabs>
          <w:tab w:val="num" w:pos="5040"/>
        </w:tabs>
        <w:ind w:left="5040" w:hanging="360"/>
      </w:pPr>
      <w:rPr>
        <w:rFonts w:ascii="Symbol" w:hAnsi="Symbol" w:hint="default"/>
      </w:rPr>
    </w:lvl>
    <w:lvl w:ilvl="7" w:tplc="713C9F66" w:tentative="1">
      <w:start w:val="1"/>
      <w:numFmt w:val="bullet"/>
      <w:lvlText w:val=""/>
      <w:lvlJc w:val="left"/>
      <w:pPr>
        <w:tabs>
          <w:tab w:val="num" w:pos="5760"/>
        </w:tabs>
        <w:ind w:left="5760" w:hanging="360"/>
      </w:pPr>
      <w:rPr>
        <w:rFonts w:ascii="Symbol" w:hAnsi="Symbol" w:hint="default"/>
      </w:rPr>
    </w:lvl>
    <w:lvl w:ilvl="8" w:tplc="9F06576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86604D1"/>
    <w:multiLevelType w:val="multilevel"/>
    <w:tmpl w:val="F610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767F12"/>
    <w:multiLevelType w:val="hybridMultilevel"/>
    <w:tmpl w:val="F7E80354"/>
    <w:lvl w:ilvl="0" w:tplc="0756CBE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DD24D0"/>
    <w:multiLevelType w:val="hybridMultilevel"/>
    <w:tmpl w:val="2E140D86"/>
    <w:lvl w:ilvl="0" w:tplc="CC6034C0">
      <w:start w:val="4"/>
      <w:numFmt w:val="bullet"/>
      <w:lvlText w:val="-"/>
      <w:lvlJc w:val="left"/>
      <w:pPr>
        <w:ind w:left="1030" w:hanging="360"/>
      </w:pPr>
      <w:rPr>
        <w:rFonts w:ascii="Arial" w:eastAsia="Times New Roman" w:hAnsi="Arial" w:cs="Arial" w:hint="default"/>
        <w:b/>
      </w:rPr>
    </w:lvl>
    <w:lvl w:ilvl="1" w:tplc="08090003" w:tentative="1">
      <w:start w:val="1"/>
      <w:numFmt w:val="bullet"/>
      <w:lvlText w:val="o"/>
      <w:lvlJc w:val="left"/>
      <w:pPr>
        <w:ind w:left="1750" w:hanging="360"/>
      </w:pPr>
      <w:rPr>
        <w:rFonts w:ascii="Courier New" w:hAnsi="Courier New" w:cs="Courier New" w:hint="default"/>
      </w:rPr>
    </w:lvl>
    <w:lvl w:ilvl="2" w:tplc="08090005" w:tentative="1">
      <w:start w:val="1"/>
      <w:numFmt w:val="bullet"/>
      <w:lvlText w:val=""/>
      <w:lvlJc w:val="left"/>
      <w:pPr>
        <w:ind w:left="2470" w:hanging="360"/>
      </w:pPr>
      <w:rPr>
        <w:rFonts w:ascii="Wingdings" w:hAnsi="Wingdings" w:hint="default"/>
      </w:rPr>
    </w:lvl>
    <w:lvl w:ilvl="3" w:tplc="08090001" w:tentative="1">
      <w:start w:val="1"/>
      <w:numFmt w:val="bullet"/>
      <w:lvlText w:val=""/>
      <w:lvlJc w:val="left"/>
      <w:pPr>
        <w:ind w:left="3190" w:hanging="360"/>
      </w:pPr>
      <w:rPr>
        <w:rFonts w:ascii="Symbol" w:hAnsi="Symbol" w:hint="default"/>
      </w:rPr>
    </w:lvl>
    <w:lvl w:ilvl="4" w:tplc="08090003" w:tentative="1">
      <w:start w:val="1"/>
      <w:numFmt w:val="bullet"/>
      <w:lvlText w:val="o"/>
      <w:lvlJc w:val="left"/>
      <w:pPr>
        <w:ind w:left="3910" w:hanging="360"/>
      </w:pPr>
      <w:rPr>
        <w:rFonts w:ascii="Courier New" w:hAnsi="Courier New" w:cs="Courier New" w:hint="default"/>
      </w:rPr>
    </w:lvl>
    <w:lvl w:ilvl="5" w:tplc="08090005" w:tentative="1">
      <w:start w:val="1"/>
      <w:numFmt w:val="bullet"/>
      <w:lvlText w:val=""/>
      <w:lvlJc w:val="left"/>
      <w:pPr>
        <w:ind w:left="4630" w:hanging="360"/>
      </w:pPr>
      <w:rPr>
        <w:rFonts w:ascii="Wingdings" w:hAnsi="Wingdings" w:hint="default"/>
      </w:rPr>
    </w:lvl>
    <w:lvl w:ilvl="6" w:tplc="08090001" w:tentative="1">
      <w:start w:val="1"/>
      <w:numFmt w:val="bullet"/>
      <w:lvlText w:val=""/>
      <w:lvlJc w:val="left"/>
      <w:pPr>
        <w:ind w:left="5350" w:hanging="360"/>
      </w:pPr>
      <w:rPr>
        <w:rFonts w:ascii="Symbol" w:hAnsi="Symbol" w:hint="default"/>
      </w:rPr>
    </w:lvl>
    <w:lvl w:ilvl="7" w:tplc="08090003" w:tentative="1">
      <w:start w:val="1"/>
      <w:numFmt w:val="bullet"/>
      <w:lvlText w:val="o"/>
      <w:lvlJc w:val="left"/>
      <w:pPr>
        <w:ind w:left="6070" w:hanging="360"/>
      </w:pPr>
      <w:rPr>
        <w:rFonts w:ascii="Courier New" w:hAnsi="Courier New" w:cs="Courier New" w:hint="default"/>
      </w:rPr>
    </w:lvl>
    <w:lvl w:ilvl="8" w:tplc="08090005" w:tentative="1">
      <w:start w:val="1"/>
      <w:numFmt w:val="bullet"/>
      <w:lvlText w:val=""/>
      <w:lvlJc w:val="left"/>
      <w:pPr>
        <w:ind w:left="6790" w:hanging="360"/>
      </w:pPr>
      <w:rPr>
        <w:rFonts w:ascii="Wingdings" w:hAnsi="Wingdings" w:hint="default"/>
      </w:rPr>
    </w:lvl>
  </w:abstractNum>
  <w:abstractNum w:abstractNumId="7" w15:restartNumberingAfterBreak="0">
    <w:nsid w:val="72CE268E"/>
    <w:multiLevelType w:val="multilevel"/>
    <w:tmpl w:val="9F26E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423A61"/>
    <w:multiLevelType w:val="multilevel"/>
    <w:tmpl w:val="B57E5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AA692B"/>
    <w:multiLevelType w:val="multilevel"/>
    <w:tmpl w:val="D3CA9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441460">
    <w:abstractNumId w:val="2"/>
  </w:num>
  <w:num w:numId="2" w16cid:durableId="717124562">
    <w:abstractNumId w:val="4"/>
  </w:num>
  <w:num w:numId="3" w16cid:durableId="2021737951">
    <w:abstractNumId w:val="0"/>
  </w:num>
  <w:num w:numId="4" w16cid:durableId="525606837">
    <w:abstractNumId w:val="9"/>
  </w:num>
  <w:num w:numId="5" w16cid:durableId="2023168481">
    <w:abstractNumId w:val="8"/>
  </w:num>
  <w:num w:numId="6" w16cid:durableId="1157189461">
    <w:abstractNumId w:val="7"/>
  </w:num>
  <w:num w:numId="7" w16cid:durableId="1565332178">
    <w:abstractNumId w:val="3"/>
  </w:num>
  <w:num w:numId="8" w16cid:durableId="708648176">
    <w:abstractNumId w:val="1"/>
  </w:num>
  <w:num w:numId="9" w16cid:durableId="589388418">
    <w:abstractNumId w:val="5"/>
  </w:num>
  <w:num w:numId="10" w16cid:durableId="15319910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7"/>
    <w:rsid w:val="000336D2"/>
    <w:rsid w:val="0009012A"/>
    <w:rsid w:val="000B645F"/>
    <w:rsid w:val="000C0069"/>
    <w:rsid w:val="00105742"/>
    <w:rsid w:val="001066C5"/>
    <w:rsid w:val="00132FBA"/>
    <w:rsid w:val="00224666"/>
    <w:rsid w:val="00242A16"/>
    <w:rsid w:val="002B0C18"/>
    <w:rsid w:val="002B3396"/>
    <w:rsid w:val="002C470C"/>
    <w:rsid w:val="00303A2D"/>
    <w:rsid w:val="00304FD7"/>
    <w:rsid w:val="00323893"/>
    <w:rsid w:val="00324C4B"/>
    <w:rsid w:val="003333CC"/>
    <w:rsid w:val="00374918"/>
    <w:rsid w:val="00380EC7"/>
    <w:rsid w:val="003A5AE8"/>
    <w:rsid w:val="003D06D0"/>
    <w:rsid w:val="003E64AE"/>
    <w:rsid w:val="00434BCF"/>
    <w:rsid w:val="0046577E"/>
    <w:rsid w:val="004C008C"/>
    <w:rsid w:val="004E1A80"/>
    <w:rsid w:val="005A3847"/>
    <w:rsid w:val="005C1E83"/>
    <w:rsid w:val="005D5862"/>
    <w:rsid w:val="006561DF"/>
    <w:rsid w:val="006D7A58"/>
    <w:rsid w:val="007160A6"/>
    <w:rsid w:val="00797240"/>
    <w:rsid w:val="007A065D"/>
    <w:rsid w:val="007D19AF"/>
    <w:rsid w:val="007D4348"/>
    <w:rsid w:val="0080074A"/>
    <w:rsid w:val="00832B99"/>
    <w:rsid w:val="00836BFE"/>
    <w:rsid w:val="00844860"/>
    <w:rsid w:val="008A4E00"/>
    <w:rsid w:val="008E3C5C"/>
    <w:rsid w:val="0095346E"/>
    <w:rsid w:val="0099725D"/>
    <w:rsid w:val="009B273B"/>
    <w:rsid w:val="009B4A6B"/>
    <w:rsid w:val="009C1BC5"/>
    <w:rsid w:val="009D1F27"/>
    <w:rsid w:val="009E6014"/>
    <w:rsid w:val="00A6021D"/>
    <w:rsid w:val="00A948DA"/>
    <w:rsid w:val="00AD4556"/>
    <w:rsid w:val="00AF48CC"/>
    <w:rsid w:val="00B10003"/>
    <w:rsid w:val="00B13093"/>
    <w:rsid w:val="00B254C7"/>
    <w:rsid w:val="00BD6537"/>
    <w:rsid w:val="00C0766B"/>
    <w:rsid w:val="00C134AD"/>
    <w:rsid w:val="00C44F21"/>
    <w:rsid w:val="00C62057"/>
    <w:rsid w:val="00C863AA"/>
    <w:rsid w:val="00C90DF3"/>
    <w:rsid w:val="00D03AEE"/>
    <w:rsid w:val="00D209B2"/>
    <w:rsid w:val="00D47985"/>
    <w:rsid w:val="00DA3B36"/>
    <w:rsid w:val="00DB4CB5"/>
    <w:rsid w:val="00DD53A2"/>
    <w:rsid w:val="00E035FA"/>
    <w:rsid w:val="00E1389F"/>
    <w:rsid w:val="00E354B3"/>
    <w:rsid w:val="00E55374"/>
    <w:rsid w:val="00EB3B94"/>
    <w:rsid w:val="00F66A3D"/>
    <w:rsid w:val="00F92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6C703"/>
  <w15:chartTrackingRefBased/>
  <w15:docId w15:val="{3097756B-BEA2-4F76-A33F-CFDF479E9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4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54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4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4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4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4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4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4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4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4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54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4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4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4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4C7"/>
    <w:rPr>
      <w:rFonts w:eastAsiaTheme="majorEastAsia" w:cstheme="majorBidi"/>
      <w:color w:val="272727" w:themeColor="text1" w:themeTint="D8"/>
    </w:rPr>
  </w:style>
  <w:style w:type="paragraph" w:styleId="Title">
    <w:name w:val="Title"/>
    <w:basedOn w:val="Normal"/>
    <w:next w:val="Normal"/>
    <w:link w:val="TitleChar"/>
    <w:uiPriority w:val="10"/>
    <w:qFormat/>
    <w:rsid w:val="00B254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4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4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4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4C7"/>
    <w:pPr>
      <w:spacing w:before="160"/>
      <w:jc w:val="center"/>
    </w:pPr>
    <w:rPr>
      <w:i/>
      <w:iCs/>
      <w:color w:val="404040" w:themeColor="text1" w:themeTint="BF"/>
    </w:rPr>
  </w:style>
  <w:style w:type="character" w:customStyle="1" w:styleId="QuoteChar">
    <w:name w:val="Quote Char"/>
    <w:basedOn w:val="DefaultParagraphFont"/>
    <w:link w:val="Quote"/>
    <w:uiPriority w:val="29"/>
    <w:rsid w:val="00B254C7"/>
    <w:rPr>
      <w:i/>
      <w:iCs/>
      <w:color w:val="404040" w:themeColor="text1" w:themeTint="BF"/>
    </w:rPr>
  </w:style>
  <w:style w:type="paragraph" w:styleId="ListParagraph">
    <w:name w:val="List Paragraph"/>
    <w:basedOn w:val="Normal"/>
    <w:uiPriority w:val="34"/>
    <w:qFormat/>
    <w:rsid w:val="00B254C7"/>
    <w:pPr>
      <w:ind w:left="720"/>
      <w:contextualSpacing/>
    </w:pPr>
  </w:style>
  <w:style w:type="character" w:styleId="IntenseEmphasis">
    <w:name w:val="Intense Emphasis"/>
    <w:basedOn w:val="DefaultParagraphFont"/>
    <w:uiPriority w:val="21"/>
    <w:qFormat/>
    <w:rsid w:val="00B254C7"/>
    <w:rPr>
      <w:i/>
      <w:iCs/>
      <w:color w:val="0F4761" w:themeColor="accent1" w:themeShade="BF"/>
    </w:rPr>
  </w:style>
  <w:style w:type="paragraph" w:styleId="IntenseQuote">
    <w:name w:val="Intense Quote"/>
    <w:basedOn w:val="Normal"/>
    <w:next w:val="Normal"/>
    <w:link w:val="IntenseQuoteChar"/>
    <w:uiPriority w:val="30"/>
    <w:qFormat/>
    <w:rsid w:val="00B254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4C7"/>
    <w:rPr>
      <w:i/>
      <w:iCs/>
      <w:color w:val="0F4761" w:themeColor="accent1" w:themeShade="BF"/>
    </w:rPr>
  </w:style>
  <w:style w:type="character" w:styleId="IntenseReference">
    <w:name w:val="Intense Reference"/>
    <w:basedOn w:val="DefaultParagraphFont"/>
    <w:uiPriority w:val="32"/>
    <w:qFormat/>
    <w:rsid w:val="00B254C7"/>
    <w:rPr>
      <w:b/>
      <w:bCs/>
      <w:smallCaps/>
      <w:color w:val="0F4761" w:themeColor="accent1" w:themeShade="BF"/>
      <w:spacing w:val="5"/>
    </w:rPr>
  </w:style>
  <w:style w:type="table" w:styleId="TableGrid">
    <w:name w:val="Table Grid"/>
    <w:basedOn w:val="TableNormal"/>
    <w:uiPriority w:val="39"/>
    <w:rsid w:val="00F92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3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847"/>
  </w:style>
  <w:style w:type="paragraph" w:styleId="Footer">
    <w:name w:val="footer"/>
    <w:basedOn w:val="Normal"/>
    <w:link w:val="FooterChar"/>
    <w:uiPriority w:val="99"/>
    <w:unhideWhenUsed/>
    <w:rsid w:val="005A3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847"/>
  </w:style>
  <w:style w:type="paragraph" w:styleId="NoSpacing">
    <w:name w:val="No Spacing"/>
    <w:uiPriority w:val="1"/>
    <w:qFormat/>
    <w:rsid w:val="00B13093"/>
    <w:pPr>
      <w:spacing w:after="0" w:line="240" w:lineRule="auto"/>
    </w:pPr>
  </w:style>
  <w:style w:type="paragraph" w:styleId="TOCHeading">
    <w:name w:val="TOC Heading"/>
    <w:basedOn w:val="Heading1"/>
    <w:next w:val="Normal"/>
    <w:uiPriority w:val="39"/>
    <w:unhideWhenUsed/>
    <w:qFormat/>
    <w:rsid w:val="005D586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D5862"/>
    <w:pPr>
      <w:spacing w:after="100"/>
    </w:pPr>
  </w:style>
  <w:style w:type="paragraph" w:styleId="TOC2">
    <w:name w:val="toc 2"/>
    <w:basedOn w:val="Normal"/>
    <w:next w:val="Normal"/>
    <w:autoRedefine/>
    <w:uiPriority w:val="39"/>
    <w:unhideWhenUsed/>
    <w:rsid w:val="005D5862"/>
    <w:pPr>
      <w:spacing w:after="100"/>
      <w:ind w:left="240"/>
    </w:pPr>
  </w:style>
  <w:style w:type="paragraph" w:styleId="TOC3">
    <w:name w:val="toc 3"/>
    <w:basedOn w:val="Normal"/>
    <w:next w:val="Normal"/>
    <w:autoRedefine/>
    <w:uiPriority w:val="39"/>
    <w:unhideWhenUsed/>
    <w:rsid w:val="005D5862"/>
    <w:pPr>
      <w:spacing w:after="100"/>
      <w:ind w:left="480"/>
    </w:pPr>
  </w:style>
  <w:style w:type="character" w:styleId="Hyperlink">
    <w:name w:val="Hyperlink"/>
    <w:basedOn w:val="DefaultParagraphFont"/>
    <w:uiPriority w:val="99"/>
    <w:unhideWhenUsed/>
    <w:rsid w:val="005D5862"/>
    <w:rPr>
      <w:color w:val="467886" w:themeColor="hyperlink"/>
      <w:u w:val="single"/>
    </w:rPr>
  </w:style>
  <w:style w:type="table" w:styleId="GridTable4-Accent2">
    <w:name w:val="Grid Table 4 Accent 2"/>
    <w:basedOn w:val="TableNormal"/>
    <w:uiPriority w:val="49"/>
    <w:rsid w:val="004E1A8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6D7A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6D7A5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D2312-FAEC-4918-B96B-DC9990737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19</Pages>
  <Words>4250</Words>
  <Characters>26564</Characters>
  <Application>Microsoft Office Word</Application>
  <DocSecurity>0</DocSecurity>
  <Lines>737</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Daniel-Nicolae Amisculesei (2411947)</dc:creator>
  <cp:keywords/>
  <dc:description/>
  <cp:lastModifiedBy>Daniel-Nicolae Amisculesei (2411947)</cp:lastModifiedBy>
  <cp:revision>35</cp:revision>
  <dcterms:created xsi:type="dcterms:W3CDTF">2026-03-14T10:51:00Z</dcterms:created>
  <dcterms:modified xsi:type="dcterms:W3CDTF">2026-03-21T14:56:00Z</dcterms:modified>
</cp:coreProperties>
</file>