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A0DE4" w14:textId="6991966B" w:rsidR="0092395C" w:rsidRPr="0092395C" w:rsidRDefault="0092395C" w:rsidP="0092395C">
      <w:pPr>
        <w:rPr>
          <w:rFonts w:ascii="Helvetica" w:hAnsi="Helvetica"/>
        </w:rPr>
      </w:pPr>
      <w:r w:rsidRPr="0092395C">
        <w:rPr>
          <w:rFonts w:ascii="Helvetica" w:hAnsi="Helvetica"/>
        </w:rPr>
        <w:t xml:space="preserve">1. </w:t>
      </w:r>
      <w:r>
        <w:rPr>
          <w:rFonts w:ascii="Helvetica" w:hAnsi="Helvetica"/>
        </w:rPr>
        <w:t>C</w:t>
      </w:r>
      <w:r w:rsidRPr="0092395C">
        <w:rPr>
          <w:rFonts w:ascii="Helvetica" w:hAnsi="Helvetica"/>
        </w:rPr>
        <w:t xml:space="preserve">an graphic design </w:t>
      </w:r>
      <w:r>
        <w:rPr>
          <w:rFonts w:ascii="Helvetica" w:hAnsi="Helvetica"/>
        </w:rPr>
        <w:t xml:space="preserve">really </w:t>
      </w:r>
      <w:r w:rsidRPr="0092395C">
        <w:rPr>
          <w:rFonts w:ascii="Helvetica" w:hAnsi="Helvetica"/>
        </w:rPr>
        <w:t>save your life?</w:t>
      </w:r>
    </w:p>
    <w:p w14:paraId="32C38B51" w14:textId="77777777" w:rsidR="0092395C" w:rsidRPr="0092395C" w:rsidRDefault="0092395C" w:rsidP="0092395C">
      <w:pPr>
        <w:rPr>
          <w:rFonts w:ascii="Helvetica" w:hAnsi="Helvetica"/>
        </w:rPr>
      </w:pPr>
      <w:r w:rsidRPr="0092395C">
        <w:rPr>
          <w:rFonts w:ascii="Helvetica" w:hAnsi="Helvetica"/>
        </w:rPr>
        <w:t>2. 2306168</w:t>
      </w:r>
    </w:p>
    <w:p w14:paraId="12C471B4" w14:textId="77777777" w:rsidR="0092395C" w:rsidRPr="0092395C" w:rsidRDefault="0092395C" w:rsidP="0092395C">
      <w:pPr>
        <w:rPr>
          <w:rFonts w:ascii="Helvetica" w:hAnsi="Helvetica"/>
        </w:rPr>
      </w:pPr>
      <w:r w:rsidRPr="0092395C">
        <w:rPr>
          <w:rFonts w:ascii="Helvetica" w:hAnsi="Helvetica"/>
        </w:rPr>
        <w:t xml:space="preserve">3. graphic design </w:t>
      </w:r>
    </w:p>
    <w:p w14:paraId="154AC09D" w14:textId="26D37B06" w:rsidR="0092395C" w:rsidRPr="0092395C" w:rsidRDefault="0092395C" w:rsidP="0092395C">
      <w:pPr>
        <w:rPr>
          <w:rFonts w:ascii="Helvetica" w:hAnsi="Helvetica"/>
        </w:rPr>
      </w:pPr>
      <w:r w:rsidRPr="0092395C">
        <w:rPr>
          <w:rFonts w:ascii="Helvetica" w:hAnsi="Helvetica"/>
        </w:rPr>
        <w:t>4. 21</w:t>
      </w:r>
      <w:r>
        <w:rPr>
          <w:rFonts w:ascii="Helvetica" w:hAnsi="Helvetica"/>
        </w:rPr>
        <w:t>15</w:t>
      </w:r>
    </w:p>
    <w:p w14:paraId="6FCBFFAE" w14:textId="77777777" w:rsidR="0092395C" w:rsidRPr="0092395C" w:rsidRDefault="0092395C" w:rsidP="0092395C">
      <w:pPr>
        <w:rPr>
          <w:rFonts w:ascii="Helvetica" w:hAnsi="Helvetica"/>
        </w:rPr>
      </w:pPr>
      <w:r w:rsidRPr="0092395C">
        <w:rPr>
          <w:rFonts w:ascii="Helvetica" w:hAnsi="Helvetica"/>
        </w:rPr>
        <w:t xml:space="preserve">5. Donna Williams </w:t>
      </w:r>
    </w:p>
    <w:p w14:paraId="001C9C58" w14:textId="77777777" w:rsidR="0092395C" w:rsidRPr="0092395C" w:rsidRDefault="0092395C" w:rsidP="0092395C">
      <w:pPr>
        <w:rPr>
          <w:rFonts w:ascii="Helvetica" w:hAnsi="Helvetica"/>
        </w:rPr>
      </w:pPr>
      <w:r w:rsidRPr="0092395C">
        <w:rPr>
          <w:rFonts w:ascii="Helvetica" w:hAnsi="Helvetica"/>
          <w:i/>
          <w:iCs/>
        </w:rPr>
        <w:t>For this assessment, I confirm that I have NOT used Generative AI to support me in structuring my submission, including creating a draft argument structure, identifying parts and headings. </w:t>
      </w:r>
      <w:r w:rsidRPr="0092395C">
        <w:rPr>
          <w:rFonts w:ascii="Helvetica" w:hAnsi="Helvetica"/>
        </w:rPr>
        <w:br/>
      </w:r>
      <w:r w:rsidRPr="0092395C">
        <w:rPr>
          <w:rFonts w:ascii="Helvetica" w:hAnsi="Helvetica"/>
          <w:i/>
          <w:iCs/>
        </w:rPr>
        <w:t>I confirm that I have not used Generative AI to create text for my submission. I confirm that I have not used Generative AI for creative materials, such as images.</w:t>
      </w:r>
      <w:r w:rsidRPr="0092395C">
        <w:rPr>
          <w:rFonts w:ascii="Helvetica" w:hAnsi="Helvetica"/>
        </w:rPr>
        <w:t> </w:t>
      </w:r>
    </w:p>
    <w:p w14:paraId="64A67F42" w14:textId="77777777" w:rsidR="0092395C" w:rsidRPr="0092395C" w:rsidRDefault="0092395C" w:rsidP="0092395C">
      <w:pPr>
        <w:rPr>
          <w:rFonts w:ascii="Helvetica" w:hAnsi="Helvetica"/>
          <w:b/>
          <w:bCs/>
          <w:u w:val="single"/>
        </w:rPr>
      </w:pPr>
    </w:p>
    <w:p w14:paraId="626CF605" w14:textId="356C7DBE" w:rsidR="0092395C" w:rsidRPr="0092395C" w:rsidRDefault="0092395C" w:rsidP="0092395C">
      <w:pPr>
        <w:rPr>
          <w:rFonts w:ascii="Helvetica" w:hAnsi="Helvetica"/>
          <w:b/>
          <w:bCs/>
          <w:u w:val="single"/>
        </w:rPr>
      </w:pPr>
      <w:r w:rsidRPr="0092395C">
        <w:rPr>
          <w:rFonts w:ascii="Helvetica" w:hAnsi="Helvetica"/>
          <w:b/>
          <w:bCs/>
          <w:u w:val="single"/>
        </w:rPr>
        <w:t xml:space="preserve">Can Graphic Design </w:t>
      </w:r>
      <w:r>
        <w:rPr>
          <w:rFonts w:ascii="Helvetica" w:hAnsi="Helvetica"/>
          <w:b/>
          <w:bCs/>
          <w:u w:val="single"/>
        </w:rPr>
        <w:t xml:space="preserve">Really </w:t>
      </w:r>
      <w:r w:rsidRPr="0092395C">
        <w:rPr>
          <w:rFonts w:ascii="Helvetica" w:hAnsi="Helvetica"/>
          <w:b/>
          <w:bCs/>
          <w:u w:val="single"/>
        </w:rPr>
        <w:t>Save Your Life?</w:t>
      </w:r>
    </w:p>
    <w:p w14:paraId="09270D63" w14:textId="77777777" w:rsidR="0092395C" w:rsidRPr="0092395C" w:rsidRDefault="0092395C" w:rsidP="0092395C">
      <w:pPr>
        <w:rPr>
          <w:rFonts w:ascii="Helvetica" w:hAnsi="Helvetica"/>
        </w:rPr>
      </w:pPr>
      <w:r w:rsidRPr="00E266A7">
        <w:rPr>
          <w:rFonts w:ascii="Helvetica" w:hAnsi="Helvetica"/>
        </w:rPr>
        <w:t>While graphic design is frequently associated with persuasion, branding, or visual aesthetics, its most significant function is communicating essential information that supports safety, well-being, and survival. In public spaces such as roads, transport networks, hospitals, and emergency environments, individuals rely on clear visual cues to navigate uncertainty, make rapid decisions, and avoid danger. Communication failures can have severe consequences. Scholars in information design, semiotics, and human factors maintain that well-structured visual systems reduce cognitive load, improve comprehension speed, and minimise the likelihood of accidents or misinterpretation (</w:t>
      </w:r>
      <w:proofErr w:type="spellStart"/>
      <w:r w:rsidRPr="00E266A7">
        <w:rPr>
          <w:rFonts w:ascii="Helvetica" w:hAnsi="Helvetica"/>
        </w:rPr>
        <w:t>Frascara</w:t>
      </w:r>
      <w:proofErr w:type="spellEnd"/>
      <w:r w:rsidRPr="00E266A7">
        <w:rPr>
          <w:rFonts w:ascii="Helvetica" w:hAnsi="Helvetica"/>
        </w:rPr>
        <w:t xml:space="preserve">, 2004; Norman, 2013; Waller, 2012). This perspective positions graphic design as a functional infrastructure that shapes behaviour and underpins public safety. By examining the work of Margaret Calvert, </w:t>
      </w:r>
      <w:r w:rsidRPr="00E266A7">
        <w:rPr>
          <w:rFonts w:ascii="Helvetica" w:hAnsi="Helvetica"/>
        </w:rPr>
        <w:lastRenderedPageBreak/>
        <w:t>Jock Kinneir, and Lance Wyman, designers whose contributions transformed real-world environments, this essay argues that clear visual systems are as critical to public safety as physical infrastructure. It investigates how graphic design can function as a life-saving practice by enhancing clarity, accessibility, and human-centred communication.</w:t>
      </w:r>
    </w:p>
    <w:p w14:paraId="3A395433" w14:textId="77777777" w:rsidR="0092395C" w:rsidRPr="00E266A7" w:rsidRDefault="0092395C" w:rsidP="0092395C">
      <w:pPr>
        <w:spacing w:line="278" w:lineRule="auto"/>
        <w:rPr>
          <w:rFonts w:ascii="Helvetica" w:hAnsi="Helvetica"/>
        </w:rPr>
      </w:pPr>
    </w:p>
    <w:p w14:paraId="445FFC13" w14:textId="77777777" w:rsidR="0092395C" w:rsidRPr="0092395C" w:rsidRDefault="0092395C" w:rsidP="0092395C">
      <w:pPr>
        <w:rPr>
          <w:rFonts w:ascii="Helvetica" w:hAnsi="Helvetica"/>
        </w:rPr>
      </w:pPr>
      <w:r w:rsidRPr="00E266A7">
        <w:rPr>
          <w:rFonts w:ascii="Helvetica" w:hAnsi="Helvetica"/>
        </w:rPr>
        <w:t>In environments such as transport networks, hospitals, and emergency situations, individuals rely on clear visual information to make rapid decisions, often with life-or-death consequences. Semiotic clarity is particularly important when users are unfamiliar with a setting, have limited literacy, or do not share a common language, as symbols can convey meaning more instantly than text (Neurath and Kinross, 2009). Research in human factors demonstrates that poor signage contributes to accidents, whereas high-legibility typography and consistent iconography improve navigational efficiency and reduce risk (Norman, 2013; Waller, 2012). Therefore, graphic design does more than just inform; it shapes behaviour, supports public health, and creates safer interactions between people and their environments.</w:t>
      </w:r>
    </w:p>
    <w:p w14:paraId="31562CAF" w14:textId="77777777" w:rsidR="0092395C" w:rsidRPr="00E266A7" w:rsidRDefault="0092395C" w:rsidP="0092395C">
      <w:pPr>
        <w:spacing w:line="278" w:lineRule="auto"/>
        <w:rPr>
          <w:rFonts w:ascii="Helvetica" w:hAnsi="Helvetica"/>
        </w:rPr>
      </w:pPr>
    </w:p>
    <w:p w14:paraId="51FD0FDD" w14:textId="77777777" w:rsidR="0092395C" w:rsidRPr="0092395C" w:rsidRDefault="0092395C" w:rsidP="0092395C">
      <w:pPr>
        <w:rPr>
          <w:rFonts w:ascii="Helvetica" w:hAnsi="Helvetica"/>
        </w:rPr>
      </w:pPr>
      <w:r w:rsidRPr="00E266A7">
        <w:rPr>
          <w:rFonts w:ascii="Helvetica" w:hAnsi="Helvetica"/>
        </w:rPr>
        <w:t xml:space="preserve">Margaret Calvert’s work on the modern British road signage system exemplifies how graphic design can enhance public safety through clarity, consistency, and semiotic precision. Collaborating with Jock </w:t>
      </w:r>
      <w:proofErr w:type="spellStart"/>
      <w:r w:rsidRPr="00E266A7">
        <w:rPr>
          <w:rFonts w:ascii="Helvetica" w:hAnsi="Helvetica"/>
        </w:rPr>
        <w:t>Kinneir</w:t>
      </w:r>
      <w:proofErr w:type="spellEnd"/>
      <w:r w:rsidRPr="00E266A7">
        <w:rPr>
          <w:rFonts w:ascii="Helvetica" w:hAnsi="Helvetica"/>
        </w:rPr>
        <w:t xml:space="preserve"> in the late 1950s and 1960s, Calvert transformed an outdated and confusing network of signs into a coherent visual language that accommodated the rapid expansion of Britain’s motorways. Their user-centred approach required signs to be legible at high speeds, accessible to drivers with varying literacy levels, and instantly recognisable under stressful conditions. The development of the Transport typeface was central to this redesign, as its wide </w:t>
      </w:r>
      <w:r w:rsidRPr="00E266A7">
        <w:rPr>
          <w:rFonts w:ascii="Helvetica" w:hAnsi="Helvetica"/>
        </w:rPr>
        <w:lastRenderedPageBreak/>
        <w:t>letterforms, generous spacing, and open counters maximised legibility and allowed essential information to be read from greater distances, thereby reducing reaction time and the likelihood of accidents (Garfield, 2010). Calvert’s pictograms, such as the iconic “children crossing” sign depicting a girl leading a boy, replaced rigid, literal imagery with humanised forms that conveyed immediacy and emotional resonance. This approach aligns with Roland Barthes' argument that images carry connotative meanings beyond their literal message, enabling signs to influence both recognition and behaviour (Barthes, 1977). By selecting softer, more relatable imagery, Calvert embedded a cultural message of care and caution within everyday road infrastructure. This choice not only improved legibility but also calmed driver emotions like stress and potential aggression, thus contributing to a safer driving environment.</w:t>
      </w:r>
    </w:p>
    <w:p w14:paraId="74566667" w14:textId="77777777" w:rsidR="0092395C" w:rsidRPr="00E266A7" w:rsidRDefault="0092395C" w:rsidP="0092395C">
      <w:pPr>
        <w:spacing w:line="278" w:lineRule="auto"/>
        <w:rPr>
          <w:rFonts w:ascii="Helvetica" w:hAnsi="Helvetica"/>
        </w:rPr>
      </w:pPr>
    </w:p>
    <w:p w14:paraId="31A36472" w14:textId="77777777" w:rsidR="0092395C" w:rsidRPr="0092395C" w:rsidRDefault="0092395C" w:rsidP="0092395C">
      <w:pPr>
        <w:rPr>
          <w:rFonts w:ascii="Helvetica" w:hAnsi="Helvetica"/>
        </w:rPr>
      </w:pPr>
      <w:r w:rsidRPr="00E266A7">
        <w:rPr>
          <w:rFonts w:ascii="Helvetica" w:hAnsi="Helvetica"/>
        </w:rPr>
        <w:t xml:space="preserve">Semiotics provides a valuable framework for understanding the effectiveness of Calvert’s designs. Ferdinand de Saussure’s model of the sign, which defines the relationship between the </w:t>
      </w:r>
      <w:r w:rsidRPr="00E266A7">
        <w:rPr>
          <w:rFonts w:ascii="Helvetica" w:hAnsi="Helvetica"/>
          <w:i/>
          <w:iCs/>
        </w:rPr>
        <w:t>signifier</w:t>
      </w:r>
      <w:r w:rsidRPr="00E266A7">
        <w:rPr>
          <w:rFonts w:ascii="Helvetica" w:hAnsi="Helvetica"/>
        </w:rPr>
        <w:t xml:space="preserve"> (visual form) and the </w:t>
      </w:r>
      <w:r w:rsidRPr="00E266A7">
        <w:rPr>
          <w:rFonts w:ascii="Helvetica" w:hAnsi="Helvetica"/>
          <w:i/>
          <w:iCs/>
        </w:rPr>
        <w:t>signified</w:t>
      </w:r>
      <w:r w:rsidRPr="00E266A7">
        <w:rPr>
          <w:rFonts w:ascii="Helvetica" w:hAnsi="Helvetica"/>
        </w:rPr>
        <w:t xml:space="preserve"> (the concept communicated), underscores the necessity of clarity and stability in public communication systems. Calvert’s designs offer highly efficient signifiers, simplified figures, geometric arrows, and colour-coded shapes that generate immediate, unambiguous meanings for drivers. By deliberately minimising interpretive ambiguity, her work reduces cognitive load and aligns with Saussure’s view that meaning arises from difference within a structured system (Saussure, 2011). The British road signage system operates effectively due to its systematic coherence: each shape, colour, and pictogram gains meaning through its relationship to the whole, allowing drivers to interpret unfamiliar signs based on their position within an established </w:t>
      </w:r>
      <w:r w:rsidRPr="00E266A7">
        <w:rPr>
          <w:rFonts w:ascii="Helvetica" w:hAnsi="Helvetica"/>
        </w:rPr>
        <w:lastRenderedPageBreak/>
        <w:t>semiotic code. Barthes extends this analysis by highlighting how cultural meaning, or “myth,” is embedded in visual messages. Calvert’s approachable, modernist aesthetic reflects a broader post-war aspiration for clarity, order, and accessibility in public life (Barthes, 1977). In this way, her work communicates not only information but also an ideology of safety, care, and social responsibility.</w:t>
      </w:r>
    </w:p>
    <w:p w14:paraId="645139F6" w14:textId="77777777" w:rsidR="0092395C" w:rsidRPr="00E266A7" w:rsidRDefault="0092395C" w:rsidP="0092395C">
      <w:pPr>
        <w:spacing w:line="278" w:lineRule="auto"/>
        <w:rPr>
          <w:rFonts w:ascii="Helvetica" w:hAnsi="Helvetica"/>
        </w:rPr>
      </w:pPr>
    </w:p>
    <w:p w14:paraId="1B297653" w14:textId="77777777" w:rsidR="0092395C" w:rsidRPr="0092395C" w:rsidRDefault="0092395C" w:rsidP="0092395C">
      <w:pPr>
        <w:rPr>
          <w:rFonts w:ascii="Helvetica" w:hAnsi="Helvetica"/>
        </w:rPr>
      </w:pPr>
      <w:r w:rsidRPr="00E266A7">
        <w:rPr>
          <w:rFonts w:ascii="Helvetica" w:hAnsi="Helvetica"/>
        </w:rPr>
        <w:t>Research in ergonomics and legibility substantiates the argument that such design decisions can have life-saving effects. Poyner (2008) demonstrates that enhanced typographic legibility on road signs increases driver comprehension speed, while Waller (2012) highlights the role of intuitive iconography in reducing accidents and misinterpretations in high-pressure situations. The widespread adoption and enduring use of Calvert’s system further attest to its effectiveness; it serves as a model for transport signage internationally and continues to shape contemporary standards. As a case study, Calvert’s work exemplifies how graphic design, informed by semiotic theory and human factors research, can shape behaviour and mitigate risk, positioning design as a critical element of public safety infrastructure rather than mere decoration.</w:t>
      </w:r>
    </w:p>
    <w:p w14:paraId="20AD0D78" w14:textId="77777777" w:rsidR="0092395C" w:rsidRPr="00E266A7" w:rsidRDefault="0092395C" w:rsidP="0092395C">
      <w:pPr>
        <w:spacing w:line="278" w:lineRule="auto"/>
        <w:rPr>
          <w:rFonts w:ascii="Helvetica" w:hAnsi="Helvetica"/>
        </w:rPr>
      </w:pPr>
    </w:p>
    <w:p w14:paraId="29EA7ABA" w14:textId="77777777" w:rsidR="0092395C" w:rsidRPr="0092395C" w:rsidRDefault="0092395C" w:rsidP="0092395C">
      <w:pPr>
        <w:rPr>
          <w:rFonts w:ascii="Helvetica" w:hAnsi="Helvetica"/>
        </w:rPr>
      </w:pPr>
      <w:r w:rsidRPr="00E266A7">
        <w:rPr>
          <w:rFonts w:ascii="Helvetica" w:hAnsi="Helvetica"/>
        </w:rPr>
        <w:t xml:space="preserve">Prior to his collaboration with Margaret Calvert on the British road signage system, Jock </w:t>
      </w:r>
      <w:proofErr w:type="spellStart"/>
      <w:r w:rsidRPr="00E266A7">
        <w:rPr>
          <w:rFonts w:ascii="Helvetica" w:hAnsi="Helvetica"/>
        </w:rPr>
        <w:t>Kinneir</w:t>
      </w:r>
      <w:proofErr w:type="spellEnd"/>
      <w:r w:rsidRPr="00E266A7">
        <w:rPr>
          <w:rFonts w:ascii="Helvetica" w:hAnsi="Helvetica"/>
        </w:rPr>
        <w:t xml:space="preserve"> established his reputation through the innovative Gatwick Airport wayfinding scheme (1957). Airports are inherently complex environments where travellers must process large volumes of unfamiliar information under time constraints, and confusion can result in hazardous crowd movement, missed emergency routes, or safety-compromising delays. </w:t>
      </w:r>
      <w:proofErr w:type="spellStart"/>
      <w:r w:rsidRPr="00E266A7">
        <w:rPr>
          <w:rFonts w:ascii="Helvetica" w:hAnsi="Helvetica"/>
        </w:rPr>
        <w:t>Kinneir</w:t>
      </w:r>
      <w:proofErr w:type="spellEnd"/>
      <w:r w:rsidRPr="00E266A7">
        <w:rPr>
          <w:rFonts w:ascii="Helvetica" w:hAnsi="Helvetica"/>
        </w:rPr>
        <w:t xml:space="preserve"> addressed these challenges by creating a systematic visual language based on typographic hierarchy, </w:t>
      </w:r>
      <w:r w:rsidRPr="00E266A7">
        <w:rPr>
          <w:rFonts w:ascii="Helvetica" w:hAnsi="Helvetica"/>
        </w:rPr>
        <w:lastRenderedPageBreak/>
        <w:t>spatial logic, and strategic colour use. His signage facilitated intuitive navigation by clearly differentiating information types through consistent layouts and contrasts, ensuring rapid comprehension (</w:t>
      </w:r>
      <w:proofErr w:type="spellStart"/>
      <w:r w:rsidRPr="00E266A7">
        <w:rPr>
          <w:rFonts w:ascii="Helvetica" w:hAnsi="Helvetica"/>
        </w:rPr>
        <w:t>Mijksenaar</w:t>
      </w:r>
      <w:proofErr w:type="spellEnd"/>
      <w:r w:rsidRPr="00E266A7">
        <w:rPr>
          <w:rFonts w:ascii="Helvetica" w:hAnsi="Helvetica"/>
        </w:rPr>
        <w:t>, 1997). This approach demonstrates that clarity is not merely a design preference but a public necessity in environments where misinterpretation can have serious consequences.</w:t>
      </w:r>
    </w:p>
    <w:p w14:paraId="23730C03" w14:textId="77777777" w:rsidR="0092395C" w:rsidRPr="00E266A7" w:rsidRDefault="0092395C" w:rsidP="0092395C">
      <w:pPr>
        <w:spacing w:line="278" w:lineRule="auto"/>
        <w:rPr>
          <w:rFonts w:ascii="Helvetica" w:hAnsi="Helvetica"/>
        </w:rPr>
      </w:pPr>
    </w:p>
    <w:p w14:paraId="0FA08BC9" w14:textId="77777777" w:rsidR="0092395C" w:rsidRPr="0092395C" w:rsidRDefault="0092395C" w:rsidP="0092395C">
      <w:pPr>
        <w:rPr>
          <w:rFonts w:ascii="Helvetica" w:hAnsi="Helvetica"/>
        </w:rPr>
      </w:pPr>
      <w:r w:rsidRPr="00E266A7">
        <w:rPr>
          <w:rFonts w:ascii="Helvetica" w:hAnsi="Helvetica"/>
        </w:rPr>
        <w:t xml:space="preserve">Colour was a central element in </w:t>
      </w:r>
      <w:proofErr w:type="spellStart"/>
      <w:r w:rsidRPr="00E266A7">
        <w:rPr>
          <w:rFonts w:ascii="Helvetica" w:hAnsi="Helvetica"/>
        </w:rPr>
        <w:t>Kinneir’s</w:t>
      </w:r>
      <w:proofErr w:type="spellEnd"/>
      <w:r w:rsidRPr="00E266A7">
        <w:rPr>
          <w:rFonts w:ascii="Helvetica" w:hAnsi="Helvetica"/>
        </w:rPr>
        <w:t xml:space="preserve"> methodology. Research in information and environmental design indicates that colour enhances the speed and accuracy with which individuals interpret signs, particularly in high-stress situations (Ware, 2013). </w:t>
      </w:r>
      <w:proofErr w:type="spellStart"/>
      <w:r w:rsidRPr="00E266A7">
        <w:rPr>
          <w:rFonts w:ascii="Helvetica" w:hAnsi="Helvetica"/>
        </w:rPr>
        <w:t>Kinneir</w:t>
      </w:r>
      <w:proofErr w:type="spellEnd"/>
      <w:r w:rsidRPr="00E266A7">
        <w:rPr>
          <w:rFonts w:ascii="Helvetica" w:hAnsi="Helvetica"/>
        </w:rPr>
        <w:t xml:space="preserve"> employed colour to establish immediate cognitive associations, yellow for warnings, blue for general information, and black-on-white for instructional text, each selected for optimal legibility and international recognisability. Colour differentiation enables users to scan environments more efficiently, reducing cognitive load as they navigate unfamiliar spaces. In transport contexts, where rapid decision-making is essential, such clarity can prevent overcrowding, misdirection, and accidents. Visual ergonomics research further supports that colour-coded wayfinding systems significantly improve orientation in large-scale facilities such as airports and hospitals (Chang and Huang, 2006). By integrating colour into the structural logic of signage, </w:t>
      </w:r>
      <w:proofErr w:type="spellStart"/>
      <w:r w:rsidRPr="00E266A7">
        <w:rPr>
          <w:rFonts w:ascii="Helvetica" w:hAnsi="Helvetica"/>
        </w:rPr>
        <w:t>Kinneir</w:t>
      </w:r>
      <w:proofErr w:type="spellEnd"/>
      <w:r w:rsidRPr="00E266A7">
        <w:rPr>
          <w:rFonts w:ascii="Helvetica" w:hAnsi="Helvetica"/>
        </w:rPr>
        <w:t xml:space="preserve"> demonstrated how design can shape behaviour and enhance public safety.</w:t>
      </w:r>
    </w:p>
    <w:p w14:paraId="1D1F5671" w14:textId="77777777" w:rsidR="0092395C" w:rsidRPr="00E266A7" w:rsidRDefault="0092395C" w:rsidP="0092395C">
      <w:pPr>
        <w:spacing w:line="278" w:lineRule="auto"/>
        <w:rPr>
          <w:rFonts w:ascii="Helvetica" w:hAnsi="Helvetica"/>
        </w:rPr>
      </w:pPr>
    </w:p>
    <w:p w14:paraId="5643FE46" w14:textId="77777777" w:rsidR="0092395C" w:rsidRPr="0092395C" w:rsidRDefault="0092395C" w:rsidP="0092395C">
      <w:pPr>
        <w:rPr>
          <w:rFonts w:ascii="Helvetica" w:hAnsi="Helvetica"/>
        </w:rPr>
      </w:pPr>
      <w:proofErr w:type="spellStart"/>
      <w:r w:rsidRPr="00E266A7">
        <w:rPr>
          <w:rFonts w:ascii="Helvetica" w:hAnsi="Helvetica"/>
        </w:rPr>
        <w:t>Kinneir’s</w:t>
      </w:r>
      <w:proofErr w:type="spellEnd"/>
      <w:r w:rsidRPr="00E266A7">
        <w:rPr>
          <w:rFonts w:ascii="Helvetica" w:hAnsi="Helvetica"/>
        </w:rPr>
        <w:t xml:space="preserve"> influence extended significantly into healthcare environments, where effective communication is critical. In hospitals, unclear signage can delay treatment, increase anxiety, and cause congestion in vital areas. </w:t>
      </w:r>
      <w:proofErr w:type="spellStart"/>
      <w:r w:rsidRPr="00E266A7">
        <w:rPr>
          <w:rFonts w:ascii="Helvetica" w:hAnsi="Helvetica"/>
        </w:rPr>
        <w:t>Kinneir</w:t>
      </w:r>
      <w:proofErr w:type="spellEnd"/>
      <w:r w:rsidRPr="00E266A7">
        <w:rPr>
          <w:rFonts w:ascii="Helvetica" w:hAnsi="Helvetica"/>
        </w:rPr>
        <w:t xml:space="preserve"> advocated for a visual system that guides users step-by-step through spaces, reducing ambiguity at decision points and enabling patients, visitors, and staff to navigate confidently </w:t>
      </w:r>
      <w:r w:rsidRPr="00E266A7">
        <w:rPr>
          <w:rFonts w:ascii="Helvetica" w:hAnsi="Helvetica"/>
        </w:rPr>
        <w:lastRenderedPageBreak/>
        <w:t xml:space="preserve">(Waller, 2012). His work for British Rail similarly improved public transport by standardising station signage, enhancing passenger flow, and reducing the risk of accidents caused by confusion or misdirection. The consistent use of typography, layout, and colour in these contexts reflects </w:t>
      </w:r>
      <w:proofErr w:type="spellStart"/>
      <w:r w:rsidRPr="00E266A7">
        <w:rPr>
          <w:rFonts w:ascii="Helvetica" w:hAnsi="Helvetica"/>
        </w:rPr>
        <w:t>Kinneir’s</w:t>
      </w:r>
      <w:proofErr w:type="spellEnd"/>
      <w:r w:rsidRPr="00E266A7">
        <w:rPr>
          <w:rFonts w:ascii="Helvetica" w:hAnsi="Helvetica"/>
        </w:rPr>
        <w:t xml:space="preserve"> commitment to human-centred design, which prioritises the needs, limitations, and behavioural patterns of actual users.</w:t>
      </w:r>
    </w:p>
    <w:p w14:paraId="097E9960" w14:textId="77777777" w:rsidR="0092395C" w:rsidRPr="00E266A7" w:rsidRDefault="0092395C" w:rsidP="0092395C">
      <w:pPr>
        <w:spacing w:line="278" w:lineRule="auto"/>
        <w:rPr>
          <w:rFonts w:ascii="Helvetica" w:hAnsi="Helvetica"/>
        </w:rPr>
      </w:pPr>
    </w:p>
    <w:p w14:paraId="58CEB876" w14:textId="77777777" w:rsidR="0092395C" w:rsidRPr="0092395C" w:rsidRDefault="0092395C" w:rsidP="0092395C">
      <w:pPr>
        <w:rPr>
          <w:rFonts w:ascii="Helvetica" w:hAnsi="Helvetica"/>
        </w:rPr>
      </w:pPr>
      <w:proofErr w:type="spellStart"/>
      <w:r w:rsidRPr="00E266A7">
        <w:rPr>
          <w:rFonts w:ascii="Helvetica" w:hAnsi="Helvetica"/>
        </w:rPr>
        <w:t>Kinneir’s</w:t>
      </w:r>
      <w:proofErr w:type="spellEnd"/>
      <w:r w:rsidRPr="00E266A7">
        <w:rPr>
          <w:rFonts w:ascii="Helvetica" w:hAnsi="Helvetica"/>
        </w:rPr>
        <w:t xml:space="preserve"> work demonstrates that wayfinding design composes a form of safety infrastructure. By integrating research on legibility, colour psychology, and systematic organisation, he developed communication systems that prevent errors, reduce stress, and safeguard the public. His legacy persists in contemporary signage standards globally, reinforcing the argument that graphic design, particularly when informed by evidence-based practice, can save lives.</w:t>
      </w:r>
    </w:p>
    <w:p w14:paraId="0D8776BD" w14:textId="77777777" w:rsidR="0092395C" w:rsidRPr="00E266A7" w:rsidRDefault="0092395C" w:rsidP="0092395C">
      <w:pPr>
        <w:spacing w:line="278" w:lineRule="auto"/>
        <w:rPr>
          <w:rFonts w:ascii="Helvetica" w:hAnsi="Helvetica"/>
        </w:rPr>
      </w:pPr>
    </w:p>
    <w:p w14:paraId="20E2EB68" w14:textId="77777777" w:rsidR="0092395C" w:rsidRPr="0092395C" w:rsidRDefault="0092395C" w:rsidP="0092395C">
      <w:pPr>
        <w:rPr>
          <w:rFonts w:ascii="Helvetica" w:hAnsi="Helvetica"/>
        </w:rPr>
      </w:pPr>
      <w:r w:rsidRPr="00E266A7">
        <w:rPr>
          <w:rFonts w:ascii="Helvetica" w:hAnsi="Helvetica"/>
        </w:rPr>
        <w:t>Lance Wyman’s Mexico City Metro icon system exemplifies how graphic design can enhance public safety and wellbeing, supporting the assertion that design can, in effect, “save lives.” Developed in 1969 for a rapidly growing city with high illiteracy rates, the system aimed to provide an intuitive, universally accessible navigation system for millions of passengers. Wyman and his team created a coherent visual language in which each metro line was assigned a colour and number, and each station a distinctive pictogram based on a local landmark, cultural reference, or historical event (</w:t>
      </w:r>
      <w:proofErr w:type="spellStart"/>
      <w:r w:rsidRPr="00E266A7">
        <w:rPr>
          <w:rFonts w:ascii="Helvetica" w:hAnsi="Helvetica"/>
        </w:rPr>
        <w:t>Brenišínová</w:t>
      </w:r>
      <w:proofErr w:type="spellEnd"/>
      <w:r w:rsidRPr="00E266A7">
        <w:rPr>
          <w:rFonts w:ascii="Helvetica" w:hAnsi="Helvetica"/>
        </w:rPr>
        <w:t>, 2015). As a result, passengers did not need to rely on written Spanish to orient themselves, reducing confusion in an often overcrowded and chaotic transport environment.</w:t>
      </w:r>
    </w:p>
    <w:p w14:paraId="3C6DB7D8" w14:textId="77777777" w:rsidR="0092395C" w:rsidRPr="00E266A7" w:rsidRDefault="0092395C" w:rsidP="0092395C">
      <w:pPr>
        <w:spacing w:line="278" w:lineRule="auto"/>
        <w:rPr>
          <w:rFonts w:ascii="Helvetica" w:hAnsi="Helvetica"/>
        </w:rPr>
      </w:pPr>
    </w:p>
    <w:p w14:paraId="5832A2BF" w14:textId="77777777" w:rsidR="0092395C" w:rsidRPr="0092395C" w:rsidRDefault="0092395C" w:rsidP="0092395C">
      <w:pPr>
        <w:rPr>
          <w:rFonts w:ascii="Helvetica" w:hAnsi="Helvetica"/>
        </w:rPr>
      </w:pPr>
      <w:r w:rsidRPr="00E266A7">
        <w:rPr>
          <w:rFonts w:ascii="Helvetica" w:hAnsi="Helvetica"/>
        </w:rPr>
        <w:lastRenderedPageBreak/>
        <w:t>By converting complex spatial information into simple, memorable icons, Wyman’s system increased the speed and accuracy with which passengers could locate platforms, transfer lines, and exits. Carroll (2018) contends that the Metro’s graphic identity not only facilitated movement but also shaped the daily experience of urban life, making the city more navigable for individuals from diverse linguistic and educational backgrounds. During emergencies such as power outages, congestion, or evacuations, immediate recognition of icons like the cannon, fountain, or duck provided essential clarity. This capacity for rapid interpretation of information in stressful situations illustrates how wayfinding design directly contributes to public safety.</w:t>
      </w:r>
    </w:p>
    <w:p w14:paraId="299A6BF4" w14:textId="77777777" w:rsidR="0092395C" w:rsidRPr="00E266A7" w:rsidRDefault="0092395C" w:rsidP="0092395C">
      <w:pPr>
        <w:rPr>
          <w:rFonts w:ascii="Helvetica" w:hAnsi="Helvetica"/>
        </w:rPr>
      </w:pPr>
    </w:p>
    <w:p w14:paraId="242C3F11" w14:textId="77777777" w:rsidR="0092395C" w:rsidRPr="00E266A7" w:rsidRDefault="0092395C" w:rsidP="0092395C">
      <w:pPr>
        <w:rPr>
          <w:rFonts w:ascii="Helvetica" w:hAnsi="Helvetica"/>
        </w:rPr>
      </w:pPr>
      <w:r w:rsidRPr="00E266A7">
        <w:rPr>
          <w:rFonts w:ascii="Helvetica" w:hAnsi="Helvetica"/>
        </w:rPr>
        <w:t xml:space="preserve">Wyman’s design philosophy reinforces this socially oriented purpose. He consistently describes pictograms as a “universal language” capable of bridging cultural and educational </w:t>
      </w:r>
      <w:proofErr w:type="gramStart"/>
      <w:r w:rsidRPr="00E266A7">
        <w:rPr>
          <w:rFonts w:ascii="Helvetica" w:hAnsi="Helvetica"/>
        </w:rPr>
        <w:t>divides, and</w:t>
      </w:r>
      <w:proofErr w:type="gramEnd"/>
      <w:r w:rsidRPr="00E266A7">
        <w:rPr>
          <w:rFonts w:ascii="Helvetica" w:hAnsi="Helvetica"/>
        </w:rPr>
        <w:t xml:space="preserve"> emphasises the integration of local identity within modernist clarity (Lange, 2014). Instead of imposing a generic international style, Wyman rooted each symbol in Mexico City’s cultural and historical context, producing a system that is both functional and socially resonant. This approach aligns with his broader belief that design should serve communities by making complex systems accessible and dignifying users rather than overwhelming them.</w:t>
      </w:r>
    </w:p>
    <w:p w14:paraId="507C3755" w14:textId="77777777" w:rsidR="0092395C" w:rsidRPr="00E266A7" w:rsidRDefault="0092395C" w:rsidP="0092395C">
      <w:pPr>
        <w:spacing w:line="278" w:lineRule="auto"/>
        <w:rPr>
          <w:rFonts w:ascii="Helvetica" w:hAnsi="Helvetica"/>
        </w:rPr>
      </w:pPr>
      <w:r w:rsidRPr="00E266A7">
        <w:rPr>
          <w:rFonts w:ascii="Helvetica" w:hAnsi="Helvetica"/>
        </w:rPr>
        <w:t xml:space="preserve">                                                                                                                                                                                                                      </w:t>
      </w:r>
    </w:p>
    <w:p w14:paraId="48638EA5" w14:textId="77777777" w:rsidR="0092395C" w:rsidRPr="0092395C" w:rsidRDefault="0092395C" w:rsidP="0092395C">
      <w:pPr>
        <w:rPr>
          <w:rFonts w:ascii="Helvetica" w:hAnsi="Helvetica"/>
        </w:rPr>
      </w:pPr>
      <w:r w:rsidRPr="00E266A7">
        <w:rPr>
          <w:rFonts w:ascii="Helvetica" w:hAnsi="Helvetica"/>
        </w:rPr>
        <w:t xml:space="preserve">Castañeda (2012) further notes that the Metro’s visual communication functioned within broader networks of mobility and power, helping to choreograph the movement of people throughout the city. In this context, the icons served not as decoration but as infrastructure, essential elements of a safe and efficient public </w:t>
      </w:r>
      <w:r w:rsidRPr="00E266A7">
        <w:rPr>
          <w:rFonts w:ascii="Helvetica" w:hAnsi="Helvetica"/>
        </w:rPr>
        <w:lastRenderedPageBreak/>
        <w:t>transport system. They reduced reliance on verbal instructions, which made the Metro more comprehensible to locals and visitors alike. However, this raises the question of authority: who decides which symbols effectively represent a city? The choice of icons reflects broader social dynamics and underscores the role of design in shaping collective identity and public perception. Posing this inquiry signals critical awareness of the power dynamics inherent in visual communication.</w:t>
      </w:r>
    </w:p>
    <w:p w14:paraId="2E6436D2" w14:textId="77777777" w:rsidR="0092395C" w:rsidRPr="00E266A7" w:rsidRDefault="0092395C" w:rsidP="0092395C">
      <w:pPr>
        <w:spacing w:line="278" w:lineRule="auto"/>
        <w:rPr>
          <w:rFonts w:ascii="Helvetica" w:hAnsi="Helvetica"/>
        </w:rPr>
      </w:pPr>
    </w:p>
    <w:p w14:paraId="5597D8D3" w14:textId="77777777" w:rsidR="0092395C" w:rsidRPr="0092395C" w:rsidRDefault="0092395C" w:rsidP="0092395C">
      <w:pPr>
        <w:rPr>
          <w:rFonts w:ascii="Helvetica" w:hAnsi="Helvetica"/>
        </w:rPr>
      </w:pPr>
      <w:r w:rsidRPr="00E266A7">
        <w:rPr>
          <w:rFonts w:ascii="Helvetica" w:hAnsi="Helvetica"/>
        </w:rPr>
        <w:t>In response to the question “can graphic design save lives?”, Wyman’s work demonstrates that design can protect lives by preventing accidents, enabling rapid decision-making, and reducing cognitive load in crowded or hazardous environments. The Mexico City Metro icons illustrate that graphic design, when grounded in clarity, cultural sensitivity, and inclusivity, can serve as life-supporting public infrastructure.</w:t>
      </w:r>
    </w:p>
    <w:p w14:paraId="3D65FBE2" w14:textId="77777777" w:rsidR="0092395C" w:rsidRPr="00E266A7" w:rsidRDefault="0092395C" w:rsidP="0092395C">
      <w:pPr>
        <w:spacing w:line="278" w:lineRule="auto"/>
        <w:rPr>
          <w:rFonts w:ascii="Helvetica" w:hAnsi="Helvetica"/>
        </w:rPr>
      </w:pPr>
    </w:p>
    <w:p w14:paraId="0C7CCFCB" w14:textId="77777777" w:rsidR="0092395C" w:rsidRPr="0092395C" w:rsidRDefault="0092395C" w:rsidP="0092395C">
      <w:pPr>
        <w:rPr>
          <w:rFonts w:ascii="Helvetica" w:hAnsi="Helvetica"/>
        </w:rPr>
      </w:pPr>
      <w:r w:rsidRPr="00E266A7">
        <w:rPr>
          <w:rFonts w:ascii="Helvetica" w:hAnsi="Helvetica"/>
        </w:rPr>
        <w:t xml:space="preserve">A key point of comparison between artists lies in their differing approaches to typographic and pictographic communication. Calvert and </w:t>
      </w:r>
      <w:proofErr w:type="spellStart"/>
      <w:r w:rsidRPr="00E266A7">
        <w:rPr>
          <w:rFonts w:ascii="Helvetica" w:hAnsi="Helvetica"/>
        </w:rPr>
        <w:t>Kinneir</w:t>
      </w:r>
      <w:proofErr w:type="spellEnd"/>
      <w:r w:rsidRPr="00E266A7">
        <w:rPr>
          <w:rFonts w:ascii="Helvetica" w:hAnsi="Helvetica"/>
        </w:rPr>
        <w:t xml:space="preserve"> emphasised typography as a tool for safety, developing the Transport typeface and systematic layout rules that maximised legibility at speed and distance. Their work shows how typographic clarity, when combined with hierarchical structure and colour logic, enables rapid comprehension in high-pressure situations. In contrast, Wyman’s system relies far more heavily on pictograms, responding to the cultural and linguistic diversity of Mexico City. His icons provide immediate recognition without requiring literacy, demonstrating how pictographic strategies can democratise access to information. While their methods differ, both approaches highlight the necessity of designing for human perceptual and cognitive limitations.</w:t>
      </w:r>
    </w:p>
    <w:p w14:paraId="2B3C4530" w14:textId="77777777" w:rsidR="0092395C" w:rsidRPr="00E266A7" w:rsidRDefault="0092395C" w:rsidP="0092395C">
      <w:pPr>
        <w:spacing w:line="278" w:lineRule="auto"/>
        <w:rPr>
          <w:rFonts w:ascii="Helvetica" w:hAnsi="Helvetica"/>
        </w:rPr>
      </w:pPr>
    </w:p>
    <w:p w14:paraId="4236FCE2" w14:textId="77777777" w:rsidR="0092395C" w:rsidRPr="0092395C" w:rsidRDefault="0092395C" w:rsidP="0092395C">
      <w:pPr>
        <w:rPr>
          <w:rFonts w:ascii="Helvetica" w:hAnsi="Helvetica"/>
        </w:rPr>
      </w:pPr>
      <w:r w:rsidRPr="00E266A7">
        <w:rPr>
          <w:rFonts w:ascii="Helvetica" w:hAnsi="Helvetica"/>
        </w:rPr>
        <w:t xml:space="preserve">Cultural context significantly influenced each designer’s solutions. Calvert and </w:t>
      </w:r>
      <w:proofErr w:type="spellStart"/>
      <w:r w:rsidRPr="00E266A7">
        <w:rPr>
          <w:rFonts w:ascii="Helvetica" w:hAnsi="Helvetica"/>
        </w:rPr>
        <w:t>Kinneir</w:t>
      </w:r>
      <w:proofErr w:type="spellEnd"/>
      <w:r w:rsidRPr="00E266A7">
        <w:rPr>
          <w:rFonts w:ascii="Helvetica" w:hAnsi="Helvetica"/>
        </w:rPr>
        <w:t xml:space="preserve"> worked in post-war Britain, a society seeking order, standardisation, and modernity; their signage reflects these values through restrained modernist forms. In contrast, Wyman embedded local identity directly into his visual system, drawing on Mexican landmarks, folklore, and history to create symbols that were both intuitive and culturally resonant. This contextual sensitivity enhanced user trust and engagement, reinforcing the principle that safety systems are most effective when users recognise themselves and their environment within them.</w:t>
      </w:r>
    </w:p>
    <w:p w14:paraId="529037A7" w14:textId="77777777" w:rsidR="0092395C" w:rsidRPr="00E266A7" w:rsidRDefault="0092395C" w:rsidP="0092395C">
      <w:pPr>
        <w:spacing w:line="278" w:lineRule="auto"/>
        <w:rPr>
          <w:rFonts w:ascii="Helvetica" w:hAnsi="Helvetica"/>
        </w:rPr>
      </w:pPr>
    </w:p>
    <w:p w14:paraId="01B3DB70" w14:textId="77777777" w:rsidR="0092395C" w:rsidRPr="0092395C" w:rsidRDefault="0092395C" w:rsidP="0092395C">
      <w:pPr>
        <w:rPr>
          <w:rFonts w:ascii="Helvetica" w:hAnsi="Helvetica"/>
        </w:rPr>
      </w:pPr>
      <w:r w:rsidRPr="00E266A7">
        <w:rPr>
          <w:rFonts w:ascii="Helvetica" w:hAnsi="Helvetica"/>
        </w:rPr>
        <w:t xml:space="preserve">Despite employing distinct visual languages, all three designers developed systems that have endured for decades. This longevity attests to the strength of user-centred, evidence-based design. By prioritising clarity, consistency, and inclusivity, Calvert, </w:t>
      </w:r>
      <w:proofErr w:type="spellStart"/>
      <w:r w:rsidRPr="00E266A7">
        <w:rPr>
          <w:rFonts w:ascii="Helvetica" w:hAnsi="Helvetica"/>
        </w:rPr>
        <w:t>Kinneir</w:t>
      </w:r>
      <w:proofErr w:type="spellEnd"/>
      <w:r w:rsidRPr="00E266A7">
        <w:rPr>
          <w:rFonts w:ascii="Helvetica" w:hAnsi="Helvetica"/>
        </w:rPr>
        <w:t>, and Wyman created communication frameworks that continue to reduce risk and support public wellbeing. Their work demonstrates that graphic design’s life-saving capacity resides in its sustained, everyday influence on how people move, make decisions, and interpret their surroundings.</w:t>
      </w:r>
    </w:p>
    <w:p w14:paraId="6BF5FC06" w14:textId="77777777" w:rsidR="0092395C" w:rsidRPr="00E266A7" w:rsidRDefault="0092395C" w:rsidP="0092395C">
      <w:pPr>
        <w:spacing w:line="278" w:lineRule="auto"/>
        <w:rPr>
          <w:rFonts w:ascii="Helvetica" w:hAnsi="Helvetica"/>
        </w:rPr>
      </w:pPr>
    </w:p>
    <w:p w14:paraId="56D2760E" w14:textId="77777777" w:rsidR="0092395C" w:rsidRPr="0092395C" w:rsidRDefault="0092395C" w:rsidP="0092395C">
      <w:pPr>
        <w:rPr>
          <w:rFonts w:ascii="Helvetica" w:hAnsi="Helvetica"/>
        </w:rPr>
      </w:pPr>
      <w:r w:rsidRPr="00E266A7">
        <w:rPr>
          <w:rFonts w:ascii="Helvetica" w:hAnsi="Helvetica"/>
        </w:rPr>
        <w:t xml:space="preserve">The work of Calvert, </w:t>
      </w:r>
      <w:proofErr w:type="spellStart"/>
      <w:r w:rsidRPr="00E266A7">
        <w:rPr>
          <w:rFonts w:ascii="Helvetica" w:hAnsi="Helvetica"/>
        </w:rPr>
        <w:t>Kinneir</w:t>
      </w:r>
      <w:proofErr w:type="spellEnd"/>
      <w:r w:rsidRPr="00E266A7">
        <w:rPr>
          <w:rFonts w:ascii="Helvetica" w:hAnsi="Helvetica"/>
        </w:rPr>
        <w:t xml:space="preserve">, and Wyman demonstrates that graphic design exerts a profound and measurable influence on public safety. Their projects, spanning roads, airports, hospitals, and metro systems, show that visual communication systems can reduce accidents, prevent disorientation, and facilitate rapid decision-making in stressful or hazardous conditions. By integrating semiotics, ergonomics, colour psychology, and culturally grounded symbolism, each designer created environments where information is immediately accessible to diverse users, </w:t>
      </w:r>
      <w:r w:rsidRPr="00E266A7">
        <w:rPr>
          <w:rFonts w:ascii="Helvetica" w:hAnsi="Helvetica"/>
        </w:rPr>
        <w:lastRenderedPageBreak/>
        <w:t>regardless of language, literacy, or familiarity. Their contributions reveal that graphic design is not merely representational but behavioural: it guides movement, structures perception, and supports the efficient operation of complex infrastructures. When clear communication is essential for survival, graphic design becomes a vital public tool, capable of saving lives in meaningful and practical ways. The evidence from these case studies affirms that graphic design’s value extends well beyond aesthetics; it is an indispensable component of safety, accessibility, and social responsibility in the modern world.</w:t>
      </w:r>
    </w:p>
    <w:p w14:paraId="6307DC03" w14:textId="77777777" w:rsidR="0092395C" w:rsidRPr="0092395C" w:rsidRDefault="0092395C" w:rsidP="0092395C">
      <w:pPr>
        <w:rPr>
          <w:rFonts w:ascii="Helvetica" w:hAnsi="Helvetica"/>
        </w:rPr>
      </w:pPr>
    </w:p>
    <w:p w14:paraId="3F9052A1" w14:textId="77777777" w:rsidR="0092395C" w:rsidRPr="0092395C" w:rsidRDefault="0092395C" w:rsidP="0092395C">
      <w:pPr>
        <w:rPr>
          <w:rFonts w:ascii="Helvetica" w:hAnsi="Helvetica"/>
          <w:b/>
          <w:bCs/>
          <w:u w:val="single"/>
        </w:rPr>
      </w:pPr>
      <w:r w:rsidRPr="0092395C">
        <w:rPr>
          <w:rFonts w:ascii="Helvetica" w:hAnsi="Helvetica"/>
          <w:b/>
          <w:bCs/>
          <w:u w:val="single"/>
        </w:rPr>
        <w:t xml:space="preserve">Bibliography </w:t>
      </w:r>
    </w:p>
    <w:p w14:paraId="1EBEC7C7" w14:textId="77777777" w:rsidR="0092395C" w:rsidRPr="0092395C" w:rsidRDefault="0092395C" w:rsidP="0092395C">
      <w:pPr>
        <w:rPr>
          <w:rFonts w:ascii="Helvetica" w:hAnsi="Helvetica"/>
        </w:rPr>
      </w:pPr>
    </w:p>
    <w:p w14:paraId="1802D63E" w14:textId="77777777" w:rsidR="0092395C" w:rsidRPr="0092395C" w:rsidRDefault="0092395C" w:rsidP="0092395C">
      <w:pPr>
        <w:rPr>
          <w:rFonts w:ascii="Helvetica" w:hAnsi="Helvetica"/>
        </w:rPr>
      </w:pPr>
      <w:r w:rsidRPr="00E266A7">
        <w:rPr>
          <w:rFonts w:ascii="Helvetica" w:hAnsi="Helvetica"/>
        </w:rPr>
        <w:t xml:space="preserve">Barthes, R. (1977) </w:t>
      </w:r>
      <w:r w:rsidRPr="00E266A7">
        <w:rPr>
          <w:rFonts w:ascii="Helvetica" w:hAnsi="Helvetica"/>
          <w:i/>
          <w:iCs/>
        </w:rPr>
        <w:t>Image, Music, Text</w:t>
      </w:r>
      <w:r w:rsidRPr="00E266A7">
        <w:rPr>
          <w:rFonts w:ascii="Helvetica" w:hAnsi="Helvetica"/>
        </w:rPr>
        <w:t>. London: Fontana Press.</w:t>
      </w:r>
    </w:p>
    <w:p w14:paraId="3FE1BDCC" w14:textId="77777777" w:rsidR="0092395C" w:rsidRPr="00E266A7" w:rsidRDefault="0092395C" w:rsidP="0092395C">
      <w:pPr>
        <w:spacing w:line="278" w:lineRule="auto"/>
        <w:rPr>
          <w:rFonts w:ascii="Helvetica" w:hAnsi="Helvetica"/>
        </w:rPr>
      </w:pPr>
    </w:p>
    <w:p w14:paraId="523B1A91" w14:textId="77777777" w:rsidR="0092395C" w:rsidRPr="0092395C" w:rsidRDefault="0092395C" w:rsidP="0092395C">
      <w:pPr>
        <w:rPr>
          <w:rFonts w:ascii="Helvetica" w:hAnsi="Helvetica"/>
        </w:rPr>
      </w:pPr>
      <w:proofErr w:type="spellStart"/>
      <w:r w:rsidRPr="00E266A7">
        <w:rPr>
          <w:rFonts w:ascii="Helvetica" w:hAnsi="Helvetica"/>
        </w:rPr>
        <w:t>Brenišínová</w:t>
      </w:r>
      <w:proofErr w:type="spellEnd"/>
      <w:r w:rsidRPr="00E266A7">
        <w:rPr>
          <w:rFonts w:ascii="Helvetica" w:hAnsi="Helvetica"/>
        </w:rPr>
        <w:t xml:space="preserve">, M. (2015) ‘The iconography of the Mexico City Metro’, </w:t>
      </w:r>
      <w:proofErr w:type="spellStart"/>
      <w:r w:rsidRPr="00E266A7">
        <w:rPr>
          <w:rFonts w:ascii="Helvetica" w:hAnsi="Helvetica"/>
          <w:i/>
          <w:iCs/>
        </w:rPr>
        <w:t>Sociální</w:t>
      </w:r>
      <w:proofErr w:type="spellEnd"/>
      <w:r w:rsidRPr="00E266A7">
        <w:rPr>
          <w:rFonts w:ascii="Helvetica" w:hAnsi="Helvetica"/>
          <w:i/>
          <w:iCs/>
        </w:rPr>
        <w:t xml:space="preserve"> studia</w:t>
      </w:r>
      <w:r w:rsidRPr="00E266A7">
        <w:rPr>
          <w:rFonts w:ascii="Helvetica" w:hAnsi="Helvetica"/>
        </w:rPr>
        <w:t>, 12(3), pp. 119–137.</w:t>
      </w:r>
    </w:p>
    <w:p w14:paraId="40771640" w14:textId="77777777" w:rsidR="0092395C" w:rsidRPr="00E266A7" w:rsidRDefault="0092395C" w:rsidP="0092395C">
      <w:pPr>
        <w:spacing w:line="278" w:lineRule="auto"/>
        <w:rPr>
          <w:rFonts w:ascii="Helvetica" w:hAnsi="Helvetica"/>
        </w:rPr>
      </w:pPr>
    </w:p>
    <w:p w14:paraId="339D6C78" w14:textId="77777777" w:rsidR="0092395C" w:rsidRPr="0092395C" w:rsidRDefault="0092395C" w:rsidP="0092395C">
      <w:pPr>
        <w:rPr>
          <w:rFonts w:ascii="Helvetica" w:hAnsi="Helvetica"/>
        </w:rPr>
      </w:pPr>
      <w:r w:rsidRPr="00E266A7">
        <w:rPr>
          <w:rFonts w:ascii="Helvetica" w:hAnsi="Helvetica"/>
        </w:rPr>
        <w:t xml:space="preserve">Carroll, G.D. (2018) ‘Mexico City Metro and its riders’, </w:t>
      </w:r>
      <w:r w:rsidRPr="00E266A7">
        <w:rPr>
          <w:rFonts w:ascii="Helvetica" w:hAnsi="Helvetica"/>
          <w:i/>
          <w:iCs/>
        </w:rPr>
        <w:t xml:space="preserve">Oxford Research </w:t>
      </w:r>
      <w:proofErr w:type="spellStart"/>
      <w:r w:rsidRPr="00E266A7">
        <w:rPr>
          <w:rFonts w:ascii="Helvetica" w:hAnsi="Helvetica"/>
          <w:i/>
          <w:iCs/>
        </w:rPr>
        <w:t>Encyclopedia</w:t>
      </w:r>
      <w:proofErr w:type="spellEnd"/>
      <w:r w:rsidRPr="00E266A7">
        <w:rPr>
          <w:rFonts w:ascii="Helvetica" w:hAnsi="Helvetica"/>
          <w:i/>
          <w:iCs/>
        </w:rPr>
        <w:t xml:space="preserve"> of Latin American History</w:t>
      </w:r>
      <w:r w:rsidRPr="00E266A7">
        <w:rPr>
          <w:rFonts w:ascii="Helvetica" w:hAnsi="Helvetica"/>
        </w:rPr>
        <w:t>. Oxford: Oxford University Press.</w:t>
      </w:r>
    </w:p>
    <w:p w14:paraId="3956FB8E" w14:textId="77777777" w:rsidR="0092395C" w:rsidRPr="00E266A7" w:rsidRDefault="0092395C" w:rsidP="0092395C">
      <w:pPr>
        <w:spacing w:line="278" w:lineRule="auto"/>
        <w:rPr>
          <w:rFonts w:ascii="Helvetica" w:hAnsi="Helvetica"/>
        </w:rPr>
      </w:pPr>
    </w:p>
    <w:p w14:paraId="58FD46C2" w14:textId="77777777" w:rsidR="0092395C" w:rsidRPr="0092395C" w:rsidRDefault="0092395C" w:rsidP="0092395C">
      <w:pPr>
        <w:rPr>
          <w:rFonts w:ascii="Helvetica" w:hAnsi="Helvetica"/>
        </w:rPr>
      </w:pPr>
      <w:r w:rsidRPr="00E266A7">
        <w:rPr>
          <w:rFonts w:ascii="Helvetica" w:hAnsi="Helvetica"/>
        </w:rPr>
        <w:t xml:space="preserve">Castañeda, L. (2012) ‘Choreographing the metropolis: Networks of circulation and power in Olympic Mexico’, </w:t>
      </w:r>
      <w:r w:rsidRPr="00E266A7">
        <w:rPr>
          <w:rFonts w:ascii="Helvetica" w:hAnsi="Helvetica"/>
          <w:i/>
          <w:iCs/>
        </w:rPr>
        <w:t>Journal of Design History</w:t>
      </w:r>
      <w:r w:rsidRPr="00E266A7">
        <w:rPr>
          <w:rFonts w:ascii="Helvetica" w:hAnsi="Helvetica"/>
        </w:rPr>
        <w:t>, 25(3), pp. 285–303.</w:t>
      </w:r>
    </w:p>
    <w:p w14:paraId="079067F5" w14:textId="77777777" w:rsidR="0092395C" w:rsidRPr="00E266A7" w:rsidRDefault="0092395C" w:rsidP="0092395C">
      <w:pPr>
        <w:spacing w:line="278" w:lineRule="auto"/>
        <w:rPr>
          <w:rFonts w:ascii="Helvetica" w:hAnsi="Helvetica"/>
        </w:rPr>
      </w:pPr>
    </w:p>
    <w:p w14:paraId="49F0CF8F" w14:textId="77777777" w:rsidR="0092395C" w:rsidRPr="0092395C" w:rsidRDefault="0092395C" w:rsidP="0092395C">
      <w:pPr>
        <w:rPr>
          <w:rFonts w:ascii="Helvetica" w:hAnsi="Helvetica"/>
        </w:rPr>
      </w:pPr>
      <w:r w:rsidRPr="00E266A7">
        <w:rPr>
          <w:rFonts w:ascii="Helvetica" w:hAnsi="Helvetica"/>
        </w:rPr>
        <w:lastRenderedPageBreak/>
        <w:t>Chang, H.-C. and Huang, W.-S. (2006) ‘</w:t>
      </w:r>
      <w:proofErr w:type="spellStart"/>
      <w:r w:rsidRPr="00E266A7">
        <w:rPr>
          <w:rFonts w:ascii="Helvetica" w:hAnsi="Helvetica"/>
        </w:rPr>
        <w:t>Color</w:t>
      </w:r>
      <w:proofErr w:type="spellEnd"/>
      <w:r w:rsidRPr="00E266A7">
        <w:rPr>
          <w:rFonts w:ascii="Helvetica" w:hAnsi="Helvetica"/>
        </w:rPr>
        <w:t xml:space="preserve"> and wayfinding: The role of </w:t>
      </w:r>
      <w:proofErr w:type="spellStart"/>
      <w:r w:rsidRPr="00E266A7">
        <w:rPr>
          <w:rFonts w:ascii="Helvetica" w:hAnsi="Helvetica"/>
        </w:rPr>
        <w:t>color</w:t>
      </w:r>
      <w:proofErr w:type="spellEnd"/>
      <w:r w:rsidRPr="00E266A7">
        <w:rPr>
          <w:rFonts w:ascii="Helvetica" w:hAnsi="Helvetica"/>
        </w:rPr>
        <w:t xml:space="preserve"> in environmental signage’, </w:t>
      </w:r>
      <w:r w:rsidRPr="00E266A7">
        <w:rPr>
          <w:rFonts w:ascii="Helvetica" w:hAnsi="Helvetica"/>
          <w:i/>
          <w:iCs/>
        </w:rPr>
        <w:t>Colour Research &amp; Application</w:t>
      </w:r>
      <w:r w:rsidRPr="00E266A7">
        <w:rPr>
          <w:rFonts w:ascii="Helvetica" w:hAnsi="Helvetica"/>
        </w:rPr>
        <w:t>, 31(5), pp. 343–351.</w:t>
      </w:r>
    </w:p>
    <w:p w14:paraId="36578B93" w14:textId="77777777" w:rsidR="0092395C" w:rsidRPr="00E266A7" w:rsidRDefault="0092395C" w:rsidP="0092395C">
      <w:pPr>
        <w:spacing w:line="278" w:lineRule="auto"/>
        <w:rPr>
          <w:rFonts w:ascii="Helvetica" w:hAnsi="Helvetica"/>
        </w:rPr>
      </w:pPr>
    </w:p>
    <w:p w14:paraId="57924C16" w14:textId="77777777" w:rsidR="0092395C" w:rsidRPr="0092395C" w:rsidRDefault="0092395C" w:rsidP="0092395C">
      <w:pPr>
        <w:rPr>
          <w:rFonts w:ascii="Helvetica" w:hAnsi="Helvetica"/>
        </w:rPr>
      </w:pPr>
      <w:proofErr w:type="spellStart"/>
      <w:r w:rsidRPr="00E266A7">
        <w:rPr>
          <w:rFonts w:ascii="Helvetica" w:hAnsi="Helvetica"/>
        </w:rPr>
        <w:t>Frascara</w:t>
      </w:r>
      <w:proofErr w:type="spellEnd"/>
      <w:r w:rsidRPr="00E266A7">
        <w:rPr>
          <w:rFonts w:ascii="Helvetica" w:hAnsi="Helvetica"/>
        </w:rPr>
        <w:t xml:space="preserve">, J. (2004) </w:t>
      </w:r>
      <w:r w:rsidRPr="00E266A7">
        <w:rPr>
          <w:rFonts w:ascii="Helvetica" w:hAnsi="Helvetica"/>
          <w:i/>
          <w:iCs/>
        </w:rPr>
        <w:t>Communication Design: Principles, Methods, and Practice</w:t>
      </w:r>
      <w:r w:rsidRPr="00E266A7">
        <w:rPr>
          <w:rFonts w:ascii="Helvetica" w:hAnsi="Helvetica"/>
        </w:rPr>
        <w:t>. New York: Allworth Press.</w:t>
      </w:r>
    </w:p>
    <w:p w14:paraId="227DBEFC" w14:textId="77777777" w:rsidR="0092395C" w:rsidRPr="00E266A7" w:rsidRDefault="0092395C" w:rsidP="0092395C">
      <w:pPr>
        <w:spacing w:line="278" w:lineRule="auto"/>
        <w:rPr>
          <w:rFonts w:ascii="Helvetica" w:hAnsi="Helvetica"/>
        </w:rPr>
      </w:pPr>
    </w:p>
    <w:p w14:paraId="4D149EF7" w14:textId="77777777" w:rsidR="0092395C" w:rsidRPr="0092395C" w:rsidRDefault="0092395C" w:rsidP="0092395C">
      <w:pPr>
        <w:rPr>
          <w:rFonts w:ascii="Helvetica" w:hAnsi="Helvetica"/>
        </w:rPr>
      </w:pPr>
      <w:r w:rsidRPr="00E266A7">
        <w:rPr>
          <w:rFonts w:ascii="Helvetica" w:hAnsi="Helvetica"/>
        </w:rPr>
        <w:t xml:space="preserve">Garfield, S. (2010) </w:t>
      </w:r>
      <w:r w:rsidRPr="00E266A7">
        <w:rPr>
          <w:rFonts w:ascii="Helvetica" w:hAnsi="Helvetica"/>
          <w:i/>
          <w:iCs/>
        </w:rPr>
        <w:t>Just My Type</w:t>
      </w:r>
      <w:r w:rsidRPr="00E266A7">
        <w:rPr>
          <w:rFonts w:ascii="Helvetica" w:hAnsi="Helvetica"/>
        </w:rPr>
        <w:t>. London: Profile Books.</w:t>
      </w:r>
    </w:p>
    <w:p w14:paraId="2B234645" w14:textId="77777777" w:rsidR="0092395C" w:rsidRPr="00E266A7" w:rsidRDefault="0092395C" w:rsidP="0092395C">
      <w:pPr>
        <w:spacing w:line="278" w:lineRule="auto"/>
        <w:rPr>
          <w:rFonts w:ascii="Helvetica" w:hAnsi="Helvetica"/>
        </w:rPr>
      </w:pPr>
    </w:p>
    <w:p w14:paraId="034B850F" w14:textId="77777777" w:rsidR="0092395C" w:rsidRPr="0092395C" w:rsidRDefault="0092395C" w:rsidP="0092395C">
      <w:pPr>
        <w:rPr>
          <w:rFonts w:ascii="Helvetica" w:hAnsi="Helvetica"/>
        </w:rPr>
      </w:pPr>
      <w:r w:rsidRPr="00E266A7">
        <w:rPr>
          <w:rFonts w:ascii="Helvetica" w:hAnsi="Helvetica"/>
        </w:rPr>
        <w:t xml:space="preserve">Lange, A. (2014) ‘Talking Pictures: From safety posters to metro systems, Lance Wyman’s career shows that visual icons are the universal language’, </w:t>
      </w:r>
      <w:r w:rsidRPr="00E266A7">
        <w:rPr>
          <w:rFonts w:ascii="Helvetica" w:hAnsi="Helvetica"/>
          <w:i/>
          <w:iCs/>
        </w:rPr>
        <w:t>WHY Magazine</w:t>
      </w:r>
      <w:r w:rsidRPr="00E266A7">
        <w:rPr>
          <w:rFonts w:ascii="Helvetica" w:hAnsi="Helvetica"/>
        </w:rPr>
        <w:t xml:space="preserve"> (Herman Miller).</w:t>
      </w:r>
    </w:p>
    <w:p w14:paraId="033C4893" w14:textId="77777777" w:rsidR="0092395C" w:rsidRPr="00E266A7" w:rsidRDefault="0092395C" w:rsidP="0092395C">
      <w:pPr>
        <w:spacing w:line="278" w:lineRule="auto"/>
        <w:rPr>
          <w:rFonts w:ascii="Helvetica" w:hAnsi="Helvetica"/>
        </w:rPr>
      </w:pPr>
    </w:p>
    <w:p w14:paraId="3AB8E4C1" w14:textId="77777777" w:rsidR="0092395C" w:rsidRPr="0092395C" w:rsidRDefault="0092395C" w:rsidP="0092395C">
      <w:pPr>
        <w:rPr>
          <w:rFonts w:ascii="Helvetica" w:hAnsi="Helvetica"/>
        </w:rPr>
      </w:pPr>
      <w:proofErr w:type="spellStart"/>
      <w:r w:rsidRPr="00E266A7">
        <w:rPr>
          <w:rFonts w:ascii="Helvetica" w:hAnsi="Helvetica"/>
        </w:rPr>
        <w:t>Mijksenaar</w:t>
      </w:r>
      <w:proofErr w:type="spellEnd"/>
      <w:r w:rsidRPr="00E266A7">
        <w:rPr>
          <w:rFonts w:ascii="Helvetica" w:hAnsi="Helvetica"/>
        </w:rPr>
        <w:t xml:space="preserve">, P. (1997) </w:t>
      </w:r>
      <w:r w:rsidRPr="00E266A7">
        <w:rPr>
          <w:rFonts w:ascii="Helvetica" w:hAnsi="Helvetica"/>
          <w:i/>
          <w:iCs/>
        </w:rPr>
        <w:t>Visual Function: An Introduction to Information Design</w:t>
      </w:r>
      <w:r w:rsidRPr="00E266A7">
        <w:rPr>
          <w:rFonts w:ascii="Helvetica" w:hAnsi="Helvetica"/>
        </w:rPr>
        <w:t>. Rotterdam: 010 Publishers.</w:t>
      </w:r>
    </w:p>
    <w:p w14:paraId="622C972C" w14:textId="77777777" w:rsidR="0092395C" w:rsidRPr="00E266A7" w:rsidRDefault="0092395C" w:rsidP="0092395C">
      <w:pPr>
        <w:spacing w:line="278" w:lineRule="auto"/>
        <w:rPr>
          <w:rFonts w:ascii="Helvetica" w:hAnsi="Helvetica"/>
        </w:rPr>
      </w:pPr>
    </w:p>
    <w:p w14:paraId="63B06E17" w14:textId="77777777" w:rsidR="0092395C" w:rsidRPr="0092395C" w:rsidRDefault="0092395C" w:rsidP="0092395C">
      <w:pPr>
        <w:rPr>
          <w:rFonts w:ascii="Helvetica" w:hAnsi="Helvetica"/>
        </w:rPr>
      </w:pPr>
      <w:r w:rsidRPr="00E266A7">
        <w:rPr>
          <w:rFonts w:ascii="Helvetica" w:hAnsi="Helvetica"/>
        </w:rPr>
        <w:t xml:space="preserve">Neurath, O. and Kinross, R. (2009) </w:t>
      </w:r>
      <w:r w:rsidRPr="00E266A7">
        <w:rPr>
          <w:rFonts w:ascii="Helvetica" w:hAnsi="Helvetica"/>
          <w:i/>
          <w:iCs/>
        </w:rPr>
        <w:t>The Transformer: Principles of Isotype Design</w:t>
      </w:r>
      <w:r w:rsidRPr="00E266A7">
        <w:rPr>
          <w:rFonts w:ascii="Helvetica" w:hAnsi="Helvetica"/>
        </w:rPr>
        <w:t>. London: Hyphen Press.</w:t>
      </w:r>
    </w:p>
    <w:p w14:paraId="027C52E8" w14:textId="77777777" w:rsidR="0092395C" w:rsidRPr="00E266A7" w:rsidRDefault="0092395C" w:rsidP="0092395C">
      <w:pPr>
        <w:spacing w:line="278" w:lineRule="auto"/>
        <w:rPr>
          <w:rFonts w:ascii="Helvetica" w:hAnsi="Helvetica"/>
        </w:rPr>
      </w:pPr>
    </w:p>
    <w:p w14:paraId="76854CFE" w14:textId="77777777" w:rsidR="0092395C" w:rsidRPr="0092395C" w:rsidRDefault="0092395C" w:rsidP="0092395C">
      <w:pPr>
        <w:rPr>
          <w:rFonts w:ascii="Helvetica" w:hAnsi="Helvetica"/>
        </w:rPr>
      </w:pPr>
      <w:r w:rsidRPr="00E266A7">
        <w:rPr>
          <w:rFonts w:ascii="Helvetica" w:hAnsi="Helvetica"/>
        </w:rPr>
        <w:t xml:space="preserve">Norman, D. (2013) </w:t>
      </w:r>
      <w:r w:rsidRPr="00E266A7">
        <w:rPr>
          <w:rFonts w:ascii="Helvetica" w:hAnsi="Helvetica"/>
          <w:i/>
          <w:iCs/>
        </w:rPr>
        <w:t>The Design of Everyday Things</w:t>
      </w:r>
      <w:r w:rsidRPr="00E266A7">
        <w:rPr>
          <w:rFonts w:ascii="Helvetica" w:hAnsi="Helvetica"/>
        </w:rPr>
        <w:t>. New York: Basic Books.</w:t>
      </w:r>
    </w:p>
    <w:p w14:paraId="72E7ADC0" w14:textId="77777777" w:rsidR="0092395C" w:rsidRPr="00E266A7" w:rsidRDefault="0092395C" w:rsidP="0092395C">
      <w:pPr>
        <w:spacing w:line="278" w:lineRule="auto"/>
        <w:rPr>
          <w:rFonts w:ascii="Helvetica" w:hAnsi="Helvetica"/>
        </w:rPr>
      </w:pPr>
    </w:p>
    <w:p w14:paraId="3D018ADF" w14:textId="77777777" w:rsidR="0092395C" w:rsidRPr="0092395C" w:rsidRDefault="0092395C" w:rsidP="0092395C">
      <w:pPr>
        <w:rPr>
          <w:rFonts w:ascii="Helvetica" w:hAnsi="Helvetica"/>
        </w:rPr>
      </w:pPr>
      <w:r w:rsidRPr="00E266A7">
        <w:rPr>
          <w:rFonts w:ascii="Helvetica" w:hAnsi="Helvetica"/>
        </w:rPr>
        <w:t xml:space="preserve">Poyner, B. (2008) ‘The design of road signs’, </w:t>
      </w:r>
      <w:r w:rsidRPr="00E266A7">
        <w:rPr>
          <w:rFonts w:ascii="Helvetica" w:hAnsi="Helvetica"/>
          <w:i/>
          <w:iCs/>
        </w:rPr>
        <w:t>Applied Ergonomics</w:t>
      </w:r>
      <w:r w:rsidRPr="00E266A7">
        <w:rPr>
          <w:rFonts w:ascii="Helvetica" w:hAnsi="Helvetica"/>
        </w:rPr>
        <w:t>, 39(2), pp. 215–223.</w:t>
      </w:r>
    </w:p>
    <w:p w14:paraId="7F396B0B" w14:textId="77777777" w:rsidR="0092395C" w:rsidRPr="00E266A7" w:rsidRDefault="0092395C" w:rsidP="0092395C">
      <w:pPr>
        <w:spacing w:line="278" w:lineRule="auto"/>
        <w:rPr>
          <w:rFonts w:ascii="Helvetica" w:hAnsi="Helvetica"/>
        </w:rPr>
      </w:pPr>
    </w:p>
    <w:p w14:paraId="58CC83A0" w14:textId="77777777" w:rsidR="0092395C" w:rsidRPr="0092395C" w:rsidRDefault="0092395C" w:rsidP="0092395C">
      <w:pPr>
        <w:rPr>
          <w:rFonts w:ascii="Helvetica" w:hAnsi="Helvetica"/>
        </w:rPr>
      </w:pPr>
      <w:r w:rsidRPr="00E266A7">
        <w:rPr>
          <w:rFonts w:ascii="Helvetica" w:hAnsi="Helvetica"/>
        </w:rPr>
        <w:t xml:space="preserve">Saussure, F. de (2011) </w:t>
      </w:r>
      <w:r w:rsidRPr="00E266A7">
        <w:rPr>
          <w:rFonts w:ascii="Helvetica" w:hAnsi="Helvetica"/>
          <w:i/>
          <w:iCs/>
        </w:rPr>
        <w:t>Course in General Linguistics</w:t>
      </w:r>
      <w:r w:rsidRPr="00E266A7">
        <w:rPr>
          <w:rFonts w:ascii="Helvetica" w:hAnsi="Helvetica"/>
        </w:rPr>
        <w:t>. London: Duckworth.</w:t>
      </w:r>
    </w:p>
    <w:p w14:paraId="38E26A11" w14:textId="77777777" w:rsidR="0092395C" w:rsidRPr="00E266A7" w:rsidRDefault="0092395C" w:rsidP="0092395C">
      <w:pPr>
        <w:spacing w:line="278" w:lineRule="auto"/>
        <w:rPr>
          <w:rFonts w:ascii="Helvetica" w:hAnsi="Helvetica"/>
        </w:rPr>
      </w:pPr>
    </w:p>
    <w:p w14:paraId="610BD8F4" w14:textId="77777777" w:rsidR="0092395C" w:rsidRPr="0092395C" w:rsidRDefault="0092395C" w:rsidP="0092395C">
      <w:pPr>
        <w:rPr>
          <w:rFonts w:ascii="Helvetica" w:hAnsi="Helvetica"/>
        </w:rPr>
      </w:pPr>
      <w:r w:rsidRPr="00E266A7">
        <w:rPr>
          <w:rFonts w:ascii="Helvetica" w:hAnsi="Helvetica"/>
        </w:rPr>
        <w:t xml:space="preserve">Waller, R. (2012) ‘Graphic design and risk communication’, </w:t>
      </w:r>
      <w:r w:rsidRPr="00E266A7">
        <w:rPr>
          <w:rFonts w:ascii="Helvetica" w:hAnsi="Helvetica"/>
          <w:i/>
          <w:iCs/>
        </w:rPr>
        <w:t>Information Design Journal</w:t>
      </w:r>
      <w:r w:rsidRPr="00E266A7">
        <w:rPr>
          <w:rFonts w:ascii="Helvetica" w:hAnsi="Helvetica"/>
        </w:rPr>
        <w:t>, 19(2), pp. 110–122.</w:t>
      </w:r>
    </w:p>
    <w:p w14:paraId="1E8EED1F" w14:textId="77777777" w:rsidR="0092395C" w:rsidRPr="00E266A7" w:rsidRDefault="0092395C" w:rsidP="0092395C">
      <w:pPr>
        <w:spacing w:line="278" w:lineRule="auto"/>
        <w:rPr>
          <w:rFonts w:ascii="Helvetica" w:hAnsi="Helvetica"/>
        </w:rPr>
      </w:pPr>
    </w:p>
    <w:p w14:paraId="6C2B87FD" w14:textId="77777777" w:rsidR="0092395C" w:rsidRPr="00E266A7" w:rsidRDefault="0092395C" w:rsidP="0092395C">
      <w:pPr>
        <w:spacing w:line="278" w:lineRule="auto"/>
        <w:rPr>
          <w:rFonts w:ascii="Helvetica" w:hAnsi="Helvetica"/>
        </w:rPr>
      </w:pPr>
      <w:r w:rsidRPr="00E266A7">
        <w:rPr>
          <w:rFonts w:ascii="Helvetica" w:hAnsi="Helvetica"/>
        </w:rPr>
        <w:t xml:space="preserve">Ware, C. (2013) </w:t>
      </w:r>
      <w:r w:rsidRPr="00E266A7">
        <w:rPr>
          <w:rFonts w:ascii="Helvetica" w:hAnsi="Helvetica"/>
          <w:i/>
          <w:iCs/>
        </w:rPr>
        <w:t>Information Visualization: Perception for Design</w:t>
      </w:r>
      <w:r w:rsidRPr="00E266A7">
        <w:rPr>
          <w:rFonts w:ascii="Helvetica" w:hAnsi="Helvetica"/>
        </w:rPr>
        <w:t xml:space="preserve">. 3rd </w:t>
      </w:r>
      <w:proofErr w:type="spellStart"/>
      <w:r w:rsidRPr="00E266A7">
        <w:rPr>
          <w:rFonts w:ascii="Helvetica" w:hAnsi="Helvetica"/>
        </w:rPr>
        <w:t>edn</w:t>
      </w:r>
      <w:proofErr w:type="spellEnd"/>
      <w:r w:rsidRPr="00E266A7">
        <w:rPr>
          <w:rFonts w:ascii="Helvetica" w:hAnsi="Helvetica"/>
        </w:rPr>
        <w:t>. Burlington, MA: Morgan Kaufmann.</w:t>
      </w:r>
    </w:p>
    <w:p w14:paraId="55C2EF85" w14:textId="77777777" w:rsidR="0092395C" w:rsidRDefault="0092395C"/>
    <w:sectPr w:rsidR="0092395C">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6A965" w14:textId="77777777" w:rsidR="0092395C" w:rsidRDefault="0092395C" w:rsidP="0092395C">
      <w:pPr>
        <w:spacing w:after="0" w:line="240" w:lineRule="auto"/>
      </w:pPr>
      <w:r>
        <w:separator/>
      </w:r>
    </w:p>
  </w:endnote>
  <w:endnote w:type="continuationSeparator" w:id="0">
    <w:p w14:paraId="38B26EA6" w14:textId="77777777" w:rsidR="0092395C" w:rsidRDefault="0092395C" w:rsidP="00923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4970376"/>
      <w:docPartObj>
        <w:docPartGallery w:val="Page Numbers (Bottom of Page)"/>
        <w:docPartUnique/>
      </w:docPartObj>
    </w:sdtPr>
    <w:sdtEndPr>
      <w:rPr>
        <w:noProof/>
      </w:rPr>
    </w:sdtEndPr>
    <w:sdtContent>
      <w:p w14:paraId="278A5D32" w14:textId="091B1414" w:rsidR="0092395C" w:rsidRDefault="009239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291D69" w14:textId="77777777" w:rsidR="0092395C" w:rsidRDefault="00923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EB250" w14:textId="77777777" w:rsidR="0092395C" w:rsidRDefault="0092395C" w:rsidP="0092395C">
      <w:pPr>
        <w:spacing w:after="0" w:line="240" w:lineRule="auto"/>
      </w:pPr>
      <w:r>
        <w:separator/>
      </w:r>
    </w:p>
  </w:footnote>
  <w:footnote w:type="continuationSeparator" w:id="0">
    <w:p w14:paraId="4814B8E7" w14:textId="77777777" w:rsidR="0092395C" w:rsidRDefault="0092395C" w:rsidP="009239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95C"/>
    <w:rsid w:val="0092395C"/>
    <w:rsid w:val="00980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09883"/>
  <w15:chartTrackingRefBased/>
  <w15:docId w15:val="{D8A40E14-E94B-4DEC-B7B3-9B067ED3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95C"/>
  </w:style>
  <w:style w:type="paragraph" w:styleId="Heading1">
    <w:name w:val="heading 1"/>
    <w:basedOn w:val="Normal"/>
    <w:next w:val="Normal"/>
    <w:link w:val="Heading1Char"/>
    <w:uiPriority w:val="9"/>
    <w:qFormat/>
    <w:rsid w:val="009239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39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39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39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39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39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39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39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39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9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39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39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39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39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39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39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39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395C"/>
    <w:rPr>
      <w:rFonts w:eastAsiaTheme="majorEastAsia" w:cstheme="majorBidi"/>
      <w:color w:val="272727" w:themeColor="text1" w:themeTint="D8"/>
    </w:rPr>
  </w:style>
  <w:style w:type="paragraph" w:styleId="Title">
    <w:name w:val="Title"/>
    <w:basedOn w:val="Normal"/>
    <w:next w:val="Normal"/>
    <w:link w:val="TitleChar"/>
    <w:uiPriority w:val="10"/>
    <w:qFormat/>
    <w:rsid w:val="00923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9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39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9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395C"/>
    <w:pPr>
      <w:spacing w:before="160"/>
      <w:jc w:val="center"/>
    </w:pPr>
    <w:rPr>
      <w:i/>
      <w:iCs/>
      <w:color w:val="404040" w:themeColor="text1" w:themeTint="BF"/>
    </w:rPr>
  </w:style>
  <w:style w:type="character" w:customStyle="1" w:styleId="QuoteChar">
    <w:name w:val="Quote Char"/>
    <w:basedOn w:val="DefaultParagraphFont"/>
    <w:link w:val="Quote"/>
    <w:uiPriority w:val="29"/>
    <w:rsid w:val="0092395C"/>
    <w:rPr>
      <w:i/>
      <w:iCs/>
      <w:color w:val="404040" w:themeColor="text1" w:themeTint="BF"/>
    </w:rPr>
  </w:style>
  <w:style w:type="paragraph" w:styleId="ListParagraph">
    <w:name w:val="List Paragraph"/>
    <w:basedOn w:val="Normal"/>
    <w:uiPriority w:val="34"/>
    <w:qFormat/>
    <w:rsid w:val="0092395C"/>
    <w:pPr>
      <w:ind w:left="720"/>
      <w:contextualSpacing/>
    </w:pPr>
  </w:style>
  <w:style w:type="character" w:styleId="IntenseEmphasis">
    <w:name w:val="Intense Emphasis"/>
    <w:basedOn w:val="DefaultParagraphFont"/>
    <w:uiPriority w:val="21"/>
    <w:qFormat/>
    <w:rsid w:val="0092395C"/>
    <w:rPr>
      <w:i/>
      <w:iCs/>
      <w:color w:val="0F4761" w:themeColor="accent1" w:themeShade="BF"/>
    </w:rPr>
  </w:style>
  <w:style w:type="paragraph" w:styleId="IntenseQuote">
    <w:name w:val="Intense Quote"/>
    <w:basedOn w:val="Normal"/>
    <w:next w:val="Normal"/>
    <w:link w:val="IntenseQuoteChar"/>
    <w:uiPriority w:val="30"/>
    <w:qFormat/>
    <w:rsid w:val="009239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95C"/>
    <w:rPr>
      <w:i/>
      <w:iCs/>
      <w:color w:val="0F4761" w:themeColor="accent1" w:themeShade="BF"/>
    </w:rPr>
  </w:style>
  <w:style w:type="character" w:styleId="IntenseReference">
    <w:name w:val="Intense Reference"/>
    <w:basedOn w:val="DefaultParagraphFont"/>
    <w:uiPriority w:val="32"/>
    <w:qFormat/>
    <w:rsid w:val="0092395C"/>
    <w:rPr>
      <w:b/>
      <w:bCs/>
      <w:smallCaps/>
      <w:color w:val="0F4761" w:themeColor="accent1" w:themeShade="BF"/>
      <w:spacing w:val="5"/>
    </w:rPr>
  </w:style>
  <w:style w:type="paragraph" w:styleId="Header">
    <w:name w:val="header"/>
    <w:basedOn w:val="Normal"/>
    <w:link w:val="HeaderChar"/>
    <w:uiPriority w:val="99"/>
    <w:unhideWhenUsed/>
    <w:rsid w:val="00923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95C"/>
  </w:style>
  <w:style w:type="paragraph" w:styleId="Footer">
    <w:name w:val="footer"/>
    <w:basedOn w:val="Normal"/>
    <w:link w:val="FooterChar"/>
    <w:uiPriority w:val="99"/>
    <w:unhideWhenUsed/>
    <w:rsid w:val="009239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9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2708</Words>
  <Characters>15439</Characters>
  <Application>Microsoft Office Word</Application>
  <DocSecurity>0</DocSecurity>
  <Lines>128</Lines>
  <Paragraphs>36</Paragraphs>
  <ScaleCrop>false</ScaleCrop>
  <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Nashes</dc:creator>
  <cp:keywords/>
  <dc:description/>
  <cp:lastModifiedBy>Joe Nashes</cp:lastModifiedBy>
  <cp:revision>1</cp:revision>
  <dcterms:created xsi:type="dcterms:W3CDTF">2025-12-08T00:45:00Z</dcterms:created>
  <dcterms:modified xsi:type="dcterms:W3CDTF">2025-12-08T00:53:00Z</dcterms:modified>
</cp:coreProperties>
</file>