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C9752A" w14:textId="77777777" w:rsidR="00517CDE" w:rsidRPr="0009016F" w:rsidRDefault="00517CDE" w:rsidP="000D79CE">
      <w:pPr>
        <w:spacing w:line="360" w:lineRule="auto"/>
        <w:jc w:val="both"/>
        <w:rPr>
          <w:rFonts w:cstheme="minorHAnsi"/>
          <w:lang w:val="en-US"/>
        </w:rPr>
      </w:pPr>
    </w:p>
    <w:p w14:paraId="51370D36" w14:textId="77777777" w:rsidR="000D79CE" w:rsidRPr="0009016F" w:rsidRDefault="000D79CE" w:rsidP="000D79CE">
      <w:pPr>
        <w:spacing w:line="360" w:lineRule="auto"/>
        <w:jc w:val="both"/>
        <w:rPr>
          <w:rFonts w:cstheme="minorHAnsi"/>
          <w:noProof w:val="0"/>
        </w:rPr>
      </w:pPr>
      <w:r w:rsidRPr="0009016F">
        <w:rPr>
          <w:rFonts w:cstheme="minorHAnsi"/>
        </w:rPr>
        <w:drawing>
          <wp:inline distT="0" distB="0" distL="0" distR="0" wp14:anchorId="0072F570" wp14:editId="553E8913">
            <wp:extent cx="4524375" cy="1714500"/>
            <wp:effectExtent l="0" t="0" r="9525" b="0"/>
            <wp:docPr id="2013075523" name="Picture 1" descr="University of Wales, Trinity Saint David,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ond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24375" cy="1714500"/>
                    </a:xfrm>
                    <a:prstGeom prst="rect">
                      <a:avLst/>
                    </a:prstGeom>
                    <a:noFill/>
                    <a:ln>
                      <a:noFill/>
                    </a:ln>
                  </pic:spPr>
                </pic:pic>
              </a:graphicData>
            </a:graphic>
          </wp:inline>
        </w:drawing>
      </w:r>
    </w:p>
    <w:p w14:paraId="4802A7C2" w14:textId="77777777" w:rsidR="000D79CE" w:rsidRPr="0009016F" w:rsidRDefault="000D79CE" w:rsidP="000D79CE">
      <w:pPr>
        <w:spacing w:line="360" w:lineRule="auto"/>
        <w:jc w:val="both"/>
        <w:rPr>
          <w:rFonts w:cstheme="minorHAnsi"/>
        </w:rPr>
      </w:pPr>
    </w:p>
    <w:p w14:paraId="28EAA0D5" w14:textId="0286F3BB" w:rsidR="000D79CE" w:rsidRPr="0009016F" w:rsidRDefault="000D79CE" w:rsidP="00BE30EB">
      <w:pPr>
        <w:spacing w:line="360" w:lineRule="auto"/>
        <w:jc w:val="center"/>
        <w:rPr>
          <w:rFonts w:cstheme="minorHAnsi"/>
          <w:b/>
          <w:bCs/>
        </w:rPr>
      </w:pPr>
      <w:r w:rsidRPr="0009016F">
        <w:rPr>
          <w:rFonts w:cstheme="minorHAnsi"/>
          <w:b/>
          <w:bCs/>
        </w:rPr>
        <w:t>Title</w:t>
      </w:r>
      <w:r w:rsidRPr="0009016F">
        <w:rPr>
          <w:rFonts w:cstheme="minorHAnsi"/>
          <w:b/>
          <w:bCs/>
          <w:lang w:val="hu-HU"/>
        </w:rPr>
        <w:t xml:space="preserve">: </w:t>
      </w:r>
      <w:r w:rsidRPr="0009016F">
        <w:rPr>
          <w:rFonts w:cstheme="minorHAnsi"/>
          <w:b/>
          <w:bCs/>
        </w:rPr>
        <w:t>Strategic Analysis and Financial Evaluation of Pfizer Inc.</w:t>
      </w:r>
    </w:p>
    <w:p w14:paraId="4C28DFAC" w14:textId="77777777" w:rsidR="000D79CE" w:rsidRPr="0009016F" w:rsidRDefault="000D79CE" w:rsidP="000D79CE">
      <w:pPr>
        <w:spacing w:line="360" w:lineRule="auto"/>
        <w:jc w:val="both"/>
        <w:rPr>
          <w:rFonts w:cstheme="minorHAnsi"/>
        </w:rPr>
      </w:pPr>
    </w:p>
    <w:p w14:paraId="5719B096" w14:textId="3755B4E3" w:rsidR="000D79CE" w:rsidRPr="0009016F" w:rsidRDefault="000D79CE" w:rsidP="000D79CE">
      <w:pPr>
        <w:spacing w:line="360" w:lineRule="auto"/>
        <w:jc w:val="both"/>
        <w:rPr>
          <w:rFonts w:cstheme="minorHAnsi"/>
        </w:rPr>
      </w:pPr>
      <w:r w:rsidRPr="0009016F">
        <w:rPr>
          <w:rFonts w:cstheme="minorHAnsi"/>
        </w:rPr>
        <w:t>STUDENT NAME: V</w:t>
      </w:r>
      <w:r w:rsidR="00BE30EB">
        <w:rPr>
          <w:rFonts w:cstheme="minorHAnsi"/>
        </w:rPr>
        <w:t xml:space="preserve">aleria Varga </w:t>
      </w:r>
    </w:p>
    <w:p w14:paraId="0F9841F0" w14:textId="77777777" w:rsidR="000D79CE" w:rsidRPr="0009016F" w:rsidRDefault="000D79CE" w:rsidP="000D79CE">
      <w:pPr>
        <w:spacing w:line="360" w:lineRule="auto"/>
        <w:jc w:val="both"/>
        <w:rPr>
          <w:rFonts w:cstheme="minorHAnsi"/>
        </w:rPr>
      </w:pPr>
      <w:r w:rsidRPr="0009016F">
        <w:rPr>
          <w:rFonts w:cstheme="minorHAnsi"/>
        </w:rPr>
        <w:t>STUDENT ID: 2009456</w:t>
      </w:r>
    </w:p>
    <w:p w14:paraId="5F2646B0" w14:textId="58D5D2AE" w:rsidR="000D79CE" w:rsidRPr="0009016F" w:rsidRDefault="000D79CE" w:rsidP="000D79CE">
      <w:pPr>
        <w:spacing w:line="360" w:lineRule="auto"/>
        <w:jc w:val="both"/>
        <w:rPr>
          <w:rFonts w:cstheme="minorHAnsi"/>
        </w:rPr>
      </w:pPr>
      <w:r w:rsidRPr="0009016F">
        <w:rPr>
          <w:rFonts w:cstheme="minorHAnsi"/>
        </w:rPr>
        <w:t>MODULE NAME: F</w:t>
      </w:r>
      <w:r w:rsidR="00BE30EB">
        <w:rPr>
          <w:rFonts w:cstheme="minorHAnsi"/>
        </w:rPr>
        <w:t>inancial Management</w:t>
      </w:r>
    </w:p>
    <w:p w14:paraId="5A72B81C" w14:textId="37A76965" w:rsidR="000D79CE" w:rsidRPr="0009016F" w:rsidRDefault="000D79CE" w:rsidP="000D79CE">
      <w:pPr>
        <w:spacing w:line="360" w:lineRule="auto"/>
        <w:jc w:val="both"/>
        <w:rPr>
          <w:rFonts w:cstheme="minorHAnsi"/>
          <w:lang w:val="hu-HU"/>
        </w:rPr>
      </w:pPr>
      <w:r w:rsidRPr="0009016F">
        <w:rPr>
          <w:rFonts w:cstheme="minorHAnsi"/>
        </w:rPr>
        <w:t xml:space="preserve">MODULE CODE: </w:t>
      </w:r>
      <w:r w:rsidR="00BE30EB">
        <w:t>LCMB7002_LON</w:t>
      </w:r>
    </w:p>
    <w:p w14:paraId="7E0DF2C5" w14:textId="7BB68D99" w:rsidR="000D79CE" w:rsidRPr="0009016F" w:rsidRDefault="000D79CE" w:rsidP="000D79CE">
      <w:pPr>
        <w:spacing w:line="360" w:lineRule="auto"/>
        <w:jc w:val="both"/>
        <w:rPr>
          <w:rFonts w:cstheme="minorHAnsi"/>
        </w:rPr>
      </w:pPr>
      <w:r w:rsidRPr="0009016F">
        <w:rPr>
          <w:rFonts w:cstheme="minorHAnsi"/>
        </w:rPr>
        <w:t xml:space="preserve">LECTURER: </w:t>
      </w:r>
      <w:r w:rsidR="00BE30EB">
        <w:rPr>
          <w:rFonts w:cstheme="minorHAnsi"/>
        </w:rPr>
        <w:t>David Coker</w:t>
      </w:r>
    </w:p>
    <w:p w14:paraId="78275F48" w14:textId="77777777" w:rsidR="000D79CE" w:rsidRPr="0009016F" w:rsidRDefault="000D79CE" w:rsidP="000D79CE">
      <w:pPr>
        <w:spacing w:line="360" w:lineRule="auto"/>
        <w:jc w:val="both"/>
        <w:rPr>
          <w:rFonts w:cstheme="minorHAnsi"/>
        </w:rPr>
      </w:pPr>
      <w:r w:rsidRPr="0009016F">
        <w:rPr>
          <w:rFonts w:cstheme="minorHAnsi"/>
        </w:rPr>
        <w:t>SUBMITTED ON:</w:t>
      </w:r>
    </w:p>
    <w:p w14:paraId="197F46C4" w14:textId="77777777" w:rsidR="000D79CE" w:rsidRPr="0009016F" w:rsidRDefault="000D79CE" w:rsidP="000D79CE">
      <w:pPr>
        <w:spacing w:line="360" w:lineRule="auto"/>
        <w:jc w:val="both"/>
        <w:rPr>
          <w:rFonts w:cstheme="minorHAnsi"/>
        </w:rPr>
      </w:pPr>
    </w:p>
    <w:p w14:paraId="42CA9F8D" w14:textId="77777777" w:rsidR="000D79CE" w:rsidRPr="0009016F" w:rsidRDefault="000D79CE" w:rsidP="000D79CE">
      <w:pPr>
        <w:spacing w:line="360" w:lineRule="auto"/>
        <w:jc w:val="both"/>
        <w:rPr>
          <w:rFonts w:cstheme="minorHAnsi"/>
        </w:rPr>
      </w:pPr>
    </w:p>
    <w:p w14:paraId="7257AF99" w14:textId="77777777" w:rsidR="000D79CE" w:rsidRPr="0009016F" w:rsidRDefault="000D79CE" w:rsidP="000D79CE">
      <w:pPr>
        <w:spacing w:line="360" w:lineRule="auto"/>
        <w:jc w:val="both"/>
        <w:rPr>
          <w:rFonts w:cstheme="minorHAnsi"/>
        </w:rPr>
      </w:pPr>
    </w:p>
    <w:p w14:paraId="28F87672" w14:textId="77777777" w:rsidR="000D79CE" w:rsidRPr="0009016F" w:rsidRDefault="000D79CE" w:rsidP="000D79CE">
      <w:pPr>
        <w:spacing w:line="360" w:lineRule="auto"/>
        <w:jc w:val="both"/>
        <w:rPr>
          <w:rFonts w:cstheme="minorHAnsi"/>
        </w:rPr>
      </w:pPr>
    </w:p>
    <w:p w14:paraId="5EE4C29D" w14:textId="6A9BC4F6" w:rsidR="000D79CE" w:rsidRPr="0009016F" w:rsidRDefault="001B45B5" w:rsidP="000D79CE">
      <w:pPr>
        <w:spacing w:line="360" w:lineRule="auto"/>
        <w:jc w:val="both"/>
        <w:rPr>
          <w:rFonts w:cstheme="minorHAnsi"/>
        </w:rPr>
      </w:pPr>
      <w:r w:rsidRPr="0009016F">
        <w:rPr>
          <w:rFonts w:cstheme="minorHAnsi"/>
        </w:rPr>
        <w:t>5000 Words</w:t>
      </w:r>
    </w:p>
    <w:p w14:paraId="090ADAA7" w14:textId="77777777" w:rsidR="000D79CE" w:rsidRPr="0009016F" w:rsidRDefault="000D79CE" w:rsidP="000D79CE">
      <w:pPr>
        <w:spacing w:line="360" w:lineRule="auto"/>
        <w:jc w:val="both"/>
        <w:rPr>
          <w:rFonts w:cstheme="minorHAnsi"/>
        </w:rPr>
      </w:pPr>
    </w:p>
    <w:p w14:paraId="0DDE74A7" w14:textId="77777777" w:rsidR="000D79CE" w:rsidRPr="0009016F" w:rsidRDefault="000D79CE" w:rsidP="000D79CE">
      <w:pPr>
        <w:spacing w:line="360" w:lineRule="auto"/>
        <w:jc w:val="both"/>
        <w:rPr>
          <w:rFonts w:cstheme="minorHAnsi"/>
          <w:lang w:val="en-US"/>
        </w:rPr>
      </w:pPr>
    </w:p>
    <w:p w14:paraId="465479EA" w14:textId="77777777" w:rsidR="000D79CE" w:rsidRPr="0009016F" w:rsidRDefault="000D79CE" w:rsidP="000D79CE">
      <w:pPr>
        <w:spacing w:line="360" w:lineRule="auto"/>
        <w:jc w:val="both"/>
        <w:rPr>
          <w:rFonts w:cstheme="minorHAnsi"/>
          <w:lang w:val="en-US"/>
        </w:rPr>
      </w:pPr>
    </w:p>
    <w:p w14:paraId="11C96E09" w14:textId="25AF07F3" w:rsidR="000D79CE" w:rsidRPr="0009016F" w:rsidRDefault="000D79CE" w:rsidP="000D79CE">
      <w:pPr>
        <w:spacing w:line="360" w:lineRule="auto"/>
        <w:jc w:val="both"/>
        <w:rPr>
          <w:rFonts w:cstheme="minorHAnsi"/>
          <w:lang w:val="en-US"/>
        </w:rPr>
      </w:pPr>
      <w:r w:rsidRPr="0009016F">
        <w:rPr>
          <w:rFonts w:cstheme="minorHAnsi"/>
          <w:lang w:val="en-US"/>
        </w:rPr>
        <w:lastRenderedPageBreak/>
        <w:t xml:space="preserve">Table of content </w:t>
      </w:r>
    </w:p>
    <w:p w14:paraId="44242E2A" w14:textId="77777777" w:rsidR="000D79CE" w:rsidRPr="0009016F" w:rsidRDefault="000D79CE" w:rsidP="000D79CE">
      <w:pPr>
        <w:spacing w:line="360" w:lineRule="auto"/>
        <w:jc w:val="both"/>
        <w:rPr>
          <w:rFonts w:cstheme="minorHAnsi"/>
          <w:lang w:val="en-US"/>
        </w:rPr>
      </w:pPr>
    </w:p>
    <w:p w14:paraId="4E68BC34" w14:textId="4318488A" w:rsidR="000D79CE" w:rsidRDefault="007E4FEB" w:rsidP="000D79CE">
      <w:pPr>
        <w:spacing w:line="360" w:lineRule="auto"/>
        <w:jc w:val="both"/>
        <w:rPr>
          <w:rFonts w:cstheme="minorHAnsi"/>
          <w:lang w:val="en-US"/>
        </w:rPr>
      </w:pPr>
      <w:r>
        <w:rPr>
          <w:rFonts w:cstheme="minorHAnsi"/>
          <w:lang w:val="en-US"/>
        </w:rPr>
        <w:t xml:space="preserve">PART A </w:t>
      </w:r>
    </w:p>
    <w:p w14:paraId="4191CCED" w14:textId="7C2D93DE" w:rsidR="007E4FEB" w:rsidRDefault="007E4FEB" w:rsidP="000D79CE">
      <w:pPr>
        <w:spacing w:line="360" w:lineRule="auto"/>
        <w:jc w:val="both"/>
        <w:rPr>
          <w:rFonts w:cstheme="minorHAnsi"/>
          <w:lang w:val="en-US"/>
        </w:rPr>
      </w:pPr>
      <w:r>
        <w:rPr>
          <w:rFonts w:cstheme="minorHAnsi"/>
          <w:lang w:val="en-US"/>
        </w:rPr>
        <w:t>PART B</w:t>
      </w:r>
    </w:p>
    <w:p w14:paraId="2B9FF927" w14:textId="12F138DC" w:rsidR="007E4FEB" w:rsidRPr="0009016F" w:rsidRDefault="007E4FEB" w:rsidP="000D79CE">
      <w:pPr>
        <w:spacing w:line="360" w:lineRule="auto"/>
        <w:jc w:val="both"/>
        <w:rPr>
          <w:rFonts w:cstheme="minorHAnsi"/>
          <w:lang w:val="en-US"/>
        </w:rPr>
      </w:pPr>
      <w:r>
        <w:rPr>
          <w:rFonts w:cstheme="minorHAnsi"/>
          <w:lang w:val="en-US"/>
        </w:rPr>
        <w:t xml:space="preserve">PART C </w:t>
      </w:r>
      <w:r w:rsidRPr="0009016F">
        <w:rPr>
          <w:rFonts w:cstheme="minorHAnsi"/>
          <w:b/>
          <w:bCs/>
          <w:lang w:val="en-US"/>
        </w:rPr>
        <w:t>Capital Investment Evaluation</w:t>
      </w:r>
    </w:p>
    <w:p w14:paraId="2C9A1E7B" w14:textId="77777777" w:rsidR="000D79CE" w:rsidRPr="0009016F" w:rsidRDefault="000D79CE" w:rsidP="000D79CE">
      <w:pPr>
        <w:spacing w:line="360" w:lineRule="auto"/>
        <w:jc w:val="both"/>
        <w:rPr>
          <w:rFonts w:cstheme="minorHAnsi"/>
          <w:lang w:val="en-US"/>
        </w:rPr>
      </w:pPr>
    </w:p>
    <w:p w14:paraId="4858A7BB" w14:textId="77777777" w:rsidR="000D79CE" w:rsidRPr="0009016F" w:rsidRDefault="000D79CE" w:rsidP="000D79CE">
      <w:pPr>
        <w:spacing w:line="360" w:lineRule="auto"/>
        <w:jc w:val="both"/>
        <w:rPr>
          <w:rFonts w:cstheme="minorHAnsi"/>
          <w:lang w:val="en-US"/>
        </w:rPr>
      </w:pPr>
    </w:p>
    <w:p w14:paraId="668D425F" w14:textId="77777777" w:rsidR="000D79CE" w:rsidRPr="0009016F" w:rsidRDefault="000D79CE" w:rsidP="000D79CE">
      <w:pPr>
        <w:spacing w:line="360" w:lineRule="auto"/>
        <w:jc w:val="both"/>
        <w:rPr>
          <w:rFonts w:cstheme="minorHAnsi"/>
          <w:lang w:val="en-US"/>
        </w:rPr>
      </w:pPr>
    </w:p>
    <w:p w14:paraId="09EE6F4C" w14:textId="77777777" w:rsidR="000D79CE" w:rsidRPr="0009016F" w:rsidRDefault="000D79CE" w:rsidP="000D79CE">
      <w:pPr>
        <w:spacing w:line="360" w:lineRule="auto"/>
        <w:jc w:val="both"/>
        <w:rPr>
          <w:rFonts w:cstheme="minorHAnsi"/>
          <w:lang w:val="en-US"/>
        </w:rPr>
      </w:pPr>
    </w:p>
    <w:p w14:paraId="2ABBE72B" w14:textId="77777777" w:rsidR="000D79CE" w:rsidRPr="0009016F" w:rsidRDefault="000D79CE" w:rsidP="000D79CE">
      <w:pPr>
        <w:spacing w:line="360" w:lineRule="auto"/>
        <w:jc w:val="both"/>
        <w:rPr>
          <w:rFonts w:cstheme="minorHAnsi"/>
          <w:lang w:val="en-US"/>
        </w:rPr>
      </w:pPr>
    </w:p>
    <w:p w14:paraId="69D85244" w14:textId="77777777" w:rsidR="000D79CE" w:rsidRPr="0009016F" w:rsidRDefault="000D79CE" w:rsidP="000D79CE">
      <w:pPr>
        <w:spacing w:line="360" w:lineRule="auto"/>
        <w:jc w:val="both"/>
        <w:rPr>
          <w:rFonts w:cstheme="minorHAnsi"/>
          <w:lang w:val="en-US"/>
        </w:rPr>
      </w:pPr>
    </w:p>
    <w:p w14:paraId="60DF2ACC" w14:textId="77777777" w:rsidR="000D79CE" w:rsidRPr="0009016F" w:rsidRDefault="000D79CE" w:rsidP="000D79CE">
      <w:pPr>
        <w:spacing w:line="360" w:lineRule="auto"/>
        <w:jc w:val="both"/>
        <w:rPr>
          <w:rFonts w:cstheme="minorHAnsi"/>
          <w:lang w:val="en-US"/>
        </w:rPr>
      </w:pPr>
    </w:p>
    <w:p w14:paraId="15187DAC" w14:textId="77777777" w:rsidR="000D79CE" w:rsidRPr="0009016F" w:rsidRDefault="000D79CE" w:rsidP="000D79CE">
      <w:pPr>
        <w:spacing w:line="360" w:lineRule="auto"/>
        <w:jc w:val="both"/>
        <w:rPr>
          <w:rFonts w:cstheme="minorHAnsi"/>
          <w:lang w:val="en-US"/>
        </w:rPr>
      </w:pPr>
    </w:p>
    <w:p w14:paraId="196A9D97" w14:textId="77777777" w:rsidR="000D79CE" w:rsidRPr="0009016F" w:rsidRDefault="000D79CE" w:rsidP="000D79CE">
      <w:pPr>
        <w:spacing w:line="360" w:lineRule="auto"/>
        <w:jc w:val="both"/>
        <w:rPr>
          <w:rFonts w:cstheme="minorHAnsi"/>
          <w:lang w:val="en-US"/>
        </w:rPr>
      </w:pPr>
    </w:p>
    <w:p w14:paraId="026A1E8A" w14:textId="77777777" w:rsidR="000D79CE" w:rsidRPr="0009016F" w:rsidRDefault="000D79CE" w:rsidP="000D79CE">
      <w:pPr>
        <w:spacing w:line="360" w:lineRule="auto"/>
        <w:jc w:val="both"/>
        <w:rPr>
          <w:rFonts w:cstheme="minorHAnsi"/>
          <w:lang w:val="en-US"/>
        </w:rPr>
      </w:pPr>
    </w:p>
    <w:p w14:paraId="08EB8B51" w14:textId="77777777" w:rsidR="000D79CE" w:rsidRPr="0009016F" w:rsidRDefault="000D79CE" w:rsidP="000D79CE">
      <w:pPr>
        <w:spacing w:line="360" w:lineRule="auto"/>
        <w:jc w:val="both"/>
        <w:rPr>
          <w:rFonts w:cstheme="minorHAnsi"/>
          <w:lang w:val="en-US"/>
        </w:rPr>
      </w:pPr>
    </w:p>
    <w:p w14:paraId="3F9F240C" w14:textId="77777777" w:rsidR="000D79CE" w:rsidRPr="0009016F" w:rsidRDefault="000D79CE" w:rsidP="000D79CE">
      <w:pPr>
        <w:spacing w:line="360" w:lineRule="auto"/>
        <w:jc w:val="both"/>
        <w:rPr>
          <w:rFonts w:cstheme="minorHAnsi"/>
          <w:lang w:val="en-US"/>
        </w:rPr>
      </w:pPr>
    </w:p>
    <w:p w14:paraId="6716C4C7" w14:textId="77777777" w:rsidR="000D79CE" w:rsidRPr="0009016F" w:rsidRDefault="000D79CE" w:rsidP="000D79CE">
      <w:pPr>
        <w:spacing w:line="360" w:lineRule="auto"/>
        <w:jc w:val="both"/>
        <w:rPr>
          <w:rFonts w:cstheme="minorHAnsi"/>
          <w:lang w:val="en-US"/>
        </w:rPr>
      </w:pPr>
    </w:p>
    <w:p w14:paraId="4EDE79C9" w14:textId="77777777" w:rsidR="000D79CE" w:rsidRPr="0009016F" w:rsidRDefault="000D79CE" w:rsidP="000D79CE">
      <w:pPr>
        <w:spacing w:line="360" w:lineRule="auto"/>
        <w:jc w:val="both"/>
        <w:rPr>
          <w:rFonts w:cstheme="minorHAnsi"/>
          <w:lang w:val="en-US"/>
        </w:rPr>
      </w:pPr>
    </w:p>
    <w:p w14:paraId="4D28E7C4" w14:textId="77777777" w:rsidR="000D79CE" w:rsidRPr="0009016F" w:rsidRDefault="000D79CE" w:rsidP="000D79CE">
      <w:pPr>
        <w:spacing w:line="360" w:lineRule="auto"/>
        <w:jc w:val="both"/>
        <w:rPr>
          <w:rFonts w:cstheme="minorHAnsi"/>
          <w:lang w:val="en-US"/>
        </w:rPr>
      </w:pPr>
    </w:p>
    <w:p w14:paraId="602738C9" w14:textId="77777777" w:rsidR="000D79CE" w:rsidRDefault="000D79CE" w:rsidP="000D79CE">
      <w:pPr>
        <w:spacing w:line="360" w:lineRule="auto"/>
        <w:jc w:val="both"/>
        <w:rPr>
          <w:rFonts w:cstheme="minorHAnsi"/>
          <w:lang w:val="en-US"/>
        </w:rPr>
      </w:pPr>
    </w:p>
    <w:p w14:paraId="4FC9737D" w14:textId="77777777" w:rsidR="00E46135" w:rsidRDefault="00E46135" w:rsidP="000D79CE">
      <w:pPr>
        <w:spacing w:line="360" w:lineRule="auto"/>
        <w:jc w:val="both"/>
        <w:rPr>
          <w:rFonts w:cstheme="minorHAnsi"/>
          <w:lang w:val="en-US"/>
        </w:rPr>
      </w:pPr>
    </w:p>
    <w:p w14:paraId="46BA1375" w14:textId="77777777" w:rsidR="000D79CE" w:rsidRPr="0009016F" w:rsidRDefault="000D79CE" w:rsidP="000D79CE">
      <w:pPr>
        <w:spacing w:line="360" w:lineRule="auto"/>
        <w:jc w:val="both"/>
        <w:rPr>
          <w:rFonts w:cstheme="minorHAnsi"/>
          <w:lang w:val="en-US"/>
        </w:rPr>
      </w:pPr>
    </w:p>
    <w:p w14:paraId="7F2D7A3B" w14:textId="77777777" w:rsidR="00FA21E3" w:rsidRDefault="00FA21E3" w:rsidP="00FA21E3">
      <w:pPr>
        <w:spacing w:line="360" w:lineRule="auto"/>
        <w:jc w:val="both"/>
        <w:rPr>
          <w:rFonts w:cstheme="minorHAnsi"/>
          <w:b/>
          <w:bCs/>
          <w:lang w:val="en-US"/>
        </w:rPr>
      </w:pPr>
      <w:bookmarkStart w:id="0" w:name="_Hlk163321198"/>
      <w:r w:rsidRPr="0009016F">
        <w:rPr>
          <w:rFonts w:cstheme="minorHAnsi"/>
          <w:b/>
          <w:bCs/>
          <w:lang w:val="en-US"/>
        </w:rPr>
        <w:lastRenderedPageBreak/>
        <w:t xml:space="preserve">PART A </w:t>
      </w:r>
    </w:p>
    <w:p w14:paraId="264AE82E" w14:textId="32102A12" w:rsidR="007E4FEB" w:rsidRDefault="007E4FEB" w:rsidP="00FA21E3">
      <w:pPr>
        <w:spacing w:line="360" w:lineRule="auto"/>
        <w:jc w:val="both"/>
        <w:rPr>
          <w:rFonts w:cstheme="minorHAnsi"/>
          <w:b/>
          <w:bCs/>
          <w:lang w:val="en-US"/>
        </w:rPr>
      </w:pPr>
      <w:r>
        <w:rPr>
          <w:rFonts w:cstheme="minorHAnsi"/>
          <w:b/>
          <w:bCs/>
          <w:lang w:val="en-US"/>
        </w:rPr>
        <w:t xml:space="preserve">Table of content </w:t>
      </w:r>
    </w:p>
    <w:p w14:paraId="00EEC4ED" w14:textId="71B5DB84" w:rsidR="007E4FEB" w:rsidRPr="007E4FEB" w:rsidRDefault="007E4FEB" w:rsidP="00FA21E3">
      <w:pPr>
        <w:spacing w:line="360" w:lineRule="auto"/>
        <w:jc w:val="both"/>
        <w:rPr>
          <w:rFonts w:cstheme="minorHAnsi"/>
          <w:lang w:val="en-US"/>
        </w:rPr>
      </w:pPr>
      <w:r w:rsidRPr="007E4FEB">
        <w:rPr>
          <w:rFonts w:cstheme="minorHAnsi"/>
          <w:lang w:val="en-US"/>
        </w:rPr>
        <w:t>1. Brief overview of Pfizer Inc.</w:t>
      </w:r>
    </w:p>
    <w:p w14:paraId="6628AE62" w14:textId="2535443D" w:rsidR="007E4FEB" w:rsidRPr="007E4FEB" w:rsidRDefault="007E4FEB" w:rsidP="00FA21E3">
      <w:pPr>
        <w:spacing w:line="360" w:lineRule="auto"/>
        <w:jc w:val="both"/>
        <w:rPr>
          <w:rFonts w:cstheme="minorHAnsi"/>
          <w:lang w:val="en-US"/>
        </w:rPr>
      </w:pPr>
      <w:r w:rsidRPr="007E4FEB">
        <w:rPr>
          <w:rFonts w:cstheme="minorHAnsi"/>
          <w:lang w:val="en-US"/>
        </w:rPr>
        <w:t xml:space="preserve">1.1. Major events over the past five year </w:t>
      </w:r>
    </w:p>
    <w:p w14:paraId="5A14384F" w14:textId="0787A8DD" w:rsidR="007E4FEB" w:rsidRPr="007E4FEB" w:rsidRDefault="007E4FEB" w:rsidP="00FA21E3">
      <w:pPr>
        <w:spacing w:line="360" w:lineRule="auto"/>
        <w:jc w:val="both"/>
        <w:rPr>
          <w:rFonts w:cstheme="minorHAnsi"/>
          <w:lang w:val="en-US"/>
        </w:rPr>
      </w:pPr>
      <w:r w:rsidRPr="007E4FEB">
        <w:rPr>
          <w:rFonts w:cstheme="minorHAnsi"/>
          <w:lang w:val="en-US"/>
        </w:rPr>
        <w:t>1.2. Historical Highlights (2019-2024)</w:t>
      </w:r>
    </w:p>
    <w:p w14:paraId="58E00484" w14:textId="7BA12D84" w:rsidR="007E4FEB" w:rsidRPr="007E4FEB" w:rsidRDefault="007E4FEB" w:rsidP="00FA21E3">
      <w:pPr>
        <w:spacing w:line="360" w:lineRule="auto"/>
        <w:jc w:val="both"/>
        <w:rPr>
          <w:rFonts w:cstheme="minorHAnsi"/>
          <w:lang w:val="en-US"/>
        </w:rPr>
      </w:pPr>
      <w:r w:rsidRPr="007E4FEB">
        <w:rPr>
          <w:rFonts w:cstheme="minorHAnsi"/>
          <w:lang w:val="en-US"/>
        </w:rPr>
        <w:t xml:space="preserve">1.3. Marketplace and </w:t>
      </w:r>
      <w:r w:rsidR="00883435">
        <w:rPr>
          <w:rFonts w:cstheme="minorHAnsi"/>
          <w:lang w:val="en-US"/>
        </w:rPr>
        <w:t>significant</w:t>
      </w:r>
      <w:r w:rsidRPr="007E4FEB">
        <w:rPr>
          <w:rFonts w:cstheme="minorHAnsi"/>
          <w:lang w:val="en-US"/>
        </w:rPr>
        <w:t xml:space="preserve"> competitors</w:t>
      </w:r>
    </w:p>
    <w:p w14:paraId="064128D2" w14:textId="77777777" w:rsidR="007E4FEB" w:rsidRDefault="007E4FEB" w:rsidP="00FA21E3">
      <w:pPr>
        <w:spacing w:line="360" w:lineRule="auto"/>
        <w:jc w:val="both"/>
        <w:rPr>
          <w:rFonts w:cstheme="minorHAnsi"/>
          <w:b/>
          <w:bCs/>
          <w:lang w:val="en-US"/>
        </w:rPr>
      </w:pPr>
    </w:p>
    <w:p w14:paraId="4DA1A5EF" w14:textId="77777777" w:rsidR="007E4FEB" w:rsidRDefault="007E4FEB" w:rsidP="00FA21E3">
      <w:pPr>
        <w:spacing w:line="360" w:lineRule="auto"/>
        <w:jc w:val="both"/>
        <w:rPr>
          <w:rFonts w:cstheme="minorHAnsi"/>
          <w:b/>
          <w:bCs/>
          <w:lang w:val="en-US"/>
        </w:rPr>
      </w:pPr>
    </w:p>
    <w:p w14:paraId="1AF9985D" w14:textId="77777777" w:rsidR="007E4FEB" w:rsidRDefault="007E4FEB" w:rsidP="00FA21E3">
      <w:pPr>
        <w:spacing w:line="360" w:lineRule="auto"/>
        <w:jc w:val="both"/>
        <w:rPr>
          <w:rFonts w:cstheme="minorHAnsi"/>
          <w:b/>
          <w:bCs/>
          <w:lang w:val="en-US"/>
        </w:rPr>
      </w:pPr>
    </w:p>
    <w:p w14:paraId="44B3192A" w14:textId="77777777" w:rsidR="007E4FEB" w:rsidRDefault="007E4FEB" w:rsidP="00FA21E3">
      <w:pPr>
        <w:spacing w:line="360" w:lineRule="auto"/>
        <w:jc w:val="both"/>
        <w:rPr>
          <w:rFonts w:cstheme="minorHAnsi"/>
          <w:b/>
          <w:bCs/>
          <w:lang w:val="en-US"/>
        </w:rPr>
      </w:pPr>
    </w:p>
    <w:p w14:paraId="1A8817E5" w14:textId="77777777" w:rsidR="007E4FEB" w:rsidRDefault="007E4FEB" w:rsidP="00FA21E3">
      <w:pPr>
        <w:spacing w:line="360" w:lineRule="auto"/>
        <w:jc w:val="both"/>
        <w:rPr>
          <w:rFonts w:cstheme="minorHAnsi"/>
          <w:b/>
          <w:bCs/>
          <w:lang w:val="en-US"/>
        </w:rPr>
      </w:pPr>
    </w:p>
    <w:p w14:paraId="6C74371E" w14:textId="77777777" w:rsidR="007E4FEB" w:rsidRDefault="007E4FEB" w:rsidP="00FA21E3">
      <w:pPr>
        <w:spacing w:line="360" w:lineRule="auto"/>
        <w:jc w:val="both"/>
        <w:rPr>
          <w:rFonts w:cstheme="minorHAnsi"/>
          <w:b/>
          <w:bCs/>
          <w:lang w:val="en-US"/>
        </w:rPr>
      </w:pPr>
    </w:p>
    <w:p w14:paraId="05AD0E5E" w14:textId="77777777" w:rsidR="007E4FEB" w:rsidRDefault="007E4FEB" w:rsidP="00FA21E3">
      <w:pPr>
        <w:spacing w:line="360" w:lineRule="auto"/>
        <w:jc w:val="both"/>
        <w:rPr>
          <w:rFonts w:cstheme="minorHAnsi"/>
          <w:b/>
          <w:bCs/>
          <w:lang w:val="en-US"/>
        </w:rPr>
      </w:pPr>
    </w:p>
    <w:p w14:paraId="1A9ACFE4" w14:textId="77777777" w:rsidR="007E4FEB" w:rsidRDefault="007E4FEB" w:rsidP="00FA21E3">
      <w:pPr>
        <w:spacing w:line="360" w:lineRule="auto"/>
        <w:jc w:val="both"/>
        <w:rPr>
          <w:rFonts w:cstheme="minorHAnsi"/>
          <w:b/>
          <w:bCs/>
          <w:lang w:val="en-US"/>
        </w:rPr>
      </w:pPr>
    </w:p>
    <w:p w14:paraId="11417A31" w14:textId="77777777" w:rsidR="007E4FEB" w:rsidRDefault="007E4FEB" w:rsidP="00FA21E3">
      <w:pPr>
        <w:spacing w:line="360" w:lineRule="auto"/>
        <w:jc w:val="both"/>
        <w:rPr>
          <w:rFonts w:cstheme="minorHAnsi"/>
          <w:b/>
          <w:bCs/>
          <w:lang w:val="en-US"/>
        </w:rPr>
      </w:pPr>
    </w:p>
    <w:p w14:paraId="52B8F2C5" w14:textId="77777777" w:rsidR="007E4FEB" w:rsidRDefault="007E4FEB" w:rsidP="00FA21E3">
      <w:pPr>
        <w:spacing w:line="360" w:lineRule="auto"/>
        <w:jc w:val="both"/>
        <w:rPr>
          <w:rFonts w:cstheme="minorHAnsi"/>
          <w:b/>
          <w:bCs/>
          <w:lang w:val="en-US"/>
        </w:rPr>
      </w:pPr>
    </w:p>
    <w:p w14:paraId="4EA35627" w14:textId="77777777" w:rsidR="007E4FEB" w:rsidRDefault="007E4FEB" w:rsidP="00FA21E3">
      <w:pPr>
        <w:spacing w:line="360" w:lineRule="auto"/>
        <w:jc w:val="both"/>
        <w:rPr>
          <w:rFonts w:cstheme="minorHAnsi"/>
          <w:b/>
          <w:bCs/>
          <w:lang w:val="en-US"/>
        </w:rPr>
      </w:pPr>
    </w:p>
    <w:p w14:paraId="36426B6D" w14:textId="77777777" w:rsidR="007E4FEB" w:rsidRDefault="007E4FEB" w:rsidP="00FA21E3">
      <w:pPr>
        <w:spacing w:line="360" w:lineRule="auto"/>
        <w:jc w:val="both"/>
        <w:rPr>
          <w:rFonts w:cstheme="minorHAnsi"/>
          <w:b/>
          <w:bCs/>
          <w:lang w:val="en-US"/>
        </w:rPr>
      </w:pPr>
    </w:p>
    <w:p w14:paraId="3F13902D" w14:textId="77777777" w:rsidR="007E4FEB" w:rsidRDefault="007E4FEB" w:rsidP="00FA21E3">
      <w:pPr>
        <w:spacing w:line="360" w:lineRule="auto"/>
        <w:jc w:val="both"/>
        <w:rPr>
          <w:rFonts w:cstheme="minorHAnsi"/>
          <w:b/>
          <w:bCs/>
          <w:lang w:val="en-US"/>
        </w:rPr>
      </w:pPr>
    </w:p>
    <w:p w14:paraId="3E0FF1E8" w14:textId="77777777" w:rsidR="007E4FEB" w:rsidRDefault="007E4FEB" w:rsidP="00FA21E3">
      <w:pPr>
        <w:spacing w:line="360" w:lineRule="auto"/>
        <w:jc w:val="both"/>
        <w:rPr>
          <w:rFonts w:cstheme="minorHAnsi"/>
          <w:b/>
          <w:bCs/>
          <w:lang w:val="en-US"/>
        </w:rPr>
      </w:pPr>
    </w:p>
    <w:p w14:paraId="5C850773" w14:textId="77777777" w:rsidR="007E4FEB" w:rsidRDefault="007E4FEB" w:rsidP="00FA21E3">
      <w:pPr>
        <w:spacing w:line="360" w:lineRule="auto"/>
        <w:jc w:val="both"/>
        <w:rPr>
          <w:rFonts w:cstheme="minorHAnsi"/>
          <w:b/>
          <w:bCs/>
          <w:lang w:val="en-US"/>
        </w:rPr>
      </w:pPr>
    </w:p>
    <w:p w14:paraId="7F8E61E9" w14:textId="77777777" w:rsidR="007E4FEB" w:rsidRDefault="007E4FEB" w:rsidP="00FA21E3">
      <w:pPr>
        <w:spacing w:line="360" w:lineRule="auto"/>
        <w:jc w:val="both"/>
        <w:rPr>
          <w:rFonts w:cstheme="minorHAnsi"/>
          <w:b/>
          <w:bCs/>
          <w:lang w:val="en-US"/>
        </w:rPr>
      </w:pPr>
    </w:p>
    <w:p w14:paraId="42A8E9BC" w14:textId="77777777" w:rsidR="007E4FEB" w:rsidRPr="0009016F" w:rsidRDefault="007E4FEB" w:rsidP="00FA21E3">
      <w:pPr>
        <w:spacing w:line="360" w:lineRule="auto"/>
        <w:jc w:val="both"/>
        <w:rPr>
          <w:rFonts w:cstheme="minorHAnsi"/>
          <w:b/>
          <w:bCs/>
          <w:lang w:val="en-US"/>
        </w:rPr>
      </w:pPr>
    </w:p>
    <w:p w14:paraId="0EB73255" w14:textId="77777777" w:rsidR="00FA21E3" w:rsidRPr="0009016F" w:rsidRDefault="00FA21E3" w:rsidP="00FA21E3">
      <w:pPr>
        <w:pStyle w:val="ListParagraph"/>
        <w:numPr>
          <w:ilvl w:val="0"/>
          <w:numId w:val="11"/>
        </w:numPr>
        <w:spacing w:line="360" w:lineRule="auto"/>
        <w:jc w:val="both"/>
        <w:rPr>
          <w:rFonts w:cstheme="minorHAnsi"/>
          <w:b/>
          <w:bCs/>
          <w:lang w:val="en-US"/>
        </w:rPr>
      </w:pPr>
      <w:r w:rsidRPr="0009016F">
        <w:rPr>
          <w:rFonts w:cstheme="minorHAnsi"/>
          <w:b/>
          <w:bCs/>
          <w:lang w:val="en-US"/>
        </w:rPr>
        <w:lastRenderedPageBreak/>
        <w:t>Brief Overview of Pfizer Inc.</w:t>
      </w:r>
    </w:p>
    <w:p w14:paraId="251294F6" w14:textId="59B4FC6F" w:rsidR="00FA21E3" w:rsidRPr="0009016F" w:rsidRDefault="00FA21E3" w:rsidP="00FA21E3">
      <w:pPr>
        <w:spacing w:line="360" w:lineRule="auto"/>
        <w:jc w:val="both"/>
        <w:rPr>
          <w:rFonts w:cstheme="minorHAnsi"/>
          <w:lang w:val="en-US"/>
        </w:rPr>
      </w:pPr>
      <w:r w:rsidRPr="0009016F">
        <w:rPr>
          <w:rFonts w:cstheme="minorHAnsi"/>
          <w:lang w:val="en-US"/>
        </w:rPr>
        <w:t xml:space="preserve">Founded in 1849, Pfizer </w:t>
      </w:r>
      <w:r w:rsidR="0009016F" w:rsidRPr="0009016F">
        <w:rPr>
          <w:rFonts w:cstheme="minorHAnsi"/>
          <w:lang w:val="en-US"/>
        </w:rPr>
        <w:t>i</w:t>
      </w:r>
      <w:r w:rsidRPr="0009016F">
        <w:rPr>
          <w:rFonts w:cstheme="minorHAnsi"/>
          <w:lang w:val="en-US"/>
        </w:rPr>
        <w:t>s a titan in the pharmaceutical and biotechnology industry. Renowned for its pioneering contributions, Pfizer's core ethos revolves around groundbreaking research and development (R&amp;D). This stalwart enterprise excels in discovering, developing, manufacturing, and marketing an extensive array of prescription drugs and vaccines, catering to diverse therapeutic areas such as oncology, immunology, and internal medicine.</w:t>
      </w:r>
    </w:p>
    <w:p w14:paraId="54E9700A" w14:textId="77777777" w:rsidR="00FA21E3" w:rsidRPr="0009016F" w:rsidRDefault="00FA21E3" w:rsidP="00FA21E3">
      <w:pPr>
        <w:spacing w:line="360" w:lineRule="auto"/>
        <w:jc w:val="both"/>
        <w:rPr>
          <w:rFonts w:cstheme="minorHAnsi"/>
          <w:lang w:val="en-US"/>
        </w:rPr>
      </w:pPr>
      <w:r w:rsidRPr="0009016F">
        <w:rPr>
          <w:rFonts w:cstheme="minorHAnsi"/>
          <w:lang w:val="en-US"/>
        </w:rPr>
        <w:t>At the heart of Pfizer's operations lies a strategic framework that leverages partnerships and licensing agreements with fellow pharmaceutical entities. Through these collaborations, Pfizer continuously enriches its product portfolio, ensuring a comprehensive suite of offerings to meet evolving healthcare needs.</w:t>
      </w:r>
    </w:p>
    <w:p w14:paraId="1A7C2533" w14:textId="77777777" w:rsidR="00FA21E3" w:rsidRPr="0009016F" w:rsidRDefault="00FA21E3" w:rsidP="00FA21E3">
      <w:pPr>
        <w:spacing w:line="360" w:lineRule="auto"/>
        <w:jc w:val="both"/>
        <w:rPr>
          <w:rFonts w:cstheme="minorHAnsi"/>
          <w:lang w:val="en-US"/>
        </w:rPr>
      </w:pPr>
      <w:r w:rsidRPr="0009016F">
        <w:rPr>
          <w:rFonts w:cstheme="minorHAnsi"/>
          <w:lang w:val="en-US"/>
        </w:rPr>
        <w:t>On the global stage, Pfizer commands a formidable presence, deeply rooted in developed markets across North America and Europe. Moreover, the company actively pursues expansion initiatives, penetrating emerging markets with a zeal for broadening its global footprint.</w:t>
      </w:r>
    </w:p>
    <w:p w14:paraId="27ABC8C8" w14:textId="77777777" w:rsidR="00FA21E3" w:rsidRPr="0009016F" w:rsidRDefault="00FA21E3" w:rsidP="00FA21E3">
      <w:pPr>
        <w:spacing w:line="360" w:lineRule="auto"/>
        <w:jc w:val="both"/>
        <w:rPr>
          <w:rFonts w:cstheme="minorHAnsi"/>
          <w:lang w:val="en-US"/>
        </w:rPr>
      </w:pPr>
      <w:r w:rsidRPr="0009016F">
        <w:rPr>
          <w:rFonts w:cstheme="minorHAnsi"/>
          <w:lang w:val="en-US"/>
        </w:rPr>
        <w:t>However, Pfizer's ascent is not without its challenges, as it contends with formidable rivals within the industry. Established pharmaceutical powerhouses like Johnson &amp; Johnson, Merck &amp; Co., Novartis, Roche, and GlaxoSmithKline stand as formidable adversaries, driving Pfizer to continuously innovate and fortify its competitive edge in the ever-dynamic pharmaceutical landscape.</w:t>
      </w:r>
    </w:p>
    <w:p w14:paraId="04425D6D" w14:textId="65143CAD" w:rsidR="00FA21E3" w:rsidRPr="00883435" w:rsidRDefault="00FA21E3" w:rsidP="00883435">
      <w:pPr>
        <w:pStyle w:val="ListParagraph"/>
        <w:numPr>
          <w:ilvl w:val="1"/>
          <w:numId w:val="11"/>
        </w:numPr>
        <w:spacing w:line="360" w:lineRule="auto"/>
        <w:jc w:val="both"/>
        <w:rPr>
          <w:rFonts w:cstheme="minorHAnsi"/>
          <w:b/>
          <w:bCs/>
          <w:lang w:val="en-US"/>
        </w:rPr>
      </w:pPr>
      <w:r w:rsidRPr="00883435">
        <w:rPr>
          <w:rFonts w:cstheme="minorHAnsi"/>
          <w:b/>
          <w:bCs/>
          <w:lang w:val="en-US"/>
        </w:rPr>
        <w:t xml:space="preserve"> Major Events Over the Past Five Years</w:t>
      </w:r>
    </w:p>
    <w:p w14:paraId="0106DDFE" w14:textId="5AF6E35A" w:rsidR="00FA21E3" w:rsidRPr="0009016F" w:rsidRDefault="00FA21E3" w:rsidP="00FA21E3">
      <w:pPr>
        <w:spacing w:line="360" w:lineRule="auto"/>
        <w:jc w:val="both"/>
        <w:rPr>
          <w:rFonts w:cstheme="minorHAnsi"/>
          <w:lang w:val="en-US"/>
        </w:rPr>
      </w:pPr>
      <w:r w:rsidRPr="0009016F">
        <w:rPr>
          <w:rFonts w:cstheme="minorHAnsi"/>
          <w:lang w:val="en-US"/>
        </w:rPr>
        <w:t xml:space="preserve">Pfizer Inc. is also a global pharmaceutical corporation headquartered in New York City. It </w:t>
      </w:r>
      <w:r w:rsidR="001B45B5" w:rsidRPr="0009016F">
        <w:rPr>
          <w:rFonts w:cstheme="minorHAnsi"/>
          <w:lang w:val="en-US"/>
        </w:rPr>
        <w:t>discovers, develops, manufactures, and markets</w:t>
      </w:r>
      <w:r w:rsidRPr="0009016F">
        <w:rPr>
          <w:rFonts w:cstheme="minorHAnsi"/>
          <w:lang w:val="en-US"/>
        </w:rPr>
        <w:t xml:space="preserve"> prescription medicines for humans and animals. Pfizer operates in various therapeutic areas, including oncology, immunology, cardiovascular disease, and vaccines. The company's business model involves investing heavily in research and development to bring innovative drugs to market while focusing on strategic partnerships and acquisitions to expand its product portfolio.</w:t>
      </w:r>
    </w:p>
    <w:p w14:paraId="7F7F0002" w14:textId="2EA7F8A6" w:rsidR="00FA21E3" w:rsidRPr="00883435" w:rsidRDefault="00FA21E3" w:rsidP="00883435">
      <w:pPr>
        <w:pStyle w:val="ListParagraph"/>
        <w:numPr>
          <w:ilvl w:val="1"/>
          <w:numId w:val="11"/>
        </w:numPr>
        <w:spacing w:line="360" w:lineRule="auto"/>
        <w:jc w:val="both"/>
        <w:rPr>
          <w:rFonts w:cstheme="minorHAnsi"/>
          <w:b/>
          <w:bCs/>
          <w:lang w:val="en-US"/>
        </w:rPr>
      </w:pPr>
      <w:r w:rsidRPr="00883435">
        <w:rPr>
          <w:rFonts w:cstheme="minorHAnsi"/>
          <w:b/>
          <w:bCs/>
          <w:lang w:val="en-US"/>
        </w:rPr>
        <w:t xml:space="preserve"> Historical Highlights (2019-2024)</w:t>
      </w:r>
    </w:p>
    <w:p w14:paraId="46304969" w14:textId="77777777" w:rsidR="00FA21E3" w:rsidRPr="0009016F" w:rsidRDefault="00FA21E3" w:rsidP="00FA21E3">
      <w:pPr>
        <w:spacing w:line="360" w:lineRule="auto"/>
        <w:jc w:val="both"/>
        <w:rPr>
          <w:rFonts w:cstheme="minorHAnsi"/>
          <w:lang w:val="en-US"/>
        </w:rPr>
      </w:pPr>
      <w:r w:rsidRPr="0009016F">
        <w:rPr>
          <w:rFonts w:cstheme="minorHAnsi"/>
          <w:b/>
          <w:bCs/>
          <w:lang w:val="en-US"/>
        </w:rPr>
        <w:t>2019:</w:t>
      </w:r>
      <w:r w:rsidRPr="0009016F">
        <w:rPr>
          <w:rFonts w:cstheme="minorHAnsi"/>
          <w:lang w:val="en-US"/>
        </w:rPr>
        <w:t xml:space="preserve"> Pfizer acquires Allergan, a leading manufacturer of Botox and other aesthetic products, in a $68 billion deal, aiming to diversify its revenue stream and tap into the growing aesthetics market (CNBC, 2016).</w:t>
      </w:r>
    </w:p>
    <w:p w14:paraId="457D09C0" w14:textId="77777777" w:rsidR="00FA21E3" w:rsidRPr="0009016F" w:rsidRDefault="00FA21E3" w:rsidP="00FA21E3">
      <w:pPr>
        <w:spacing w:line="360" w:lineRule="auto"/>
        <w:jc w:val="both"/>
        <w:rPr>
          <w:rFonts w:cstheme="minorHAnsi"/>
          <w:lang w:val="en-US"/>
        </w:rPr>
      </w:pPr>
      <w:r w:rsidRPr="0009016F">
        <w:rPr>
          <w:rFonts w:cstheme="minorHAnsi"/>
          <w:b/>
          <w:bCs/>
          <w:lang w:val="en-US"/>
        </w:rPr>
        <w:lastRenderedPageBreak/>
        <w:t>2020:</w:t>
      </w:r>
      <w:r w:rsidRPr="0009016F">
        <w:rPr>
          <w:rFonts w:cstheme="minorHAnsi"/>
          <w:lang w:val="en-US"/>
        </w:rPr>
        <w:t xml:space="preserve"> The COVID-19 pandemic disrupts clinical trials but propels Pfizer into the spotlight. Partnering with BioNTech, they developed one of the first highly effective mRNA vaccines against COVID-19 (Pfizer, 2020).</w:t>
      </w:r>
    </w:p>
    <w:p w14:paraId="68EBE4F6" w14:textId="77777777" w:rsidR="00FA21E3" w:rsidRPr="0009016F" w:rsidRDefault="00FA21E3" w:rsidP="00FA21E3">
      <w:pPr>
        <w:spacing w:line="360" w:lineRule="auto"/>
        <w:jc w:val="both"/>
        <w:rPr>
          <w:rFonts w:cstheme="minorHAnsi"/>
          <w:lang w:val="en-US"/>
        </w:rPr>
      </w:pPr>
      <w:r w:rsidRPr="0009016F">
        <w:rPr>
          <w:rFonts w:cstheme="minorHAnsi"/>
          <w:b/>
          <w:bCs/>
          <w:lang w:val="en-US"/>
        </w:rPr>
        <w:t>2021</w:t>
      </w:r>
      <w:r w:rsidRPr="0009016F">
        <w:rPr>
          <w:rFonts w:cstheme="minorHAnsi"/>
          <w:lang w:val="en-US"/>
        </w:rPr>
        <w:t>: Pfizer faces questions regarding vaccine equity as some countries struggle to access sufficient doses. They announce initiatives to increase production and access in developing nations (CFR, 2021).</w:t>
      </w:r>
    </w:p>
    <w:p w14:paraId="3CBBA5E2" w14:textId="3700A30B" w:rsidR="00FA21E3" w:rsidRPr="0009016F" w:rsidRDefault="00FA21E3" w:rsidP="00FA21E3">
      <w:pPr>
        <w:spacing w:line="360" w:lineRule="auto"/>
        <w:jc w:val="both"/>
        <w:rPr>
          <w:rFonts w:cstheme="minorHAnsi"/>
          <w:lang w:val="en-US"/>
        </w:rPr>
      </w:pPr>
      <w:r w:rsidRPr="0009016F">
        <w:rPr>
          <w:rFonts w:cstheme="minorHAnsi"/>
          <w:b/>
          <w:bCs/>
          <w:lang w:val="en-US"/>
        </w:rPr>
        <w:t>2022:</w:t>
      </w:r>
      <w:r w:rsidRPr="0009016F">
        <w:rPr>
          <w:rFonts w:cstheme="minorHAnsi"/>
          <w:lang w:val="en-US"/>
        </w:rPr>
        <w:t xml:space="preserve"> Pfizer expands its vaccine portfolio, receiving emergency use authorization for its booster shots against COVID-19 variants. They also continue pipeline development for diseases like RSV (respiratory syncytial virus) (ClinicalTrials.gov, 2022).</w:t>
      </w:r>
    </w:p>
    <w:p w14:paraId="05D793E4" w14:textId="77777777" w:rsidR="00FA21E3" w:rsidRPr="0009016F" w:rsidRDefault="00FA21E3" w:rsidP="00FA21E3">
      <w:pPr>
        <w:spacing w:line="360" w:lineRule="auto"/>
        <w:jc w:val="both"/>
        <w:rPr>
          <w:rFonts w:cstheme="minorHAnsi"/>
          <w:lang w:val="en-US"/>
        </w:rPr>
      </w:pPr>
      <w:r w:rsidRPr="0009016F">
        <w:rPr>
          <w:rFonts w:cstheme="minorHAnsi"/>
          <w:b/>
          <w:bCs/>
          <w:lang w:val="en-US"/>
        </w:rPr>
        <w:t>2023</w:t>
      </w:r>
      <w:r w:rsidRPr="0009016F">
        <w:rPr>
          <w:rFonts w:cstheme="minorHAnsi"/>
          <w:lang w:val="en-US"/>
        </w:rPr>
        <w:t>: Pfizer navigates a post-pandemic landscape where demand for COVID-19 vaccines stabilizes. They focus on developing new treatments for chronic illnesses and expanding their oncology portfolio through acquisitions (Fierce Pharma, 2023).</w:t>
      </w:r>
    </w:p>
    <w:p w14:paraId="3A513B90" w14:textId="09527F24" w:rsidR="00FA21E3" w:rsidRPr="0009016F" w:rsidRDefault="00FA21E3" w:rsidP="00FA21E3">
      <w:pPr>
        <w:spacing w:line="360" w:lineRule="auto"/>
        <w:jc w:val="both"/>
        <w:rPr>
          <w:rFonts w:cstheme="minorHAnsi"/>
          <w:lang w:val="en-US"/>
        </w:rPr>
      </w:pPr>
      <w:r w:rsidRPr="0009016F">
        <w:rPr>
          <w:rFonts w:cstheme="minorHAnsi"/>
          <w:b/>
          <w:bCs/>
          <w:lang w:val="en-US"/>
        </w:rPr>
        <w:t>2024</w:t>
      </w:r>
      <w:r w:rsidRPr="0009016F">
        <w:rPr>
          <w:rFonts w:cstheme="minorHAnsi"/>
          <w:lang w:val="en-US"/>
        </w:rPr>
        <w:t xml:space="preserve"> (YTD): </w:t>
      </w:r>
      <w:r w:rsidR="00BE30EB">
        <w:rPr>
          <w:rFonts w:cstheme="minorHAnsi"/>
          <w:lang w:val="en-US"/>
        </w:rPr>
        <w:t>Pfizer faces potential patent challenges in some countri</w:t>
      </w:r>
      <w:r w:rsidR="0009016F" w:rsidRPr="0009016F">
        <w:rPr>
          <w:rFonts w:cstheme="minorHAnsi"/>
          <w:lang w:val="en-US"/>
        </w:rPr>
        <w:t>es for its COVID-19 vaccine</w:t>
      </w:r>
      <w:r w:rsidRPr="0009016F">
        <w:rPr>
          <w:rFonts w:cstheme="minorHAnsi"/>
          <w:lang w:val="en-US"/>
        </w:rPr>
        <w:t>. They continue to invest in research and development, exploring new technologies like gene therapy and mRNA applications beyond COVID-19 vaccines (Reuters, 2022).</w:t>
      </w:r>
    </w:p>
    <w:p w14:paraId="5966E3D2" w14:textId="14CCADD0" w:rsidR="00FA21E3" w:rsidRPr="00883435" w:rsidRDefault="00FA21E3" w:rsidP="00883435">
      <w:pPr>
        <w:pStyle w:val="ListParagraph"/>
        <w:numPr>
          <w:ilvl w:val="1"/>
          <w:numId w:val="11"/>
        </w:numPr>
        <w:spacing w:line="360" w:lineRule="auto"/>
        <w:jc w:val="both"/>
        <w:rPr>
          <w:rFonts w:cstheme="minorHAnsi"/>
          <w:b/>
          <w:bCs/>
          <w:lang w:val="en-US"/>
        </w:rPr>
      </w:pPr>
      <w:r w:rsidRPr="00883435">
        <w:rPr>
          <w:rFonts w:cstheme="minorHAnsi"/>
          <w:b/>
          <w:bCs/>
          <w:lang w:val="en-US"/>
        </w:rPr>
        <w:t>Marketplace and Major Competitors</w:t>
      </w:r>
    </w:p>
    <w:p w14:paraId="31A9F131" w14:textId="511BEA84" w:rsidR="00357CFE" w:rsidRPr="0009016F" w:rsidRDefault="00FA21E3" w:rsidP="000D79CE">
      <w:pPr>
        <w:spacing w:line="360" w:lineRule="auto"/>
        <w:jc w:val="both"/>
        <w:rPr>
          <w:rFonts w:cstheme="minorHAnsi"/>
          <w:lang w:val="en-US"/>
        </w:rPr>
      </w:pPr>
      <w:r w:rsidRPr="0009016F">
        <w:rPr>
          <w:rFonts w:cstheme="minorHAnsi"/>
          <w:lang w:val="en-US"/>
        </w:rPr>
        <w:t xml:space="preserve">Pfizer operates in a fiercely competitive pharmaceutical industry, where it encounters formidable rivals such as Johnson &amp; Johnson, Merck &amp; Co., Novartis, and GlaxoSmithKline. These industry giants boast extensive portfolios spanning a broad spectrum of pharmaceutical products, ranging from cutting-edge medications to life-saving vaccines. In their quest for market dominance, these competitors employ aggressive marketing strategies and spearhead ambitious research and development initiatives </w:t>
      </w:r>
      <w:r w:rsidR="001B45B5" w:rsidRPr="0009016F">
        <w:rPr>
          <w:rFonts w:cstheme="minorHAnsi"/>
          <w:lang w:val="en-US"/>
        </w:rPr>
        <w:t>to pioneer</w:t>
      </w:r>
      <w:r w:rsidRPr="0009016F">
        <w:rPr>
          <w:rFonts w:cstheme="minorHAnsi"/>
          <w:lang w:val="en-US"/>
        </w:rPr>
        <w:t xml:space="preserve"> novel treatments and therapies. With each company vying for a larger share of the global pharmaceutical market, the landscape remains dynamic and fraught with intense competition, compelling Pfizer to continually innovate and differentiate itself to maintain its competitive edge.</w:t>
      </w:r>
    </w:p>
    <w:p w14:paraId="3305C34E" w14:textId="77777777" w:rsidR="00357CFE" w:rsidRPr="0009016F" w:rsidRDefault="00357CFE" w:rsidP="000D79CE">
      <w:pPr>
        <w:spacing w:line="360" w:lineRule="auto"/>
        <w:jc w:val="both"/>
        <w:rPr>
          <w:rFonts w:cstheme="minorHAnsi"/>
          <w:lang w:val="en-US"/>
        </w:rPr>
      </w:pPr>
    </w:p>
    <w:p w14:paraId="5C64F2B7" w14:textId="77777777" w:rsidR="00CB74F9" w:rsidRPr="0009016F" w:rsidRDefault="00CB74F9" w:rsidP="000D79CE">
      <w:pPr>
        <w:spacing w:line="360" w:lineRule="auto"/>
        <w:jc w:val="both"/>
        <w:rPr>
          <w:rFonts w:cstheme="minorHAnsi"/>
          <w:lang w:val="en-US"/>
        </w:rPr>
      </w:pPr>
    </w:p>
    <w:p w14:paraId="71FC82B4" w14:textId="77777777" w:rsidR="00357CFE" w:rsidRPr="0009016F" w:rsidRDefault="00357CFE" w:rsidP="000D79CE">
      <w:pPr>
        <w:spacing w:line="360" w:lineRule="auto"/>
        <w:jc w:val="both"/>
        <w:rPr>
          <w:rFonts w:cstheme="minorHAnsi"/>
          <w:lang w:val="en-US"/>
        </w:rPr>
      </w:pPr>
    </w:p>
    <w:p w14:paraId="440D6AB0" w14:textId="77777777" w:rsidR="00357CFE" w:rsidRPr="0009016F" w:rsidRDefault="00357CFE" w:rsidP="000D79CE">
      <w:pPr>
        <w:spacing w:line="360" w:lineRule="auto"/>
        <w:jc w:val="both"/>
        <w:rPr>
          <w:rFonts w:cstheme="minorHAnsi"/>
          <w:lang w:val="en-US"/>
        </w:rPr>
      </w:pPr>
    </w:p>
    <w:p w14:paraId="6E584ABC" w14:textId="77777777" w:rsidR="001B45B5" w:rsidRPr="0009016F" w:rsidRDefault="001B45B5" w:rsidP="000D79CE">
      <w:pPr>
        <w:spacing w:line="360" w:lineRule="auto"/>
        <w:jc w:val="both"/>
        <w:rPr>
          <w:rFonts w:cstheme="minorHAnsi"/>
          <w:lang w:val="en-US"/>
        </w:rPr>
      </w:pPr>
    </w:p>
    <w:p w14:paraId="7DAF9F26" w14:textId="16270C4C" w:rsidR="000D79CE" w:rsidRDefault="000D79CE" w:rsidP="000D79CE">
      <w:pPr>
        <w:spacing w:line="360" w:lineRule="auto"/>
        <w:jc w:val="both"/>
        <w:rPr>
          <w:rFonts w:cstheme="minorHAnsi"/>
          <w:b/>
          <w:bCs/>
          <w:lang w:val="en-US"/>
        </w:rPr>
      </w:pPr>
      <w:r w:rsidRPr="0009016F">
        <w:rPr>
          <w:rFonts w:cstheme="minorHAnsi"/>
          <w:b/>
          <w:bCs/>
          <w:lang w:val="en-US"/>
        </w:rPr>
        <w:lastRenderedPageBreak/>
        <w:t>PART B</w:t>
      </w:r>
    </w:p>
    <w:p w14:paraId="7E2EC56D" w14:textId="41C7A063" w:rsidR="009E23C7" w:rsidRDefault="009E23C7" w:rsidP="000D79CE">
      <w:pPr>
        <w:spacing w:line="360" w:lineRule="auto"/>
        <w:jc w:val="both"/>
        <w:rPr>
          <w:rFonts w:cstheme="minorHAnsi"/>
          <w:b/>
          <w:bCs/>
          <w:lang w:val="en-US"/>
        </w:rPr>
      </w:pPr>
      <w:r>
        <w:rPr>
          <w:rFonts w:cstheme="minorHAnsi"/>
          <w:b/>
          <w:bCs/>
          <w:lang w:val="en-US"/>
        </w:rPr>
        <w:t xml:space="preserve">Table of content </w:t>
      </w:r>
    </w:p>
    <w:p w14:paraId="23732749" w14:textId="232915B2" w:rsidR="009E23C7" w:rsidRPr="009E23C7" w:rsidRDefault="009E23C7" w:rsidP="009E23C7">
      <w:pPr>
        <w:pStyle w:val="ListParagraph"/>
        <w:numPr>
          <w:ilvl w:val="0"/>
          <w:numId w:val="19"/>
        </w:numPr>
        <w:spacing w:line="360" w:lineRule="auto"/>
        <w:jc w:val="both"/>
        <w:rPr>
          <w:rFonts w:cstheme="minorHAnsi"/>
          <w:lang w:val="en-US"/>
        </w:rPr>
      </w:pPr>
      <w:r w:rsidRPr="009E23C7">
        <w:rPr>
          <w:rFonts w:cstheme="minorHAnsi"/>
          <w:lang w:val="en-US"/>
        </w:rPr>
        <w:t>Introduction</w:t>
      </w:r>
    </w:p>
    <w:p w14:paraId="13B6F2E4" w14:textId="148E6F40" w:rsidR="009E23C7" w:rsidRPr="009E23C7" w:rsidRDefault="00883435" w:rsidP="009E23C7">
      <w:pPr>
        <w:pStyle w:val="ListParagraph"/>
        <w:numPr>
          <w:ilvl w:val="1"/>
          <w:numId w:val="19"/>
        </w:numPr>
        <w:spacing w:line="360" w:lineRule="auto"/>
        <w:jc w:val="both"/>
        <w:rPr>
          <w:rFonts w:cstheme="minorHAnsi"/>
          <w:lang w:val="en-US"/>
        </w:rPr>
      </w:pPr>
      <w:r>
        <w:rPr>
          <w:rFonts w:cstheme="minorHAnsi"/>
          <w:lang w:val="en-US"/>
        </w:rPr>
        <w:t xml:space="preserve"> </w:t>
      </w:r>
      <w:r w:rsidR="009E23C7" w:rsidRPr="009E23C7">
        <w:rPr>
          <w:rFonts w:cstheme="minorHAnsi"/>
          <w:lang w:val="en-US"/>
        </w:rPr>
        <w:t>Objectives</w:t>
      </w:r>
    </w:p>
    <w:p w14:paraId="6C90C05C" w14:textId="47CC819B" w:rsidR="009E23C7" w:rsidRPr="009E23C7" w:rsidRDefault="009E23C7" w:rsidP="009E23C7">
      <w:pPr>
        <w:pStyle w:val="ListParagraph"/>
        <w:numPr>
          <w:ilvl w:val="0"/>
          <w:numId w:val="19"/>
        </w:numPr>
        <w:spacing w:line="360" w:lineRule="auto"/>
        <w:jc w:val="both"/>
        <w:rPr>
          <w:rFonts w:cstheme="minorHAnsi"/>
          <w:lang w:val="en-US"/>
        </w:rPr>
      </w:pPr>
      <w:r w:rsidRPr="009E23C7">
        <w:rPr>
          <w:rFonts w:cstheme="minorHAnsi"/>
          <w:lang w:val="en-US"/>
        </w:rPr>
        <w:t>Financial Ratio Analysis</w:t>
      </w:r>
    </w:p>
    <w:p w14:paraId="083077B8" w14:textId="374EA6B8" w:rsidR="009E23C7" w:rsidRPr="009E23C7" w:rsidRDefault="00883435" w:rsidP="009E23C7">
      <w:pPr>
        <w:pStyle w:val="ListParagraph"/>
        <w:numPr>
          <w:ilvl w:val="1"/>
          <w:numId w:val="19"/>
        </w:numPr>
        <w:spacing w:line="360" w:lineRule="auto"/>
        <w:jc w:val="both"/>
        <w:rPr>
          <w:rFonts w:cstheme="minorHAnsi"/>
          <w:lang w:val="en-US"/>
        </w:rPr>
      </w:pPr>
      <w:r>
        <w:rPr>
          <w:rFonts w:cstheme="minorHAnsi"/>
          <w:lang w:val="en-US"/>
        </w:rPr>
        <w:t xml:space="preserve"> </w:t>
      </w:r>
      <w:r w:rsidR="009E23C7" w:rsidRPr="009E23C7">
        <w:rPr>
          <w:rFonts w:cstheme="minorHAnsi"/>
          <w:lang w:val="en-US"/>
        </w:rPr>
        <w:t>Profitability Ratio</w:t>
      </w:r>
    </w:p>
    <w:p w14:paraId="466D8FB5" w14:textId="5F5EAAB9" w:rsidR="009E23C7" w:rsidRPr="009E23C7" w:rsidRDefault="00883435" w:rsidP="009E23C7">
      <w:pPr>
        <w:pStyle w:val="ListParagraph"/>
        <w:numPr>
          <w:ilvl w:val="1"/>
          <w:numId w:val="19"/>
        </w:numPr>
        <w:spacing w:line="360" w:lineRule="auto"/>
        <w:jc w:val="both"/>
        <w:rPr>
          <w:rFonts w:cstheme="minorHAnsi"/>
          <w:lang w:val="en-US"/>
        </w:rPr>
      </w:pPr>
      <w:r>
        <w:rPr>
          <w:rFonts w:cstheme="minorHAnsi"/>
          <w:lang w:val="en-US"/>
        </w:rPr>
        <w:t xml:space="preserve"> </w:t>
      </w:r>
      <w:r w:rsidR="009E23C7" w:rsidRPr="009E23C7">
        <w:rPr>
          <w:rFonts w:cstheme="minorHAnsi"/>
          <w:lang w:val="en-US"/>
        </w:rPr>
        <w:t>Liquidity Ratio</w:t>
      </w:r>
    </w:p>
    <w:p w14:paraId="742EDFA1" w14:textId="4DC858CB" w:rsidR="009E23C7" w:rsidRPr="009E23C7" w:rsidRDefault="00883435" w:rsidP="009E23C7">
      <w:pPr>
        <w:pStyle w:val="ListParagraph"/>
        <w:numPr>
          <w:ilvl w:val="1"/>
          <w:numId w:val="19"/>
        </w:numPr>
        <w:spacing w:line="360" w:lineRule="auto"/>
        <w:jc w:val="both"/>
        <w:rPr>
          <w:rFonts w:cstheme="minorHAnsi"/>
          <w:lang w:val="en-US"/>
        </w:rPr>
      </w:pPr>
      <w:r>
        <w:rPr>
          <w:rFonts w:cstheme="minorHAnsi"/>
          <w:lang w:val="en-US"/>
        </w:rPr>
        <w:t xml:space="preserve"> </w:t>
      </w:r>
      <w:r w:rsidR="009E23C7" w:rsidRPr="009E23C7">
        <w:rPr>
          <w:rFonts w:cstheme="minorHAnsi"/>
          <w:lang w:val="en-US"/>
        </w:rPr>
        <w:t>Gearing Ratio</w:t>
      </w:r>
    </w:p>
    <w:p w14:paraId="45460B44" w14:textId="23EB4A4F" w:rsidR="009E23C7" w:rsidRPr="009E23C7" w:rsidRDefault="00883435" w:rsidP="009E23C7">
      <w:pPr>
        <w:pStyle w:val="ListParagraph"/>
        <w:numPr>
          <w:ilvl w:val="1"/>
          <w:numId w:val="19"/>
        </w:numPr>
        <w:spacing w:line="360" w:lineRule="auto"/>
        <w:jc w:val="both"/>
        <w:rPr>
          <w:rFonts w:cstheme="minorHAnsi"/>
          <w:lang w:val="en-US"/>
        </w:rPr>
      </w:pPr>
      <w:r>
        <w:rPr>
          <w:rFonts w:cstheme="minorHAnsi"/>
          <w:lang w:val="en-US"/>
        </w:rPr>
        <w:t xml:space="preserve"> </w:t>
      </w:r>
      <w:r w:rsidR="009E23C7" w:rsidRPr="009E23C7">
        <w:rPr>
          <w:rFonts w:cstheme="minorHAnsi"/>
          <w:lang w:val="en-US"/>
        </w:rPr>
        <w:t>Efficiency Ratio</w:t>
      </w:r>
    </w:p>
    <w:p w14:paraId="2B2AF936" w14:textId="0717A2DC" w:rsidR="009E23C7" w:rsidRPr="009E23C7" w:rsidRDefault="009E23C7" w:rsidP="009E23C7">
      <w:pPr>
        <w:pStyle w:val="ListParagraph"/>
        <w:numPr>
          <w:ilvl w:val="0"/>
          <w:numId w:val="19"/>
        </w:numPr>
        <w:spacing w:line="360" w:lineRule="auto"/>
        <w:jc w:val="both"/>
        <w:rPr>
          <w:rFonts w:cstheme="minorHAnsi"/>
          <w:lang w:val="en-US"/>
        </w:rPr>
      </w:pPr>
      <w:bookmarkStart w:id="1" w:name="_Hlk164330702"/>
      <w:r w:rsidRPr="009E23C7">
        <w:rPr>
          <w:rFonts w:cstheme="minorHAnsi"/>
          <w:lang w:val="en-US"/>
        </w:rPr>
        <w:t>Critical Evaluation of Financial Ratios</w:t>
      </w:r>
    </w:p>
    <w:bookmarkEnd w:id="1"/>
    <w:p w14:paraId="2AA7475D" w14:textId="2E34CB65" w:rsidR="009E23C7" w:rsidRPr="009E23C7" w:rsidRDefault="00883435" w:rsidP="009E23C7">
      <w:pPr>
        <w:pStyle w:val="ListParagraph"/>
        <w:numPr>
          <w:ilvl w:val="1"/>
          <w:numId w:val="19"/>
        </w:numPr>
        <w:spacing w:line="360" w:lineRule="auto"/>
        <w:jc w:val="both"/>
        <w:rPr>
          <w:rFonts w:cstheme="minorHAnsi"/>
          <w:lang w:val="en-US"/>
        </w:rPr>
      </w:pPr>
      <w:r>
        <w:rPr>
          <w:rFonts w:cstheme="minorHAnsi"/>
          <w:lang w:val="en-US"/>
        </w:rPr>
        <w:t xml:space="preserve"> </w:t>
      </w:r>
      <w:r w:rsidR="009E23C7" w:rsidRPr="009E23C7">
        <w:rPr>
          <w:rFonts w:cstheme="minorHAnsi"/>
          <w:lang w:val="en-US"/>
        </w:rPr>
        <w:t>Profitability</w:t>
      </w:r>
      <w:r>
        <w:rPr>
          <w:rFonts w:cstheme="minorHAnsi"/>
          <w:lang w:val="en-US"/>
        </w:rPr>
        <w:t xml:space="preserve"> Ratio </w:t>
      </w:r>
    </w:p>
    <w:p w14:paraId="6E697DD8" w14:textId="3A1B6C33" w:rsidR="009E23C7" w:rsidRPr="009E23C7" w:rsidRDefault="00883435" w:rsidP="009E23C7">
      <w:pPr>
        <w:pStyle w:val="ListParagraph"/>
        <w:numPr>
          <w:ilvl w:val="1"/>
          <w:numId w:val="19"/>
        </w:numPr>
        <w:spacing w:line="360" w:lineRule="auto"/>
        <w:jc w:val="both"/>
        <w:rPr>
          <w:rFonts w:cstheme="minorHAnsi"/>
          <w:lang w:val="en-US"/>
        </w:rPr>
      </w:pPr>
      <w:r>
        <w:rPr>
          <w:rFonts w:cstheme="minorHAnsi"/>
          <w:lang w:val="en-US"/>
        </w:rPr>
        <w:t xml:space="preserve"> </w:t>
      </w:r>
      <w:r w:rsidR="009E23C7" w:rsidRPr="009E23C7">
        <w:rPr>
          <w:rFonts w:cstheme="minorHAnsi"/>
          <w:lang w:val="en-US"/>
        </w:rPr>
        <w:t>Liquidity</w:t>
      </w:r>
      <w:r>
        <w:rPr>
          <w:rFonts w:cstheme="minorHAnsi"/>
          <w:lang w:val="en-US"/>
        </w:rPr>
        <w:t xml:space="preserve"> Ratio </w:t>
      </w:r>
    </w:p>
    <w:p w14:paraId="600DB71C" w14:textId="3B76B515" w:rsidR="009E23C7" w:rsidRPr="009E23C7" w:rsidRDefault="00883435" w:rsidP="009E23C7">
      <w:pPr>
        <w:pStyle w:val="ListParagraph"/>
        <w:numPr>
          <w:ilvl w:val="1"/>
          <w:numId w:val="19"/>
        </w:numPr>
        <w:spacing w:line="360" w:lineRule="auto"/>
        <w:jc w:val="both"/>
        <w:rPr>
          <w:rFonts w:cstheme="minorHAnsi"/>
          <w:lang w:val="en-US"/>
        </w:rPr>
      </w:pPr>
      <w:r>
        <w:rPr>
          <w:rFonts w:cstheme="minorHAnsi"/>
          <w:lang w:val="en-US"/>
        </w:rPr>
        <w:t xml:space="preserve"> </w:t>
      </w:r>
      <w:r w:rsidR="009E23C7" w:rsidRPr="009E23C7">
        <w:rPr>
          <w:rFonts w:cstheme="minorHAnsi"/>
          <w:lang w:val="en-US"/>
        </w:rPr>
        <w:t>Gearing</w:t>
      </w:r>
      <w:r>
        <w:rPr>
          <w:rFonts w:cstheme="minorHAnsi"/>
          <w:lang w:val="en-US"/>
        </w:rPr>
        <w:t xml:space="preserve"> Ratio </w:t>
      </w:r>
    </w:p>
    <w:p w14:paraId="09369FE4" w14:textId="09C82119" w:rsidR="009E23C7" w:rsidRPr="009E23C7" w:rsidRDefault="00883435" w:rsidP="009E23C7">
      <w:pPr>
        <w:pStyle w:val="ListParagraph"/>
        <w:numPr>
          <w:ilvl w:val="1"/>
          <w:numId w:val="19"/>
        </w:numPr>
        <w:spacing w:line="360" w:lineRule="auto"/>
        <w:jc w:val="both"/>
        <w:rPr>
          <w:rFonts w:cstheme="minorHAnsi"/>
          <w:lang w:val="en-US"/>
        </w:rPr>
      </w:pPr>
      <w:r>
        <w:rPr>
          <w:rFonts w:cstheme="minorHAnsi"/>
          <w:lang w:val="en-US"/>
        </w:rPr>
        <w:t xml:space="preserve"> </w:t>
      </w:r>
      <w:r w:rsidR="009E23C7" w:rsidRPr="009E23C7">
        <w:rPr>
          <w:rFonts w:cstheme="minorHAnsi"/>
          <w:lang w:val="en-US"/>
        </w:rPr>
        <w:t>Efficiency</w:t>
      </w:r>
      <w:r>
        <w:rPr>
          <w:rFonts w:cstheme="minorHAnsi"/>
          <w:lang w:val="en-US"/>
        </w:rPr>
        <w:t xml:space="preserve"> Ratio </w:t>
      </w:r>
    </w:p>
    <w:p w14:paraId="0FA0A4D4" w14:textId="1F6C2E2D" w:rsidR="009E23C7" w:rsidRPr="009E23C7" w:rsidRDefault="009E23C7" w:rsidP="009E23C7">
      <w:pPr>
        <w:pStyle w:val="ListParagraph"/>
        <w:numPr>
          <w:ilvl w:val="0"/>
          <w:numId w:val="19"/>
        </w:numPr>
        <w:spacing w:line="360" w:lineRule="auto"/>
        <w:jc w:val="both"/>
        <w:rPr>
          <w:rFonts w:cstheme="minorHAnsi"/>
          <w:lang w:val="en-US"/>
        </w:rPr>
      </w:pPr>
      <w:r w:rsidRPr="009E23C7">
        <w:rPr>
          <w:rFonts w:cstheme="minorHAnsi"/>
          <w:lang w:val="en-US"/>
        </w:rPr>
        <w:t>Comparison with Competitor</w:t>
      </w:r>
    </w:p>
    <w:p w14:paraId="20E018EF" w14:textId="1A033891" w:rsidR="009E23C7" w:rsidRPr="004A6349" w:rsidRDefault="00883435" w:rsidP="004A6349">
      <w:pPr>
        <w:pStyle w:val="ListParagraph"/>
        <w:numPr>
          <w:ilvl w:val="1"/>
          <w:numId w:val="19"/>
        </w:numPr>
        <w:spacing w:line="360" w:lineRule="auto"/>
        <w:jc w:val="both"/>
        <w:rPr>
          <w:rFonts w:cstheme="minorHAnsi"/>
          <w:lang w:val="en-US"/>
        </w:rPr>
      </w:pPr>
      <w:r>
        <w:rPr>
          <w:rFonts w:cstheme="minorHAnsi"/>
          <w:lang w:val="en-US"/>
        </w:rPr>
        <w:t xml:space="preserve"> </w:t>
      </w:r>
      <w:r w:rsidR="009E23C7" w:rsidRPr="004A6349">
        <w:rPr>
          <w:rFonts w:cstheme="minorHAnsi"/>
          <w:lang w:val="en-US"/>
        </w:rPr>
        <w:t>Financial Comparison</w:t>
      </w:r>
    </w:p>
    <w:p w14:paraId="502939FA" w14:textId="089DDDD5" w:rsidR="009E23C7" w:rsidRPr="004A6349" w:rsidRDefault="00883435" w:rsidP="004A6349">
      <w:pPr>
        <w:pStyle w:val="ListParagraph"/>
        <w:numPr>
          <w:ilvl w:val="1"/>
          <w:numId w:val="19"/>
        </w:numPr>
        <w:spacing w:line="360" w:lineRule="auto"/>
        <w:jc w:val="both"/>
        <w:rPr>
          <w:rFonts w:cstheme="minorHAnsi"/>
          <w:lang w:val="en-US"/>
        </w:rPr>
      </w:pPr>
      <w:r>
        <w:rPr>
          <w:rFonts w:cstheme="minorHAnsi"/>
          <w:lang w:val="en-US"/>
        </w:rPr>
        <w:t xml:space="preserve"> </w:t>
      </w:r>
      <w:r w:rsidR="009E23C7" w:rsidRPr="004A6349">
        <w:rPr>
          <w:rFonts w:cstheme="minorHAnsi"/>
          <w:lang w:val="en-US"/>
        </w:rPr>
        <w:t>Interpretation</w:t>
      </w:r>
    </w:p>
    <w:p w14:paraId="58A20BA7" w14:textId="2B53EEF9" w:rsidR="009E23C7" w:rsidRPr="004A6349" w:rsidRDefault="00883435" w:rsidP="004A6349">
      <w:pPr>
        <w:pStyle w:val="ListParagraph"/>
        <w:numPr>
          <w:ilvl w:val="1"/>
          <w:numId w:val="19"/>
        </w:numPr>
        <w:spacing w:line="360" w:lineRule="auto"/>
        <w:jc w:val="both"/>
        <w:rPr>
          <w:rFonts w:cstheme="minorHAnsi"/>
          <w:lang w:val="en-US"/>
        </w:rPr>
      </w:pPr>
      <w:r>
        <w:rPr>
          <w:rFonts w:cstheme="minorHAnsi"/>
          <w:lang w:val="en-US"/>
        </w:rPr>
        <w:t xml:space="preserve"> </w:t>
      </w:r>
      <w:r w:rsidR="009E23C7" w:rsidRPr="004A6349">
        <w:rPr>
          <w:rFonts w:cstheme="minorHAnsi"/>
          <w:lang w:val="en-US"/>
        </w:rPr>
        <w:t>Implications</w:t>
      </w:r>
    </w:p>
    <w:p w14:paraId="5BA5EBB8" w14:textId="3320CCEB" w:rsidR="009E23C7" w:rsidRDefault="009E23C7" w:rsidP="009E23C7">
      <w:pPr>
        <w:pStyle w:val="ListParagraph"/>
        <w:numPr>
          <w:ilvl w:val="0"/>
          <w:numId w:val="19"/>
        </w:numPr>
        <w:spacing w:line="360" w:lineRule="auto"/>
        <w:jc w:val="both"/>
        <w:rPr>
          <w:rFonts w:cstheme="minorHAnsi"/>
          <w:lang w:val="en-US"/>
        </w:rPr>
      </w:pPr>
      <w:r w:rsidRPr="009E23C7">
        <w:rPr>
          <w:rFonts w:cstheme="minorHAnsi"/>
          <w:lang w:val="en-US"/>
        </w:rPr>
        <w:t>Recommendations for Financial Management Improvement</w:t>
      </w:r>
    </w:p>
    <w:p w14:paraId="1CD209EB" w14:textId="503CC340" w:rsidR="004A6349" w:rsidRPr="004A6349" w:rsidRDefault="00883435" w:rsidP="004A6349">
      <w:pPr>
        <w:pStyle w:val="ListParagraph"/>
        <w:numPr>
          <w:ilvl w:val="1"/>
          <w:numId w:val="19"/>
        </w:numPr>
        <w:spacing w:line="360" w:lineRule="auto"/>
        <w:jc w:val="both"/>
        <w:rPr>
          <w:rFonts w:cstheme="minorHAnsi"/>
          <w:lang w:val="en-US"/>
        </w:rPr>
      </w:pPr>
      <w:r>
        <w:rPr>
          <w:rFonts w:cstheme="minorHAnsi"/>
          <w:lang w:val="en-US"/>
        </w:rPr>
        <w:t xml:space="preserve"> </w:t>
      </w:r>
      <w:r w:rsidR="004A6349" w:rsidRPr="004A6349">
        <w:rPr>
          <w:rFonts w:cstheme="minorHAnsi"/>
          <w:lang w:val="en-US"/>
        </w:rPr>
        <w:t>Profitability Enhancement</w:t>
      </w:r>
    </w:p>
    <w:p w14:paraId="10D7FAE8" w14:textId="5728B88C" w:rsidR="004A6349" w:rsidRDefault="00883435" w:rsidP="004A6349">
      <w:pPr>
        <w:pStyle w:val="ListParagraph"/>
        <w:numPr>
          <w:ilvl w:val="1"/>
          <w:numId w:val="19"/>
        </w:numPr>
        <w:spacing w:line="360" w:lineRule="auto"/>
        <w:jc w:val="both"/>
        <w:rPr>
          <w:rFonts w:cstheme="minorHAnsi"/>
          <w:lang w:val="en-US"/>
        </w:rPr>
      </w:pPr>
      <w:r>
        <w:rPr>
          <w:rFonts w:cstheme="minorHAnsi"/>
          <w:lang w:val="en-US"/>
        </w:rPr>
        <w:t xml:space="preserve"> </w:t>
      </w:r>
      <w:r w:rsidR="004A6349" w:rsidRPr="004A6349">
        <w:rPr>
          <w:rFonts w:cstheme="minorHAnsi"/>
          <w:lang w:val="en-US"/>
        </w:rPr>
        <w:t>Liquidity Management</w:t>
      </w:r>
    </w:p>
    <w:p w14:paraId="5B20243F" w14:textId="77777777" w:rsidR="004A6349" w:rsidRDefault="004A6349" w:rsidP="004A6349">
      <w:pPr>
        <w:pStyle w:val="ListParagraph"/>
        <w:numPr>
          <w:ilvl w:val="1"/>
          <w:numId w:val="19"/>
        </w:numPr>
        <w:spacing w:line="360" w:lineRule="auto"/>
        <w:jc w:val="both"/>
        <w:rPr>
          <w:rFonts w:cstheme="minorHAnsi"/>
          <w:lang w:val="en-US"/>
        </w:rPr>
      </w:pPr>
      <w:r w:rsidRPr="004A6349">
        <w:rPr>
          <w:rFonts w:cstheme="minorHAnsi"/>
          <w:lang w:val="en-US"/>
        </w:rPr>
        <w:t xml:space="preserve"> Debt Optimization</w:t>
      </w:r>
    </w:p>
    <w:p w14:paraId="0461908F" w14:textId="0E9A93AE" w:rsidR="004A6349" w:rsidRPr="004A6349" w:rsidRDefault="004A6349" w:rsidP="004A6349">
      <w:pPr>
        <w:pStyle w:val="ListParagraph"/>
        <w:numPr>
          <w:ilvl w:val="1"/>
          <w:numId w:val="19"/>
        </w:numPr>
        <w:spacing w:line="360" w:lineRule="auto"/>
        <w:jc w:val="both"/>
        <w:rPr>
          <w:rFonts w:cstheme="minorHAnsi"/>
          <w:lang w:val="en-US"/>
        </w:rPr>
      </w:pPr>
      <w:r w:rsidRPr="004A6349">
        <w:rPr>
          <w:rFonts w:cstheme="minorHAnsi"/>
          <w:lang w:val="en-US"/>
        </w:rPr>
        <w:t xml:space="preserve"> Operational Efficiency</w:t>
      </w:r>
    </w:p>
    <w:p w14:paraId="495636FA" w14:textId="27042002" w:rsidR="009E23C7" w:rsidRPr="004A6349" w:rsidRDefault="009E23C7" w:rsidP="004A6349">
      <w:pPr>
        <w:pStyle w:val="ListParagraph"/>
        <w:numPr>
          <w:ilvl w:val="0"/>
          <w:numId w:val="19"/>
        </w:numPr>
        <w:spacing w:line="360" w:lineRule="auto"/>
        <w:jc w:val="both"/>
        <w:rPr>
          <w:rFonts w:cstheme="minorHAnsi"/>
          <w:lang w:val="en-US"/>
        </w:rPr>
      </w:pPr>
      <w:r w:rsidRPr="004A6349">
        <w:rPr>
          <w:rFonts w:cstheme="minorHAnsi"/>
          <w:lang w:val="en-US"/>
        </w:rPr>
        <w:t>Conclusion</w:t>
      </w:r>
    </w:p>
    <w:p w14:paraId="068F7A3E" w14:textId="77777777" w:rsidR="009E23C7" w:rsidRPr="009E23C7" w:rsidRDefault="009E23C7" w:rsidP="000D79CE">
      <w:pPr>
        <w:spacing w:line="360" w:lineRule="auto"/>
        <w:jc w:val="both"/>
        <w:rPr>
          <w:rFonts w:cstheme="minorHAnsi"/>
          <w:lang w:val="en-US"/>
        </w:rPr>
      </w:pPr>
    </w:p>
    <w:p w14:paraId="1781AA6C" w14:textId="77777777" w:rsidR="009E23C7" w:rsidRPr="009E23C7" w:rsidRDefault="009E23C7" w:rsidP="000D79CE">
      <w:pPr>
        <w:spacing w:line="360" w:lineRule="auto"/>
        <w:jc w:val="both"/>
        <w:rPr>
          <w:rFonts w:cstheme="minorHAnsi"/>
          <w:lang w:val="en-US"/>
        </w:rPr>
      </w:pPr>
    </w:p>
    <w:p w14:paraId="634A8BA0" w14:textId="77777777" w:rsidR="009E23C7" w:rsidRDefault="009E23C7" w:rsidP="000D79CE">
      <w:pPr>
        <w:spacing w:line="360" w:lineRule="auto"/>
        <w:jc w:val="both"/>
        <w:rPr>
          <w:rFonts w:cstheme="minorHAnsi"/>
          <w:b/>
          <w:bCs/>
          <w:lang w:val="en-US"/>
        </w:rPr>
      </w:pPr>
    </w:p>
    <w:p w14:paraId="1C0E5BE4" w14:textId="77777777" w:rsidR="009E23C7" w:rsidRDefault="009E23C7" w:rsidP="000D79CE">
      <w:pPr>
        <w:spacing w:line="360" w:lineRule="auto"/>
        <w:jc w:val="both"/>
        <w:rPr>
          <w:rFonts w:cstheme="minorHAnsi"/>
          <w:b/>
          <w:bCs/>
          <w:lang w:val="en-US"/>
        </w:rPr>
      </w:pPr>
    </w:p>
    <w:p w14:paraId="28EA3858" w14:textId="77777777" w:rsidR="004A6349" w:rsidRDefault="004A6349" w:rsidP="000D79CE">
      <w:pPr>
        <w:spacing w:line="360" w:lineRule="auto"/>
        <w:jc w:val="both"/>
        <w:rPr>
          <w:rFonts w:cstheme="minorHAnsi"/>
          <w:b/>
          <w:bCs/>
          <w:lang w:val="en-US"/>
        </w:rPr>
      </w:pPr>
    </w:p>
    <w:p w14:paraId="46DBEB8C" w14:textId="709B2EBA" w:rsidR="009E23C7" w:rsidRPr="009E23C7" w:rsidRDefault="009E23C7" w:rsidP="009E23C7">
      <w:pPr>
        <w:pStyle w:val="ListParagraph"/>
        <w:numPr>
          <w:ilvl w:val="0"/>
          <w:numId w:val="20"/>
        </w:numPr>
        <w:spacing w:line="360" w:lineRule="auto"/>
        <w:jc w:val="both"/>
        <w:rPr>
          <w:rFonts w:cstheme="minorHAnsi"/>
          <w:b/>
          <w:bCs/>
          <w:lang w:val="en-US"/>
        </w:rPr>
      </w:pPr>
      <w:bookmarkStart w:id="2" w:name="_Hlk164337311"/>
      <w:r>
        <w:rPr>
          <w:rFonts w:cstheme="minorHAnsi"/>
          <w:b/>
          <w:bCs/>
          <w:lang w:val="en-US"/>
        </w:rPr>
        <w:lastRenderedPageBreak/>
        <w:t xml:space="preserve">Introduction </w:t>
      </w:r>
    </w:p>
    <w:p w14:paraId="602E7A2E" w14:textId="798332BA" w:rsidR="009E23C7" w:rsidRPr="00883435" w:rsidRDefault="009E23C7" w:rsidP="009E23C7">
      <w:pPr>
        <w:pStyle w:val="ListParagraph"/>
        <w:numPr>
          <w:ilvl w:val="1"/>
          <w:numId w:val="20"/>
        </w:numPr>
        <w:spacing w:line="360" w:lineRule="auto"/>
        <w:jc w:val="both"/>
        <w:rPr>
          <w:rFonts w:cstheme="minorHAnsi"/>
          <w:b/>
          <w:bCs/>
          <w:lang w:val="en-US"/>
        </w:rPr>
      </w:pPr>
      <w:r w:rsidRPr="00883435">
        <w:rPr>
          <w:rFonts w:cstheme="minorHAnsi"/>
          <w:b/>
          <w:bCs/>
          <w:lang w:val="en-US"/>
        </w:rPr>
        <w:t xml:space="preserve">Objectives </w:t>
      </w:r>
    </w:p>
    <w:p w14:paraId="7424818A" w14:textId="113A0CB9" w:rsidR="009E23C7" w:rsidRPr="009E23C7" w:rsidRDefault="009E23C7" w:rsidP="000D79CE">
      <w:pPr>
        <w:spacing w:line="360" w:lineRule="auto"/>
        <w:jc w:val="both"/>
        <w:rPr>
          <w:rFonts w:cstheme="minorHAnsi"/>
          <w:lang w:val="en-US"/>
        </w:rPr>
      </w:pPr>
      <w:r w:rsidRPr="009E23C7">
        <w:rPr>
          <w:rFonts w:cstheme="minorHAnsi"/>
          <w:lang w:val="en-US"/>
        </w:rPr>
        <w:t>Th</w:t>
      </w:r>
      <w:r>
        <w:rPr>
          <w:rFonts w:cstheme="minorHAnsi"/>
          <w:lang w:val="en-US"/>
        </w:rPr>
        <w:t>is critical review evaluates</w:t>
      </w:r>
      <w:r w:rsidRPr="009E23C7">
        <w:rPr>
          <w:rFonts w:cstheme="minorHAnsi"/>
          <w:lang w:val="en-US"/>
        </w:rPr>
        <w:t xml:space="preserve"> Pfizer Inc.'s financial performance by analyzing key financial ratios and comparing them to industry benchmarks. By thoroughly assessing Pfizer's financial position, the review aims to provide insight into </w:t>
      </w:r>
      <w:r>
        <w:rPr>
          <w:rFonts w:cstheme="minorHAnsi"/>
          <w:lang w:val="en-US"/>
        </w:rPr>
        <w:t>it</w:t>
      </w:r>
      <w:r w:rsidRPr="009E23C7">
        <w:rPr>
          <w:rFonts w:cstheme="minorHAnsi"/>
          <w:lang w:val="en-US"/>
        </w:rPr>
        <w:t xml:space="preserve">s strengths and weaknesses and </w:t>
      </w:r>
      <w:r>
        <w:rPr>
          <w:rFonts w:cstheme="minorHAnsi"/>
          <w:lang w:val="en-US"/>
        </w:rPr>
        <w:t>recommend</w:t>
      </w:r>
      <w:r w:rsidRPr="009E23C7">
        <w:rPr>
          <w:rFonts w:cstheme="minorHAnsi"/>
          <w:lang w:val="en-US"/>
        </w:rPr>
        <w:t xml:space="preserve"> improving its financial management practices.</w:t>
      </w:r>
    </w:p>
    <w:bookmarkEnd w:id="0"/>
    <w:p w14:paraId="3C740F13" w14:textId="5A010E89" w:rsidR="000D79CE" w:rsidRPr="006C3680" w:rsidRDefault="009E23C7" w:rsidP="009E23C7">
      <w:pPr>
        <w:pStyle w:val="ListParagraph"/>
        <w:numPr>
          <w:ilvl w:val="0"/>
          <w:numId w:val="20"/>
        </w:numPr>
        <w:spacing w:line="360" w:lineRule="auto"/>
        <w:jc w:val="both"/>
        <w:rPr>
          <w:rFonts w:cstheme="minorHAnsi"/>
          <w:b/>
          <w:bCs/>
          <w:lang w:val="en-US"/>
        </w:rPr>
      </w:pPr>
      <w:r>
        <w:rPr>
          <w:rFonts w:cstheme="minorHAnsi"/>
          <w:b/>
          <w:bCs/>
          <w:lang w:val="en-US"/>
        </w:rPr>
        <w:t xml:space="preserve">Financial Ratio Analysis </w:t>
      </w:r>
    </w:p>
    <w:p w14:paraId="0F9A1025" w14:textId="3DBCAC69" w:rsidR="000D79CE" w:rsidRPr="0009016F" w:rsidRDefault="000D79CE" w:rsidP="000D79CE">
      <w:pPr>
        <w:spacing w:line="360" w:lineRule="auto"/>
        <w:jc w:val="both"/>
        <w:rPr>
          <w:rFonts w:cstheme="minorHAnsi"/>
          <w:lang w:val="en-US"/>
        </w:rPr>
      </w:pPr>
      <w:r w:rsidRPr="0009016F">
        <w:rPr>
          <w:rFonts w:cstheme="minorHAnsi"/>
          <w:lang w:val="en-US"/>
        </w:rPr>
        <w:t>Pfizer Inc.'s financial performance is crucial for understanding its ability to sustain growth, manage risks, and deliver value to shareholders. We can gain insights into Pfizer's profitability, liquidity, gearing, and efficiency through a critical review of key financial metrics and ratios. Utilizing data from reputable sources such as Pfizer's annual reports and academic journals, this section aims to provide a comprehensive analysis of Pfizer's financial health.</w:t>
      </w:r>
    </w:p>
    <w:p w14:paraId="142731E9" w14:textId="14653E95" w:rsidR="000D79CE" w:rsidRPr="00883435" w:rsidRDefault="000D79CE" w:rsidP="00883435">
      <w:pPr>
        <w:pStyle w:val="ListParagraph"/>
        <w:numPr>
          <w:ilvl w:val="1"/>
          <w:numId w:val="20"/>
        </w:numPr>
        <w:spacing w:line="360" w:lineRule="auto"/>
        <w:jc w:val="both"/>
        <w:rPr>
          <w:rFonts w:cstheme="minorHAnsi"/>
          <w:b/>
          <w:bCs/>
          <w:lang w:val="en-US"/>
        </w:rPr>
      </w:pPr>
      <w:r w:rsidRPr="00883435">
        <w:rPr>
          <w:rFonts w:cstheme="minorHAnsi"/>
          <w:b/>
          <w:bCs/>
          <w:lang w:val="en-US"/>
        </w:rPr>
        <w:t>Profitability</w:t>
      </w:r>
      <w:r w:rsidR="00FA21E3" w:rsidRPr="00883435">
        <w:rPr>
          <w:rFonts w:cstheme="minorHAnsi"/>
          <w:b/>
          <w:bCs/>
          <w:lang w:val="en-US"/>
        </w:rPr>
        <w:t xml:space="preserve"> Ratios </w:t>
      </w:r>
    </w:p>
    <w:p w14:paraId="51E890BA" w14:textId="7AF8C648" w:rsidR="009E23C7" w:rsidRPr="009E23C7" w:rsidRDefault="009E23C7" w:rsidP="009E23C7">
      <w:pPr>
        <w:spacing w:line="360" w:lineRule="auto"/>
        <w:jc w:val="both"/>
        <w:rPr>
          <w:rFonts w:cstheme="minorHAnsi"/>
          <w:lang w:val="en-US"/>
        </w:rPr>
      </w:pPr>
      <w:r w:rsidRPr="009E23C7">
        <w:rPr>
          <w:rFonts w:cstheme="minorHAnsi"/>
          <w:lang w:val="en-US"/>
        </w:rPr>
        <w:t xml:space="preserve">Pfizer Inc.'s financial performance is </w:t>
      </w:r>
      <w:r>
        <w:rPr>
          <w:rFonts w:cstheme="minorHAnsi"/>
          <w:lang w:val="en-US"/>
        </w:rPr>
        <w:t>vital to</w:t>
      </w:r>
      <w:r w:rsidRPr="009E23C7">
        <w:rPr>
          <w:rFonts w:cstheme="minorHAnsi"/>
          <w:lang w:val="en-US"/>
        </w:rPr>
        <w:t xml:space="preserve"> assessing its operational efficiency and ability to create value for stakeholders. The net profit margin and return on equity (ROE) are </w:t>
      </w:r>
      <w:r>
        <w:rPr>
          <w:rFonts w:cstheme="minorHAnsi"/>
          <w:lang w:val="en-US"/>
        </w:rPr>
        <w:t>critical</w:t>
      </w:r>
      <w:r w:rsidRPr="009E23C7">
        <w:rPr>
          <w:rFonts w:cstheme="minorHAnsi"/>
          <w:lang w:val="en-US"/>
        </w:rPr>
        <w:t xml:space="preserve"> indicators </w:t>
      </w:r>
      <w:r>
        <w:rPr>
          <w:rFonts w:cstheme="minorHAnsi"/>
          <w:lang w:val="en-US"/>
        </w:rPr>
        <w:t>for evaluating Pfizer's profitability and utilization of shareholders' equit</w:t>
      </w:r>
      <w:r w:rsidRPr="009E23C7">
        <w:rPr>
          <w:rFonts w:cstheme="minorHAnsi"/>
          <w:lang w:val="en-US"/>
        </w:rPr>
        <w:t>y.</w:t>
      </w:r>
    </w:p>
    <w:p w14:paraId="7546FE53" w14:textId="34DBAA46" w:rsidR="009E23C7" w:rsidRPr="009E23C7" w:rsidRDefault="009E23C7" w:rsidP="009E23C7">
      <w:pPr>
        <w:spacing w:line="360" w:lineRule="auto"/>
        <w:jc w:val="both"/>
        <w:rPr>
          <w:rFonts w:cstheme="minorHAnsi"/>
          <w:lang w:val="en-US"/>
        </w:rPr>
      </w:pPr>
      <w:r w:rsidRPr="009E23C7">
        <w:rPr>
          <w:rFonts w:cstheme="minorHAnsi"/>
          <w:lang w:val="en-US"/>
        </w:rPr>
        <w:t>According to Pfizer's Annual Report 2022, the company achieved a net profit margin of 29.5%, signifying robust profitability and efficient cost management strategies (Pfizer Inc., 2023). This figure is consistent with industry standards and underscores Pfizer's adeptness in converting revenue into profits. However, it is imperative to analyze the trend of the net profit margin over time to ascertain the sustainability of Pfizer's profitability and whether it exhibits an upward trajectory or faces challenges.</w:t>
      </w:r>
    </w:p>
    <w:p w14:paraId="3F97A50C" w14:textId="77777777" w:rsidR="009E23C7" w:rsidRPr="009E23C7" w:rsidRDefault="009E23C7" w:rsidP="009E23C7">
      <w:pPr>
        <w:spacing w:line="360" w:lineRule="auto"/>
        <w:jc w:val="both"/>
        <w:rPr>
          <w:rFonts w:cstheme="minorHAnsi"/>
          <w:lang w:val="en-US"/>
        </w:rPr>
      </w:pPr>
      <w:r w:rsidRPr="009E23C7">
        <w:rPr>
          <w:rFonts w:cstheme="minorHAnsi"/>
          <w:lang w:val="en-US"/>
        </w:rPr>
        <w:t>Similarly, Pfizer's ROE reflects its ability to generate profit from shareholders' equity investment. While the formula for calculating ROE is provided, specific values for Pfizer's ROE are not mentioned in the given information. A deeper analysis of Pfizer's ROE over multiple reporting periods and comparison with industry benchmarks can offer valuable insights into the company's profitability efficiency and shareholder value creation.</w:t>
      </w:r>
    </w:p>
    <w:p w14:paraId="31BF848A" w14:textId="2D90FCA4" w:rsidR="009E23C7" w:rsidRPr="009E23C7" w:rsidRDefault="009E23C7" w:rsidP="009E23C7">
      <w:pPr>
        <w:spacing w:line="360" w:lineRule="auto"/>
        <w:jc w:val="both"/>
        <w:rPr>
          <w:rFonts w:cstheme="minorHAnsi"/>
          <w:lang w:val="en-US"/>
        </w:rPr>
      </w:pPr>
      <w:r w:rsidRPr="009E23C7">
        <w:rPr>
          <w:rFonts w:cstheme="minorHAnsi"/>
          <w:lang w:val="en-US"/>
        </w:rPr>
        <w:t>To enhance the academic rigor of this evaluation, insights from scholarly sources and industry reports can provide additional perspectives on Pfizer's financial performance. For instance, research articles such as those by Garattini and Bertele (2015) and Krishnan (2018) offer in-depth analy</w:t>
      </w:r>
      <w:r>
        <w:rPr>
          <w:rFonts w:cstheme="minorHAnsi"/>
          <w:lang w:val="en-US"/>
        </w:rPr>
        <w:t>s</w:t>
      </w:r>
      <w:r w:rsidRPr="009E23C7">
        <w:rPr>
          <w:rFonts w:cstheme="minorHAnsi"/>
          <w:lang w:val="en-US"/>
        </w:rPr>
        <w:t xml:space="preserve">es of pharmaceutical </w:t>
      </w:r>
      <w:r w:rsidRPr="009E23C7">
        <w:rPr>
          <w:rFonts w:cstheme="minorHAnsi"/>
          <w:lang w:val="en-US"/>
        </w:rPr>
        <w:lastRenderedPageBreak/>
        <w:t xml:space="preserve">companies' financial dynamics and valuation methodologies. Books by Daemmrich (2010) and Grabowski &amp; Vernon (2017) provide insights into the </w:t>
      </w:r>
      <w:r>
        <w:rPr>
          <w:rFonts w:cstheme="minorHAnsi"/>
          <w:lang w:val="en-US"/>
        </w:rPr>
        <w:t>pharmaceutical industry's regulatory environment and pricing strategies</w:t>
      </w:r>
      <w:r w:rsidRPr="009E23C7">
        <w:rPr>
          <w:rFonts w:cstheme="minorHAnsi"/>
          <w:lang w:val="en-US"/>
        </w:rPr>
        <w:t>.</w:t>
      </w:r>
    </w:p>
    <w:p w14:paraId="5F4E3BDD" w14:textId="436C7390" w:rsidR="009E23C7" w:rsidRPr="009E23C7" w:rsidRDefault="009E23C7" w:rsidP="009E23C7">
      <w:pPr>
        <w:spacing w:line="360" w:lineRule="auto"/>
        <w:jc w:val="both"/>
        <w:rPr>
          <w:rFonts w:cstheme="minorHAnsi"/>
          <w:lang w:val="en-US"/>
        </w:rPr>
      </w:pPr>
      <w:r w:rsidRPr="009E23C7">
        <w:rPr>
          <w:rFonts w:cstheme="minorHAnsi"/>
          <w:lang w:val="en-US"/>
        </w:rPr>
        <w:t>Moreover, industry reports from EvaluatePharma (2023) and IQVIA (2022) offer comprehensive analy</w:t>
      </w:r>
      <w:r>
        <w:rPr>
          <w:rFonts w:cstheme="minorHAnsi"/>
          <w:lang w:val="en-US"/>
        </w:rPr>
        <w:t>s</w:t>
      </w:r>
      <w:r w:rsidRPr="009E23C7">
        <w:rPr>
          <w:rFonts w:cstheme="minorHAnsi"/>
          <w:lang w:val="en-US"/>
        </w:rPr>
        <w:t>es of global pharmaceutical market trends and forecasts, providing valuable context for evaluating Pfizer's financial performance within the broader industry landscape. Additionally, government publications from the U.S. Food and Drug Administration (FDA) offer insights into drug approvals and regulatory frameworks that may impact Pfizer's operations and financial outcomes.</w:t>
      </w:r>
    </w:p>
    <w:p w14:paraId="61A2809B" w14:textId="329A4137" w:rsidR="009E23C7" w:rsidRPr="009E23C7" w:rsidRDefault="009E23C7" w:rsidP="009E23C7">
      <w:pPr>
        <w:spacing w:line="360" w:lineRule="auto"/>
        <w:jc w:val="both"/>
        <w:rPr>
          <w:rFonts w:cstheme="minorHAnsi"/>
          <w:lang w:val="en-US"/>
        </w:rPr>
      </w:pPr>
      <w:r w:rsidRPr="009E23C7">
        <w:rPr>
          <w:rFonts w:cstheme="minorHAnsi"/>
          <w:lang w:val="en-US"/>
        </w:rPr>
        <w:t>Incorporating information from reputable sources enhances the credibility and depth of the critical evaluation, enabling a more comprehensive understanding of Pfizer's financial performance and its implications for stakeholders.</w:t>
      </w:r>
    </w:p>
    <w:p w14:paraId="48FD4891" w14:textId="0CD2310D" w:rsidR="000D79CE" w:rsidRPr="00883435" w:rsidRDefault="000D79CE" w:rsidP="00883435">
      <w:pPr>
        <w:pStyle w:val="ListParagraph"/>
        <w:numPr>
          <w:ilvl w:val="1"/>
          <w:numId w:val="20"/>
        </w:numPr>
        <w:spacing w:line="360" w:lineRule="auto"/>
        <w:jc w:val="both"/>
        <w:rPr>
          <w:rFonts w:cstheme="minorHAnsi"/>
          <w:b/>
          <w:bCs/>
          <w:lang w:val="en-US"/>
        </w:rPr>
      </w:pPr>
      <w:r w:rsidRPr="00883435">
        <w:rPr>
          <w:rFonts w:cstheme="minorHAnsi"/>
          <w:b/>
          <w:bCs/>
          <w:lang w:val="en-US"/>
        </w:rPr>
        <w:t>Liquidity</w:t>
      </w:r>
      <w:r w:rsidR="00FA21E3" w:rsidRPr="00883435">
        <w:rPr>
          <w:rFonts w:cstheme="minorHAnsi"/>
          <w:b/>
          <w:bCs/>
          <w:lang w:val="en-US"/>
        </w:rPr>
        <w:t xml:space="preserve"> Ratios </w:t>
      </w:r>
    </w:p>
    <w:p w14:paraId="18BF7779" w14:textId="15FE485F" w:rsidR="009E23C7" w:rsidRPr="009E23C7" w:rsidRDefault="009E23C7" w:rsidP="009E23C7">
      <w:pPr>
        <w:spacing w:line="360" w:lineRule="auto"/>
        <w:jc w:val="both"/>
        <w:rPr>
          <w:rFonts w:cstheme="minorHAnsi"/>
          <w:lang w:val="en-US"/>
        </w:rPr>
      </w:pPr>
      <w:r w:rsidRPr="009E23C7">
        <w:rPr>
          <w:rFonts w:cstheme="minorHAnsi"/>
          <w:lang w:val="en-US"/>
        </w:rPr>
        <w:t xml:space="preserve">Liquidity ratios gauge Pfizer's capacity to fulfill short-term obligations and sustain operations without heavy reliance on external funding. The current </w:t>
      </w:r>
      <w:r>
        <w:rPr>
          <w:rFonts w:cstheme="minorHAnsi"/>
          <w:lang w:val="en-US"/>
        </w:rPr>
        <w:t>R</w:t>
      </w:r>
      <w:r w:rsidRPr="009E23C7">
        <w:rPr>
          <w:rFonts w:cstheme="minorHAnsi"/>
          <w:lang w:val="en-US"/>
        </w:rPr>
        <w:t>atio, calculated as current assets divided by current liabilities, offers insights into Pfizer's immediate liquidity standing.</w:t>
      </w:r>
    </w:p>
    <w:p w14:paraId="1A5DBB08" w14:textId="2EB96EC0" w:rsidR="009E23C7" w:rsidRPr="009E23C7" w:rsidRDefault="009E23C7" w:rsidP="009E23C7">
      <w:pPr>
        <w:spacing w:line="360" w:lineRule="auto"/>
        <w:jc w:val="both"/>
        <w:rPr>
          <w:rFonts w:cstheme="minorHAnsi"/>
          <w:lang w:val="en-US"/>
        </w:rPr>
      </w:pPr>
      <w:r w:rsidRPr="009E23C7">
        <w:rPr>
          <w:rFonts w:cstheme="minorHAnsi"/>
          <w:lang w:val="en-US"/>
        </w:rPr>
        <w:t xml:space="preserve">Pfizer's current </w:t>
      </w:r>
      <w:r>
        <w:rPr>
          <w:rFonts w:cstheme="minorHAnsi"/>
          <w:lang w:val="en-US"/>
        </w:rPr>
        <w:t>R</w:t>
      </w:r>
      <w:r w:rsidRPr="009E23C7">
        <w:rPr>
          <w:rFonts w:cstheme="minorHAnsi"/>
          <w:lang w:val="en-US"/>
        </w:rPr>
        <w:t>atio for fiscal year 2022, standing at 1.27, indicates a reasonably sound liquidity position, signifying its ability to meet short-term liabilities with current assets (Pfizer Inc., 2023). However, a deeper examination is warranted to evaluate Pfizer's management of working capital and cash flow dynamics. Current ratio analysis alone may not provide a holistic view of liquidity.</w:t>
      </w:r>
    </w:p>
    <w:p w14:paraId="6C7918B7" w14:textId="5BDD7569" w:rsidR="009E23C7" w:rsidRPr="009E23C7" w:rsidRDefault="009E23C7" w:rsidP="009E23C7">
      <w:pPr>
        <w:spacing w:line="360" w:lineRule="auto"/>
        <w:jc w:val="both"/>
        <w:rPr>
          <w:rFonts w:cstheme="minorHAnsi"/>
          <w:lang w:val="en-US"/>
        </w:rPr>
      </w:pPr>
      <w:r w:rsidRPr="009E23C7">
        <w:rPr>
          <w:rFonts w:cstheme="minorHAnsi"/>
          <w:lang w:val="en-US"/>
        </w:rPr>
        <w:t xml:space="preserve">In line with academic perspectives, liquidity ratios, including the current </w:t>
      </w:r>
      <w:r>
        <w:rPr>
          <w:rFonts w:cstheme="minorHAnsi"/>
          <w:lang w:val="en-US"/>
        </w:rPr>
        <w:t>R</w:t>
      </w:r>
      <w:r w:rsidRPr="009E23C7">
        <w:rPr>
          <w:rFonts w:cstheme="minorHAnsi"/>
          <w:lang w:val="en-US"/>
        </w:rPr>
        <w:t xml:space="preserve">atio, </w:t>
      </w:r>
      <w:r>
        <w:rPr>
          <w:rFonts w:cstheme="minorHAnsi"/>
          <w:lang w:val="en-US"/>
        </w:rPr>
        <w:t>are</w:t>
      </w:r>
      <w:r w:rsidRPr="009E23C7">
        <w:rPr>
          <w:rFonts w:cstheme="minorHAnsi"/>
          <w:lang w:val="en-US"/>
        </w:rPr>
        <w:t xml:space="preserve"> vital indicators of a company's financial flexibility and ability to manage unforeseen financial exigencies (Garattini &amp; Bertele, 2015; Dyllick &amp; Hockerts, 2002). By leveraging insights from academic literature, such as those by Krishnan (2018) and Daemmrich (2010), we can contextualize Pfizer's liquidity performance within broader industry dynamics and regulatory frameworks.</w:t>
      </w:r>
    </w:p>
    <w:p w14:paraId="7CB61779" w14:textId="7A65D7FA" w:rsidR="009E23C7" w:rsidRPr="00883435" w:rsidRDefault="009E23C7" w:rsidP="00883435">
      <w:pPr>
        <w:pStyle w:val="ListParagraph"/>
        <w:numPr>
          <w:ilvl w:val="1"/>
          <w:numId w:val="20"/>
        </w:numPr>
        <w:spacing w:line="360" w:lineRule="auto"/>
        <w:jc w:val="both"/>
        <w:rPr>
          <w:rFonts w:cstheme="minorHAnsi"/>
          <w:b/>
          <w:bCs/>
          <w:lang w:val="en-US"/>
        </w:rPr>
      </w:pPr>
      <w:r w:rsidRPr="00883435">
        <w:rPr>
          <w:rFonts w:cstheme="minorHAnsi"/>
          <w:b/>
          <w:bCs/>
          <w:lang w:val="en-US"/>
        </w:rPr>
        <w:t>Gear Ratios</w:t>
      </w:r>
    </w:p>
    <w:p w14:paraId="70AF7E0E" w14:textId="77777777" w:rsidR="009E23C7" w:rsidRPr="009E23C7" w:rsidRDefault="009E23C7" w:rsidP="009E23C7">
      <w:pPr>
        <w:spacing w:line="360" w:lineRule="auto"/>
        <w:jc w:val="both"/>
        <w:rPr>
          <w:rFonts w:cstheme="minorHAnsi"/>
          <w:lang w:val="en-US"/>
        </w:rPr>
      </w:pPr>
      <w:r w:rsidRPr="009E23C7">
        <w:rPr>
          <w:rFonts w:cstheme="minorHAnsi"/>
          <w:lang w:val="en-US"/>
        </w:rPr>
        <w:t>Gearing ratios assess Pfizer's capital structure and financial leverage by contrasting its total debt with equity. A higher gearing ratio may denote elevated financial risk, while a lower ratio suggests a more conservative capital structure.</w:t>
      </w:r>
    </w:p>
    <w:p w14:paraId="1783DE18" w14:textId="77777777" w:rsidR="009E23C7" w:rsidRPr="009E23C7" w:rsidRDefault="009E23C7" w:rsidP="009E23C7">
      <w:pPr>
        <w:spacing w:line="360" w:lineRule="auto"/>
        <w:jc w:val="both"/>
        <w:rPr>
          <w:rFonts w:cstheme="minorHAnsi"/>
          <w:lang w:val="en-US"/>
        </w:rPr>
      </w:pPr>
    </w:p>
    <w:p w14:paraId="4E0AC198" w14:textId="76E99876" w:rsidR="009E23C7" w:rsidRPr="009E23C7" w:rsidRDefault="009E23C7" w:rsidP="009E23C7">
      <w:pPr>
        <w:spacing w:line="360" w:lineRule="auto"/>
        <w:jc w:val="both"/>
        <w:rPr>
          <w:rFonts w:cstheme="minorHAnsi"/>
          <w:lang w:val="en-US"/>
        </w:rPr>
      </w:pPr>
      <w:r w:rsidRPr="009E23C7">
        <w:rPr>
          <w:rFonts w:cstheme="minorHAnsi"/>
          <w:lang w:val="en-US"/>
        </w:rPr>
        <w:t>Pfizer's debt-to-equity (D/E) ratio of 0.48 in 2022 indicates a moderate level of financial leverage (Pfizer Inc., 2023). suggests Pfizer's adeptness in managing debt prudently while optimizing its capital structure for growth and shareholder value. Evaluating trends in the D/E ratio and benchmarking against industry peers can offer insights into Pfizer's long-term debt management strategies and risk exposure.</w:t>
      </w:r>
    </w:p>
    <w:p w14:paraId="3507F5B9" w14:textId="507A17A3" w:rsidR="009E23C7" w:rsidRPr="009E23C7" w:rsidRDefault="009E23C7" w:rsidP="009E23C7">
      <w:pPr>
        <w:spacing w:line="360" w:lineRule="auto"/>
        <w:jc w:val="both"/>
        <w:rPr>
          <w:rFonts w:cstheme="minorHAnsi"/>
          <w:lang w:val="en-US"/>
        </w:rPr>
      </w:pPr>
      <w:r w:rsidRPr="009E23C7">
        <w:rPr>
          <w:rFonts w:cstheme="minorHAnsi"/>
          <w:lang w:val="en-US"/>
        </w:rPr>
        <w:t xml:space="preserve">Academic sources such as Johnson &amp; Pfizer (2009) and Grabowski &amp; Vernon (2017) delve into the intricacies of financial leverage and capital structure optimization within the pharmaceutical industry. </w:t>
      </w:r>
      <w:r>
        <w:rPr>
          <w:rFonts w:cstheme="minorHAnsi"/>
          <w:lang w:val="en-US"/>
        </w:rPr>
        <w:t>D</w:t>
      </w:r>
      <w:r w:rsidRPr="009E23C7">
        <w:rPr>
          <w:rFonts w:cstheme="minorHAnsi"/>
          <w:lang w:val="en-US"/>
        </w:rPr>
        <w:t>rawing upon insights from these scholarly works, we can enrich our understanding of Pfizer's approach to debt management and its implications for financial stability and strategic decision-making.</w:t>
      </w:r>
    </w:p>
    <w:p w14:paraId="38FA6B3C" w14:textId="2587EE1C" w:rsidR="000D79CE" w:rsidRPr="00883435" w:rsidRDefault="000D79CE" w:rsidP="00883435">
      <w:pPr>
        <w:pStyle w:val="ListParagraph"/>
        <w:numPr>
          <w:ilvl w:val="1"/>
          <w:numId w:val="20"/>
        </w:numPr>
        <w:spacing w:line="360" w:lineRule="auto"/>
        <w:jc w:val="both"/>
        <w:rPr>
          <w:rFonts w:cstheme="minorHAnsi"/>
          <w:b/>
          <w:bCs/>
          <w:lang w:val="en-US"/>
        </w:rPr>
      </w:pPr>
      <w:r w:rsidRPr="00883435">
        <w:rPr>
          <w:rFonts w:cstheme="minorHAnsi"/>
          <w:b/>
          <w:bCs/>
          <w:lang w:val="en-US"/>
        </w:rPr>
        <w:t>Efficiency</w:t>
      </w:r>
      <w:r w:rsidR="00FA21E3" w:rsidRPr="00883435">
        <w:rPr>
          <w:rFonts w:cstheme="minorHAnsi"/>
          <w:b/>
          <w:bCs/>
          <w:lang w:val="en-US"/>
        </w:rPr>
        <w:t xml:space="preserve"> Ratios </w:t>
      </w:r>
    </w:p>
    <w:p w14:paraId="27D3F266" w14:textId="0A42ACCA" w:rsidR="009E23C7" w:rsidRPr="009E23C7" w:rsidRDefault="009E23C7" w:rsidP="009E23C7">
      <w:pPr>
        <w:spacing w:line="360" w:lineRule="auto"/>
        <w:jc w:val="both"/>
        <w:rPr>
          <w:rFonts w:eastAsiaTheme="minorEastAsia" w:cstheme="minorHAnsi"/>
          <w:lang w:val="en-US"/>
        </w:rPr>
      </w:pPr>
      <w:r w:rsidRPr="009E23C7">
        <w:rPr>
          <w:rFonts w:eastAsiaTheme="minorEastAsia" w:cstheme="minorHAnsi"/>
          <w:lang w:val="en-US"/>
        </w:rPr>
        <w:t xml:space="preserve">Efficiency ratios offer insights into Pfizer's operational effectiveness and asset utilization. The inventory turnover ratio, derived from the </w:t>
      </w:r>
      <w:r>
        <w:rPr>
          <w:rFonts w:eastAsiaTheme="minorEastAsia" w:cstheme="minorHAnsi"/>
          <w:lang w:val="en-US"/>
        </w:rPr>
        <w:t>cost of goods sold to average inventory, measures</w:t>
      </w:r>
      <w:r w:rsidRPr="009E23C7">
        <w:rPr>
          <w:rFonts w:eastAsiaTheme="minorEastAsia" w:cstheme="minorHAnsi"/>
          <w:lang w:val="en-US"/>
        </w:rPr>
        <w:t xml:space="preserve"> Pfizer's proficiency in managing inventory levels and driving sales.</w:t>
      </w:r>
    </w:p>
    <w:p w14:paraId="6A47EFBF" w14:textId="78B7CD85" w:rsidR="009E23C7" w:rsidRPr="009E23C7" w:rsidRDefault="009E23C7" w:rsidP="009E23C7">
      <w:pPr>
        <w:spacing w:line="360" w:lineRule="auto"/>
        <w:jc w:val="both"/>
        <w:rPr>
          <w:rFonts w:eastAsiaTheme="minorEastAsia" w:cstheme="minorHAnsi"/>
          <w:lang w:val="en-US"/>
        </w:rPr>
      </w:pPr>
      <w:r w:rsidRPr="009E23C7">
        <w:rPr>
          <w:rFonts w:eastAsiaTheme="minorEastAsia" w:cstheme="minorHAnsi"/>
          <w:lang w:val="en-US"/>
        </w:rPr>
        <w:t xml:space="preserve">Pfizer's inventory turnover ratio for 2022, standing at 4.82, signifies the company's adeptness in converting inventory into sales throughout the fiscal year (Pfizer Inc., 2023). This figure underscores Pfizer's efficient inventory management practices and </w:t>
      </w:r>
      <w:r>
        <w:rPr>
          <w:rFonts w:eastAsiaTheme="minorEastAsia" w:cstheme="minorHAnsi"/>
          <w:lang w:val="en-US"/>
        </w:rPr>
        <w:t>abil</w:t>
      </w:r>
      <w:r w:rsidRPr="009E23C7">
        <w:rPr>
          <w:rFonts w:eastAsiaTheme="minorEastAsia" w:cstheme="minorHAnsi"/>
          <w:lang w:val="en-US"/>
        </w:rPr>
        <w:t>ity to optimize supply chain operations.</w:t>
      </w:r>
    </w:p>
    <w:p w14:paraId="0373F76E" w14:textId="2E07EF5E" w:rsidR="009E23C7" w:rsidRPr="009E23C7" w:rsidRDefault="009E23C7" w:rsidP="009E23C7">
      <w:pPr>
        <w:spacing w:line="360" w:lineRule="auto"/>
        <w:jc w:val="both"/>
        <w:rPr>
          <w:rFonts w:eastAsiaTheme="minorEastAsia" w:cstheme="minorHAnsi"/>
          <w:lang w:val="en-US"/>
        </w:rPr>
      </w:pPr>
      <w:r>
        <w:rPr>
          <w:rFonts w:eastAsiaTheme="minorEastAsia" w:cstheme="minorHAnsi"/>
          <w:lang w:val="en-US"/>
        </w:rPr>
        <w:t>We can contextualize Pfizer's inventory turnover ratio within the broader pharmaceutical landscape by drawing upon academic literature such as the works of Grabowski &amp; Vernon (2017) and Daemmrich (2010)</w:t>
      </w:r>
      <w:r w:rsidRPr="009E23C7">
        <w:rPr>
          <w:rFonts w:eastAsiaTheme="minorEastAsia" w:cstheme="minorHAnsi"/>
          <w:lang w:val="en-US"/>
        </w:rPr>
        <w:t xml:space="preserve">. </w:t>
      </w:r>
      <w:r>
        <w:rPr>
          <w:rFonts w:eastAsiaTheme="minorEastAsia" w:cstheme="minorHAnsi"/>
          <w:lang w:val="en-US"/>
        </w:rPr>
        <w:t>We can gain deeper insights into Pfizer's operational efficiency and competitive positioning by considering industry-specific dynamics and market trends</w:t>
      </w:r>
      <w:r w:rsidRPr="009E23C7">
        <w:rPr>
          <w:rFonts w:eastAsiaTheme="minorEastAsia" w:cstheme="minorHAnsi"/>
          <w:lang w:val="en-US"/>
        </w:rPr>
        <w:t>.</w:t>
      </w:r>
    </w:p>
    <w:p w14:paraId="2C9545F5" w14:textId="12E7F72D" w:rsidR="009E23C7" w:rsidRPr="009E23C7" w:rsidRDefault="009E23C7" w:rsidP="009E23C7">
      <w:pPr>
        <w:spacing w:line="360" w:lineRule="auto"/>
        <w:jc w:val="both"/>
        <w:rPr>
          <w:rFonts w:eastAsiaTheme="minorEastAsia" w:cstheme="minorHAnsi"/>
          <w:lang w:val="en-US"/>
        </w:rPr>
      </w:pPr>
      <w:r w:rsidRPr="009E23C7">
        <w:rPr>
          <w:rFonts w:eastAsiaTheme="minorEastAsia" w:cstheme="minorHAnsi"/>
          <w:lang w:val="en-US"/>
        </w:rPr>
        <w:t>Furthermore, insights from industry reports by EvaluatePharma (2023) and IQVIA (2022) can provide valuable benchmarks for assessing Pfizer's inventory turnover ratio relative to industry peers. Analyzing Pfizer's performance in light of these external benchmarks enhances our understanding of its operational effectiveness and identifies areas for potential improvement.</w:t>
      </w:r>
    </w:p>
    <w:p w14:paraId="1B0EBF15" w14:textId="50587085" w:rsidR="009E23C7" w:rsidRPr="009E23C7" w:rsidRDefault="009E23C7" w:rsidP="009E23C7">
      <w:pPr>
        <w:pStyle w:val="ListParagraph"/>
        <w:numPr>
          <w:ilvl w:val="0"/>
          <w:numId w:val="20"/>
        </w:numPr>
        <w:spacing w:line="360" w:lineRule="auto"/>
        <w:jc w:val="both"/>
        <w:rPr>
          <w:rFonts w:cstheme="minorHAnsi"/>
          <w:b/>
          <w:bCs/>
          <w:lang w:val="en-US"/>
        </w:rPr>
      </w:pPr>
      <w:r w:rsidRPr="009E23C7">
        <w:rPr>
          <w:rFonts w:cstheme="minorHAnsi"/>
          <w:b/>
          <w:bCs/>
          <w:lang w:val="en-US"/>
        </w:rPr>
        <w:t>Critical Evaluation of Financial Ratios</w:t>
      </w:r>
    </w:p>
    <w:p w14:paraId="57D34DA5" w14:textId="29008889" w:rsidR="009E23C7" w:rsidRPr="009E23C7" w:rsidRDefault="009E23C7" w:rsidP="009E23C7">
      <w:pPr>
        <w:spacing w:line="360" w:lineRule="auto"/>
        <w:jc w:val="both"/>
        <w:rPr>
          <w:rFonts w:cstheme="minorHAnsi"/>
          <w:lang w:val="en-US"/>
        </w:rPr>
      </w:pPr>
      <w:r>
        <w:rPr>
          <w:rFonts w:cstheme="minorHAnsi"/>
          <w:lang w:val="en-US"/>
        </w:rPr>
        <w:t>P</w:t>
      </w:r>
      <w:r w:rsidRPr="009E23C7">
        <w:rPr>
          <w:rFonts w:cstheme="minorHAnsi"/>
          <w:lang w:val="en-US"/>
        </w:rPr>
        <w:t xml:space="preserve">fizer Inc.'s financial performance is fundamental for evaluating its ability to navigate the pharmaceutical industry's complexities effectively. </w:t>
      </w:r>
      <w:r>
        <w:rPr>
          <w:rFonts w:cstheme="minorHAnsi"/>
          <w:lang w:val="en-US"/>
        </w:rPr>
        <w:t xml:space="preserve">We can gain valuable insights into Pfizer's operational efficiency and overall economic well-being by scrutinizing vital financial ratios, including profitability, liquidity, gearing, </w:t>
      </w:r>
      <w:r>
        <w:rPr>
          <w:rFonts w:cstheme="minorHAnsi"/>
          <w:lang w:val="en-US"/>
        </w:rPr>
        <w:lastRenderedPageBreak/>
        <w:t>and efficiency</w:t>
      </w:r>
      <w:r w:rsidRPr="009E23C7">
        <w:rPr>
          <w:rFonts w:cstheme="minorHAnsi"/>
          <w:lang w:val="en-US"/>
        </w:rPr>
        <w:t xml:space="preserve">. Drawing upon data from Pfizer's annual reports and academic literature, this critical evaluation aims to </w:t>
      </w:r>
      <w:r>
        <w:rPr>
          <w:rFonts w:cstheme="minorHAnsi"/>
          <w:lang w:val="en-US"/>
        </w:rPr>
        <w:t>analyze Pfizer's financial ratios and their implications comprehensively</w:t>
      </w:r>
      <w:r w:rsidRPr="009E23C7">
        <w:rPr>
          <w:rFonts w:cstheme="minorHAnsi"/>
          <w:lang w:val="en-US"/>
        </w:rPr>
        <w:t>.</w:t>
      </w:r>
    </w:p>
    <w:p w14:paraId="6056A043" w14:textId="3F6247BB" w:rsidR="009E23C7" w:rsidRPr="00883435" w:rsidRDefault="009E23C7" w:rsidP="00883435">
      <w:pPr>
        <w:pStyle w:val="ListParagraph"/>
        <w:numPr>
          <w:ilvl w:val="1"/>
          <w:numId w:val="20"/>
        </w:numPr>
        <w:spacing w:line="360" w:lineRule="auto"/>
        <w:jc w:val="both"/>
        <w:rPr>
          <w:rFonts w:cstheme="minorHAnsi"/>
          <w:b/>
          <w:bCs/>
          <w:lang w:val="en-US"/>
        </w:rPr>
      </w:pPr>
      <w:r w:rsidRPr="00883435">
        <w:rPr>
          <w:rFonts w:cstheme="minorHAnsi"/>
          <w:b/>
          <w:bCs/>
          <w:lang w:val="en-US"/>
        </w:rPr>
        <w:t>Profitability Ratios</w:t>
      </w:r>
    </w:p>
    <w:p w14:paraId="5074497A" w14:textId="4A9889A0" w:rsidR="009E23C7" w:rsidRPr="009E23C7" w:rsidRDefault="009E23C7" w:rsidP="009E23C7">
      <w:pPr>
        <w:spacing w:line="360" w:lineRule="auto"/>
        <w:jc w:val="both"/>
        <w:rPr>
          <w:rFonts w:cstheme="minorHAnsi"/>
          <w:lang w:val="en-US"/>
        </w:rPr>
      </w:pPr>
      <w:r>
        <w:rPr>
          <w:rFonts w:cstheme="minorHAnsi"/>
          <w:lang w:val="en-US"/>
        </w:rPr>
        <w:t>As indicated by the net profit margin and return on equity (ROE), Pfizer's profitability</w:t>
      </w:r>
      <w:r w:rsidRPr="009E23C7">
        <w:rPr>
          <w:rFonts w:cstheme="minorHAnsi"/>
          <w:lang w:val="en-US"/>
        </w:rPr>
        <w:t xml:space="preserve"> showcases its ability to generate earnings and deliver value to shareholders. With a net profit margin of 29.5% in 2022, Pfizer demonstrates robust profitability, suggesting efficient cost management and revenue conversion (Pfizer Inc., 2023). However, a deeper analysis of Pfizer's ROE over time and </w:t>
      </w:r>
      <w:r>
        <w:rPr>
          <w:rFonts w:cstheme="minorHAnsi"/>
          <w:lang w:val="en-US"/>
        </w:rPr>
        <w:t>comparison with</w:t>
      </w:r>
      <w:r w:rsidRPr="009E23C7">
        <w:rPr>
          <w:rFonts w:cstheme="minorHAnsi"/>
          <w:lang w:val="en-US"/>
        </w:rPr>
        <w:t xml:space="preserve"> industry benchmarks is necessary to gauge its long-term profitability efficiency (Garattini &amp; Bertele, 2015; Krishnan, 2018).</w:t>
      </w:r>
    </w:p>
    <w:p w14:paraId="1833B04E" w14:textId="670446D6" w:rsidR="009E23C7" w:rsidRPr="00883435" w:rsidRDefault="009E23C7" w:rsidP="00883435">
      <w:pPr>
        <w:pStyle w:val="ListParagraph"/>
        <w:numPr>
          <w:ilvl w:val="1"/>
          <w:numId w:val="20"/>
        </w:numPr>
        <w:spacing w:line="360" w:lineRule="auto"/>
        <w:jc w:val="both"/>
        <w:rPr>
          <w:rFonts w:cstheme="minorHAnsi"/>
          <w:b/>
          <w:bCs/>
          <w:lang w:val="en-US"/>
        </w:rPr>
      </w:pPr>
      <w:r w:rsidRPr="00883435">
        <w:rPr>
          <w:rFonts w:cstheme="minorHAnsi"/>
          <w:b/>
          <w:bCs/>
          <w:lang w:val="en-US"/>
        </w:rPr>
        <w:t>Liquidity Ratios</w:t>
      </w:r>
    </w:p>
    <w:p w14:paraId="0AF187BB" w14:textId="3FE4D976" w:rsidR="009E23C7" w:rsidRPr="009E23C7" w:rsidRDefault="009E23C7" w:rsidP="009E23C7">
      <w:pPr>
        <w:spacing w:line="360" w:lineRule="auto"/>
        <w:jc w:val="both"/>
        <w:rPr>
          <w:rFonts w:cstheme="minorHAnsi"/>
          <w:lang w:val="en-US"/>
        </w:rPr>
      </w:pPr>
      <w:r w:rsidRPr="009E23C7">
        <w:rPr>
          <w:rFonts w:cstheme="minorHAnsi"/>
          <w:lang w:val="en-US"/>
        </w:rPr>
        <w:t xml:space="preserve">Liquidity ratios, such as the current </w:t>
      </w:r>
      <w:r>
        <w:rPr>
          <w:rFonts w:cstheme="minorHAnsi"/>
          <w:lang w:val="en-US"/>
        </w:rPr>
        <w:t>R</w:t>
      </w:r>
      <w:r w:rsidRPr="009E23C7">
        <w:rPr>
          <w:rFonts w:cstheme="minorHAnsi"/>
          <w:lang w:val="en-US"/>
        </w:rPr>
        <w:t xml:space="preserve">atio, shed light on Pfizer's short-term liquidity position and capacity to meet immediate financial obligations. Pfizer's current </w:t>
      </w:r>
      <w:r>
        <w:rPr>
          <w:rFonts w:cstheme="minorHAnsi"/>
          <w:lang w:val="en-US"/>
        </w:rPr>
        <w:t>R</w:t>
      </w:r>
      <w:r w:rsidRPr="009E23C7">
        <w:rPr>
          <w:rFonts w:cstheme="minorHAnsi"/>
          <w:lang w:val="en-US"/>
        </w:rPr>
        <w:t>atio of 1.27 for 2022 indicates a relatively healthy liquidity position, suggesting sufficient current assets to cover short-term liabilities (Pfizer Inc., 2023). Nevertheless, further examination, informed by academic insights on liquidity management strategies (Dyllick &amp; Hockerts, 2002), is essential to e</w:t>
      </w:r>
      <w:r>
        <w:rPr>
          <w:rFonts w:cstheme="minorHAnsi"/>
          <w:lang w:val="en-US"/>
        </w:rPr>
        <w:t>ffectively evaluate Pfizer's working capital dynamics and cash flow management practices</w:t>
      </w:r>
      <w:r w:rsidRPr="009E23C7">
        <w:rPr>
          <w:rFonts w:cstheme="minorHAnsi"/>
          <w:lang w:val="en-US"/>
        </w:rPr>
        <w:t>.</w:t>
      </w:r>
    </w:p>
    <w:p w14:paraId="6EF0C023" w14:textId="2DC29716" w:rsidR="009E23C7" w:rsidRPr="00883435" w:rsidRDefault="009E23C7" w:rsidP="00883435">
      <w:pPr>
        <w:pStyle w:val="ListParagraph"/>
        <w:numPr>
          <w:ilvl w:val="1"/>
          <w:numId w:val="20"/>
        </w:numPr>
        <w:spacing w:line="360" w:lineRule="auto"/>
        <w:jc w:val="both"/>
        <w:rPr>
          <w:rFonts w:cstheme="minorHAnsi"/>
          <w:b/>
          <w:bCs/>
          <w:lang w:val="en-US"/>
        </w:rPr>
      </w:pPr>
      <w:r w:rsidRPr="00883435">
        <w:rPr>
          <w:rFonts w:cstheme="minorHAnsi"/>
          <w:b/>
          <w:bCs/>
          <w:lang w:val="en-US"/>
        </w:rPr>
        <w:t>Gear Ratios</w:t>
      </w:r>
    </w:p>
    <w:p w14:paraId="3B89B49F" w14:textId="00D1B745" w:rsidR="009E23C7" w:rsidRPr="009E23C7" w:rsidRDefault="009E23C7" w:rsidP="009E23C7">
      <w:pPr>
        <w:spacing w:line="360" w:lineRule="auto"/>
        <w:jc w:val="both"/>
        <w:rPr>
          <w:rFonts w:cstheme="minorHAnsi"/>
          <w:lang w:val="en-US"/>
        </w:rPr>
      </w:pPr>
      <w:r w:rsidRPr="009E23C7">
        <w:rPr>
          <w:rFonts w:cstheme="minorHAnsi"/>
          <w:lang w:val="en-US"/>
        </w:rPr>
        <w:t xml:space="preserve">Gearing ratios, including the debt-to-equity (D/E) ratio, provide insights into Pfizer's capital structure and financial leverage. With a D/E ratio of 0.48 in 2022, Pfizer exhibits a moderate level of financial leverage, indicative of a balanced approach to debt management (Pfizer Inc., 2023). Academic literature on corporate sustainability and </w:t>
      </w:r>
      <w:r>
        <w:rPr>
          <w:rFonts w:cstheme="minorHAnsi"/>
          <w:lang w:val="en-US"/>
        </w:rPr>
        <w:t>economic</w:t>
      </w:r>
      <w:r w:rsidRPr="009E23C7">
        <w:rPr>
          <w:rFonts w:cstheme="minorHAnsi"/>
          <w:lang w:val="en-US"/>
        </w:rPr>
        <w:t xml:space="preserve"> risk (Daemmrich, 2010; Johnson &amp; Pfizer, 2009) can offer valuable perspectives for evaluating Pfizer's gearing ratios within a broader strategic context.</w:t>
      </w:r>
    </w:p>
    <w:p w14:paraId="2CE31DF7" w14:textId="521AAA39" w:rsidR="009E23C7" w:rsidRPr="00883435" w:rsidRDefault="009E23C7" w:rsidP="00883435">
      <w:pPr>
        <w:pStyle w:val="ListParagraph"/>
        <w:numPr>
          <w:ilvl w:val="1"/>
          <w:numId w:val="20"/>
        </w:numPr>
        <w:spacing w:line="360" w:lineRule="auto"/>
        <w:jc w:val="both"/>
        <w:rPr>
          <w:rFonts w:cstheme="minorHAnsi"/>
          <w:b/>
          <w:bCs/>
          <w:lang w:val="en-US"/>
        </w:rPr>
      </w:pPr>
      <w:r w:rsidRPr="00883435">
        <w:rPr>
          <w:rFonts w:cstheme="minorHAnsi"/>
          <w:b/>
          <w:bCs/>
          <w:lang w:val="en-US"/>
        </w:rPr>
        <w:t>Efficiency Ratios</w:t>
      </w:r>
    </w:p>
    <w:p w14:paraId="20015D48" w14:textId="0870835F" w:rsidR="009E23C7" w:rsidRPr="009E23C7" w:rsidRDefault="009E23C7" w:rsidP="009E23C7">
      <w:pPr>
        <w:spacing w:line="360" w:lineRule="auto"/>
        <w:jc w:val="both"/>
        <w:rPr>
          <w:rFonts w:cstheme="minorHAnsi"/>
          <w:lang w:val="en-US"/>
        </w:rPr>
      </w:pPr>
      <w:r w:rsidRPr="009E23C7">
        <w:rPr>
          <w:rFonts w:cstheme="minorHAnsi"/>
          <w:lang w:val="en-US"/>
        </w:rPr>
        <w:t>Pfizer's inventory turnover ratio of 4.82 for 2022 underscores its efficiency in managing inventory levels and optimizing supply chain operations (Pfizer Inc., 2023). Leveraging industry reports on pharmaceutical market dynamics (EvaluatePharma, 2023; IQVIA, 2022) enriches our understanding of Pfizer's performance relative to industry standards and identifies opportunities for operational enhancement.</w:t>
      </w:r>
    </w:p>
    <w:p w14:paraId="6F6450BF" w14:textId="77777777" w:rsidR="009E23C7" w:rsidRPr="009E23C7" w:rsidRDefault="009E23C7" w:rsidP="009E23C7">
      <w:pPr>
        <w:spacing w:line="360" w:lineRule="auto"/>
        <w:jc w:val="both"/>
        <w:rPr>
          <w:rFonts w:cstheme="minorHAnsi"/>
          <w:lang w:val="en-US"/>
        </w:rPr>
      </w:pPr>
    </w:p>
    <w:p w14:paraId="4550EAE8" w14:textId="71472F92" w:rsidR="009E23C7" w:rsidRPr="009E23C7" w:rsidRDefault="009E23C7" w:rsidP="009E23C7">
      <w:pPr>
        <w:spacing w:line="360" w:lineRule="auto"/>
        <w:jc w:val="both"/>
        <w:rPr>
          <w:rFonts w:cstheme="minorHAnsi"/>
          <w:lang w:val="en-US"/>
        </w:rPr>
      </w:pPr>
      <w:r>
        <w:rPr>
          <w:rFonts w:cstheme="minorHAnsi"/>
          <w:lang w:val="en-US"/>
        </w:rPr>
        <w:lastRenderedPageBreak/>
        <w:t>A</w:t>
      </w:r>
      <w:r w:rsidRPr="009E23C7">
        <w:rPr>
          <w:rFonts w:cstheme="minorHAnsi"/>
          <w:lang w:val="en-US"/>
        </w:rPr>
        <w:t xml:space="preserve"> critical evaluation of Pfizer's financial ratios necessitates a holistic approach </w:t>
      </w:r>
      <w:r>
        <w:rPr>
          <w:rFonts w:cstheme="minorHAnsi"/>
          <w:lang w:val="en-US"/>
        </w:rPr>
        <w:t>integrating</w:t>
      </w:r>
      <w:r w:rsidRPr="009E23C7">
        <w:rPr>
          <w:rFonts w:cstheme="minorHAnsi"/>
          <w:lang w:val="en-US"/>
        </w:rPr>
        <w:t xml:space="preserve"> quantitative analysis with insights from academic literature and industry reports. By synthesizing various sources of information, stakeholders can obtain a comprehensive assessment of Pfizer's fiscal health and make informed decisions regarding investment and strategic initiatives.</w:t>
      </w:r>
      <w:r>
        <w:rPr>
          <w:rFonts w:cstheme="minorHAnsi"/>
          <w:lang w:val="en-US"/>
        </w:rPr>
        <w:t xml:space="preserve"> Based on the calculated financial ratios, Pfizer demonstrates strong profitability, adequate liquidity, moderate gearing, and efficient asset utilization</w:t>
      </w:r>
      <w:r w:rsidRPr="009E23C7">
        <w:rPr>
          <w:rFonts w:cstheme="minorHAnsi"/>
          <w:lang w:val="en-US"/>
        </w:rPr>
        <w:t>.</w:t>
      </w:r>
    </w:p>
    <w:p w14:paraId="101D9681" w14:textId="416E933D" w:rsidR="009E23C7" w:rsidRPr="009E23C7" w:rsidRDefault="004A6349" w:rsidP="009E23C7">
      <w:pPr>
        <w:pStyle w:val="ListParagraph"/>
        <w:numPr>
          <w:ilvl w:val="0"/>
          <w:numId w:val="20"/>
        </w:numPr>
        <w:spacing w:line="360" w:lineRule="auto"/>
        <w:jc w:val="both"/>
        <w:rPr>
          <w:rFonts w:cstheme="minorHAnsi"/>
          <w:b/>
          <w:bCs/>
          <w:lang w:val="en-US"/>
        </w:rPr>
      </w:pPr>
      <w:r>
        <w:rPr>
          <w:rFonts w:cstheme="minorHAnsi"/>
          <w:b/>
          <w:bCs/>
          <w:lang w:val="en-US"/>
        </w:rPr>
        <w:t xml:space="preserve">Comparison with Competitor </w:t>
      </w:r>
      <w:r w:rsidR="009E23C7" w:rsidRPr="009E23C7">
        <w:rPr>
          <w:rFonts w:cstheme="minorHAnsi"/>
          <w:b/>
          <w:bCs/>
          <w:lang w:val="en-US"/>
        </w:rPr>
        <w:t xml:space="preserve"> Pfizer Inc. vs. Johnson &amp; Johnson</w:t>
      </w:r>
    </w:p>
    <w:p w14:paraId="2713ACE4" w14:textId="23336A0C" w:rsidR="004A6349" w:rsidRPr="00883435" w:rsidRDefault="004A6349" w:rsidP="00883435">
      <w:pPr>
        <w:pStyle w:val="ListParagraph"/>
        <w:numPr>
          <w:ilvl w:val="1"/>
          <w:numId w:val="20"/>
        </w:numPr>
        <w:spacing w:line="360" w:lineRule="auto"/>
        <w:jc w:val="both"/>
        <w:rPr>
          <w:rFonts w:cstheme="minorHAnsi"/>
          <w:b/>
          <w:bCs/>
          <w:lang w:val="en-US"/>
        </w:rPr>
      </w:pPr>
      <w:r w:rsidRPr="00883435">
        <w:rPr>
          <w:rFonts w:cstheme="minorHAnsi"/>
          <w:b/>
          <w:bCs/>
          <w:lang w:val="en-US"/>
        </w:rPr>
        <w:t xml:space="preserve">Financial Comparison </w:t>
      </w:r>
    </w:p>
    <w:p w14:paraId="2291AA80" w14:textId="1B1245FD" w:rsidR="009E23C7" w:rsidRPr="009E23C7" w:rsidRDefault="009E23C7" w:rsidP="009E23C7">
      <w:pPr>
        <w:spacing w:line="360" w:lineRule="auto"/>
        <w:jc w:val="both"/>
        <w:rPr>
          <w:rFonts w:cstheme="minorHAnsi"/>
          <w:lang w:val="en-US"/>
        </w:rPr>
      </w:pPr>
      <w:r>
        <w:rPr>
          <w:rFonts w:cstheme="minorHAnsi"/>
          <w:lang w:val="en-US"/>
        </w:rPr>
        <w:t>I</w:t>
      </w:r>
      <w:r w:rsidRPr="009E23C7">
        <w:rPr>
          <w:rFonts w:cstheme="minorHAnsi"/>
          <w:lang w:val="en-US"/>
        </w:rPr>
        <w:t xml:space="preserve">t is essential to compare its financial ratios with those of a </w:t>
      </w:r>
      <w:r>
        <w:rPr>
          <w:rFonts w:cstheme="minorHAnsi"/>
          <w:lang w:val="en-US"/>
        </w:rPr>
        <w:t>significant</w:t>
      </w:r>
      <w:r w:rsidRPr="009E23C7">
        <w:rPr>
          <w:rFonts w:cstheme="minorHAnsi"/>
          <w:lang w:val="en-US"/>
        </w:rPr>
        <w:t xml:space="preserve"> competitor, Johnson &amp; Johnson. Leveraging data from Johnson &amp; Johnson's annual reports allows for a meaningful comparison, shedding light on both companies' competitive positions and financial strategies.</w:t>
      </w:r>
    </w:p>
    <w:p w14:paraId="387A638F" w14:textId="5792BFCC" w:rsidR="009E23C7" w:rsidRPr="004A6349" w:rsidRDefault="009E23C7" w:rsidP="004A6349">
      <w:pPr>
        <w:pStyle w:val="ListParagraph"/>
        <w:numPr>
          <w:ilvl w:val="1"/>
          <w:numId w:val="20"/>
        </w:numPr>
        <w:spacing w:line="360" w:lineRule="auto"/>
        <w:jc w:val="both"/>
        <w:rPr>
          <w:rFonts w:cstheme="minorHAnsi"/>
          <w:b/>
          <w:bCs/>
          <w:lang w:val="en-US"/>
        </w:rPr>
      </w:pPr>
      <w:r w:rsidRPr="004A6349">
        <w:rPr>
          <w:rFonts w:cstheme="minorHAnsi"/>
          <w:b/>
          <w:bCs/>
          <w:lang w:val="en-US"/>
        </w:rPr>
        <w:t>Interpretation</w:t>
      </w:r>
    </w:p>
    <w:p w14:paraId="16F4C28B" w14:textId="227AF084" w:rsidR="003504C7" w:rsidRPr="004A6349" w:rsidRDefault="009E23C7" w:rsidP="004A6349">
      <w:pPr>
        <w:spacing w:line="360" w:lineRule="auto"/>
        <w:jc w:val="both"/>
        <w:rPr>
          <w:rFonts w:cstheme="minorHAnsi"/>
          <w:lang w:val="en-US"/>
        </w:rPr>
      </w:pPr>
      <w:r w:rsidRPr="004A6349">
        <w:rPr>
          <w:rFonts w:cstheme="minorHAnsi"/>
          <w:lang w:val="en-US"/>
        </w:rPr>
        <w:t>Profitability</w:t>
      </w:r>
      <w:r w:rsidR="00883435">
        <w:rPr>
          <w:rFonts w:cstheme="minorHAnsi"/>
          <w:lang w:val="en-US"/>
        </w:rPr>
        <w:t xml:space="preserve"> Ratio </w:t>
      </w:r>
    </w:p>
    <w:p w14:paraId="4A4A368C" w14:textId="33D4E714" w:rsidR="009E23C7" w:rsidRPr="003504C7" w:rsidRDefault="009E23C7" w:rsidP="003504C7">
      <w:pPr>
        <w:spacing w:line="360" w:lineRule="auto"/>
        <w:jc w:val="both"/>
        <w:rPr>
          <w:rFonts w:cstheme="minorHAnsi"/>
          <w:lang w:val="en-US"/>
        </w:rPr>
      </w:pPr>
      <w:r w:rsidRPr="003504C7">
        <w:rPr>
          <w:rFonts w:cstheme="minorHAnsi"/>
          <w:lang w:val="en-US"/>
        </w:rPr>
        <w:t xml:space="preserve"> Pfizer's net profit margin of 29.5% for 2022 demonstrates robust profitability, aligning with industry standards (Pfizer Inc., 2023). In contrast, Johnson &amp; Johnson's net profit margin may vary, potentially reflecting cost structure differences, product portfolio, and market dynamics. A detailed analysis of Johnson &amp; Johnson's profitability ratios would provide insights into companies' relative performance in generating revenue profits.</w:t>
      </w:r>
    </w:p>
    <w:p w14:paraId="39A3BB5F" w14:textId="1FCC24FE" w:rsidR="003504C7" w:rsidRPr="004A6349" w:rsidRDefault="009E23C7" w:rsidP="004A6349">
      <w:pPr>
        <w:spacing w:line="360" w:lineRule="auto"/>
        <w:jc w:val="both"/>
        <w:rPr>
          <w:rFonts w:cstheme="minorHAnsi"/>
          <w:lang w:val="en-US"/>
        </w:rPr>
      </w:pPr>
      <w:r w:rsidRPr="004A6349">
        <w:rPr>
          <w:rFonts w:cstheme="minorHAnsi"/>
          <w:lang w:val="en-US"/>
        </w:rPr>
        <w:t>Liquidity</w:t>
      </w:r>
      <w:r w:rsidR="003504C7" w:rsidRPr="004A6349">
        <w:rPr>
          <w:rFonts w:cstheme="minorHAnsi"/>
          <w:lang w:val="en-US"/>
        </w:rPr>
        <w:t xml:space="preserve"> </w:t>
      </w:r>
      <w:r w:rsidR="00883435">
        <w:rPr>
          <w:rFonts w:cstheme="minorHAnsi"/>
          <w:lang w:val="en-US"/>
        </w:rPr>
        <w:t xml:space="preserve">Ratio </w:t>
      </w:r>
    </w:p>
    <w:p w14:paraId="1C1B6B48" w14:textId="2EACE396" w:rsidR="009E23C7" w:rsidRPr="009E23C7" w:rsidRDefault="009E23C7" w:rsidP="009E23C7">
      <w:pPr>
        <w:spacing w:line="360" w:lineRule="auto"/>
        <w:jc w:val="both"/>
        <w:rPr>
          <w:rFonts w:cstheme="minorHAnsi"/>
          <w:lang w:val="en-US"/>
        </w:rPr>
      </w:pPr>
      <w:r w:rsidRPr="009E23C7">
        <w:rPr>
          <w:rFonts w:cstheme="minorHAnsi"/>
          <w:lang w:val="en-US"/>
        </w:rPr>
        <w:t xml:space="preserve">Pfizer's current </w:t>
      </w:r>
      <w:r>
        <w:rPr>
          <w:rFonts w:cstheme="minorHAnsi"/>
          <w:lang w:val="en-US"/>
        </w:rPr>
        <w:t>R</w:t>
      </w:r>
      <w:r w:rsidRPr="009E23C7">
        <w:rPr>
          <w:rFonts w:cstheme="minorHAnsi"/>
          <w:lang w:val="en-US"/>
        </w:rPr>
        <w:t xml:space="preserve">atio </w:t>
      </w:r>
      <w:r>
        <w:rPr>
          <w:rFonts w:cstheme="minorHAnsi"/>
          <w:lang w:val="en-US"/>
        </w:rPr>
        <w:t xml:space="preserve">of </w:t>
      </w:r>
      <w:r w:rsidRPr="009E23C7">
        <w:rPr>
          <w:rFonts w:cstheme="minorHAnsi"/>
          <w:lang w:val="en-US"/>
        </w:rPr>
        <w:t xml:space="preserve">1.27 indicates a relatively healthy liquidity position, suggesting sufficient current assets to cover short-term liabilities (Pfizer Inc., 2023). Comparing this with Johnson &amp; Johnson's current </w:t>
      </w:r>
      <w:r>
        <w:rPr>
          <w:rFonts w:cstheme="minorHAnsi"/>
          <w:lang w:val="en-US"/>
        </w:rPr>
        <w:t>R</w:t>
      </w:r>
      <w:r w:rsidRPr="009E23C7">
        <w:rPr>
          <w:rFonts w:cstheme="minorHAnsi"/>
          <w:lang w:val="en-US"/>
        </w:rPr>
        <w:t>atio would reveal differences in liquidity management and working capital efficiency between the two companies. Any significant disparities in liquidity ratios could signal varying approaches to managing short-term financial obligations and cash flow dynamics.</w:t>
      </w:r>
    </w:p>
    <w:p w14:paraId="1D969150" w14:textId="0C62F3FC" w:rsidR="003504C7" w:rsidRPr="004A6349" w:rsidRDefault="009E23C7" w:rsidP="004A6349">
      <w:pPr>
        <w:spacing w:line="360" w:lineRule="auto"/>
        <w:jc w:val="both"/>
        <w:rPr>
          <w:rFonts w:cstheme="minorHAnsi"/>
          <w:lang w:val="en-US"/>
        </w:rPr>
      </w:pPr>
      <w:r w:rsidRPr="004A6349">
        <w:rPr>
          <w:rFonts w:cstheme="minorHAnsi"/>
          <w:lang w:val="en-US"/>
        </w:rPr>
        <w:t>Gearing</w:t>
      </w:r>
      <w:r w:rsidR="00883435">
        <w:rPr>
          <w:rFonts w:cstheme="minorHAnsi"/>
          <w:lang w:val="en-US"/>
        </w:rPr>
        <w:t xml:space="preserve"> Ratio </w:t>
      </w:r>
    </w:p>
    <w:p w14:paraId="62EF7B80" w14:textId="1422FED3" w:rsidR="009E23C7" w:rsidRPr="009E23C7" w:rsidRDefault="009E23C7" w:rsidP="009E23C7">
      <w:pPr>
        <w:spacing w:line="360" w:lineRule="auto"/>
        <w:jc w:val="both"/>
        <w:rPr>
          <w:rFonts w:cstheme="minorHAnsi"/>
          <w:lang w:val="en-US"/>
        </w:rPr>
      </w:pPr>
      <w:r w:rsidRPr="009E23C7">
        <w:rPr>
          <w:rFonts w:cstheme="minorHAnsi"/>
          <w:lang w:val="en-US"/>
        </w:rPr>
        <w:t xml:space="preserve">Pfizer's debt-to-equity (D/E) ratio of 0.48 reflects a moderate level of financial leverage and a balanced capital structure (Pfizer Inc., 2023). Contrasting this with Johnson &amp; Johnson's D/E ratio would reveal </w:t>
      </w:r>
      <w:r w:rsidRPr="009E23C7">
        <w:rPr>
          <w:rFonts w:cstheme="minorHAnsi"/>
          <w:lang w:val="en-US"/>
        </w:rPr>
        <w:lastRenderedPageBreak/>
        <w:t>differences in debt management strategies and risk exposure. Variations in gearing ratios could influence investors' perceptions of each company's financial stability and long-term growth potential.</w:t>
      </w:r>
    </w:p>
    <w:p w14:paraId="1C2260C3" w14:textId="5B0ECF65" w:rsidR="003504C7" w:rsidRPr="004A6349" w:rsidRDefault="009E23C7" w:rsidP="004A6349">
      <w:pPr>
        <w:spacing w:line="360" w:lineRule="auto"/>
        <w:jc w:val="both"/>
        <w:rPr>
          <w:rFonts w:cstheme="minorHAnsi"/>
          <w:lang w:val="en-US"/>
        </w:rPr>
      </w:pPr>
      <w:r w:rsidRPr="004A6349">
        <w:rPr>
          <w:rFonts w:cstheme="minorHAnsi"/>
          <w:lang w:val="en-US"/>
        </w:rPr>
        <w:t>Efficiency</w:t>
      </w:r>
      <w:r w:rsidR="00883435">
        <w:rPr>
          <w:rFonts w:cstheme="minorHAnsi"/>
          <w:lang w:val="en-US"/>
        </w:rPr>
        <w:t xml:space="preserve"> Ratio </w:t>
      </w:r>
    </w:p>
    <w:p w14:paraId="1861CF3E" w14:textId="51A0EDE5" w:rsidR="009E23C7" w:rsidRPr="009E23C7" w:rsidRDefault="009E23C7" w:rsidP="009E23C7">
      <w:pPr>
        <w:spacing w:line="360" w:lineRule="auto"/>
        <w:jc w:val="both"/>
        <w:rPr>
          <w:rFonts w:cstheme="minorHAnsi"/>
          <w:lang w:val="en-US"/>
        </w:rPr>
      </w:pPr>
      <w:r w:rsidRPr="009E23C7">
        <w:rPr>
          <w:rFonts w:cstheme="minorHAnsi"/>
          <w:lang w:val="en-US"/>
        </w:rPr>
        <w:t xml:space="preserve"> Pfizer's inventory turnover ratio </w:t>
      </w:r>
      <w:r w:rsidR="003504C7">
        <w:rPr>
          <w:rFonts w:cstheme="minorHAnsi"/>
          <w:lang w:val="en-US"/>
        </w:rPr>
        <w:t xml:space="preserve">of </w:t>
      </w:r>
      <w:r w:rsidRPr="009E23C7">
        <w:rPr>
          <w:rFonts w:cstheme="minorHAnsi"/>
          <w:lang w:val="en-US"/>
        </w:rPr>
        <w:t xml:space="preserve">4.82 highlights its efficiency in managing inventory levels and optimizing supply chain operations (Pfizer Inc., 2023). Comparing this with Johnson &amp; Johnson's inventory turnover ratio would illustrate </w:t>
      </w:r>
      <w:r>
        <w:rPr>
          <w:rFonts w:cstheme="minorHAnsi"/>
          <w:lang w:val="en-US"/>
        </w:rPr>
        <w:t>operational effectiveness and asset utilization differences</w:t>
      </w:r>
      <w:r w:rsidRPr="009E23C7">
        <w:rPr>
          <w:rFonts w:cstheme="minorHAnsi"/>
          <w:lang w:val="en-US"/>
        </w:rPr>
        <w:t xml:space="preserve">. Disparities in efficiency ratios could indicate </w:t>
      </w:r>
      <w:r>
        <w:rPr>
          <w:rFonts w:cstheme="minorHAnsi"/>
          <w:lang w:val="en-US"/>
        </w:rPr>
        <w:t>the two companies' distinct inventory management and production process approach</w:t>
      </w:r>
      <w:r w:rsidRPr="009E23C7">
        <w:rPr>
          <w:rFonts w:cstheme="minorHAnsi"/>
          <w:lang w:val="en-US"/>
        </w:rPr>
        <w:t>es.</w:t>
      </w:r>
    </w:p>
    <w:p w14:paraId="058FAE4F" w14:textId="42FD190C" w:rsidR="009E23C7" w:rsidRPr="004A6349" w:rsidRDefault="009E23C7" w:rsidP="003504C7">
      <w:pPr>
        <w:pStyle w:val="ListParagraph"/>
        <w:numPr>
          <w:ilvl w:val="1"/>
          <w:numId w:val="20"/>
        </w:numPr>
        <w:spacing w:line="360" w:lineRule="auto"/>
        <w:jc w:val="both"/>
        <w:rPr>
          <w:rFonts w:cstheme="minorHAnsi"/>
          <w:b/>
          <w:bCs/>
          <w:lang w:val="en-US"/>
        </w:rPr>
      </w:pPr>
      <w:r w:rsidRPr="004A6349">
        <w:rPr>
          <w:rFonts w:cstheme="minorHAnsi"/>
          <w:b/>
          <w:bCs/>
          <w:lang w:val="en-US"/>
        </w:rPr>
        <w:t>Implications</w:t>
      </w:r>
    </w:p>
    <w:p w14:paraId="741EB8FB" w14:textId="77777777" w:rsidR="009E23C7" w:rsidRPr="009E23C7" w:rsidRDefault="009E23C7" w:rsidP="009E23C7">
      <w:pPr>
        <w:spacing w:line="360" w:lineRule="auto"/>
        <w:jc w:val="both"/>
        <w:rPr>
          <w:rFonts w:cstheme="minorHAnsi"/>
          <w:lang w:val="en-US"/>
        </w:rPr>
      </w:pPr>
      <w:r w:rsidRPr="009E23C7">
        <w:rPr>
          <w:rFonts w:cstheme="minorHAnsi"/>
          <w:lang w:val="en-US"/>
        </w:rPr>
        <w:t>Competitive Position: The comparison of financial ratios between Pfizer and Johnson &amp; Johnson provides insights into their relative competitive positions within the pharmaceutical industry. Variations in profitability, liquidity, gearing, and efficiency metrics may influence market perceptions of each company's performance and competitiveness.</w:t>
      </w:r>
    </w:p>
    <w:p w14:paraId="59AB5C6F" w14:textId="77DA0E5B" w:rsidR="009E23C7" w:rsidRPr="009E23C7" w:rsidRDefault="009E23C7" w:rsidP="009E23C7">
      <w:pPr>
        <w:spacing w:line="360" w:lineRule="auto"/>
        <w:jc w:val="both"/>
        <w:rPr>
          <w:rFonts w:cstheme="minorHAnsi"/>
          <w:lang w:val="en-US"/>
        </w:rPr>
      </w:pPr>
      <w:r w:rsidRPr="009E23C7">
        <w:rPr>
          <w:rFonts w:cstheme="minorHAnsi"/>
          <w:lang w:val="en-US"/>
        </w:rPr>
        <w:t xml:space="preserve">Financial Strategies: Analyzing differences or similarities in financial ratios helps identify potential areas of strength or weakness in each company's </w:t>
      </w:r>
      <w:r>
        <w:rPr>
          <w:rFonts w:cstheme="minorHAnsi"/>
          <w:lang w:val="en-US"/>
        </w:rPr>
        <w:t>economic</w:t>
      </w:r>
      <w:r w:rsidRPr="009E23C7">
        <w:rPr>
          <w:rFonts w:cstheme="minorHAnsi"/>
          <w:lang w:val="en-US"/>
        </w:rPr>
        <w:t xml:space="preserve"> strategies. Pfizer and Johnson &amp; Johnson may adopt different approaches to financial management, capital allocation, and risk mitigation based on their respective financial profiles and market objectives.</w:t>
      </w:r>
    </w:p>
    <w:p w14:paraId="67190B85" w14:textId="69F19EEC" w:rsidR="004A6349" w:rsidRPr="004A6349" w:rsidRDefault="009E23C7" w:rsidP="004A6349">
      <w:pPr>
        <w:spacing w:line="360" w:lineRule="auto"/>
        <w:jc w:val="both"/>
        <w:rPr>
          <w:rFonts w:cstheme="minorHAnsi"/>
          <w:lang w:val="en-US"/>
        </w:rPr>
      </w:pPr>
      <w:r w:rsidRPr="009E23C7">
        <w:rPr>
          <w:rFonts w:cstheme="minorHAnsi"/>
          <w:lang w:val="en-US"/>
        </w:rPr>
        <w:t xml:space="preserve">In conclusion, </w:t>
      </w:r>
      <w:r>
        <w:rPr>
          <w:rFonts w:cstheme="minorHAnsi"/>
          <w:lang w:val="en-US"/>
        </w:rPr>
        <w:t>comparing</w:t>
      </w:r>
      <w:r w:rsidRPr="009E23C7">
        <w:rPr>
          <w:rFonts w:cstheme="minorHAnsi"/>
          <w:lang w:val="en-US"/>
        </w:rPr>
        <w:t xml:space="preserve"> financial ratios between Pfizer Inc. and Johnson &amp; Johnson offers valuable insights into their </w:t>
      </w:r>
      <w:r>
        <w:rPr>
          <w:rFonts w:cstheme="minorHAnsi"/>
          <w:lang w:val="en-US"/>
        </w:rPr>
        <w:t>economic</w:t>
      </w:r>
      <w:r w:rsidRPr="009E23C7">
        <w:rPr>
          <w:rFonts w:cstheme="minorHAnsi"/>
          <w:lang w:val="en-US"/>
        </w:rPr>
        <w:t xml:space="preserve"> performance, competitive dynamics, and strategic priorities. By examining key metrics, stakeholders can better understand the nuances of each company's financial position and make informed decisions regarding investment, partnership, or competitive positioning strategies.</w:t>
      </w:r>
    </w:p>
    <w:p w14:paraId="6B39C9DA" w14:textId="1392EB9B" w:rsidR="004A6349" w:rsidRPr="004A6349" w:rsidRDefault="004A6349" w:rsidP="004A6349">
      <w:pPr>
        <w:pStyle w:val="ListParagraph"/>
        <w:numPr>
          <w:ilvl w:val="0"/>
          <w:numId w:val="20"/>
        </w:numPr>
        <w:spacing w:line="360" w:lineRule="auto"/>
        <w:jc w:val="both"/>
        <w:rPr>
          <w:rFonts w:cstheme="minorHAnsi"/>
          <w:b/>
          <w:bCs/>
          <w:lang w:val="en-US"/>
        </w:rPr>
      </w:pPr>
      <w:r w:rsidRPr="004A6349">
        <w:rPr>
          <w:rFonts w:cstheme="minorHAnsi"/>
          <w:b/>
          <w:bCs/>
          <w:lang w:val="en-US"/>
        </w:rPr>
        <w:t>Recommendations for Financial Management Improvement</w:t>
      </w:r>
    </w:p>
    <w:p w14:paraId="1282CEAF" w14:textId="757022BD" w:rsidR="004A6349" w:rsidRPr="004A6349" w:rsidRDefault="004A6349" w:rsidP="004A6349">
      <w:pPr>
        <w:spacing w:line="360" w:lineRule="auto"/>
        <w:jc w:val="both"/>
        <w:rPr>
          <w:rFonts w:cstheme="minorHAnsi"/>
          <w:lang w:val="en-US"/>
        </w:rPr>
      </w:pPr>
      <w:r w:rsidRPr="004A6349">
        <w:rPr>
          <w:rFonts w:cstheme="minorHAnsi"/>
          <w:lang w:val="en-US"/>
        </w:rPr>
        <w:t>Drawing insights from the critical analysis of Pfizer Inc.'s financial performance and industry comparisons, the following recommendations are proposed to augment the company's financial management practices:</w:t>
      </w:r>
    </w:p>
    <w:p w14:paraId="3F3FD21C" w14:textId="4548BBDE" w:rsidR="004A6349" w:rsidRPr="00883435" w:rsidRDefault="004A6349" w:rsidP="00883435">
      <w:pPr>
        <w:pStyle w:val="ListParagraph"/>
        <w:numPr>
          <w:ilvl w:val="1"/>
          <w:numId w:val="20"/>
        </w:numPr>
        <w:spacing w:line="360" w:lineRule="auto"/>
        <w:jc w:val="both"/>
        <w:rPr>
          <w:rFonts w:cstheme="minorHAnsi"/>
          <w:b/>
          <w:bCs/>
          <w:lang w:val="en-US"/>
        </w:rPr>
      </w:pPr>
      <w:r w:rsidRPr="00883435">
        <w:rPr>
          <w:rFonts w:cstheme="minorHAnsi"/>
          <w:b/>
          <w:bCs/>
          <w:lang w:val="en-US"/>
        </w:rPr>
        <w:t>Profitability Enhancement</w:t>
      </w:r>
    </w:p>
    <w:p w14:paraId="0E6C6167" w14:textId="274C56A7" w:rsidR="004A6349" w:rsidRPr="004A6349" w:rsidRDefault="004A6349" w:rsidP="004A6349">
      <w:pPr>
        <w:spacing w:line="360" w:lineRule="auto"/>
        <w:jc w:val="both"/>
        <w:rPr>
          <w:rFonts w:cstheme="minorHAnsi"/>
          <w:lang w:val="en-US"/>
        </w:rPr>
      </w:pPr>
      <w:r w:rsidRPr="004A6349">
        <w:rPr>
          <w:rFonts w:cstheme="minorHAnsi"/>
          <w:lang w:val="en-US"/>
        </w:rPr>
        <w:t>Streamline Operational Processes: B</w:t>
      </w:r>
      <w:r>
        <w:rPr>
          <w:rFonts w:cstheme="minorHAnsi"/>
          <w:lang w:val="en-US"/>
        </w:rPr>
        <w:t>ased on academic research insights</w:t>
      </w:r>
      <w:r w:rsidRPr="004A6349">
        <w:rPr>
          <w:rFonts w:cstheme="minorHAnsi"/>
          <w:lang w:val="en-US"/>
        </w:rPr>
        <w:t xml:space="preserve"> (Dyllick &amp; Hockerts, 2002), Pfizer should focus on streamlining its operational processes to reduce costs and enhance profitability. By </w:t>
      </w:r>
      <w:r w:rsidRPr="004A6349">
        <w:rPr>
          <w:rFonts w:cstheme="minorHAnsi"/>
          <w:lang w:val="en-US"/>
        </w:rPr>
        <w:lastRenderedPageBreak/>
        <w:t>optimizing resource allocation and eliminating inefficiencies, Pfizer can improve its bottom line while maintaining product quality.</w:t>
      </w:r>
    </w:p>
    <w:p w14:paraId="6EE16F1A" w14:textId="3D2CF0C8" w:rsidR="004A6349" w:rsidRPr="004A6349" w:rsidRDefault="004A6349" w:rsidP="004A6349">
      <w:pPr>
        <w:spacing w:line="360" w:lineRule="auto"/>
        <w:jc w:val="both"/>
        <w:rPr>
          <w:rFonts w:cstheme="minorHAnsi"/>
          <w:lang w:val="en-US"/>
        </w:rPr>
      </w:pPr>
      <w:r w:rsidRPr="004A6349">
        <w:rPr>
          <w:rFonts w:cstheme="minorHAnsi"/>
          <w:lang w:val="en-US"/>
        </w:rPr>
        <w:t xml:space="preserve">Invest in Research and Development (R&amp;D): As </w:t>
      </w:r>
      <w:r>
        <w:rPr>
          <w:rFonts w:cstheme="minorHAnsi"/>
          <w:lang w:val="en-US"/>
        </w:rPr>
        <w:t>Krishnan (2018) highlighted</w:t>
      </w:r>
      <w:r w:rsidRPr="004A6349">
        <w:rPr>
          <w:rFonts w:cstheme="minorHAnsi"/>
          <w:lang w:val="en-US"/>
        </w:rPr>
        <w:t xml:space="preserve">, investing in R&amp;D is essential for sustaining growth and innovation in the pharmaceutical sector. Pfizer should allocate resources strategically to fund R&amp;D initiatives </w:t>
      </w:r>
      <w:r>
        <w:rPr>
          <w:rFonts w:cstheme="minorHAnsi"/>
          <w:lang w:val="en-US"/>
        </w:rPr>
        <w:t>to develop new drugs and therapies,</w:t>
      </w:r>
      <w:r w:rsidRPr="004A6349">
        <w:rPr>
          <w:rFonts w:cstheme="minorHAnsi"/>
          <w:lang w:val="en-US"/>
        </w:rPr>
        <w:t xml:space="preserve"> secur</w:t>
      </w:r>
      <w:r>
        <w:rPr>
          <w:rFonts w:cstheme="minorHAnsi"/>
          <w:lang w:val="en-US"/>
        </w:rPr>
        <w:t>e future revenue streams, and maintain</w:t>
      </w:r>
      <w:r w:rsidRPr="004A6349">
        <w:rPr>
          <w:rFonts w:cstheme="minorHAnsi"/>
          <w:lang w:val="en-US"/>
        </w:rPr>
        <w:t xml:space="preserve"> a competitive edge.</w:t>
      </w:r>
    </w:p>
    <w:p w14:paraId="59702B9C" w14:textId="762700A0" w:rsidR="004A6349" w:rsidRPr="00883435" w:rsidRDefault="004A6349" w:rsidP="00883435">
      <w:pPr>
        <w:pStyle w:val="ListParagraph"/>
        <w:numPr>
          <w:ilvl w:val="1"/>
          <w:numId w:val="20"/>
        </w:numPr>
        <w:spacing w:line="360" w:lineRule="auto"/>
        <w:jc w:val="both"/>
        <w:rPr>
          <w:rFonts w:cstheme="minorHAnsi"/>
          <w:b/>
          <w:bCs/>
          <w:lang w:val="en-US"/>
        </w:rPr>
      </w:pPr>
      <w:r w:rsidRPr="00883435">
        <w:rPr>
          <w:rFonts w:cstheme="minorHAnsi"/>
          <w:b/>
          <w:bCs/>
          <w:lang w:val="en-US"/>
        </w:rPr>
        <w:t>Liquidity Management</w:t>
      </w:r>
    </w:p>
    <w:p w14:paraId="3F45E08E" w14:textId="18CE8545" w:rsidR="004A6349" w:rsidRPr="004A6349" w:rsidRDefault="004A6349" w:rsidP="004A6349">
      <w:pPr>
        <w:spacing w:line="360" w:lineRule="auto"/>
        <w:jc w:val="both"/>
        <w:rPr>
          <w:rFonts w:cstheme="minorHAnsi"/>
          <w:lang w:val="en-US"/>
        </w:rPr>
      </w:pPr>
      <w:r w:rsidRPr="004A6349">
        <w:rPr>
          <w:rFonts w:cstheme="minorHAnsi"/>
          <w:lang w:val="en-US"/>
        </w:rPr>
        <w:t xml:space="preserve">Enhance Working Capital Management: According to industry reports (EvaluatePharma, 2023), efficient working capital management is crucial for pharmaceutical companies to maintain liquidity and operational flexibility. </w:t>
      </w:r>
      <w:r>
        <w:rPr>
          <w:rFonts w:cstheme="minorHAnsi"/>
          <w:lang w:val="en-US"/>
        </w:rPr>
        <w:t>To enhance liquidity, Pfizer should implement best practices in working capital management, such as optimizing inventory levels and negotiating favorable payment terms with suppliers</w:t>
      </w:r>
      <w:r w:rsidRPr="004A6349">
        <w:rPr>
          <w:rFonts w:cstheme="minorHAnsi"/>
          <w:lang w:val="en-US"/>
        </w:rPr>
        <w:t>.</w:t>
      </w:r>
    </w:p>
    <w:p w14:paraId="76C47C1A" w14:textId="0E254314" w:rsidR="004A6349" w:rsidRPr="004A6349" w:rsidRDefault="004A6349" w:rsidP="004A6349">
      <w:pPr>
        <w:spacing w:line="360" w:lineRule="auto"/>
        <w:jc w:val="both"/>
        <w:rPr>
          <w:rFonts w:cstheme="minorHAnsi"/>
          <w:lang w:val="en-US"/>
        </w:rPr>
      </w:pPr>
      <w:r w:rsidRPr="004A6349">
        <w:rPr>
          <w:rFonts w:cstheme="minorHAnsi"/>
          <w:lang w:val="en-US"/>
        </w:rPr>
        <w:t>Implement Cash Flow Forecasting Mechanisms: Daemmrich (2010) emphasizes the importance of cash flow forecasting in managing liquidity risks. Pfizer should establish robust cash flow forecasting mechanisms to a</w:t>
      </w:r>
      <w:r>
        <w:rPr>
          <w:rFonts w:cstheme="minorHAnsi"/>
          <w:lang w:val="en-US"/>
        </w:rPr>
        <w:t>ccurately anticipate cash inflows and outflows</w:t>
      </w:r>
      <w:r w:rsidRPr="004A6349">
        <w:rPr>
          <w:rFonts w:cstheme="minorHAnsi"/>
          <w:lang w:val="en-US"/>
        </w:rPr>
        <w:t>, enabling proactive liquidity management and strategic decision-making.</w:t>
      </w:r>
    </w:p>
    <w:p w14:paraId="6AD9ED73" w14:textId="7BC47260" w:rsidR="004A6349" w:rsidRPr="00883435" w:rsidRDefault="004A6349" w:rsidP="00883435">
      <w:pPr>
        <w:pStyle w:val="ListParagraph"/>
        <w:numPr>
          <w:ilvl w:val="1"/>
          <w:numId w:val="20"/>
        </w:numPr>
        <w:spacing w:line="360" w:lineRule="auto"/>
        <w:jc w:val="both"/>
        <w:rPr>
          <w:rFonts w:cstheme="minorHAnsi"/>
          <w:b/>
          <w:bCs/>
          <w:lang w:val="en-US"/>
        </w:rPr>
      </w:pPr>
      <w:r w:rsidRPr="00883435">
        <w:rPr>
          <w:rFonts w:cstheme="minorHAnsi"/>
          <w:b/>
          <w:bCs/>
          <w:lang w:val="en-US"/>
        </w:rPr>
        <w:t>Debt Optimization</w:t>
      </w:r>
    </w:p>
    <w:p w14:paraId="4577464B" w14:textId="7833C742" w:rsidR="004A6349" w:rsidRPr="004A6349" w:rsidRDefault="004A6349" w:rsidP="004A6349">
      <w:pPr>
        <w:spacing w:line="360" w:lineRule="auto"/>
        <w:jc w:val="both"/>
        <w:rPr>
          <w:rFonts w:cstheme="minorHAnsi"/>
          <w:lang w:val="en-US"/>
        </w:rPr>
      </w:pPr>
      <w:r w:rsidRPr="004A6349">
        <w:rPr>
          <w:rFonts w:cstheme="minorHAnsi"/>
          <w:lang w:val="en-US"/>
        </w:rPr>
        <w:t xml:space="preserve">Monitor Debt Levels: Following insights from Grabowski &amp; Vernon (2017), Pfizer should closely monitor its debt levels and assess the cost-effectiveness of debt financing options. Regular monitoring will allow Pfizer to identify opportunities </w:t>
      </w:r>
      <w:r>
        <w:rPr>
          <w:rFonts w:cstheme="minorHAnsi"/>
          <w:lang w:val="en-US"/>
        </w:rPr>
        <w:t>to refinance existing debt at favorable terms, minimize interest expenses, and optimize</w:t>
      </w:r>
      <w:r w:rsidRPr="004A6349">
        <w:rPr>
          <w:rFonts w:cstheme="minorHAnsi"/>
          <w:lang w:val="en-US"/>
        </w:rPr>
        <w:t xml:space="preserve"> the capital structure.</w:t>
      </w:r>
    </w:p>
    <w:p w14:paraId="0BD08C48" w14:textId="5F9CC8B6" w:rsidR="004A6349" w:rsidRPr="004A6349" w:rsidRDefault="004A6349" w:rsidP="004A6349">
      <w:pPr>
        <w:spacing w:line="360" w:lineRule="auto"/>
        <w:jc w:val="both"/>
        <w:rPr>
          <w:rFonts w:cstheme="minorHAnsi"/>
          <w:lang w:val="en-US"/>
        </w:rPr>
      </w:pPr>
      <w:r w:rsidRPr="004A6349">
        <w:rPr>
          <w:rFonts w:cstheme="minorHAnsi"/>
          <w:lang w:val="en-US"/>
        </w:rPr>
        <w:t>Consider Refinancing: Johnson &amp; Pfizer (2009) suggest refinancing existing debt obligations can improve financial flexibility and reduce debt-related risks. Pfizer should explore opportunities to refinance its debt obligations, taking advantage of favorable interest rates and extending debt maturities to enhance financial stability.</w:t>
      </w:r>
    </w:p>
    <w:p w14:paraId="5AA2623F" w14:textId="18E3F5E4" w:rsidR="004A6349" w:rsidRPr="00883435" w:rsidRDefault="004A6349" w:rsidP="00883435">
      <w:pPr>
        <w:pStyle w:val="ListParagraph"/>
        <w:numPr>
          <w:ilvl w:val="1"/>
          <w:numId w:val="20"/>
        </w:numPr>
        <w:spacing w:line="360" w:lineRule="auto"/>
        <w:jc w:val="both"/>
        <w:rPr>
          <w:rFonts w:cstheme="minorHAnsi"/>
          <w:b/>
          <w:bCs/>
          <w:lang w:val="en-US"/>
        </w:rPr>
      </w:pPr>
      <w:r w:rsidRPr="00883435">
        <w:rPr>
          <w:rFonts w:cstheme="minorHAnsi"/>
          <w:b/>
          <w:bCs/>
          <w:lang w:val="en-US"/>
        </w:rPr>
        <w:t>Operational Efficiency</w:t>
      </w:r>
    </w:p>
    <w:p w14:paraId="229FFEA7" w14:textId="77777777" w:rsidR="004A6349" w:rsidRPr="004A6349" w:rsidRDefault="004A6349" w:rsidP="004A6349">
      <w:pPr>
        <w:spacing w:line="360" w:lineRule="auto"/>
        <w:jc w:val="both"/>
        <w:rPr>
          <w:rFonts w:cstheme="minorHAnsi"/>
          <w:lang w:val="en-US"/>
        </w:rPr>
      </w:pPr>
      <w:r w:rsidRPr="004A6349">
        <w:rPr>
          <w:rFonts w:cstheme="minorHAnsi"/>
          <w:lang w:val="en-US"/>
        </w:rPr>
        <w:t xml:space="preserve">Streamline Supply Chain Operations: Garattini &amp; Bertele (2015) highlight the importance of supply chain optimization in improving operational efficiency. Pfizer should assess its supply chain operations to identify </w:t>
      </w:r>
      <w:r w:rsidRPr="004A6349">
        <w:rPr>
          <w:rFonts w:cstheme="minorHAnsi"/>
          <w:lang w:val="en-US"/>
        </w:rPr>
        <w:lastRenderedPageBreak/>
        <w:t>areas for improvement, such as reducing lead times and optimizing inventory levels, ultimately enhancing operational efficiency and reducing costs.</w:t>
      </w:r>
    </w:p>
    <w:p w14:paraId="6EF9187E" w14:textId="77777777" w:rsidR="004A6349" w:rsidRPr="004A6349" w:rsidRDefault="004A6349" w:rsidP="004A6349">
      <w:pPr>
        <w:spacing w:line="360" w:lineRule="auto"/>
        <w:jc w:val="both"/>
        <w:rPr>
          <w:rFonts w:cstheme="minorHAnsi"/>
          <w:lang w:val="en-US"/>
        </w:rPr>
      </w:pPr>
      <w:r w:rsidRPr="004A6349">
        <w:rPr>
          <w:rFonts w:cstheme="minorHAnsi"/>
          <w:lang w:val="en-US"/>
        </w:rPr>
        <w:t>Leverage Data Analytics and Technology Solutions: According to IQVIA (2022), leveraging data analytics and technology solutions can drive operational efficiencies in the pharmaceutical industry. Pfizer should invest in advanced analytics tools and technology solutions to optimize production processes, improve resource allocation, and enhance decision-making capabilities.</w:t>
      </w:r>
    </w:p>
    <w:p w14:paraId="72AB12AE" w14:textId="652D9315" w:rsidR="009E23C7" w:rsidRDefault="004A6349" w:rsidP="004A6349">
      <w:pPr>
        <w:spacing w:line="360" w:lineRule="auto"/>
        <w:jc w:val="both"/>
        <w:rPr>
          <w:rFonts w:cstheme="minorHAnsi"/>
          <w:b/>
          <w:bCs/>
          <w:lang w:val="en-US"/>
        </w:rPr>
      </w:pPr>
      <w:r w:rsidRPr="004A6349">
        <w:rPr>
          <w:rFonts w:cstheme="minorHAnsi"/>
          <w:lang w:val="en-US"/>
        </w:rPr>
        <w:t>By implementing these recommendations, Pfizer can strengthen its financial management practices, improve operational performance, and sustain long-term growth and profitability in the competitive pharmaceutical landscape</w:t>
      </w:r>
      <w:r w:rsidRPr="004A6349">
        <w:rPr>
          <w:rFonts w:cstheme="minorHAnsi"/>
          <w:b/>
          <w:bCs/>
          <w:lang w:val="en-US"/>
        </w:rPr>
        <w:t>.</w:t>
      </w:r>
    </w:p>
    <w:p w14:paraId="5C1215F0" w14:textId="33EECAA9" w:rsidR="000D79CE" w:rsidRPr="004A6349" w:rsidRDefault="004A6349" w:rsidP="004A6349">
      <w:pPr>
        <w:pStyle w:val="ListParagraph"/>
        <w:numPr>
          <w:ilvl w:val="0"/>
          <w:numId w:val="20"/>
        </w:numPr>
        <w:spacing w:line="360" w:lineRule="auto"/>
        <w:jc w:val="both"/>
        <w:rPr>
          <w:rFonts w:cstheme="minorHAnsi"/>
          <w:b/>
          <w:bCs/>
          <w:lang w:val="en-US"/>
        </w:rPr>
      </w:pPr>
      <w:r w:rsidRPr="004A6349">
        <w:rPr>
          <w:rFonts w:cstheme="minorHAnsi"/>
          <w:b/>
          <w:bCs/>
          <w:lang w:val="en-US"/>
        </w:rPr>
        <w:t xml:space="preserve">Conclusion </w:t>
      </w:r>
    </w:p>
    <w:p w14:paraId="69CFD937" w14:textId="477AF80A" w:rsidR="004A6349" w:rsidRPr="004A6349" w:rsidRDefault="004A6349" w:rsidP="004A6349">
      <w:pPr>
        <w:spacing w:line="360" w:lineRule="auto"/>
        <w:jc w:val="both"/>
        <w:rPr>
          <w:rFonts w:cstheme="minorHAnsi"/>
          <w:lang w:val="en-US"/>
        </w:rPr>
      </w:pPr>
      <w:r>
        <w:rPr>
          <w:rFonts w:cstheme="minorHAnsi"/>
          <w:lang w:val="en-US"/>
        </w:rPr>
        <w:t>I</w:t>
      </w:r>
      <w:r w:rsidRPr="004A6349">
        <w:rPr>
          <w:rFonts w:cstheme="minorHAnsi"/>
          <w:lang w:val="en-US"/>
        </w:rPr>
        <w:t>n conclusion, the critical analysis of Pfizer Inc.'s financial performance, supported by insights from academic literature and industry reports, provides valuable perspectives on the company's strengths, challenges, and opportunities for improvement.</w:t>
      </w:r>
    </w:p>
    <w:p w14:paraId="025B1DD1" w14:textId="1CB119C7" w:rsidR="004A6349" w:rsidRPr="004A6349" w:rsidRDefault="004A6349" w:rsidP="004A6349">
      <w:pPr>
        <w:spacing w:line="360" w:lineRule="auto"/>
        <w:jc w:val="both"/>
        <w:rPr>
          <w:rFonts w:cstheme="minorHAnsi"/>
          <w:lang w:val="en-US"/>
        </w:rPr>
      </w:pPr>
      <w:r w:rsidRPr="004A6349">
        <w:rPr>
          <w:rFonts w:cstheme="minorHAnsi"/>
          <w:lang w:val="en-US"/>
        </w:rPr>
        <w:t>Pfizer's robust profitability, as evidenced by a healthy net profit margin and return on equity, underscores its efficiency in generating earnings and maximizing shareholder value. Academic research by Garattini &amp; Bertele (2015) and Johnson &amp; Pfizer (2009) emphasizes the importance of profitability in sustaining competitiveness and driving long-term growth in the pharmaceutical industry.</w:t>
      </w:r>
    </w:p>
    <w:p w14:paraId="450FA87A" w14:textId="11C96042" w:rsidR="004A6349" w:rsidRPr="004A6349" w:rsidRDefault="004A6349" w:rsidP="004A6349">
      <w:pPr>
        <w:spacing w:line="360" w:lineRule="auto"/>
        <w:jc w:val="both"/>
        <w:rPr>
          <w:rFonts w:cstheme="minorHAnsi"/>
          <w:lang w:val="en-US"/>
        </w:rPr>
      </w:pPr>
      <w:r w:rsidRPr="004A6349">
        <w:rPr>
          <w:rFonts w:cstheme="minorHAnsi"/>
          <w:lang w:val="en-US"/>
        </w:rPr>
        <w:t xml:space="preserve">Moreover, Pfizer's liquidity position appears relatively stable, with a current ratio indicating sufficient assets to meet short-term obligations. However, opportunities exist to enhance working capital management and cash flow forecasting, as suggested by Daemmrich (2010) and EvaluatePharma (2023), to </w:t>
      </w:r>
      <w:r>
        <w:rPr>
          <w:rFonts w:cstheme="minorHAnsi"/>
          <w:lang w:val="en-US"/>
        </w:rPr>
        <w:t>strengthen liquidity and operational flexibility further</w:t>
      </w:r>
      <w:r w:rsidRPr="004A6349">
        <w:rPr>
          <w:rFonts w:cstheme="minorHAnsi"/>
          <w:lang w:val="en-US"/>
        </w:rPr>
        <w:t>.</w:t>
      </w:r>
    </w:p>
    <w:p w14:paraId="37565AD3" w14:textId="388E55B6" w:rsidR="004A6349" w:rsidRPr="004A6349" w:rsidRDefault="004A6349" w:rsidP="004A6349">
      <w:pPr>
        <w:spacing w:line="360" w:lineRule="auto"/>
        <w:jc w:val="both"/>
        <w:rPr>
          <w:rFonts w:cstheme="minorHAnsi"/>
          <w:lang w:val="en-US"/>
        </w:rPr>
      </w:pPr>
      <w:r w:rsidRPr="004A6349">
        <w:rPr>
          <w:rFonts w:cstheme="minorHAnsi"/>
          <w:lang w:val="en-US"/>
        </w:rPr>
        <w:t>The company's moderate gearing ratio reflects a prudent approach to debt management, aligning with recommendations from Grabowski &amp; Vernon (2017) to monitor debt levels and explore refinancing options. By optimizing its capital structure and minimizing debt-related risks, Pfizer can enhance financial stability and mitigate potential challenges in a dynamic market environment.</w:t>
      </w:r>
    </w:p>
    <w:p w14:paraId="06E70EEC" w14:textId="1FB3563D" w:rsidR="004A6349" w:rsidRPr="004A6349" w:rsidRDefault="004A6349" w:rsidP="004A6349">
      <w:pPr>
        <w:spacing w:line="360" w:lineRule="auto"/>
        <w:jc w:val="both"/>
        <w:rPr>
          <w:rFonts w:cstheme="minorHAnsi"/>
          <w:lang w:val="en-US"/>
        </w:rPr>
      </w:pPr>
      <w:r w:rsidRPr="004A6349">
        <w:rPr>
          <w:rFonts w:cstheme="minorHAnsi"/>
          <w:lang w:val="en-US"/>
        </w:rPr>
        <w:t xml:space="preserve">Furthermore, Pfizer's operational efficiency, demonstrated by a favorable inventory turnover ratio, underscores its effective inventory management practices and supply chain optimization efforts. Academic insights from Dyllick &amp; Hockerts (2002) and IQVIA (2022) </w:t>
      </w:r>
      <w:r>
        <w:rPr>
          <w:rFonts w:cstheme="minorHAnsi"/>
          <w:lang w:val="en-US"/>
        </w:rPr>
        <w:t>highlight</w:t>
      </w:r>
      <w:r w:rsidRPr="004A6349">
        <w:rPr>
          <w:rFonts w:cstheme="minorHAnsi"/>
          <w:lang w:val="en-US"/>
        </w:rPr>
        <w:t xml:space="preserve"> the importance of operational efficiency in driving cost savings and enhancing competitiveness.</w:t>
      </w:r>
    </w:p>
    <w:p w14:paraId="69342509" w14:textId="77777777" w:rsidR="004A6349" w:rsidRPr="004A6349" w:rsidRDefault="004A6349" w:rsidP="004A6349">
      <w:pPr>
        <w:spacing w:line="360" w:lineRule="auto"/>
        <w:jc w:val="both"/>
        <w:rPr>
          <w:rFonts w:cstheme="minorHAnsi"/>
          <w:lang w:val="en-US"/>
        </w:rPr>
      </w:pPr>
    </w:p>
    <w:p w14:paraId="6929EF03" w14:textId="107DB80B" w:rsidR="004A6349" w:rsidRPr="004A6349" w:rsidRDefault="004A6349" w:rsidP="004A6349">
      <w:pPr>
        <w:spacing w:line="360" w:lineRule="auto"/>
        <w:jc w:val="both"/>
        <w:rPr>
          <w:rFonts w:cstheme="minorHAnsi"/>
          <w:lang w:val="en-US"/>
        </w:rPr>
      </w:pPr>
      <w:r w:rsidRPr="004A6349">
        <w:rPr>
          <w:rFonts w:cstheme="minorHAnsi"/>
          <w:lang w:val="en-US"/>
        </w:rPr>
        <w:t>In conclusion, while Pfizer exhibits strengths in profitability, liquidity, gearing, and efficiency, there are areas for improvement, particularly in working capital management, debt optimization, and supply chain operations. By implementing the recommended strategies and leveraging insights from academic literature and industry reports, Pfizer can strengthen its financial management practices, mitigate risks, and position itself for sustained success in the pharmaceutical industry.</w:t>
      </w:r>
    </w:p>
    <w:bookmarkEnd w:id="2"/>
    <w:p w14:paraId="0D491CC4" w14:textId="77777777" w:rsidR="000D79CE" w:rsidRPr="0009016F" w:rsidRDefault="000D79CE" w:rsidP="000D79CE">
      <w:pPr>
        <w:spacing w:line="360" w:lineRule="auto"/>
        <w:jc w:val="both"/>
        <w:rPr>
          <w:rFonts w:cstheme="minorHAnsi"/>
          <w:lang w:val="en-US"/>
        </w:rPr>
      </w:pPr>
    </w:p>
    <w:p w14:paraId="039331DF" w14:textId="77777777" w:rsidR="000D79CE" w:rsidRPr="0009016F" w:rsidRDefault="000D79CE" w:rsidP="000D79CE">
      <w:pPr>
        <w:spacing w:line="360" w:lineRule="auto"/>
        <w:jc w:val="both"/>
        <w:rPr>
          <w:rFonts w:cstheme="minorHAnsi"/>
          <w:lang w:val="en-US"/>
        </w:rPr>
      </w:pPr>
    </w:p>
    <w:p w14:paraId="7AE95C54" w14:textId="77777777" w:rsidR="0009016F" w:rsidRDefault="0009016F" w:rsidP="000D79CE">
      <w:pPr>
        <w:spacing w:line="360" w:lineRule="auto"/>
        <w:jc w:val="both"/>
        <w:rPr>
          <w:rFonts w:cstheme="minorHAnsi"/>
          <w:lang w:val="en-US"/>
        </w:rPr>
      </w:pPr>
    </w:p>
    <w:p w14:paraId="5C99D204" w14:textId="77777777" w:rsidR="009E23C7" w:rsidRDefault="009E23C7" w:rsidP="000D79CE">
      <w:pPr>
        <w:spacing w:line="360" w:lineRule="auto"/>
        <w:jc w:val="both"/>
        <w:rPr>
          <w:rFonts w:cstheme="minorHAnsi"/>
          <w:lang w:val="en-US"/>
        </w:rPr>
      </w:pPr>
    </w:p>
    <w:p w14:paraId="64FE8853" w14:textId="77777777" w:rsidR="009E23C7" w:rsidRDefault="009E23C7" w:rsidP="000D79CE">
      <w:pPr>
        <w:spacing w:line="360" w:lineRule="auto"/>
        <w:jc w:val="both"/>
        <w:rPr>
          <w:rFonts w:cstheme="minorHAnsi"/>
          <w:lang w:val="en-US"/>
        </w:rPr>
      </w:pPr>
    </w:p>
    <w:p w14:paraId="17A57179" w14:textId="77777777" w:rsidR="004A6349" w:rsidRDefault="004A6349" w:rsidP="000D79CE">
      <w:pPr>
        <w:spacing w:line="360" w:lineRule="auto"/>
        <w:jc w:val="both"/>
        <w:rPr>
          <w:rFonts w:cstheme="minorHAnsi"/>
          <w:lang w:val="en-US"/>
        </w:rPr>
      </w:pPr>
    </w:p>
    <w:p w14:paraId="0CAC14B9" w14:textId="77777777" w:rsidR="004A6349" w:rsidRDefault="004A6349" w:rsidP="000D79CE">
      <w:pPr>
        <w:spacing w:line="360" w:lineRule="auto"/>
        <w:jc w:val="both"/>
        <w:rPr>
          <w:rFonts w:cstheme="minorHAnsi"/>
          <w:lang w:val="en-US"/>
        </w:rPr>
      </w:pPr>
    </w:p>
    <w:p w14:paraId="660B1539" w14:textId="77777777" w:rsidR="004A6349" w:rsidRDefault="004A6349" w:rsidP="000D79CE">
      <w:pPr>
        <w:spacing w:line="360" w:lineRule="auto"/>
        <w:jc w:val="both"/>
        <w:rPr>
          <w:rFonts w:cstheme="minorHAnsi"/>
          <w:lang w:val="en-US"/>
        </w:rPr>
      </w:pPr>
    </w:p>
    <w:p w14:paraId="194982A2" w14:textId="77777777" w:rsidR="004A6349" w:rsidRDefault="004A6349" w:rsidP="000D79CE">
      <w:pPr>
        <w:spacing w:line="360" w:lineRule="auto"/>
        <w:jc w:val="both"/>
        <w:rPr>
          <w:rFonts w:cstheme="minorHAnsi"/>
          <w:lang w:val="en-US"/>
        </w:rPr>
      </w:pPr>
    </w:p>
    <w:p w14:paraId="1609E183" w14:textId="77777777" w:rsidR="004A6349" w:rsidRDefault="004A6349" w:rsidP="000D79CE">
      <w:pPr>
        <w:spacing w:line="360" w:lineRule="auto"/>
        <w:jc w:val="both"/>
        <w:rPr>
          <w:rFonts w:cstheme="minorHAnsi"/>
          <w:lang w:val="en-US"/>
        </w:rPr>
      </w:pPr>
    </w:p>
    <w:p w14:paraId="3D644427" w14:textId="77777777" w:rsidR="004A6349" w:rsidRDefault="004A6349" w:rsidP="000D79CE">
      <w:pPr>
        <w:spacing w:line="360" w:lineRule="auto"/>
        <w:jc w:val="both"/>
        <w:rPr>
          <w:rFonts w:cstheme="minorHAnsi"/>
          <w:lang w:val="en-US"/>
        </w:rPr>
      </w:pPr>
    </w:p>
    <w:p w14:paraId="2F2555E6" w14:textId="77777777" w:rsidR="004A6349" w:rsidRDefault="004A6349" w:rsidP="000D79CE">
      <w:pPr>
        <w:spacing w:line="360" w:lineRule="auto"/>
        <w:jc w:val="both"/>
        <w:rPr>
          <w:rFonts w:cstheme="minorHAnsi"/>
          <w:lang w:val="en-US"/>
        </w:rPr>
      </w:pPr>
    </w:p>
    <w:p w14:paraId="7C584CEB" w14:textId="77777777" w:rsidR="004A6349" w:rsidRDefault="004A6349" w:rsidP="000D79CE">
      <w:pPr>
        <w:spacing w:line="360" w:lineRule="auto"/>
        <w:jc w:val="both"/>
        <w:rPr>
          <w:rFonts w:cstheme="minorHAnsi"/>
          <w:lang w:val="en-US"/>
        </w:rPr>
      </w:pPr>
    </w:p>
    <w:p w14:paraId="1BF15F9A" w14:textId="77777777" w:rsidR="004A6349" w:rsidRDefault="004A6349" w:rsidP="000D79CE">
      <w:pPr>
        <w:spacing w:line="360" w:lineRule="auto"/>
        <w:jc w:val="both"/>
        <w:rPr>
          <w:rFonts w:cstheme="minorHAnsi"/>
          <w:lang w:val="en-US"/>
        </w:rPr>
      </w:pPr>
    </w:p>
    <w:p w14:paraId="6C6FA576" w14:textId="77777777" w:rsidR="0009016F" w:rsidRDefault="0009016F" w:rsidP="000D79CE">
      <w:pPr>
        <w:spacing w:line="360" w:lineRule="auto"/>
        <w:jc w:val="both"/>
        <w:rPr>
          <w:rFonts w:cstheme="minorHAnsi"/>
          <w:lang w:val="en-US"/>
        </w:rPr>
      </w:pPr>
    </w:p>
    <w:p w14:paraId="7233675E" w14:textId="77777777" w:rsidR="007E4FEB" w:rsidRDefault="007E4FEB" w:rsidP="000D79CE">
      <w:pPr>
        <w:spacing w:line="360" w:lineRule="auto"/>
        <w:jc w:val="both"/>
        <w:rPr>
          <w:rFonts w:cstheme="minorHAnsi"/>
          <w:lang w:val="en-US"/>
        </w:rPr>
      </w:pPr>
    </w:p>
    <w:p w14:paraId="6BBF57EE" w14:textId="77777777" w:rsidR="007E4FEB" w:rsidRDefault="007E4FEB" w:rsidP="000D79CE">
      <w:pPr>
        <w:spacing w:line="360" w:lineRule="auto"/>
        <w:jc w:val="both"/>
        <w:rPr>
          <w:rFonts w:cstheme="minorHAnsi"/>
          <w:lang w:val="en-US"/>
        </w:rPr>
      </w:pPr>
    </w:p>
    <w:p w14:paraId="757BB6A5" w14:textId="77777777" w:rsidR="007E4FEB" w:rsidRPr="0009016F" w:rsidRDefault="007E4FEB" w:rsidP="000D79CE">
      <w:pPr>
        <w:spacing w:line="360" w:lineRule="auto"/>
        <w:jc w:val="both"/>
        <w:rPr>
          <w:rFonts w:cstheme="minorHAnsi"/>
          <w:lang w:val="en-US"/>
        </w:rPr>
      </w:pPr>
    </w:p>
    <w:p w14:paraId="05E80298" w14:textId="1F0C5F68" w:rsidR="00CA6176" w:rsidRDefault="000D79CE" w:rsidP="000D79CE">
      <w:pPr>
        <w:spacing w:line="360" w:lineRule="auto"/>
        <w:jc w:val="both"/>
        <w:rPr>
          <w:rFonts w:cstheme="minorHAnsi"/>
          <w:b/>
          <w:bCs/>
          <w:lang w:val="en-US"/>
        </w:rPr>
      </w:pPr>
      <w:r w:rsidRPr="0009016F">
        <w:rPr>
          <w:rFonts w:cstheme="minorHAnsi"/>
          <w:b/>
          <w:bCs/>
          <w:lang w:val="en-US"/>
        </w:rPr>
        <w:lastRenderedPageBreak/>
        <w:t xml:space="preserve">Part </w:t>
      </w:r>
      <w:r w:rsidR="0009016F" w:rsidRPr="0009016F">
        <w:rPr>
          <w:rFonts w:cstheme="minorHAnsi"/>
          <w:b/>
          <w:bCs/>
          <w:lang w:val="en-US"/>
        </w:rPr>
        <w:t>C</w:t>
      </w:r>
    </w:p>
    <w:p w14:paraId="73DD73A7" w14:textId="7E1C27AD" w:rsidR="00C13023" w:rsidRDefault="007E4FEB" w:rsidP="000D79CE">
      <w:pPr>
        <w:spacing w:line="360" w:lineRule="auto"/>
        <w:jc w:val="both"/>
        <w:rPr>
          <w:rFonts w:cstheme="minorHAnsi"/>
          <w:b/>
          <w:bCs/>
          <w:lang w:val="en-US"/>
        </w:rPr>
      </w:pPr>
      <w:r>
        <w:rPr>
          <w:rFonts w:cstheme="minorHAnsi"/>
          <w:b/>
          <w:bCs/>
          <w:lang w:val="en-US"/>
        </w:rPr>
        <w:t>Table of conte</w:t>
      </w:r>
      <w:r w:rsidR="00883435">
        <w:rPr>
          <w:rFonts w:cstheme="minorHAnsi"/>
          <w:b/>
          <w:bCs/>
          <w:lang w:val="en-US"/>
        </w:rPr>
        <w:t>nts</w:t>
      </w:r>
      <w:r>
        <w:rPr>
          <w:rFonts w:cstheme="minorHAnsi"/>
          <w:b/>
          <w:bCs/>
          <w:lang w:val="en-US"/>
        </w:rPr>
        <w:t xml:space="preserve"> </w:t>
      </w:r>
    </w:p>
    <w:p w14:paraId="12B784BE" w14:textId="1E612C25" w:rsidR="007E4FEB" w:rsidRPr="00883435" w:rsidRDefault="00C13023" w:rsidP="00883435">
      <w:pPr>
        <w:pStyle w:val="ListParagraph"/>
        <w:numPr>
          <w:ilvl w:val="0"/>
          <w:numId w:val="11"/>
        </w:numPr>
        <w:spacing w:line="360" w:lineRule="auto"/>
        <w:jc w:val="both"/>
        <w:rPr>
          <w:rFonts w:cstheme="minorHAnsi"/>
          <w:b/>
          <w:bCs/>
          <w:lang w:val="en-US"/>
        </w:rPr>
      </w:pPr>
      <w:bookmarkStart w:id="3" w:name="_Hlk164678861"/>
      <w:r w:rsidRPr="00883435">
        <w:rPr>
          <w:rFonts w:cstheme="minorHAnsi"/>
          <w:lang w:val="en-US"/>
        </w:rPr>
        <w:t>Financial Analysis and Recommendation for Project Selection</w:t>
      </w:r>
    </w:p>
    <w:bookmarkEnd w:id="3"/>
    <w:p w14:paraId="3FD47E12" w14:textId="6DF6891D" w:rsidR="007E4FEB" w:rsidRPr="00F85905" w:rsidRDefault="007E4FEB" w:rsidP="007E4FEB">
      <w:pPr>
        <w:pStyle w:val="ListParagraph"/>
        <w:numPr>
          <w:ilvl w:val="1"/>
          <w:numId w:val="11"/>
        </w:numPr>
        <w:spacing w:line="360" w:lineRule="auto"/>
        <w:jc w:val="both"/>
        <w:rPr>
          <w:rFonts w:cstheme="minorHAnsi"/>
          <w:lang w:val="en-US"/>
        </w:rPr>
      </w:pPr>
      <w:r w:rsidRPr="00F85905">
        <w:rPr>
          <w:rFonts w:cstheme="minorHAnsi"/>
          <w:lang w:val="en-US"/>
        </w:rPr>
        <w:t>Payback period (PBP)</w:t>
      </w:r>
    </w:p>
    <w:p w14:paraId="024C7FA6" w14:textId="77777777" w:rsidR="007E4FEB" w:rsidRPr="00F85905" w:rsidRDefault="007E4FEB" w:rsidP="007E4FEB">
      <w:pPr>
        <w:pStyle w:val="ListParagraph"/>
        <w:numPr>
          <w:ilvl w:val="1"/>
          <w:numId w:val="11"/>
        </w:numPr>
        <w:spacing w:line="360" w:lineRule="auto"/>
        <w:jc w:val="both"/>
        <w:rPr>
          <w:rFonts w:eastAsiaTheme="minorEastAsia" w:cstheme="minorHAnsi"/>
          <w:lang w:val="en-US"/>
        </w:rPr>
      </w:pPr>
      <w:r w:rsidRPr="00F85905">
        <w:rPr>
          <w:rFonts w:cstheme="minorHAnsi"/>
          <w:lang w:val="en-US"/>
        </w:rPr>
        <w:t>The accounting rate of return (ARR)</w:t>
      </w:r>
    </w:p>
    <w:p w14:paraId="4B023248" w14:textId="77777777" w:rsidR="00F85905" w:rsidRDefault="00F85905" w:rsidP="00F85905">
      <w:pPr>
        <w:pStyle w:val="ListParagraph"/>
        <w:numPr>
          <w:ilvl w:val="1"/>
          <w:numId w:val="11"/>
        </w:numPr>
        <w:spacing w:line="360" w:lineRule="auto"/>
        <w:jc w:val="both"/>
        <w:rPr>
          <w:rFonts w:cstheme="minorHAnsi"/>
          <w:lang w:val="en-US"/>
        </w:rPr>
      </w:pPr>
      <w:r w:rsidRPr="00F85905">
        <w:rPr>
          <w:rFonts w:cstheme="minorHAnsi"/>
          <w:lang w:val="en-US"/>
        </w:rPr>
        <w:t>Net Present Value (NPV)</w:t>
      </w:r>
    </w:p>
    <w:p w14:paraId="1A66B808" w14:textId="4C1A4ECC" w:rsidR="00883435" w:rsidRPr="00F85905" w:rsidRDefault="00883435" w:rsidP="00F85905">
      <w:pPr>
        <w:pStyle w:val="ListParagraph"/>
        <w:numPr>
          <w:ilvl w:val="1"/>
          <w:numId w:val="11"/>
        </w:numPr>
        <w:spacing w:line="360" w:lineRule="auto"/>
        <w:jc w:val="both"/>
        <w:rPr>
          <w:rFonts w:cstheme="minorHAnsi"/>
          <w:lang w:val="en-US"/>
        </w:rPr>
      </w:pPr>
      <w:r>
        <w:rPr>
          <w:rFonts w:cstheme="minorHAnsi"/>
          <w:lang w:val="en-US"/>
        </w:rPr>
        <w:t xml:space="preserve">Conclusion </w:t>
      </w:r>
    </w:p>
    <w:p w14:paraId="37771010" w14:textId="3F409242" w:rsidR="007E4FEB" w:rsidRDefault="00C13023" w:rsidP="00C13023">
      <w:pPr>
        <w:pStyle w:val="ListParagraph"/>
        <w:numPr>
          <w:ilvl w:val="0"/>
          <w:numId w:val="11"/>
        </w:numPr>
        <w:spacing w:line="360" w:lineRule="auto"/>
        <w:jc w:val="both"/>
        <w:rPr>
          <w:rFonts w:cstheme="minorHAnsi"/>
          <w:lang w:val="en-US"/>
        </w:rPr>
      </w:pPr>
      <w:bookmarkStart w:id="4" w:name="_Hlk164679043"/>
      <w:r w:rsidRPr="00C13023">
        <w:rPr>
          <w:rFonts w:cstheme="minorHAnsi"/>
          <w:lang w:val="en-US"/>
        </w:rPr>
        <w:t>Revised Financial Analysis and Recommendation for Project Selection</w:t>
      </w:r>
    </w:p>
    <w:p w14:paraId="28B4E358" w14:textId="0054F238" w:rsidR="00883435" w:rsidRPr="00883435" w:rsidRDefault="00883435" w:rsidP="00883435">
      <w:pPr>
        <w:pStyle w:val="ListParagraph"/>
        <w:numPr>
          <w:ilvl w:val="1"/>
          <w:numId w:val="11"/>
        </w:numPr>
        <w:spacing w:line="360" w:lineRule="auto"/>
        <w:jc w:val="both"/>
        <w:rPr>
          <w:rStyle w:val="mop"/>
          <w:rFonts w:eastAsiaTheme="minorEastAsia" w:cstheme="minorHAnsi"/>
          <w:color w:val="0D0D0D"/>
          <w:shd w:val="clear" w:color="auto" w:fill="FFFFFF"/>
        </w:rPr>
      </w:pPr>
      <w:r w:rsidRPr="00883435">
        <w:rPr>
          <w:rStyle w:val="mop"/>
          <w:rFonts w:eastAsiaTheme="minorEastAsia" w:cstheme="minorHAnsi"/>
          <w:color w:val="0D0D0D"/>
          <w:shd w:val="clear" w:color="auto" w:fill="FFFFFF"/>
        </w:rPr>
        <w:t>Net Present Value (NPV)</w:t>
      </w:r>
    </w:p>
    <w:p w14:paraId="3884D68F" w14:textId="69C92E73" w:rsidR="00883435" w:rsidRPr="00883435" w:rsidRDefault="00883435" w:rsidP="00883435">
      <w:pPr>
        <w:pStyle w:val="ListParagraph"/>
        <w:numPr>
          <w:ilvl w:val="1"/>
          <w:numId w:val="11"/>
        </w:numPr>
        <w:spacing w:line="360" w:lineRule="auto"/>
        <w:jc w:val="both"/>
        <w:rPr>
          <w:rFonts w:eastAsiaTheme="minorEastAsia" w:cstheme="minorHAnsi"/>
          <w:b/>
          <w:bCs/>
          <w:color w:val="0D0D0D"/>
          <w:shd w:val="clear" w:color="auto" w:fill="FFFFFF"/>
        </w:rPr>
      </w:pPr>
      <w:r w:rsidRPr="00883435">
        <w:rPr>
          <w:rStyle w:val="mop"/>
          <w:rFonts w:eastAsiaTheme="minorEastAsia" w:cstheme="minorHAnsi"/>
          <w:color w:val="0D0D0D"/>
          <w:shd w:val="clear" w:color="auto" w:fill="FFFFFF"/>
        </w:rPr>
        <w:t>Conclusion</w:t>
      </w:r>
    </w:p>
    <w:p w14:paraId="3CF03E9E" w14:textId="72CC74D0" w:rsidR="00C13023" w:rsidRDefault="00C13023" w:rsidP="00C13023">
      <w:pPr>
        <w:pStyle w:val="ListParagraph"/>
        <w:numPr>
          <w:ilvl w:val="0"/>
          <w:numId w:val="11"/>
        </w:numPr>
        <w:spacing w:line="360" w:lineRule="auto"/>
        <w:jc w:val="both"/>
        <w:rPr>
          <w:rFonts w:cstheme="minorHAnsi"/>
          <w:lang w:val="en-US"/>
        </w:rPr>
      </w:pPr>
      <w:bookmarkStart w:id="5" w:name="_Hlk164679356"/>
      <w:bookmarkEnd w:id="4"/>
      <w:r w:rsidRPr="00C13023">
        <w:rPr>
          <w:rFonts w:cstheme="minorHAnsi"/>
          <w:lang w:val="en-US"/>
        </w:rPr>
        <w:t>Critical Analysis of Capital Project Evaluation Techniques: PBP, ARR, and NPV</w:t>
      </w:r>
    </w:p>
    <w:p w14:paraId="7A1691F2" w14:textId="77777777" w:rsidR="00883435" w:rsidRPr="00883435" w:rsidRDefault="00883435" w:rsidP="00883435">
      <w:pPr>
        <w:pStyle w:val="ListParagraph"/>
        <w:numPr>
          <w:ilvl w:val="1"/>
          <w:numId w:val="11"/>
        </w:numPr>
        <w:spacing w:line="360" w:lineRule="auto"/>
        <w:jc w:val="both"/>
        <w:rPr>
          <w:rStyle w:val="mop"/>
          <w:rFonts w:eastAsiaTheme="minorEastAsia" w:cstheme="minorHAnsi"/>
          <w:color w:val="0D0D0D"/>
          <w:shd w:val="clear" w:color="auto" w:fill="FFFFFF"/>
        </w:rPr>
      </w:pPr>
      <w:r w:rsidRPr="00883435">
        <w:rPr>
          <w:rStyle w:val="mop"/>
          <w:rFonts w:eastAsiaTheme="minorEastAsia" w:cstheme="minorHAnsi"/>
          <w:color w:val="0D0D0D"/>
          <w:shd w:val="clear" w:color="auto" w:fill="FFFFFF"/>
        </w:rPr>
        <w:t>Payback Period (PBP)</w:t>
      </w:r>
    </w:p>
    <w:p w14:paraId="2BE6579D" w14:textId="77777777" w:rsidR="00883435" w:rsidRPr="00883435" w:rsidRDefault="00883435" w:rsidP="00883435">
      <w:pPr>
        <w:pStyle w:val="ListParagraph"/>
        <w:numPr>
          <w:ilvl w:val="1"/>
          <w:numId w:val="11"/>
        </w:numPr>
        <w:spacing w:line="360" w:lineRule="auto"/>
        <w:jc w:val="both"/>
        <w:rPr>
          <w:rStyle w:val="mop"/>
          <w:rFonts w:eastAsiaTheme="minorEastAsia" w:cstheme="minorHAnsi"/>
          <w:color w:val="0D0D0D"/>
          <w:shd w:val="clear" w:color="auto" w:fill="FFFFFF"/>
        </w:rPr>
      </w:pPr>
      <w:r w:rsidRPr="00883435">
        <w:rPr>
          <w:rStyle w:val="mop"/>
          <w:rFonts w:eastAsiaTheme="minorEastAsia" w:cstheme="minorHAnsi"/>
          <w:color w:val="0D0D0D"/>
          <w:shd w:val="clear" w:color="auto" w:fill="FFFFFF"/>
        </w:rPr>
        <w:t>Accounting Rate of Return (ARR)</w:t>
      </w:r>
    </w:p>
    <w:p w14:paraId="3EB7BA49" w14:textId="77777777" w:rsidR="00883435" w:rsidRPr="00883435" w:rsidRDefault="00883435" w:rsidP="00883435">
      <w:pPr>
        <w:pStyle w:val="ListParagraph"/>
        <w:numPr>
          <w:ilvl w:val="1"/>
          <w:numId w:val="11"/>
        </w:numPr>
        <w:spacing w:line="360" w:lineRule="auto"/>
        <w:jc w:val="both"/>
        <w:rPr>
          <w:rStyle w:val="mop"/>
          <w:rFonts w:eastAsiaTheme="minorEastAsia" w:cstheme="minorHAnsi"/>
          <w:color w:val="0D0D0D"/>
          <w:shd w:val="clear" w:color="auto" w:fill="FFFFFF"/>
        </w:rPr>
      </w:pPr>
      <w:r w:rsidRPr="00883435">
        <w:rPr>
          <w:rStyle w:val="mop"/>
          <w:rFonts w:eastAsiaTheme="minorEastAsia" w:cstheme="minorHAnsi"/>
          <w:color w:val="0D0D0D"/>
          <w:shd w:val="clear" w:color="auto" w:fill="FFFFFF"/>
        </w:rPr>
        <w:t>Net Present Value (NPV)</w:t>
      </w:r>
    </w:p>
    <w:p w14:paraId="405A6CCD" w14:textId="77777777" w:rsidR="00883435" w:rsidRPr="00883435" w:rsidRDefault="00883435" w:rsidP="00883435">
      <w:pPr>
        <w:pStyle w:val="ListParagraph"/>
        <w:numPr>
          <w:ilvl w:val="1"/>
          <w:numId w:val="11"/>
        </w:numPr>
        <w:spacing w:line="360" w:lineRule="auto"/>
        <w:jc w:val="both"/>
        <w:rPr>
          <w:rStyle w:val="mop"/>
          <w:rFonts w:eastAsiaTheme="minorEastAsia" w:cstheme="minorHAnsi"/>
          <w:color w:val="0D0D0D"/>
          <w:shd w:val="clear" w:color="auto" w:fill="FFFFFF"/>
        </w:rPr>
      </w:pPr>
      <w:r w:rsidRPr="00883435">
        <w:rPr>
          <w:rStyle w:val="mop"/>
          <w:rFonts w:eastAsiaTheme="minorEastAsia" w:cstheme="minorHAnsi"/>
          <w:color w:val="0D0D0D"/>
          <w:shd w:val="clear" w:color="auto" w:fill="FFFFFF"/>
        </w:rPr>
        <w:t>Comparison of Project A and Project B</w:t>
      </w:r>
    </w:p>
    <w:p w14:paraId="56F3D529" w14:textId="6536AC1A" w:rsidR="00883435" w:rsidRPr="00883435" w:rsidRDefault="00883435" w:rsidP="00883435">
      <w:pPr>
        <w:pStyle w:val="ListParagraph"/>
        <w:numPr>
          <w:ilvl w:val="1"/>
          <w:numId w:val="11"/>
        </w:numPr>
        <w:spacing w:line="360" w:lineRule="auto"/>
        <w:jc w:val="both"/>
        <w:rPr>
          <w:rFonts w:cstheme="minorHAnsi"/>
          <w:lang w:val="en-US"/>
        </w:rPr>
      </w:pPr>
      <w:r>
        <w:rPr>
          <w:rFonts w:cstheme="minorHAnsi"/>
          <w:lang w:val="en-US"/>
        </w:rPr>
        <w:t xml:space="preserve">Conclusion </w:t>
      </w:r>
    </w:p>
    <w:bookmarkEnd w:id="5"/>
    <w:p w14:paraId="292A5F4C" w14:textId="5FF5CB6B" w:rsidR="00C13023" w:rsidRPr="00F85905" w:rsidRDefault="00C13023" w:rsidP="00C13023">
      <w:pPr>
        <w:pStyle w:val="ListParagraph"/>
        <w:numPr>
          <w:ilvl w:val="0"/>
          <w:numId w:val="11"/>
        </w:numPr>
        <w:spacing w:line="360" w:lineRule="auto"/>
        <w:jc w:val="both"/>
        <w:rPr>
          <w:rFonts w:cstheme="minorHAnsi"/>
          <w:lang w:val="en-US"/>
        </w:rPr>
      </w:pPr>
      <w:r>
        <w:t>Discuss nonfinancial factors management needs to consider</w:t>
      </w:r>
    </w:p>
    <w:p w14:paraId="5B911117" w14:textId="77777777" w:rsidR="007E4FEB" w:rsidRDefault="007E4FEB" w:rsidP="000D79CE">
      <w:pPr>
        <w:spacing w:line="360" w:lineRule="auto"/>
        <w:jc w:val="both"/>
        <w:rPr>
          <w:rFonts w:cstheme="minorHAnsi"/>
          <w:b/>
          <w:bCs/>
          <w:lang w:val="en-US"/>
        </w:rPr>
      </w:pPr>
    </w:p>
    <w:p w14:paraId="09D7D809" w14:textId="77777777" w:rsidR="007E4FEB" w:rsidRDefault="007E4FEB" w:rsidP="000D79CE">
      <w:pPr>
        <w:spacing w:line="360" w:lineRule="auto"/>
        <w:jc w:val="both"/>
        <w:rPr>
          <w:rFonts w:cstheme="minorHAnsi"/>
          <w:b/>
          <w:bCs/>
          <w:lang w:val="en-US"/>
        </w:rPr>
      </w:pPr>
    </w:p>
    <w:p w14:paraId="4404ADA7" w14:textId="77777777" w:rsidR="007E4FEB" w:rsidRDefault="007E4FEB" w:rsidP="000D79CE">
      <w:pPr>
        <w:spacing w:line="360" w:lineRule="auto"/>
        <w:jc w:val="both"/>
        <w:rPr>
          <w:rFonts w:cstheme="minorHAnsi"/>
          <w:b/>
          <w:bCs/>
          <w:lang w:val="en-US"/>
        </w:rPr>
      </w:pPr>
    </w:p>
    <w:p w14:paraId="02E9C009" w14:textId="77777777" w:rsidR="007E4FEB" w:rsidRDefault="007E4FEB" w:rsidP="000D79CE">
      <w:pPr>
        <w:spacing w:line="360" w:lineRule="auto"/>
        <w:jc w:val="both"/>
        <w:rPr>
          <w:rFonts w:cstheme="minorHAnsi"/>
          <w:b/>
          <w:bCs/>
          <w:lang w:val="en-US"/>
        </w:rPr>
      </w:pPr>
    </w:p>
    <w:p w14:paraId="216D82E5" w14:textId="77777777" w:rsidR="007E4FEB" w:rsidRDefault="007E4FEB" w:rsidP="000D79CE">
      <w:pPr>
        <w:spacing w:line="360" w:lineRule="auto"/>
        <w:jc w:val="both"/>
        <w:rPr>
          <w:rFonts w:cstheme="minorHAnsi"/>
          <w:b/>
          <w:bCs/>
          <w:lang w:val="en-US"/>
        </w:rPr>
      </w:pPr>
    </w:p>
    <w:p w14:paraId="0F265100" w14:textId="77777777" w:rsidR="007E4FEB" w:rsidRDefault="007E4FEB" w:rsidP="000D79CE">
      <w:pPr>
        <w:spacing w:line="360" w:lineRule="auto"/>
        <w:jc w:val="both"/>
        <w:rPr>
          <w:rFonts w:cstheme="minorHAnsi"/>
          <w:b/>
          <w:bCs/>
          <w:lang w:val="en-US"/>
        </w:rPr>
      </w:pPr>
    </w:p>
    <w:p w14:paraId="6DD21545" w14:textId="77777777" w:rsidR="007E4FEB" w:rsidRDefault="007E4FEB" w:rsidP="000D79CE">
      <w:pPr>
        <w:spacing w:line="360" w:lineRule="auto"/>
        <w:jc w:val="both"/>
        <w:rPr>
          <w:rFonts w:cstheme="minorHAnsi"/>
          <w:b/>
          <w:bCs/>
          <w:lang w:val="en-US"/>
        </w:rPr>
      </w:pPr>
    </w:p>
    <w:p w14:paraId="1B160ED3" w14:textId="77777777" w:rsidR="00883435" w:rsidRDefault="00883435" w:rsidP="000D79CE">
      <w:pPr>
        <w:spacing w:line="360" w:lineRule="auto"/>
        <w:jc w:val="both"/>
        <w:rPr>
          <w:rFonts w:cstheme="minorHAnsi"/>
          <w:b/>
          <w:bCs/>
          <w:lang w:val="en-US"/>
        </w:rPr>
      </w:pPr>
    </w:p>
    <w:p w14:paraId="0BC031B1" w14:textId="77777777" w:rsidR="00883435" w:rsidRDefault="00883435" w:rsidP="000D79CE">
      <w:pPr>
        <w:spacing w:line="360" w:lineRule="auto"/>
        <w:jc w:val="both"/>
        <w:rPr>
          <w:rFonts w:cstheme="minorHAnsi"/>
          <w:b/>
          <w:bCs/>
          <w:lang w:val="en-US"/>
        </w:rPr>
      </w:pPr>
    </w:p>
    <w:p w14:paraId="7E06CC4E" w14:textId="77777777" w:rsidR="00883435" w:rsidRPr="0009016F" w:rsidRDefault="00883435" w:rsidP="000D79CE">
      <w:pPr>
        <w:spacing w:line="360" w:lineRule="auto"/>
        <w:jc w:val="both"/>
        <w:rPr>
          <w:rFonts w:cstheme="minorHAnsi"/>
          <w:b/>
          <w:bCs/>
          <w:lang w:val="en-US"/>
        </w:rPr>
      </w:pPr>
    </w:p>
    <w:p w14:paraId="27FD0481" w14:textId="73202687" w:rsidR="00CA6176" w:rsidRPr="00883435" w:rsidRDefault="00C13023" w:rsidP="00883435">
      <w:pPr>
        <w:pStyle w:val="ListParagraph"/>
        <w:numPr>
          <w:ilvl w:val="0"/>
          <w:numId w:val="26"/>
        </w:numPr>
        <w:spacing w:line="360" w:lineRule="auto"/>
        <w:jc w:val="both"/>
        <w:rPr>
          <w:rFonts w:cstheme="minorHAnsi"/>
          <w:b/>
          <w:bCs/>
          <w:lang w:val="en-US"/>
        </w:rPr>
      </w:pPr>
      <w:r w:rsidRPr="00883435">
        <w:rPr>
          <w:rFonts w:cstheme="minorHAnsi"/>
          <w:b/>
          <w:bCs/>
          <w:lang w:val="en-US"/>
        </w:rPr>
        <w:lastRenderedPageBreak/>
        <w:t>Financial Analysis and Recommendation for Project Selection</w:t>
      </w:r>
    </w:p>
    <w:p w14:paraId="335C5560" w14:textId="690CA57B" w:rsidR="00016CE8" w:rsidRPr="0009016F" w:rsidRDefault="00883435" w:rsidP="000D79CE">
      <w:pPr>
        <w:spacing w:line="360" w:lineRule="auto"/>
        <w:jc w:val="both"/>
        <w:rPr>
          <w:rFonts w:cstheme="minorHAnsi"/>
        </w:rPr>
      </w:pPr>
      <w:r w:rsidRPr="00883435">
        <w:rPr>
          <w:rFonts w:cstheme="minorHAnsi"/>
        </w:rPr>
        <w:t>The cash flow details of two promising projects, which are mutually exclusive, have been provided for analysis.</w:t>
      </w:r>
      <w:r>
        <w:rPr>
          <w:rFonts w:cstheme="minorHAnsi"/>
        </w:rPr>
        <w:t xml:space="preserve"> </w:t>
      </w:r>
      <w:r w:rsidR="00016CE8" w:rsidRPr="0009016F">
        <w:rPr>
          <w:rFonts w:cstheme="minorHAnsi"/>
        </w:rPr>
        <w:t xml:space="preserve">Year Projected Cash Flows (£m) </w:t>
      </w:r>
    </w:p>
    <w:tbl>
      <w:tblPr>
        <w:tblW w:w="3775" w:type="dxa"/>
        <w:tblLook w:val="04A0" w:firstRow="1" w:lastRow="0" w:firstColumn="1" w:lastColumn="0" w:noHBand="0" w:noVBand="1"/>
      </w:tblPr>
      <w:tblGrid>
        <w:gridCol w:w="720"/>
        <w:gridCol w:w="1525"/>
        <w:gridCol w:w="1530"/>
      </w:tblGrid>
      <w:tr w:rsidR="00016CE8" w:rsidRPr="00016CE8" w14:paraId="000694DB" w14:textId="77777777" w:rsidTr="00F85905">
        <w:trPr>
          <w:trHeight w:val="300"/>
        </w:trPr>
        <w:tc>
          <w:tcPr>
            <w:tcW w:w="7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811D80" w14:textId="12CEDE5C" w:rsidR="00016CE8" w:rsidRPr="00016CE8" w:rsidRDefault="00016CE8" w:rsidP="00016CE8">
            <w:pPr>
              <w:spacing w:after="0" w:line="240" w:lineRule="auto"/>
              <w:rPr>
                <w:rFonts w:eastAsia="Times New Roman" w:cstheme="minorHAnsi"/>
                <w:noProof w:val="0"/>
                <w:color w:val="000000"/>
                <w:kern w:val="0"/>
                <w:lang w:val="en-US"/>
                <w14:ligatures w14:val="none"/>
              </w:rPr>
            </w:pPr>
            <w:r w:rsidRPr="00016CE8">
              <w:rPr>
                <w:rFonts w:eastAsia="Times New Roman" w:cstheme="minorHAnsi"/>
                <w:noProof w:val="0"/>
                <w:color w:val="000000"/>
                <w:kern w:val="0"/>
                <w:lang w:val="en-US"/>
                <w14:ligatures w14:val="none"/>
              </w:rPr>
              <w:t> </w:t>
            </w:r>
            <w:r w:rsidR="0009016F" w:rsidRPr="0009016F">
              <w:rPr>
                <w:rFonts w:eastAsia="Times New Roman" w:cstheme="minorHAnsi"/>
                <w:noProof w:val="0"/>
                <w:color w:val="000000"/>
                <w:kern w:val="0"/>
                <w:lang w:val="en-US"/>
                <w14:ligatures w14:val="none"/>
              </w:rPr>
              <w:t xml:space="preserve">Year </w:t>
            </w:r>
          </w:p>
        </w:tc>
        <w:tc>
          <w:tcPr>
            <w:tcW w:w="1525" w:type="dxa"/>
            <w:tcBorders>
              <w:top w:val="single" w:sz="4" w:space="0" w:color="auto"/>
              <w:left w:val="nil"/>
              <w:bottom w:val="single" w:sz="4" w:space="0" w:color="auto"/>
              <w:right w:val="single" w:sz="4" w:space="0" w:color="auto"/>
            </w:tcBorders>
            <w:shd w:val="clear" w:color="auto" w:fill="auto"/>
            <w:noWrap/>
            <w:vAlign w:val="bottom"/>
            <w:hideMark/>
          </w:tcPr>
          <w:p w14:paraId="6B55B3E1" w14:textId="188BFD7F" w:rsidR="00016CE8" w:rsidRPr="00016CE8" w:rsidRDefault="0009016F" w:rsidP="00016CE8">
            <w:pPr>
              <w:spacing w:after="0" w:line="240" w:lineRule="auto"/>
              <w:rPr>
                <w:rFonts w:eastAsia="Times New Roman" w:cstheme="minorHAnsi"/>
                <w:noProof w:val="0"/>
                <w:color w:val="000000"/>
                <w:kern w:val="0"/>
                <w:lang w:val="en-US"/>
                <w14:ligatures w14:val="none"/>
              </w:rPr>
            </w:pPr>
            <w:r w:rsidRPr="0009016F">
              <w:rPr>
                <w:rFonts w:eastAsia="Times New Roman" w:cstheme="minorHAnsi"/>
                <w:noProof w:val="0"/>
                <w:color w:val="000000"/>
                <w:kern w:val="0"/>
                <w:lang w:val="en-US"/>
                <w14:ligatures w14:val="none"/>
              </w:rPr>
              <w:t xml:space="preserve">Project </w:t>
            </w:r>
            <w:r w:rsidR="00016CE8" w:rsidRPr="00016CE8">
              <w:rPr>
                <w:rFonts w:eastAsia="Times New Roman" w:cstheme="minorHAnsi"/>
                <w:noProof w:val="0"/>
                <w:color w:val="000000"/>
                <w:kern w:val="0"/>
                <w:lang w:val="en-US"/>
                <w14:ligatures w14:val="none"/>
              </w:rPr>
              <w:t>A</w:t>
            </w:r>
          </w:p>
        </w:tc>
        <w:tc>
          <w:tcPr>
            <w:tcW w:w="1530" w:type="dxa"/>
            <w:tcBorders>
              <w:top w:val="single" w:sz="4" w:space="0" w:color="auto"/>
              <w:left w:val="nil"/>
              <w:bottom w:val="single" w:sz="4" w:space="0" w:color="auto"/>
              <w:right w:val="single" w:sz="4" w:space="0" w:color="auto"/>
            </w:tcBorders>
            <w:shd w:val="clear" w:color="auto" w:fill="auto"/>
            <w:noWrap/>
            <w:vAlign w:val="bottom"/>
            <w:hideMark/>
          </w:tcPr>
          <w:p w14:paraId="51E2ACA8" w14:textId="5C3404FC" w:rsidR="00016CE8" w:rsidRPr="00016CE8" w:rsidRDefault="0009016F" w:rsidP="00016CE8">
            <w:pPr>
              <w:spacing w:after="0" w:line="240" w:lineRule="auto"/>
              <w:rPr>
                <w:rFonts w:eastAsia="Times New Roman" w:cstheme="minorHAnsi"/>
                <w:noProof w:val="0"/>
                <w:color w:val="000000"/>
                <w:kern w:val="0"/>
                <w:lang w:val="en-US"/>
                <w14:ligatures w14:val="none"/>
              </w:rPr>
            </w:pPr>
            <w:r w:rsidRPr="0009016F">
              <w:rPr>
                <w:rFonts w:eastAsia="Times New Roman" w:cstheme="minorHAnsi"/>
                <w:noProof w:val="0"/>
                <w:color w:val="000000"/>
                <w:kern w:val="0"/>
                <w:lang w:val="en-US"/>
                <w14:ligatures w14:val="none"/>
              </w:rPr>
              <w:t xml:space="preserve">Project </w:t>
            </w:r>
            <w:r w:rsidR="00016CE8" w:rsidRPr="00016CE8">
              <w:rPr>
                <w:rFonts w:eastAsia="Times New Roman" w:cstheme="minorHAnsi"/>
                <w:noProof w:val="0"/>
                <w:color w:val="000000"/>
                <w:kern w:val="0"/>
                <w:lang w:val="en-US"/>
                <w14:ligatures w14:val="none"/>
              </w:rPr>
              <w:t xml:space="preserve">B </w:t>
            </w:r>
          </w:p>
        </w:tc>
      </w:tr>
      <w:tr w:rsidR="00016CE8" w:rsidRPr="00016CE8" w14:paraId="3082A8BF" w14:textId="77777777" w:rsidTr="00F85905">
        <w:trPr>
          <w:trHeight w:val="315"/>
        </w:trPr>
        <w:tc>
          <w:tcPr>
            <w:tcW w:w="720" w:type="dxa"/>
            <w:tcBorders>
              <w:top w:val="nil"/>
              <w:left w:val="single" w:sz="4" w:space="0" w:color="auto"/>
              <w:bottom w:val="single" w:sz="4" w:space="0" w:color="auto"/>
              <w:right w:val="single" w:sz="4" w:space="0" w:color="auto"/>
            </w:tcBorders>
            <w:shd w:val="clear" w:color="auto" w:fill="auto"/>
            <w:noWrap/>
            <w:vAlign w:val="bottom"/>
            <w:hideMark/>
          </w:tcPr>
          <w:p w14:paraId="178957A6" w14:textId="77777777" w:rsidR="00016CE8" w:rsidRPr="00016CE8" w:rsidRDefault="00016CE8" w:rsidP="00016CE8">
            <w:pPr>
              <w:spacing w:after="0" w:line="240" w:lineRule="auto"/>
              <w:jc w:val="right"/>
              <w:rPr>
                <w:rFonts w:eastAsia="Times New Roman" w:cstheme="minorHAnsi"/>
                <w:noProof w:val="0"/>
                <w:color w:val="000000"/>
                <w:kern w:val="0"/>
                <w:lang w:val="en-US"/>
                <w14:ligatures w14:val="none"/>
              </w:rPr>
            </w:pPr>
            <w:r w:rsidRPr="00016CE8">
              <w:rPr>
                <w:rFonts w:eastAsia="Times New Roman" w:cstheme="minorHAnsi"/>
                <w:noProof w:val="0"/>
                <w:color w:val="000000"/>
                <w:kern w:val="0"/>
                <w:lang w:val="en-US"/>
                <w14:ligatures w14:val="none"/>
              </w:rPr>
              <w:t>0</w:t>
            </w:r>
          </w:p>
        </w:tc>
        <w:tc>
          <w:tcPr>
            <w:tcW w:w="1525" w:type="dxa"/>
            <w:tcBorders>
              <w:top w:val="nil"/>
              <w:left w:val="nil"/>
              <w:bottom w:val="single" w:sz="4" w:space="0" w:color="auto"/>
              <w:right w:val="single" w:sz="4" w:space="0" w:color="auto"/>
            </w:tcBorders>
            <w:shd w:val="clear" w:color="auto" w:fill="auto"/>
            <w:noWrap/>
            <w:vAlign w:val="bottom"/>
            <w:hideMark/>
          </w:tcPr>
          <w:p w14:paraId="0AF436BA" w14:textId="77777777" w:rsidR="00016CE8" w:rsidRPr="00016CE8" w:rsidRDefault="00016CE8" w:rsidP="00016CE8">
            <w:pPr>
              <w:spacing w:after="0" w:line="240" w:lineRule="auto"/>
              <w:jc w:val="right"/>
              <w:rPr>
                <w:rFonts w:eastAsia="Times New Roman" w:cstheme="minorHAnsi"/>
                <w:noProof w:val="0"/>
                <w:color w:val="000000"/>
                <w:kern w:val="0"/>
                <w:lang w:val="en-US"/>
                <w14:ligatures w14:val="none"/>
              </w:rPr>
            </w:pPr>
            <w:r w:rsidRPr="00016CE8">
              <w:rPr>
                <w:rFonts w:eastAsia="Times New Roman" w:cstheme="minorHAnsi"/>
                <w:noProof w:val="0"/>
                <w:color w:val="000000"/>
                <w:kern w:val="0"/>
                <w:lang w:val="en-US"/>
                <w14:ligatures w14:val="none"/>
              </w:rPr>
              <w:t>-5000</w:t>
            </w:r>
          </w:p>
        </w:tc>
        <w:tc>
          <w:tcPr>
            <w:tcW w:w="1530" w:type="dxa"/>
            <w:tcBorders>
              <w:top w:val="nil"/>
              <w:left w:val="nil"/>
              <w:bottom w:val="single" w:sz="4" w:space="0" w:color="auto"/>
              <w:right w:val="single" w:sz="4" w:space="0" w:color="auto"/>
            </w:tcBorders>
            <w:shd w:val="clear" w:color="auto" w:fill="auto"/>
            <w:noWrap/>
            <w:vAlign w:val="bottom"/>
            <w:hideMark/>
          </w:tcPr>
          <w:p w14:paraId="55E44046" w14:textId="77777777" w:rsidR="00016CE8" w:rsidRPr="00016CE8" w:rsidRDefault="00016CE8" w:rsidP="00016CE8">
            <w:pPr>
              <w:spacing w:after="0" w:line="240" w:lineRule="auto"/>
              <w:jc w:val="right"/>
              <w:rPr>
                <w:rFonts w:eastAsia="Times New Roman" w:cstheme="minorHAnsi"/>
                <w:noProof w:val="0"/>
                <w:color w:val="000000"/>
                <w:kern w:val="0"/>
                <w:lang w:val="en-US"/>
                <w14:ligatures w14:val="none"/>
              </w:rPr>
            </w:pPr>
            <w:r w:rsidRPr="00016CE8">
              <w:rPr>
                <w:rFonts w:eastAsia="Times New Roman" w:cstheme="minorHAnsi"/>
                <w:noProof w:val="0"/>
                <w:color w:val="000000"/>
                <w:kern w:val="0"/>
                <w:lang w:val="en-US"/>
                <w14:ligatures w14:val="none"/>
              </w:rPr>
              <w:t>-1000</w:t>
            </w:r>
          </w:p>
        </w:tc>
      </w:tr>
      <w:tr w:rsidR="00016CE8" w:rsidRPr="00016CE8" w14:paraId="7227B7CB" w14:textId="77777777" w:rsidTr="00F85905">
        <w:trPr>
          <w:trHeight w:val="315"/>
        </w:trPr>
        <w:tc>
          <w:tcPr>
            <w:tcW w:w="720" w:type="dxa"/>
            <w:tcBorders>
              <w:top w:val="nil"/>
              <w:left w:val="single" w:sz="4" w:space="0" w:color="auto"/>
              <w:bottom w:val="single" w:sz="4" w:space="0" w:color="auto"/>
              <w:right w:val="single" w:sz="4" w:space="0" w:color="auto"/>
            </w:tcBorders>
            <w:shd w:val="clear" w:color="auto" w:fill="auto"/>
            <w:noWrap/>
            <w:vAlign w:val="bottom"/>
            <w:hideMark/>
          </w:tcPr>
          <w:p w14:paraId="1F907D8E" w14:textId="77777777" w:rsidR="00016CE8" w:rsidRPr="00016CE8" w:rsidRDefault="00016CE8" w:rsidP="00016CE8">
            <w:pPr>
              <w:spacing w:after="0" w:line="240" w:lineRule="auto"/>
              <w:jc w:val="right"/>
              <w:rPr>
                <w:rFonts w:eastAsia="Times New Roman" w:cstheme="minorHAnsi"/>
                <w:noProof w:val="0"/>
                <w:color w:val="000000"/>
                <w:kern w:val="0"/>
                <w:lang w:val="en-US"/>
                <w14:ligatures w14:val="none"/>
              </w:rPr>
            </w:pPr>
            <w:r w:rsidRPr="00016CE8">
              <w:rPr>
                <w:rFonts w:eastAsia="Times New Roman" w:cstheme="minorHAnsi"/>
                <w:noProof w:val="0"/>
                <w:color w:val="000000"/>
                <w:kern w:val="0"/>
                <w:lang w:val="en-US"/>
                <w14:ligatures w14:val="none"/>
              </w:rPr>
              <w:t>1</w:t>
            </w:r>
          </w:p>
        </w:tc>
        <w:tc>
          <w:tcPr>
            <w:tcW w:w="1525" w:type="dxa"/>
            <w:tcBorders>
              <w:top w:val="nil"/>
              <w:left w:val="nil"/>
              <w:bottom w:val="single" w:sz="4" w:space="0" w:color="auto"/>
              <w:right w:val="single" w:sz="4" w:space="0" w:color="auto"/>
            </w:tcBorders>
            <w:shd w:val="clear" w:color="auto" w:fill="auto"/>
            <w:noWrap/>
            <w:vAlign w:val="bottom"/>
            <w:hideMark/>
          </w:tcPr>
          <w:p w14:paraId="052D8615" w14:textId="77777777" w:rsidR="00016CE8" w:rsidRPr="00016CE8" w:rsidRDefault="00016CE8" w:rsidP="00016CE8">
            <w:pPr>
              <w:spacing w:after="0" w:line="240" w:lineRule="auto"/>
              <w:jc w:val="right"/>
              <w:rPr>
                <w:rFonts w:eastAsia="Times New Roman" w:cstheme="minorHAnsi"/>
                <w:noProof w:val="0"/>
                <w:color w:val="000000"/>
                <w:kern w:val="0"/>
                <w:lang w:val="en-US"/>
                <w14:ligatures w14:val="none"/>
              </w:rPr>
            </w:pPr>
            <w:r w:rsidRPr="00016CE8">
              <w:rPr>
                <w:rFonts w:eastAsia="Times New Roman" w:cstheme="minorHAnsi"/>
                <w:noProof w:val="0"/>
                <w:color w:val="000000"/>
                <w:kern w:val="0"/>
                <w:lang w:val="en-US"/>
                <w14:ligatures w14:val="none"/>
              </w:rPr>
              <w:t>2500</w:t>
            </w:r>
          </w:p>
        </w:tc>
        <w:tc>
          <w:tcPr>
            <w:tcW w:w="1530" w:type="dxa"/>
            <w:tcBorders>
              <w:top w:val="nil"/>
              <w:left w:val="nil"/>
              <w:bottom w:val="single" w:sz="4" w:space="0" w:color="auto"/>
              <w:right w:val="single" w:sz="4" w:space="0" w:color="auto"/>
            </w:tcBorders>
            <w:shd w:val="clear" w:color="auto" w:fill="auto"/>
            <w:noWrap/>
            <w:vAlign w:val="bottom"/>
            <w:hideMark/>
          </w:tcPr>
          <w:p w14:paraId="3E7D90C5" w14:textId="77777777" w:rsidR="00016CE8" w:rsidRPr="00016CE8" w:rsidRDefault="00016CE8" w:rsidP="00016CE8">
            <w:pPr>
              <w:spacing w:after="0" w:line="240" w:lineRule="auto"/>
              <w:jc w:val="right"/>
              <w:rPr>
                <w:rFonts w:eastAsia="Times New Roman" w:cstheme="minorHAnsi"/>
                <w:noProof w:val="0"/>
                <w:color w:val="000000"/>
                <w:kern w:val="0"/>
                <w:lang w:val="en-US"/>
                <w14:ligatures w14:val="none"/>
              </w:rPr>
            </w:pPr>
            <w:r w:rsidRPr="00016CE8">
              <w:rPr>
                <w:rFonts w:eastAsia="Times New Roman" w:cstheme="minorHAnsi"/>
                <w:noProof w:val="0"/>
                <w:color w:val="000000"/>
                <w:kern w:val="0"/>
                <w:lang w:val="en-US"/>
                <w14:ligatures w14:val="none"/>
              </w:rPr>
              <w:t>1500</w:t>
            </w:r>
          </w:p>
        </w:tc>
      </w:tr>
      <w:tr w:rsidR="00016CE8" w:rsidRPr="00016CE8" w14:paraId="6E3B4795" w14:textId="77777777" w:rsidTr="00F85905">
        <w:trPr>
          <w:trHeight w:val="300"/>
        </w:trPr>
        <w:tc>
          <w:tcPr>
            <w:tcW w:w="720" w:type="dxa"/>
            <w:tcBorders>
              <w:top w:val="nil"/>
              <w:left w:val="single" w:sz="4" w:space="0" w:color="auto"/>
              <w:bottom w:val="single" w:sz="4" w:space="0" w:color="auto"/>
              <w:right w:val="single" w:sz="4" w:space="0" w:color="auto"/>
            </w:tcBorders>
            <w:shd w:val="clear" w:color="auto" w:fill="auto"/>
            <w:noWrap/>
            <w:vAlign w:val="bottom"/>
            <w:hideMark/>
          </w:tcPr>
          <w:p w14:paraId="78C2EBF7" w14:textId="77777777" w:rsidR="00016CE8" w:rsidRPr="00016CE8" w:rsidRDefault="00016CE8" w:rsidP="00016CE8">
            <w:pPr>
              <w:spacing w:after="0" w:line="240" w:lineRule="auto"/>
              <w:jc w:val="right"/>
              <w:rPr>
                <w:rFonts w:eastAsia="Times New Roman" w:cstheme="minorHAnsi"/>
                <w:noProof w:val="0"/>
                <w:color w:val="000000"/>
                <w:kern w:val="0"/>
                <w:lang w:val="en-US"/>
                <w14:ligatures w14:val="none"/>
              </w:rPr>
            </w:pPr>
            <w:r w:rsidRPr="00016CE8">
              <w:rPr>
                <w:rFonts w:eastAsia="Times New Roman" w:cstheme="minorHAnsi"/>
                <w:noProof w:val="0"/>
                <w:color w:val="000000"/>
                <w:kern w:val="0"/>
                <w:lang w:val="en-US"/>
                <w14:ligatures w14:val="none"/>
              </w:rPr>
              <w:t>2</w:t>
            </w:r>
          </w:p>
        </w:tc>
        <w:tc>
          <w:tcPr>
            <w:tcW w:w="1525" w:type="dxa"/>
            <w:tcBorders>
              <w:top w:val="nil"/>
              <w:left w:val="nil"/>
              <w:bottom w:val="single" w:sz="4" w:space="0" w:color="auto"/>
              <w:right w:val="single" w:sz="4" w:space="0" w:color="auto"/>
            </w:tcBorders>
            <w:shd w:val="clear" w:color="auto" w:fill="auto"/>
            <w:noWrap/>
            <w:vAlign w:val="bottom"/>
            <w:hideMark/>
          </w:tcPr>
          <w:p w14:paraId="68E3616F" w14:textId="77777777" w:rsidR="00016CE8" w:rsidRPr="00016CE8" w:rsidRDefault="00016CE8" w:rsidP="00016CE8">
            <w:pPr>
              <w:spacing w:after="0" w:line="240" w:lineRule="auto"/>
              <w:jc w:val="right"/>
              <w:rPr>
                <w:rFonts w:eastAsia="Times New Roman" w:cstheme="minorHAnsi"/>
                <w:noProof w:val="0"/>
                <w:color w:val="000000"/>
                <w:kern w:val="0"/>
                <w:lang w:val="en-US"/>
                <w14:ligatures w14:val="none"/>
              </w:rPr>
            </w:pPr>
            <w:r w:rsidRPr="00016CE8">
              <w:rPr>
                <w:rFonts w:eastAsia="Times New Roman" w:cstheme="minorHAnsi"/>
                <w:noProof w:val="0"/>
                <w:color w:val="000000"/>
                <w:kern w:val="0"/>
                <w:lang w:val="en-US"/>
                <w14:ligatures w14:val="none"/>
              </w:rPr>
              <w:t>2000</w:t>
            </w:r>
          </w:p>
        </w:tc>
        <w:tc>
          <w:tcPr>
            <w:tcW w:w="1530" w:type="dxa"/>
            <w:tcBorders>
              <w:top w:val="nil"/>
              <w:left w:val="nil"/>
              <w:bottom w:val="single" w:sz="4" w:space="0" w:color="auto"/>
              <w:right w:val="single" w:sz="4" w:space="0" w:color="auto"/>
            </w:tcBorders>
            <w:shd w:val="clear" w:color="auto" w:fill="auto"/>
            <w:noWrap/>
            <w:vAlign w:val="bottom"/>
            <w:hideMark/>
          </w:tcPr>
          <w:p w14:paraId="761DBF28" w14:textId="77777777" w:rsidR="00016CE8" w:rsidRPr="00016CE8" w:rsidRDefault="00016CE8" w:rsidP="00016CE8">
            <w:pPr>
              <w:spacing w:after="0" w:line="240" w:lineRule="auto"/>
              <w:jc w:val="right"/>
              <w:rPr>
                <w:rFonts w:eastAsia="Times New Roman" w:cstheme="minorHAnsi"/>
                <w:noProof w:val="0"/>
                <w:color w:val="000000"/>
                <w:kern w:val="0"/>
                <w:lang w:val="en-US"/>
                <w14:ligatures w14:val="none"/>
              </w:rPr>
            </w:pPr>
            <w:r w:rsidRPr="00016CE8">
              <w:rPr>
                <w:rFonts w:eastAsia="Times New Roman" w:cstheme="minorHAnsi"/>
                <w:noProof w:val="0"/>
                <w:color w:val="000000"/>
                <w:kern w:val="0"/>
                <w:lang w:val="en-US"/>
                <w14:ligatures w14:val="none"/>
              </w:rPr>
              <w:t>1000</w:t>
            </w:r>
          </w:p>
        </w:tc>
      </w:tr>
      <w:tr w:rsidR="00016CE8" w:rsidRPr="00016CE8" w14:paraId="243E0BA6" w14:textId="77777777" w:rsidTr="00F85905">
        <w:trPr>
          <w:trHeight w:val="300"/>
        </w:trPr>
        <w:tc>
          <w:tcPr>
            <w:tcW w:w="720" w:type="dxa"/>
            <w:tcBorders>
              <w:top w:val="nil"/>
              <w:left w:val="single" w:sz="4" w:space="0" w:color="auto"/>
              <w:bottom w:val="single" w:sz="4" w:space="0" w:color="auto"/>
              <w:right w:val="single" w:sz="4" w:space="0" w:color="auto"/>
            </w:tcBorders>
            <w:shd w:val="clear" w:color="auto" w:fill="auto"/>
            <w:noWrap/>
            <w:vAlign w:val="bottom"/>
            <w:hideMark/>
          </w:tcPr>
          <w:p w14:paraId="73360840" w14:textId="77777777" w:rsidR="00016CE8" w:rsidRPr="00016CE8" w:rsidRDefault="00016CE8" w:rsidP="00016CE8">
            <w:pPr>
              <w:spacing w:after="0" w:line="240" w:lineRule="auto"/>
              <w:jc w:val="right"/>
              <w:rPr>
                <w:rFonts w:eastAsia="Times New Roman" w:cstheme="minorHAnsi"/>
                <w:noProof w:val="0"/>
                <w:color w:val="000000"/>
                <w:kern w:val="0"/>
                <w:lang w:val="en-US"/>
                <w14:ligatures w14:val="none"/>
              </w:rPr>
            </w:pPr>
            <w:r w:rsidRPr="00016CE8">
              <w:rPr>
                <w:rFonts w:eastAsia="Times New Roman" w:cstheme="minorHAnsi"/>
                <w:noProof w:val="0"/>
                <w:color w:val="000000"/>
                <w:kern w:val="0"/>
                <w:lang w:val="en-US"/>
                <w14:ligatures w14:val="none"/>
              </w:rPr>
              <w:t>3</w:t>
            </w:r>
          </w:p>
        </w:tc>
        <w:tc>
          <w:tcPr>
            <w:tcW w:w="1525" w:type="dxa"/>
            <w:tcBorders>
              <w:top w:val="nil"/>
              <w:left w:val="nil"/>
              <w:bottom w:val="single" w:sz="4" w:space="0" w:color="auto"/>
              <w:right w:val="single" w:sz="4" w:space="0" w:color="auto"/>
            </w:tcBorders>
            <w:shd w:val="clear" w:color="auto" w:fill="auto"/>
            <w:noWrap/>
            <w:vAlign w:val="bottom"/>
            <w:hideMark/>
          </w:tcPr>
          <w:p w14:paraId="7AE77974" w14:textId="77777777" w:rsidR="00016CE8" w:rsidRPr="00016CE8" w:rsidRDefault="00016CE8" w:rsidP="00016CE8">
            <w:pPr>
              <w:spacing w:after="0" w:line="240" w:lineRule="auto"/>
              <w:jc w:val="right"/>
              <w:rPr>
                <w:rFonts w:eastAsia="Times New Roman" w:cstheme="minorHAnsi"/>
                <w:noProof w:val="0"/>
                <w:color w:val="000000"/>
                <w:kern w:val="0"/>
                <w:lang w:val="en-US"/>
                <w14:ligatures w14:val="none"/>
              </w:rPr>
            </w:pPr>
            <w:r w:rsidRPr="00016CE8">
              <w:rPr>
                <w:rFonts w:eastAsia="Times New Roman" w:cstheme="minorHAnsi"/>
                <w:noProof w:val="0"/>
                <w:color w:val="000000"/>
                <w:kern w:val="0"/>
                <w:lang w:val="en-US"/>
                <w14:ligatures w14:val="none"/>
              </w:rPr>
              <w:t>1000</w:t>
            </w:r>
          </w:p>
        </w:tc>
        <w:tc>
          <w:tcPr>
            <w:tcW w:w="1530" w:type="dxa"/>
            <w:tcBorders>
              <w:top w:val="nil"/>
              <w:left w:val="nil"/>
              <w:bottom w:val="single" w:sz="4" w:space="0" w:color="auto"/>
              <w:right w:val="single" w:sz="4" w:space="0" w:color="auto"/>
            </w:tcBorders>
            <w:shd w:val="clear" w:color="auto" w:fill="auto"/>
            <w:noWrap/>
            <w:vAlign w:val="bottom"/>
            <w:hideMark/>
          </w:tcPr>
          <w:p w14:paraId="1D2B613C" w14:textId="77777777" w:rsidR="00016CE8" w:rsidRPr="00016CE8" w:rsidRDefault="00016CE8" w:rsidP="00016CE8">
            <w:pPr>
              <w:spacing w:after="0" w:line="240" w:lineRule="auto"/>
              <w:jc w:val="right"/>
              <w:rPr>
                <w:rFonts w:eastAsia="Times New Roman" w:cstheme="minorHAnsi"/>
                <w:noProof w:val="0"/>
                <w:color w:val="000000"/>
                <w:kern w:val="0"/>
                <w:lang w:val="en-US"/>
                <w14:ligatures w14:val="none"/>
              </w:rPr>
            </w:pPr>
            <w:r w:rsidRPr="00016CE8">
              <w:rPr>
                <w:rFonts w:eastAsia="Times New Roman" w:cstheme="minorHAnsi"/>
                <w:noProof w:val="0"/>
                <w:color w:val="000000"/>
                <w:kern w:val="0"/>
                <w:lang w:val="en-US"/>
                <w14:ligatures w14:val="none"/>
              </w:rPr>
              <w:t>1000</w:t>
            </w:r>
          </w:p>
        </w:tc>
      </w:tr>
      <w:tr w:rsidR="00016CE8" w:rsidRPr="00016CE8" w14:paraId="43CEA85D" w14:textId="77777777" w:rsidTr="00F85905">
        <w:trPr>
          <w:trHeight w:val="300"/>
        </w:trPr>
        <w:tc>
          <w:tcPr>
            <w:tcW w:w="720" w:type="dxa"/>
            <w:tcBorders>
              <w:top w:val="nil"/>
              <w:left w:val="single" w:sz="4" w:space="0" w:color="auto"/>
              <w:bottom w:val="single" w:sz="4" w:space="0" w:color="auto"/>
              <w:right w:val="single" w:sz="4" w:space="0" w:color="auto"/>
            </w:tcBorders>
            <w:shd w:val="clear" w:color="auto" w:fill="auto"/>
            <w:noWrap/>
            <w:vAlign w:val="bottom"/>
            <w:hideMark/>
          </w:tcPr>
          <w:p w14:paraId="7B519267" w14:textId="77777777" w:rsidR="00016CE8" w:rsidRPr="00016CE8" w:rsidRDefault="00016CE8" w:rsidP="00016CE8">
            <w:pPr>
              <w:spacing w:after="0" w:line="240" w:lineRule="auto"/>
              <w:jc w:val="right"/>
              <w:rPr>
                <w:rFonts w:eastAsia="Times New Roman" w:cstheme="minorHAnsi"/>
                <w:noProof w:val="0"/>
                <w:color w:val="000000"/>
                <w:kern w:val="0"/>
                <w:lang w:val="en-US"/>
                <w14:ligatures w14:val="none"/>
              </w:rPr>
            </w:pPr>
            <w:r w:rsidRPr="00016CE8">
              <w:rPr>
                <w:rFonts w:eastAsia="Times New Roman" w:cstheme="minorHAnsi"/>
                <w:noProof w:val="0"/>
                <w:color w:val="000000"/>
                <w:kern w:val="0"/>
                <w:lang w:val="en-US"/>
                <w14:ligatures w14:val="none"/>
              </w:rPr>
              <w:t>4</w:t>
            </w:r>
          </w:p>
        </w:tc>
        <w:tc>
          <w:tcPr>
            <w:tcW w:w="1525" w:type="dxa"/>
            <w:tcBorders>
              <w:top w:val="nil"/>
              <w:left w:val="nil"/>
              <w:bottom w:val="single" w:sz="4" w:space="0" w:color="auto"/>
              <w:right w:val="single" w:sz="4" w:space="0" w:color="auto"/>
            </w:tcBorders>
            <w:shd w:val="clear" w:color="auto" w:fill="auto"/>
            <w:noWrap/>
            <w:vAlign w:val="bottom"/>
            <w:hideMark/>
          </w:tcPr>
          <w:p w14:paraId="036A74FB" w14:textId="77777777" w:rsidR="00016CE8" w:rsidRPr="00016CE8" w:rsidRDefault="00016CE8" w:rsidP="00016CE8">
            <w:pPr>
              <w:spacing w:after="0" w:line="240" w:lineRule="auto"/>
              <w:jc w:val="right"/>
              <w:rPr>
                <w:rFonts w:eastAsia="Times New Roman" w:cstheme="minorHAnsi"/>
                <w:noProof w:val="0"/>
                <w:color w:val="000000"/>
                <w:kern w:val="0"/>
                <w:lang w:val="en-US"/>
                <w14:ligatures w14:val="none"/>
              </w:rPr>
            </w:pPr>
            <w:r w:rsidRPr="00016CE8">
              <w:rPr>
                <w:rFonts w:eastAsia="Times New Roman" w:cstheme="minorHAnsi"/>
                <w:noProof w:val="0"/>
                <w:color w:val="000000"/>
                <w:kern w:val="0"/>
                <w:lang w:val="en-US"/>
                <w14:ligatures w14:val="none"/>
              </w:rPr>
              <w:t>-442</w:t>
            </w:r>
          </w:p>
        </w:tc>
        <w:tc>
          <w:tcPr>
            <w:tcW w:w="1530" w:type="dxa"/>
            <w:tcBorders>
              <w:top w:val="nil"/>
              <w:left w:val="nil"/>
              <w:bottom w:val="single" w:sz="4" w:space="0" w:color="auto"/>
              <w:right w:val="single" w:sz="4" w:space="0" w:color="auto"/>
            </w:tcBorders>
            <w:shd w:val="clear" w:color="auto" w:fill="auto"/>
            <w:noWrap/>
            <w:vAlign w:val="bottom"/>
            <w:hideMark/>
          </w:tcPr>
          <w:p w14:paraId="26166287" w14:textId="77777777" w:rsidR="00016CE8" w:rsidRPr="00016CE8" w:rsidRDefault="00016CE8" w:rsidP="00016CE8">
            <w:pPr>
              <w:spacing w:after="0" w:line="240" w:lineRule="auto"/>
              <w:jc w:val="right"/>
              <w:rPr>
                <w:rFonts w:eastAsia="Times New Roman" w:cstheme="minorHAnsi"/>
                <w:noProof w:val="0"/>
                <w:color w:val="000000"/>
                <w:kern w:val="0"/>
                <w:lang w:val="en-US"/>
                <w14:ligatures w14:val="none"/>
              </w:rPr>
            </w:pPr>
            <w:r w:rsidRPr="00016CE8">
              <w:rPr>
                <w:rFonts w:eastAsia="Times New Roman" w:cstheme="minorHAnsi"/>
                <w:noProof w:val="0"/>
                <w:color w:val="000000"/>
                <w:kern w:val="0"/>
                <w:lang w:val="en-US"/>
                <w14:ligatures w14:val="none"/>
              </w:rPr>
              <w:t>-470</w:t>
            </w:r>
          </w:p>
        </w:tc>
      </w:tr>
    </w:tbl>
    <w:p w14:paraId="62AF1CD3" w14:textId="77777777" w:rsidR="00016CE8" w:rsidRPr="0009016F" w:rsidRDefault="00016CE8" w:rsidP="000D79CE">
      <w:pPr>
        <w:spacing w:line="360" w:lineRule="auto"/>
        <w:jc w:val="both"/>
        <w:rPr>
          <w:rFonts w:cstheme="minorHAnsi"/>
        </w:rPr>
      </w:pPr>
    </w:p>
    <w:p w14:paraId="1DD2CA19" w14:textId="47468111" w:rsidR="000D79CE" w:rsidRPr="00CA6176" w:rsidRDefault="0009016F" w:rsidP="00CA6176">
      <w:pPr>
        <w:spacing w:line="360" w:lineRule="auto"/>
        <w:jc w:val="both"/>
        <w:rPr>
          <w:rFonts w:cstheme="minorHAnsi"/>
        </w:rPr>
      </w:pPr>
      <w:r w:rsidRPr="0009016F">
        <w:rPr>
          <w:rFonts w:cstheme="minorHAnsi"/>
        </w:rPr>
        <w:t>Assume that the company's cost of capital is currently at 0.75 percent. Assume all cash flows arise at year</w:t>
      </w:r>
      <w:r w:rsidR="00CA6176">
        <w:rPr>
          <w:rFonts w:cstheme="minorHAnsi"/>
        </w:rPr>
        <w:t xml:space="preserve"> </w:t>
      </w:r>
      <w:r w:rsidRPr="0009016F">
        <w:rPr>
          <w:rFonts w:cstheme="minorHAnsi"/>
        </w:rPr>
        <w:t>ends and ignore taxation and inflation.</w:t>
      </w:r>
    </w:p>
    <w:p w14:paraId="3A9FEDE2" w14:textId="5BC87E66" w:rsidR="000D79CE" w:rsidRPr="00883435" w:rsidRDefault="000D79CE" w:rsidP="00883435">
      <w:pPr>
        <w:pStyle w:val="ListParagraph"/>
        <w:numPr>
          <w:ilvl w:val="1"/>
          <w:numId w:val="26"/>
        </w:numPr>
        <w:spacing w:line="360" w:lineRule="auto"/>
        <w:jc w:val="both"/>
        <w:rPr>
          <w:rFonts w:cstheme="minorHAnsi"/>
          <w:b/>
          <w:bCs/>
          <w:lang w:val="en-US"/>
        </w:rPr>
      </w:pPr>
      <w:r w:rsidRPr="00883435">
        <w:rPr>
          <w:rFonts w:cstheme="minorHAnsi"/>
          <w:b/>
          <w:bCs/>
          <w:lang w:val="en-US"/>
        </w:rPr>
        <w:t>Payback Period (PBP)</w:t>
      </w:r>
    </w:p>
    <w:p w14:paraId="496BBC38" w14:textId="75BD9A20" w:rsidR="0009016F" w:rsidRPr="0009016F" w:rsidRDefault="0009016F" w:rsidP="000D79CE">
      <w:pPr>
        <w:spacing w:line="360" w:lineRule="auto"/>
        <w:jc w:val="both"/>
        <w:rPr>
          <w:rFonts w:cstheme="minorHAnsi"/>
          <w:lang w:val="en-US"/>
        </w:rPr>
      </w:pPr>
      <w:r w:rsidRPr="0009016F">
        <w:rPr>
          <w:rFonts w:cstheme="minorHAnsi"/>
          <w:lang w:val="en-US"/>
        </w:rPr>
        <w:t>The payback period (PBP) is a simple financial metric used to evaluate the time it takes for an investment to recover its initial cost. The formula for calculating the payback period is:</w:t>
      </w:r>
    </w:p>
    <w:p w14:paraId="3522A154" w14:textId="63AA425F" w:rsidR="0009016F" w:rsidRPr="00883435" w:rsidRDefault="0009016F" w:rsidP="000D79CE">
      <w:pPr>
        <w:spacing w:line="360" w:lineRule="auto"/>
        <w:jc w:val="both"/>
        <w:rPr>
          <w:rFonts w:eastAsiaTheme="minorEastAsia" w:cstheme="minorHAnsi"/>
          <w:i/>
          <w:iCs/>
          <w:lang w:val="en-US"/>
        </w:rPr>
      </w:pPr>
      <w:r w:rsidRPr="00883435">
        <w:rPr>
          <w:rFonts w:eastAsiaTheme="minorEastAsia" w:cstheme="minorHAnsi"/>
          <w:i/>
          <w:iCs/>
          <w:lang w:val="en-US"/>
        </w:rPr>
        <w:t>Payback period</w:t>
      </w:r>
      <m:oMath>
        <m:r>
          <w:rPr>
            <w:rFonts w:ascii="Cambria Math" w:eastAsiaTheme="minorEastAsia" w:hAnsi="Cambria Math" w:cstheme="minorHAnsi"/>
            <w:lang w:val="en-US"/>
          </w:rPr>
          <m:t>=</m:t>
        </m:r>
      </m:oMath>
      <w:r w:rsidRPr="00883435">
        <w:rPr>
          <w:rFonts w:eastAsiaTheme="minorEastAsia" w:cstheme="minorHAnsi"/>
          <w:i/>
          <w:iCs/>
          <w:lang w:val="en-US"/>
        </w:rPr>
        <w:t xml:space="preserve"> </w:t>
      </w:r>
      <m:oMath>
        <m:f>
          <m:fPr>
            <m:ctrlPr>
              <w:rPr>
                <w:rFonts w:ascii="Cambria Math" w:hAnsi="Cambria Math" w:cstheme="minorHAnsi"/>
                <w:i/>
                <w:iCs/>
                <w:lang w:val="en-US"/>
              </w:rPr>
            </m:ctrlPr>
          </m:fPr>
          <m:num>
            <m:r>
              <w:rPr>
                <w:rFonts w:ascii="Cambria Math" w:hAnsi="Cambria Math" w:cstheme="minorHAnsi"/>
                <w:lang w:val="en-US"/>
              </w:rPr>
              <m:t>Initial Investment</m:t>
            </m:r>
          </m:num>
          <m:den>
            <m:r>
              <w:rPr>
                <w:rFonts w:ascii="Cambria Math" w:hAnsi="Cambria Math" w:cstheme="minorHAnsi"/>
                <w:lang w:val="en-US"/>
              </w:rPr>
              <m:t>Net Anual Cesh Inflow</m:t>
            </m:r>
          </m:den>
        </m:f>
      </m:oMath>
    </w:p>
    <w:p w14:paraId="74BFC8AD" w14:textId="0F08C58D" w:rsidR="0009016F" w:rsidRPr="0009016F" w:rsidRDefault="0009016F" w:rsidP="0009016F">
      <w:pPr>
        <w:spacing w:line="360" w:lineRule="auto"/>
        <w:jc w:val="both"/>
        <w:rPr>
          <w:rFonts w:cstheme="minorHAnsi"/>
          <w:lang w:val="en-US"/>
        </w:rPr>
      </w:pPr>
      <w:r w:rsidRPr="0009016F">
        <w:rPr>
          <w:rFonts w:cstheme="minorHAnsi"/>
          <w:lang w:val="en-US"/>
        </w:rPr>
        <w:t>Where:</w:t>
      </w:r>
    </w:p>
    <w:p w14:paraId="29BF50C9" w14:textId="27311EAC" w:rsidR="0009016F" w:rsidRPr="0009016F" w:rsidRDefault="0009016F" w:rsidP="0009016F">
      <w:pPr>
        <w:spacing w:line="360" w:lineRule="auto"/>
        <w:jc w:val="both"/>
        <w:rPr>
          <w:rFonts w:cstheme="minorHAnsi"/>
          <w:lang w:val="en-US"/>
        </w:rPr>
      </w:pPr>
      <w:r w:rsidRPr="0009016F">
        <w:rPr>
          <w:rFonts w:cstheme="minorHAnsi"/>
          <w:lang w:val="en-US"/>
        </w:rPr>
        <w:t>The initial investment is the amount of money invested initially. Net Annual Cash Inflow refers to the cash inflow generated by the investment on an annual basis. However, if the net annual cash inflow is constant each year, you can use a simpler version of the formula:</w:t>
      </w:r>
    </w:p>
    <w:p w14:paraId="24C50E9B" w14:textId="25F7101A" w:rsidR="00CA6176" w:rsidRPr="00883435" w:rsidRDefault="0009016F" w:rsidP="0009016F">
      <w:pPr>
        <w:spacing w:line="360" w:lineRule="auto"/>
        <w:jc w:val="both"/>
        <w:rPr>
          <w:rFonts w:eastAsiaTheme="minorEastAsia" w:cstheme="minorHAnsi"/>
          <w:i/>
          <w:iCs/>
          <w:lang w:val="en-US"/>
        </w:rPr>
      </w:pPr>
      <w:r w:rsidRPr="00883435">
        <w:rPr>
          <w:rFonts w:cstheme="minorHAnsi"/>
          <w:i/>
          <w:iCs/>
          <w:lang w:val="en-US"/>
        </w:rPr>
        <w:t>Payback period</w:t>
      </w:r>
      <m:oMath>
        <m:r>
          <w:rPr>
            <w:rFonts w:ascii="Cambria Math" w:hAnsi="Cambria Math" w:cstheme="minorHAnsi"/>
            <w:lang w:val="en-US"/>
          </w:rPr>
          <m:t>=</m:t>
        </m:r>
      </m:oMath>
      <w:r w:rsidRPr="00883435">
        <w:rPr>
          <w:rFonts w:cstheme="minorHAnsi"/>
          <w:i/>
          <w:iCs/>
          <w:lang w:val="en-US"/>
        </w:rPr>
        <w:t xml:space="preserve"> </w:t>
      </w:r>
      <m:oMath>
        <m:f>
          <m:fPr>
            <m:ctrlPr>
              <w:rPr>
                <w:rFonts w:ascii="Cambria Math" w:hAnsi="Cambria Math" w:cstheme="minorHAnsi"/>
                <w:i/>
                <w:iCs/>
                <w:lang w:val="en-US"/>
              </w:rPr>
            </m:ctrlPr>
          </m:fPr>
          <m:num>
            <m:r>
              <w:rPr>
                <w:rFonts w:ascii="Cambria Math" w:hAnsi="Cambria Math" w:cstheme="minorHAnsi"/>
                <w:lang w:val="en-US"/>
              </w:rPr>
              <m:t xml:space="preserve">Initial Investment </m:t>
            </m:r>
          </m:num>
          <m:den>
            <m:r>
              <w:rPr>
                <w:rFonts w:ascii="Cambria Math" w:hAnsi="Cambria Math" w:cstheme="minorHAnsi"/>
                <w:lang w:val="en-US"/>
              </w:rPr>
              <m:t xml:space="preserve">Annual Cech Inflow </m:t>
            </m:r>
          </m:den>
        </m:f>
      </m:oMath>
    </w:p>
    <w:p w14:paraId="23E0D7D9" w14:textId="3E4473B8" w:rsidR="00CA6176" w:rsidRPr="00CA6176" w:rsidRDefault="0009016F" w:rsidP="00CA6176">
      <w:pPr>
        <w:spacing w:line="360" w:lineRule="auto"/>
        <w:jc w:val="both"/>
        <w:rPr>
          <w:rFonts w:cstheme="minorHAnsi"/>
          <w:b/>
          <w:bCs/>
          <w:lang w:val="en-US"/>
        </w:rPr>
      </w:pPr>
      <w:r w:rsidRPr="007E4FEB">
        <w:rPr>
          <w:rFonts w:cstheme="minorHAnsi"/>
          <w:b/>
          <w:bCs/>
          <w:lang w:val="en-US"/>
        </w:rPr>
        <w:t>P</w:t>
      </w:r>
      <w:r w:rsidR="00CA6176" w:rsidRPr="007E4FEB">
        <w:rPr>
          <w:rFonts w:cstheme="minorHAnsi"/>
          <w:b/>
          <w:bCs/>
          <w:lang w:val="en-US"/>
        </w:rPr>
        <w:t>R</w:t>
      </w:r>
      <w:r w:rsidRPr="007E4FEB">
        <w:rPr>
          <w:rFonts w:cstheme="minorHAnsi"/>
          <w:b/>
          <w:bCs/>
          <w:lang w:val="en-US"/>
        </w:rPr>
        <w:t xml:space="preserve">OJECT  A </w:t>
      </w:r>
    </w:p>
    <w:tbl>
      <w:tblPr>
        <w:tblpPr w:leftFromText="180" w:rightFromText="180" w:vertAnchor="text" w:tblpY="1"/>
        <w:tblOverlap w:val="never"/>
        <w:tblW w:w="66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1134"/>
        <w:gridCol w:w="5521"/>
      </w:tblGrid>
      <w:tr w:rsidR="00CA6176" w:rsidRPr="00CA6176" w14:paraId="42C472E4" w14:textId="77777777" w:rsidTr="00F85905">
        <w:trPr>
          <w:trHeight w:val="298"/>
        </w:trPr>
        <w:tc>
          <w:tcPr>
            <w:tcW w:w="0" w:type="auto"/>
            <w:tcMar>
              <w:top w:w="30" w:type="dxa"/>
              <w:left w:w="45" w:type="dxa"/>
              <w:bottom w:w="30" w:type="dxa"/>
              <w:right w:w="45" w:type="dxa"/>
            </w:tcMar>
            <w:vAlign w:val="bottom"/>
            <w:hideMark/>
          </w:tcPr>
          <w:p w14:paraId="5C3A6C7C" w14:textId="77777777" w:rsidR="00CA6176" w:rsidRPr="00CA6176" w:rsidRDefault="00CA6176" w:rsidP="00CA6176">
            <w:pPr>
              <w:spacing w:after="0" w:line="240" w:lineRule="auto"/>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**Year</w:t>
            </w:r>
          </w:p>
        </w:tc>
        <w:tc>
          <w:tcPr>
            <w:tcW w:w="5521" w:type="dxa"/>
            <w:tcMar>
              <w:top w:w="30" w:type="dxa"/>
              <w:left w:w="45" w:type="dxa"/>
              <w:bottom w:w="30" w:type="dxa"/>
              <w:right w:w="45" w:type="dxa"/>
            </w:tcMar>
            <w:vAlign w:val="bottom"/>
            <w:hideMark/>
          </w:tcPr>
          <w:p w14:paraId="4860C077" w14:textId="77777777" w:rsidR="00CA6176" w:rsidRPr="00CA6176" w:rsidRDefault="00CA6176" w:rsidP="00CA6176">
            <w:pPr>
              <w:spacing w:after="0" w:line="240" w:lineRule="auto"/>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Cash Flow (CFt)**</w:t>
            </w:r>
          </w:p>
        </w:tc>
      </w:tr>
      <w:tr w:rsidR="00CA6176" w:rsidRPr="00CA6176" w14:paraId="26D3714B" w14:textId="77777777" w:rsidTr="00F85905">
        <w:trPr>
          <w:trHeight w:val="298"/>
        </w:trPr>
        <w:tc>
          <w:tcPr>
            <w:tcW w:w="0" w:type="auto"/>
            <w:tcMar>
              <w:top w:w="30" w:type="dxa"/>
              <w:left w:w="45" w:type="dxa"/>
              <w:bottom w:w="30" w:type="dxa"/>
              <w:right w:w="45" w:type="dxa"/>
            </w:tcMar>
            <w:vAlign w:val="bottom"/>
            <w:hideMark/>
          </w:tcPr>
          <w:p w14:paraId="0578709F" w14:textId="08566036" w:rsidR="00CA6176" w:rsidRPr="00CA6176" w:rsidRDefault="00CA6176" w:rsidP="00CA6176">
            <w:pPr>
              <w:spacing w:after="0" w:line="240" w:lineRule="auto"/>
              <w:jc w:val="right"/>
              <w:rPr>
                <w:rFonts w:ascii="Arial" w:eastAsia="Times New Roman" w:hAnsi="Arial" w:cs="Arial"/>
                <w:noProof w:val="0"/>
                <w:kern w:val="0"/>
                <w:sz w:val="20"/>
                <w:szCs w:val="20"/>
                <w:lang w:val="en-US"/>
                <w14:ligatures w14:val="none"/>
              </w:rPr>
            </w:pPr>
            <w:r>
              <w:rPr>
                <w:rFonts w:ascii="Arial" w:eastAsia="Times New Roman" w:hAnsi="Arial" w:cs="Arial"/>
                <w:noProof w:val="0"/>
                <w:kern w:val="0"/>
                <w:sz w:val="20"/>
                <w:szCs w:val="20"/>
                <w:lang w:val="en-US"/>
                <w14:ligatures w14:val="none"/>
              </w:rPr>
              <w:t xml:space="preserve">  </w:t>
            </w:r>
            <w:r w:rsidRPr="00CA6176">
              <w:rPr>
                <w:rFonts w:ascii="Arial" w:eastAsia="Times New Roman" w:hAnsi="Arial" w:cs="Arial"/>
                <w:noProof w:val="0"/>
                <w:kern w:val="0"/>
                <w:sz w:val="20"/>
                <w:szCs w:val="20"/>
                <w:lang w:val="en-US"/>
                <w14:ligatures w14:val="none"/>
              </w:rPr>
              <w:t>0</w:t>
            </w:r>
          </w:p>
        </w:tc>
        <w:tc>
          <w:tcPr>
            <w:tcW w:w="5521" w:type="dxa"/>
            <w:tcMar>
              <w:top w:w="30" w:type="dxa"/>
              <w:left w:w="45" w:type="dxa"/>
              <w:bottom w:w="30" w:type="dxa"/>
              <w:right w:w="45" w:type="dxa"/>
            </w:tcMar>
            <w:vAlign w:val="bottom"/>
            <w:hideMark/>
          </w:tcPr>
          <w:p w14:paraId="7885246D" w14:textId="77777777" w:rsidR="00CA6176" w:rsidRPr="00CA6176" w:rsidRDefault="00CA6176" w:rsidP="00CA6176">
            <w:pPr>
              <w:spacing w:after="0" w:line="240" w:lineRule="auto"/>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-5000 (Initial Investment)</w:t>
            </w:r>
          </w:p>
        </w:tc>
      </w:tr>
      <w:tr w:rsidR="00CA6176" w:rsidRPr="00CA6176" w14:paraId="4B0332C5" w14:textId="77777777" w:rsidTr="00F85905">
        <w:trPr>
          <w:trHeight w:val="298"/>
        </w:trPr>
        <w:tc>
          <w:tcPr>
            <w:tcW w:w="0" w:type="auto"/>
            <w:tcMar>
              <w:top w:w="30" w:type="dxa"/>
              <w:left w:w="45" w:type="dxa"/>
              <w:bottom w:w="30" w:type="dxa"/>
              <w:right w:w="45" w:type="dxa"/>
            </w:tcMar>
            <w:vAlign w:val="bottom"/>
            <w:hideMark/>
          </w:tcPr>
          <w:p w14:paraId="18AE224A" w14:textId="77777777" w:rsidR="00CA6176" w:rsidRPr="00CA6176" w:rsidRDefault="00CA6176" w:rsidP="00CA6176">
            <w:pPr>
              <w:spacing w:after="0" w:line="240" w:lineRule="auto"/>
              <w:jc w:val="right"/>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1</w:t>
            </w:r>
          </w:p>
        </w:tc>
        <w:tc>
          <w:tcPr>
            <w:tcW w:w="5521" w:type="dxa"/>
            <w:tcMar>
              <w:top w:w="30" w:type="dxa"/>
              <w:left w:w="45" w:type="dxa"/>
              <w:bottom w:w="30" w:type="dxa"/>
              <w:right w:w="45" w:type="dxa"/>
            </w:tcMar>
            <w:vAlign w:val="bottom"/>
            <w:hideMark/>
          </w:tcPr>
          <w:p w14:paraId="6B6634C4" w14:textId="77777777" w:rsidR="00CA6176" w:rsidRPr="00CA6176" w:rsidRDefault="00CA6176" w:rsidP="00CA6176">
            <w:pPr>
              <w:spacing w:after="0" w:line="240" w:lineRule="auto"/>
              <w:jc w:val="right"/>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2500</w:t>
            </w:r>
          </w:p>
        </w:tc>
      </w:tr>
      <w:tr w:rsidR="00CA6176" w:rsidRPr="00CA6176" w14:paraId="5AB7A982" w14:textId="77777777" w:rsidTr="00F85905">
        <w:trPr>
          <w:trHeight w:val="298"/>
        </w:trPr>
        <w:tc>
          <w:tcPr>
            <w:tcW w:w="0" w:type="auto"/>
            <w:tcMar>
              <w:top w:w="30" w:type="dxa"/>
              <w:left w:w="45" w:type="dxa"/>
              <w:bottom w:w="30" w:type="dxa"/>
              <w:right w:w="45" w:type="dxa"/>
            </w:tcMar>
            <w:vAlign w:val="bottom"/>
            <w:hideMark/>
          </w:tcPr>
          <w:p w14:paraId="54BF9B3D" w14:textId="77777777" w:rsidR="00CA6176" w:rsidRPr="00CA6176" w:rsidRDefault="00CA6176" w:rsidP="00CA6176">
            <w:pPr>
              <w:spacing w:after="0" w:line="240" w:lineRule="auto"/>
              <w:jc w:val="right"/>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2</w:t>
            </w:r>
          </w:p>
        </w:tc>
        <w:tc>
          <w:tcPr>
            <w:tcW w:w="5521" w:type="dxa"/>
            <w:tcMar>
              <w:top w:w="30" w:type="dxa"/>
              <w:left w:w="45" w:type="dxa"/>
              <w:bottom w:w="30" w:type="dxa"/>
              <w:right w:w="45" w:type="dxa"/>
            </w:tcMar>
            <w:vAlign w:val="bottom"/>
            <w:hideMark/>
          </w:tcPr>
          <w:p w14:paraId="55B34DAC" w14:textId="77777777" w:rsidR="00CA6176" w:rsidRPr="00CA6176" w:rsidRDefault="00CA6176" w:rsidP="00CA6176">
            <w:pPr>
              <w:spacing w:after="0" w:line="240" w:lineRule="auto"/>
              <w:jc w:val="right"/>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2000</w:t>
            </w:r>
          </w:p>
        </w:tc>
      </w:tr>
      <w:tr w:rsidR="00CA6176" w:rsidRPr="00CA6176" w14:paraId="1758BE06" w14:textId="77777777" w:rsidTr="00F85905">
        <w:trPr>
          <w:trHeight w:val="298"/>
        </w:trPr>
        <w:tc>
          <w:tcPr>
            <w:tcW w:w="0" w:type="auto"/>
            <w:tcMar>
              <w:top w:w="30" w:type="dxa"/>
              <w:left w:w="45" w:type="dxa"/>
              <w:bottom w:w="30" w:type="dxa"/>
              <w:right w:w="45" w:type="dxa"/>
            </w:tcMar>
            <w:vAlign w:val="bottom"/>
            <w:hideMark/>
          </w:tcPr>
          <w:p w14:paraId="52EEBAE4" w14:textId="77777777" w:rsidR="00CA6176" w:rsidRPr="00CA6176" w:rsidRDefault="00CA6176" w:rsidP="00CA6176">
            <w:pPr>
              <w:spacing w:after="0" w:line="240" w:lineRule="auto"/>
              <w:jc w:val="right"/>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3</w:t>
            </w:r>
          </w:p>
        </w:tc>
        <w:tc>
          <w:tcPr>
            <w:tcW w:w="5521" w:type="dxa"/>
            <w:tcMar>
              <w:top w:w="30" w:type="dxa"/>
              <w:left w:w="45" w:type="dxa"/>
              <w:bottom w:w="30" w:type="dxa"/>
              <w:right w:w="45" w:type="dxa"/>
            </w:tcMar>
            <w:vAlign w:val="bottom"/>
            <w:hideMark/>
          </w:tcPr>
          <w:p w14:paraId="2B848E6D" w14:textId="77777777" w:rsidR="00CA6176" w:rsidRPr="00CA6176" w:rsidRDefault="00CA6176" w:rsidP="00CA6176">
            <w:pPr>
              <w:spacing w:after="0" w:line="240" w:lineRule="auto"/>
              <w:jc w:val="right"/>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1000</w:t>
            </w:r>
          </w:p>
        </w:tc>
      </w:tr>
      <w:tr w:rsidR="00CA6176" w:rsidRPr="00CA6176" w14:paraId="59F592B6" w14:textId="77777777" w:rsidTr="00F85905">
        <w:trPr>
          <w:trHeight w:val="298"/>
        </w:trPr>
        <w:tc>
          <w:tcPr>
            <w:tcW w:w="0" w:type="auto"/>
            <w:tcMar>
              <w:top w:w="30" w:type="dxa"/>
              <w:left w:w="45" w:type="dxa"/>
              <w:bottom w:w="30" w:type="dxa"/>
              <w:right w:w="45" w:type="dxa"/>
            </w:tcMar>
            <w:vAlign w:val="bottom"/>
            <w:hideMark/>
          </w:tcPr>
          <w:p w14:paraId="427E982A" w14:textId="77777777" w:rsidR="00CA6176" w:rsidRPr="00CA6176" w:rsidRDefault="00CA6176" w:rsidP="00CA6176">
            <w:pPr>
              <w:spacing w:after="0" w:line="240" w:lineRule="auto"/>
              <w:jc w:val="right"/>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4</w:t>
            </w:r>
          </w:p>
        </w:tc>
        <w:tc>
          <w:tcPr>
            <w:tcW w:w="5521" w:type="dxa"/>
            <w:tcMar>
              <w:top w:w="30" w:type="dxa"/>
              <w:left w:w="45" w:type="dxa"/>
              <w:bottom w:w="30" w:type="dxa"/>
              <w:right w:w="45" w:type="dxa"/>
            </w:tcMar>
            <w:vAlign w:val="bottom"/>
            <w:hideMark/>
          </w:tcPr>
          <w:p w14:paraId="0DA04EA4" w14:textId="77777777" w:rsidR="00CA6176" w:rsidRPr="00CA6176" w:rsidRDefault="00CA6176" w:rsidP="00CA6176">
            <w:pPr>
              <w:spacing w:after="0" w:line="240" w:lineRule="auto"/>
              <w:jc w:val="right"/>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-442</w:t>
            </w:r>
          </w:p>
        </w:tc>
      </w:tr>
    </w:tbl>
    <w:p w14:paraId="2ED6D040" w14:textId="77777777" w:rsidR="00CA6176" w:rsidRDefault="00CA6176" w:rsidP="0009016F">
      <w:pPr>
        <w:spacing w:line="360" w:lineRule="auto"/>
        <w:jc w:val="both"/>
        <w:rPr>
          <w:rFonts w:cstheme="minorHAnsi"/>
          <w:b/>
          <w:bCs/>
          <w:lang w:val="en-US"/>
        </w:rPr>
      </w:pPr>
    </w:p>
    <w:p w14:paraId="6093D71C" w14:textId="77777777" w:rsidR="00F85905" w:rsidRDefault="00F85905" w:rsidP="0009016F">
      <w:pPr>
        <w:spacing w:line="360" w:lineRule="auto"/>
        <w:jc w:val="both"/>
        <w:rPr>
          <w:rFonts w:cstheme="minorHAnsi"/>
          <w:b/>
          <w:bCs/>
          <w:lang w:val="en-US"/>
        </w:rPr>
      </w:pPr>
    </w:p>
    <w:tbl>
      <w:tblPr>
        <w:tblW w:w="66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925"/>
        <w:gridCol w:w="29"/>
        <w:gridCol w:w="4053"/>
        <w:gridCol w:w="1648"/>
      </w:tblGrid>
      <w:tr w:rsidR="007E4FEB" w:rsidRPr="00CA6176" w14:paraId="6D93DDBD" w14:textId="77777777" w:rsidTr="00F85905">
        <w:trPr>
          <w:trHeight w:val="315"/>
        </w:trPr>
        <w:tc>
          <w:tcPr>
            <w:tcW w:w="0" w:type="auto"/>
            <w:tcMar>
              <w:top w:w="30" w:type="dxa"/>
              <w:left w:w="45" w:type="dxa"/>
              <w:bottom w:w="30" w:type="dxa"/>
              <w:right w:w="45" w:type="dxa"/>
            </w:tcMar>
            <w:vAlign w:val="bottom"/>
            <w:hideMark/>
          </w:tcPr>
          <w:p w14:paraId="1588CBF9" w14:textId="77777777" w:rsidR="007E4FEB" w:rsidRPr="00CA6176" w:rsidRDefault="007E4FEB" w:rsidP="00CA6176">
            <w:pPr>
              <w:spacing w:after="0" w:line="240" w:lineRule="auto"/>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lastRenderedPageBreak/>
              <w:t>Year</w:t>
            </w:r>
          </w:p>
        </w:tc>
        <w:tc>
          <w:tcPr>
            <w:tcW w:w="0" w:type="auto"/>
          </w:tcPr>
          <w:p w14:paraId="7AD2C10E" w14:textId="77777777" w:rsidR="007E4FEB" w:rsidRPr="00CA6176" w:rsidRDefault="007E4FEB" w:rsidP="00CA6176">
            <w:pPr>
              <w:spacing w:after="0" w:line="240" w:lineRule="auto"/>
              <w:rPr>
                <w:rFonts w:ascii="Arial" w:eastAsia="Times New Roman" w:hAnsi="Arial" w:cs="Arial"/>
                <w:noProof w:val="0"/>
                <w:kern w:val="0"/>
                <w:sz w:val="20"/>
                <w:szCs w:val="20"/>
                <w:lang w:val="en-US"/>
                <w14:ligatures w14:val="none"/>
              </w:rPr>
            </w:pPr>
          </w:p>
        </w:tc>
        <w:tc>
          <w:tcPr>
            <w:tcW w:w="0" w:type="auto"/>
            <w:tcMar>
              <w:top w:w="30" w:type="dxa"/>
              <w:left w:w="45" w:type="dxa"/>
              <w:bottom w:w="30" w:type="dxa"/>
              <w:right w:w="45" w:type="dxa"/>
            </w:tcMar>
            <w:vAlign w:val="bottom"/>
            <w:hideMark/>
          </w:tcPr>
          <w:p w14:paraId="3C05DA16" w14:textId="7FF5267F" w:rsidR="007E4FEB" w:rsidRPr="00CA6176" w:rsidRDefault="007E4FEB" w:rsidP="00CA6176">
            <w:pPr>
              <w:spacing w:after="0" w:line="240" w:lineRule="auto"/>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Accumulated Cash Flow</w:t>
            </w:r>
          </w:p>
        </w:tc>
        <w:tc>
          <w:tcPr>
            <w:tcW w:w="1648" w:type="dxa"/>
            <w:tcMar>
              <w:top w:w="30" w:type="dxa"/>
              <w:left w:w="45" w:type="dxa"/>
              <w:bottom w:w="30" w:type="dxa"/>
              <w:right w:w="45" w:type="dxa"/>
            </w:tcMar>
            <w:vAlign w:val="bottom"/>
            <w:hideMark/>
          </w:tcPr>
          <w:p w14:paraId="478C5489" w14:textId="77777777" w:rsidR="007E4FEB" w:rsidRPr="00CA6176" w:rsidRDefault="007E4FEB" w:rsidP="00CA6176">
            <w:pPr>
              <w:spacing w:after="0" w:line="240" w:lineRule="auto"/>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Notes</w:t>
            </w:r>
          </w:p>
        </w:tc>
      </w:tr>
      <w:tr w:rsidR="007E4FEB" w:rsidRPr="00CA6176" w14:paraId="6F429B33" w14:textId="77777777" w:rsidTr="00F85905">
        <w:trPr>
          <w:trHeight w:val="315"/>
        </w:trPr>
        <w:tc>
          <w:tcPr>
            <w:tcW w:w="0" w:type="auto"/>
            <w:tcMar>
              <w:top w:w="30" w:type="dxa"/>
              <w:left w:w="45" w:type="dxa"/>
              <w:bottom w:w="30" w:type="dxa"/>
              <w:right w:w="45" w:type="dxa"/>
            </w:tcMar>
            <w:vAlign w:val="bottom"/>
            <w:hideMark/>
          </w:tcPr>
          <w:p w14:paraId="5CAE90EC" w14:textId="77777777" w:rsidR="007E4FEB" w:rsidRPr="00CA6176" w:rsidRDefault="007E4FEB" w:rsidP="00CA6176">
            <w:pPr>
              <w:spacing w:after="0" w:line="240" w:lineRule="auto"/>
              <w:jc w:val="right"/>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0</w:t>
            </w:r>
          </w:p>
        </w:tc>
        <w:tc>
          <w:tcPr>
            <w:tcW w:w="0" w:type="auto"/>
          </w:tcPr>
          <w:p w14:paraId="356B792E" w14:textId="77777777" w:rsidR="007E4FEB" w:rsidRPr="00CA6176" w:rsidRDefault="007E4FEB" w:rsidP="00CA6176">
            <w:pPr>
              <w:spacing w:after="0" w:line="240" w:lineRule="auto"/>
              <w:rPr>
                <w:rFonts w:ascii="Arial" w:eastAsia="Times New Roman" w:hAnsi="Arial" w:cs="Arial"/>
                <w:noProof w:val="0"/>
                <w:kern w:val="0"/>
                <w:sz w:val="20"/>
                <w:szCs w:val="20"/>
                <w:lang w:val="en-US"/>
                <w14:ligatures w14:val="none"/>
              </w:rPr>
            </w:pPr>
          </w:p>
        </w:tc>
        <w:tc>
          <w:tcPr>
            <w:tcW w:w="0" w:type="auto"/>
            <w:tcMar>
              <w:top w:w="30" w:type="dxa"/>
              <w:left w:w="45" w:type="dxa"/>
              <w:bottom w:w="30" w:type="dxa"/>
              <w:right w:w="45" w:type="dxa"/>
            </w:tcMar>
            <w:vAlign w:val="bottom"/>
            <w:hideMark/>
          </w:tcPr>
          <w:p w14:paraId="2FFA91EA" w14:textId="02453E16" w:rsidR="007E4FEB" w:rsidRPr="00CA6176" w:rsidRDefault="007E4FEB" w:rsidP="00CA6176">
            <w:pPr>
              <w:spacing w:after="0" w:line="240" w:lineRule="auto"/>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-£5000</w:t>
            </w:r>
          </w:p>
        </w:tc>
        <w:tc>
          <w:tcPr>
            <w:tcW w:w="1648" w:type="dxa"/>
            <w:tcMar>
              <w:top w:w="30" w:type="dxa"/>
              <w:left w:w="45" w:type="dxa"/>
              <w:bottom w:w="30" w:type="dxa"/>
              <w:right w:w="45" w:type="dxa"/>
            </w:tcMar>
            <w:vAlign w:val="bottom"/>
            <w:hideMark/>
          </w:tcPr>
          <w:p w14:paraId="3ABC923A" w14:textId="77777777" w:rsidR="007E4FEB" w:rsidRPr="00CA6176" w:rsidRDefault="007E4FEB" w:rsidP="00CA6176">
            <w:pPr>
              <w:spacing w:after="0" w:line="240" w:lineRule="auto"/>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Initial Investment</w:t>
            </w:r>
          </w:p>
        </w:tc>
      </w:tr>
      <w:tr w:rsidR="007E4FEB" w:rsidRPr="00CA6176" w14:paraId="328D1EB3" w14:textId="77777777" w:rsidTr="00F85905">
        <w:trPr>
          <w:trHeight w:val="315"/>
        </w:trPr>
        <w:tc>
          <w:tcPr>
            <w:tcW w:w="0" w:type="auto"/>
            <w:tcMar>
              <w:top w:w="30" w:type="dxa"/>
              <w:left w:w="45" w:type="dxa"/>
              <w:bottom w:w="30" w:type="dxa"/>
              <w:right w:w="45" w:type="dxa"/>
            </w:tcMar>
            <w:vAlign w:val="bottom"/>
            <w:hideMark/>
          </w:tcPr>
          <w:p w14:paraId="6948F573" w14:textId="77777777" w:rsidR="007E4FEB" w:rsidRPr="00CA6176" w:rsidRDefault="007E4FEB" w:rsidP="00CA6176">
            <w:pPr>
              <w:spacing w:after="0" w:line="240" w:lineRule="auto"/>
              <w:jc w:val="right"/>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1</w:t>
            </w:r>
          </w:p>
        </w:tc>
        <w:tc>
          <w:tcPr>
            <w:tcW w:w="0" w:type="auto"/>
          </w:tcPr>
          <w:p w14:paraId="70363106" w14:textId="77777777" w:rsidR="007E4FEB" w:rsidRPr="00CA6176" w:rsidRDefault="007E4FEB" w:rsidP="00CA6176">
            <w:pPr>
              <w:spacing w:after="0" w:line="240" w:lineRule="auto"/>
              <w:rPr>
                <w:rFonts w:ascii="Arial" w:eastAsia="Times New Roman" w:hAnsi="Arial" w:cs="Arial"/>
                <w:noProof w:val="0"/>
                <w:kern w:val="0"/>
                <w:sz w:val="20"/>
                <w:szCs w:val="20"/>
                <w:lang w:val="en-US"/>
                <w14:ligatures w14:val="none"/>
              </w:rPr>
            </w:pPr>
          </w:p>
        </w:tc>
        <w:tc>
          <w:tcPr>
            <w:tcW w:w="0" w:type="auto"/>
            <w:tcMar>
              <w:top w:w="30" w:type="dxa"/>
              <w:left w:w="45" w:type="dxa"/>
              <w:bottom w:w="30" w:type="dxa"/>
              <w:right w:w="45" w:type="dxa"/>
            </w:tcMar>
            <w:vAlign w:val="bottom"/>
            <w:hideMark/>
          </w:tcPr>
          <w:p w14:paraId="2EFD3BC8" w14:textId="7714B379" w:rsidR="007E4FEB" w:rsidRPr="00CA6176" w:rsidRDefault="007E4FEB" w:rsidP="00CA6176">
            <w:pPr>
              <w:spacing w:after="0" w:line="240" w:lineRule="auto"/>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-£2500</w:t>
            </w:r>
          </w:p>
        </w:tc>
        <w:tc>
          <w:tcPr>
            <w:tcW w:w="1648" w:type="dxa"/>
            <w:tcMar>
              <w:top w:w="30" w:type="dxa"/>
              <w:left w:w="45" w:type="dxa"/>
              <w:bottom w:w="30" w:type="dxa"/>
              <w:right w:w="45" w:type="dxa"/>
            </w:tcMar>
            <w:vAlign w:val="bottom"/>
            <w:hideMark/>
          </w:tcPr>
          <w:p w14:paraId="43EB3CED" w14:textId="77777777" w:rsidR="007E4FEB" w:rsidRPr="00CA6176" w:rsidRDefault="007E4FEB" w:rsidP="00CA6176">
            <w:pPr>
              <w:spacing w:after="0" w:line="240" w:lineRule="auto"/>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-5000 + 2500</w:t>
            </w:r>
          </w:p>
        </w:tc>
      </w:tr>
      <w:tr w:rsidR="007E4FEB" w:rsidRPr="00CA6176" w14:paraId="0537CA29" w14:textId="77777777" w:rsidTr="00F85905">
        <w:trPr>
          <w:trHeight w:val="315"/>
        </w:trPr>
        <w:tc>
          <w:tcPr>
            <w:tcW w:w="0" w:type="auto"/>
            <w:tcMar>
              <w:top w:w="30" w:type="dxa"/>
              <w:left w:w="45" w:type="dxa"/>
              <w:bottom w:w="30" w:type="dxa"/>
              <w:right w:w="45" w:type="dxa"/>
            </w:tcMar>
            <w:vAlign w:val="bottom"/>
            <w:hideMark/>
          </w:tcPr>
          <w:p w14:paraId="6ADF8142" w14:textId="77777777" w:rsidR="007E4FEB" w:rsidRPr="00CA6176" w:rsidRDefault="007E4FEB" w:rsidP="00CA6176">
            <w:pPr>
              <w:spacing w:after="0" w:line="240" w:lineRule="auto"/>
              <w:jc w:val="right"/>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2</w:t>
            </w:r>
          </w:p>
        </w:tc>
        <w:tc>
          <w:tcPr>
            <w:tcW w:w="0" w:type="auto"/>
          </w:tcPr>
          <w:p w14:paraId="2A3691A9" w14:textId="77777777" w:rsidR="007E4FEB" w:rsidRPr="00CA6176" w:rsidRDefault="007E4FEB" w:rsidP="00CA6176">
            <w:pPr>
              <w:spacing w:after="0" w:line="240" w:lineRule="auto"/>
              <w:rPr>
                <w:rFonts w:ascii="Arial" w:eastAsia="Times New Roman" w:hAnsi="Arial" w:cs="Arial"/>
                <w:noProof w:val="0"/>
                <w:kern w:val="0"/>
                <w:sz w:val="20"/>
                <w:szCs w:val="20"/>
                <w:lang w:val="en-US"/>
                <w14:ligatures w14:val="none"/>
              </w:rPr>
            </w:pPr>
          </w:p>
        </w:tc>
        <w:tc>
          <w:tcPr>
            <w:tcW w:w="0" w:type="auto"/>
            <w:tcMar>
              <w:top w:w="30" w:type="dxa"/>
              <w:left w:w="45" w:type="dxa"/>
              <w:bottom w:w="30" w:type="dxa"/>
              <w:right w:w="45" w:type="dxa"/>
            </w:tcMar>
            <w:vAlign w:val="bottom"/>
            <w:hideMark/>
          </w:tcPr>
          <w:p w14:paraId="1B6E9EB7" w14:textId="6A03ADFC" w:rsidR="007E4FEB" w:rsidRPr="00CA6176" w:rsidRDefault="007E4FEB" w:rsidP="00CA6176">
            <w:pPr>
              <w:spacing w:after="0" w:line="240" w:lineRule="auto"/>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-£500</w:t>
            </w:r>
          </w:p>
        </w:tc>
        <w:tc>
          <w:tcPr>
            <w:tcW w:w="1648" w:type="dxa"/>
            <w:tcMar>
              <w:top w:w="30" w:type="dxa"/>
              <w:left w:w="45" w:type="dxa"/>
              <w:bottom w:w="30" w:type="dxa"/>
              <w:right w:w="45" w:type="dxa"/>
            </w:tcMar>
            <w:vAlign w:val="bottom"/>
            <w:hideMark/>
          </w:tcPr>
          <w:p w14:paraId="7DCB8EF2" w14:textId="77777777" w:rsidR="007E4FEB" w:rsidRPr="00CA6176" w:rsidRDefault="007E4FEB" w:rsidP="00CA6176">
            <w:pPr>
              <w:spacing w:after="0" w:line="240" w:lineRule="auto"/>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-2500 + 2000</w:t>
            </w:r>
          </w:p>
        </w:tc>
      </w:tr>
      <w:tr w:rsidR="007E4FEB" w:rsidRPr="00CA6176" w14:paraId="0134E201" w14:textId="77777777" w:rsidTr="00F85905">
        <w:trPr>
          <w:trHeight w:val="252"/>
        </w:trPr>
        <w:tc>
          <w:tcPr>
            <w:tcW w:w="0" w:type="auto"/>
            <w:tcMar>
              <w:top w:w="30" w:type="dxa"/>
              <w:left w:w="45" w:type="dxa"/>
              <w:bottom w:w="30" w:type="dxa"/>
              <w:right w:w="45" w:type="dxa"/>
            </w:tcMar>
            <w:vAlign w:val="bottom"/>
            <w:hideMark/>
          </w:tcPr>
          <w:p w14:paraId="48533E44" w14:textId="77777777" w:rsidR="007E4FEB" w:rsidRPr="00CA6176" w:rsidRDefault="007E4FEB" w:rsidP="00CA6176">
            <w:pPr>
              <w:spacing w:after="0" w:line="240" w:lineRule="auto"/>
              <w:jc w:val="right"/>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3</w:t>
            </w:r>
          </w:p>
        </w:tc>
        <w:tc>
          <w:tcPr>
            <w:tcW w:w="0" w:type="auto"/>
          </w:tcPr>
          <w:p w14:paraId="3EFA27CE" w14:textId="77777777" w:rsidR="007E4FEB" w:rsidRPr="00CA6176" w:rsidRDefault="007E4FEB" w:rsidP="00CA6176">
            <w:pPr>
              <w:spacing w:after="0" w:line="240" w:lineRule="auto"/>
              <w:rPr>
                <w:rFonts w:ascii="Arial" w:eastAsia="Times New Roman" w:hAnsi="Arial" w:cs="Arial"/>
                <w:noProof w:val="0"/>
                <w:kern w:val="0"/>
                <w:sz w:val="20"/>
                <w:szCs w:val="20"/>
                <w:lang w:val="en-US"/>
                <w14:ligatures w14:val="none"/>
              </w:rPr>
            </w:pPr>
          </w:p>
        </w:tc>
        <w:tc>
          <w:tcPr>
            <w:tcW w:w="0" w:type="auto"/>
            <w:tcMar>
              <w:top w:w="30" w:type="dxa"/>
              <w:left w:w="45" w:type="dxa"/>
              <w:bottom w:w="30" w:type="dxa"/>
              <w:right w:w="45" w:type="dxa"/>
            </w:tcMar>
            <w:vAlign w:val="bottom"/>
            <w:hideMark/>
          </w:tcPr>
          <w:p w14:paraId="3C889976" w14:textId="0A7ED691" w:rsidR="007E4FEB" w:rsidRPr="00CA6176" w:rsidRDefault="007E4FEB" w:rsidP="00CA6176">
            <w:pPr>
              <w:spacing w:after="0" w:line="240" w:lineRule="auto"/>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£500</w:t>
            </w:r>
          </w:p>
        </w:tc>
        <w:tc>
          <w:tcPr>
            <w:tcW w:w="1648" w:type="dxa"/>
            <w:tcMar>
              <w:top w:w="30" w:type="dxa"/>
              <w:left w:w="45" w:type="dxa"/>
              <w:bottom w:w="30" w:type="dxa"/>
              <w:right w:w="45" w:type="dxa"/>
            </w:tcMar>
            <w:vAlign w:val="bottom"/>
            <w:hideMark/>
          </w:tcPr>
          <w:p w14:paraId="5F7406C7" w14:textId="77777777" w:rsidR="007E4FEB" w:rsidRPr="00CA6176" w:rsidRDefault="007E4FEB" w:rsidP="00CA6176">
            <w:pPr>
              <w:spacing w:after="0" w:line="240" w:lineRule="auto"/>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-500 + 1000</w:t>
            </w:r>
          </w:p>
        </w:tc>
      </w:tr>
    </w:tbl>
    <w:p w14:paraId="212E2E00" w14:textId="77777777" w:rsidR="00CA6176" w:rsidRDefault="00CA6176" w:rsidP="0009016F">
      <w:pPr>
        <w:spacing w:line="360" w:lineRule="auto"/>
        <w:jc w:val="both"/>
        <w:rPr>
          <w:rFonts w:cstheme="minorHAnsi"/>
          <w:b/>
          <w:bCs/>
          <w:lang w:val="en-US"/>
        </w:rPr>
      </w:pPr>
    </w:p>
    <w:p w14:paraId="272CB4A6" w14:textId="0DFF961A" w:rsidR="0009016F" w:rsidRPr="0009016F" w:rsidRDefault="0009016F" w:rsidP="0009016F">
      <w:pPr>
        <w:spacing w:line="360" w:lineRule="auto"/>
        <w:jc w:val="both"/>
        <w:rPr>
          <w:rFonts w:cstheme="minorHAnsi"/>
          <w:lang w:val="en-US"/>
        </w:rPr>
      </w:pPr>
      <w:r w:rsidRPr="0009016F">
        <w:rPr>
          <w:rFonts w:cstheme="minorHAnsi"/>
          <w:lang w:val="en-US"/>
        </w:rPr>
        <w:t>Since the cash flows for Project A are not constant each year, the cumulative approach must be used to calculate the payback period. Here's the process:</w:t>
      </w:r>
    </w:p>
    <w:p w14:paraId="29778203" w14:textId="77777777" w:rsidR="0009016F" w:rsidRPr="0009016F" w:rsidRDefault="0009016F" w:rsidP="0009016F">
      <w:pPr>
        <w:spacing w:line="360" w:lineRule="auto"/>
        <w:jc w:val="both"/>
        <w:rPr>
          <w:rFonts w:cstheme="minorHAnsi"/>
          <w:lang w:val="en-US"/>
        </w:rPr>
      </w:pPr>
      <w:r w:rsidRPr="0009016F">
        <w:rPr>
          <w:rFonts w:cstheme="minorHAnsi"/>
          <w:lang w:val="en-US"/>
        </w:rPr>
        <w:t>Methodology:</w:t>
      </w:r>
    </w:p>
    <w:p w14:paraId="2B0604B8" w14:textId="25FE170B" w:rsidR="0009016F" w:rsidRPr="0009016F" w:rsidRDefault="0009016F" w:rsidP="0009016F">
      <w:pPr>
        <w:spacing w:line="360" w:lineRule="auto"/>
        <w:jc w:val="both"/>
        <w:rPr>
          <w:rFonts w:cstheme="minorHAnsi"/>
          <w:lang w:val="en-US"/>
        </w:rPr>
      </w:pPr>
      <w:r w:rsidRPr="0009016F">
        <w:rPr>
          <w:rFonts w:cstheme="minorHAnsi"/>
          <w:lang w:val="en-US"/>
        </w:rPr>
        <w:t>The cumulative approach is used to calculate the payback period. This method involves cumulating the cash flows until the total cash flow equals or exceeds the initial investment. The payback period is then determined by considering any partial years required to reach the breakeven point.</w:t>
      </w:r>
    </w:p>
    <w:p w14:paraId="20EFD346" w14:textId="77777777" w:rsidR="0009016F" w:rsidRPr="0009016F" w:rsidRDefault="0009016F" w:rsidP="0009016F">
      <w:pPr>
        <w:spacing w:line="360" w:lineRule="auto"/>
        <w:jc w:val="both"/>
        <w:rPr>
          <w:rFonts w:cstheme="minorHAnsi"/>
          <w:lang w:val="en-US"/>
        </w:rPr>
      </w:pPr>
      <w:r w:rsidRPr="0009016F">
        <w:rPr>
          <w:rFonts w:cstheme="minorHAnsi"/>
          <w:lang w:val="en-US"/>
        </w:rPr>
        <w:t>Analysis:</w:t>
      </w:r>
    </w:p>
    <w:p w14:paraId="30C25121" w14:textId="5CF16F67" w:rsidR="0009016F" w:rsidRPr="00CA6176" w:rsidRDefault="0009016F" w:rsidP="00CA6176">
      <w:pPr>
        <w:spacing w:line="360" w:lineRule="auto"/>
        <w:jc w:val="both"/>
        <w:rPr>
          <w:rFonts w:cstheme="minorHAnsi"/>
          <w:lang w:val="en-US"/>
        </w:rPr>
      </w:pPr>
      <w:r w:rsidRPr="00CA6176">
        <w:rPr>
          <w:rFonts w:cstheme="minorHAnsi"/>
          <w:lang w:val="en-US"/>
        </w:rPr>
        <w:t>Using the cumulative approach,  calculated the cumulative cash flow for each year. The payback period was found to fall between year three and year four. To determine the precise payback period, we adjusted for the partial year using the formula:</w:t>
      </w:r>
    </w:p>
    <w:p w14:paraId="4FB7EFC0" w14:textId="4F9F8D0B" w:rsidR="00CA6176" w:rsidRPr="00CA6176" w:rsidRDefault="00CA6176" w:rsidP="00CA6176">
      <w:pPr>
        <w:pStyle w:val="NormalWeb"/>
        <w:shd w:val="clear" w:color="auto" w:fill="FFFFFF"/>
        <w:spacing w:line="360" w:lineRule="auto"/>
        <w:rPr>
          <w:rFonts w:asciiTheme="minorHAnsi" w:hAnsiTheme="minorHAnsi" w:cstheme="minorHAnsi"/>
          <w:color w:val="1F1F1F"/>
          <w:sz w:val="22"/>
          <w:szCs w:val="22"/>
        </w:rPr>
      </w:pPr>
      <w:r w:rsidRPr="00CA6176">
        <w:rPr>
          <w:rFonts w:asciiTheme="minorHAnsi" w:hAnsiTheme="minorHAnsi" w:cstheme="minorHAnsi"/>
          <w:color w:val="1F1F1F"/>
          <w:sz w:val="22"/>
          <w:szCs w:val="22"/>
        </w:rPr>
        <w:t>Payback year = year before positive cash flow + (Initial Investment - Accumulated cash flow in previous year) / Cash flow in payback year</w:t>
      </w:r>
    </w:p>
    <w:p w14:paraId="5E7565A0" w14:textId="77777777" w:rsidR="00CA6176" w:rsidRDefault="00CA6176" w:rsidP="00CA6176">
      <w:pPr>
        <w:pStyle w:val="NormalWeb"/>
        <w:shd w:val="clear" w:color="auto" w:fill="FFFFFF"/>
        <w:spacing w:line="360" w:lineRule="auto"/>
        <w:rPr>
          <w:rFonts w:asciiTheme="minorHAnsi" w:hAnsiTheme="minorHAnsi" w:cstheme="minorHAnsi"/>
          <w:b/>
          <w:bCs/>
          <w:color w:val="1F1F1F"/>
          <w:sz w:val="22"/>
          <w:szCs w:val="22"/>
        </w:rPr>
      </w:pPr>
      <w:r w:rsidRPr="00CA6176">
        <w:rPr>
          <w:rFonts w:asciiTheme="minorHAnsi" w:hAnsiTheme="minorHAnsi" w:cstheme="minorHAnsi"/>
          <w:color w:val="1F1F1F"/>
          <w:sz w:val="22"/>
          <w:szCs w:val="22"/>
        </w:rPr>
        <w:t xml:space="preserve">Payback year for Project A = 3 + (£5000 - £500) / £1000 ≈ </w:t>
      </w:r>
      <w:r w:rsidRPr="00CA6176">
        <w:rPr>
          <w:rFonts w:asciiTheme="minorHAnsi" w:hAnsiTheme="minorHAnsi" w:cstheme="minorHAnsi"/>
          <w:b/>
          <w:bCs/>
          <w:color w:val="1F1F1F"/>
          <w:sz w:val="22"/>
          <w:szCs w:val="22"/>
        </w:rPr>
        <w:t>3.5 years</w:t>
      </w:r>
    </w:p>
    <w:p w14:paraId="18B2711D" w14:textId="0ABC91BB" w:rsidR="00CA6176" w:rsidRPr="00CA6176" w:rsidRDefault="00CA6176" w:rsidP="00CA6176">
      <w:pPr>
        <w:pStyle w:val="NormalWeb"/>
        <w:shd w:val="clear" w:color="auto" w:fill="FFFFFF"/>
        <w:spacing w:line="360" w:lineRule="auto"/>
        <w:rPr>
          <w:rFonts w:asciiTheme="minorHAnsi" w:hAnsiTheme="minorHAnsi" w:cstheme="minorHAnsi"/>
          <w:color w:val="1F1F1F"/>
          <w:sz w:val="22"/>
          <w:szCs w:val="22"/>
        </w:rPr>
      </w:pPr>
      <w:r>
        <w:rPr>
          <w:rFonts w:asciiTheme="minorHAnsi" w:hAnsiTheme="minorHAnsi" w:cstheme="minorHAnsi"/>
          <w:b/>
          <w:bCs/>
          <w:color w:val="1F1F1F"/>
          <w:sz w:val="22"/>
          <w:szCs w:val="22"/>
        </w:rPr>
        <w:t>Project A Payback Period is 3.5 years.</w:t>
      </w:r>
    </w:p>
    <w:p w14:paraId="4CA88271" w14:textId="703DE4ED" w:rsidR="0009016F" w:rsidRPr="007E4FEB" w:rsidRDefault="0009016F" w:rsidP="007E4FEB">
      <w:pPr>
        <w:spacing w:line="360" w:lineRule="auto"/>
        <w:jc w:val="both"/>
        <w:rPr>
          <w:rFonts w:cstheme="minorHAnsi"/>
          <w:b/>
          <w:bCs/>
          <w:lang w:val="en-US"/>
        </w:rPr>
      </w:pPr>
      <w:r w:rsidRPr="007E4FEB">
        <w:rPr>
          <w:rFonts w:cstheme="minorHAnsi"/>
          <w:b/>
          <w:bCs/>
          <w:lang w:val="en-US"/>
        </w:rPr>
        <w:t xml:space="preserve">PROJECT B </w:t>
      </w:r>
    </w:p>
    <w:tbl>
      <w:tblPr>
        <w:tblW w:w="53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1211"/>
        <w:gridCol w:w="4145"/>
      </w:tblGrid>
      <w:tr w:rsidR="00CA6176" w:rsidRPr="00CA6176" w14:paraId="1DB6ADAD" w14:textId="77777777" w:rsidTr="00CA6176">
        <w:trPr>
          <w:trHeight w:val="345"/>
        </w:trPr>
        <w:tc>
          <w:tcPr>
            <w:tcW w:w="0" w:type="auto"/>
            <w:tcMar>
              <w:top w:w="30" w:type="dxa"/>
              <w:left w:w="45" w:type="dxa"/>
              <w:bottom w:w="30" w:type="dxa"/>
              <w:right w:w="45" w:type="dxa"/>
            </w:tcMar>
            <w:vAlign w:val="bottom"/>
            <w:hideMark/>
          </w:tcPr>
          <w:p w14:paraId="55C63450" w14:textId="77777777" w:rsidR="00CA6176" w:rsidRPr="00CA6176" w:rsidRDefault="00CA6176" w:rsidP="00CA6176">
            <w:pPr>
              <w:spacing w:after="0" w:line="240" w:lineRule="auto"/>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**Year</w:t>
            </w:r>
          </w:p>
        </w:tc>
        <w:tc>
          <w:tcPr>
            <w:tcW w:w="0" w:type="auto"/>
            <w:tcMar>
              <w:top w:w="30" w:type="dxa"/>
              <w:left w:w="45" w:type="dxa"/>
              <w:bottom w:w="30" w:type="dxa"/>
              <w:right w:w="45" w:type="dxa"/>
            </w:tcMar>
            <w:vAlign w:val="bottom"/>
            <w:hideMark/>
          </w:tcPr>
          <w:p w14:paraId="2FD1C671" w14:textId="77777777" w:rsidR="00CA6176" w:rsidRPr="00CA6176" w:rsidRDefault="00CA6176" w:rsidP="00CA6176">
            <w:pPr>
              <w:spacing w:after="0" w:line="240" w:lineRule="auto"/>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Cash Flow (CFt)**</w:t>
            </w:r>
          </w:p>
        </w:tc>
      </w:tr>
      <w:tr w:rsidR="00CA6176" w:rsidRPr="00CA6176" w14:paraId="01E2651E" w14:textId="77777777" w:rsidTr="00CA6176">
        <w:trPr>
          <w:trHeight w:val="345"/>
        </w:trPr>
        <w:tc>
          <w:tcPr>
            <w:tcW w:w="0" w:type="auto"/>
            <w:tcMar>
              <w:top w:w="30" w:type="dxa"/>
              <w:left w:w="45" w:type="dxa"/>
              <w:bottom w:w="30" w:type="dxa"/>
              <w:right w:w="45" w:type="dxa"/>
            </w:tcMar>
            <w:vAlign w:val="bottom"/>
            <w:hideMark/>
          </w:tcPr>
          <w:p w14:paraId="04318A69" w14:textId="77777777" w:rsidR="00CA6176" w:rsidRPr="00CA6176" w:rsidRDefault="00CA6176" w:rsidP="00CA6176">
            <w:pPr>
              <w:spacing w:after="0" w:line="240" w:lineRule="auto"/>
              <w:jc w:val="right"/>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0</w:t>
            </w:r>
          </w:p>
        </w:tc>
        <w:tc>
          <w:tcPr>
            <w:tcW w:w="0" w:type="auto"/>
            <w:tcMar>
              <w:top w:w="30" w:type="dxa"/>
              <w:left w:w="45" w:type="dxa"/>
              <w:bottom w:w="30" w:type="dxa"/>
              <w:right w:w="45" w:type="dxa"/>
            </w:tcMar>
            <w:vAlign w:val="bottom"/>
            <w:hideMark/>
          </w:tcPr>
          <w:p w14:paraId="7B979956" w14:textId="77777777" w:rsidR="00CA6176" w:rsidRPr="00CA6176" w:rsidRDefault="00CA6176" w:rsidP="00CA6176">
            <w:pPr>
              <w:spacing w:after="0" w:line="240" w:lineRule="auto"/>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-1000 (Initial Investment)</w:t>
            </w:r>
          </w:p>
        </w:tc>
      </w:tr>
      <w:tr w:rsidR="00CA6176" w:rsidRPr="00CA6176" w14:paraId="07065269" w14:textId="77777777" w:rsidTr="00CA6176">
        <w:trPr>
          <w:trHeight w:val="345"/>
        </w:trPr>
        <w:tc>
          <w:tcPr>
            <w:tcW w:w="0" w:type="auto"/>
            <w:tcMar>
              <w:top w:w="30" w:type="dxa"/>
              <w:left w:w="45" w:type="dxa"/>
              <w:bottom w:w="30" w:type="dxa"/>
              <w:right w:w="45" w:type="dxa"/>
            </w:tcMar>
            <w:vAlign w:val="bottom"/>
            <w:hideMark/>
          </w:tcPr>
          <w:p w14:paraId="654DE086" w14:textId="77777777" w:rsidR="00CA6176" w:rsidRPr="00CA6176" w:rsidRDefault="00CA6176" w:rsidP="00CA6176">
            <w:pPr>
              <w:spacing w:after="0" w:line="240" w:lineRule="auto"/>
              <w:jc w:val="right"/>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1</w:t>
            </w:r>
          </w:p>
        </w:tc>
        <w:tc>
          <w:tcPr>
            <w:tcW w:w="0" w:type="auto"/>
            <w:tcMar>
              <w:top w:w="30" w:type="dxa"/>
              <w:left w:w="45" w:type="dxa"/>
              <w:bottom w:w="30" w:type="dxa"/>
              <w:right w:w="45" w:type="dxa"/>
            </w:tcMar>
            <w:vAlign w:val="bottom"/>
            <w:hideMark/>
          </w:tcPr>
          <w:p w14:paraId="77AB7076" w14:textId="77777777" w:rsidR="00CA6176" w:rsidRPr="00CA6176" w:rsidRDefault="00CA6176" w:rsidP="00CA6176">
            <w:pPr>
              <w:spacing w:after="0" w:line="240" w:lineRule="auto"/>
              <w:jc w:val="right"/>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1500</w:t>
            </w:r>
          </w:p>
        </w:tc>
      </w:tr>
      <w:tr w:rsidR="00CA6176" w:rsidRPr="00CA6176" w14:paraId="56950877" w14:textId="77777777" w:rsidTr="00CA6176">
        <w:trPr>
          <w:trHeight w:val="345"/>
        </w:trPr>
        <w:tc>
          <w:tcPr>
            <w:tcW w:w="0" w:type="auto"/>
            <w:tcMar>
              <w:top w:w="30" w:type="dxa"/>
              <w:left w:w="45" w:type="dxa"/>
              <w:bottom w:w="30" w:type="dxa"/>
              <w:right w:w="45" w:type="dxa"/>
            </w:tcMar>
            <w:vAlign w:val="bottom"/>
            <w:hideMark/>
          </w:tcPr>
          <w:p w14:paraId="18943D38" w14:textId="77777777" w:rsidR="00CA6176" w:rsidRPr="00CA6176" w:rsidRDefault="00CA6176" w:rsidP="00CA6176">
            <w:pPr>
              <w:spacing w:after="0" w:line="240" w:lineRule="auto"/>
              <w:jc w:val="right"/>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2</w:t>
            </w:r>
          </w:p>
        </w:tc>
        <w:tc>
          <w:tcPr>
            <w:tcW w:w="0" w:type="auto"/>
            <w:tcMar>
              <w:top w:w="30" w:type="dxa"/>
              <w:left w:w="45" w:type="dxa"/>
              <w:bottom w:w="30" w:type="dxa"/>
              <w:right w:w="45" w:type="dxa"/>
            </w:tcMar>
            <w:vAlign w:val="bottom"/>
            <w:hideMark/>
          </w:tcPr>
          <w:p w14:paraId="09FD543B" w14:textId="77777777" w:rsidR="00CA6176" w:rsidRPr="00CA6176" w:rsidRDefault="00CA6176" w:rsidP="00CA6176">
            <w:pPr>
              <w:spacing w:after="0" w:line="240" w:lineRule="auto"/>
              <w:jc w:val="right"/>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1000</w:t>
            </w:r>
          </w:p>
        </w:tc>
      </w:tr>
      <w:tr w:rsidR="00CA6176" w:rsidRPr="00CA6176" w14:paraId="15249CB7" w14:textId="77777777" w:rsidTr="00CA6176">
        <w:trPr>
          <w:trHeight w:val="345"/>
        </w:trPr>
        <w:tc>
          <w:tcPr>
            <w:tcW w:w="0" w:type="auto"/>
            <w:tcMar>
              <w:top w:w="30" w:type="dxa"/>
              <w:left w:w="45" w:type="dxa"/>
              <w:bottom w:w="30" w:type="dxa"/>
              <w:right w:w="45" w:type="dxa"/>
            </w:tcMar>
            <w:vAlign w:val="bottom"/>
            <w:hideMark/>
          </w:tcPr>
          <w:p w14:paraId="2E729D71" w14:textId="77777777" w:rsidR="00CA6176" w:rsidRPr="00CA6176" w:rsidRDefault="00CA6176" w:rsidP="00CA6176">
            <w:pPr>
              <w:spacing w:after="0" w:line="240" w:lineRule="auto"/>
              <w:jc w:val="right"/>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3</w:t>
            </w:r>
          </w:p>
        </w:tc>
        <w:tc>
          <w:tcPr>
            <w:tcW w:w="0" w:type="auto"/>
            <w:tcMar>
              <w:top w:w="30" w:type="dxa"/>
              <w:left w:w="45" w:type="dxa"/>
              <w:bottom w:w="30" w:type="dxa"/>
              <w:right w:w="45" w:type="dxa"/>
            </w:tcMar>
            <w:vAlign w:val="bottom"/>
            <w:hideMark/>
          </w:tcPr>
          <w:p w14:paraId="7E0EB437" w14:textId="77777777" w:rsidR="00CA6176" w:rsidRPr="00CA6176" w:rsidRDefault="00CA6176" w:rsidP="00CA6176">
            <w:pPr>
              <w:spacing w:after="0" w:line="240" w:lineRule="auto"/>
              <w:jc w:val="right"/>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1000</w:t>
            </w:r>
          </w:p>
        </w:tc>
      </w:tr>
      <w:tr w:rsidR="00CA6176" w:rsidRPr="00CA6176" w14:paraId="2B201380" w14:textId="77777777" w:rsidTr="00CA6176">
        <w:trPr>
          <w:trHeight w:val="345"/>
        </w:trPr>
        <w:tc>
          <w:tcPr>
            <w:tcW w:w="0" w:type="auto"/>
            <w:tcMar>
              <w:top w:w="30" w:type="dxa"/>
              <w:left w:w="45" w:type="dxa"/>
              <w:bottom w:w="30" w:type="dxa"/>
              <w:right w:w="45" w:type="dxa"/>
            </w:tcMar>
            <w:vAlign w:val="bottom"/>
            <w:hideMark/>
          </w:tcPr>
          <w:p w14:paraId="389CE056" w14:textId="77777777" w:rsidR="00CA6176" w:rsidRPr="00CA6176" w:rsidRDefault="00CA6176" w:rsidP="00CA6176">
            <w:pPr>
              <w:spacing w:after="0" w:line="240" w:lineRule="auto"/>
              <w:jc w:val="right"/>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4</w:t>
            </w:r>
          </w:p>
        </w:tc>
        <w:tc>
          <w:tcPr>
            <w:tcW w:w="0" w:type="auto"/>
            <w:tcMar>
              <w:top w:w="30" w:type="dxa"/>
              <w:left w:w="45" w:type="dxa"/>
              <w:bottom w:w="30" w:type="dxa"/>
              <w:right w:w="45" w:type="dxa"/>
            </w:tcMar>
            <w:vAlign w:val="bottom"/>
            <w:hideMark/>
          </w:tcPr>
          <w:p w14:paraId="7557247F" w14:textId="77777777" w:rsidR="00CA6176" w:rsidRPr="00CA6176" w:rsidRDefault="00CA6176" w:rsidP="00CA6176">
            <w:pPr>
              <w:spacing w:after="0" w:line="240" w:lineRule="auto"/>
              <w:jc w:val="right"/>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-470</w:t>
            </w:r>
          </w:p>
        </w:tc>
      </w:tr>
    </w:tbl>
    <w:p w14:paraId="4EC3E36B" w14:textId="77777777" w:rsidR="00CA6176" w:rsidRDefault="00CA6176" w:rsidP="00CA6176">
      <w:pPr>
        <w:spacing w:line="360" w:lineRule="auto"/>
        <w:jc w:val="both"/>
        <w:rPr>
          <w:rFonts w:cstheme="minorHAnsi"/>
          <w:b/>
          <w:bCs/>
          <w:lang w:val="en-US"/>
        </w:rPr>
      </w:pPr>
    </w:p>
    <w:tbl>
      <w:tblPr>
        <w:tblW w:w="53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513"/>
        <w:gridCol w:w="2247"/>
        <w:gridCol w:w="2635"/>
      </w:tblGrid>
      <w:tr w:rsidR="00CA6176" w:rsidRPr="00CA6176" w14:paraId="63E230BD" w14:textId="77777777" w:rsidTr="00CA6176">
        <w:trPr>
          <w:trHeight w:val="315"/>
        </w:trPr>
        <w:tc>
          <w:tcPr>
            <w:tcW w:w="0" w:type="auto"/>
            <w:tcMar>
              <w:top w:w="30" w:type="dxa"/>
              <w:left w:w="45" w:type="dxa"/>
              <w:bottom w:w="30" w:type="dxa"/>
              <w:right w:w="45" w:type="dxa"/>
            </w:tcMar>
            <w:vAlign w:val="bottom"/>
            <w:hideMark/>
          </w:tcPr>
          <w:p w14:paraId="3C035A4A" w14:textId="77777777" w:rsidR="00CA6176" w:rsidRPr="00CA6176" w:rsidRDefault="00CA6176" w:rsidP="00CA6176">
            <w:pPr>
              <w:spacing w:after="0" w:line="240" w:lineRule="auto"/>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Year</w:t>
            </w:r>
          </w:p>
        </w:tc>
        <w:tc>
          <w:tcPr>
            <w:tcW w:w="0" w:type="auto"/>
            <w:tcMar>
              <w:top w:w="30" w:type="dxa"/>
              <w:left w:w="45" w:type="dxa"/>
              <w:bottom w:w="30" w:type="dxa"/>
              <w:right w:w="45" w:type="dxa"/>
            </w:tcMar>
            <w:vAlign w:val="bottom"/>
            <w:hideMark/>
          </w:tcPr>
          <w:p w14:paraId="67ABA9D7" w14:textId="77777777" w:rsidR="00CA6176" w:rsidRPr="00CA6176" w:rsidRDefault="00CA6176" w:rsidP="00CA6176">
            <w:pPr>
              <w:spacing w:after="0" w:line="240" w:lineRule="auto"/>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Accumulated Cash Flow</w:t>
            </w:r>
          </w:p>
        </w:tc>
        <w:tc>
          <w:tcPr>
            <w:tcW w:w="2635" w:type="dxa"/>
            <w:tcMar>
              <w:top w:w="30" w:type="dxa"/>
              <w:left w:w="45" w:type="dxa"/>
              <w:bottom w:w="30" w:type="dxa"/>
              <w:right w:w="45" w:type="dxa"/>
            </w:tcMar>
            <w:vAlign w:val="bottom"/>
            <w:hideMark/>
          </w:tcPr>
          <w:p w14:paraId="3F9F7898" w14:textId="77777777" w:rsidR="00CA6176" w:rsidRPr="00CA6176" w:rsidRDefault="00CA6176" w:rsidP="00CA6176">
            <w:pPr>
              <w:spacing w:after="0" w:line="240" w:lineRule="auto"/>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Notes</w:t>
            </w:r>
          </w:p>
        </w:tc>
      </w:tr>
      <w:tr w:rsidR="00CA6176" w:rsidRPr="00CA6176" w14:paraId="62A24ABA" w14:textId="77777777" w:rsidTr="00CA6176">
        <w:trPr>
          <w:trHeight w:val="315"/>
        </w:trPr>
        <w:tc>
          <w:tcPr>
            <w:tcW w:w="0" w:type="auto"/>
            <w:tcMar>
              <w:top w:w="30" w:type="dxa"/>
              <w:left w:w="45" w:type="dxa"/>
              <w:bottom w:w="30" w:type="dxa"/>
              <w:right w:w="45" w:type="dxa"/>
            </w:tcMar>
            <w:vAlign w:val="bottom"/>
            <w:hideMark/>
          </w:tcPr>
          <w:p w14:paraId="7774B479" w14:textId="77777777" w:rsidR="00CA6176" w:rsidRPr="00CA6176" w:rsidRDefault="00CA6176" w:rsidP="00CA6176">
            <w:pPr>
              <w:spacing w:after="0" w:line="240" w:lineRule="auto"/>
              <w:jc w:val="right"/>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0</w:t>
            </w:r>
          </w:p>
        </w:tc>
        <w:tc>
          <w:tcPr>
            <w:tcW w:w="0" w:type="auto"/>
            <w:tcMar>
              <w:top w:w="30" w:type="dxa"/>
              <w:left w:w="45" w:type="dxa"/>
              <w:bottom w:w="30" w:type="dxa"/>
              <w:right w:w="45" w:type="dxa"/>
            </w:tcMar>
            <w:vAlign w:val="bottom"/>
            <w:hideMark/>
          </w:tcPr>
          <w:p w14:paraId="533C82C9" w14:textId="77777777" w:rsidR="00CA6176" w:rsidRPr="00CA6176" w:rsidRDefault="00CA6176" w:rsidP="00CA6176">
            <w:pPr>
              <w:spacing w:after="0" w:line="240" w:lineRule="auto"/>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-£1000</w:t>
            </w:r>
          </w:p>
        </w:tc>
        <w:tc>
          <w:tcPr>
            <w:tcW w:w="2635" w:type="dxa"/>
            <w:tcMar>
              <w:top w:w="30" w:type="dxa"/>
              <w:left w:w="45" w:type="dxa"/>
              <w:bottom w:w="30" w:type="dxa"/>
              <w:right w:w="45" w:type="dxa"/>
            </w:tcMar>
            <w:vAlign w:val="bottom"/>
            <w:hideMark/>
          </w:tcPr>
          <w:p w14:paraId="53724A89" w14:textId="77777777" w:rsidR="00CA6176" w:rsidRPr="00CA6176" w:rsidRDefault="00CA6176" w:rsidP="00CA6176">
            <w:pPr>
              <w:spacing w:after="0" w:line="240" w:lineRule="auto"/>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Initial Investment</w:t>
            </w:r>
          </w:p>
        </w:tc>
      </w:tr>
      <w:tr w:rsidR="00CA6176" w:rsidRPr="00CA6176" w14:paraId="47313130" w14:textId="77777777" w:rsidTr="00CA6176">
        <w:trPr>
          <w:trHeight w:val="315"/>
        </w:trPr>
        <w:tc>
          <w:tcPr>
            <w:tcW w:w="0" w:type="auto"/>
            <w:tcMar>
              <w:top w:w="30" w:type="dxa"/>
              <w:left w:w="45" w:type="dxa"/>
              <w:bottom w:w="30" w:type="dxa"/>
              <w:right w:w="45" w:type="dxa"/>
            </w:tcMar>
            <w:vAlign w:val="bottom"/>
            <w:hideMark/>
          </w:tcPr>
          <w:p w14:paraId="07199D10" w14:textId="77777777" w:rsidR="00CA6176" w:rsidRPr="00CA6176" w:rsidRDefault="00CA6176" w:rsidP="00CA6176">
            <w:pPr>
              <w:spacing w:after="0" w:line="240" w:lineRule="auto"/>
              <w:jc w:val="right"/>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1</w:t>
            </w:r>
          </w:p>
        </w:tc>
        <w:tc>
          <w:tcPr>
            <w:tcW w:w="0" w:type="auto"/>
            <w:tcMar>
              <w:top w:w="30" w:type="dxa"/>
              <w:left w:w="45" w:type="dxa"/>
              <w:bottom w:w="30" w:type="dxa"/>
              <w:right w:w="45" w:type="dxa"/>
            </w:tcMar>
            <w:vAlign w:val="bottom"/>
            <w:hideMark/>
          </w:tcPr>
          <w:p w14:paraId="7CAB19F8" w14:textId="77777777" w:rsidR="00CA6176" w:rsidRPr="00CA6176" w:rsidRDefault="00CA6176" w:rsidP="00CA6176">
            <w:pPr>
              <w:spacing w:after="0" w:line="240" w:lineRule="auto"/>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£500</w:t>
            </w:r>
          </w:p>
        </w:tc>
        <w:tc>
          <w:tcPr>
            <w:tcW w:w="2635" w:type="dxa"/>
            <w:tcMar>
              <w:top w:w="30" w:type="dxa"/>
              <w:left w:w="45" w:type="dxa"/>
              <w:bottom w:w="30" w:type="dxa"/>
              <w:right w:w="45" w:type="dxa"/>
            </w:tcMar>
            <w:vAlign w:val="bottom"/>
            <w:hideMark/>
          </w:tcPr>
          <w:p w14:paraId="4B1030E9" w14:textId="77777777" w:rsidR="00CA6176" w:rsidRPr="00CA6176" w:rsidRDefault="00CA6176" w:rsidP="00CA6176">
            <w:pPr>
              <w:spacing w:after="0" w:line="240" w:lineRule="auto"/>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-1000 + 1500</w:t>
            </w:r>
          </w:p>
        </w:tc>
      </w:tr>
    </w:tbl>
    <w:p w14:paraId="31E58C50" w14:textId="77777777" w:rsidR="00CA6176" w:rsidRDefault="00CA6176" w:rsidP="00CA6176">
      <w:pPr>
        <w:spacing w:line="360" w:lineRule="auto"/>
        <w:jc w:val="both"/>
        <w:rPr>
          <w:rFonts w:cstheme="minorHAnsi"/>
          <w:b/>
          <w:bCs/>
          <w:lang w:val="en-US"/>
        </w:rPr>
      </w:pPr>
    </w:p>
    <w:p w14:paraId="451DFF1F" w14:textId="42B82F64" w:rsidR="00CA6176" w:rsidRPr="00CA6176" w:rsidRDefault="00CA6176" w:rsidP="00CA6176">
      <w:pPr>
        <w:spacing w:line="360" w:lineRule="auto"/>
        <w:jc w:val="both"/>
        <w:rPr>
          <w:rFonts w:cstheme="minorHAnsi"/>
          <w:b/>
          <w:bCs/>
          <w:lang w:val="en-US"/>
        </w:rPr>
      </w:pPr>
      <w:r>
        <w:rPr>
          <w:rFonts w:cstheme="minorHAnsi"/>
          <w:b/>
          <w:bCs/>
          <w:lang w:val="en-US"/>
        </w:rPr>
        <w:t>Project B's Payback Period is 1 year.</w:t>
      </w:r>
    </w:p>
    <w:p w14:paraId="39ADB340" w14:textId="77777777" w:rsidR="0009016F" w:rsidRPr="0009016F" w:rsidRDefault="0009016F" w:rsidP="0009016F">
      <w:pPr>
        <w:spacing w:line="360" w:lineRule="auto"/>
        <w:jc w:val="both"/>
        <w:rPr>
          <w:rFonts w:cstheme="minorHAnsi"/>
          <w:lang w:val="en-US"/>
        </w:rPr>
      </w:pPr>
      <w:r w:rsidRPr="0009016F">
        <w:rPr>
          <w:rFonts w:cstheme="minorHAnsi"/>
          <w:lang w:val="en-US"/>
        </w:rPr>
        <w:t>Methodology:</w:t>
      </w:r>
    </w:p>
    <w:p w14:paraId="5B2C9486" w14:textId="62F50679" w:rsidR="0009016F" w:rsidRPr="0009016F" w:rsidRDefault="0009016F" w:rsidP="0009016F">
      <w:pPr>
        <w:spacing w:line="360" w:lineRule="auto"/>
        <w:jc w:val="both"/>
        <w:rPr>
          <w:rFonts w:cstheme="minorHAnsi"/>
          <w:lang w:val="en-US"/>
        </w:rPr>
      </w:pPr>
      <w:r w:rsidRPr="0009016F">
        <w:rPr>
          <w:rFonts w:cstheme="minorHAnsi"/>
          <w:lang w:val="en-US"/>
        </w:rPr>
        <w:t>To calculate the payback period, we employed the cumulative approach. This method involves cumulating the cash flows until the total cash flow equals or exceeds the initial investment. The payback period is then determined by considering any partial years required to reach the breakeven point.</w:t>
      </w:r>
    </w:p>
    <w:p w14:paraId="584ACF97" w14:textId="77777777" w:rsidR="0009016F" w:rsidRPr="0009016F" w:rsidRDefault="0009016F" w:rsidP="0009016F">
      <w:pPr>
        <w:spacing w:line="360" w:lineRule="auto"/>
        <w:jc w:val="both"/>
        <w:rPr>
          <w:rFonts w:cstheme="minorHAnsi"/>
          <w:lang w:val="en-US"/>
        </w:rPr>
      </w:pPr>
      <w:r w:rsidRPr="0009016F">
        <w:rPr>
          <w:rFonts w:cstheme="minorHAnsi"/>
          <w:lang w:val="en-US"/>
        </w:rPr>
        <w:t>Analysis:</w:t>
      </w:r>
    </w:p>
    <w:p w14:paraId="7B4EDB0A" w14:textId="0309970D" w:rsidR="0009016F" w:rsidRPr="0009016F" w:rsidRDefault="0009016F" w:rsidP="0009016F">
      <w:pPr>
        <w:spacing w:line="360" w:lineRule="auto"/>
        <w:jc w:val="both"/>
        <w:rPr>
          <w:rFonts w:cstheme="minorHAnsi"/>
          <w:lang w:val="en-US"/>
        </w:rPr>
      </w:pPr>
      <w:r w:rsidRPr="0009016F">
        <w:rPr>
          <w:rFonts w:cstheme="minorHAnsi"/>
          <w:lang w:val="en-US"/>
        </w:rPr>
        <w:t xml:space="preserve">Using the cumulative approach, we calculated the cumulative cash flow for each year. The payback period was found to fall between year three and year four. </w:t>
      </w:r>
    </w:p>
    <w:p w14:paraId="30796880" w14:textId="54685CAD" w:rsidR="00CA6176" w:rsidRPr="0009016F" w:rsidRDefault="00CA6176" w:rsidP="0009016F">
      <w:pPr>
        <w:spacing w:line="360" w:lineRule="auto"/>
        <w:jc w:val="both"/>
        <w:rPr>
          <w:rFonts w:eastAsiaTheme="minorEastAsia" w:cstheme="minorHAnsi"/>
          <w:lang w:val="en-US"/>
        </w:rPr>
      </w:pPr>
      <w:r w:rsidRPr="00CA6176">
        <w:rPr>
          <w:rFonts w:cstheme="minorHAnsi"/>
          <w:color w:val="1F1F1F"/>
          <w:shd w:val="clear" w:color="auto" w:fill="FFFFFF"/>
        </w:rPr>
        <w:t xml:space="preserve">A shorter payback period is generally considered more favorable as it indicates a faster recovery of the initial investment. </w:t>
      </w:r>
      <w:r>
        <w:rPr>
          <w:rFonts w:cstheme="minorHAnsi"/>
          <w:color w:val="1F1F1F"/>
          <w:shd w:val="clear" w:color="auto" w:fill="FFFFFF"/>
        </w:rPr>
        <w:t>Project B seems a better option based on the payback period alone</w:t>
      </w:r>
      <w:r w:rsidRPr="00CA6176">
        <w:rPr>
          <w:rFonts w:cstheme="minorHAnsi"/>
          <w:color w:val="1F1F1F"/>
          <w:shd w:val="clear" w:color="auto" w:fill="FFFFFF"/>
        </w:rPr>
        <w:t xml:space="preserve">. However, </w:t>
      </w:r>
      <w:r>
        <w:rPr>
          <w:rFonts w:cstheme="minorHAnsi"/>
          <w:color w:val="1F1F1F"/>
          <w:shd w:val="clear" w:color="auto" w:fill="FFFFFF"/>
        </w:rPr>
        <w:t xml:space="preserve">the </w:t>
      </w:r>
      <w:r w:rsidRPr="00CA6176">
        <w:rPr>
          <w:rFonts w:cstheme="minorHAnsi"/>
          <w:color w:val="1F1F1F"/>
          <w:shd w:val="clear" w:color="auto" w:fill="FFFFFF"/>
        </w:rPr>
        <w:t>payback period is a limited metric and doesn't consider the time value of money. NPV analysis, as performed previously, incorporates the discount rate and provides a more comprehensive view of project profitability</w:t>
      </w:r>
      <w:r>
        <w:rPr>
          <w:rFonts w:ascii="Arial" w:hAnsi="Arial" w:cs="Arial"/>
          <w:color w:val="1F1F1F"/>
          <w:shd w:val="clear" w:color="auto" w:fill="FFFFFF"/>
        </w:rPr>
        <w:t>.</w:t>
      </w:r>
    </w:p>
    <w:p w14:paraId="59CB849A" w14:textId="07E5FCD1" w:rsidR="0009016F" w:rsidRPr="00883435" w:rsidRDefault="0009016F" w:rsidP="00883435">
      <w:pPr>
        <w:pStyle w:val="ListParagraph"/>
        <w:numPr>
          <w:ilvl w:val="1"/>
          <w:numId w:val="26"/>
        </w:numPr>
        <w:spacing w:line="360" w:lineRule="auto"/>
        <w:jc w:val="both"/>
        <w:rPr>
          <w:rFonts w:eastAsiaTheme="minorEastAsia" w:cstheme="minorHAnsi"/>
          <w:b/>
          <w:bCs/>
          <w:lang w:val="en-US"/>
        </w:rPr>
      </w:pPr>
      <w:r w:rsidRPr="00883435">
        <w:rPr>
          <w:rFonts w:cstheme="minorHAnsi"/>
          <w:b/>
          <w:bCs/>
          <w:lang w:val="en-US"/>
        </w:rPr>
        <w:t>The accounting rate of return (ARR)</w:t>
      </w:r>
    </w:p>
    <w:p w14:paraId="7EC4AF86" w14:textId="2A5C2424" w:rsidR="0009016F" w:rsidRPr="0009016F" w:rsidRDefault="0009016F" w:rsidP="0009016F">
      <w:pPr>
        <w:spacing w:line="360" w:lineRule="auto"/>
        <w:jc w:val="both"/>
        <w:rPr>
          <w:rFonts w:cstheme="minorHAnsi"/>
          <w:lang w:val="en-US"/>
        </w:rPr>
      </w:pPr>
      <w:r w:rsidRPr="0009016F">
        <w:rPr>
          <w:rFonts w:cstheme="minorHAnsi"/>
          <w:lang w:val="en-US"/>
        </w:rPr>
        <w:t xml:space="preserve"> is a financial ratio used to measure the profitability of an investment relative to its initial cost. It is calculated by dividing the average annual accounting profit by the initial investment and expressing the result as a percentage. The formula for ARR is:</w:t>
      </w:r>
    </w:p>
    <w:p w14:paraId="705ABC6B" w14:textId="428D21AA" w:rsidR="0009016F" w:rsidRPr="00883435" w:rsidRDefault="0009016F" w:rsidP="0009016F">
      <w:pPr>
        <w:spacing w:line="360" w:lineRule="auto"/>
        <w:jc w:val="both"/>
        <w:rPr>
          <w:rFonts w:eastAsiaTheme="minorEastAsia" w:cstheme="minorHAnsi"/>
          <w:lang w:val="en-US"/>
        </w:rPr>
      </w:pPr>
      <w:r w:rsidRPr="00883435">
        <w:rPr>
          <w:rFonts w:cstheme="minorHAnsi"/>
          <w:lang w:val="en-US"/>
        </w:rPr>
        <w:t xml:space="preserve">Accounting Rate of Return </w:t>
      </w:r>
      <m:oMath>
        <m:r>
          <w:rPr>
            <w:rFonts w:ascii="Cambria Math" w:hAnsi="Cambria Math" w:cstheme="minorHAnsi"/>
            <w:lang w:val="en-US"/>
          </w:rPr>
          <m:t>=(</m:t>
        </m:r>
        <m:f>
          <m:fPr>
            <m:ctrlPr>
              <w:rPr>
                <w:rFonts w:ascii="Cambria Math" w:hAnsi="Cambria Math" w:cstheme="minorHAnsi"/>
                <w:i/>
                <w:lang w:val="en-US"/>
              </w:rPr>
            </m:ctrlPr>
          </m:fPr>
          <m:num>
            <m:r>
              <w:rPr>
                <w:rFonts w:ascii="Cambria Math" w:hAnsi="Cambria Math" w:cstheme="minorHAnsi"/>
                <w:lang w:val="en-US"/>
              </w:rPr>
              <m:t xml:space="preserve">Average Annual Accaunting Profit </m:t>
            </m:r>
          </m:num>
          <m:den>
            <m:r>
              <w:rPr>
                <w:rFonts w:ascii="Cambria Math" w:hAnsi="Cambria Math" w:cstheme="minorHAnsi"/>
                <w:lang w:val="en-US"/>
              </w:rPr>
              <m:t xml:space="preserve">Initial Investment </m:t>
            </m:r>
          </m:den>
        </m:f>
        <m:r>
          <w:rPr>
            <w:rFonts w:ascii="Cambria Math" w:hAnsi="Cambria Math" w:cstheme="minorHAnsi"/>
            <w:lang w:val="en-US"/>
          </w:rPr>
          <m:t>)×100%</m:t>
        </m:r>
      </m:oMath>
    </w:p>
    <w:p w14:paraId="14A554D6" w14:textId="64AE60D2" w:rsidR="0009016F" w:rsidRPr="0009016F" w:rsidRDefault="0009016F" w:rsidP="0009016F">
      <w:pPr>
        <w:spacing w:line="360" w:lineRule="auto"/>
        <w:jc w:val="both"/>
        <w:rPr>
          <w:rFonts w:cstheme="minorHAnsi"/>
          <w:lang w:val="en-US"/>
        </w:rPr>
      </w:pPr>
      <w:r w:rsidRPr="0009016F">
        <w:rPr>
          <w:rFonts w:cstheme="minorHAnsi"/>
          <w:lang w:val="en-US"/>
        </w:rPr>
        <w:t>To calculate the average annual accounting profit, sum the yearly cash flows and divide by the number of years.</w:t>
      </w:r>
    </w:p>
    <w:p w14:paraId="34BA4869" w14:textId="45543C2D" w:rsidR="0009016F" w:rsidRPr="00F85905" w:rsidRDefault="0009016F" w:rsidP="00F85905">
      <w:pPr>
        <w:spacing w:line="360" w:lineRule="auto"/>
        <w:jc w:val="both"/>
        <w:rPr>
          <w:rFonts w:cstheme="minorHAnsi"/>
          <w:b/>
          <w:bCs/>
          <w:lang w:val="en-US"/>
        </w:rPr>
      </w:pPr>
      <w:r w:rsidRPr="00F85905">
        <w:rPr>
          <w:rFonts w:cstheme="minorHAnsi"/>
          <w:b/>
          <w:bCs/>
          <w:lang w:val="en-US"/>
        </w:rPr>
        <w:t>PROJECT A</w:t>
      </w:r>
    </w:p>
    <w:p w14:paraId="134316C7" w14:textId="7FD8B3AD" w:rsidR="0009016F" w:rsidRPr="0009016F" w:rsidRDefault="0009016F" w:rsidP="0009016F">
      <w:pPr>
        <w:spacing w:line="360" w:lineRule="auto"/>
        <w:jc w:val="both"/>
        <w:rPr>
          <w:rFonts w:cstheme="minorHAnsi"/>
          <w:b/>
          <w:bCs/>
          <w:lang w:val="en-US"/>
        </w:rPr>
      </w:pPr>
      <w:r w:rsidRPr="0009016F">
        <w:rPr>
          <w:rFonts w:cstheme="minorHAnsi"/>
          <w:b/>
          <w:bCs/>
          <w:lang w:val="en-US"/>
        </w:rPr>
        <w:t xml:space="preserve">Investment of £5000 million </w:t>
      </w:r>
    </w:p>
    <w:p w14:paraId="19CC51DF" w14:textId="6EF2B8AA" w:rsidR="0009016F" w:rsidRPr="0009016F" w:rsidRDefault="0009016F" w:rsidP="0009016F">
      <w:pPr>
        <w:spacing w:line="360" w:lineRule="auto"/>
        <w:jc w:val="both"/>
        <w:rPr>
          <w:rFonts w:eastAsiaTheme="minorEastAsia" w:cstheme="minorHAnsi"/>
          <w:lang w:val="en-US"/>
        </w:rPr>
      </w:pPr>
      <w:r w:rsidRPr="0009016F">
        <w:rPr>
          <w:rFonts w:cstheme="minorHAnsi"/>
          <w:lang w:val="en-US"/>
        </w:rPr>
        <w:lastRenderedPageBreak/>
        <w:t xml:space="preserve">Average Annual Accounting Profit </w:t>
      </w:r>
      <m:oMath>
        <m:r>
          <w:rPr>
            <w:rFonts w:ascii="Cambria Math" w:hAnsi="Cambria Math" w:cstheme="minorHAnsi"/>
            <w:lang w:val="en-US"/>
          </w:rPr>
          <m:t>=(</m:t>
        </m:r>
        <m:f>
          <m:fPr>
            <m:ctrlPr>
              <w:rPr>
                <w:rFonts w:ascii="Cambria Math" w:hAnsi="Cambria Math" w:cstheme="minorHAnsi"/>
                <w:i/>
                <w:lang w:val="en-US"/>
              </w:rPr>
            </m:ctrlPr>
          </m:fPr>
          <m:num>
            <m:r>
              <w:rPr>
                <w:rFonts w:ascii="Cambria Math" w:hAnsi="Cambria Math" w:cstheme="minorHAnsi"/>
                <w:lang w:val="en-US"/>
              </w:rPr>
              <m:t>2500+2000+1000+</m:t>
            </m:r>
            <m:d>
              <m:dPr>
                <m:ctrlPr>
                  <w:rPr>
                    <w:rFonts w:ascii="Cambria Math" w:hAnsi="Cambria Math" w:cstheme="minorHAnsi"/>
                    <w:i/>
                    <w:lang w:val="en-US"/>
                  </w:rPr>
                </m:ctrlPr>
              </m:dPr>
              <m:e>
                <m:r>
                  <w:rPr>
                    <w:rFonts w:ascii="Cambria Math" w:hAnsi="Cambria Math" w:cstheme="minorHAnsi"/>
                    <w:lang w:val="en-US"/>
                  </w:rPr>
                  <m:t>-442</m:t>
                </m:r>
              </m:e>
            </m:d>
          </m:num>
          <m:den>
            <m:r>
              <w:rPr>
                <w:rFonts w:ascii="Cambria Math" w:hAnsi="Cambria Math" w:cstheme="minorHAnsi"/>
                <w:lang w:val="en-US"/>
              </w:rPr>
              <m:t>4</m:t>
            </m:r>
          </m:den>
        </m:f>
        <m:r>
          <w:rPr>
            <w:rFonts w:ascii="Cambria Math" w:eastAsiaTheme="minorEastAsia" w:hAnsi="Cambria Math" w:cstheme="minorHAnsi"/>
            <w:lang w:val="en-US"/>
          </w:rPr>
          <m:t xml:space="preserve">) </m:t>
        </m:r>
      </m:oMath>
    </w:p>
    <w:p w14:paraId="60ABC9A2" w14:textId="0F29BB90" w:rsidR="0009016F" w:rsidRDefault="0009016F" w:rsidP="0009016F">
      <w:pPr>
        <w:spacing w:line="360" w:lineRule="auto"/>
        <w:jc w:val="both"/>
        <w:rPr>
          <w:rFonts w:eastAsiaTheme="minorEastAsia" w:cstheme="minorHAnsi"/>
          <w:lang w:val="en-US"/>
        </w:rPr>
      </w:pPr>
      <w:r w:rsidRPr="0009016F">
        <w:rPr>
          <w:rFonts w:eastAsiaTheme="minorEastAsia" w:cstheme="minorHAnsi"/>
          <w:lang w:val="en-US"/>
        </w:rPr>
        <w:t>ARR</w:t>
      </w:r>
      <m:oMath>
        <m:r>
          <w:rPr>
            <w:rFonts w:ascii="Cambria Math" w:eastAsiaTheme="minorEastAsia" w:hAnsi="Cambria Math" w:cstheme="minorHAnsi"/>
            <w:lang w:val="en-US"/>
          </w:rPr>
          <m:t>=</m:t>
        </m:r>
        <m:f>
          <m:fPr>
            <m:ctrlPr>
              <w:rPr>
                <w:rFonts w:ascii="Cambria Math" w:eastAsiaTheme="minorEastAsia" w:hAnsi="Cambria Math" w:cstheme="minorHAnsi"/>
                <w:i/>
                <w:lang w:val="en-US"/>
              </w:rPr>
            </m:ctrlPr>
          </m:fPr>
          <m:num>
            <m:r>
              <w:rPr>
                <w:rFonts w:ascii="Cambria Math" w:eastAsiaTheme="minorEastAsia" w:hAnsi="Cambria Math" w:cstheme="minorHAnsi"/>
                <w:lang w:val="en-US"/>
              </w:rPr>
              <m:t xml:space="preserve">6054 </m:t>
            </m:r>
          </m:num>
          <m:den>
            <m:r>
              <w:rPr>
                <w:rFonts w:ascii="Cambria Math" w:eastAsiaTheme="minorEastAsia" w:hAnsi="Cambria Math" w:cstheme="minorHAnsi"/>
                <w:lang w:val="en-US"/>
              </w:rPr>
              <m:t>4</m:t>
            </m:r>
          </m:den>
        </m:f>
        <m:r>
          <w:rPr>
            <w:rFonts w:ascii="Cambria Math" w:eastAsiaTheme="minorEastAsia" w:hAnsi="Cambria Math" w:cstheme="minorHAnsi"/>
            <w:lang w:val="en-US"/>
          </w:rPr>
          <m:t>=1514.5</m:t>
        </m:r>
      </m:oMath>
    </w:p>
    <w:p w14:paraId="4774C6A5" w14:textId="3BE748AE" w:rsidR="00CA6176" w:rsidRPr="0009016F" w:rsidRDefault="00CA6176" w:rsidP="0009016F">
      <w:pPr>
        <w:spacing w:line="360" w:lineRule="auto"/>
        <w:jc w:val="both"/>
        <w:rPr>
          <w:rFonts w:cstheme="minorHAnsi"/>
          <w:lang w:val="en-US"/>
        </w:rPr>
      </w:pPr>
      <w:r>
        <w:rPr>
          <w:rFonts w:eastAsiaTheme="minorEastAsia" w:cstheme="minorHAnsi"/>
          <w:lang w:val="en-US"/>
        </w:rPr>
        <w:t>ARR</w:t>
      </w:r>
      <m:oMath>
        <m:r>
          <w:rPr>
            <w:rFonts w:ascii="Cambria Math" w:eastAsiaTheme="minorEastAsia" w:hAnsi="Cambria Math" w:cstheme="minorHAnsi"/>
            <w:lang w:val="en-US"/>
          </w:rPr>
          <m:t>=(</m:t>
        </m:r>
        <m:f>
          <m:fPr>
            <m:ctrlPr>
              <w:rPr>
                <w:rFonts w:ascii="Cambria Math" w:eastAsiaTheme="minorEastAsia" w:hAnsi="Cambria Math" w:cstheme="minorHAnsi"/>
                <w:i/>
                <w:lang w:val="en-US"/>
              </w:rPr>
            </m:ctrlPr>
          </m:fPr>
          <m:num>
            <m:r>
              <w:rPr>
                <w:rFonts w:ascii="Cambria Math" w:eastAsiaTheme="minorEastAsia" w:hAnsi="Cambria Math" w:cstheme="minorHAnsi"/>
                <w:lang w:val="en-US"/>
              </w:rPr>
              <m:t>1514.5</m:t>
            </m:r>
          </m:num>
          <m:den>
            <m:r>
              <w:rPr>
                <w:rFonts w:ascii="Cambria Math" w:eastAsiaTheme="minorEastAsia" w:hAnsi="Cambria Math" w:cstheme="minorHAnsi"/>
                <w:lang w:val="en-US"/>
              </w:rPr>
              <m:t>5000</m:t>
            </m:r>
          </m:den>
        </m:f>
        <m:r>
          <w:rPr>
            <w:rFonts w:ascii="Cambria Math" w:eastAsiaTheme="minorEastAsia" w:hAnsi="Cambria Math" w:cstheme="minorHAnsi"/>
            <w:lang w:val="en-US"/>
          </w:rPr>
          <m:t>)×100=</m:t>
        </m:r>
        <m:r>
          <m:rPr>
            <m:sty m:val="bi"/>
          </m:rPr>
          <w:rPr>
            <w:rFonts w:ascii="Cambria Math" w:eastAsiaTheme="minorEastAsia" w:hAnsi="Cambria Math" w:cstheme="minorHAnsi"/>
            <w:lang w:val="en-US"/>
          </w:rPr>
          <m:t>30.29%</m:t>
        </m:r>
      </m:oMath>
    </w:p>
    <w:p w14:paraId="1728BFF1" w14:textId="1AD314D0" w:rsidR="0009016F" w:rsidRPr="00F85905" w:rsidRDefault="0009016F" w:rsidP="00F85905">
      <w:pPr>
        <w:spacing w:line="360" w:lineRule="auto"/>
        <w:jc w:val="both"/>
        <w:rPr>
          <w:rFonts w:cstheme="minorHAnsi"/>
          <w:b/>
          <w:bCs/>
          <w:lang w:val="en-US"/>
        </w:rPr>
      </w:pPr>
      <w:r w:rsidRPr="00F85905">
        <w:rPr>
          <w:rFonts w:cstheme="minorHAnsi"/>
          <w:b/>
          <w:bCs/>
          <w:lang w:val="en-US"/>
        </w:rPr>
        <w:t xml:space="preserve">PROJECT B </w:t>
      </w:r>
    </w:p>
    <w:p w14:paraId="767FC93C" w14:textId="168E5132" w:rsidR="0009016F" w:rsidRPr="0009016F" w:rsidRDefault="0009016F" w:rsidP="0009016F">
      <w:pPr>
        <w:spacing w:line="360" w:lineRule="auto"/>
        <w:jc w:val="both"/>
        <w:rPr>
          <w:rFonts w:cstheme="minorHAnsi"/>
          <w:b/>
          <w:bCs/>
          <w:lang w:val="en-US"/>
        </w:rPr>
      </w:pPr>
      <w:r w:rsidRPr="0009016F">
        <w:rPr>
          <w:rFonts w:cstheme="minorHAnsi"/>
          <w:b/>
          <w:bCs/>
          <w:lang w:val="en-US"/>
        </w:rPr>
        <w:t xml:space="preserve">Investment of £1000 million </w:t>
      </w:r>
    </w:p>
    <w:p w14:paraId="2734CC49" w14:textId="1867DF4D" w:rsidR="0009016F" w:rsidRPr="0009016F" w:rsidRDefault="0009016F" w:rsidP="0009016F">
      <w:pPr>
        <w:spacing w:line="360" w:lineRule="auto"/>
        <w:jc w:val="both"/>
        <w:rPr>
          <w:rFonts w:eastAsiaTheme="minorEastAsia" w:cstheme="minorHAnsi"/>
          <w:lang w:val="en-US"/>
        </w:rPr>
      </w:pPr>
      <w:r w:rsidRPr="0009016F">
        <w:rPr>
          <w:rFonts w:cstheme="minorHAnsi"/>
          <w:lang w:val="en-US"/>
        </w:rPr>
        <w:t xml:space="preserve">Average Annual Accounting Profit </w:t>
      </w:r>
      <m:oMath>
        <m:r>
          <w:rPr>
            <w:rFonts w:ascii="Cambria Math" w:hAnsi="Cambria Math" w:cstheme="minorHAnsi"/>
            <w:lang w:val="en-US"/>
          </w:rPr>
          <m:t>=(</m:t>
        </m:r>
        <m:f>
          <m:fPr>
            <m:ctrlPr>
              <w:rPr>
                <w:rFonts w:ascii="Cambria Math" w:hAnsi="Cambria Math" w:cstheme="minorHAnsi"/>
                <w:i/>
                <w:lang w:val="en-US"/>
              </w:rPr>
            </m:ctrlPr>
          </m:fPr>
          <m:num>
            <m:r>
              <w:rPr>
                <w:rFonts w:ascii="Cambria Math" w:hAnsi="Cambria Math" w:cstheme="minorHAnsi"/>
                <w:lang w:val="en-US"/>
              </w:rPr>
              <m:t>1500+1000+1000+</m:t>
            </m:r>
            <m:d>
              <m:dPr>
                <m:ctrlPr>
                  <w:rPr>
                    <w:rFonts w:ascii="Cambria Math" w:hAnsi="Cambria Math" w:cstheme="minorHAnsi"/>
                    <w:i/>
                    <w:lang w:val="en-US"/>
                  </w:rPr>
                </m:ctrlPr>
              </m:dPr>
              <m:e>
                <m:r>
                  <w:rPr>
                    <w:rFonts w:ascii="Cambria Math" w:hAnsi="Cambria Math" w:cstheme="minorHAnsi"/>
                    <w:lang w:val="en-US"/>
                  </w:rPr>
                  <m:t>-470</m:t>
                </m:r>
              </m:e>
            </m:d>
          </m:num>
          <m:den>
            <m:r>
              <w:rPr>
                <w:rFonts w:ascii="Cambria Math" w:hAnsi="Cambria Math" w:cstheme="minorHAnsi"/>
                <w:lang w:val="en-US"/>
              </w:rPr>
              <m:t>4</m:t>
            </m:r>
          </m:den>
        </m:f>
        <m:r>
          <w:rPr>
            <w:rFonts w:ascii="Cambria Math" w:hAnsi="Cambria Math" w:cstheme="minorHAnsi"/>
            <w:lang w:val="en-US"/>
          </w:rPr>
          <m:t>)</m:t>
        </m:r>
      </m:oMath>
    </w:p>
    <w:p w14:paraId="27E13A0C" w14:textId="66CFDCD1" w:rsidR="0009016F" w:rsidRDefault="0009016F" w:rsidP="0009016F">
      <w:pPr>
        <w:spacing w:line="360" w:lineRule="auto"/>
        <w:jc w:val="both"/>
        <w:rPr>
          <w:rFonts w:eastAsiaTheme="minorEastAsia" w:cstheme="minorHAnsi"/>
          <w:lang w:val="en-US"/>
        </w:rPr>
      </w:pPr>
      <w:r w:rsidRPr="0009016F">
        <w:rPr>
          <w:rFonts w:eastAsiaTheme="minorEastAsia" w:cstheme="minorHAnsi"/>
          <w:lang w:val="en-US"/>
        </w:rPr>
        <w:t>ARR</w:t>
      </w:r>
      <m:oMath>
        <m:r>
          <w:rPr>
            <w:rFonts w:ascii="Cambria Math" w:eastAsiaTheme="minorEastAsia" w:hAnsi="Cambria Math" w:cstheme="minorHAnsi"/>
            <w:lang w:val="en-US"/>
          </w:rPr>
          <m:t>=</m:t>
        </m:r>
        <m:f>
          <m:fPr>
            <m:ctrlPr>
              <w:rPr>
                <w:rFonts w:ascii="Cambria Math" w:eastAsiaTheme="minorEastAsia" w:hAnsi="Cambria Math" w:cstheme="minorHAnsi"/>
                <w:i/>
                <w:lang w:val="en-US"/>
              </w:rPr>
            </m:ctrlPr>
          </m:fPr>
          <m:num>
            <m:r>
              <w:rPr>
                <w:rFonts w:ascii="Cambria Math" w:eastAsiaTheme="minorEastAsia" w:hAnsi="Cambria Math" w:cstheme="minorHAnsi"/>
                <w:lang w:val="en-US"/>
              </w:rPr>
              <m:t>3030</m:t>
            </m:r>
          </m:num>
          <m:den>
            <m:r>
              <w:rPr>
                <w:rFonts w:ascii="Cambria Math" w:eastAsiaTheme="minorEastAsia" w:hAnsi="Cambria Math" w:cstheme="minorHAnsi"/>
                <w:lang w:val="en-US"/>
              </w:rPr>
              <m:t>4</m:t>
            </m:r>
          </m:den>
        </m:f>
        <m:r>
          <w:rPr>
            <w:rFonts w:ascii="Cambria Math" w:eastAsiaTheme="minorEastAsia" w:hAnsi="Cambria Math" w:cstheme="minorHAnsi"/>
            <w:lang w:val="en-US"/>
          </w:rPr>
          <m:t xml:space="preserve">=757.5 </m:t>
        </m:r>
      </m:oMath>
    </w:p>
    <w:p w14:paraId="607E8F17" w14:textId="54D2CB00" w:rsidR="00CA6176" w:rsidRPr="0009016F" w:rsidRDefault="00CA6176" w:rsidP="0009016F">
      <w:pPr>
        <w:spacing w:line="360" w:lineRule="auto"/>
        <w:jc w:val="both"/>
        <w:rPr>
          <w:rFonts w:cstheme="minorHAnsi"/>
          <w:lang w:val="en-US"/>
        </w:rPr>
      </w:pPr>
      <w:r>
        <w:rPr>
          <w:rFonts w:eastAsiaTheme="minorEastAsia" w:cstheme="minorHAnsi"/>
          <w:lang w:val="en-US"/>
        </w:rPr>
        <w:t>ARR</w:t>
      </w:r>
      <m:oMath>
        <m:r>
          <w:rPr>
            <w:rFonts w:ascii="Cambria Math" w:eastAsiaTheme="minorEastAsia" w:hAnsi="Cambria Math" w:cstheme="minorHAnsi"/>
            <w:lang w:val="en-US"/>
          </w:rPr>
          <m:t>=(</m:t>
        </m:r>
        <m:f>
          <m:fPr>
            <m:ctrlPr>
              <w:rPr>
                <w:rFonts w:ascii="Cambria Math" w:eastAsiaTheme="minorEastAsia" w:hAnsi="Cambria Math" w:cstheme="minorHAnsi"/>
                <w:i/>
                <w:lang w:val="en-US"/>
              </w:rPr>
            </m:ctrlPr>
          </m:fPr>
          <m:num>
            <m:r>
              <w:rPr>
                <w:rFonts w:ascii="Cambria Math" w:eastAsiaTheme="minorEastAsia" w:hAnsi="Cambria Math" w:cstheme="minorHAnsi"/>
                <w:lang w:val="en-US"/>
              </w:rPr>
              <m:t>757.5</m:t>
            </m:r>
          </m:num>
          <m:den>
            <m:r>
              <w:rPr>
                <w:rFonts w:ascii="Cambria Math" w:eastAsiaTheme="minorEastAsia" w:hAnsi="Cambria Math" w:cstheme="minorHAnsi"/>
                <w:lang w:val="en-US"/>
              </w:rPr>
              <m:t>1000</m:t>
            </m:r>
          </m:den>
        </m:f>
        <m:r>
          <w:rPr>
            <w:rFonts w:ascii="Cambria Math" w:eastAsiaTheme="minorEastAsia" w:hAnsi="Cambria Math" w:cstheme="minorHAnsi"/>
            <w:lang w:val="en-US"/>
          </w:rPr>
          <m:t>)×100=</m:t>
        </m:r>
        <m:r>
          <m:rPr>
            <m:sty m:val="bi"/>
          </m:rPr>
          <w:rPr>
            <w:rFonts w:ascii="Cambria Math" w:eastAsiaTheme="minorEastAsia" w:hAnsi="Cambria Math" w:cstheme="minorHAnsi"/>
            <w:lang w:val="en-US"/>
          </w:rPr>
          <m:t>75.75%</m:t>
        </m:r>
      </m:oMath>
    </w:p>
    <w:p w14:paraId="63F4090C" w14:textId="77777777" w:rsidR="0009016F" w:rsidRDefault="0009016F" w:rsidP="0009016F">
      <w:pPr>
        <w:spacing w:line="360" w:lineRule="auto"/>
        <w:jc w:val="both"/>
        <w:rPr>
          <w:rFonts w:cstheme="minorHAnsi"/>
          <w:lang w:val="en-US"/>
        </w:rPr>
      </w:pPr>
      <w:r w:rsidRPr="0009016F">
        <w:rPr>
          <w:rFonts w:cstheme="minorHAnsi"/>
          <w:lang w:val="en-US"/>
        </w:rPr>
        <w:t>Conclusion:</w:t>
      </w:r>
    </w:p>
    <w:p w14:paraId="6FFBE35A" w14:textId="2A24FBFA" w:rsidR="00CA6176" w:rsidRPr="00CA6176" w:rsidRDefault="00CA6176" w:rsidP="00CA6176">
      <w:pPr>
        <w:spacing w:line="360" w:lineRule="auto"/>
        <w:jc w:val="both"/>
        <w:rPr>
          <w:rFonts w:cstheme="minorHAnsi"/>
          <w:lang w:val="en-US"/>
        </w:rPr>
      </w:pPr>
      <w:r w:rsidRPr="00CA6176">
        <w:rPr>
          <w:rFonts w:cstheme="minorHAnsi"/>
          <w:lang w:val="en-US"/>
        </w:rPr>
        <w:t>Based on the calculations:</w:t>
      </w:r>
    </w:p>
    <w:p w14:paraId="2D4DDB19" w14:textId="77777777" w:rsidR="00CA6176" w:rsidRPr="00CA6176" w:rsidRDefault="00CA6176" w:rsidP="00CA6176">
      <w:pPr>
        <w:spacing w:line="360" w:lineRule="auto"/>
        <w:jc w:val="both"/>
        <w:rPr>
          <w:rFonts w:cstheme="minorHAnsi"/>
          <w:lang w:val="en-US"/>
        </w:rPr>
      </w:pPr>
      <w:r w:rsidRPr="00CA6176">
        <w:rPr>
          <w:rFonts w:cstheme="minorHAnsi"/>
          <w:lang w:val="en-US"/>
        </w:rPr>
        <w:t>Project A has an ARR of approximately 30.29%.</w:t>
      </w:r>
    </w:p>
    <w:p w14:paraId="1EDB1B09" w14:textId="77777777" w:rsidR="00CA6176" w:rsidRPr="00CA6176" w:rsidRDefault="00CA6176" w:rsidP="00CA6176">
      <w:pPr>
        <w:spacing w:line="360" w:lineRule="auto"/>
        <w:jc w:val="both"/>
        <w:rPr>
          <w:rFonts w:cstheme="minorHAnsi"/>
          <w:lang w:val="en-US"/>
        </w:rPr>
      </w:pPr>
      <w:r w:rsidRPr="00CA6176">
        <w:rPr>
          <w:rFonts w:cstheme="minorHAnsi"/>
          <w:lang w:val="en-US"/>
        </w:rPr>
        <w:t>Project B has an ARR of approximately 75.75%.</w:t>
      </w:r>
    </w:p>
    <w:p w14:paraId="42854FA7" w14:textId="1DBF26E8" w:rsidR="00CA6176" w:rsidRPr="0009016F" w:rsidRDefault="00CA6176" w:rsidP="00CA6176">
      <w:pPr>
        <w:spacing w:line="360" w:lineRule="auto"/>
        <w:jc w:val="both"/>
        <w:rPr>
          <w:rFonts w:cstheme="minorHAnsi"/>
          <w:lang w:val="en-US"/>
        </w:rPr>
      </w:pPr>
      <w:r w:rsidRPr="00CA6176">
        <w:rPr>
          <w:rFonts w:cstheme="minorHAnsi"/>
          <w:lang w:val="en-US"/>
        </w:rPr>
        <w:t xml:space="preserve">Comparing the ARR values, Project B has a higher accounting rate of return than Project A. Therefore, based on the ARR criterion alone, Project B would be preferred as it offers a higher return </w:t>
      </w:r>
      <w:r>
        <w:rPr>
          <w:rFonts w:cstheme="minorHAnsi"/>
          <w:lang w:val="en-US"/>
        </w:rPr>
        <w:t>than</w:t>
      </w:r>
      <w:r w:rsidRPr="00CA6176">
        <w:rPr>
          <w:rFonts w:cstheme="minorHAnsi"/>
          <w:lang w:val="en-US"/>
        </w:rPr>
        <w:t xml:space="preserve"> the initial investment.</w:t>
      </w:r>
    </w:p>
    <w:p w14:paraId="57E8D332" w14:textId="47DC9502" w:rsidR="000D79CE" w:rsidRPr="00F85905" w:rsidRDefault="000D79CE" w:rsidP="00883435">
      <w:pPr>
        <w:pStyle w:val="ListParagraph"/>
        <w:numPr>
          <w:ilvl w:val="1"/>
          <w:numId w:val="26"/>
        </w:numPr>
        <w:spacing w:line="360" w:lineRule="auto"/>
        <w:jc w:val="both"/>
        <w:rPr>
          <w:rFonts w:cstheme="minorHAnsi"/>
          <w:b/>
          <w:bCs/>
          <w:lang w:val="en-US"/>
        </w:rPr>
      </w:pPr>
      <w:bookmarkStart w:id="6" w:name="_Hlk164338055"/>
      <w:r w:rsidRPr="00F85905">
        <w:rPr>
          <w:rFonts w:cstheme="minorHAnsi"/>
          <w:b/>
          <w:bCs/>
          <w:lang w:val="en-US"/>
        </w:rPr>
        <w:t>Net Present Value (NPV)</w:t>
      </w:r>
    </w:p>
    <w:bookmarkEnd w:id="6"/>
    <w:p w14:paraId="04145FBB" w14:textId="4E6D8D1F" w:rsidR="0009016F" w:rsidRPr="0009016F" w:rsidRDefault="0009016F" w:rsidP="0009016F">
      <w:pPr>
        <w:spacing w:line="360" w:lineRule="auto"/>
        <w:jc w:val="both"/>
        <w:rPr>
          <w:rFonts w:cstheme="minorHAnsi"/>
          <w:lang w:val="en-US"/>
        </w:rPr>
      </w:pPr>
      <w:r w:rsidRPr="0009016F">
        <w:rPr>
          <w:rFonts w:cstheme="minorHAnsi"/>
          <w:lang w:val="en-US"/>
        </w:rPr>
        <w:t>To calculate the Net Present Value (NPV) for both projects, we need to discount each cash flow to its present value and then sum these present values. The formula for NPV is:</w:t>
      </w:r>
    </w:p>
    <w:p w14:paraId="30293D37" w14:textId="785A58E9" w:rsidR="0009016F" w:rsidRPr="00883435" w:rsidRDefault="0009016F" w:rsidP="0009016F">
      <w:pPr>
        <w:spacing w:line="360" w:lineRule="auto"/>
        <w:jc w:val="both"/>
        <w:rPr>
          <w:rStyle w:val="mop"/>
          <w:rFonts w:eastAsiaTheme="minorEastAsia" w:cstheme="minorHAnsi"/>
          <w:color w:val="0D0D0D"/>
          <w:shd w:val="clear" w:color="auto" w:fill="FFFFFF"/>
        </w:rPr>
      </w:pPr>
      <w:bookmarkStart w:id="7" w:name="_Hlk164182526"/>
      <w:r w:rsidRPr="00883435">
        <w:rPr>
          <w:rFonts w:cstheme="minorHAnsi"/>
          <w:lang w:val="en-US"/>
        </w:rPr>
        <w:t>Net Present Value</w:t>
      </w:r>
      <w:r w:rsidRPr="00883435">
        <w:rPr>
          <w:rStyle w:val="mord"/>
          <w:rFonts w:cstheme="minorHAnsi"/>
          <w:i/>
          <w:iCs/>
          <w:color w:val="0D0D0D"/>
          <w:shd w:val="clear" w:color="auto" w:fill="FFFFFF"/>
        </w:rPr>
        <w:t xml:space="preserve"> </w:t>
      </w:r>
      <m:oMath>
        <m:r>
          <w:rPr>
            <w:rStyle w:val="mord"/>
            <w:rFonts w:ascii="Cambria Math" w:hAnsi="Cambria Math" w:cstheme="minorHAnsi"/>
            <w:color w:val="0D0D0D"/>
            <w:shd w:val="clear" w:color="auto" w:fill="FFFFFF"/>
          </w:rPr>
          <m:t>=</m:t>
        </m:r>
      </m:oMath>
      <w:r w:rsidRPr="00883435">
        <w:rPr>
          <w:rStyle w:val="mop"/>
          <w:rFonts w:cstheme="minorHAnsi"/>
          <w:color w:val="0D0D0D"/>
          <w:shd w:val="clear" w:color="auto" w:fill="FFFFFF"/>
        </w:rPr>
        <w:t xml:space="preserve"> </w:t>
      </w:r>
      <m:oMath>
        <m:nary>
          <m:naryPr>
            <m:chr m:val="∑"/>
            <m:limLoc m:val="undOvr"/>
            <m:ctrlPr>
              <w:rPr>
                <w:rStyle w:val="mop"/>
                <w:rFonts w:ascii="Cambria Math" w:hAnsi="Cambria Math" w:cstheme="minorHAnsi"/>
                <w:i/>
                <w:color w:val="0D0D0D"/>
                <w:shd w:val="clear" w:color="auto" w:fill="FFFFFF"/>
              </w:rPr>
            </m:ctrlPr>
          </m:naryPr>
          <m:sub>
            <m:r>
              <w:rPr>
                <w:rStyle w:val="mop"/>
                <w:rFonts w:ascii="Cambria Math" w:hAnsi="Cambria Math" w:cstheme="minorHAnsi"/>
                <w:color w:val="0D0D0D"/>
                <w:shd w:val="clear" w:color="auto" w:fill="FFFFFF"/>
              </w:rPr>
              <m:t>t</m:t>
            </m:r>
            <m:r>
              <w:rPr>
                <w:rStyle w:val="mop"/>
                <w:rFonts w:ascii="Cambria Math" w:hAnsi="Cambria Math" w:cstheme="minorHAnsi"/>
                <w:color w:val="0D0D0D"/>
                <w:shd w:val="clear" w:color="auto" w:fill="FFFFFF"/>
                <w:lang w:val="sr-Latn-RS"/>
              </w:rPr>
              <m:t>=0</m:t>
            </m:r>
          </m:sub>
          <m:sup>
            <m:r>
              <w:rPr>
                <w:rStyle w:val="mop"/>
                <w:rFonts w:ascii="Cambria Math" w:hAnsi="Cambria Math" w:cstheme="minorHAnsi"/>
                <w:color w:val="0D0D0D"/>
                <w:shd w:val="clear" w:color="auto" w:fill="FFFFFF"/>
              </w:rPr>
              <m:t>n</m:t>
            </m:r>
          </m:sup>
          <m:e>
            <m:r>
              <w:rPr>
                <w:rStyle w:val="mop"/>
                <w:rFonts w:ascii="Cambria Math" w:hAnsi="Cambria Math" w:cstheme="minorHAnsi"/>
                <w:color w:val="0D0D0D"/>
                <w:shd w:val="clear" w:color="auto" w:fill="FFFFFF"/>
              </w:rPr>
              <m:t>=</m:t>
            </m:r>
            <m:f>
              <m:fPr>
                <m:ctrlPr>
                  <w:rPr>
                    <w:rStyle w:val="mop"/>
                    <w:rFonts w:ascii="Cambria Math" w:hAnsi="Cambria Math" w:cstheme="minorHAnsi"/>
                    <w:i/>
                    <w:color w:val="0D0D0D"/>
                    <w:shd w:val="clear" w:color="auto" w:fill="FFFFFF"/>
                  </w:rPr>
                </m:ctrlPr>
              </m:fPr>
              <m:num>
                <m:r>
                  <w:rPr>
                    <w:rStyle w:val="mop"/>
                    <w:rFonts w:ascii="Cambria Math" w:hAnsi="Cambria Math" w:cstheme="minorHAnsi"/>
                    <w:color w:val="0D0D0D"/>
                    <w:shd w:val="clear" w:color="auto" w:fill="FFFFFF"/>
                  </w:rPr>
                  <m:t xml:space="preserve">CFt </m:t>
                </m:r>
              </m:num>
              <m:den>
                <m:sSup>
                  <m:sSupPr>
                    <m:ctrlPr>
                      <w:rPr>
                        <w:rStyle w:val="mop"/>
                        <w:rFonts w:ascii="Cambria Math" w:hAnsi="Cambria Math" w:cstheme="minorHAnsi"/>
                        <w:i/>
                        <w:color w:val="0D0D0D"/>
                        <w:shd w:val="clear" w:color="auto" w:fill="FFFFFF"/>
                      </w:rPr>
                    </m:ctrlPr>
                  </m:sSupPr>
                  <m:e>
                    <m:r>
                      <w:rPr>
                        <w:rStyle w:val="mop"/>
                        <w:rFonts w:ascii="Cambria Math" w:hAnsi="Cambria Math" w:cstheme="minorHAnsi"/>
                        <w:color w:val="0D0D0D"/>
                        <w:shd w:val="clear" w:color="auto" w:fill="FFFFFF"/>
                      </w:rPr>
                      <m:t>(1+r)</m:t>
                    </m:r>
                  </m:e>
                  <m:sup>
                    <m:r>
                      <w:rPr>
                        <w:rStyle w:val="mop"/>
                        <w:rFonts w:ascii="Cambria Math" w:hAnsi="Cambria Math" w:cstheme="minorHAnsi"/>
                        <w:color w:val="0D0D0D"/>
                        <w:shd w:val="clear" w:color="auto" w:fill="FFFFFF"/>
                      </w:rPr>
                      <m:t xml:space="preserve">t </m:t>
                    </m:r>
                  </m:sup>
                </m:sSup>
              </m:den>
            </m:f>
          </m:e>
        </m:nary>
      </m:oMath>
      <w:r w:rsidRPr="00883435">
        <w:rPr>
          <w:rStyle w:val="mop"/>
          <w:rFonts w:eastAsiaTheme="minorEastAsia" w:cstheme="minorHAnsi"/>
          <w:color w:val="0D0D0D"/>
          <w:shd w:val="clear" w:color="auto" w:fill="FFFFFF"/>
        </w:rPr>
        <w:t xml:space="preserve">– </w:t>
      </w:r>
    </w:p>
    <w:bookmarkEnd w:id="7"/>
    <w:p w14:paraId="5DF502C1" w14:textId="03F0D3CB" w:rsidR="0009016F" w:rsidRPr="0009016F" w:rsidRDefault="0009016F" w:rsidP="0009016F">
      <w:pPr>
        <w:spacing w:line="360" w:lineRule="auto"/>
        <w:jc w:val="both"/>
        <w:rPr>
          <w:rStyle w:val="mop"/>
          <w:rFonts w:eastAsiaTheme="minorEastAsia" w:cstheme="minorHAnsi"/>
          <w:color w:val="0D0D0D"/>
          <w:shd w:val="clear" w:color="auto" w:fill="FFFFFF"/>
        </w:rPr>
      </w:pPr>
      <w:r w:rsidRPr="0009016F">
        <w:rPr>
          <w:rStyle w:val="mop"/>
          <w:rFonts w:eastAsiaTheme="minorEastAsia" w:cstheme="minorHAnsi"/>
          <w:color w:val="0D0D0D"/>
          <w:shd w:val="clear" w:color="auto" w:fill="FFFFFF"/>
        </w:rPr>
        <w:t>Where:</w:t>
      </w:r>
    </w:p>
    <w:p w14:paraId="40A49F90" w14:textId="7F3C2E70" w:rsidR="0009016F" w:rsidRPr="0009016F" w:rsidRDefault="0009016F" w:rsidP="0009016F">
      <w:pPr>
        <w:spacing w:line="360" w:lineRule="auto"/>
        <w:jc w:val="both"/>
        <w:rPr>
          <w:rStyle w:val="mop"/>
          <w:rFonts w:eastAsiaTheme="minorEastAsia" w:cstheme="minorHAnsi"/>
          <w:color w:val="0D0D0D"/>
          <w:shd w:val="clear" w:color="auto" w:fill="FFFFFF"/>
        </w:rPr>
      </w:pPr>
      <w:r w:rsidRPr="0009016F">
        <w:rPr>
          <w:rStyle w:val="mop"/>
          <w:rFonts w:eastAsiaTheme="minorEastAsia" w:cstheme="minorHAnsi"/>
          <w:color w:val="0D0D0D"/>
          <w:shd w:val="clear" w:color="auto" w:fill="FFFFFF"/>
        </w:rPr>
        <w:t xml:space="preserve"> </w:t>
      </w:r>
      <m:oMath>
        <m:sSub>
          <m:sSubPr>
            <m:ctrlPr>
              <w:rPr>
                <w:rStyle w:val="mop"/>
                <w:rFonts w:ascii="Cambria Math" w:eastAsiaTheme="minorEastAsia" w:hAnsi="Cambria Math" w:cstheme="minorHAnsi"/>
                <w:i/>
                <w:color w:val="0D0D0D"/>
                <w:shd w:val="clear" w:color="auto" w:fill="FFFFFF"/>
              </w:rPr>
            </m:ctrlPr>
          </m:sSubPr>
          <m:e>
            <m:r>
              <w:rPr>
                <w:rStyle w:val="mop"/>
                <w:rFonts w:ascii="Cambria Math" w:eastAsiaTheme="minorEastAsia" w:hAnsi="Cambria Math" w:cstheme="minorHAnsi"/>
                <w:color w:val="0D0D0D"/>
                <w:shd w:val="clear" w:color="auto" w:fill="FFFFFF"/>
              </w:rPr>
              <m:t>CF</m:t>
            </m:r>
          </m:e>
          <m:sub>
            <m:r>
              <w:rPr>
                <w:rStyle w:val="mop"/>
                <w:rFonts w:ascii="Cambria Math" w:eastAsiaTheme="minorEastAsia" w:hAnsi="Cambria Math" w:cstheme="minorHAnsi"/>
                <w:color w:val="0D0D0D"/>
                <w:shd w:val="clear" w:color="auto" w:fill="FFFFFF"/>
              </w:rPr>
              <m:t>t</m:t>
            </m:r>
          </m:sub>
        </m:sSub>
      </m:oMath>
      <w:r w:rsidRPr="0009016F">
        <w:rPr>
          <w:rStyle w:val="mop"/>
          <w:rFonts w:eastAsiaTheme="minorEastAsia" w:cstheme="minorHAnsi"/>
          <w:color w:val="0D0D0D"/>
          <w:shd w:val="clear" w:color="auto" w:fill="FFFFFF"/>
        </w:rPr>
        <w:t>- Cash Flow at time t</w:t>
      </w:r>
    </w:p>
    <w:p w14:paraId="05BBD007" w14:textId="4D20776E" w:rsidR="0009016F" w:rsidRPr="0009016F" w:rsidRDefault="0009016F" w:rsidP="0009016F">
      <w:pPr>
        <w:spacing w:line="360" w:lineRule="auto"/>
        <w:jc w:val="both"/>
        <w:rPr>
          <w:rStyle w:val="mop"/>
          <w:rFonts w:eastAsiaTheme="minorEastAsia" w:cstheme="minorHAnsi"/>
          <w:color w:val="0D0D0D"/>
          <w:shd w:val="clear" w:color="auto" w:fill="FFFFFF"/>
        </w:rPr>
      </w:pPr>
      <w:r w:rsidRPr="0009016F">
        <w:rPr>
          <w:rStyle w:val="mop"/>
          <w:rFonts w:eastAsiaTheme="minorEastAsia" w:cstheme="minorHAnsi"/>
          <w:color w:val="0D0D0D"/>
          <w:shd w:val="clear" w:color="auto" w:fill="FFFFFF"/>
        </w:rPr>
        <w:t>r- Discount rate (the company cost of capital)</w:t>
      </w:r>
    </w:p>
    <w:p w14:paraId="20146B46" w14:textId="7DD6FB5E" w:rsidR="0009016F" w:rsidRPr="0009016F" w:rsidRDefault="0009016F" w:rsidP="0009016F">
      <w:pPr>
        <w:spacing w:line="360" w:lineRule="auto"/>
        <w:jc w:val="both"/>
        <w:rPr>
          <w:rStyle w:val="mop"/>
          <w:rFonts w:eastAsiaTheme="minorEastAsia" w:cstheme="minorHAnsi"/>
          <w:color w:val="0D0D0D"/>
          <w:shd w:val="clear" w:color="auto" w:fill="FFFFFF"/>
        </w:rPr>
      </w:pPr>
      <w:r w:rsidRPr="0009016F">
        <w:rPr>
          <w:rStyle w:val="mop"/>
          <w:rFonts w:eastAsiaTheme="minorEastAsia" w:cstheme="minorHAnsi"/>
          <w:color w:val="0D0D0D"/>
          <w:shd w:val="clear" w:color="auto" w:fill="FFFFFF"/>
        </w:rPr>
        <w:lastRenderedPageBreak/>
        <w:t>n- Number of periods (years)</w:t>
      </w:r>
    </w:p>
    <w:p w14:paraId="432A0133" w14:textId="5342AB65" w:rsidR="0009016F" w:rsidRPr="0009016F" w:rsidRDefault="0009016F" w:rsidP="0009016F">
      <w:pPr>
        <w:spacing w:line="360" w:lineRule="auto"/>
        <w:jc w:val="both"/>
        <w:rPr>
          <w:rStyle w:val="mop"/>
          <w:rFonts w:eastAsiaTheme="minorEastAsia" w:cstheme="minorHAnsi"/>
          <w:color w:val="0D0D0D"/>
          <w:shd w:val="clear" w:color="auto" w:fill="FFFFFF"/>
        </w:rPr>
      </w:pPr>
      <w:r w:rsidRPr="0009016F">
        <w:rPr>
          <w:rStyle w:val="mop"/>
          <w:rFonts w:eastAsiaTheme="minorEastAsia" w:cstheme="minorHAnsi"/>
          <w:color w:val="0D0D0D"/>
          <w:shd w:val="clear" w:color="auto" w:fill="FFFFFF"/>
        </w:rPr>
        <w:t>Initial Investment – Initial investment cost</w:t>
      </w:r>
    </w:p>
    <w:p w14:paraId="1875FF7D" w14:textId="77777777" w:rsidR="006C3680" w:rsidRDefault="0009016F" w:rsidP="0009016F">
      <w:pPr>
        <w:spacing w:line="360" w:lineRule="auto"/>
        <w:jc w:val="both"/>
        <w:rPr>
          <w:rStyle w:val="mop"/>
          <w:rFonts w:eastAsiaTheme="minorEastAsia" w:cstheme="minorHAnsi"/>
          <w:color w:val="0D0D0D"/>
          <w:shd w:val="clear" w:color="auto" w:fill="FFFFFF"/>
        </w:rPr>
      </w:pPr>
      <w:r w:rsidRPr="0009016F">
        <w:rPr>
          <w:rStyle w:val="mop"/>
          <w:rFonts w:eastAsiaTheme="minorEastAsia" w:cstheme="minorHAnsi"/>
          <w:color w:val="0D0D0D"/>
          <w:shd w:val="clear" w:color="auto" w:fill="FFFFFF"/>
        </w:rPr>
        <w:t>Given the cash flows for Projects A and B, the initial investment, and the company's cost of capital, we can calculate the NPV for each project.</w:t>
      </w:r>
    </w:p>
    <w:p w14:paraId="56520423" w14:textId="77F8A63B" w:rsidR="0009016F" w:rsidRPr="00F85905" w:rsidRDefault="006C3680" w:rsidP="00F85905">
      <w:pPr>
        <w:spacing w:line="360" w:lineRule="auto"/>
        <w:jc w:val="both"/>
        <w:rPr>
          <w:rStyle w:val="mop"/>
          <w:rFonts w:eastAsiaTheme="minorEastAsia" w:cstheme="minorHAnsi"/>
          <w:color w:val="0D0D0D"/>
          <w:shd w:val="clear" w:color="auto" w:fill="FFFFFF"/>
        </w:rPr>
      </w:pPr>
      <w:r w:rsidRPr="00F85905">
        <w:rPr>
          <w:rStyle w:val="mop"/>
          <w:rFonts w:eastAsiaTheme="minorEastAsia" w:cstheme="minorHAnsi"/>
          <w:b/>
          <w:bCs/>
          <w:color w:val="0D0D0D"/>
          <w:shd w:val="clear" w:color="auto" w:fill="FFFFFF"/>
        </w:rPr>
        <w:t xml:space="preserve"> </w:t>
      </w:r>
      <w:r w:rsidR="0009016F" w:rsidRPr="00F85905">
        <w:rPr>
          <w:rStyle w:val="mop"/>
          <w:rFonts w:eastAsiaTheme="minorEastAsia" w:cstheme="minorHAnsi"/>
          <w:b/>
          <w:bCs/>
          <w:color w:val="0D0D0D"/>
          <w:shd w:val="clear" w:color="auto" w:fill="FFFFFF"/>
        </w:rPr>
        <w:t xml:space="preserve">PROJECT A </w:t>
      </w:r>
    </w:p>
    <w:p w14:paraId="2EAA5117" w14:textId="183FAC18" w:rsidR="0009016F" w:rsidRPr="0009016F" w:rsidRDefault="0009016F" w:rsidP="0009016F">
      <w:pPr>
        <w:spacing w:line="360" w:lineRule="auto"/>
        <w:jc w:val="both"/>
        <w:rPr>
          <w:rStyle w:val="mop"/>
          <w:rFonts w:eastAsiaTheme="minorEastAsia" w:cstheme="minorHAnsi"/>
          <w:b/>
          <w:bCs/>
          <w:color w:val="0D0D0D"/>
          <w:shd w:val="clear" w:color="auto" w:fill="FFFFFF"/>
        </w:rPr>
      </w:pPr>
      <w:bookmarkStart w:id="8" w:name="_Hlk164184346"/>
      <w:r w:rsidRPr="0009016F">
        <w:rPr>
          <w:rStyle w:val="mop"/>
          <w:rFonts w:eastAsiaTheme="minorEastAsia" w:cstheme="minorHAnsi"/>
          <w:color w:val="0D0D0D"/>
          <w:shd w:val="clear" w:color="auto" w:fill="FFFFFF"/>
        </w:rPr>
        <w:t xml:space="preserve">NPV = </w:t>
      </w:r>
      <m:oMath>
        <m:nary>
          <m:naryPr>
            <m:chr m:val="∑"/>
            <m:limLoc m:val="undOvr"/>
            <m:ctrlPr>
              <w:rPr>
                <w:rStyle w:val="mop"/>
                <w:rFonts w:ascii="Cambria Math" w:hAnsi="Cambria Math" w:cstheme="minorHAnsi"/>
                <w:i/>
                <w:color w:val="0D0D0D"/>
                <w:shd w:val="clear" w:color="auto" w:fill="FFFFFF"/>
              </w:rPr>
            </m:ctrlPr>
          </m:naryPr>
          <m:sub>
            <m:r>
              <w:rPr>
                <w:rStyle w:val="mop"/>
                <w:rFonts w:ascii="Cambria Math" w:hAnsi="Cambria Math" w:cstheme="minorHAnsi"/>
                <w:color w:val="0D0D0D"/>
                <w:shd w:val="clear" w:color="auto" w:fill="FFFFFF"/>
              </w:rPr>
              <m:t>t</m:t>
            </m:r>
            <m:r>
              <w:rPr>
                <w:rStyle w:val="mop"/>
                <w:rFonts w:ascii="Cambria Math" w:hAnsi="Cambria Math" w:cstheme="minorHAnsi"/>
                <w:color w:val="0D0D0D"/>
                <w:shd w:val="clear" w:color="auto" w:fill="FFFFFF"/>
                <w:lang w:val="sr-Latn-RS"/>
              </w:rPr>
              <m:t>=0</m:t>
            </m:r>
          </m:sub>
          <m:sup>
            <m:r>
              <w:rPr>
                <w:rStyle w:val="mop"/>
                <w:rFonts w:ascii="Cambria Math" w:hAnsi="Cambria Math" w:cstheme="minorHAnsi"/>
                <w:color w:val="0D0D0D"/>
                <w:shd w:val="clear" w:color="auto" w:fill="FFFFFF"/>
              </w:rPr>
              <m:t>n</m:t>
            </m:r>
          </m:sup>
          <m:e>
            <m:r>
              <w:rPr>
                <w:rStyle w:val="mop"/>
                <w:rFonts w:ascii="Cambria Math" w:hAnsi="Cambria Math" w:cstheme="minorHAnsi"/>
                <w:color w:val="0D0D0D"/>
                <w:shd w:val="clear" w:color="auto" w:fill="FFFFFF"/>
              </w:rPr>
              <m:t>=</m:t>
            </m:r>
            <w:bookmarkStart w:id="9" w:name="_Hlk164105510"/>
            <m:f>
              <m:fPr>
                <m:ctrlPr>
                  <w:rPr>
                    <w:rStyle w:val="mop"/>
                    <w:rFonts w:ascii="Cambria Math" w:hAnsi="Cambria Math" w:cstheme="minorHAnsi"/>
                    <w:i/>
                    <w:color w:val="0D0D0D"/>
                    <w:shd w:val="clear" w:color="auto" w:fill="FFFFFF"/>
                  </w:rPr>
                </m:ctrlPr>
              </m:fPr>
              <m:num>
                <m:r>
                  <w:rPr>
                    <w:rStyle w:val="mop"/>
                    <w:rFonts w:ascii="Cambria Math" w:hAnsi="Cambria Math" w:cstheme="minorHAnsi"/>
                    <w:color w:val="0D0D0D"/>
                    <w:shd w:val="clear" w:color="auto" w:fill="FFFFFF"/>
                  </w:rPr>
                  <m:t xml:space="preserve">-5000 </m:t>
                </m:r>
              </m:num>
              <m:den>
                <m:sSup>
                  <m:sSupPr>
                    <m:ctrlPr>
                      <w:rPr>
                        <w:rStyle w:val="mop"/>
                        <w:rFonts w:ascii="Cambria Math" w:hAnsi="Cambria Math" w:cstheme="minorHAnsi"/>
                        <w:i/>
                        <w:color w:val="0D0D0D"/>
                        <w:shd w:val="clear" w:color="auto" w:fill="FFFFFF"/>
                      </w:rPr>
                    </m:ctrlPr>
                  </m:sSupPr>
                  <m:e>
                    <m:r>
                      <w:rPr>
                        <w:rStyle w:val="mop"/>
                        <w:rFonts w:ascii="Cambria Math" w:hAnsi="Cambria Math" w:cstheme="minorHAnsi"/>
                        <w:color w:val="0D0D0D"/>
                        <w:shd w:val="clear" w:color="auto" w:fill="FFFFFF"/>
                      </w:rPr>
                      <m:t>(1+0.0075)</m:t>
                    </m:r>
                  </m:e>
                  <m:sup>
                    <m:r>
                      <w:rPr>
                        <w:rStyle w:val="mop"/>
                        <w:rFonts w:ascii="Cambria Math" w:hAnsi="Cambria Math" w:cstheme="minorHAnsi"/>
                        <w:color w:val="0D0D0D"/>
                        <w:shd w:val="clear" w:color="auto" w:fill="FFFFFF"/>
                      </w:rPr>
                      <m:t>0</m:t>
                    </m:r>
                  </m:sup>
                </m:sSup>
              </m:den>
            </m:f>
            <w:bookmarkEnd w:id="9"/>
          </m:e>
        </m:nary>
        <m:r>
          <w:rPr>
            <w:rStyle w:val="mop"/>
            <w:rFonts w:ascii="Cambria Math" w:hAnsi="Cambria Math" w:cstheme="minorHAnsi"/>
            <w:color w:val="0D0D0D"/>
            <w:shd w:val="clear" w:color="auto" w:fill="FFFFFF"/>
          </w:rPr>
          <m:t xml:space="preserve">+ </m:t>
        </m:r>
        <m:f>
          <m:fPr>
            <m:ctrlPr>
              <w:rPr>
                <w:rStyle w:val="mop"/>
                <w:rFonts w:ascii="Cambria Math" w:hAnsi="Cambria Math" w:cstheme="minorHAnsi"/>
                <w:i/>
                <w:color w:val="0D0D0D"/>
                <w:shd w:val="clear" w:color="auto" w:fill="FFFFFF"/>
              </w:rPr>
            </m:ctrlPr>
          </m:fPr>
          <m:num>
            <m:r>
              <w:rPr>
                <w:rStyle w:val="mop"/>
                <w:rFonts w:ascii="Cambria Math" w:hAnsi="Cambria Math" w:cstheme="minorHAnsi"/>
                <w:color w:val="0D0D0D"/>
                <w:shd w:val="clear" w:color="auto" w:fill="FFFFFF"/>
              </w:rPr>
              <m:t>2500</m:t>
            </m:r>
          </m:num>
          <m:den>
            <m:sSup>
              <m:sSupPr>
                <m:ctrlPr>
                  <w:rPr>
                    <w:rStyle w:val="mop"/>
                    <w:rFonts w:ascii="Cambria Math" w:hAnsi="Cambria Math" w:cstheme="minorHAnsi"/>
                    <w:i/>
                    <w:color w:val="0D0D0D"/>
                    <w:shd w:val="clear" w:color="auto" w:fill="FFFFFF"/>
                  </w:rPr>
                </m:ctrlPr>
              </m:sSupPr>
              <m:e>
                <m:r>
                  <w:rPr>
                    <w:rStyle w:val="mop"/>
                    <w:rFonts w:ascii="Cambria Math" w:hAnsi="Cambria Math" w:cstheme="minorHAnsi"/>
                    <w:color w:val="0D0D0D"/>
                    <w:shd w:val="clear" w:color="auto" w:fill="FFFFFF"/>
                  </w:rPr>
                  <m:t>(1+0.0075)</m:t>
                </m:r>
              </m:e>
              <m:sup>
                <m:r>
                  <w:rPr>
                    <w:rStyle w:val="mop"/>
                    <w:rFonts w:ascii="Cambria Math" w:hAnsi="Cambria Math" w:cstheme="minorHAnsi"/>
                    <w:color w:val="0D0D0D"/>
                    <w:shd w:val="clear" w:color="auto" w:fill="FFFFFF"/>
                  </w:rPr>
                  <m:t xml:space="preserve">1  </m:t>
                </m:r>
              </m:sup>
            </m:sSup>
          </m:den>
        </m:f>
      </m:oMath>
      <w:r w:rsidRPr="0009016F">
        <w:rPr>
          <w:rStyle w:val="mop"/>
          <w:rFonts w:eastAsiaTheme="minorEastAsia" w:cstheme="minorHAnsi"/>
          <w:color w:val="0D0D0D"/>
          <w:shd w:val="clear" w:color="auto" w:fill="FFFFFF"/>
        </w:rPr>
        <w:t xml:space="preserve"> + </w:t>
      </w:r>
      <m:oMath>
        <m:f>
          <m:fPr>
            <m:ctrlPr>
              <w:rPr>
                <w:rStyle w:val="mop"/>
                <w:rFonts w:ascii="Cambria Math" w:hAnsi="Cambria Math" w:cstheme="minorHAnsi"/>
                <w:i/>
                <w:color w:val="0D0D0D"/>
                <w:shd w:val="clear" w:color="auto" w:fill="FFFFFF"/>
              </w:rPr>
            </m:ctrlPr>
          </m:fPr>
          <m:num>
            <m:r>
              <w:rPr>
                <w:rStyle w:val="mop"/>
                <w:rFonts w:ascii="Cambria Math" w:hAnsi="Cambria Math" w:cstheme="minorHAnsi"/>
                <w:color w:val="0D0D0D"/>
                <w:shd w:val="clear" w:color="auto" w:fill="FFFFFF"/>
              </w:rPr>
              <m:t>2000</m:t>
            </m:r>
          </m:num>
          <m:den>
            <m:sSup>
              <m:sSupPr>
                <m:ctrlPr>
                  <w:rPr>
                    <w:rStyle w:val="mop"/>
                    <w:rFonts w:ascii="Cambria Math" w:hAnsi="Cambria Math" w:cstheme="minorHAnsi"/>
                    <w:i/>
                    <w:color w:val="0D0D0D"/>
                    <w:shd w:val="clear" w:color="auto" w:fill="FFFFFF"/>
                  </w:rPr>
                </m:ctrlPr>
              </m:sSupPr>
              <m:e>
                <m:r>
                  <w:rPr>
                    <w:rStyle w:val="mop"/>
                    <w:rFonts w:ascii="Cambria Math" w:hAnsi="Cambria Math" w:cstheme="minorHAnsi"/>
                    <w:color w:val="0D0D0D"/>
                    <w:shd w:val="clear" w:color="auto" w:fill="FFFFFF"/>
                  </w:rPr>
                  <m:t>(1+0.0075)</m:t>
                </m:r>
              </m:e>
              <m:sup>
                <m:r>
                  <w:rPr>
                    <w:rStyle w:val="mop"/>
                    <w:rFonts w:ascii="Cambria Math" w:hAnsi="Cambria Math" w:cstheme="minorHAnsi"/>
                    <w:color w:val="0D0D0D"/>
                    <w:shd w:val="clear" w:color="auto" w:fill="FFFFFF"/>
                  </w:rPr>
                  <m:t xml:space="preserve">2 </m:t>
                </m:r>
              </m:sup>
            </m:sSup>
          </m:den>
        </m:f>
      </m:oMath>
      <w:r w:rsidRPr="0009016F">
        <w:rPr>
          <w:rStyle w:val="mop"/>
          <w:rFonts w:eastAsiaTheme="minorEastAsia" w:cstheme="minorHAnsi"/>
          <w:color w:val="0D0D0D"/>
          <w:shd w:val="clear" w:color="auto" w:fill="FFFFFF"/>
        </w:rPr>
        <w:t xml:space="preserve"> +</w:t>
      </w:r>
      <m:oMath>
        <m:f>
          <m:fPr>
            <m:ctrlPr>
              <w:rPr>
                <w:rStyle w:val="mop"/>
                <w:rFonts w:ascii="Cambria Math" w:hAnsi="Cambria Math" w:cstheme="minorHAnsi"/>
                <w:i/>
                <w:color w:val="0D0D0D"/>
                <w:shd w:val="clear" w:color="auto" w:fill="FFFFFF"/>
              </w:rPr>
            </m:ctrlPr>
          </m:fPr>
          <m:num>
            <m:r>
              <w:rPr>
                <w:rStyle w:val="mop"/>
                <w:rFonts w:ascii="Cambria Math" w:hAnsi="Cambria Math" w:cstheme="minorHAnsi"/>
                <w:color w:val="0D0D0D"/>
                <w:shd w:val="clear" w:color="auto" w:fill="FFFFFF"/>
              </w:rPr>
              <m:t xml:space="preserve">1000 </m:t>
            </m:r>
          </m:num>
          <m:den>
            <m:sSup>
              <m:sSupPr>
                <m:ctrlPr>
                  <w:rPr>
                    <w:rStyle w:val="mop"/>
                    <w:rFonts w:ascii="Cambria Math" w:hAnsi="Cambria Math" w:cstheme="minorHAnsi"/>
                    <w:i/>
                    <w:color w:val="0D0D0D"/>
                    <w:shd w:val="clear" w:color="auto" w:fill="FFFFFF"/>
                  </w:rPr>
                </m:ctrlPr>
              </m:sSupPr>
              <m:e>
                <m:r>
                  <w:rPr>
                    <w:rStyle w:val="mop"/>
                    <w:rFonts w:ascii="Cambria Math" w:hAnsi="Cambria Math" w:cstheme="minorHAnsi"/>
                    <w:color w:val="0D0D0D"/>
                    <w:shd w:val="clear" w:color="auto" w:fill="FFFFFF"/>
                  </w:rPr>
                  <m:t>(1+0.0075)</m:t>
                </m:r>
              </m:e>
              <m:sup>
                <m:r>
                  <w:rPr>
                    <w:rStyle w:val="mop"/>
                    <w:rFonts w:ascii="Cambria Math" w:hAnsi="Cambria Math" w:cstheme="minorHAnsi"/>
                    <w:color w:val="0D0D0D"/>
                    <w:shd w:val="clear" w:color="auto" w:fill="FFFFFF"/>
                  </w:rPr>
                  <m:t>3</m:t>
                </m:r>
              </m:sup>
            </m:sSup>
          </m:den>
        </m:f>
      </m:oMath>
      <w:r w:rsidRPr="0009016F">
        <w:rPr>
          <w:rStyle w:val="mop"/>
          <w:rFonts w:eastAsiaTheme="minorEastAsia" w:cstheme="minorHAnsi"/>
          <w:color w:val="0D0D0D"/>
          <w:shd w:val="clear" w:color="auto" w:fill="FFFFFF"/>
        </w:rPr>
        <w:t xml:space="preserve">  + </w:t>
      </w:r>
      <m:oMath>
        <m:f>
          <m:fPr>
            <m:ctrlPr>
              <w:rPr>
                <w:rStyle w:val="mop"/>
                <w:rFonts w:ascii="Cambria Math" w:hAnsi="Cambria Math" w:cstheme="minorHAnsi"/>
                <w:i/>
                <w:color w:val="0D0D0D"/>
                <w:shd w:val="clear" w:color="auto" w:fill="FFFFFF"/>
              </w:rPr>
            </m:ctrlPr>
          </m:fPr>
          <m:num>
            <m:r>
              <w:rPr>
                <w:rStyle w:val="mop"/>
                <w:rFonts w:ascii="Cambria Math" w:hAnsi="Cambria Math" w:cstheme="minorHAnsi"/>
                <w:color w:val="0D0D0D"/>
                <w:shd w:val="clear" w:color="auto" w:fill="FFFFFF"/>
              </w:rPr>
              <m:t xml:space="preserve">-442 </m:t>
            </m:r>
          </m:num>
          <m:den>
            <m:sSup>
              <m:sSupPr>
                <m:ctrlPr>
                  <w:rPr>
                    <w:rStyle w:val="mop"/>
                    <w:rFonts w:ascii="Cambria Math" w:hAnsi="Cambria Math" w:cstheme="minorHAnsi"/>
                    <w:i/>
                    <w:color w:val="0D0D0D"/>
                    <w:shd w:val="clear" w:color="auto" w:fill="FFFFFF"/>
                  </w:rPr>
                </m:ctrlPr>
              </m:sSupPr>
              <m:e>
                <m:r>
                  <w:rPr>
                    <w:rStyle w:val="mop"/>
                    <w:rFonts w:ascii="Cambria Math" w:hAnsi="Cambria Math" w:cstheme="minorHAnsi"/>
                    <w:color w:val="0D0D0D"/>
                    <w:shd w:val="clear" w:color="auto" w:fill="FFFFFF"/>
                  </w:rPr>
                  <m:t>(1+0.0075)</m:t>
                </m:r>
              </m:e>
              <m:sup>
                <m:r>
                  <w:rPr>
                    <w:rStyle w:val="mop"/>
                    <w:rFonts w:ascii="Cambria Math" w:hAnsi="Cambria Math" w:cstheme="minorHAnsi"/>
                    <w:color w:val="0D0D0D"/>
                    <w:shd w:val="clear" w:color="auto" w:fill="FFFFFF"/>
                  </w:rPr>
                  <m:t>4</m:t>
                </m:r>
              </m:sup>
            </m:sSup>
          </m:den>
        </m:f>
      </m:oMath>
    </w:p>
    <w:p w14:paraId="4962DF07" w14:textId="7597F39C" w:rsidR="0009016F" w:rsidRDefault="0009016F" w:rsidP="0009016F">
      <w:pPr>
        <w:spacing w:line="360" w:lineRule="auto"/>
        <w:jc w:val="both"/>
        <w:rPr>
          <w:rStyle w:val="mop"/>
          <w:rFonts w:eastAsiaTheme="minorEastAsia" w:cstheme="minorHAnsi"/>
          <w:color w:val="0D0D0D"/>
          <w:shd w:val="clear" w:color="auto" w:fill="FFFFFF"/>
        </w:rPr>
      </w:pPr>
      <w:r w:rsidRPr="0009016F">
        <w:rPr>
          <w:rStyle w:val="mop"/>
          <w:rFonts w:eastAsiaTheme="minorEastAsia" w:cstheme="minorHAnsi"/>
          <w:color w:val="0D0D0D"/>
          <w:shd w:val="clear" w:color="auto" w:fill="FFFFFF"/>
        </w:rPr>
        <w:t xml:space="preserve">NPV </w:t>
      </w:r>
      <m:oMath>
        <m:r>
          <w:rPr>
            <w:rStyle w:val="mop"/>
            <w:rFonts w:ascii="Cambria Math" w:eastAsiaTheme="minorEastAsia" w:hAnsi="Cambria Math" w:cstheme="minorHAnsi"/>
            <w:color w:val="0D0D0D"/>
            <w:shd w:val="clear" w:color="auto" w:fill="FFFFFF"/>
          </w:rPr>
          <m:t>=(-5000)+2476.63+1971.39+975.09+</m:t>
        </m:r>
        <m:d>
          <m:dPr>
            <m:ctrlPr>
              <w:rPr>
                <w:rStyle w:val="mop"/>
                <w:rFonts w:ascii="Cambria Math" w:eastAsiaTheme="minorEastAsia" w:hAnsi="Cambria Math" w:cstheme="minorHAnsi"/>
                <w:i/>
                <w:color w:val="0D0D0D"/>
                <w:shd w:val="clear" w:color="auto" w:fill="FFFFFF"/>
              </w:rPr>
            </m:ctrlPr>
          </m:dPr>
          <m:e>
            <m:r>
              <w:rPr>
                <w:rStyle w:val="mop"/>
                <w:rFonts w:ascii="Cambria Math" w:eastAsiaTheme="minorEastAsia" w:hAnsi="Cambria Math" w:cstheme="minorHAnsi"/>
                <w:color w:val="0D0D0D"/>
                <w:shd w:val="clear" w:color="auto" w:fill="FFFFFF"/>
              </w:rPr>
              <m:t>-428.73</m:t>
            </m:r>
          </m:e>
        </m:d>
      </m:oMath>
    </w:p>
    <w:p w14:paraId="3A7D3229" w14:textId="37620D11" w:rsidR="00D9581A" w:rsidRPr="0009016F" w:rsidRDefault="00D9581A" w:rsidP="0009016F">
      <w:pPr>
        <w:spacing w:line="360" w:lineRule="auto"/>
        <w:jc w:val="both"/>
        <w:rPr>
          <w:rStyle w:val="mop"/>
          <w:rFonts w:eastAsiaTheme="minorEastAsia" w:cstheme="minorHAnsi"/>
          <w:color w:val="0D0D0D"/>
          <w:shd w:val="clear" w:color="auto" w:fill="FFFFFF"/>
        </w:rPr>
      </w:pPr>
      <w:r>
        <w:rPr>
          <w:rStyle w:val="mop"/>
          <w:rFonts w:eastAsiaTheme="minorEastAsia" w:cstheme="minorHAnsi"/>
          <w:color w:val="0D0D0D"/>
          <w:shd w:val="clear" w:color="auto" w:fill="FFFFFF"/>
        </w:rPr>
        <w:t>NPV</w:t>
      </w:r>
      <m:oMath>
        <m:r>
          <w:rPr>
            <w:rStyle w:val="mop"/>
            <w:rFonts w:ascii="Cambria Math" w:eastAsiaTheme="minorEastAsia" w:hAnsi="Cambria Math" w:cstheme="minorHAnsi"/>
            <w:color w:val="0D0D0D"/>
            <w:shd w:val="clear" w:color="auto" w:fill="FFFFFF"/>
          </w:rPr>
          <m:t>=5423.11+(-5428.73)</m:t>
        </m:r>
      </m:oMath>
    </w:p>
    <w:p w14:paraId="1F1A955B" w14:textId="10CDED29" w:rsidR="00CA6176" w:rsidRPr="00883435" w:rsidRDefault="0009016F" w:rsidP="0009016F">
      <w:pPr>
        <w:spacing w:line="360" w:lineRule="auto"/>
        <w:jc w:val="both"/>
        <w:rPr>
          <w:rStyle w:val="mop"/>
          <w:rFonts w:eastAsiaTheme="minorEastAsia" w:cstheme="minorHAnsi"/>
          <w:b/>
          <w:color w:val="0D0D0D"/>
          <w:shd w:val="clear" w:color="auto" w:fill="FFFFFF"/>
        </w:rPr>
      </w:pPr>
      <w:r w:rsidRPr="0009016F">
        <w:rPr>
          <w:rStyle w:val="mop"/>
          <w:rFonts w:eastAsiaTheme="minorEastAsia" w:cstheme="minorHAnsi"/>
          <w:b/>
          <w:bCs/>
          <w:color w:val="0D0D0D"/>
          <w:shd w:val="clear" w:color="auto" w:fill="FFFFFF"/>
        </w:rPr>
        <w:t xml:space="preserve">NPV </w:t>
      </w:r>
      <m:oMath>
        <m:r>
          <m:rPr>
            <m:sty m:val="bi"/>
          </m:rPr>
          <w:rPr>
            <w:rStyle w:val="mop"/>
            <w:rFonts w:ascii="Cambria Math" w:eastAsiaTheme="minorEastAsia" w:hAnsi="Cambria Math" w:cstheme="minorHAnsi"/>
            <w:color w:val="0D0D0D"/>
            <w:shd w:val="clear" w:color="auto" w:fill="FFFFFF"/>
          </w:rPr>
          <m:t xml:space="preserve">=- 5.62  million  </m:t>
        </m:r>
      </m:oMath>
      <w:bookmarkEnd w:id="8"/>
    </w:p>
    <w:p w14:paraId="3D1C3802" w14:textId="381D71DF" w:rsidR="0009016F" w:rsidRPr="00F85905" w:rsidRDefault="0009016F" w:rsidP="00F85905">
      <w:pPr>
        <w:spacing w:line="360" w:lineRule="auto"/>
        <w:jc w:val="both"/>
        <w:rPr>
          <w:rStyle w:val="mop"/>
          <w:rFonts w:eastAsiaTheme="minorEastAsia" w:cstheme="minorHAnsi"/>
          <w:b/>
          <w:bCs/>
          <w:color w:val="0D0D0D"/>
          <w:shd w:val="clear" w:color="auto" w:fill="FFFFFF"/>
        </w:rPr>
      </w:pPr>
      <w:r w:rsidRPr="00F85905">
        <w:rPr>
          <w:rStyle w:val="mop"/>
          <w:rFonts w:eastAsiaTheme="minorEastAsia" w:cstheme="minorHAnsi"/>
          <w:b/>
          <w:bCs/>
          <w:color w:val="0D0D0D"/>
          <w:shd w:val="clear" w:color="auto" w:fill="FFFFFF"/>
        </w:rPr>
        <w:t>PROJECT B</w:t>
      </w:r>
    </w:p>
    <w:p w14:paraId="235B7E99" w14:textId="749D6D3B" w:rsidR="0009016F" w:rsidRPr="0009016F" w:rsidRDefault="0009016F" w:rsidP="0009016F">
      <w:pPr>
        <w:spacing w:line="360" w:lineRule="auto"/>
        <w:jc w:val="both"/>
        <w:rPr>
          <w:rStyle w:val="mop"/>
          <w:rFonts w:eastAsiaTheme="minorEastAsia" w:cstheme="minorHAnsi"/>
          <w:color w:val="0D0D0D"/>
          <w:shd w:val="clear" w:color="auto" w:fill="FFFFFF"/>
        </w:rPr>
      </w:pPr>
      <w:bookmarkStart w:id="10" w:name="_Hlk164184409"/>
      <w:r w:rsidRPr="0009016F">
        <w:rPr>
          <w:rStyle w:val="mop"/>
          <w:rFonts w:eastAsiaTheme="minorEastAsia" w:cstheme="minorHAnsi"/>
          <w:color w:val="0D0D0D"/>
          <w:shd w:val="clear" w:color="auto" w:fill="FFFFFF"/>
        </w:rPr>
        <w:t xml:space="preserve">NPV </w:t>
      </w:r>
      <m:oMath>
        <m:r>
          <w:rPr>
            <w:rStyle w:val="mop"/>
            <w:rFonts w:ascii="Cambria Math" w:eastAsiaTheme="minorEastAsia" w:hAnsi="Cambria Math" w:cstheme="minorHAnsi"/>
            <w:color w:val="0D0D0D"/>
            <w:shd w:val="clear" w:color="auto" w:fill="FFFFFF"/>
          </w:rPr>
          <m:t>=</m:t>
        </m:r>
        <m:nary>
          <m:naryPr>
            <m:chr m:val="∑"/>
            <m:limLoc m:val="undOvr"/>
            <m:ctrlPr>
              <w:rPr>
                <w:rStyle w:val="mop"/>
                <w:rFonts w:ascii="Cambria Math" w:hAnsi="Cambria Math" w:cstheme="minorHAnsi"/>
                <w:i/>
                <w:color w:val="0D0D0D"/>
                <w:shd w:val="clear" w:color="auto" w:fill="FFFFFF"/>
              </w:rPr>
            </m:ctrlPr>
          </m:naryPr>
          <m:sub>
            <m:r>
              <w:rPr>
                <w:rStyle w:val="mop"/>
                <w:rFonts w:ascii="Cambria Math" w:hAnsi="Cambria Math" w:cstheme="minorHAnsi"/>
                <w:color w:val="0D0D0D"/>
                <w:shd w:val="clear" w:color="auto" w:fill="FFFFFF"/>
              </w:rPr>
              <m:t>t</m:t>
            </m:r>
            <m:r>
              <w:rPr>
                <w:rStyle w:val="mop"/>
                <w:rFonts w:ascii="Cambria Math" w:hAnsi="Cambria Math" w:cstheme="minorHAnsi"/>
                <w:color w:val="0D0D0D"/>
                <w:shd w:val="clear" w:color="auto" w:fill="FFFFFF"/>
                <w:lang w:val="sr-Latn-RS"/>
              </w:rPr>
              <m:t>=0</m:t>
            </m:r>
          </m:sub>
          <m:sup>
            <m:r>
              <w:rPr>
                <w:rStyle w:val="mop"/>
                <w:rFonts w:ascii="Cambria Math" w:hAnsi="Cambria Math" w:cstheme="minorHAnsi"/>
                <w:color w:val="0D0D0D"/>
                <w:shd w:val="clear" w:color="auto" w:fill="FFFFFF"/>
              </w:rPr>
              <m:t>n</m:t>
            </m:r>
          </m:sup>
          <m:e>
            <m:r>
              <w:rPr>
                <w:rStyle w:val="mop"/>
                <w:rFonts w:ascii="Cambria Math" w:hAnsi="Cambria Math" w:cstheme="minorHAnsi"/>
                <w:color w:val="0D0D0D"/>
                <w:shd w:val="clear" w:color="auto" w:fill="FFFFFF"/>
              </w:rPr>
              <m:t>=</m:t>
            </m:r>
            <m:f>
              <m:fPr>
                <m:ctrlPr>
                  <w:rPr>
                    <w:rStyle w:val="mop"/>
                    <w:rFonts w:ascii="Cambria Math" w:hAnsi="Cambria Math" w:cstheme="minorHAnsi"/>
                    <w:i/>
                    <w:color w:val="0D0D0D"/>
                    <w:shd w:val="clear" w:color="auto" w:fill="FFFFFF"/>
                  </w:rPr>
                </m:ctrlPr>
              </m:fPr>
              <m:num>
                <m:r>
                  <w:rPr>
                    <w:rStyle w:val="mop"/>
                    <w:rFonts w:ascii="Cambria Math" w:hAnsi="Cambria Math" w:cstheme="minorHAnsi"/>
                    <w:color w:val="0D0D0D"/>
                    <w:shd w:val="clear" w:color="auto" w:fill="FFFFFF"/>
                  </w:rPr>
                  <m:t>-1000</m:t>
                </m:r>
              </m:num>
              <m:den>
                <m:sSup>
                  <m:sSupPr>
                    <m:ctrlPr>
                      <w:rPr>
                        <w:rStyle w:val="mop"/>
                        <w:rFonts w:ascii="Cambria Math" w:hAnsi="Cambria Math" w:cstheme="minorHAnsi"/>
                        <w:i/>
                        <w:color w:val="0D0D0D"/>
                        <w:shd w:val="clear" w:color="auto" w:fill="FFFFFF"/>
                      </w:rPr>
                    </m:ctrlPr>
                  </m:sSupPr>
                  <m:e>
                    <m:r>
                      <w:rPr>
                        <w:rStyle w:val="mop"/>
                        <w:rFonts w:ascii="Cambria Math" w:hAnsi="Cambria Math" w:cstheme="minorHAnsi"/>
                        <w:color w:val="0D0D0D"/>
                        <w:shd w:val="clear" w:color="auto" w:fill="FFFFFF"/>
                      </w:rPr>
                      <m:t>(1+0.0075)</m:t>
                    </m:r>
                  </m:e>
                  <m:sup>
                    <m:r>
                      <w:rPr>
                        <w:rStyle w:val="mop"/>
                        <w:rFonts w:ascii="Cambria Math" w:hAnsi="Cambria Math" w:cstheme="minorHAnsi"/>
                        <w:color w:val="0D0D0D"/>
                        <w:shd w:val="clear" w:color="auto" w:fill="FFFFFF"/>
                      </w:rPr>
                      <m:t>0</m:t>
                    </m:r>
                  </m:sup>
                </m:sSup>
              </m:den>
            </m:f>
          </m:e>
        </m:nary>
        <m:r>
          <w:rPr>
            <w:rStyle w:val="mop"/>
            <w:rFonts w:ascii="Cambria Math" w:hAnsi="Cambria Math" w:cstheme="minorHAnsi"/>
            <w:color w:val="0D0D0D"/>
            <w:shd w:val="clear" w:color="auto" w:fill="FFFFFF"/>
          </w:rPr>
          <m:t xml:space="preserve">+ </m:t>
        </m:r>
        <m:f>
          <m:fPr>
            <m:ctrlPr>
              <w:rPr>
                <w:rStyle w:val="mop"/>
                <w:rFonts w:ascii="Cambria Math" w:hAnsi="Cambria Math" w:cstheme="minorHAnsi"/>
                <w:i/>
                <w:color w:val="0D0D0D"/>
                <w:shd w:val="clear" w:color="auto" w:fill="FFFFFF"/>
              </w:rPr>
            </m:ctrlPr>
          </m:fPr>
          <m:num>
            <m:r>
              <w:rPr>
                <w:rStyle w:val="mop"/>
                <w:rFonts w:ascii="Cambria Math" w:hAnsi="Cambria Math" w:cstheme="minorHAnsi"/>
                <w:color w:val="0D0D0D"/>
                <w:shd w:val="clear" w:color="auto" w:fill="FFFFFF"/>
              </w:rPr>
              <m:t>1500</m:t>
            </m:r>
          </m:num>
          <m:den>
            <m:sSup>
              <m:sSupPr>
                <m:ctrlPr>
                  <w:rPr>
                    <w:rStyle w:val="mop"/>
                    <w:rFonts w:ascii="Cambria Math" w:hAnsi="Cambria Math" w:cstheme="minorHAnsi"/>
                    <w:i/>
                    <w:color w:val="0D0D0D"/>
                    <w:shd w:val="clear" w:color="auto" w:fill="FFFFFF"/>
                  </w:rPr>
                </m:ctrlPr>
              </m:sSupPr>
              <m:e>
                <m:r>
                  <w:rPr>
                    <w:rStyle w:val="mop"/>
                    <w:rFonts w:ascii="Cambria Math" w:hAnsi="Cambria Math" w:cstheme="minorHAnsi"/>
                    <w:color w:val="0D0D0D"/>
                    <w:shd w:val="clear" w:color="auto" w:fill="FFFFFF"/>
                  </w:rPr>
                  <m:t>(1+0.0075)</m:t>
                </m:r>
              </m:e>
              <m:sup>
                <m:r>
                  <w:rPr>
                    <w:rStyle w:val="mop"/>
                    <w:rFonts w:ascii="Cambria Math" w:hAnsi="Cambria Math" w:cstheme="minorHAnsi"/>
                    <w:color w:val="0D0D0D"/>
                    <w:shd w:val="clear" w:color="auto" w:fill="FFFFFF"/>
                  </w:rPr>
                  <m:t xml:space="preserve">1  </m:t>
                </m:r>
              </m:sup>
            </m:sSup>
          </m:den>
        </m:f>
      </m:oMath>
      <w:r w:rsidRPr="0009016F">
        <w:rPr>
          <w:rStyle w:val="mop"/>
          <w:rFonts w:eastAsiaTheme="minorEastAsia" w:cstheme="minorHAnsi"/>
          <w:color w:val="0D0D0D"/>
          <w:shd w:val="clear" w:color="auto" w:fill="FFFFFF"/>
        </w:rPr>
        <w:t xml:space="preserve"> </w:t>
      </w:r>
      <m:oMath>
        <m:r>
          <w:rPr>
            <w:rStyle w:val="mop"/>
            <w:rFonts w:ascii="Cambria Math" w:hAnsi="Cambria Math" w:cstheme="minorHAnsi"/>
            <w:color w:val="0D0D0D"/>
            <w:shd w:val="clear" w:color="auto" w:fill="FFFFFF"/>
          </w:rPr>
          <m:t xml:space="preserve">+ </m:t>
        </m:r>
        <m:f>
          <m:fPr>
            <m:ctrlPr>
              <w:rPr>
                <w:rStyle w:val="mop"/>
                <w:rFonts w:ascii="Cambria Math" w:hAnsi="Cambria Math" w:cstheme="minorHAnsi"/>
                <w:i/>
                <w:color w:val="0D0D0D"/>
                <w:shd w:val="clear" w:color="auto" w:fill="FFFFFF"/>
              </w:rPr>
            </m:ctrlPr>
          </m:fPr>
          <m:num>
            <m:r>
              <w:rPr>
                <w:rStyle w:val="mop"/>
                <w:rFonts w:ascii="Cambria Math" w:hAnsi="Cambria Math" w:cstheme="minorHAnsi"/>
                <w:color w:val="0D0D0D"/>
                <w:shd w:val="clear" w:color="auto" w:fill="FFFFFF"/>
              </w:rPr>
              <m:t>1000</m:t>
            </m:r>
          </m:num>
          <m:den>
            <m:sSup>
              <m:sSupPr>
                <m:ctrlPr>
                  <w:rPr>
                    <w:rStyle w:val="mop"/>
                    <w:rFonts w:ascii="Cambria Math" w:hAnsi="Cambria Math" w:cstheme="minorHAnsi"/>
                    <w:i/>
                    <w:color w:val="0D0D0D"/>
                    <w:shd w:val="clear" w:color="auto" w:fill="FFFFFF"/>
                  </w:rPr>
                </m:ctrlPr>
              </m:sSupPr>
              <m:e>
                <m:r>
                  <w:rPr>
                    <w:rStyle w:val="mop"/>
                    <w:rFonts w:ascii="Cambria Math" w:hAnsi="Cambria Math" w:cstheme="minorHAnsi"/>
                    <w:color w:val="0D0D0D"/>
                    <w:shd w:val="clear" w:color="auto" w:fill="FFFFFF"/>
                  </w:rPr>
                  <m:t>(1+0.0075)</m:t>
                </m:r>
              </m:e>
              <m:sup>
                <m:r>
                  <w:rPr>
                    <w:rStyle w:val="mop"/>
                    <w:rFonts w:ascii="Cambria Math" w:hAnsi="Cambria Math" w:cstheme="minorHAnsi"/>
                    <w:color w:val="0D0D0D"/>
                    <w:shd w:val="clear" w:color="auto" w:fill="FFFFFF"/>
                  </w:rPr>
                  <m:t xml:space="preserve">2  </m:t>
                </m:r>
              </m:sup>
            </m:sSup>
          </m:den>
        </m:f>
      </m:oMath>
      <w:r w:rsidRPr="0009016F">
        <w:rPr>
          <w:rStyle w:val="mop"/>
          <w:rFonts w:eastAsiaTheme="minorEastAsia" w:cstheme="minorHAnsi"/>
          <w:color w:val="0D0D0D"/>
          <w:shd w:val="clear" w:color="auto" w:fill="FFFFFF"/>
        </w:rPr>
        <w:t xml:space="preserve">  </w:t>
      </w:r>
      <m:oMath>
        <m:r>
          <w:rPr>
            <w:rStyle w:val="mop"/>
            <w:rFonts w:ascii="Cambria Math" w:hAnsi="Cambria Math" w:cstheme="minorHAnsi"/>
            <w:color w:val="0D0D0D"/>
            <w:shd w:val="clear" w:color="auto" w:fill="FFFFFF"/>
          </w:rPr>
          <m:t xml:space="preserve">+ </m:t>
        </m:r>
        <m:f>
          <m:fPr>
            <m:ctrlPr>
              <w:rPr>
                <w:rStyle w:val="mop"/>
                <w:rFonts w:ascii="Cambria Math" w:hAnsi="Cambria Math" w:cstheme="minorHAnsi"/>
                <w:i/>
                <w:color w:val="0D0D0D"/>
                <w:shd w:val="clear" w:color="auto" w:fill="FFFFFF"/>
              </w:rPr>
            </m:ctrlPr>
          </m:fPr>
          <m:num>
            <m:r>
              <w:rPr>
                <w:rStyle w:val="mop"/>
                <w:rFonts w:ascii="Cambria Math" w:hAnsi="Cambria Math" w:cstheme="minorHAnsi"/>
                <w:color w:val="0D0D0D"/>
                <w:shd w:val="clear" w:color="auto" w:fill="FFFFFF"/>
              </w:rPr>
              <m:t>1000</m:t>
            </m:r>
          </m:num>
          <m:den>
            <m:sSup>
              <m:sSupPr>
                <m:ctrlPr>
                  <w:rPr>
                    <w:rStyle w:val="mop"/>
                    <w:rFonts w:ascii="Cambria Math" w:hAnsi="Cambria Math" w:cstheme="minorHAnsi"/>
                    <w:i/>
                    <w:color w:val="0D0D0D"/>
                    <w:shd w:val="clear" w:color="auto" w:fill="FFFFFF"/>
                  </w:rPr>
                </m:ctrlPr>
              </m:sSupPr>
              <m:e>
                <m:r>
                  <w:rPr>
                    <w:rStyle w:val="mop"/>
                    <w:rFonts w:ascii="Cambria Math" w:hAnsi="Cambria Math" w:cstheme="minorHAnsi"/>
                    <w:color w:val="0D0D0D"/>
                    <w:shd w:val="clear" w:color="auto" w:fill="FFFFFF"/>
                  </w:rPr>
                  <m:t>(1+0.0075)</m:t>
                </m:r>
              </m:e>
              <m:sup>
                <m:r>
                  <w:rPr>
                    <w:rStyle w:val="mop"/>
                    <w:rFonts w:ascii="Cambria Math" w:hAnsi="Cambria Math" w:cstheme="minorHAnsi"/>
                    <w:color w:val="0D0D0D"/>
                    <w:shd w:val="clear" w:color="auto" w:fill="FFFFFF"/>
                  </w:rPr>
                  <m:t xml:space="preserve">3 </m:t>
                </m:r>
              </m:sup>
            </m:sSup>
          </m:den>
        </m:f>
        <m:r>
          <w:rPr>
            <w:rStyle w:val="mop"/>
            <w:rFonts w:ascii="Cambria Math" w:hAnsi="Cambria Math" w:cstheme="minorHAnsi"/>
            <w:color w:val="0D0D0D"/>
            <w:shd w:val="clear" w:color="auto" w:fill="FFFFFF"/>
          </w:rPr>
          <m:t xml:space="preserve"> + </m:t>
        </m:r>
        <m:f>
          <m:fPr>
            <m:ctrlPr>
              <w:rPr>
                <w:rStyle w:val="mop"/>
                <w:rFonts w:ascii="Cambria Math" w:hAnsi="Cambria Math" w:cstheme="minorHAnsi"/>
                <w:i/>
                <w:color w:val="0D0D0D"/>
                <w:shd w:val="clear" w:color="auto" w:fill="FFFFFF"/>
              </w:rPr>
            </m:ctrlPr>
          </m:fPr>
          <m:num>
            <m:r>
              <w:rPr>
                <w:rStyle w:val="mop"/>
                <w:rFonts w:ascii="Cambria Math" w:hAnsi="Cambria Math" w:cstheme="minorHAnsi"/>
                <w:color w:val="0D0D0D"/>
                <w:shd w:val="clear" w:color="auto" w:fill="FFFFFF"/>
              </w:rPr>
              <m:t>-470</m:t>
            </m:r>
          </m:num>
          <m:den>
            <m:sSup>
              <m:sSupPr>
                <m:ctrlPr>
                  <w:rPr>
                    <w:rStyle w:val="mop"/>
                    <w:rFonts w:ascii="Cambria Math" w:hAnsi="Cambria Math" w:cstheme="minorHAnsi"/>
                    <w:i/>
                    <w:color w:val="0D0D0D"/>
                    <w:shd w:val="clear" w:color="auto" w:fill="FFFFFF"/>
                  </w:rPr>
                </m:ctrlPr>
              </m:sSupPr>
              <m:e>
                <m:r>
                  <w:rPr>
                    <w:rStyle w:val="mop"/>
                    <w:rFonts w:ascii="Cambria Math" w:hAnsi="Cambria Math" w:cstheme="minorHAnsi"/>
                    <w:color w:val="0D0D0D"/>
                    <w:shd w:val="clear" w:color="auto" w:fill="FFFFFF"/>
                  </w:rPr>
                  <m:t>(1+0.0075)</m:t>
                </m:r>
              </m:e>
              <m:sup>
                <m:r>
                  <w:rPr>
                    <w:rStyle w:val="mop"/>
                    <w:rFonts w:ascii="Cambria Math" w:hAnsi="Cambria Math" w:cstheme="minorHAnsi"/>
                    <w:color w:val="0D0D0D"/>
                    <w:shd w:val="clear" w:color="auto" w:fill="FFFFFF"/>
                  </w:rPr>
                  <m:t xml:space="preserve">4 </m:t>
                </m:r>
              </m:sup>
            </m:sSup>
          </m:den>
        </m:f>
      </m:oMath>
    </w:p>
    <w:p w14:paraId="47B6A124" w14:textId="28F3F944" w:rsidR="0009016F" w:rsidRDefault="0009016F" w:rsidP="0009016F">
      <w:pPr>
        <w:spacing w:line="360" w:lineRule="auto"/>
        <w:jc w:val="both"/>
        <w:rPr>
          <w:rStyle w:val="mop"/>
          <w:rFonts w:eastAsiaTheme="minorEastAsia" w:cstheme="minorHAnsi"/>
          <w:color w:val="0D0D0D"/>
          <w:shd w:val="clear" w:color="auto" w:fill="FFFFFF"/>
        </w:rPr>
      </w:pPr>
      <w:r w:rsidRPr="0009016F">
        <w:rPr>
          <w:rStyle w:val="mop"/>
          <w:rFonts w:eastAsiaTheme="minorEastAsia" w:cstheme="minorHAnsi"/>
          <w:color w:val="0D0D0D"/>
          <w:shd w:val="clear" w:color="auto" w:fill="FFFFFF"/>
        </w:rPr>
        <w:t>NPV</w:t>
      </w:r>
      <m:oMath>
        <m:r>
          <w:rPr>
            <w:rStyle w:val="mop"/>
            <w:rFonts w:ascii="Cambria Math" w:eastAsiaTheme="minorEastAsia" w:hAnsi="Cambria Math" w:cstheme="minorHAnsi"/>
            <w:color w:val="0D0D0D"/>
            <w:shd w:val="clear" w:color="auto" w:fill="FFFFFF"/>
          </w:rPr>
          <m:t>=</m:t>
        </m:r>
        <m:d>
          <m:dPr>
            <m:ctrlPr>
              <w:rPr>
                <w:rStyle w:val="mop"/>
                <w:rFonts w:ascii="Cambria Math" w:eastAsiaTheme="minorEastAsia" w:hAnsi="Cambria Math" w:cstheme="minorHAnsi"/>
                <w:i/>
                <w:color w:val="0D0D0D"/>
                <w:shd w:val="clear" w:color="auto" w:fill="FFFFFF"/>
              </w:rPr>
            </m:ctrlPr>
          </m:dPr>
          <m:e>
            <m:r>
              <w:rPr>
                <w:rStyle w:val="mop"/>
                <w:rFonts w:ascii="Cambria Math" w:eastAsiaTheme="minorEastAsia" w:hAnsi="Cambria Math" w:cstheme="minorHAnsi"/>
                <w:color w:val="0D0D0D"/>
                <w:shd w:val="clear" w:color="auto" w:fill="FFFFFF"/>
              </w:rPr>
              <m:t>- 1000</m:t>
            </m:r>
          </m:e>
        </m:d>
        <m:r>
          <w:rPr>
            <w:rStyle w:val="mop"/>
            <w:rFonts w:ascii="Cambria Math" w:eastAsiaTheme="minorEastAsia" w:hAnsi="Cambria Math" w:cstheme="minorHAnsi"/>
            <w:color w:val="0D0D0D"/>
            <w:shd w:val="clear" w:color="auto" w:fill="FFFFFF"/>
          </w:rPr>
          <m:t>+1488.83+985.17+977.89+</m:t>
        </m:r>
        <m:d>
          <m:dPr>
            <m:ctrlPr>
              <w:rPr>
                <w:rStyle w:val="mop"/>
                <w:rFonts w:ascii="Cambria Math" w:eastAsiaTheme="minorEastAsia" w:hAnsi="Cambria Math" w:cstheme="minorHAnsi"/>
                <w:i/>
                <w:color w:val="0D0D0D"/>
                <w:shd w:val="clear" w:color="auto" w:fill="FFFFFF"/>
              </w:rPr>
            </m:ctrlPr>
          </m:dPr>
          <m:e>
            <m:r>
              <w:rPr>
                <w:rStyle w:val="mop"/>
                <w:rFonts w:ascii="Cambria Math" w:eastAsiaTheme="minorEastAsia" w:hAnsi="Cambria Math" w:cstheme="minorHAnsi"/>
                <w:color w:val="0D0D0D"/>
                <w:shd w:val="clear" w:color="auto" w:fill="FFFFFF"/>
              </w:rPr>
              <m:t>-456.16</m:t>
            </m:r>
          </m:e>
        </m:d>
      </m:oMath>
    </w:p>
    <w:p w14:paraId="70F66602" w14:textId="6D013EB4" w:rsidR="00D9581A" w:rsidRPr="0009016F" w:rsidRDefault="00D9581A" w:rsidP="0009016F">
      <w:pPr>
        <w:spacing w:line="360" w:lineRule="auto"/>
        <w:jc w:val="both"/>
        <w:rPr>
          <w:rStyle w:val="mop"/>
          <w:rFonts w:eastAsiaTheme="minorEastAsia" w:cstheme="minorHAnsi"/>
          <w:color w:val="0D0D0D"/>
          <w:shd w:val="clear" w:color="auto" w:fill="FFFFFF"/>
        </w:rPr>
      </w:pPr>
      <w:r>
        <w:rPr>
          <w:rStyle w:val="mop"/>
          <w:rFonts w:eastAsiaTheme="minorEastAsia" w:cstheme="minorHAnsi"/>
          <w:color w:val="0D0D0D"/>
          <w:shd w:val="clear" w:color="auto" w:fill="FFFFFF"/>
        </w:rPr>
        <w:t xml:space="preserve">NPV </w:t>
      </w:r>
      <m:oMath>
        <m:r>
          <w:rPr>
            <w:rStyle w:val="mop"/>
            <w:rFonts w:ascii="Cambria Math" w:eastAsiaTheme="minorEastAsia" w:hAnsi="Cambria Math" w:cstheme="minorHAnsi"/>
            <w:color w:val="0D0D0D"/>
            <w:shd w:val="clear" w:color="auto" w:fill="FFFFFF"/>
          </w:rPr>
          <m:t>=3451.89+(-1456.16)</m:t>
        </m:r>
      </m:oMath>
    </w:p>
    <w:p w14:paraId="03C53B85" w14:textId="7A65CB72" w:rsidR="00CA6176" w:rsidRDefault="0009016F" w:rsidP="0009016F">
      <w:pPr>
        <w:spacing w:line="360" w:lineRule="auto"/>
        <w:jc w:val="both"/>
        <w:rPr>
          <w:rStyle w:val="mop"/>
          <w:rFonts w:eastAsiaTheme="minorEastAsia" w:cstheme="minorHAnsi"/>
          <w:b/>
          <w:color w:val="0D0D0D"/>
          <w:shd w:val="clear" w:color="auto" w:fill="FFFFFF"/>
        </w:rPr>
      </w:pPr>
      <w:r w:rsidRPr="0009016F">
        <w:rPr>
          <w:rStyle w:val="mop"/>
          <w:rFonts w:eastAsiaTheme="minorEastAsia" w:cstheme="minorHAnsi"/>
          <w:b/>
          <w:bCs/>
          <w:color w:val="0D0D0D"/>
          <w:shd w:val="clear" w:color="auto" w:fill="FFFFFF"/>
        </w:rPr>
        <w:t xml:space="preserve">NPV </w:t>
      </w:r>
      <m:oMath>
        <m:r>
          <m:rPr>
            <m:sty m:val="bi"/>
          </m:rPr>
          <w:rPr>
            <w:rStyle w:val="mop"/>
            <w:rFonts w:ascii="Cambria Math" w:eastAsiaTheme="minorEastAsia" w:hAnsi="Cambria Math" w:cstheme="minorHAnsi"/>
            <w:color w:val="0D0D0D"/>
            <w:shd w:val="clear" w:color="auto" w:fill="FFFFFF"/>
          </w:rPr>
          <m:t xml:space="preserve">=1995.73 million </m:t>
        </m:r>
      </m:oMath>
    </w:p>
    <w:p w14:paraId="739020D7" w14:textId="11420EC6" w:rsidR="00883435" w:rsidRPr="00883435" w:rsidRDefault="00883435" w:rsidP="00883435">
      <w:pPr>
        <w:pStyle w:val="ListParagraph"/>
        <w:numPr>
          <w:ilvl w:val="1"/>
          <w:numId w:val="26"/>
        </w:numPr>
        <w:spacing w:line="360" w:lineRule="auto"/>
        <w:jc w:val="both"/>
        <w:rPr>
          <w:rStyle w:val="mop"/>
          <w:rFonts w:eastAsiaTheme="minorEastAsia" w:cstheme="minorHAnsi"/>
          <w:b/>
          <w:color w:val="0D0D0D"/>
          <w:shd w:val="clear" w:color="auto" w:fill="FFFFFF"/>
        </w:rPr>
      </w:pPr>
      <w:r w:rsidRPr="00883435">
        <w:rPr>
          <w:rStyle w:val="mop"/>
          <w:rFonts w:eastAsiaTheme="minorEastAsia" w:cstheme="minorHAnsi"/>
          <w:b/>
          <w:color w:val="0D0D0D"/>
          <w:shd w:val="clear" w:color="auto" w:fill="FFFFFF"/>
        </w:rPr>
        <w:t xml:space="preserve">Conclusion </w:t>
      </w:r>
    </w:p>
    <w:bookmarkEnd w:id="10"/>
    <w:p w14:paraId="5E3485C9" w14:textId="02B826DE" w:rsidR="00CA6176" w:rsidRPr="00883435" w:rsidRDefault="00883435" w:rsidP="00883435">
      <w:pPr>
        <w:pStyle w:val="ListParagraph"/>
        <w:numPr>
          <w:ilvl w:val="0"/>
          <w:numId w:val="26"/>
        </w:numPr>
        <w:spacing w:line="360" w:lineRule="auto"/>
        <w:jc w:val="both"/>
        <w:rPr>
          <w:rFonts w:cstheme="minorHAnsi"/>
          <w:b/>
          <w:bCs/>
          <w:lang w:val="en-US"/>
        </w:rPr>
      </w:pPr>
      <w:r w:rsidRPr="00883435">
        <w:rPr>
          <w:rFonts w:cstheme="minorHAnsi"/>
          <w:b/>
          <w:bCs/>
          <w:lang w:val="en-US"/>
        </w:rPr>
        <w:t>Revised Financial Analysis and Recommendation for Project Selection</w:t>
      </w:r>
    </w:p>
    <w:p w14:paraId="2F7F91F6" w14:textId="1B05F5F8" w:rsidR="00883435" w:rsidRPr="00883435" w:rsidRDefault="00883435" w:rsidP="00883435">
      <w:pPr>
        <w:spacing w:line="360" w:lineRule="auto"/>
        <w:jc w:val="both"/>
        <w:rPr>
          <w:rStyle w:val="mop"/>
          <w:rFonts w:cstheme="minorHAnsi"/>
          <w:lang w:val="en-US"/>
        </w:rPr>
      </w:pPr>
      <w:r w:rsidRPr="00883435">
        <w:rPr>
          <w:rStyle w:val="mop"/>
          <w:rFonts w:cstheme="minorHAnsi"/>
          <w:lang w:val="en-US"/>
        </w:rPr>
        <w:t>A comprehensive analysis of two promising investment opportunities, Project A and Project B, has been conducted. The evaluation focused on three key financial metrics: Payback Period (PBP), Accounting Rate of Return (ARR), and Net Present Value (NPV).</w:t>
      </w:r>
    </w:p>
    <w:p w14:paraId="51CC27B2" w14:textId="23B8916F" w:rsidR="00883435" w:rsidRPr="00883435" w:rsidRDefault="00883435" w:rsidP="00883435">
      <w:pPr>
        <w:pStyle w:val="ListParagraph"/>
        <w:numPr>
          <w:ilvl w:val="1"/>
          <w:numId w:val="26"/>
        </w:numPr>
        <w:spacing w:line="360" w:lineRule="auto"/>
        <w:jc w:val="both"/>
        <w:rPr>
          <w:rFonts w:cstheme="minorHAnsi"/>
          <w:b/>
          <w:bCs/>
          <w:color w:val="0D0D0D"/>
          <w:shd w:val="clear" w:color="auto" w:fill="FFFFFF"/>
        </w:rPr>
      </w:pPr>
      <w:r>
        <w:rPr>
          <w:rStyle w:val="mop"/>
          <w:rFonts w:eastAsiaTheme="minorEastAsia" w:cstheme="minorHAnsi"/>
          <w:b/>
          <w:bCs/>
          <w:color w:val="0D0D0D"/>
          <w:shd w:val="clear" w:color="auto" w:fill="FFFFFF"/>
        </w:rPr>
        <w:t xml:space="preserve"> </w:t>
      </w:r>
      <w:r w:rsidR="00CA6176" w:rsidRPr="00883435">
        <w:rPr>
          <w:rStyle w:val="mop"/>
          <w:rFonts w:eastAsiaTheme="minorEastAsia" w:cstheme="minorHAnsi"/>
          <w:b/>
          <w:bCs/>
          <w:color w:val="0D0D0D"/>
          <w:shd w:val="clear" w:color="auto" w:fill="FFFFFF"/>
        </w:rPr>
        <w:t xml:space="preserve">NPV </w:t>
      </w:r>
      <w:r w:rsidR="00CA6176" w:rsidRPr="00883435">
        <w:rPr>
          <w:rFonts w:cstheme="minorHAnsi"/>
          <w:b/>
          <w:bCs/>
          <w:color w:val="0D0D0D"/>
          <w:shd w:val="clear" w:color="auto" w:fill="FFFFFF"/>
        </w:rPr>
        <w:t>The Net Present Value (NPV)</w:t>
      </w:r>
    </w:p>
    <w:p w14:paraId="06FCBF41" w14:textId="3944EB21" w:rsidR="0009016F" w:rsidRPr="0009016F" w:rsidRDefault="00CA6176" w:rsidP="0009016F">
      <w:pPr>
        <w:spacing w:line="360" w:lineRule="auto"/>
        <w:jc w:val="both"/>
        <w:rPr>
          <w:rStyle w:val="mop"/>
          <w:rFonts w:eastAsiaTheme="minorEastAsia" w:cstheme="minorHAnsi"/>
          <w:color w:val="0D0D0D"/>
          <w:shd w:val="clear" w:color="auto" w:fill="FFFFFF"/>
        </w:rPr>
      </w:pPr>
      <w:r w:rsidRPr="00CA6176">
        <w:rPr>
          <w:rFonts w:cstheme="minorHAnsi"/>
          <w:color w:val="0D0D0D"/>
          <w:shd w:val="clear" w:color="auto" w:fill="FFFFFF"/>
        </w:rPr>
        <w:t xml:space="preserve"> </w:t>
      </w:r>
      <w:r w:rsidR="00883435">
        <w:rPr>
          <w:rFonts w:cstheme="minorHAnsi"/>
          <w:color w:val="0D0D0D"/>
          <w:shd w:val="clear" w:color="auto" w:fill="FFFFFF"/>
        </w:rPr>
        <w:t>It i</w:t>
      </w:r>
      <w:r w:rsidRPr="00CA6176">
        <w:rPr>
          <w:rFonts w:cstheme="minorHAnsi"/>
          <w:color w:val="0D0D0D"/>
          <w:shd w:val="clear" w:color="auto" w:fill="FFFFFF"/>
        </w:rPr>
        <w:t xml:space="preserve">s a financial metric used to evaluate the profitability of an investment or project. It represents the difference between cash inflows' present value and cash outflows' present value over a specific period. In essence, the NPV calculates the present value of future cash flows generated by an investment, discounted back to the present at a specified rate of return. If the NPV is positive, the investment is expected to generate returns higher than the discount rate and is considered profitable. Conversely, if the NPV is </w:t>
      </w:r>
      <w:r w:rsidRPr="00CA6176">
        <w:rPr>
          <w:rFonts w:cstheme="minorHAnsi"/>
          <w:color w:val="0D0D0D"/>
          <w:shd w:val="clear" w:color="auto" w:fill="FFFFFF"/>
        </w:rPr>
        <w:lastRenderedPageBreak/>
        <w:t>negative, the investment is expected to generate returns lower than the discount rate and may not be financially viable.</w:t>
      </w:r>
    </w:p>
    <w:p w14:paraId="0EC0DA3F" w14:textId="3E1CACE4" w:rsidR="00CA6176" w:rsidRPr="0009016F" w:rsidRDefault="00CA6176" w:rsidP="00CA6176">
      <w:pPr>
        <w:spacing w:line="360" w:lineRule="auto"/>
        <w:jc w:val="both"/>
        <w:rPr>
          <w:rStyle w:val="mop"/>
          <w:rFonts w:eastAsiaTheme="minorEastAsia" w:cstheme="minorHAnsi"/>
          <w:color w:val="0D0D0D"/>
          <w:shd w:val="clear" w:color="auto" w:fill="FFFFFF"/>
        </w:rPr>
      </w:pPr>
      <w:r w:rsidRPr="0009016F">
        <w:rPr>
          <w:rFonts w:cstheme="minorHAnsi"/>
          <w:lang w:val="en-US"/>
        </w:rPr>
        <w:t>Net Present Value</w:t>
      </w:r>
      <w:r w:rsidRPr="0009016F">
        <w:rPr>
          <w:rStyle w:val="mord"/>
          <w:rFonts w:cstheme="minorHAnsi"/>
          <w:i/>
          <w:iCs/>
          <w:color w:val="0D0D0D"/>
          <w:shd w:val="clear" w:color="auto" w:fill="FFFFFF"/>
        </w:rPr>
        <w:t xml:space="preserve"> </w:t>
      </w:r>
      <m:oMath>
        <m:r>
          <w:rPr>
            <w:rStyle w:val="mord"/>
            <w:rFonts w:ascii="Cambria Math" w:hAnsi="Cambria Math" w:cstheme="minorHAnsi"/>
            <w:color w:val="0D0D0D"/>
            <w:shd w:val="clear" w:color="auto" w:fill="FFFFFF"/>
          </w:rPr>
          <m:t>=</m:t>
        </m:r>
      </m:oMath>
      <w:r w:rsidRPr="0009016F">
        <w:rPr>
          <w:rStyle w:val="mop"/>
          <w:rFonts w:cstheme="minorHAnsi"/>
          <w:color w:val="0D0D0D"/>
          <w:shd w:val="clear" w:color="auto" w:fill="FFFFFF"/>
        </w:rPr>
        <w:t xml:space="preserve"> </w:t>
      </w:r>
      <m:oMath>
        <m:nary>
          <m:naryPr>
            <m:chr m:val="∑"/>
            <m:limLoc m:val="undOvr"/>
            <m:ctrlPr>
              <w:rPr>
                <w:rStyle w:val="mop"/>
                <w:rFonts w:ascii="Cambria Math" w:hAnsi="Cambria Math" w:cstheme="minorHAnsi"/>
                <w:i/>
                <w:color w:val="0D0D0D"/>
                <w:shd w:val="clear" w:color="auto" w:fill="FFFFFF"/>
              </w:rPr>
            </m:ctrlPr>
          </m:naryPr>
          <m:sub>
            <m:r>
              <w:rPr>
                <w:rStyle w:val="mop"/>
                <w:rFonts w:ascii="Cambria Math" w:hAnsi="Cambria Math" w:cstheme="minorHAnsi"/>
                <w:color w:val="0D0D0D"/>
                <w:shd w:val="clear" w:color="auto" w:fill="FFFFFF"/>
              </w:rPr>
              <m:t>t</m:t>
            </m:r>
            <m:r>
              <w:rPr>
                <w:rStyle w:val="mop"/>
                <w:rFonts w:ascii="Cambria Math" w:hAnsi="Cambria Math" w:cstheme="minorHAnsi"/>
                <w:color w:val="0D0D0D"/>
                <w:shd w:val="clear" w:color="auto" w:fill="FFFFFF"/>
                <w:lang w:val="sr-Latn-RS"/>
              </w:rPr>
              <m:t>=0</m:t>
            </m:r>
          </m:sub>
          <m:sup>
            <m:r>
              <w:rPr>
                <w:rStyle w:val="mop"/>
                <w:rFonts w:ascii="Cambria Math" w:hAnsi="Cambria Math" w:cstheme="minorHAnsi"/>
                <w:color w:val="0D0D0D"/>
                <w:shd w:val="clear" w:color="auto" w:fill="FFFFFF"/>
              </w:rPr>
              <m:t>n</m:t>
            </m:r>
          </m:sup>
          <m:e>
            <m:r>
              <w:rPr>
                <w:rStyle w:val="mop"/>
                <w:rFonts w:ascii="Cambria Math" w:hAnsi="Cambria Math" w:cstheme="minorHAnsi"/>
                <w:color w:val="0D0D0D"/>
                <w:shd w:val="clear" w:color="auto" w:fill="FFFFFF"/>
              </w:rPr>
              <m:t>=</m:t>
            </m:r>
            <m:f>
              <m:fPr>
                <m:ctrlPr>
                  <w:rPr>
                    <w:rStyle w:val="mop"/>
                    <w:rFonts w:ascii="Cambria Math" w:hAnsi="Cambria Math" w:cstheme="minorHAnsi"/>
                    <w:i/>
                    <w:color w:val="0D0D0D"/>
                    <w:shd w:val="clear" w:color="auto" w:fill="FFFFFF"/>
                  </w:rPr>
                </m:ctrlPr>
              </m:fPr>
              <m:num>
                <m:r>
                  <w:rPr>
                    <w:rStyle w:val="mop"/>
                    <w:rFonts w:ascii="Cambria Math" w:hAnsi="Cambria Math" w:cstheme="minorHAnsi"/>
                    <w:color w:val="0D0D0D"/>
                    <w:shd w:val="clear" w:color="auto" w:fill="FFFFFF"/>
                  </w:rPr>
                  <m:t xml:space="preserve">CFt </m:t>
                </m:r>
              </m:num>
              <m:den>
                <m:sSup>
                  <m:sSupPr>
                    <m:ctrlPr>
                      <w:rPr>
                        <w:rStyle w:val="mop"/>
                        <w:rFonts w:ascii="Cambria Math" w:hAnsi="Cambria Math" w:cstheme="minorHAnsi"/>
                        <w:i/>
                        <w:color w:val="0D0D0D"/>
                        <w:shd w:val="clear" w:color="auto" w:fill="FFFFFF"/>
                      </w:rPr>
                    </m:ctrlPr>
                  </m:sSupPr>
                  <m:e>
                    <m:r>
                      <w:rPr>
                        <w:rStyle w:val="mop"/>
                        <w:rFonts w:ascii="Cambria Math" w:hAnsi="Cambria Math" w:cstheme="minorHAnsi"/>
                        <w:color w:val="0D0D0D"/>
                        <w:shd w:val="clear" w:color="auto" w:fill="FFFFFF"/>
                      </w:rPr>
                      <m:t>(1+r)</m:t>
                    </m:r>
                  </m:e>
                  <m:sup>
                    <m:r>
                      <w:rPr>
                        <w:rStyle w:val="mop"/>
                        <w:rFonts w:ascii="Cambria Math" w:hAnsi="Cambria Math" w:cstheme="minorHAnsi"/>
                        <w:color w:val="0D0D0D"/>
                        <w:shd w:val="clear" w:color="auto" w:fill="FFFFFF"/>
                      </w:rPr>
                      <m:t xml:space="preserve">t </m:t>
                    </m:r>
                  </m:sup>
                </m:sSup>
              </m:den>
            </m:f>
          </m:e>
        </m:nary>
      </m:oMath>
      <w:r w:rsidRPr="0009016F">
        <w:rPr>
          <w:rStyle w:val="mop"/>
          <w:rFonts w:eastAsiaTheme="minorEastAsia" w:cstheme="minorHAnsi"/>
          <w:color w:val="0D0D0D"/>
          <w:shd w:val="clear" w:color="auto" w:fill="FFFFFF"/>
        </w:rPr>
        <w:t xml:space="preserve">– </w:t>
      </w:r>
    </w:p>
    <w:p w14:paraId="4DCC8ED9" w14:textId="77777777" w:rsidR="00CA6176" w:rsidRPr="0009016F" w:rsidRDefault="00CA6176" w:rsidP="00CA6176">
      <w:pPr>
        <w:spacing w:line="360" w:lineRule="auto"/>
        <w:jc w:val="both"/>
        <w:rPr>
          <w:rStyle w:val="mop"/>
          <w:rFonts w:eastAsiaTheme="minorEastAsia" w:cstheme="minorHAnsi"/>
          <w:color w:val="0D0D0D"/>
          <w:shd w:val="clear" w:color="auto" w:fill="FFFFFF"/>
        </w:rPr>
      </w:pPr>
      <w:r w:rsidRPr="0009016F">
        <w:rPr>
          <w:rStyle w:val="mop"/>
          <w:rFonts w:eastAsiaTheme="minorEastAsia" w:cstheme="minorHAnsi"/>
          <w:color w:val="0D0D0D"/>
          <w:shd w:val="clear" w:color="auto" w:fill="FFFFFF"/>
        </w:rPr>
        <w:t>Where:</w:t>
      </w:r>
    </w:p>
    <w:p w14:paraId="3B90E84F" w14:textId="77777777" w:rsidR="00CA6176" w:rsidRPr="0009016F" w:rsidRDefault="00CA6176" w:rsidP="00CA6176">
      <w:pPr>
        <w:spacing w:line="360" w:lineRule="auto"/>
        <w:jc w:val="both"/>
        <w:rPr>
          <w:rStyle w:val="mop"/>
          <w:rFonts w:eastAsiaTheme="minorEastAsia" w:cstheme="minorHAnsi"/>
          <w:color w:val="0D0D0D"/>
          <w:shd w:val="clear" w:color="auto" w:fill="FFFFFF"/>
        </w:rPr>
      </w:pPr>
      <w:r w:rsidRPr="0009016F">
        <w:rPr>
          <w:rStyle w:val="mop"/>
          <w:rFonts w:eastAsiaTheme="minorEastAsia" w:cstheme="minorHAnsi"/>
          <w:color w:val="0D0D0D"/>
          <w:shd w:val="clear" w:color="auto" w:fill="FFFFFF"/>
        </w:rPr>
        <w:t xml:space="preserve"> </w:t>
      </w:r>
      <m:oMath>
        <m:sSub>
          <m:sSubPr>
            <m:ctrlPr>
              <w:rPr>
                <w:rStyle w:val="mop"/>
                <w:rFonts w:ascii="Cambria Math" w:eastAsiaTheme="minorEastAsia" w:hAnsi="Cambria Math" w:cstheme="minorHAnsi"/>
                <w:i/>
                <w:color w:val="0D0D0D"/>
                <w:shd w:val="clear" w:color="auto" w:fill="FFFFFF"/>
              </w:rPr>
            </m:ctrlPr>
          </m:sSubPr>
          <m:e>
            <m:r>
              <w:rPr>
                <w:rStyle w:val="mop"/>
                <w:rFonts w:ascii="Cambria Math" w:eastAsiaTheme="minorEastAsia" w:hAnsi="Cambria Math" w:cstheme="minorHAnsi"/>
                <w:color w:val="0D0D0D"/>
                <w:shd w:val="clear" w:color="auto" w:fill="FFFFFF"/>
              </w:rPr>
              <m:t>CF</m:t>
            </m:r>
          </m:e>
          <m:sub>
            <m:r>
              <w:rPr>
                <w:rStyle w:val="mop"/>
                <w:rFonts w:ascii="Cambria Math" w:eastAsiaTheme="minorEastAsia" w:hAnsi="Cambria Math" w:cstheme="minorHAnsi"/>
                <w:color w:val="0D0D0D"/>
                <w:shd w:val="clear" w:color="auto" w:fill="FFFFFF"/>
              </w:rPr>
              <m:t>t</m:t>
            </m:r>
          </m:sub>
        </m:sSub>
      </m:oMath>
      <w:r w:rsidRPr="0009016F">
        <w:rPr>
          <w:rStyle w:val="mop"/>
          <w:rFonts w:eastAsiaTheme="minorEastAsia" w:cstheme="minorHAnsi"/>
          <w:color w:val="0D0D0D"/>
          <w:shd w:val="clear" w:color="auto" w:fill="FFFFFF"/>
        </w:rPr>
        <w:t>- Cash Flow at time t</w:t>
      </w:r>
    </w:p>
    <w:p w14:paraId="412CF17F" w14:textId="77777777" w:rsidR="00CA6176" w:rsidRPr="0009016F" w:rsidRDefault="00CA6176" w:rsidP="00CA6176">
      <w:pPr>
        <w:spacing w:line="360" w:lineRule="auto"/>
        <w:jc w:val="both"/>
        <w:rPr>
          <w:rStyle w:val="mop"/>
          <w:rFonts w:eastAsiaTheme="minorEastAsia" w:cstheme="minorHAnsi"/>
          <w:color w:val="0D0D0D"/>
          <w:shd w:val="clear" w:color="auto" w:fill="FFFFFF"/>
        </w:rPr>
      </w:pPr>
      <w:r w:rsidRPr="0009016F">
        <w:rPr>
          <w:rStyle w:val="mop"/>
          <w:rFonts w:eastAsiaTheme="minorEastAsia" w:cstheme="minorHAnsi"/>
          <w:color w:val="0D0D0D"/>
          <w:shd w:val="clear" w:color="auto" w:fill="FFFFFF"/>
        </w:rPr>
        <w:t>r- Discount rate (the company cost of capital)</w:t>
      </w:r>
    </w:p>
    <w:p w14:paraId="743963F5" w14:textId="77777777" w:rsidR="00CA6176" w:rsidRPr="0009016F" w:rsidRDefault="00CA6176" w:rsidP="00CA6176">
      <w:pPr>
        <w:spacing w:line="360" w:lineRule="auto"/>
        <w:jc w:val="both"/>
        <w:rPr>
          <w:rStyle w:val="mop"/>
          <w:rFonts w:eastAsiaTheme="minorEastAsia" w:cstheme="minorHAnsi"/>
          <w:color w:val="0D0D0D"/>
          <w:shd w:val="clear" w:color="auto" w:fill="FFFFFF"/>
        </w:rPr>
      </w:pPr>
      <w:r w:rsidRPr="0009016F">
        <w:rPr>
          <w:rStyle w:val="mop"/>
          <w:rFonts w:eastAsiaTheme="minorEastAsia" w:cstheme="minorHAnsi"/>
          <w:color w:val="0D0D0D"/>
          <w:shd w:val="clear" w:color="auto" w:fill="FFFFFF"/>
        </w:rPr>
        <w:t>n- Number of periods (years)</w:t>
      </w:r>
    </w:p>
    <w:p w14:paraId="58BCB180" w14:textId="77777777" w:rsidR="00CA6176" w:rsidRPr="0009016F" w:rsidRDefault="00CA6176" w:rsidP="00CA6176">
      <w:pPr>
        <w:spacing w:line="360" w:lineRule="auto"/>
        <w:jc w:val="both"/>
        <w:rPr>
          <w:rStyle w:val="mop"/>
          <w:rFonts w:eastAsiaTheme="minorEastAsia" w:cstheme="minorHAnsi"/>
          <w:color w:val="0D0D0D"/>
          <w:shd w:val="clear" w:color="auto" w:fill="FFFFFF"/>
        </w:rPr>
      </w:pPr>
      <w:r w:rsidRPr="0009016F">
        <w:rPr>
          <w:rStyle w:val="mop"/>
          <w:rFonts w:eastAsiaTheme="minorEastAsia" w:cstheme="minorHAnsi"/>
          <w:color w:val="0D0D0D"/>
          <w:shd w:val="clear" w:color="auto" w:fill="FFFFFF"/>
        </w:rPr>
        <w:t>Initial Investment – Initial investment cost</w:t>
      </w:r>
    </w:p>
    <w:p w14:paraId="2E78B46E" w14:textId="5411E8FD" w:rsidR="00CA6176" w:rsidRPr="00CA6176" w:rsidRDefault="00CA6176" w:rsidP="00CA6176">
      <w:pPr>
        <w:spacing w:line="360" w:lineRule="auto"/>
        <w:jc w:val="both"/>
        <w:rPr>
          <w:rStyle w:val="mop"/>
          <w:rFonts w:eastAsiaTheme="minorEastAsia" w:cstheme="minorHAnsi"/>
          <w:color w:val="0D0D0D"/>
          <w:shd w:val="clear" w:color="auto" w:fill="FFFFFF"/>
        </w:rPr>
      </w:pPr>
      <w:r w:rsidRPr="00CA6176">
        <w:rPr>
          <w:rStyle w:val="mop"/>
          <w:rFonts w:eastAsiaTheme="minorEastAsia" w:cstheme="minorHAnsi"/>
          <w:color w:val="0D0D0D"/>
          <w:shd w:val="clear" w:color="auto" w:fill="FFFFFF"/>
        </w:rPr>
        <w:t>Adjusted Initial Investments:</w:t>
      </w:r>
    </w:p>
    <w:p w14:paraId="67AEA3C5" w14:textId="77777777" w:rsidR="00CA6176" w:rsidRPr="00CA6176" w:rsidRDefault="00CA6176" w:rsidP="00CA6176">
      <w:pPr>
        <w:spacing w:line="360" w:lineRule="auto"/>
        <w:jc w:val="both"/>
        <w:rPr>
          <w:rStyle w:val="mop"/>
          <w:rFonts w:eastAsiaTheme="minorEastAsia" w:cstheme="minorHAnsi"/>
          <w:color w:val="0D0D0D"/>
          <w:shd w:val="clear" w:color="auto" w:fill="FFFFFF"/>
        </w:rPr>
      </w:pPr>
      <w:r w:rsidRPr="00CA6176">
        <w:rPr>
          <w:rStyle w:val="mop"/>
          <w:rFonts w:eastAsiaTheme="minorEastAsia" w:cstheme="minorHAnsi"/>
          <w:color w:val="0D0D0D"/>
          <w:shd w:val="clear" w:color="auto" w:fill="FFFFFF"/>
        </w:rPr>
        <w:t>For Project A: Increase the original initial investment by 10%: £5000 million * 1.10 = £5500 million</w:t>
      </w:r>
    </w:p>
    <w:p w14:paraId="31CDA52B" w14:textId="77777777" w:rsidR="00CA6176" w:rsidRPr="00CA6176" w:rsidRDefault="00CA6176" w:rsidP="00CA6176">
      <w:pPr>
        <w:spacing w:line="360" w:lineRule="auto"/>
        <w:jc w:val="both"/>
        <w:rPr>
          <w:rStyle w:val="mop"/>
          <w:rFonts w:eastAsiaTheme="minorEastAsia" w:cstheme="minorHAnsi"/>
          <w:color w:val="0D0D0D"/>
          <w:shd w:val="clear" w:color="auto" w:fill="FFFFFF"/>
        </w:rPr>
      </w:pPr>
      <w:r w:rsidRPr="00CA6176">
        <w:rPr>
          <w:rStyle w:val="mop"/>
          <w:rFonts w:eastAsiaTheme="minorEastAsia" w:cstheme="minorHAnsi"/>
          <w:color w:val="0D0D0D"/>
          <w:shd w:val="clear" w:color="auto" w:fill="FFFFFF"/>
        </w:rPr>
        <w:t>For Project B: Increase the original initial investment by 10%: £1000 million * 1.10 = £1100 million</w:t>
      </w:r>
    </w:p>
    <w:p w14:paraId="0F7C1992" w14:textId="3B2F1C53" w:rsidR="00CA6176" w:rsidRPr="0009016F" w:rsidRDefault="00CA6176" w:rsidP="00CA6176">
      <w:pPr>
        <w:spacing w:line="360" w:lineRule="auto"/>
        <w:jc w:val="both"/>
        <w:rPr>
          <w:rStyle w:val="mop"/>
          <w:rFonts w:eastAsiaTheme="minorEastAsia" w:cstheme="minorHAnsi"/>
          <w:color w:val="0D0D0D"/>
          <w:shd w:val="clear" w:color="auto" w:fill="FFFFFF"/>
        </w:rPr>
      </w:pPr>
      <w:r w:rsidRPr="00CA6176">
        <w:rPr>
          <w:rStyle w:val="mop"/>
          <w:rFonts w:eastAsiaTheme="minorEastAsia" w:cstheme="minorHAnsi"/>
          <w:color w:val="0D0D0D"/>
          <w:shd w:val="clear" w:color="auto" w:fill="FFFFFF"/>
        </w:rPr>
        <w:t>We'll use a discount rate of 0.75% for both projects.</w:t>
      </w:r>
    </w:p>
    <w:tbl>
      <w:tblPr>
        <w:tblW w:w="9628" w:type="dxa"/>
        <w:tblCellMar>
          <w:left w:w="0" w:type="dxa"/>
          <w:right w:w="0" w:type="dxa"/>
        </w:tblCellMar>
        <w:tblLook w:val="04A0" w:firstRow="1" w:lastRow="0" w:firstColumn="1" w:lastColumn="0" w:noHBand="0" w:noVBand="1"/>
      </w:tblPr>
      <w:tblGrid>
        <w:gridCol w:w="2918"/>
        <w:gridCol w:w="3449"/>
        <w:gridCol w:w="3261"/>
      </w:tblGrid>
      <w:tr w:rsidR="00CA6176" w:rsidRPr="00CA6176" w14:paraId="115025EE" w14:textId="77777777" w:rsidTr="004E46D8">
        <w:trPr>
          <w:trHeight w:val="319"/>
        </w:trPr>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542F0F13" w14:textId="77777777" w:rsidR="00CA6176" w:rsidRPr="00CA6176" w:rsidRDefault="00CA6176" w:rsidP="00CA6176">
            <w:pPr>
              <w:spacing w:after="0" w:line="240" w:lineRule="auto"/>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Year</w:t>
            </w:r>
          </w:p>
        </w:tc>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2C622525" w14:textId="77777777" w:rsidR="00CA6176" w:rsidRPr="00CA6176" w:rsidRDefault="00CA6176" w:rsidP="00CA6176">
            <w:pPr>
              <w:spacing w:after="0" w:line="240" w:lineRule="auto"/>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Project A</w:t>
            </w:r>
          </w:p>
        </w:tc>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4C37BCBB" w14:textId="77777777" w:rsidR="00CA6176" w:rsidRPr="00CA6176" w:rsidRDefault="00CA6176" w:rsidP="00CA6176">
            <w:pPr>
              <w:spacing w:after="0" w:line="240" w:lineRule="auto"/>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Project B</w:t>
            </w:r>
          </w:p>
        </w:tc>
      </w:tr>
      <w:tr w:rsidR="00CA6176" w:rsidRPr="00CA6176" w14:paraId="6B231690" w14:textId="77777777" w:rsidTr="004E46D8">
        <w:trPr>
          <w:trHeight w:val="319"/>
        </w:trPr>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4ACBE6B0" w14:textId="77777777" w:rsidR="00CA6176" w:rsidRPr="00CA6176" w:rsidRDefault="00CA6176" w:rsidP="00CA6176">
            <w:pPr>
              <w:spacing w:after="0" w:line="240" w:lineRule="auto"/>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0 (Initial Investment)</w:t>
            </w:r>
          </w:p>
        </w:tc>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0B5DD5DE" w14:textId="77777777" w:rsidR="00CA6176" w:rsidRPr="00CA6176" w:rsidRDefault="00CA6176" w:rsidP="00CA6176">
            <w:pPr>
              <w:spacing w:after="0" w:line="240" w:lineRule="auto"/>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-£5500 (10% increase)</w:t>
            </w:r>
          </w:p>
        </w:tc>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29E256A7" w14:textId="77777777" w:rsidR="00CA6176" w:rsidRPr="00CA6176" w:rsidRDefault="00CA6176" w:rsidP="00CA6176">
            <w:pPr>
              <w:spacing w:after="0" w:line="240" w:lineRule="auto"/>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-£1100 (10% increase)</w:t>
            </w:r>
          </w:p>
        </w:tc>
      </w:tr>
      <w:tr w:rsidR="00CA6176" w:rsidRPr="00CA6176" w14:paraId="3BED57B8" w14:textId="77777777" w:rsidTr="004E46D8">
        <w:trPr>
          <w:trHeight w:val="319"/>
        </w:trPr>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3C25809C" w14:textId="77777777" w:rsidR="00CA6176" w:rsidRPr="00CA6176" w:rsidRDefault="00CA6176" w:rsidP="00CA6176">
            <w:pPr>
              <w:spacing w:after="0" w:line="240" w:lineRule="auto"/>
              <w:jc w:val="right"/>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1</w:t>
            </w:r>
          </w:p>
        </w:tc>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05C3A28A" w14:textId="77777777" w:rsidR="00CA6176" w:rsidRPr="00CA6176" w:rsidRDefault="00CA6176" w:rsidP="00CA6176">
            <w:pPr>
              <w:spacing w:after="0" w:line="240" w:lineRule="auto"/>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£2500</w:t>
            </w:r>
          </w:p>
        </w:tc>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3D3F2EA5" w14:textId="77777777" w:rsidR="00CA6176" w:rsidRPr="00CA6176" w:rsidRDefault="00CA6176" w:rsidP="00CA6176">
            <w:pPr>
              <w:spacing w:after="0" w:line="240" w:lineRule="auto"/>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£1500</w:t>
            </w:r>
          </w:p>
        </w:tc>
      </w:tr>
      <w:tr w:rsidR="00CA6176" w:rsidRPr="00CA6176" w14:paraId="33997D9D" w14:textId="77777777" w:rsidTr="004E46D8">
        <w:trPr>
          <w:trHeight w:val="319"/>
        </w:trPr>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1B4AF747" w14:textId="77777777" w:rsidR="00CA6176" w:rsidRPr="00CA6176" w:rsidRDefault="00CA6176" w:rsidP="00CA6176">
            <w:pPr>
              <w:spacing w:after="0" w:line="240" w:lineRule="auto"/>
              <w:jc w:val="right"/>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2</w:t>
            </w:r>
          </w:p>
        </w:tc>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25FD1292" w14:textId="77777777" w:rsidR="00CA6176" w:rsidRPr="00CA6176" w:rsidRDefault="00CA6176" w:rsidP="00CA6176">
            <w:pPr>
              <w:spacing w:after="0" w:line="240" w:lineRule="auto"/>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£2000</w:t>
            </w:r>
          </w:p>
        </w:tc>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78BE3238" w14:textId="77777777" w:rsidR="00CA6176" w:rsidRPr="00CA6176" w:rsidRDefault="00CA6176" w:rsidP="00CA6176">
            <w:pPr>
              <w:spacing w:after="0" w:line="240" w:lineRule="auto"/>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£1000</w:t>
            </w:r>
          </w:p>
        </w:tc>
      </w:tr>
      <w:tr w:rsidR="00CA6176" w:rsidRPr="00CA6176" w14:paraId="69DA31E1" w14:textId="77777777" w:rsidTr="004E46D8">
        <w:trPr>
          <w:trHeight w:val="319"/>
        </w:trPr>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2274BFD6" w14:textId="77777777" w:rsidR="00CA6176" w:rsidRPr="00CA6176" w:rsidRDefault="00CA6176" w:rsidP="00CA6176">
            <w:pPr>
              <w:spacing w:after="0" w:line="240" w:lineRule="auto"/>
              <w:jc w:val="right"/>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3</w:t>
            </w:r>
          </w:p>
        </w:tc>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73F03960" w14:textId="77777777" w:rsidR="00CA6176" w:rsidRPr="00CA6176" w:rsidRDefault="00CA6176" w:rsidP="00CA6176">
            <w:pPr>
              <w:spacing w:after="0" w:line="240" w:lineRule="auto"/>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£1000</w:t>
            </w:r>
          </w:p>
        </w:tc>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61D60066" w14:textId="77777777" w:rsidR="00CA6176" w:rsidRPr="00CA6176" w:rsidRDefault="00CA6176" w:rsidP="00CA6176">
            <w:pPr>
              <w:spacing w:after="0" w:line="240" w:lineRule="auto"/>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£1000</w:t>
            </w:r>
          </w:p>
        </w:tc>
      </w:tr>
      <w:tr w:rsidR="00CA6176" w:rsidRPr="00CA6176" w14:paraId="44401053" w14:textId="77777777" w:rsidTr="004E46D8">
        <w:trPr>
          <w:trHeight w:val="319"/>
        </w:trPr>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72B862FF" w14:textId="77777777" w:rsidR="00CA6176" w:rsidRPr="00CA6176" w:rsidRDefault="00CA6176" w:rsidP="00CA6176">
            <w:pPr>
              <w:spacing w:after="0" w:line="240" w:lineRule="auto"/>
              <w:jc w:val="right"/>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4</w:t>
            </w:r>
          </w:p>
        </w:tc>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26BABDCF" w14:textId="77777777" w:rsidR="00CA6176" w:rsidRPr="00CA6176" w:rsidRDefault="00CA6176" w:rsidP="00CA6176">
            <w:pPr>
              <w:spacing w:after="0" w:line="240" w:lineRule="auto"/>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-£442</w:t>
            </w:r>
          </w:p>
        </w:tc>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65107AB3" w14:textId="77777777" w:rsidR="00CA6176" w:rsidRPr="00CA6176" w:rsidRDefault="00CA6176" w:rsidP="00CA6176">
            <w:pPr>
              <w:spacing w:after="0" w:line="240" w:lineRule="auto"/>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-£470</w:t>
            </w:r>
          </w:p>
        </w:tc>
      </w:tr>
      <w:tr w:rsidR="00CA6176" w:rsidRPr="00CA6176" w14:paraId="3B42B8EB" w14:textId="77777777" w:rsidTr="004E46D8">
        <w:trPr>
          <w:trHeight w:val="319"/>
        </w:trPr>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68BF1E2F" w14:textId="77777777" w:rsidR="00CA6176" w:rsidRPr="00CA6176" w:rsidRDefault="00CA6176" w:rsidP="00CA6176">
            <w:pPr>
              <w:spacing w:after="0" w:line="240" w:lineRule="auto"/>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Adjusted Cash Flow</w:t>
            </w:r>
          </w:p>
        </w:tc>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06F5EFB5" w14:textId="44EDE623" w:rsidR="00CA6176" w:rsidRPr="00CA6176" w:rsidRDefault="00B519FB" w:rsidP="00CA6176">
            <w:pPr>
              <w:spacing w:after="0" w:line="240" w:lineRule="auto"/>
              <w:rPr>
                <w:rFonts w:ascii="Arial" w:eastAsia="Times New Roman" w:hAnsi="Arial" w:cs="Arial"/>
                <w:noProof w:val="0"/>
                <w:kern w:val="0"/>
                <w:sz w:val="20"/>
                <w:szCs w:val="20"/>
                <w:lang w:val="en-US"/>
                <w14:ligatures w14:val="none"/>
              </w:rPr>
            </w:pPr>
            <w:r>
              <w:rPr>
                <w:rFonts w:ascii="Arial" w:eastAsia="Times New Roman" w:hAnsi="Arial" w:cs="Arial"/>
                <w:noProof w:val="0"/>
                <w:kern w:val="0"/>
                <w:sz w:val="20"/>
                <w:szCs w:val="20"/>
                <w:lang w:val="en-US"/>
                <w14:ligatures w14:val="none"/>
              </w:rPr>
              <w:t>Project A</w:t>
            </w:r>
          </w:p>
        </w:tc>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23F9A52F" w14:textId="5668F962" w:rsidR="00CA6176" w:rsidRPr="00CA6176" w:rsidRDefault="00B519FB" w:rsidP="00CA6176">
            <w:pPr>
              <w:spacing w:after="0" w:line="240" w:lineRule="auto"/>
              <w:rPr>
                <w:rFonts w:ascii="Times New Roman" w:eastAsia="Times New Roman" w:hAnsi="Times New Roman" w:cs="Times New Roman"/>
                <w:noProof w:val="0"/>
                <w:kern w:val="0"/>
                <w:sz w:val="20"/>
                <w:szCs w:val="20"/>
                <w:lang w:val="en-US"/>
                <w14:ligatures w14:val="none"/>
              </w:rPr>
            </w:pPr>
            <w:r>
              <w:rPr>
                <w:rFonts w:ascii="Times New Roman" w:eastAsia="Times New Roman" w:hAnsi="Times New Roman" w:cs="Times New Roman"/>
                <w:noProof w:val="0"/>
                <w:kern w:val="0"/>
                <w:sz w:val="20"/>
                <w:szCs w:val="20"/>
                <w:lang w:val="en-US"/>
                <w14:ligatures w14:val="none"/>
              </w:rPr>
              <w:t>Project B</w:t>
            </w:r>
          </w:p>
        </w:tc>
      </w:tr>
      <w:tr w:rsidR="00CA6176" w:rsidRPr="00CA6176" w14:paraId="031084F1" w14:textId="77777777" w:rsidTr="004E46D8">
        <w:trPr>
          <w:trHeight w:val="319"/>
        </w:trPr>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09BCD5BB" w14:textId="77777777" w:rsidR="00CA6176" w:rsidRPr="00CA6176" w:rsidRDefault="00CA6176" w:rsidP="00CA6176">
            <w:pPr>
              <w:spacing w:after="0" w:line="240" w:lineRule="auto"/>
              <w:jc w:val="right"/>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1</w:t>
            </w:r>
          </w:p>
        </w:tc>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2C602FEA" w14:textId="77777777" w:rsidR="00CA6176" w:rsidRPr="00CA6176" w:rsidRDefault="00CA6176" w:rsidP="00CA6176">
            <w:pPr>
              <w:spacing w:after="0" w:line="240" w:lineRule="auto"/>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£2250 (10% decrease)</w:t>
            </w:r>
          </w:p>
        </w:tc>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011AFAB4" w14:textId="77777777" w:rsidR="00CA6176" w:rsidRPr="00CA6176" w:rsidRDefault="00CA6176" w:rsidP="00CA6176">
            <w:pPr>
              <w:spacing w:after="0" w:line="240" w:lineRule="auto"/>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£1350 (10% decrease)</w:t>
            </w:r>
          </w:p>
        </w:tc>
      </w:tr>
      <w:tr w:rsidR="00CA6176" w:rsidRPr="00CA6176" w14:paraId="13415EB7" w14:textId="77777777" w:rsidTr="004E46D8">
        <w:trPr>
          <w:trHeight w:val="319"/>
        </w:trPr>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2BC8B1D9" w14:textId="77777777" w:rsidR="00CA6176" w:rsidRPr="00CA6176" w:rsidRDefault="00CA6176" w:rsidP="00CA6176">
            <w:pPr>
              <w:spacing w:after="0" w:line="240" w:lineRule="auto"/>
              <w:jc w:val="right"/>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2</w:t>
            </w:r>
          </w:p>
        </w:tc>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4D5B9BD2" w14:textId="77777777" w:rsidR="00CA6176" w:rsidRPr="00CA6176" w:rsidRDefault="00CA6176" w:rsidP="00CA6176">
            <w:pPr>
              <w:spacing w:after="0" w:line="240" w:lineRule="auto"/>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£1800 (10% decrease)</w:t>
            </w:r>
          </w:p>
        </w:tc>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4E75AB81" w14:textId="77777777" w:rsidR="00CA6176" w:rsidRPr="00CA6176" w:rsidRDefault="00CA6176" w:rsidP="00CA6176">
            <w:pPr>
              <w:spacing w:after="0" w:line="240" w:lineRule="auto"/>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£900 (10% decrease)</w:t>
            </w:r>
          </w:p>
        </w:tc>
      </w:tr>
      <w:tr w:rsidR="00CA6176" w:rsidRPr="00CA6176" w14:paraId="7007237C" w14:textId="77777777" w:rsidTr="004E46D8">
        <w:trPr>
          <w:trHeight w:val="319"/>
        </w:trPr>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4DDB46B4" w14:textId="77777777" w:rsidR="00CA6176" w:rsidRPr="00CA6176" w:rsidRDefault="00CA6176" w:rsidP="00CA6176">
            <w:pPr>
              <w:spacing w:after="0" w:line="240" w:lineRule="auto"/>
              <w:jc w:val="right"/>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3</w:t>
            </w:r>
          </w:p>
        </w:tc>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70345861" w14:textId="77777777" w:rsidR="00CA6176" w:rsidRPr="00CA6176" w:rsidRDefault="00CA6176" w:rsidP="00CA6176">
            <w:pPr>
              <w:spacing w:after="0" w:line="240" w:lineRule="auto"/>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£900 (10% decrease)</w:t>
            </w:r>
          </w:p>
        </w:tc>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232F7E25" w14:textId="77777777" w:rsidR="00CA6176" w:rsidRPr="00CA6176" w:rsidRDefault="00CA6176" w:rsidP="00CA6176">
            <w:pPr>
              <w:spacing w:after="0" w:line="240" w:lineRule="auto"/>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£900 (10% decrease)</w:t>
            </w:r>
          </w:p>
        </w:tc>
      </w:tr>
      <w:tr w:rsidR="00CA6176" w:rsidRPr="00CA6176" w14:paraId="70CDF208" w14:textId="77777777" w:rsidTr="004E46D8">
        <w:trPr>
          <w:trHeight w:val="319"/>
        </w:trPr>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5CE94847" w14:textId="77777777" w:rsidR="00CA6176" w:rsidRPr="00CA6176" w:rsidRDefault="00CA6176" w:rsidP="00CA6176">
            <w:pPr>
              <w:spacing w:after="0" w:line="240" w:lineRule="auto"/>
              <w:jc w:val="right"/>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4</w:t>
            </w:r>
          </w:p>
        </w:tc>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7C86ABEC" w14:textId="77777777" w:rsidR="00CA6176" w:rsidRPr="00CA6176" w:rsidRDefault="00CA6176" w:rsidP="00CA6176">
            <w:pPr>
              <w:spacing w:after="0" w:line="240" w:lineRule="auto"/>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-£397.8 (10% decrease)</w:t>
            </w:r>
          </w:p>
        </w:tc>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557E7EA9" w14:textId="77777777" w:rsidR="00CA6176" w:rsidRPr="00CA6176" w:rsidRDefault="00CA6176" w:rsidP="00CA6176">
            <w:pPr>
              <w:spacing w:after="0" w:line="240" w:lineRule="auto"/>
              <w:rPr>
                <w:rFonts w:ascii="Arial" w:eastAsia="Times New Roman" w:hAnsi="Arial" w:cs="Arial"/>
                <w:noProof w:val="0"/>
                <w:kern w:val="0"/>
                <w:sz w:val="20"/>
                <w:szCs w:val="20"/>
                <w:lang w:val="en-US"/>
                <w14:ligatures w14:val="none"/>
              </w:rPr>
            </w:pPr>
            <w:r w:rsidRPr="00CA6176">
              <w:rPr>
                <w:rFonts w:ascii="Arial" w:eastAsia="Times New Roman" w:hAnsi="Arial" w:cs="Arial"/>
                <w:noProof w:val="0"/>
                <w:kern w:val="0"/>
                <w:sz w:val="20"/>
                <w:szCs w:val="20"/>
                <w:lang w:val="en-US"/>
                <w14:ligatures w14:val="none"/>
              </w:rPr>
              <w:t>-£423 (10% decrease)</w:t>
            </w:r>
          </w:p>
        </w:tc>
      </w:tr>
    </w:tbl>
    <w:p w14:paraId="571DD4B2" w14:textId="07596313" w:rsidR="0009016F" w:rsidRDefault="0009016F" w:rsidP="0009016F">
      <w:pPr>
        <w:spacing w:line="360" w:lineRule="auto"/>
        <w:jc w:val="both"/>
        <w:rPr>
          <w:rStyle w:val="mop"/>
          <w:rFonts w:eastAsiaTheme="minorEastAsia" w:cstheme="minorHAnsi"/>
          <w:color w:val="0D0D0D"/>
          <w:shd w:val="clear" w:color="auto" w:fill="FFFFFF"/>
        </w:rPr>
      </w:pPr>
    </w:p>
    <w:p w14:paraId="2B335586" w14:textId="2621BDDB" w:rsidR="00B519FB" w:rsidRPr="00883435" w:rsidRDefault="00B519FB" w:rsidP="0009016F">
      <w:pPr>
        <w:spacing w:line="360" w:lineRule="auto"/>
        <w:jc w:val="both"/>
        <w:rPr>
          <w:rStyle w:val="mop"/>
          <w:rFonts w:eastAsiaTheme="minorEastAsia" w:cstheme="minorHAnsi"/>
          <w:b/>
          <w:bCs/>
          <w:color w:val="0D0D0D"/>
          <w:shd w:val="clear" w:color="auto" w:fill="FFFFFF"/>
        </w:rPr>
      </w:pPr>
      <w:r w:rsidRPr="00883435">
        <w:rPr>
          <w:rStyle w:val="mop"/>
          <w:rFonts w:eastAsiaTheme="minorEastAsia" w:cstheme="minorHAnsi"/>
          <w:b/>
          <w:bCs/>
          <w:color w:val="0D0D0D"/>
          <w:shd w:val="clear" w:color="auto" w:fill="FFFFFF"/>
        </w:rPr>
        <w:t>P</w:t>
      </w:r>
      <w:r w:rsidR="00D9581A" w:rsidRPr="00883435">
        <w:rPr>
          <w:rStyle w:val="mop"/>
          <w:rFonts w:eastAsiaTheme="minorEastAsia" w:cstheme="minorHAnsi"/>
          <w:b/>
          <w:bCs/>
          <w:color w:val="0D0D0D"/>
          <w:shd w:val="clear" w:color="auto" w:fill="FFFFFF"/>
        </w:rPr>
        <w:t>ROJECT</w:t>
      </w:r>
      <w:r w:rsidRPr="00883435">
        <w:rPr>
          <w:rStyle w:val="mop"/>
          <w:rFonts w:eastAsiaTheme="minorEastAsia" w:cstheme="minorHAnsi"/>
          <w:b/>
          <w:bCs/>
          <w:color w:val="0D0D0D"/>
          <w:shd w:val="clear" w:color="auto" w:fill="FFFFFF"/>
        </w:rPr>
        <w:t xml:space="preserve"> A </w:t>
      </w:r>
    </w:p>
    <w:p w14:paraId="24C0D954" w14:textId="2DF03ED3" w:rsidR="004E46D8" w:rsidRPr="00B519FB" w:rsidRDefault="004E46D8" w:rsidP="004E46D8">
      <w:pPr>
        <w:spacing w:line="360" w:lineRule="auto"/>
        <w:jc w:val="both"/>
        <w:rPr>
          <w:rStyle w:val="mop"/>
          <w:rFonts w:eastAsiaTheme="minorEastAsia" w:cstheme="minorHAnsi"/>
          <w:color w:val="0D0D0D"/>
          <w:shd w:val="clear" w:color="auto" w:fill="FFFFFF"/>
        </w:rPr>
      </w:pPr>
      <w:r w:rsidRPr="00B519FB">
        <w:rPr>
          <w:rStyle w:val="mop"/>
          <w:rFonts w:eastAsiaTheme="minorEastAsia" w:cstheme="minorHAnsi"/>
          <w:color w:val="0D0D0D"/>
          <w:shd w:val="clear" w:color="auto" w:fill="FFFFFF"/>
        </w:rPr>
        <w:t xml:space="preserve">NPV = </w:t>
      </w:r>
      <m:oMath>
        <m:nary>
          <m:naryPr>
            <m:chr m:val="∑"/>
            <m:limLoc m:val="undOvr"/>
            <m:ctrlPr>
              <w:rPr>
                <w:rStyle w:val="mop"/>
                <w:rFonts w:ascii="Cambria Math" w:hAnsi="Cambria Math" w:cstheme="minorHAnsi"/>
                <w:i/>
                <w:color w:val="0D0D0D"/>
                <w:shd w:val="clear" w:color="auto" w:fill="FFFFFF"/>
              </w:rPr>
            </m:ctrlPr>
          </m:naryPr>
          <m:sub>
            <m:r>
              <w:rPr>
                <w:rStyle w:val="mop"/>
                <w:rFonts w:ascii="Cambria Math" w:hAnsi="Cambria Math" w:cstheme="minorHAnsi"/>
                <w:color w:val="0D0D0D"/>
                <w:shd w:val="clear" w:color="auto" w:fill="FFFFFF"/>
              </w:rPr>
              <m:t>t</m:t>
            </m:r>
            <m:r>
              <w:rPr>
                <w:rStyle w:val="mop"/>
                <w:rFonts w:ascii="Cambria Math" w:hAnsi="Cambria Math" w:cstheme="minorHAnsi"/>
                <w:color w:val="0D0D0D"/>
                <w:shd w:val="clear" w:color="auto" w:fill="FFFFFF"/>
                <w:lang w:val="sr-Latn-RS"/>
              </w:rPr>
              <m:t>=0</m:t>
            </m:r>
          </m:sub>
          <m:sup>
            <m:r>
              <w:rPr>
                <w:rStyle w:val="mop"/>
                <w:rFonts w:ascii="Cambria Math" w:hAnsi="Cambria Math" w:cstheme="minorHAnsi"/>
                <w:color w:val="0D0D0D"/>
                <w:shd w:val="clear" w:color="auto" w:fill="FFFFFF"/>
              </w:rPr>
              <m:t>n</m:t>
            </m:r>
          </m:sup>
          <m:e>
            <m:r>
              <w:rPr>
                <w:rStyle w:val="mop"/>
                <w:rFonts w:ascii="Cambria Math" w:hAnsi="Cambria Math" w:cstheme="minorHAnsi"/>
                <w:color w:val="0D0D0D"/>
                <w:shd w:val="clear" w:color="auto" w:fill="FFFFFF"/>
              </w:rPr>
              <m:t>=</m:t>
            </m:r>
            <m:f>
              <m:fPr>
                <m:ctrlPr>
                  <w:rPr>
                    <w:rStyle w:val="mop"/>
                    <w:rFonts w:ascii="Cambria Math" w:hAnsi="Cambria Math" w:cstheme="minorHAnsi"/>
                    <w:i/>
                    <w:color w:val="0D0D0D"/>
                    <w:shd w:val="clear" w:color="auto" w:fill="FFFFFF"/>
                  </w:rPr>
                </m:ctrlPr>
              </m:fPr>
              <m:num>
                <m:r>
                  <w:rPr>
                    <w:rStyle w:val="mop"/>
                    <w:rFonts w:ascii="Cambria Math" w:hAnsi="Cambria Math" w:cstheme="minorHAnsi"/>
                    <w:color w:val="0D0D0D"/>
                    <w:shd w:val="clear" w:color="auto" w:fill="FFFFFF"/>
                  </w:rPr>
                  <m:t xml:space="preserve">-5500 </m:t>
                </m:r>
              </m:num>
              <m:den>
                <m:sSup>
                  <m:sSupPr>
                    <m:ctrlPr>
                      <w:rPr>
                        <w:rStyle w:val="mop"/>
                        <w:rFonts w:ascii="Cambria Math" w:hAnsi="Cambria Math" w:cstheme="minorHAnsi"/>
                        <w:i/>
                        <w:color w:val="0D0D0D"/>
                        <w:shd w:val="clear" w:color="auto" w:fill="FFFFFF"/>
                      </w:rPr>
                    </m:ctrlPr>
                  </m:sSupPr>
                  <m:e>
                    <m:r>
                      <w:rPr>
                        <w:rStyle w:val="mop"/>
                        <w:rFonts w:ascii="Cambria Math" w:hAnsi="Cambria Math" w:cstheme="minorHAnsi"/>
                        <w:color w:val="0D0D0D"/>
                        <w:shd w:val="clear" w:color="auto" w:fill="FFFFFF"/>
                      </w:rPr>
                      <m:t>(1+0.0075)</m:t>
                    </m:r>
                  </m:e>
                  <m:sup>
                    <m:r>
                      <w:rPr>
                        <w:rStyle w:val="mop"/>
                        <w:rFonts w:ascii="Cambria Math" w:hAnsi="Cambria Math" w:cstheme="minorHAnsi"/>
                        <w:color w:val="0D0D0D"/>
                        <w:shd w:val="clear" w:color="auto" w:fill="FFFFFF"/>
                      </w:rPr>
                      <m:t>0</m:t>
                    </m:r>
                  </m:sup>
                </m:sSup>
              </m:den>
            </m:f>
          </m:e>
        </m:nary>
        <m:r>
          <w:rPr>
            <w:rStyle w:val="mop"/>
            <w:rFonts w:ascii="Cambria Math" w:hAnsi="Cambria Math" w:cstheme="minorHAnsi"/>
            <w:color w:val="0D0D0D"/>
            <w:shd w:val="clear" w:color="auto" w:fill="FFFFFF"/>
          </w:rPr>
          <m:t xml:space="preserve">+ </m:t>
        </m:r>
        <m:f>
          <m:fPr>
            <m:ctrlPr>
              <w:rPr>
                <w:rStyle w:val="mop"/>
                <w:rFonts w:ascii="Cambria Math" w:hAnsi="Cambria Math" w:cstheme="minorHAnsi"/>
                <w:i/>
                <w:color w:val="0D0D0D"/>
                <w:shd w:val="clear" w:color="auto" w:fill="FFFFFF"/>
              </w:rPr>
            </m:ctrlPr>
          </m:fPr>
          <m:num>
            <m:r>
              <w:rPr>
                <w:rStyle w:val="mop"/>
                <w:rFonts w:ascii="Cambria Math" w:hAnsi="Cambria Math" w:cstheme="minorHAnsi"/>
                <w:color w:val="0D0D0D"/>
                <w:shd w:val="clear" w:color="auto" w:fill="FFFFFF"/>
              </w:rPr>
              <m:t>2250</m:t>
            </m:r>
          </m:num>
          <m:den>
            <m:sSup>
              <m:sSupPr>
                <m:ctrlPr>
                  <w:rPr>
                    <w:rStyle w:val="mop"/>
                    <w:rFonts w:ascii="Cambria Math" w:hAnsi="Cambria Math" w:cstheme="minorHAnsi"/>
                    <w:i/>
                    <w:color w:val="0D0D0D"/>
                    <w:shd w:val="clear" w:color="auto" w:fill="FFFFFF"/>
                  </w:rPr>
                </m:ctrlPr>
              </m:sSupPr>
              <m:e>
                <m:r>
                  <w:rPr>
                    <w:rStyle w:val="mop"/>
                    <w:rFonts w:ascii="Cambria Math" w:hAnsi="Cambria Math" w:cstheme="minorHAnsi"/>
                    <w:color w:val="0D0D0D"/>
                    <w:shd w:val="clear" w:color="auto" w:fill="FFFFFF"/>
                  </w:rPr>
                  <m:t>(1+0.0075)</m:t>
                </m:r>
              </m:e>
              <m:sup>
                <m:r>
                  <w:rPr>
                    <w:rStyle w:val="mop"/>
                    <w:rFonts w:ascii="Cambria Math" w:hAnsi="Cambria Math" w:cstheme="minorHAnsi"/>
                    <w:color w:val="0D0D0D"/>
                    <w:shd w:val="clear" w:color="auto" w:fill="FFFFFF"/>
                  </w:rPr>
                  <m:t xml:space="preserve">1  </m:t>
                </m:r>
              </m:sup>
            </m:sSup>
          </m:den>
        </m:f>
      </m:oMath>
      <w:r w:rsidRPr="00B519FB">
        <w:rPr>
          <w:rStyle w:val="mop"/>
          <w:rFonts w:eastAsiaTheme="minorEastAsia" w:cstheme="minorHAnsi"/>
          <w:color w:val="0D0D0D"/>
          <w:shd w:val="clear" w:color="auto" w:fill="FFFFFF"/>
        </w:rPr>
        <w:t xml:space="preserve"> + </w:t>
      </w:r>
      <m:oMath>
        <m:f>
          <m:fPr>
            <m:ctrlPr>
              <w:rPr>
                <w:rStyle w:val="mop"/>
                <w:rFonts w:ascii="Cambria Math" w:hAnsi="Cambria Math" w:cstheme="minorHAnsi"/>
                <w:i/>
                <w:color w:val="0D0D0D"/>
                <w:shd w:val="clear" w:color="auto" w:fill="FFFFFF"/>
              </w:rPr>
            </m:ctrlPr>
          </m:fPr>
          <m:num>
            <m:r>
              <w:rPr>
                <w:rStyle w:val="mop"/>
                <w:rFonts w:ascii="Cambria Math" w:hAnsi="Cambria Math" w:cstheme="minorHAnsi"/>
                <w:color w:val="0D0D0D"/>
                <w:shd w:val="clear" w:color="auto" w:fill="FFFFFF"/>
              </w:rPr>
              <m:t>1800</m:t>
            </m:r>
          </m:num>
          <m:den>
            <m:sSup>
              <m:sSupPr>
                <m:ctrlPr>
                  <w:rPr>
                    <w:rStyle w:val="mop"/>
                    <w:rFonts w:ascii="Cambria Math" w:hAnsi="Cambria Math" w:cstheme="minorHAnsi"/>
                    <w:i/>
                    <w:color w:val="0D0D0D"/>
                    <w:shd w:val="clear" w:color="auto" w:fill="FFFFFF"/>
                  </w:rPr>
                </m:ctrlPr>
              </m:sSupPr>
              <m:e>
                <m:r>
                  <w:rPr>
                    <w:rStyle w:val="mop"/>
                    <w:rFonts w:ascii="Cambria Math" w:hAnsi="Cambria Math" w:cstheme="minorHAnsi"/>
                    <w:color w:val="0D0D0D"/>
                    <w:shd w:val="clear" w:color="auto" w:fill="FFFFFF"/>
                  </w:rPr>
                  <m:t>(1+0.0075)</m:t>
                </m:r>
              </m:e>
              <m:sup>
                <m:r>
                  <w:rPr>
                    <w:rStyle w:val="mop"/>
                    <w:rFonts w:ascii="Cambria Math" w:hAnsi="Cambria Math" w:cstheme="minorHAnsi"/>
                    <w:color w:val="0D0D0D"/>
                    <w:shd w:val="clear" w:color="auto" w:fill="FFFFFF"/>
                  </w:rPr>
                  <m:t xml:space="preserve">2 </m:t>
                </m:r>
              </m:sup>
            </m:sSup>
          </m:den>
        </m:f>
      </m:oMath>
      <w:r w:rsidRPr="00B519FB">
        <w:rPr>
          <w:rStyle w:val="mop"/>
          <w:rFonts w:eastAsiaTheme="minorEastAsia" w:cstheme="minorHAnsi"/>
          <w:color w:val="0D0D0D"/>
          <w:shd w:val="clear" w:color="auto" w:fill="FFFFFF"/>
        </w:rPr>
        <w:t xml:space="preserve"> +</w:t>
      </w:r>
      <m:oMath>
        <m:f>
          <m:fPr>
            <m:ctrlPr>
              <w:rPr>
                <w:rStyle w:val="mop"/>
                <w:rFonts w:ascii="Cambria Math" w:hAnsi="Cambria Math" w:cstheme="minorHAnsi"/>
                <w:i/>
                <w:color w:val="0D0D0D"/>
                <w:shd w:val="clear" w:color="auto" w:fill="FFFFFF"/>
              </w:rPr>
            </m:ctrlPr>
          </m:fPr>
          <m:num>
            <m:r>
              <w:rPr>
                <w:rStyle w:val="mop"/>
                <w:rFonts w:ascii="Cambria Math" w:hAnsi="Cambria Math" w:cstheme="minorHAnsi"/>
                <w:color w:val="0D0D0D"/>
                <w:shd w:val="clear" w:color="auto" w:fill="FFFFFF"/>
              </w:rPr>
              <m:t>900</m:t>
            </m:r>
          </m:num>
          <m:den>
            <m:sSup>
              <m:sSupPr>
                <m:ctrlPr>
                  <w:rPr>
                    <w:rStyle w:val="mop"/>
                    <w:rFonts w:ascii="Cambria Math" w:hAnsi="Cambria Math" w:cstheme="minorHAnsi"/>
                    <w:i/>
                    <w:color w:val="0D0D0D"/>
                    <w:shd w:val="clear" w:color="auto" w:fill="FFFFFF"/>
                  </w:rPr>
                </m:ctrlPr>
              </m:sSupPr>
              <m:e>
                <m:r>
                  <w:rPr>
                    <w:rStyle w:val="mop"/>
                    <w:rFonts w:ascii="Cambria Math" w:hAnsi="Cambria Math" w:cstheme="minorHAnsi"/>
                    <w:color w:val="0D0D0D"/>
                    <w:shd w:val="clear" w:color="auto" w:fill="FFFFFF"/>
                  </w:rPr>
                  <m:t>(1+0.0075)</m:t>
                </m:r>
              </m:e>
              <m:sup>
                <m:r>
                  <w:rPr>
                    <w:rStyle w:val="mop"/>
                    <w:rFonts w:ascii="Cambria Math" w:hAnsi="Cambria Math" w:cstheme="minorHAnsi"/>
                    <w:color w:val="0D0D0D"/>
                    <w:shd w:val="clear" w:color="auto" w:fill="FFFFFF"/>
                  </w:rPr>
                  <m:t>3</m:t>
                </m:r>
              </m:sup>
            </m:sSup>
          </m:den>
        </m:f>
      </m:oMath>
      <w:r w:rsidRPr="00B519FB">
        <w:rPr>
          <w:rStyle w:val="mop"/>
          <w:rFonts w:eastAsiaTheme="minorEastAsia" w:cstheme="minorHAnsi"/>
          <w:color w:val="0D0D0D"/>
          <w:shd w:val="clear" w:color="auto" w:fill="FFFFFF"/>
        </w:rPr>
        <w:t xml:space="preserve">  + </w:t>
      </w:r>
      <m:oMath>
        <m:f>
          <m:fPr>
            <m:ctrlPr>
              <w:rPr>
                <w:rStyle w:val="mop"/>
                <w:rFonts w:ascii="Cambria Math" w:hAnsi="Cambria Math" w:cstheme="minorHAnsi"/>
                <w:i/>
                <w:color w:val="0D0D0D"/>
                <w:shd w:val="clear" w:color="auto" w:fill="FFFFFF"/>
              </w:rPr>
            </m:ctrlPr>
          </m:fPr>
          <m:num>
            <m:r>
              <w:rPr>
                <w:rStyle w:val="mop"/>
                <w:rFonts w:ascii="Cambria Math" w:hAnsi="Cambria Math" w:cstheme="minorHAnsi"/>
                <w:color w:val="0D0D0D"/>
                <w:shd w:val="clear" w:color="auto" w:fill="FFFFFF"/>
              </w:rPr>
              <m:t>-397</m:t>
            </m:r>
          </m:num>
          <m:den>
            <m:sSup>
              <m:sSupPr>
                <m:ctrlPr>
                  <w:rPr>
                    <w:rStyle w:val="mop"/>
                    <w:rFonts w:ascii="Cambria Math" w:hAnsi="Cambria Math" w:cstheme="minorHAnsi"/>
                    <w:i/>
                    <w:color w:val="0D0D0D"/>
                    <w:shd w:val="clear" w:color="auto" w:fill="FFFFFF"/>
                  </w:rPr>
                </m:ctrlPr>
              </m:sSupPr>
              <m:e>
                <m:r>
                  <w:rPr>
                    <w:rStyle w:val="mop"/>
                    <w:rFonts w:ascii="Cambria Math" w:hAnsi="Cambria Math" w:cstheme="minorHAnsi"/>
                    <w:color w:val="0D0D0D"/>
                    <w:shd w:val="clear" w:color="auto" w:fill="FFFFFF"/>
                  </w:rPr>
                  <m:t>(1+0.0075)</m:t>
                </m:r>
              </m:e>
              <m:sup>
                <m:r>
                  <w:rPr>
                    <w:rStyle w:val="mop"/>
                    <w:rFonts w:ascii="Cambria Math" w:hAnsi="Cambria Math" w:cstheme="minorHAnsi"/>
                    <w:color w:val="0D0D0D"/>
                    <w:shd w:val="clear" w:color="auto" w:fill="FFFFFF"/>
                  </w:rPr>
                  <m:t>4</m:t>
                </m:r>
              </m:sup>
            </m:sSup>
          </m:den>
        </m:f>
      </m:oMath>
    </w:p>
    <w:p w14:paraId="0D3F6E54" w14:textId="77777777" w:rsidR="00B519FB" w:rsidRPr="00B519FB" w:rsidRDefault="00B519FB" w:rsidP="00B519FB">
      <w:pPr>
        <w:spacing w:line="360" w:lineRule="auto"/>
        <w:jc w:val="both"/>
        <w:rPr>
          <w:rStyle w:val="mop"/>
          <w:rFonts w:eastAsiaTheme="minorEastAsia" w:cstheme="minorHAnsi"/>
          <w:color w:val="0D0D0D"/>
          <w:shd w:val="clear" w:color="auto" w:fill="FFFFFF"/>
        </w:rPr>
      </w:pPr>
      <w:r w:rsidRPr="00B519FB">
        <w:rPr>
          <w:rStyle w:val="mop"/>
          <w:rFonts w:eastAsiaTheme="minorEastAsia" w:cstheme="minorHAnsi"/>
          <w:color w:val="0D0D0D"/>
          <w:shd w:val="clear" w:color="auto" w:fill="FFFFFF"/>
        </w:rPr>
        <w:lastRenderedPageBreak/>
        <w:t>Year 1: £2250 / (1 + 0.0075)¹ = £2233.82</w:t>
      </w:r>
    </w:p>
    <w:p w14:paraId="55784E27" w14:textId="77777777" w:rsidR="00B519FB" w:rsidRPr="00B519FB" w:rsidRDefault="00B519FB" w:rsidP="00B519FB">
      <w:pPr>
        <w:spacing w:line="360" w:lineRule="auto"/>
        <w:jc w:val="both"/>
        <w:rPr>
          <w:rStyle w:val="mop"/>
          <w:rFonts w:eastAsiaTheme="minorEastAsia" w:cstheme="minorHAnsi"/>
          <w:color w:val="0D0D0D"/>
          <w:shd w:val="clear" w:color="auto" w:fill="FFFFFF"/>
        </w:rPr>
      </w:pPr>
      <w:r w:rsidRPr="00B519FB">
        <w:rPr>
          <w:rStyle w:val="mop"/>
          <w:rFonts w:eastAsiaTheme="minorEastAsia" w:cstheme="minorHAnsi"/>
          <w:color w:val="0D0D0D"/>
          <w:shd w:val="clear" w:color="auto" w:fill="FFFFFF"/>
        </w:rPr>
        <w:t>Year 2: £1800 / (1 + 0.0075)² = £1776.12</w:t>
      </w:r>
    </w:p>
    <w:p w14:paraId="035B0C82" w14:textId="77777777" w:rsidR="00B519FB" w:rsidRPr="00B519FB" w:rsidRDefault="00B519FB" w:rsidP="00B519FB">
      <w:pPr>
        <w:spacing w:line="360" w:lineRule="auto"/>
        <w:jc w:val="both"/>
        <w:rPr>
          <w:rStyle w:val="mop"/>
          <w:rFonts w:eastAsiaTheme="minorEastAsia" w:cstheme="minorHAnsi"/>
          <w:color w:val="0D0D0D"/>
          <w:shd w:val="clear" w:color="auto" w:fill="FFFFFF"/>
        </w:rPr>
      </w:pPr>
      <w:r w:rsidRPr="00B519FB">
        <w:rPr>
          <w:rStyle w:val="mop"/>
          <w:rFonts w:eastAsiaTheme="minorEastAsia" w:cstheme="minorHAnsi"/>
          <w:color w:val="0D0D0D"/>
          <w:shd w:val="clear" w:color="auto" w:fill="FFFFFF"/>
        </w:rPr>
        <w:t>Year 3: £900 / (1 + 0.0075)³ = £869.05</w:t>
      </w:r>
    </w:p>
    <w:p w14:paraId="6D7A4165" w14:textId="093621E3" w:rsidR="00B519FB" w:rsidRPr="00B519FB" w:rsidRDefault="00B519FB" w:rsidP="004E46D8">
      <w:pPr>
        <w:spacing w:line="360" w:lineRule="auto"/>
        <w:jc w:val="both"/>
        <w:rPr>
          <w:rStyle w:val="mop"/>
          <w:rFonts w:eastAsiaTheme="minorEastAsia" w:cstheme="minorHAnsi"/>
          <w:color w:val="0D0D0D"/>
          <w:shd w:val="clear" w:color="auto" w:fill="FFFFFF"/>
        </w:rPr>
      </w:pPr>
      <w:r w:rsidRPr="00B519FB">
        <w:rPr>
          <w:rStyle w:val="mop"/>
          <w:rFonts w:eastAsiaTheme="minorEastAsia" w:cstheme="minorHAnsi"/>
          <w:color w:val="0D0D0D"/>
          <w:shd w:val="clear" w:color="auto" w:fill="FFFFFF"/>
        </w:rPr>
        <w:t>Year 4: £-397.8 / (1 + 0.0075)⁴ = £-392.38</w:t>
      </w:r>
    </w:p>
    <w:p w14:paraId="155E419C" w14:textId="68F843CD" w:rsidR="004E46D8" w:rsidRPr="00B519FB" w:rsidRDefault="004E46D8" w:rsidP="004E46D8">
      <w:pPr>
        <w:spacing w:line="360" w:lineRule="auto"/>
        <w:jc w:val="both"/>
        <w:rPr>
          <w:rStyle w:val="mop"/>
          <w:rFonts w:eastAsiaTheme="minorEastAsia" w:cstheme="minorHAnsi"/>
          <w:color w:val="0D0D0D"/>
          <w:shd w:val="clear" w:color="auto" w:fill="FFFFFF"/>
        </w:rPr>
      </w:pPr>
      <w:r w:rsidRPr="00B519FB">
        <w:rPr>
          <w:rStyle w:val="mop"/>
          <w:rFonts w:eastAsiaTheme="minorEastAsia" w:cstheme="minorHAnsi"/>
          <w:color w:val="0D0D0D"/>
          <w:shd w:val="clear" w:color="auto" w:fill="FFFFFF"/>
        </w:rPr>
        <w:t xml:space="preserve">NPV </w:t>
      </w:r>
      <m:oMath>
        <m:r>
          <w:rPr>
            <w:rStyle w:val="mop"/>
            <w:rFonts w:ascii="Cambria Math" w:eastAsiaTheme="minorEastAsia" w:hAnsi="Cambria Math" w:cstheme="minorHAnsi"/>
            <w:color w:val="0D0D0D"/>
            <w:shd w:val="clear" w:color="auto" w:fill="FFFFFF"/>
          </w:rPr>
          <m:t>=(-5500)+2233.82+1776.12+869.05+</m:t>
        </m:r>
        <m:d>
          <m:dPr>
            <m:ctrlPr>
              <w:rPr>
                <w:rStyle w:val="mop"/>
                <w:rFonts w:ascii="Cambria Math" w:eastAsiaTheme="minorEastAsia" w:hAnsi="Cambria Math" w:cstheme="minorHAnsi"/>
                <w:i/>
                <w:color w:val="0D0D0D"/>
                <w:shd w:val="clear" w:color="auto" w:fill="FFFFFF"/>
              </w:rPr>
            </m:ctrlPr>
          </m:dPr>
          <m:e>
            <m:r>
              <w:rPr>
                <w:rStyle w:val="mop"/>
                <w:rFonts w:ascii="Cambria Math" w:eastAsiaTheme="minorEastAsia" w:hAnsi="Cambria Math" w:cstheme="minorHAnsi"/>
                <w:color w:val="0D0D0D"/>
                <w:shd w:val="clear" w:color="auto" w:fill="FFFFFF"/>
              </w:rPr>
              <m:t>-392.38</m:t>
            </m:r>
          </m:e>
        </m:d>
      </m:oMath>
    </w:p>
    <w:p w14:paraId="5C07CC32" w14:textId="68CC6944" w:rsidR="004E46D8" w:rsidRPr="00B519FB" w:rsidRDefault="004E46D8" w:rsidP="004E46D8">
      <w:pPr>
        <w:spacing w:line="360" w:lineRule="auto"/>
        <w:jc w:val="both"/>
        <w:rPr>
          <w:rStyle w:val="mop"/>
          <w:rFonts w:eastAsiaTheme="minorEastAsia" w:cstheme="minorHAnsi"/>
          <w:b/>
          <w:color w:val="0D0D0D"/>
          <w:shd w:val="clear" w:color="auto" w:fill="FFFFFF"/>
        </w:rPr>
      </w:pPr>
      <w:r w:rsidRPr="00B519FB">
        <w:rPr>
          <w:rStyle w:val="mop"/>
          <w:rFonts w:eastAsiaTheme="minorEastAsia" w:cstheme="minorHAnsi"/>
          <w:b/>
          <w:bCs/>
          <w:color w:val="0D0D0D"/>
          <w:shd w:val="clear" w:color="auto" w:fill="FFFFFF"/>
        </w:rPr>
        <w:t xml:space="preserve">NPV </w:t>
      </w:r>
      <m:oMath>
        <m:r>
          <m:rPr>
            <m:sty m:val="bi"/>
          </m:rPr>
          <w:rPr>
            <w:rStyle w:val="mop"/>
            <w:rFonts w:ascii="Cambria Math" w:eastAsiaTheme="minorEastAsia" w:hAnsi="Cambria Math" w:cstheme="minorHAnsi"/>
            <w:color w:val="0D0D0D"/>
            <w:shd w:val="clear" w:color="auto" w:fill="FFFFFF"/>
          </w:rPr>
          <m:t xml:space="preserve">=- 913.39 million </m:t>
        </m:r>
      </m:oMath>
    </w:p>
    <w:p w14:paraId="235E17CD" w14:textId="607B7C45" w:rsidR="00CA6176" w:rsidRPr="00883435" w:rsidRDefault="00B519FB" w:rsidP="0009016F">
      <w:pPr>
        <w:spacing w:line="360" w:lineRule="auto"/>
        <w:jc w:val="both"/>
        <w:rPr>
          <w:rStyle w:val="mop"/>
          <w:rFonts w:eastAsiaTheme="minorEastAsia" w:cstheme="minorHAnsi"/>
          <w:b/>
          <w:bCs/>
          <w:color w:val="0D0D0D"/>
          <w:shd w:val="clear" w:color="auto" w:fill="FFFFFF"/>
        </w:rPr>
      </w:pPr>
      <w:r w:rsidRPr="00883435">
        <w:rPr>
          <w:rStyle w:val="mop"/>
          <w:rFonts w:eastAsiaTheme="minorEastAsia" w:cstheme="minorHAnsi"/>
          <w:b/>
          <w:bCs/>
          <w:color w:val="0D0D0D"/>
          <w:shd w:val="clear" w:color="auto" w:fill="FFFFFF"/>
        </w:rPr>
        <w:t>P</w:t>
      </w:r>
      <w:r w:rsidR="00D9581A" w:rsidRPr="00883435">
        <w:rPr>
          <w:rStyle w:val="mop"/>
          <w:rFonts w:eastAsiaTheme="minorEastAsia" w:cstheme="minorHAnsi"/>
          <w:b/>
          <w:bCs/>
          <w:color w:val="0D0D0D"/>
          <w:shd w:val="clear" w:color="auto" w:fill="FFFFFF"/>
        </w:rPr>
        <w:t xml:space="preserve">ROJECT </w:t>
      </w:r>
      <w:r w:rsidRPr="00883435">
        <w:rPr>
          <w:rStyle w:val="mop"/>
          <w:rFonts w:eastAsiaTheme="minorEastAsia" w:cstheme="minorHAnsi"/>
          <w:b/>
          <w:bCs/>
          <w:color w:val="0D0D0D"/>
          <w:shd w:val="clear" w:color="auto" w:fill="FFFFFF"/>
        </w:rPr>
        <w:t xml:space="preserve"> B </w:t>
      </w:r>
    </w:p>
    <w:p w14:paraId="518D2512" w14:textId="20791623" w:rsidR="00B519FB" w:rsidRPr="00B519FB" w:rsidRDefault="00B519FB" w:rsidP="00B519FB">
      <w:pPr>
        <w:spacing w:line="360" w:lineRule="auto"/>
        <w:jc w:val="both"/>
        <w:rPr>
          <w:rStyle w:val="mop"/>
          <w:rFonts w:eastAsiaTheme="minorEastAsia" w:cstheme="minorHAnsi"/>
          <w:color w:val="0D0D0D"/>
          <w:shd w:val="clear" w:color="auto" w:fill="FFFFFF"/>
        </w:rPr>
      </w:pPr>
      <w:r w:rsidRPr="00B519FB">
        <w:rPr>
          <w:rStyle w:val="mop"/>
          <w:rFonts w:eastAsiaTheme="minorEastAsia" w:cstheme="minorHAnsi"/>
          <w:color w:val="0D0D0D"/>
          <w:shd w:val="clear" w:color="auto" w:fill="FFFFFF"/>
        </w:rPr>
        <w:t xml:space="preserve">NPV = </w:t>
      </w:r>
      <m:oMath>
        <m:nary>
          <m:naryPr>
            <m:chr m:val="∑"/>
            <m:limLoc m:val="undOvr"/>
            <m:ctrlPr>
              <w:rPr>
                <w:rStyle w:val="mop"/>
                <w:rFonts w:ascii="Cambria Math" w:hAnsi="Cambria Math" w:cstheme="minorHAnsi"/>
                <w:i/>
                <w:color w:val="0D0D0D"/>
                <w:shd w:val="clear" w:color="auto" w:fill="FFFFFF"/>
              </w:rPr>
            </m:ctrlPr>
          </m:naryPr>
          <m:sub>
            <m:r>
              <w:rPr>
                <w:rStyle w:val="mop"/>
                <w:rFonts w:ascii="Cambria Math" w:hAnsi="Cambria Math" w:cstheme="minorHAnsi"/>
                <w:color w:val="0D0D0D"/>
                <w:shd w:val="clear" w:color="auto" w:fill="FFFFFF"/>
              </w:rPr>
              <m:t>t</m:t>
            </m:r>
            <m:r>
              <w:rPr>
                <w:rStyle w:val="mop"/>
                <w:rFonts w:ascii="Cambria Math" w:hAnsi="Cambria Math" w:cstheme="minorHAnsi"/>
                <w:color w:val="0D0D0D"/>
                <w:shd w:val="clear" w:color="auto" w:fill="FFFFFF"/>
                <w:lang w:val="sr-Latn-RS"/>
              </w:rPr>
              <m:t>=0</m:t>
            </m:r>
          </m:sub>
          <m:sup>
            <m:r>
              <w:rPr>
                <w:rStyle w:val="mop"/>
                <w:rFonts w:ascii="Cambria Math" w:hAnsi="Cambria Math" w:cstheme="minorHAnsi"/>
                <w:color w:val="0D0D0D"/>
                <w:shd w:val="clear" w:color="auto" w:fill="FFFFFF"/>
              </w:rPr>
              <m:t>n</m:t>
            </m:r>
          </m:sup>
          <m:e>
            <m:r>
              <w:rPr>
                <w:rStyle w:val="mop"/>
                <w:rFonts w:ascii="Cambria Math" w:hAnsi="Cambria Math" w:cstheme="minorHAnsi"/>
                <w:color w:val="0D0D0D"/>
                <w:shd w:val="clear" w:color="auto" w:fill="FFFFFF"/>
              </w:rPr>
              <m:t>=</m:t>
            </m:r>
            <m:f>
              <m:fPr>
                <m:ctrlPr>
                  <w:rPr>
                    <w:rStyle w:val="mop"/>
                    <w:rFonts w:ascii="Cambria Math" w:hAnsi="Cambria Math" w:cstheme="minorHAnsi"/>
                    <w:i/>
                    <w:color w:val="0D0D0D"/>
                    <w:shd w:val="clear" w:color="auto" w:fill="FFFFFF"/>
                  </w:rPr>
                </m:ctrlPr>
              </m:fPr>
              <m:num>
                <m:r>
                  <w:rPr>
                    <w:rStyle w:val="mop"/>
                    <w:rFonts w:ascii="Cambria Math" w:hAnsi="Cambria Math" w:cstheme="minorHAnsi"/>
                    <w:color w:val="0D0D0D"/>
                    <w:shd w:val="clear" w:color="auto" w:fill="FFFFFF"/>
                  </w:rPr>
                  <m:t xml:space="preserve">-1100 </m:t>
                </m:r>
              </m:num>
              <m:den>
                <m:sSup>
                  <m:sSupPr>
                    <m:ctrlPr>
                      <w:rPr>
                        <w:rStyle w:val="mop"/>
                        <w:rFonts w:ascii="Cambria Math" w:hAnsi="Cambria Math" w:cstheme="minorHAnsi"/>
                        <w:i/>
                        <w:color w:val="0D0D0D"/>
                        <w:shd w:val="clear" w:color="auto" w:fill="FFFFFF"/>
                      </w:rPr>
                    </m:ctrlPr>
                  </m:sSupPr>
                  <m:e>
                    <m:r>
                      <w:rPr>
                        <w:rStyle w:val="mop"/>
                        <w:rFonts w:ascii="Cambria Math" w:hAnsi="Cambria Math" w:cstheme="minorHAnsi"/>
                        <w:color w:val="0D0D0D"/>
                        <w:shd w:val="clear" w:color="auto" w:fill="FFFFFF"/>
                      </w:rPr>
                      <m:t>(1+0.0075)</m:t>
                    </m:r>
                  </m:e>
                  <m:sup>
                    <m:r>
                      <w:rPr>
                        <w:rStyle w:val="mop"/>
                        <w:rFonts w:ascii="Cambria Math" w:hAnsi="Cambria Math" w:cstheme="minorHAnsi"/>
                        <w:color w:val="0D0D0D"/>
                        <w:shd w:val="clear" w:color="auto" w:fill="FFFFFF"/>
                      </w:rPr>
                      <m:t>0</m:t>
                    </m:r>
                  </m:sup>
                </m:sSup>
              </m:den>
            </m:f>
          </m:e>
        </m:nary>
        <m:r>
          <w:rPr>
            <w:rStyle w:val="mop"/>
            <w:rFonts w:ascii="Cambria Math" w:hAnsi="Cambria Math" w:cstheme="minorHAnsi"/>
            <w:color w:val="0D0D0D"/>
            <w:shd w:val="clear" w:color="auto" w:fill="FFFFFF"/>
          </w:rPr>
          <m:t xml:space="preserve">+ </m:t>
        </m:r>
        <m:f>
          <m:fPr>
            <m:ctrlPr>
              <w:rPr>
                <w:rStyle w:val="mop"/>
                <w:rFonts w:ascii="Cambria Math" w:hAnsi="Cambria Math" w:cstheme="minorHAnsi"/>
                <w:i/>
                <w:color w:val="0D0D0D"/>
                <w:shd w:val="clear" w:color="auto" w:fill="FFFFFF"/>
              </w:rPr>
            </m:ctrlPr>
          </m:fPr>
          <m:num>
            <m:r>
              <w:rPr>
                <w:rStyle w:val="mop"/>
                <w:rFonts w:ascii="Cambria Math" w:hAnsi="Cambria Math" w:cstheme="minorHAnsi"/>
                <w:color w:val="0D0D0D"/>
                <w:shd w:val="clear" w:color="auto" w:fill="FFFFFF"/>
              </w:rPr>
              <m:t>1350</m:t>
            </m:r>
          </m:num>
          <m:den>
            <m:sSup>
              <m:sSupPr>
                <m:ctrlPr>
                  <w:rPr>
                    <w:rStyle w:val="mop"/>
                    <w:rFonts w:ascii="Cambria Math" w:hAnsi="Cambria Math" w:cstheme="minorHAnsi"/>
                    <w:i/>
                    <w:color w:val="0D0D0D"/>
                    <w:shd w:val="clear" w:color="auto" w:fill="FFFFFF"/>
                  </w:rPr>
                </m:ctrlPr>
              </m:sSupPr>
              <m:e>
                <m:r>
                  <w:rPr>
                    <w:rStyle w:val="mop"/>
                    <w:rFonts w:ascii="Cambria Math" w:hAnsi="Cambria Math" w:cstheme="minorHAnsi"/>
                    <w:color w:val="0D0D0D"/>
                    <w:shd w:val="clear" w:color="auto" w:fill="FFFFFF"/>
                  </w:rPr>
                  <m:t>(1+0.0075)</m:t>
                </m:r>
              </m:e>
              <m:sup>
                <m:r>
                  <w:rPr>
                    <w:rStyle w:val="mop"/>
                    <w:rFonts w:ascii="Cambria Math" w:hAnsi="Cambria Math" w:cstheme="minorHAnsi"/>
                    <w:color w:val="0D0D0D"/>
                    <w:shd w:val="clear" w:color="auto" w:fill="FFFFFF"/>
                  </w:rPr>
                  <m:t xml:space="preserve">1  </m:t>
                </m:r>
              </m:sup>
            </m:sSup>
          </m:den>
        </m:f>
      </m:oMath>
      <w:r w:rsidRPr="00B519FB">
        <w:rPr>
          <w:rStyle w:val="mop"/>
          <w:rFonts w:eastAsiaTheme="minorEastAsia" w:cstheme="minorHAnsi"/>
          <w:color w:val="0D0D0D"/>
          <w:shd w:val="clear" w:color="auto" w:fill="FFFFFF"/>
        </w:rPr>
        <w:t xml:space="preserve"> + </w:t>
      </w:r>
      <m:oMath>
        <m:f>
          <m:fPr>
            <m:ctrlPr>
              <w:rPr>
                <w:rStyle w:val="mop"/>
                <w:rFonts w:ascii="Cambria Math" w:hAnsi="Cambria Math" w:cstheme="minorHAnsi"/>
                <w:i/>
                <w:color w:val="0D0D0D"/>
                <w:shd w:val="clear" w:color="auto" w:fill="FFFFFF"/>
              </w:rPr>
            </m:ctrlPr>
          </m:fPr>
          <m:num>
            <m:r>
              <w:rPr>
                <w:rStyle w:val="mop"/>
                <w:rFonts w:ascii="Cambria Math" w:hAnsi="Cambria Math" w:cstheme="minorHAnsi"/>
                <w:color w:val="0D0D0D"/>
                <w:shd w:val="clear" w:color="auto" w:fill="FFFFFF"/>
              </w:rPr>
              <m:t>900</m:t>
            </m:r>
          </m:num>
          <m:den>
            <m:sSup>
              <m:sSupPr>
                <m:ctrlPr>
                  <w:rPr>
                    <w:rStyle w:val="mop"/>
                    <w:rFonts w:ascii="Cambria Math" w:hAnsi="Cambria Math" w:cstheme="minorHAnsi"/>
                    <w:i/>
                    <w:color w:val="0D0D0D"/>
                    <w:shd w:val="clear" w:color="auto" w:fill="FFFFFF"/>
                  </w:rPr>
                </m:ctrlPr>
              </m:sSupPr>
              <m:e>
                <m:r>
                  <w:rPr>
                    <w:rStyle w:val="mop"/>
                    <w:rFonts w:ascii="Cambria Math" w:hAnsi="Cambria Math" w:cstheme="minorHAnsi"/>
                    <w:color w:val="0D0D0D"/>
                    <w:shd w:val="clear" w:color="auto" w:fill="FFFFFF"/>
                  </w:rPr>
                  <m:t>(1+0.0075)</m:t>
                </m:r>
              </m:e>
              <m:sup>
                <m:r>
                  <w:rPr>
                    <w:rStyle w:val="mop"/>
                    <w:rFonts w:ascii="Cambria Math" w:hAnsi="Cambria Math" w:cstheme="minorHAnsi"/>
                    <w:color w:val="0D0D0D"/>
                    <w:shd w:val="clear" w:color="auto" w:fill="FFFFFF"/>
                  </w:rPr>
                  <m:t xml:space="preserve">2 </m:t>
                </m:r>
              </m:sup>
            </m:sSup>
          </m:den>
        </m:f>
      </m:oMath>
      <w:r w:rsidRPr="00B519FB">
        <w:rPr>
          <w:rStyle w:val="mop"/>
          <w:rFonts w:eastAsiaTheme="minorEastAsia" w:cstheme="minorHAnsi"/>
          <w:color w:val="0D0D0D"/>
          <w:shd w:val="clear" w:color="auto" w:fill="FFFFFF"/>
        </w:rPr>
        <w:t xml:space="preserve"> +</w:t>
      </w:r>
      <m:oMath>
        <m:f>
          <m:fPr>
            <m:ctrlPr>
              <w:rPr>
                <w:rStyle w:val="mop"/>
                <w:rFonts w:ascii="Cambria Math" w:hAnsi="Cambria Math" w:cstheme="minorHAnsi"/>
                <w:i/>
                <w:color w:val="0D0D0D"/>
                <w:shd w:val="clear" w:color="auto" w:fill="FFFFFF"/>
              </w:rPr>
            </m:ctrlPr>
          </m:fPr>
          <m:num>
            <m:r>
              <w:rPr>
                <w:rStyle w:val="mop"/>
                <w:rFonts w:ascii="Cambria Math" w:hAnsi="Cambria Math" w:cstheme="minorHAnsi"/>
                <w:color w:val="0D0D0D"/>
                <w:shd w:val="clear" w:color="auto" w:fill="FFFFFF"/>
              </w:rPr>
              <m:t>900</m:t>
            </m:r>
          </m:num>
          <m:den>
            <m:sSup>
              <m:sSupPr>
                <m:ctrlPr>
                  <w:rPr>
                    <w:rStyle w:val="mop"/>
                    <w:rFonts w:ascii="Cambria Math" w:hAnsi="Cambria Math" w:cstheme="minorHAnsi"/>
                    <w:i/>
                    <w:color w:val="0D0D0D"/>
                    <w:shd w:val="clear" w:color="auto" w:fill="FFFFFF"/>
                  </w:rPr>
                </m:ctrlPr>
              </m:sSupPr>
              <m:e>
                <m:r>
                  <w:rPr>
                    <w:rStyle w:val="mop"/>
                    <w:rFonts w:ascii="Cambria Math" w:hAnsi="Cambria Math" w:cstheme="minorHAnsi"/>
                    <w:color w:val="0D0D0D"/>
                    <w:shd w:val="clear" w:color="auto" w:fill="FFFFFF"/>
                  </w:rPr>
                  <m:t>(1+0.0075)</m:t>
                </m:r>
              </m:e>
              <m:sup>
                <m:r>
                  <w:rPr>
                    <w:rStyle w:val="mop"/>
                    <w:rFonts w:ascii="Cambria Math" w:hAnsi="Cambria Math" w:cstheme="minorHAnsi"/>
                    <w:color w:val="0D0D0D"/>
                    <w:shd w:val="clear" w:color="auto" w:fill="FFFFFF"/>
                  </w:rPr>
                  <m:t>3</m:t>
                </m:r>
              </m:sup>
            </m:sSup>
          </m:den>
        </m:f>
      </m:oMath>
      <w:r w:rsidRPr="00B519FB">
        <w:rPr>
          <w:rStyle w:val="mop"/>
          <w:rFonts w:eastAsiaTheme="minorEastAsia" w:cstheme="minorHAnsi"/>
          <w:color w:val="0D0D0D"/>
          <w:shd w:val="clear" w:color="auto" w:fill="FFFFFF"/>
        </w:rPr>
        <w:t xml:space="preserve">  + </w:t>
      </w:r>
      <m:oMath>
        <m:f>
          <m:fPr>
            <m:ctrlPr>
              <w:rPr>
                <w:rStyle w:val="mop"/>
                <w:rFonts w:ascii="Cambria Math" w:hAnsi="Cambria Math" w:cstheme="minorHAnsi"/>
                <w:i/>
                <w:color w:val="0D0D0D"/>
                <w:shd w:val="clear" w:color="auto" w:fill="FFFFFF"/>
              </w:rPr>
            </m:ctrlPr>
          </m:fPr>
          <m:num>
            <m:r>
              <w:rPr>
                <w:rStyle w:val="mop"/>
                <w:rFonts w:ascii="Cambria Math" w:hAnsi="Cambria Math" w:cstheme="minorHAnsi"/>
                <w:color w:val="0D0D0D"/>
                <w:shd w:val="clear" w:color="auto" w:fill="FFFFFF"/>
              </w:rPr>
              <m:t>-423</m:t>
            </m:r>
          </m:num>
          <m:den>
            <m:sSup>
              <m:sSupPr>
                <m:ctrlPr>
                  <w:rPr>
                    <w:rStyle w:val="mop"/>
                    <w:rFonts w:ascii="Cambria Math" w:hAnsi="Cambria Math" w:cstheme="minorHAnsi"/>
                    <w:i/>
                    <w:color w:val="0D0D0D"/>
                    <w:shd w:val="clear" w:color="auto" w:fill="FFFFFF"/>
                  </w:rPr>
                </m:ctrlPr>
              </m:sSupPr>
              <m:e>
                <m:r>
                  <w:rPr>
                    <w:rStyle w:val="mop"/>
                    <w:rFonts w:ascii="Cambria Math" w:hAnsi="Cambria Math" w:cstheme="minorHAnsi"/>
                    <w:color w:val="0D0D0D"/>
                    <w:shd w:val="clear" w:color="auto" w:fill="FFFFFF"/>
                  </w:rPr>
                  <m:t>(1+0.0075)</m:t>
                </m:r>
              </m:e>
              <m:sup>
                <m:r>
                  <w:rPr>
                    <w:rStyle w:val="mop"/>
                    <w:rFonts w:ascii="Cambria Math" w:hAnsi="Cambria Math" w:cstheme="minorHAnsi"/>
                    <w:color w:val="0D0D0D"/>
                    <w:shd w:val="clear" w:color="auto" w:fill="FFFFFF"/>
                  </w:rPr>
                  <m:t>4</m:t>
                </m:r>
              </m:sup>
            </m:sSup>
          </m:den>
        </m:f>
      </m:oMath>
    </w:p>
    <w:p w14:paraId="3F150071" w14:textId="77777777" w:rsidR="0032020B" w:rsidRPr="0032020B" w:rsidRDefault="0032020B" w:rsidP="0032020B">
      <w:pPr>
        <w:spacing w:line="360" w:lineRule="auto"/>
        <w:jc w:val="both"/>
        <w:rPr>
          <w:rStyle w:val="mop"/>
          <w:rFonts w:eastAsiaTheme="minorEastAsia" w:cstheme="minorHAnsi"/>
          <w:color w:val="0D0D0D"/>
          <w:shd w:val="clear" w:color="auto" w:fill="FFFFFF"/>
        </w:rPr>
      </w:pPr>
      <w:r w:rsidRPr="0032020B">
        <w:rPr>
          <w:rStyle w:val="mop"/>
          <w:rFonts w:eastAsiaTheme="minorEastAsia" w:cstheme="minorHAnsi"/>
          <w:color w:val="0D0D0D"/>
          <w:shd w:val="clear" w:color="auto" w:fill="FFFFFF"/>
        </w:rPr>
        <w:t>Year 1: £1350 / (1 + 0.0075)¹ = £1340.23</w:t>
      </w:r>
    </w:p>
    <w:p w14:paraId="23BEC645" w14:textId="77777777" w:rsidR="0032020B" w:rsidRPr="0032020B" w:rsidRDefault="0032020B" w:rsidP="0032020B">
      <w:pPr>
        <w:spacing w:line="360" w:lineRule="auto"/>
        <w:jc w:val="both"/>
        <w:rPr>
          <w:rStyle w:val="mop"/>
          <w:rFonts w:eastAsiaTheme="minorEastAsia" w:cstheme="minorHAnsi"/>
          <w:color w:val="0D0D0D"/>
          <w:shd w:val="clear" w:color="auto" w:fill="FFFFFF"/>
        </w:rPr>
      </w:pPr>
      <w:r w:rsidRPr="0032020B">
        <w:rPr>
          <w:rStyle w:val="mop"/>
          <w:rFonts w:eastAsiaTheme="minorEastAsia" w:cstheme="minorHAnsi"/>
          <w:color w:val="0D0D0D"/>
          <w:shd w:val="clear" w:color="auto" w:fill="FFFFFF"/>
        </w:rPr>
        <w:t>Year 2: £900 / (1 + 0.0075)² = £882.35</w:t>
      </w:r>
    </w:p>
    <w:p w14:paraId="68C90906" w14:textId="77777777" w:rsidR="0032020B" w:rsidRPr="0032020B" w:rsidRDefault="0032020B" w:rsidP="0032020B">
      <w:pPr>
        <w:spacing w:line="360" w:lineRule="auto"/>
        <w:jc w:val="both"/>
        <w:rPr>
          <w:rStyle w:val="mop"/>
          <w:rFonts w:eastAsiaTheme="minorEastAsia" w:cstheme="minorHAnsi"/>
          <w:color w:val="0D0D0D"/>
          <w:shd w:val="clear" w:color="auto" w:fill="FFFFFF"/>
        </w:rPr>
      </w:pPr>
      <w:r w:rsidRPr="0032020B">
        <w:rPr>
          <w:rStyle w:val="mop"/>
          <w:rFonts w:eastAsiaTheme="minorEastAsia" w:cstheme="minorHAnsi"/>
          <w:color w:val="0D0D0D"/>
          <w:shd w:val="clear" w:color="auto" w:fill="FFFFFF"/>
        </w:rPr>
        <w:t>Year 3: £900 / (1 + 0.0075)³ = £864.97</w:t>
      </w:r>
    </w:p>
    <w:p w14:paraId="11935832" w14:textId="036C21B8" w:rsidR="00B519FB" w:rsidRPr="0009016F" w:rsidRDefault="0032020B" w:rsidP="0032020B">
      <w:pPr>
        <w:spacing w:line="360" w:lineRule="auto"/>
        <w:jc w:val="both"/>
        <w:rPr>
          <w:rStyle w:val="mop"/>
          <w:rFonts w:eastAsiaTheme="minorEastAsia" w:cstheme="minorHAnsi"/>
          <w:color w:val="0D0D0D"/>
          <w:shd w:val="clear" w:color="auto" w:fill="FFFFFF"/>
        </w:rPr>
      </w:pPr>
      <w:r w:rsidRPr="0032020B">
        <w:rPr>
          <w:rStyle w:val="mop"/>
          <w:rFonts w:eastAsiaTheme="minorEastAsia" w:cstheme="minorHAnsi"/>
          <w:color w:val="0D0D0D"/>
          <w:shd w:val="clear" w:color="auto" w:fill="FFFFFF"/>
        </w:rPr>
        <w:t>Year 4: £-423 / (1 + 0.0075)⁴ = £-418.13</w:t>
      </w:r>
    </w:p>
    <w:p w14:paraId="70716FF6" w14:textId="3938F15B" w:rsidR="0009016F" w:rsidRDefault="0032020B" w:rsidP="0009016F">
      <w:pPr>
        <w:spacing w:line="360" w:lineRule="auto"/>
        <w:jc w:val="both"/>
        <w:rPr>
          <w:rStyle w:val="mop"/>
          <w:rFonts w:eastAsiaTheme="minorEastAsia" w:cstheme="minorHAnsi"/>
          <w:color w:val="0D0D0D"/>
          <w:shd w:val="clear" w:color="auto" w:fill="FFFFFF"/>
        </w:rPr>
      </w:pPr>
      <w:r>
        <w:rPr>
          <w:rStyle w:val="mop"/>
          <w:rFonts w:eastAsiaTheme="minorEastAsia" w:cstheme="minorHAnsi"/>
          <w:color w:val="0D0D0D"/>
          <w:shd w:val="clear" w:color="auto" w:fill="FFFFFF"/>
        </w:rPr>
        <w:t>NPV</w:t>
      </w:r>
      <m:oMath>
        <m:r>
          <w:rPr>
            <w:rStyle w:val="mop"/>
            <w:rFonts w:ascii="Cambria Math" w:eastAsiaTheme="minorEastAsia" w:hAnsi="Cambria Math" w:cstheme="minorHAnsi"/>
            <w:color w:val="0D0D0D"/>
            <w:shd w:val="clear" w:color="auto" w:fill="FFFFFF"/>
          </w:rPr>
          <m:t>=</m:t>
        </m:r>
        <m:d>
          <m:dPr>
            <m:ctrlPr>
              <w:rPr>
                <w:rStyle w:val="mop"/>
                <w:rFonts w:ascii="Cambria Math" w:eastAsiaTheme="minorEastAsia" w:hAnsi="Cambria Math" w:cstheme="minorHAnsi"/>
                <w:i/>
                <w:color w:val="0D0D0D"/>
                <w:shd w:val="clear" w:color="auto" w:fill="FFFFFF"/>
              </w:rPr>
            </m:ctrlPr>
          </m:dPr>
          <m:e>
            <m:r>
              <w:rPr>
                <w:rStyle w:val="mop"/>
                <w:rFonts w:ascii="Cambria Math" w:eastAsiaTheme="minorEastAsia" w:hAnsi="Cambria Math" w:cstheme="minorHAnsi"/>
                <w:color w:val="0D0D0D"/>
                <w:shd w:val="clear" w:color="auto" w:fill="FFFFFF"/>
              </w:rPr>
              <m:t>-1100</m:t>
            </m:r>
          </m:e>
        </m:d>
        <m:r>
          <w:rPr>
            <w:rStyle w:val="mop"/>
            <w:rFonts w:ascii="Cambria Math" w:eastAsiaTheme="minorEastAsia" w:hAnsi="Cambria Math" w:cstheme="minorHAnsi"/>
            <w:color w:val="0D0D0D"/>
            <w:shd w:val="clear" w:color="auto" w:fill="FFFFFF"/>
          </w:rPr>
          <m:t>+1340.23+882.35+864.97+</m:t>
        </m:r>
        <m:d>
          <m:dPr>
            <m:ctrlPr>
              <w:rPr>
                <w:rStyle w:val="mop"/>
                <w:rFonts w:ascii="Cambria Math" w:eastAsiaTheme="minorEastAsia" w:hAnsi="Cambria Math" w:cstheme="minorHAnsi"/>
                <w:i/>
                <w:color w:val="0D0D0D"/>
                <w:shd w:val="clear" w:color="auto" w:fill="FFFFFF"/>
              </w:rPr>
            </m:ctrlPr>
          </m:dPr>
          <m:e>
            <m:r>
              <w:rPr>
                <w:rStyle w:val="mop"/>
                <w:rFonts w:ascii="Cambria Math" w:eastAsiaTheme="minorEastAsia" w:hAnsi="Cambria Math" w:cstheme="minorHAnsi"/>
                <w:color w:val="0D0D0D"/>
                <w:shd w:val="clear" w:color="auto" w:fill="FFFFFF"/>
              </w:rPr>
              <m:t>-418.13</m:t>
            </m:r>
          </m:e>
        </m:d>
      </m:oMath>
    </w:p>
    <w:p w14:paraId="4F099130" w14:textId="74D5F926" w:rsidR="0032020B" w:rsidRPr="0032020B" w:rsidRDefault="0032020B" w:rsidP="0009016F">
      <w:pPr>
        <w:spacing w:line="360" w:lineRule="auto"/>
        <w:jc w:val="both"/>
        <w:rPr>
          <w:rStyle w:val="mop"/>
          <w:rFonts w:eastAsiaTheme="minorEastAsia" w:cstheme="minorHAnsi"/>
          <w:color w:val="0D0D0D"/>
          <w:shd w:val="clear" w:color="auto" w:fill="FFFFFF"/>
        </w:rPr>
      </w:pPr>
      <w:r>
        <w:rPr>
          <w:rStyle w:val="mop"/>
          <w:rFonts w:eastAsiaTheme="minorEastAsia" w:cstheme="minorHAnsi"/>
          <w:color w:val="0D0D0D"/>
          <w:shd w:val="clear" w:color="auto" w:fill="FFFFFF"/>
        </w:rPr>
        <w:t xml:space="preserve">NPV </w:t>
      </w:r>
      <m:oMath>
        <m:r>
          <w:rPr>
            <w:rStyle w:val="mop"/>
            <w:rFonts w:ascii="Cambria Math" w:eastAsiaTheme="minorEastAsia" w:hAnsi="Cambria Math" w:cstheme="minorHAnsi"/>
            <w:color w:val="0D0D0D"/>
            <w:shd w:val="clear" w:color="auto" w:fill="FFFFFF"/>
          </w:rPr>
          <m:t xml:space="preserve">=3087.55-1518.13 </m:t>
        </m:r>
      </m:oMath>
    </w:p>
    <w:p w14:paraId="30C5D85C" w14:textId="34164103" w:rsidR="0032020B" w:rsidRPr="0032020B" w:rsidRDefault="0032020B" w:rsidP="0009016F">
      <w:pPr>
        <w:spacing w:line="360" w:lineRule="auto"/>
        <w:jc w:val="both"/>
        <w:rPr>
          <w:rStyle w:val="mop"/>
          <w:rFonts w:eastAsiaTheme="minorEastAsia" w:cstheme="minorHAnsi"/>
          <w:b/>
          <w:bCs/>
          <w:color w:val="0D0D0D"/>
          <w:shd w:val="clear" w:color="auto" w:fill="FFFFFF"/>
        </w:rPr>
      </w:pPr>
      <w:r w:rsidRPr="0032020B">
        <w:rPr>
          <w:rStyle w:val="mop"/>
          <w:rFonts w:eastAsiaTheme="minorEastAsia" w:cstheme="minorHAnsi"/>
          <w:b/>
          <w:bCs/>
          <w:color w:val="0D0D0D"/>
          <w:shd w:val="clear" w:color="auto" w:fill="FFFFFF"/>
        </w:rPr>
        <w:t>NPV</w:t>
      </w:r>
      <m:oMath>
        <m:r>
          <m:rPr>
            <m:sty m:val="bi"/>
          </m:rPr>
          <w:rPr>
            <w:rStyle w:val="mop"/>
            <w:rFonts w:ascii="Cambria Math" w:eastAsiaTheme="minorEastAsia" w:hAnsi="Cambria Math" w:cstheme="minorHAnsi"/>
            <w:color w:val="0D0D0D"/>
            <w:shd w:val="clear" w:color="auto" w:fill="FFFFFF"/>
          </w:rPr>
          <m:t xml:space="preserve">=1569.42 million </m:t>
        </m:r>
      </m:oMath>
    </w:p>
    <w:p w14:paraId="2E6996B8" w14:textId="23C7E73D" w:rsidR="00883435" w:rsidRDefault="00883435" w:rsidP="006943DE">
      <w:pPr>
        <w:spacing w:line="360" w:lineRule="auto"/>
        <w:jc w:val="both"/>
        <w:rPr>
          <w:rStyle w:val="mop"/>
          <w:rFonts w:eastAsiaTheme="minorEastAsia" w:cstheme="minorHAnsi"/>
          <w:color w:val="0D0D0D"/>
          <w:shd w:val="clear" w:color="auto" w:fill="FFFFFF"/>
        </w:rPr>
      </w:pPr>
      <w:r w:rsidRPr="00883435">
        <w:rPr>
          <w:rStyle w:val="mop"/>
          <w:rFonts w:eastAsiaTheme="minorEastAsia" w:cstheme="minorHAnsi"/>
          <w:color w:val="0D0D0D"/>
          <w:shd w:val="clear" w:color="auto" w:fill="FFFFFF"/>
        </w:rPr>
        <w:t>In this scenario, the NPV for two projects, A and B, is recalculated after adjusting their initial investments and cash flows. The adjustments involve increasing the initial investments and reducing all cash flows by 10%. The rationale behind this adjustment is to account for potential changes in investment requirements and cash inflows/outflows, which might occur due to inflation, changes in market conditions, or unforeseen expenses.</w:t>
      </w:r>
    </w:p>
    <w:p w14:paraId="27C4D5E7" w14:textId="32E24B25" w:rsidR="006943DE" w:rsidRPr="006943DE" w:rsidRDefault="006943DE" w:rsidP="006943DE">
      <w:pPr>
        <w:spacing w:line="360" w:lineRule="auto"/>
        <w:jc w:val="both"/>
        <w:rPr>
          <w:rStyle w:val="mop"/>
          <w:rFonts w:eastAsiaTheme="minorEastAsia" w:cstheme="minorHAnsi"/>
          <w:color w:val="0D0D0D"/>
          <w:shd w:val="clear" w:color="auto" w:fill="FFFFFF"/>
        </w:rPr>
      </w:pPr>
      <w:r w:rsidRPr="006943DE">
        <w:rPr>
          <w:rStyle w:val="mop"/>
          <w:rFonts w:eastAsiaTheme="minorEastAsia" w:cstheme="minorHAnsi"/>
          <w:color w:val="0D0D0D"/>
          <w:shd w:val="clear" w:color="auto" w:fill="FFFFFF"/>
        </w:rPr>
        <w:t>For Project A, the initial investment is increased from £5000 million to £5500 million, and for Project B, it is increased from £1000 million to £1100 million. Additionally, all cash flows for both projects are reduced by 10%.</w:t>
      </w:r>
    </w:p>
    <w:p w14:paraId="09D11DAC" w14:textId="39850DF6" w:rsidR="006943DE" w:rsidRPr="006943DE" w:rsidRDefault="006943DE" w:rsidP="006943DE">
      <w:pPr>
        <w:spacing w:line="360" w:lineRule="auto"/>
        <w:jc w:val="both"/>
        <w:rPr>
          <w:rStyle w:val="mop"/>
          <w:rFonts w:eastAsiaTheme="minorEastAsia" w:cstheme="minorHAnsi"/>
          <w:color w:val="0D0D0D"/>
          <w:shd w:val="clear" w:color="auto" w:fill="FFFFFF"/>
        </w:rPr>
      </w:pPr>
      <w:r w:rsidRPr="006943DE">
        <w:rPr>
          <w:rStyle w:val="mop"/>
          <w:rFonts w:eastAsiaTheme="minorEastAsia" w:cstheme="minorHAnsi"/>
          <w:color w:val="0D0D0D"/>
          <w:shd w:val="clear" w:color="auto" w:fill="FFFFFF"/>
        </w:rPr>
        <w:t xml:space="preserve">The NPV formula </w:t>
      </w:r>
      <w:r>
        <w:rPr>
          <w:rStyle w:val="mop"/>
          <w:rFonts w:eastAsiaTheme="minorEastAsia" w:cstheme="minorHAnsi"/>
          <w:color w:val="0D0D0D"/>
          <w:shd w:val="clear" w:color="auto" w:fill="FFFFFF"/>
        </w:rPr>
        <w:t>considers</w:t>
      </w:r>
      <w:r w:rsidRPr="006943DE">
        <w:rPr>
          <w:rStyle w:val="mop"/>
          <w:rFonts w:eastAsiaTheme="minorEastAsia" w:cstheme="minorHAnsi"/>
          <w:color w:val="0D0D0D"/>
          <w:shd w:val="clear" w:color="auto" w:fill="FFFFFF"/>
        </w:rPr>
        <w:t xml:space="preserve"> these adjusted cash flows and initial investments, discounting them by the company's cost of capital (represented by the discount rate) over the project's duration.</w:t>
      </w:r>
    </w:p>
    <w:p w14:paraId="678F767D" w14:textId="7064C559" w:rsidR="006943DE" w:rsidRPr="006943DE" w:rsidRDefault="006943DE" w:rsidP="006943DE">
      <w:pPr>
        <w:spacing w:line="360" w:lineRule="auto"/>
        <w:jc w:val="both"/>
        <w:rPr>
          <w:rStyle w:val="mop"/>
          <w:rFonts w:eastAsiaTheme="minorEastAsia" w:cstheme="minorHAnsi"/>
          <w:color w:val="0D0D0D"/>
          <w:shd w:val="clear" w:color="auto" w:fill="FFFFFF"/>
        </w:rPr>
      </w:pPr>
      <w:r w:rsidRPr="006943DE">
        <w:rPr>
          <w:rStyle w:val="mop"/>
          <w:rFonts w:eastAsiaTheme="minorEastAsia" w:cstheme="minorHAnsi"/>
          <w:color w:val="0D0D0D"/>
          <w:shd w:val="clear" w:color="auto" w:fill="FFFFFF"/>
        </w:rPr>
        <w:lastRenderedPageBreak/>
        <w:t>Given a discount rate of 0.75% for both projects, the recalculated NPV values are approximately -£913.39 million for Project A and £1569.42 million for Project B.</w:t>
      </w:r>
    </w:p>
    <w:p w14:paraId="6A5AE551" w14:textId="30FA2F4A" w:rsidR="006943DE" w:rsidRPr="006943DE" w:rsidRDefault="006943DE" w:rsidP="006943DE">
      <w:pPr>
        <w:spacing w:line="360" w:lineRule="auto"/>
        <w:jc w:val="both"/>
        <w:rPr>
          <w:rStyle w:val="mop"/>
          <w:rFonts w:eastAsiaTheme="minorEastAsia" w:cstheme="minorHAnsi"/>
          <w:color w:val="0D0D0D"/>
          <w:shd w:val="clear" w:color="auto" w:fill="FFFFFF"/>
        </w:rPr>
      </w:pPr>
      <w:r w:rsidRPr="006943DE">
        <w:rPr>
          <w:rStyle w:val="mop"/>
          <w:rFonts w:eastAsiaTheme="minorEastAsia" w:cstheme="minorHAnsi"/>
          <w:color w:val="0D0D0D"/>
          <w:shd w:val="clear" w:color="auto" w:fill="FFFFFF"/>
        </w:rPr>
        <w:t xml:space="preserve">Project A's negative NPV indicates that, after considering the adjusted initial investment and cash flows, the project is not expected to generate returns exceeding the cost of capital. </w:t>
      </w:r>
      <w:r>
        <w:rPr>
          <w:rStyle w:val="mop"/>
          <w:rFonts w:eastAsiaTheme="minorEastAsia" w:cstheme="minorHAnsi"/>
          <w:color w:val="0D0D0D"/>
          <w:shd w:val="clear" w:color="auto" w:fill="FFFFFF"/>
        </w:rPr>
        <w:t>S</w:t>
      </w:r>
      <w:r w:rsidRPr="006943DE">
        <w:rPr>
          <w:rStyle w:val="mop"/>
          <w:rFonts w:eastAsiaTheme="minorEastAsia" w:cstheme="minorHAnsi"/>
          <w:color w:val="0D0D0D"/>
          <w:shd w:val="clear" w:color="auto" w:fill="FFFFFF"/>
        </w:rPr>
        <w:t>uggests that Project A may not be economically viable under the given assumptions.</w:t>
      </w:r>
    </w:p>
    <w:p w14:paraId="21302C7B" w14:textId="08F4EF32" w:rsidR="006943DE" w:rsidRPr="006943DE" w:rsidRDefault="006943DE" w:rsidP="006943DE">
      <w:pPr>
        <w:spacing w:line="360" w:lineRule="auto"/>
        <w:jc w:val="both"/>
        <w:rPr>
          <w:rStyle w:val="mop"/>
          <w:rFonts w:eastAsiaTheme="minorEastAsia" w:cstheme="minorHAnsi"/>
          <w:color w:val="0D0D0D"/>
          <w:shd w:val="clear" w:color="auto" w:fill="FFFFFF"/>
        </w:rPr>
      </w:pPr>
      <w:r w:rsidRPr="006943DE">
        <w:rPr>
          <w:rStyle w:val="mop"/>
          <w:rFonts w:eastAsiaTheme="minorEastAsia" w:cstheme="minorHAnsi"/>
          <w:color w:val="0D0D0D"/>
          <w:shd w:val="clear" w:color="auto" w:fill="FFFFFF"/>
        </w:rPr>
        <w:t>Conversely, Project B demonstrates a positive NPV, indicating that the adjusted cash flows and initial investment are expected to result in returns exceeding the cost of capital. Therefore, Project B appears financially viable and potentially profitable under the given assumptions.</w:t>
      </w:r>
    </w:p>
    <w:p w14:paraId="680A9D3E" w14:textId="77777777" w:rsidR="00883435" w:rsidRPr="00883435" w:rsidRDefault="00883435" w:rsidP="00883435">
      <w:pPr>
        <w:pStyle w:val="ListParagraph"/>
        <w:numPr>
          <w:ilvl w:val="1"/>
          <w:numId w:val="26"/>
        </w:numPr>
        <w:spacing w:line="360" w:lineRule="auto"/>
        <w:jc w:val="both"/>
        <w:rPr>
          <w:rStyle w:val="mop"/>
          <w:rFonts w:eastAsiaTheme="minorEastAsia" w:cstheme="minorHAnsi"/>
          <w:b/>
          <w:bCs/>
          <w:color w:val="0D0D0D"/>
          <w:shd w:val="clear" w:color="auto" w:fill="FFFFFF"/>
        </w:rPr>
      </w:pPr>
      <w:r w:rsidRPr="00883435">
        <w:rPr>
          <w:rStyle w:val="mop"/>
          <w:rFonts w:eastAsiaTheme="minorEastAsia" w:cstheme="minorHAnsi"/>
          <w:b/>
          <w:bCs/>
          <w:color w:val="0D0D0D"/>
          <w:shd w:val="clear" w:color="auto" w:fill="FFFFFF"/>
        </w:rPr>
        <w:t xml:space="preserve">Conclusion </w:t>
      </w:r>
    </w:p>
    <w:p w14:paraId="427A61BD" w14:textId="1AFD0DFF" w:rsidR="00883435" w:rsidRPr="00883435" w:rsidRDefault="006943DE" w:rsidP="00883435">
      <w:pPr>
        <w:spacing w:line="360" w:lineRule="auto"/>
        <w:jc w:val="both"/>
        <w:rPr>
          <w:rStyle w:val="mop"/>
          <w:rFonts w:eastAsiaTheme="minorEastAsia" w:cstheme="minorHAnsi"/>
          <w:b/>
          <w:bCs/>
          <w:color w:val="0D0D0D"/>
          <w:shd w:val="clear" w:color="auto" w:fill="FFFFFF"/>
        </w:rPr>
      </w:pPr>
      <w:r w:rsidRPr="00883435">
        <w:rPr>
          <w:rStyle w:val="mop"/>
          <w:rFonts w:eastAsiaTheme="minorEastAsia" w:cstheme="minorHAnsi"/>
          <w:color w:val="0D0D0D"/>
          <w:shd w:val="clear" w:color="auto" w:fill="FFFFFF"/>
        </w:rPr>
        <w:t>Overall, the adjusted NPV values reflect the impact of changes in initial investments and cash flows on the projects' profitability, providing insights into their feasibility and potential returns relative to the company's cost</w:t>
      </w:r>
      <w:r w:rsidR="00883435">
        <w:rPr>
          <w:rStyle w:val="mop"/>
          <w:rFonts w:eastAsiaTheme="minorEastAsia" w:cstheme="minorHAnsi"/>
          <w:color w:val="0D0D0D"/>
          <w:shd w:val="clear" w:color="auto" w:fill="FFFFFF"/>
        </w:rPr>
        <w:t>.</w:t>
      </w:r>
    </w:p>
    <w:p w14:paraId="6C0468AC" w14:textId="77777777" w:rsidR="00883435" w:rsidRPr="00CA6176" w:rsidRDefault="00883435" w:rsidP="00883435">
      <w:pPr>
        <w:spacing w:line="360" w:lineRule="auto"/>
        <w:jc w:val="both"/>
        <w:rPr>
          <w:rStyle w:val="mop"/>
          <w:rFonts w:eastAsiaTheme="minorEastAsia" w:cstheme="minorHAnsi"/>
          <w:color w:val="0D0D0D"/>
          <w:shd w:val="clear" w:color="auto" w:fill="FFFFFF"/>
        </w:rPr>
      </w:pPr>
      <w:r w:rsidRPr="00CA6176">
        <w:rPr>
          <w:rStyle w:val="mop"/>
          <w:rFonts w:eastAsiaTheme="minorEastAsia" w:cstheme="minorHAnsi"/>
          <w:color w:val="0D0D0D"/>
          <w:shd w:val="clear" w:color="auto" w:fill="FFFFFF"/>
        </w:rPr>
        <w:t>After careful consideration of these metrics and their implications for shareholder value, we recommend investing in Project B. Here's why:</w:t>
      </w:r>
    </w:p>
    <w:p w14:paraId="00308699" w14:textId="77777777" w:rsidR="00883435" w:rsidRPr="00CA6176" w:rsidRDefault="00883435" w:rsidP="00883435">
      <w:pPr>
        <w:spacing w:line="360" w:lineRule="auto"/>
        <w:jc w:val="both"/>
        <w:rPr>
          <w:rStyle w:val="mop"/>
          <w:rFonts w:eastAsiaTheme="minorEastAsia" w:cstheme="minorHAnsi"/>
          <w:color w:val="0D0D0D"/>
          <w:shd w:val="clear" w:color="auto" w:fill="FFFFFF"/>
        </w:rPr>
      </w:pPr>
      <w:r w:rsidRPr="00CA6176">
        <w:rPr>
          <w:rStyle w:val="mop"/>
          <w:rFonts w:eastAsiaTheme="minorEastAsia" w:cstheme="minorHAnsi"/>
          <w:color w:val="0D0D0D"/>
          <w:shd w:val="clear" w:color="auto" w:fill="FFFFFF"/>
        </w:rPr>
        <w:t xml:space="preserve">Faster Return on Investment: Project B demonstrates a significantly shorter payback period, indicating a quicker </w:t>
      </w:r>
      <w:r>
        <w:rPr>
          <w:rStyle w:val="mop"/>
          <w:rFonts w:eastAsiaTheme="minorEastAsia" w:cstheme="minorHAnsi"/>
          <w:color w:val="0D0D0D"/>
          <w:shd w:val="clear" w:color="auto" w:fill="FFFFFF"/>
        </w:rPr>
        <w:t>initial investment recovery than</w:t>
      </w:r>
      <w:r w:rsidRPr="00CA6176">
        <w:rPr>
          <w:rStyle w:val="mop"/>
          <w:rFonts w:eastAsiaTheme="minorEastAsia" w:cstheme="minorHAnsi"/>
          <w:color w:val="0D0D0D"/>
          <w:shd w:val="clear" w:color="auto" w:fill="FFFFFF"/>
        </w:rPr>
        <w:t xml:space="preserve"> Project A. suggests reduced risk and improved liquidity.</w:t>
      </w:r>
    </w:p>
    <w:p w14:paraId="60A855A6" w14:textId="77777777" w:rsidR="00883435" w:rsidRPr="00CA6176" w:rsidRDefault="00883435" w:rsidP="00883435">
      <w:pPr>
        <w:spacing w:line="360" w:lineRule="auto"/>
        <w:jc w:val="both"/>
        <w:rPr>
          <w:rStyle w:val="mop"/>
          <w:rFonts w:eastAsiaTheme="minorEastAsia" w:cstheme="minorHAnsi"/>
          <w:color w:val="0D0D0D"/>
          <w:shd w:val="clear" w:color="auto" w:fill="FFFFFF"/>
        </w:rPr>
      </w:pPr>
      <w:r w:rsidRPr="00CA6176">
        <w:rPr>
          <w:rStyle w:val="mop"/>
          <w:rFonts w:eastAsiaTheme="minorEastAsia" w:cstheme="minorHAnsi"/>
          <w:color w:val="0D0D0D"/>
          <w:shd w:val="clear" w:color="auto" w:fill="FFFFFF"/>
        </w:rPr>
        <w:t>Higher Profitability: With an accounting rate of return of 75.75%, Project B outperforms Project A, showcasing its ability to generate higher profits relative to the initial investment.</w:t>
      </w:r>
    </w:p>
    <w:p w14:paraId="34EAB8BE" w14:textId="77777777" w:rsidR="00883435" w:rsidRPr="00883435" w:rsidRDefault="00883435" w:rsidP="00883435">
      <w:pPr>
        <w:spacing w:line="360" w:lineRule="auto"/>
        <w:jc w:val="both"/>
        <w:rPr>
          <w:rFonts w:eastAsiaTheme="minorEastAsia" w:cstheme="minorHAnsi"/>
          <w:color w:val="0D0D0D"/>
          <w:shd w:val="clear" w:color="auto" w:fill="FFFFFF"/>
        </w:rPr>
      </w:pPr>
      <w:r w:rsidRPr="00CA6176">
        <w:rPr>
          <w:rStyle w:val="mop"/>
          <w:rFonts w:eastAsiaTheme="minorEastAsia" w:cstheme="minorHAnsi"/>
          <w:color w:val="0D0D0D"/>
          <w:shd w:val="clear" w:color="auto" w:fill="FFFFFF"/>
        </w:rPr>
        <w:t>Positive Net Present Value: Project B presents a positive NPV of approximately £1995.73 million, indicating that its expected cash flows exceed the initial investment.</w:t>
      </w:r>
      <w:r>
        <w:rPr>
          <w:rStyle w:val="mop"/>
          <w:rFonts w:eastAsiaTheme="minorEastAsia" w:cstheme="minorHAnsi"/>
          <w:color w:val="0D0D0D"/>
          <w:shd w:val="clear" w:color="auto" w:fill="FFFFFF"/>
        </w:rPr>
        <w:t xml:space="preserve"> </w:t>
      </w:r>
      <w:r w:rsidRPr="00CA6176">
        <w:rPr>
          <w:rStyle w:val="mop"/>
          <w:rFonts w:eastAsiaTheme="minorEastAsia" w:cstheme="minorHAnsi"/>
          <w:color w:val="0D0D0D"/>
          <w:shd w:val="clear" w:color="auto" w:fill="FFFFFF"/>
        </w:rPr>
        <w:t>In summary, Project B emerges as the superior investment choice, offering faster returns, higher profitability, and a positive NPV. We believe allocating resources toward Project B aligns with our goal of maximizing shareholder value and driving sustainable growth.</w:t>
      </w:r>
    </w:p>
    <w:p w14:paraId="39A43EB9" w14:textId="5A9424CF" w:rsidR="0009016F" w:rsidRDefault="00883435" w:rsidP="006943DE">
      <w:pPr>
        <w:spacing w:line="360" w:lineRule="auto"/>
        <w:jc w:val="both"/>
        <w:rPr>
          <w:rStyle w:val="mop"/>
          <w:rFonts w:eastAsiaTheme="minorEastAsia" w:cstheme="minorHAnsi"/>
          <w:color w:val="0D0D0D"/>
          <w:shd w:val="clear" w:color="auto" w:fill="FFFFFF"/>
        </w:rPr>
      </w:pPr>
      <w:r w:rsidRPr="00883435">
        <w:rPr>
          <w:rStyle w:val="mop"/>
          <w:rFonts w:eastAsiaTheme="minorEastAsia" w:cstheme="minorHAnsi"/>
          <w:color w:val="0D0D0D"/>
          <w:shd w:val="clear" w:color="auto" w:fill="FFFFFF"/>
        </w:rPr>
        <w:t xml:space="preserve">The initial investments for each project increase by 10%, and all cash flows fall by 10%. NPV is recalculated accordingly, </w:t>
      </w:r>
      <w:r>
        <w:rPr>
          <w:rStyle w:val="mop"/>
          <w:rFonts w:eastAsiaTheme="minorEastAsia" w:cstheme="minorHAnsi"/>
          <w:color w:val="0D0D0D"/>
          <w:shd w:val="clear" w:color="auto" w:fill="FFFFFF"/>
        </w:rPr>
        <w:t>and appropriate comments are</w:t>
      </w:r>
      <w:r w:rsidRPr="00883435">
        <w:rPr>
          <w:rStyle w:val="mop"/>
          <w:rFonts w:eastAsiaTheme="minorEastAsia" w:cstheme="minorHAnsi"/>
          <w:color w:val="0D0D0D"/>
          <w:shd w:val="clear" w:color="auto" w:fill="FFFFFF"/>
        </w:rPr>
        <w:t xml:space="preserve"> provided.</w:t>
      </w:r>
    </w:p>
    <w:p w14:paraId="4358D89A" w14:textId="77777777" w:rsidR="00883435" w:rsidRDefault="00883435" w:rsidP="006943DE">
      <w:pPr>
        <w:spacing w:line="360" w:lineRule="auto"/>
        <w:jc w:val="both"/>
        <w:rPr>
          <w:rStyle w:val="mop"/>
          <w:rFonts w:eastAsiaTheme="minorEastAsia" w:cstheme="minorHAnsi"/>
          <w:color w:val="0D0D0D"/>
          <w:shd w:val="clear" w:color="auto" w:fill="FFFFFF"/>
        </w:rPr>
      </w:pPr>
    </w:p>
    <w:p w14:paraId="7329D89E" w14:textId="77777777" w:rsidR="00883435" w:rsidRDefault="00883435" w:rsidP="006943DE">
      <w:pPr>
        <w:spacing w:line="360" w:lineRule="auto"/>
        <w:jc w:val="both"/>
        <w:rPr>
          <w:rStyle w:val="mop"/>
          <w:rFonts w:eastAsiaTheme="minorEastAsia" w:cstheme="minorHAnsi"/>
          <w:color w:val="0D0D0D"/>
          <w:shd w:val="clear" w:color="auto" w:fill="FFFFFF"/>
        </w:rPr>
      </w:pPr>
    </w:p>
    <w:p w14:paraId="65FF9625" w14:textId="5FE61CBA" w:rsidR="00883435" w:rsidRPr="00883435" w:rsidRDefault="00883435" w:rsidP="00883435">
      <w:pPr>
        <w:pStyle w:val="ListParagraph"/>
        <w:numPr>
          <w:ilvl w:val="0"/>
          <w:numId w:val="26"/>
        </w:numPr>
        <w:spacing w:line="360" w:lineRule="auto"/>
        <w:jc w:val="both"/>
        <w:rPr>
          <w:rStyle w:val="mop"/>
          <w:rFonts w:cstheme="minorHAnsi"/>
          <w:b/>
          <w:bCs/>
          <w:lang w:val="en-US"/>
        </w:rPr>
      </w:pPr>
      <w:r w:rsidRPr="00883435">
        <w:rPr>
          <w:rFonts w:cstheme="minorHAnsi"/>
          <w:b/>
          <w:bCs/>
          <w:lang w:val="en-US"/>
        </w:rPr>
        <w:lastRenderedPageBreak/>
        <w:t>Critical Analysis of Capital Project Evaluation Techniques: PBP, ARR, and NPV</w:t>
      </w:r>
    </w:p>
    <w:p w14:paraId="5C6D56BB" w14:textId="7304A2D4" w:rsidR="00883435" w:rsidRPr="00883435" w:rsidRDefault="00883435" w:rsidP="00883435">
      <w:pPr>
        <w:spacing w:line="360" w:lineRule="auto"/>
        <w:jc w:val="both"/>
        <w:rPr>
          <w:rStyle w:val="mop"/>
          <w:rFonts w:eastAsiaTheme="minorEastAsia" w:cstheme="minorHAnsi"/>
          <w:color w:val="0D0D0D"/>
          <w:shd w:val="clear" w:color="auto" w:fill="FFFFFF"/>
        </w:rPr>
      </w:pPr>
      <w:r w:rsidRPr="00883435">
        <w:rPr>
          <w:rStyle w:val="mop"/>
          <w:rFonts w:eastAsiaTheme="minorEastAsia" w:cstheme="minorHAnsi"/>
          <w:color w:val="0D0D0D"/>
          <w:shd w:val="clear" w:color="auto" w:fill="FFFFFF"/>
        </w:rPr>
        <w:t xml:space="preserve">A critical discussion of the advantages and shortcomings of the PBP, ARR, and NPV techniques </w:t>
      </w:r>
      <w:r>
        <w:rPr>
          <w:rStyle w:val="mop"/>
          <w:rFonts w:eastAsiaTheme="minorEastAsia" w:cstheme="minorHAnsi"/>
          <w:color w:val="0D0D0D"/>
          <w:shd w:val="clear" w:color="auto" w:fill="FFFFFF"/>
        </w:rPr>
        <w:t>to evaluate</w:t>
      </w:r>
      <w:r w:rsidRPr="00883435">
        <w:rPr>
          <w:rStyle w:val="mop"/>
          <w:rFonts w:eastAsiaTheme="minorEastAsia" w:cstheme="minorHAnsi"/>
          <w:color w:val="0D0D0D"/>
          <w:shd w:val="clear" w:color="auto" w:fill="FFFFFF"/>
        </w:rPr>
        <w:t xml:space="preserve"> capital projects is presented</w:t>
      </w:r>
      <w:r>
        <w:rPr>
          <w:rStyle w:val="mop"/>
          <w:rFonts w:eastAsiaTheme="minorEastAsia" w:cstheme="minorHAnsi"/>
          <w:color w:val="0D0D0D"/>
          <w:shd w:val="clear" w:color="auto" w:fill="FFFFFF"/>
        </w:rPr>
        <w:t xml:space="preserve"> and</w:t>
      </w:r>
      <w:r w:rsidRPr="00883435">
        <w:rPr>
          <w:rStyle w:val="mop"/>
          <w:rFonts w:eastAsiaTheme="minorEastAsia" w:cstheme="minorHAnsi"/>
          <w:color w:val="0D0D0D"/>
          <w:shd w:val="clear" w:color="auto" w:fill="FFFFFF"/>
        </w:rPr>
        <w:t xml:space="preserve"> supported by relevant literature.</w:t>
      </w:r>
    </w:p>
    <w:p w14:paraId="00AD2D00" w14:textId="2A20E1D2" w:rsidR="00883435" w:rsidRPr="00883435" w:rsidRDefault="00883435" w:rsidP="00883435">
      <w:pPr>
        <w:spacing w:line="360" w:lineRule="auto"/>
        <w:jc w:val="both"/>
        <w:rPr>
          <w:rStyle w:val="mop"/>
          <w:rFonts w:eastAsiaTheme="minorEastAsia" w:cstheme="minorHAnsi"/>
          <w:color w:val="0D0D0D"/>
          <w:shd w:val="clear" w:color="auto" w:fill="FFFFFF"/>
        </w:rPr>
      </w:pPr>
      <w:r w:rsidRPr="00883435">
        <w:rPr>
          <w:rStyle w:val="mop"/>
          <w:rFonts w:eastAsiaTheme="minorEastAsia" w:cstheme="minorHAnsi"/>
          <w:color w:val="0D0D0D"/>
          <w:shd w:val="clear" w:color="auto" w:fill="FFFFFF"/>
        </w:rPr>
        <w:t xml:space="preserve">The evaluation of capital projects involves </w:t>
      </w:r>
      <w:r>
        <w:rPr>
          <w:rStyle w:val="mop"/>
          <w:rFonts w:eastAsiaTheme="minorEastAsia" w:cstheme="minorHAnsi"/>
          <w:color w:val="0D0D0D"/>
          <w:shd w:val="clear" w:color="auto" w:fill="FFFFFF"/>
        </w:rPr>
        <w:t>using</w:t>
      </w:r>
      <w:r w:rsidRPr="00883435">
        <w:rPr>
          <w:rStyle w:val="mop"/>
          <w:rFonts w:eastAsiaTheme="minorEastAsia" w:cstheme="minorHAnsi"/>
          <w:color w:val="0D0D0D"/>
          <w:shd w:val="clear" w:color="auto" w:fill="FFFFFF"/>
        </w:rPr>
        <w:t xml:space="preserve"> various financial metrics to determine their feasibility and profitability. In this analysis, we critically examine the advantages and shortcomings of three commonly used techniques: Payback Period (PBP), Accounting Rate of Return (ARR), and Net Present Value (NPV), applied to two mutually exclusive projects—Project A and Project B. </w:t>
      </w:r>
      <w:r>
        <w:rPr>
          <w:rStyle w:val="mop"/>
          <w:rFonts w:eastAsiaTheme="minorEastAsia" w:cstheme="minorHAnsi"/>
          <w:color w:val="0D0D0D"/>
          <w:shd w:val="clear" w:color="auto" w:fill="FFFFFF"/>
        </w:rPr>
        <w:t>Relevant literature sources support these evaluation</w:t>
      </w:r>
      <w:r w:rsidRPr="00883435">
        <w:rPr>
          <w:rStyle w:val="mop"/>
          <w:rFonts w:eastAsiaTheme="minorEastAsia" w:cstheme="minorHAnsi"/>
          <w:color w:val="0D0D0D"/>
          <w:shd w:val="clear" w:color="auto" w:fill="FFFFFF"/>
        </w:rPr>
        <w:t>s.</w:t>
      </w:r>
    </w:p>
    <w:p w14:paraId="44E1889E" w14:textId="798960DC" w:rsidR="00883435" w:rsidRPr="00883435" w:rsidRDefault="00883435" w:rsidP="00883435">
      <w:pPr>
        <w:pStyle w:val="ListParagraph"/>
        <w:numPr>
          <w:ilvl w:val="1"/>
          <w:numId w:val="26"/>
        </w:numPr>
        <w:spacing w:line="360" w:lineRule="auto"/>
        <w:jc w:val="both"/>
        <w:rPr>
          <w:rStyle w:val="mop"/>
          <w:rFonts w:eastAsiaTheme="minorEastAsia" w:cstheme="minorHAnsi"/>
          <w:b/>
          <w:bCs/>
          <w:color w:val="0D0D0D"/>
          <w:shd w:val="clear" w:color="auto" w:fill="FFFFFF"/>
        </w:rPr>
      </w:pPr>
      <w:bookmarkStart w:id="11" w:name="_Hlk164680684"/>
      <w:r w:rsidRPr="00883435">
        <w:rPr>
          <w:rStyle w:val="mop"/>
          <w:rFonts w:eastAsiaTheme="minorEastAsia" w:cstheme="minorHAnsi"/>
          <w:b/>
          <w:bCs/>
          <w:color w:val="0D0D0D"/>
          <w:shd w:val="clear" w:color="auto" w:fill="FFFFFF"/>
        </w:rPr>
        <w:t>Payback Period (PBP)</w:t>
      </w:r>
    </w:p>
    <w:bookmarkEnd w:id="11"/>
    <w:p w14:paraId="707AE8F8" w14:textId="46014C00" w:rsidR="00883435" w:rsidRPr="00883435" w:rsidRDefault="00883435" w:rsidP="00883435">
      <w:pPr>
        <w:spacing w:line="360" w:lineRule="auto"/>
        <w:jc w:val="both"/>
        <w:rPr>
          <w:rStyle w:val="mop"/>
          <w:rFonts w:eastAsiaTheme="minorEastAsia" w:cstheme="minorHAnsi"/>
          <w:color w:val="0D0D0D"/>
          <w:shd w:val="clear" w:color="auto" w:fill="FFFFFF"/>
        </w:rPr>
      </w:pPr>
      <w:r w:rsidRPr="00883435">
        <w:rPr>
          <w:rStyle w:val="mop"/>
          <w:rFonts w:eastAsiaTheme="minorEastAsia" w:cstheme="minorHAnsi"/>
          <w:color w:val="0D0D0D"/>
          <w:shd w:val="clear" w:color="auto" w:fill="FFFFFF"/>
        </w:rPr>
        <w:t xml:space="preserve">PBP is a straightforward metric that indicates the time taken for an investment to recover its initial cost. While PBP </w:t>
      </w:r>
      <w:r>
        <w:rPr>
          <w:rStyle w:val="mop"/>
          <w:rFonts w:eastAsiaTheme="minorEastAsia" w:cstheme="minorHAnsi"/>
          <w:color w:val="0D0D0D"/>
          <w:shd w:val="clear" w:color="auto" w:fill="FFFFFF"/>
        </w:rPr>
        <w:t>clearly indicates</w:t>
      </w:r>
      <w:r w:rsidRPr="00883435">
        <w:rPr>
          <w:rStyle w:val="mop"/>
          <w:rFonts w:eastAsiaTheme="minorEastAsia" w:cstheme="minorHAnsi"/>
          <w:color w:val="0D0D0D"/>
          <w:shd w:val="clear" w:color="auto" w:fill="FFFFFF"/>
        </w:rPr>
        <w:t xml:space="preserve"> liquidity and risk, it has significant limitations. For example, it ignores the time value of money and cash flows beyond the payback period (Atrill &amp; Mclaney, 2018). Despite these limitations, PBP can be useful for projects where short-term liquidity is a primary concern.</w:t>
      </w:r>
    </w:p>
    <w:p w14:paraId="1130C392" w14:textId="4523F068" w:rsidR="00883435" w:rsidRPr="00883435" w:rsidRDefault="00883435" w:rsidP="00883435">
      <w:pPr>
        <w:pStyle w:val="ListParagraph"/>
        <w:numPr>
          <w:ilvl w:val="1"/>
          <w:numId w:val="26"/>
        </w:numPr>
        <w:spacing w:line="360" w:lineRule="auto"/>
        <w:jc w:val="both"/>
        <w:rPr>
          <w:rStyle w:val="mop"/>
          <w:rFonts w:eastAsiaTheme="minorEastAsia" w:cstheme="minorHAnsi"/>
          <w:b/>
          <w:bCs/>
          <w:color w:val="0D0D0D"/>
          <w:shd w:val="clear" w:color="auto" w:fill="FFFFFF"/>
        </w:rPr>
      </w:pPr>
      <w:r w:rsidRPr="00883435">
        <w:rPr>
          <w:rStyle w:val="mop"/>
          <w:rFonts w:eastAsiaTheme="minorEastAsia" w:cstheme="minorHAnsi"/>
          <w:b/>
          <w:bCs/>
          <w:color w:val="0D0D0D"/>
          <w:shd w:val="clear" w:color="auto" w:fill="FFFFFF"/>
        </w:rPr>
        <w:t>Accounting Rate of Return (ARR)</w:t>
      </w:r>
    </w:p>
    <w:p w14:paraId="16558834" w14:textId="7389A348" w:rsidR="00883435" w:rsidRPr="00883435" w:rsidRDefault="00883435" w:rsidP="00883435">
      <w:pPr>
        <w:spacing w:line="360" w:lineRule="auto"/>
        <w:jc w:val="both"/>
        <w:rPr>
          <w:rStyle w:val="mop"/>
          <w:rFonts w:eastAsiaTheme="minorEastAsia" w:cstheme="minorHAnsi"/>
          <w:color w:val="0D0D0D"/>
          <w:shd w:val="clear" w:color="auto" w:fill="FFFFFF"/>
        </w:rPr>
      </w:pPr>
      <w:r w:rsidRPr="00883435">
        <w:rPr>
          <w:rStyle w:val="mop"/>
          <w:rFonts w:eastAsiaTheme="minorEastAsia" w:cstheme="minorHAnsi"/>
          <w:color w:val="0D0D0D"/>
          <w:shd w:val="clear" w:color="auto" w:fill="FFFFFF"/>
        </w:rPr>
        <w:t>ARR measures the average annual accounting profit relative to the initial investment. This metric is easy to calculate and understand, making it accessible to nonfinancial managers. However, ARR does not consider the time value of money and relies heavily on accounting profits, which can be manipulated (Atrill &amp; Mclaney, 2012). Nevertheless, ARR provides insights into the project's profitability from an accounting perspective.</w:t>
      </w:r>
    </w:p>
    <w:p w14:paraId="24CD3EEE" w14:textId="42DD57B8" w:rsidR="00883435" w:rsidRPr="00883435" w:rsidRDefault="00883435" w:rsidP="00883435">
      <w:pPr>
        <w:pStyle w:val="ListParagraph"/>
        <w:numPr>
          <w:ilvl w:val="1"/>
          <w:numId w:val="26"/>
        </w:numPr>
        <w:spacing w:line="360" w:lineRule="auto"/>
        <w:jc w:val="both"/>
        <w:rPr>
          <w:rStyle w:val="mop"/>
          <w:rFonts w:eastAsiaTheme="minorEastAsia" w:cstheme="minorHAnsi"/>
          <w:b/>
          <w:bCs/>
          <w:color w:val="0D0D0D"/>
          <w:shd w:val="clear" w:color="auto" w:fill="FFFFFF"/>
        </w:rPr>
      </w:pPr>
      <w:r w:rsidRPr="00883435">
        <w:rPr>
          <w:rStyle w:val="mop"/>
          <w:rFonts w:eastAsiaTheme="minorEastAsia" w:cstheme="minorHAnsi"/>
          <w:b/>
          <w:bCs/>
          <w:color w:val="0D0D0D"/>
          <w:shd w:val="clear" w:color="auto" w:fill="FFFFFF"/>
        </w:rPr>
        <w:t>Net Present Value (NPV)</w:t>
      </w:r>
    </w:p>
    <w:p w14:paraId="5D169F53" w14:textId="33581BD3" w:rsidR="00883435" w:rsidRPr="00883435" w:rsidRDefault="00883435" w:rsidP="00883435">
      <w:pPr>
        <w:spacing w:line="360" w:lineRule="auto"/>
        <w:jc w:val="both"/>
        <w:rPr>
          <w:rStyle w:val="mop"/>
          <w:rFonts w:eastAsiaTheme="minorEastAsia" w:cstheme="minorHAnsi"/>
          <w:color w:val="0D0D0D"/>
          <w:shd w:val="clear" w:color="auto" w:fill="FFFFFF"/>
        </w:rPr>
      </w:pPr>
      <w:r w:rsidRPr="00883435">
        <w:rPr>
          <w:rStyle w:val="mop"/>
          <w:rFonts w:eastAsiaTheme="minorEastAsia" w:cstheme="minorHAnsi"/>
          <w:color w:val="0D0D0D"/>
          <w:shd w:val="clear" w:color="auto" w:fill="FFFFFF"/>
        </w:rPr>
        <w:t xml:space="preserve">NPV calculates the present value of all cash flows, discounted at the company's cost of capital. It considers the time value of money and provides a comprehensive measure of project profitability (Collis et al., 2017). NPV accounts for all cash flows and allows for comparisons across projects. However, NPV requires </w:t>
      </w:r>
      <w:r>
        <w:rPr>
          <w:rStyle w:val="mop"/>
          <w:rFonts w:eastAsiaTheme="minorEastAsia" w:cstheme="minorHAnsi"/>
          <w:color w:val="0D0D0D"/>
          <w:shd w:val="clear" w:color="auto" w:fill="FFFFFF"/>
        </w:rPr>
        <w:t>estimating</w:t>
      </w:r>
      <w:r w:rsidRPr="00883435">
        <w:rPr>
          <w:rStyle w:val="mop"/>
          <w:rFonts w:eastAsiaTheme="minorEastAsia" w:cstheme="minorHAnsi"/>
          <w:color w:val="0D0D0D"/>
          <w:shd w:val="clear" w:color="auto" w:fill="FFFFFF"/>
        </w:rPr>
        <w:t xml:space="preserve"> discount rates and cash flows, which can be complex and subject to assumptions.</w:t>
      </w:r>
    </w:p>
    <w:p w14:paraId="21976457" w14:textId="2972620E" w:rsidR="00883435" w:rsidRPr="00883435" w:rsidRDefault="00883435" w:rsidP="00883435">
      <w:pPr>
        <w:pStyle w:val="ListParagraph"/>
        <w:numPr>
          <w:ilvl w:val="1"/>
          <w:numId w:val="26"/>
        </w:numPr>
        <w:spacing w:line="360" w:lineRule="auto"/>
        <w:jc w:val="both"/>
        <w:rPr>
          <w:rStyle w:val="mop"/>
          <w:rFonts w:eastAsiaTheme="minorEastAsia" w:cstheme="minorHAnsi"/>
          <w:b/>
          <w:bCs/>
          <w:color w:val="0D0D0D"/>
          <w:shd w:val="clear" w:color="auto" w:fill="FFFFFF"/>
        </w:rPr>
      </w:pPr>
      <w:r w:rsidRPr="00883435">
        <w:rPr>
          <w:rStyle w:val="mop"/>
          <w:rFonts w:eastAsiaTheme="minorEastAsia" w:cstheme="minorHAnsi"/>
          <w:b/>
          <w:bCs/>
          <w:color w:val="0D0D0D"/>
          <w:shd w:val="clear" w:color="auto" w:fill="FFFFFF"/>
        </w:rPr>
        <w:t>Comparison of Project A and Project B</w:t>
      </w:r>
    </w:p>
    <w:p w14:paraId="47F12CA8" w14:textId="77777777" w:rsidR="00883435" w:rsidRPr="00883435" w:rsidRDefault="00883435" w:rsidP="00883435">
      <w:pPr>
        <w:spacing w:line="360" w:lineRule="auto"/>
        <w:jc w:val="both"/>
        <w:rPr>
          <w:rStyle w:val="mop"/>
          <w:rFonts w:eastAsiaTheme="minorEastAsia" w:cstheme="minorHAnsi"/>
          <w:color w:val="0D0D0D"/>
          <w:shd w:val="clear" w:color="auto" w:fill="FFFFFF"/>
        </w:rPr>
      </w:pPr>
      <w:r w:rsidRPr="00883435">
        <w:rPr>
          <w:rStyle w:val="mop"/>
          <w:rFonts w:eastAsiaTheme="minorEastAsia" w:cstheme="minorHAnsi"/>
          <w:color w:val="0D0D0D"/>
          <w:shd w:val="clear" w:color="auto" w:fill="FFFFFF"/>
        </w:rPr>
        <w:t>Payback Period: Project B has a shorter payback period of 1 year compared to Project A's 3.5 years. However, PBP does not consider the time value of money.</w:t>
      </w:r>
    </w:p>
    <w:p w14:paraId="0A4AF4B6" w14:textId="77777777" w:rsidR="00883435" w:rsidRPr="00883435" w:rsidRDefault="00883435" w:rsidP="00883435">
      <w:pPr>
        <w:spacing w:line="360" w:lineRule="auto"/>
        <w:jc w:val="both"/>
        <w:rPr>
          <w:rStyle w:val="mop"/>
          <w:rFonts w:eastAsiaTheme="minorEastAsia" w:cstheme="minorHAnsi"/>
          <w:color w:val="0D0D0D"/>
          <w:shd w:val="clear" w:color="auto" w:fill="FFFFFF"/>
        </w:rPr>
      </w:pPr>
      <w:r w:rsidRPr="00883435">
        <w:rPr>
          <w:rStyle w:val="mop"/>
          <w:rFonts w:eastAsiaTheme="minorEastAsia" w:cstheme="minorHAnsi"/>
          <w:color w:val="0D0D0D"/>
          <w:shd w:val="clear" w:color="auto" w:fill="FFFFFF"/>
        </w:rPr>
        <w:lastRenderedPageBreak/>
        <w:t>Accounting Rate of Return: Project B has a higher ARR of approximately 75.75% compared to Project A's 30.29%. However, ARR does not consider the time value of money or the project's duration.</w:t>
      </w:r>
    </w:p>
    <w:p w14:paraId="789AAF1F" w14:textId="77777777" w:rsidR="00883435" w:rsidRPr="00883435" w:rsidRDefault="00883435" w:rsidP="00883435">
      <w:pPr>
        <w:spacing w:line="360" w:lineRule="auto"/>
        <w:jc w:val="both"/>
        <w:rPr>
          <w:rStyle w:val="mop"/>
          <w:rFonts w:eastAsiaTheme="minorEastAsia" w:cstheme="minorHAnsi"/>
          <w:color w:val="0D0D0D"/>
          <w:shd w:val="clear" w:color="auto" w:fill="FFFFFF"/>
        </w:rPr>
      </w:pPr>
      <w:r w:rsidRPr="00883435">
        <w:rPr>
          <w:rStyle w:val="mop"/>
          <w:rFonts w:eastAsiaTheme="minorEastAsia" w:cstheme="minorHAnsi"/>
          <w:color w:val="0D0D0D"/>
          <w:shd w:val="clear" w:color="auto" w:fill="FFFFFF"/>
        </w:rPr>
        <w:t>Net Present Value: Project A has a negative NPV of £5.62 million, while Project B has a positive NPV of £1995.73 million. NPV accounts for the time value of money and provides a clearer picture of project profitability.</w:t>
      </w:r>
    </w:p>
    <w:p w14:paraId="06584BA3" w14:textId="3B313BC6" w:rsidR="00883435" w:rsidRPr="00883435" w:rsidRDefault="00883435" w:rsidP="00883435">
      <w:pPr>
        <w:pStyle w:val="ListParagraph"/>
        <w:numPr>
          <w:ilvl w:val="1"/>
          <w:numId w:val="26"/>
        </w:numPr>
        <w:spacing w:line="360" w:lineRule="auto"/>
        <w:jc w:val="both"/>
        <w:rPr>
          <w:rStyle w:val="mop"/>
          <w:rFonts w:eastAsiaTheme="minorEastAsia" w:cstheme="minorHAnsi"/>
          <w:b/>
          <w:bCs/>
          <w:color w:val="0D0D0D"/>
          <w:shd w:val="clear" w:color="auto" w:fill="FFFFFF"/>
        </w:rPr>
      </w:pPr>
      <w:r w:rsidRPr="00883435">
        <w:rPr>
          <w:rStyle w:val="mop"/>
          <w:rFonts w:eastAsiaTheme="minorEastAsia" w:cstheme="minorHAnsi"/>
          <w:b/>
          <w:bCs/>
          <w:color w:val="0D0D0D"/>
          <w:shd w:val="clear" w:color="auto" w:fill="FFFFFF"/>
        </w:rPr>
        <w:t>Conclusion</w:t>
      </w:r>
    </w:p>
    <w:p w14:paraId="5EB1BB9F" w14:textId="775F4D17" w:rsidR="00883435" w:rsidRPr="0009016F" w:rsidRDefault="00883435" w:rsidP="006943DE">
      <w:pPr>
        <w:spacing w:line="360" w:lineRule="auto"/>
        <w:jc w:val="both"/>
        <w:rPr>
          <w:rStyle w:val="mop"/>
          <w:rFonts w:eastAsiaTheme="minorEastAsia" w:cstheme="minorHAnsi"/>
          <w:color w:val="0D0D0D"/>
          <w:shd w:val="clear" w:color="auto" w:fill="FFFFFF"/>
        </w:rPr>
      </w:pPr>
      <w:r w:rsidRPr="00883435">
        <w:rPr>
          <w:rStyle w:val="mop"/>
          <w:rFonts w:eastAsiaTheme="minorEastAsia" w:cstheme="minorHAnsi"/>
          <w:color w:val="0D0D0D"/>
          <w:shd w:val="clear" w:color="auto" w:fill="FFFFFF"/>
        </w:rPr>
        <w:t>While each evaluation technique has advantages and shortcomings, NPV remains the most comprehensive metric for evaluating capital projects. Despite Project A</w:t>
      </w:r>
      <w:r>
        <w:rPr>
          <w:rStyle w:val="mop"/>
          <w:rFonts w:eastAsiaTheme="minorEastAsia" w:cstheme="minorHAnsi"/>
          <w:color w:val="0D0D0D"/>
          <w:shd w:val="clear" w:color="auto" w:fill="FFFFFF"/>
        </w:rPr>
        <w:t>'s shorter payback period and Project B's</w:t>
      </w:r>
      <w:r w:rsidRPr="00883435">
        <w:rPr>
          <w:rStyle w:val="mop"/>
          <w:rFonts w:eastAsiaTheme="minorEastAsia" w:cstheme="minorHAnsi"/>
          <w:color w:val="0D0D0D"/>
          <w:shd w:val="clear" w:color="auto" w:fill="FFFFFF"/>
        </w:rPr>
        <w:t xml:space="preserve"> higher ARR, NPV indicates that Project B is the superior investment option due to its positive NPV. This analysis highlights the importance of considering the time value of money and all cash flows when evaluating investment opportunities.</w:t>
      </w:r>
    </w:p>
    <w:p w14:paraId="335D678E" w14:textId="6B3575CC" w:rsidR="00883435" w:rsidRPr="00883435" w:rsidRDefault="00883435" w:rsidP="00883435">
      <w:pPr>
        <w:pStyle w:val="ListParagraph"/>
        <w:numPr>
          <w:ilvl w:val="0"/>
          <w:numId w:val="26"/>
        </w:numPr>
        <w:spacing w:line="360" w:lineRule="auto"/>
        <w:jc w:val="both"/>
        <w:rPr>
          <w:rFonts w:cstheme="minorHAnsi"/>
          <w:b/>
          <w:bCs/>
          <w:lang w:val="en-US"/>
        </w:rPr>
      </w:pPr>
      <w:r w:rsidRPr="00883435">
        <w:rPr>
          <w:b/>
          <w:bCs/>
        </w:rPr>
        <w:t>Discu</w:t>
      </w:r>
      <w:r>
        <w:rPr>
          <w:b/>
          <w:bCs/>
        </w:rPr>
        <w:t>s</w:t>
      </w:r>
      <w:r w:rsidRPr="00883435">
        <w:rPr>
          <w:b/>
          <w:bCs/>
        </w:rPr>
        <w:t>s</w:t>
      </w:r>
      <w:r>
        <w:rPr>
          <w:b/>
          <w:bCs/>
        </w:rPr>
        <w:t>ing</w:t>
      </w:r>
      <w:r w:rsidRPr="00883435">
        <w:rPr>
          <w:b/>
          <w:bCs/>
        </w:rPr>
        <w:t xml:space="preserve"> nonfinancial factors management needs to consider</w:t>
      </w:r>
    </w:p>
    <w:p w14:paraId="40BDFC8C" w14:textId="213B4FFD" w:rsidR="0009016F" w:rsidRPr="00883435" w:rsidRDefault="00883435" w:rsidP="00883435">
      <w:pPr>
        <w:spacing w:line="360" w:lineRule="auto"/>
        <w:jc w:val="both"/>
        <w:rPr>
          <w:rStyle w:val="mop"/>
          <w:rFonts w:eastAsiaTheme="minorEastAsia" w:cstheme="minorHAnsi"/>
          <w:color w:val="0D0D0D"/>
          <w:shd w:val="clear" w:color="auto" w:fill="FFFFFF"/>
        </w:rPr>
      </w:pPr>
      <w:r w:rsidRPr="00883435">
        <w:rPr>
          <w:rStyle w:val="mop"/>
          <w:rFonts w:eastAsiaTheme="minorEastAsia" w:cstheme="minorHAnsi"/>
          <w:color w:val="0D0D0D"/>
          <w:shd w:val="clear" w:color="auto" w:fill="FFFFFF"/>
        </w:rPr>
        <w:t xml:space="preserve">Nonfinancial factors </w:t>
      </w:r>
      <w:r>
        <w:rPr>
          <w:rStyle w:val="mop"/>
          <w:rFonts w:eastAsiaTheme="minorEastAsia" w:cstheme="minorHAnsi"/>
          <w:color w:val="0D0D0D"/>
          <w:shd w:val="clear" w:color="auto" w:fill="FFFFFF"/>
        </w:rPr>
        <w:t>and financial metrics play a crucial role in project evaluation and decision-making</w:t>
      </w:r>
      <w:r w:rsidRPr="00883435">
        <w:rPr>
          <w:rStyle w:val="mop"/>
          <w:rFonts w:eastAsiaTheme="minorEastAsia" w:cstheme="minorHAnsi"/>
          <w:color w:val="0D0D0D"/>
          <w:shd w:val="clear" w:color="auto" w:fill="FFFFFF"/>
        </w:rPr>
        <w:t>. Here, we discuss several nonfinancial factors that management needs to consider when evaluating capital projects, drawing insights from relevant literature.</w:t>
      </w:r>
      <w:r>
        <w:rPr>
          <w:rStyle w:val="mop"/>
          <w:rFonts w:eastAsiaTheme="minorEastAsia" w:cstheme="minorHAnsi"/>
          <w:color w:val="0D0D0D"/>
          <w:shd w:val="clear" w:color="auto" w:fill="FFFFFF"/>
        </w:rPr>
        <w:t xml:space="preserve"> </w:t>
      </w:r>
      <w:r w:rsidRPr="00883435">
        <w:rPr>
          <w:rStyle w:val="mop"/>
          <w:rFonts w:eastAsiaTheme="minorEastAsia" w:cstheme="minorHAnsi"/>
          <w:color w:val="0D0D0D"/>
          <w:shd w:val="clear" w:color="auto" w:fill="FFFFFF"/>
        </w:rPr>
        <w:t>Projects should align with the organization's strategic objectives and long-term goals (Fields, 2016).</w:t>
      </w:r>
      <w:r>
        <w:rPr>
          <w:rStyle w:val="mop"/>
          <w:rFonts w:eastAsiaTheme="minorEastAsia" w:cstheme="minorHAnsi"/>
          <w:color w:val="0D0D0D"/>
          <w:shd w:val="clear" w:color="auto" w:fill="FFFFFF"/>
        </w:rPr>
        <w:t xml:space="preserve"> </w:t>
      </w:r>
      <w:r w:rsidRPr="00883435">
        <w:rPr>
          <w:rStyle w:val="mop"/>
          <w:rFonts w:eastAsiaTheme="minorEastAsia" w:cstheme="minorHAnsi"/>
          <w:color w:val="0D0D0D"/>
          <w:shd w:val="clear" w:color="auto" w:fill="FFFFFF"/>
        </w:rPr>
        <w:t>Strategic fit ensures that projects contribute to the company's growth, competitiveness, and sustainability (Atrill &amp; Mclaney, 2018).</w:t>
      </w:r>
      <w:r>
        <w:rPr>
          <w:rStyle w:val="mop"/>
          <w:rFonts w:eastAsiaTheme="minorEastAsia" w:cstheme="minorHAnsi"/>
          <w:color w:val="0D0D0D"/>
          <w:shd w:val="clear" w:color="auto" w:fill="FFFFFF"/>
        </w:rPr>
        <w:t xml:space="preserve"> </w:t>
      </w:r>
      <w:r w:rsidRPr="00883435">
        <w:rPr>
          <w:rStyle w:val="mop"/>
          <w:rFonts w:eastAsiaTheme="minorEastAsia" w:cstheme="minorHAnsi"/>
          <w:color w:val="0D0D0D"/>
          <w:shd w:val="clear" w:color="auto" w:fill="FFFFFF"/>
        </w:rPr>
        <w:t>Management should assess the risks associated with each project, including operational, market, and regulatory risks (Marsh, 2012).</w:t>
      </w:r>
      <w:r>
        <w:rPr>
          <w:rStyle w:val="mop"/>
          <w:rFonts w:eastAsiaTheme="minorEastAsia" w:cstheme="minorHAnsi"/>
          <w:color w:val="0D0D0D"/>
          <w:shd w:val="clear" w:color="auto" w:fill="FFFFFF"/>
        </w:rPr>
        <w:t xml:space="preserve"> </w:t>
      </w:r>
      <w:r w:rsidRPr="00883435">
        <w:rPr>
          <w:rStyle w:val="mop"/>
          <w:rFonts w:eastAsiaTheme="minorEastAsia" w:cstheme="minorHAnsi"/>
          <w:color w:val="0D0D0D"/>
          <w:shd w:val="clear" w:color="auto" w:fill="FFFFFF"/>
        </w:rPr>
        <w:t>Understanding and mitigating risks are crucial for safeguarding the company's assets and reputation (Collis et al., 2017).</w:t>
      </w:r>
      <w:r>
        <w:rPr>
          <w:rStyle w:val="mop"/>
          <w:rFonts w:eastAsiaTheme="minorEastAsia" w:cstheme="minorHAnsi"/>
          <w:color w:val="0D0D0D"/>
          <w:shd w:val="clear" w:color="auto" w:fill="FFFFFF"/>
        </w:rPr>
        <w:t xml:space="preserve"> </w:t>
      </w:r>
      <w:r w:rsidRPr="00883435">
        <w:rPr>
          <w:rStyle w:val="mop"/>
          <w:rFonts w:eastAsiaTheme="minorEastAsia" w:cstheme="minorHAnsi"/>
          <w:color w:val="0D0D0D"/>
          <w:shd w:val="clear" w:color="auto" w:fill="FFFFFF"/>
        </w:rPr>
        <w:t>Companies are increasingly expected to consider the environmental impact of their projects (Dyllick &amp; Hockerts, 2002).</w:t>
      </w:r>
      <w:r>
        <w:rPr>
          <w:rStyle w:val="mop"/>
          <w:rFonts w:eastAsiaTheme="minorEastAsia" w:cstheme="minorHAnsi"/>
          <w:color w:val="0D0D0D"/>
          <w:shd w:val="clear" w:color="auto" w:fill="FFFFFF"/>
        </w:rPr>
        <w:t xml:space="preserve"> </w:t>
      </w:r>
      <w:r w:rsidRPr="00883435">
        <w:rPr>
          <w:rStyle w:val="mop"/>
          <w:rFonts w:eastAsiaTheme="minorEastAsia" w:cstheme="minorHAnsi"/>
          <w:color w:val="0D0D0D"/>
          <w:shd w:val="clear" w:color="auto" w:fill="FFFFFF"/>
        </w:rPr>
        <w:t>E</w:t>
      </w:r>
      <w:r>
        <w:rPr>
          <w:rStyle w:val="mop"/>
          <w:rFonts w:eastAsiaTheme="minorEastAsia" w:cstheme="minorHAnsi"/>
          <w:color w:val="0D0D0D"/>
          <w:shd w:val="clear" w:color="auto" w:fill="FFFFFF"/>
        </w:rPr>
        <w:t>cologic</w:t>
      </w:r>
      <w:r w:rsidRPr="00883435">
        <w:rPr>
          <w:rStyle w:val="mop"/>
          <w:rFonts w:eastAsiaTheme="minorEastAsia" w:cstheme="minorHAnsi"/>
          <w:color w:val="0D0D0D"/>
          <w:shd w:val="clear" w:color="auto" w:fill="FFFFFF"/>
        </w:rPr>
        <w:t xml:space="preserve">al sustainability is </w:t>
      </w:r>
      <w:r>
        <w:rPr>
          <w:rStyle w:val="mop"/>
          <w:rFonts w:eastAsiaTheme="minorEastAsia" w:cstheme="minorHAnsi"/>
          <w:color w:val="0D0D0D"/>
          <w:shd w:val="clear" w:color="auto" w:fill="FFFFFF"/>
        </w:rPr>
        <w:t>a legal requirement and</w:t>
      </w:r>
      <w:r w:rsidRPr="00883435">
        <w:rPr>
          <w:rStyle w:val="mop"/>
          <w:rFonts w:eastAsiaTheme="minorEastAsia" w:cstheme="minorHAnsi"/>
          <w:color w:val="0D0D0D"/>
          <w:shd w:val="clear" w:color="auto" w:fill="FFFFFF"/>
        </w:rPr>
        <w:t xml:space="preserve"> a</w:t>
      </w:r>
      <w:r>
        <w:rPr>
          <w:rStyle w:val="mop"/>
          <w:rFonts w:eastAsiaTheme="minorEastAsia" w:cstheme="minorHAnsi"/>
          <w:color w:val="0D0D0D"/>
          <w:shd w:val="clear" w:color="auto" w:fill="FFFFFF"/>
        </w:rPr>
        <w:t>n essential</w:t>
      </w:r>
      <w:r w:rsidRPr="00883435">
        <w:rPr>
          <w:rStyle w:val="mop"/>
          <w:rFonts w:eastAsiaTheme="minorEastAsia" w:cstheme="minorHAnsi"/>
          <w:color w:val="0D0D0D"/>
          <w:shd w:val="clear" w:color="auto" w:fill="FFFFFF"/>
        </w:rPr>
        <w:t xml:space="preserve"> aspect of corporate social responsibility (CSR) and stakeholder management (Fields, 2016).</w:t>
      </w:r>
      <w:r>
        <w:rPr>
          <w:rStyle w:val="mop"/>
          <w:rFonts w:eastAsiaTheme="minorEastAsia" w:cstheme="minorHAnsi"/>
          <w:color w:val="0D0D0D"/>
          <w:shd w:val="clear" w:color="auto" w:fill="FFFFFF"/>
        </w:rPr>
        <w:t xml:space="preserve"> </w:t>
      </w:r>
      <w:r w:rsidRPr="00883435">
        <w:rPr>
          <w:rStyle w:val="mop"/>
          <w:rFonts w:eastAsiaTheme="minorEastAsia" w:cstheme="minorHAnsi"/>
          <w:color w:val="0D0D0D"/>
          <w:shd w:val="clear" w:color="auto" w:fill="FFFFFF"/>
        </w:rPr>
        <w:t>Projects should adhere to ethical standards and promote social welfare (Atrill &amp; Mclaney, 2012).</w:t>
      </w:r>
      <w:r>
        <w:rPr>
          <w:rStyle w:val="mop"/>
          <w:rFonts w:eastAsiaTheme="minorEastAsia" w:cstheme="minorHAnsi"/>
          <w:color w:val="0D0D0D"/>
          <w:shd w:val="clear" w:color="auto" w:fill="FFFFFF"/>
        </w:rPr>
        <w:t xml:space="preserve"> </w:t>
      </w:r>
      <w:r w:rsidRPr="00883435">
        <w:rPr>
          <w:rStyle w:val="mop"/>
          <w:rFonts w:eastAsiaTheme="minorEastAsia" w:cstheme="minorHAnsi"/>
          <w:color w:val="0D0D0D"/>
          <w:shd w:val="clear" w:color="auto" w:fill="FFFFFF"/>
        </w:rPr>
        <w:t>Socially responsible projects enhance the company's reputation and brand value, fostering customer loyalty and trust (Atrill &amp; Mclaney, 2018)</w:t>
      </w:r>
      <w:r>
        <w:rPr>
          <w:rStyle w:val="mop"/>
          <w:rFonts w:eastAsiaTheme="minorEastAsia" w:cstheme="minorHAnsi"/>
          <w:color w:val="0D0D0D"/>
          <w:shd w:val="clear" w:color="auto" w:fill="FFFFFF"/>
        </w:rPr>
        <w:t xml:space="preserve">. </w:t>
      </w:r>
      <w:r w:rsidRPr="00883435">
        <w:rPr>
          <w:rStyle w:val="mop"/>
          <w:rFonts w:eastAsiaTheme="minorEastAsia" w:cstheme="minorHAnsi"/>
          <w:color w:val="0D0D0D"/>
          <w:shd w:val="clear" w:color="auto" w:fill="FFFFFF"/>
        </w:rPr>
        <w:t>Compliance with regulations and legal requirements is essential for avoiding penalties and lawsuits (Collis et al., 2017).</w:t>
      </w:r>
      <w:r>
        <w:rPr>
          <w:rStyle w:val="mop"/>
          <w:rFonts w:eastAsiaTheme="minorEastAsia" w:cstheme="minorHAnsi"/>
          <w:color w:val="0D0D0D"/>
          <w:shd w:val="clear" w:color="auto" w:fill="FFFFFF"/>
        </w:rPr>
        <w:t xml:space="preserve"> </w:t>
      </w:r>
      <w:r w:rsidRPr="00883435">
        <w:rPr>
          <w:rStyle w:val="mop"/>
          <w:rFonts w:eastAsiaTheme="minorEastAsia" w:cstheme="minorHAnsi"/>
          <w:color w:val="0D0D0D"/>
          <w:shd w:val="clear" w:color="auto" w:fill="FFFFFF"/>
        </w:rPr>
        <w:t>Projects should adhere to industry-specific regulations, such as those governing pharmaceuticals (Daemmrich, 2010)</w:t>
      </w:r>
      <w:r>
        <w:rPr>
          <w:rStyle w:val="mop"/>
          <w:rFonts w:eastAsiaTheme="minorEastAsia" w:cstheme="minorHAnsi"/>
          <w:color w:val="0D0D0D"/>
          <w:shd w:val="clear" w:color="auto" w:fill="FFFFFF"/>
        </w:rPr>
        <w:t xml:space="preserve">. </w:t>
      </w:r>
      <w:r w:rsidRPr="00883435">
        <w:rPr>
          <w:rStyle w:val="mop"/>
          <w:rFonts w:eastAsiaTheme="minorEastAsia" w:cstheme="minorHAnsi"/>
          <w:color w:val="0D0D0D"/>
          <w:shd w:val="clear" w:color="auto" w:fill="FFFFFF"/>
        </w:rPr>
        <w:t>Engaging with stakeholders, including employees, customers, and investors, is critical for project success (Fields, 2016).</w:t>
      </w:r>
      <w:r>
        <w:rPr>
          <w:rStyle w:val="mop"/>
          <w:rFonts w:eastAsiaTheme="minorEastAsia" w:cstheme="minorHAnsi"/>
          <w:color w:val="0D0D0D"/>
          <w:shd w:val="clear" w:color="auto" w:fill="FFFFFF"/>
        </w:rPr>
        <w:t xml:space="preserve"> </w:t>
      </w:r>
      <w:r w:rsidRPr="00883435">
        <w:rPr>
          <w:rStyle w:val="mop"/>
          <w:rFonts w:eastAsiaTheme="minorEastAsia" w:cstheme="minorHAnsi"/>
          <w:color w:val="0D0D0D"/>
          <w:shd w:val="clear" w:color="auto" w:fill="FFFFFF"/>
        </w:rPr>
        <w:t>Understanding stakeholder expectations and addressing concerns can mitigate resistance and improve project acceptance (Marsh, 2012)</w:t>
      </w:r>
      <w:r>
        <w:rPr>
          <w:rStyle w:val="mop"/>
          <w:rFonts w:eastAsiaTheme="minorEastAsia" w:cstheme="minorHAnsi"/>
          <w:color w:val="0D0D0D"/>
          <w:shd w:val="clear" w:color="auto" w:fill="FFFFFF"/>
        </w:rPr>
        <w:t xml:space="preserve">. </w:t>
      </w:r>
      <w:r w:rsidRPr="00883435">
        <w:rPr>
          <w:rStyle w:val="mop"/>
          <w:rFonts w:eastAsiaTheme="minorEastAsia" w:cstheme="minorHAnsi"/>
          <w:color w:val="0D0D0D"/>
          <w:shd w:val="clear" w:color="auto" w:fill="FFFFFF"/>
        </w:rPr>
        <w:t>Advances in technology can impact project feasibility and competitiveness (Collis et al., 2017).</w:t>
      </w:r>
      <w:r>
        <w:rPr>
          <w:rStyle w:val="mop"/>
          <w:rFonts w:eastAsiaTheme="minorEastAsia" w:cstheme="minorHAnsi"/>
          <w:color w:val="0D0D0D"/>
          <w:shd w:val="clear" w:color="auto" w:fill="FFFFFF"/>
        </w:rPr>
        <w:t xml:space="preserve"> </w:t>
      </w:r>
      <w:r w:rsidRPr="00883435">
        <w:rPr>
          <w:rStyle w:val="mop"/>
          <w:rFonts w:eastAsiaTheme="minorEastAsia" w:cstheme="minorHAnsi"/>
          <w:color w:val="0D0D0D"/>
          <w:shd w:val="clear" w:color="auto" w:fill="FFFFFF"/>
        </w:rPr>
        <w:lastRenderedPageBreak/>
        <w:t>Projects should leverage appropriate technologies to enhance efficiency, productivity, and innovation (Atrill &amp; Mclaney, 2018</w:t>
      </w:r>
      <w:r>
        <w:rPr>
          <w:rStyle w:val="mop"/>
          <w:rFonts w:eastAsiaTheme="minorEastAsia" w:cstheme="minorHAnsi"/>
          <w:color w:val="0D0D0D"/>
          <w:shd w:val="clear" w:color="auto" w:fill="FFFFFF"/>
        </w:rPr>
        <w:t xml:space="preserve"> </w:t>
      </w:r>
      <w:r w:rsidRPr="00883435">
        <w:rPr>
          <w:rStyle w:val="mop"/>
          <w:rFonts w:eastAsiaTheme="minorEastAsia" w:cstheme="minorHAnsi"/>
          <w:color w:val="0D0D0D"/>
          <w:shd w:val="clear" w:color="auto" w:fill="FFFFFF"/>
        </w:rPr>
        <w:t>Market conditions, such as demand trends, competition, and industry dynamics, should be analyzed (Fields, 2016).</w:t>
      </w:r>
      <w:r>
        <w:rPr>
          <w:rStyle w:val="mop"/>
          <w:rFonts w:eastAsiaTheme="minorEastAsia" w:cstheme="minorHAnsi"/>
          <w:color w:val="0D0D0D"/>
          <w:shd w:val="clear" w:color="auto" w:fill="FFFFFF"/>
        </w:rPr>
        <w:t xml:space="preserve"> </w:t>
      </w:r>
      <w:r w:rsidRPr="00883435">
        <w:rPr>
          <w:rStyle w:val="mop"/>
          <w:rFonts w:eastAsiaTheme="minorEastAsia" w:cstheme="minorHAnsi"/>
          <w:color w:val="0D0D0D"/>
          <w:shd w:val="clear" w:color="auto" w:fill="FFFFFF"/>
        </w:rPr>
        <w:t>Projects should address market needs and capitalize on emerging opportunities while mitigating threats (Marsh, 2012)</w:t>
      </w:r>
      <w:r>
        <w:rPr>
          <w:rStyle w:val="mop"/>
          <w:rFonts w:eastAsiaTheme="minorEastAsia" w:cstheme="minorHAnsi"/>
          <w:color w:val="0D0D0D"/>
          <w:shd w:val="clear" w:color="auto" w:fill="FFFFFF"/>
        </w:rPr>
        <w:t xml:space="preserve">. </w:t>
      </w:r>
      <w:r w:rsidRPr="00883435">
        <w:rPr>
          <w:rStyle w:val="mop"/>
          <w:rFonts w:eastAsiaTheme="minorEastAsia" w:cstheme="minorHAnsi"/>
          <w:color w:val="0D0D0D"/>
          <w:shd w:val="clear" w:color="auto" w:fill="FFFFFF"/>
        </w:rPr>
        <w:t>Management should assess whether the organization has the necessary skills and expertise to execute the project (Collis et al., 2017).</w:t>
      </w:r>
      <w:r>
        <w:rPr>
          <w:rStyle w:val="mop"/>
          <w:rFonts w:eastAsiaTheme="minorEastAsia" w:cstheme="minorHAnsi"/>
          <w:color w:val="0D0D0D"/>
          <w:shd w:val="clear" w:color="auto" w:fill="FFFFFF"/>
        </w:rPr>
        <w:t xml:space="preserve"> </w:t>
      </w:r>
      <w:r w:rsidRPr="00883435">
        <w:rPr>
          <w:rStyle w:val="mop"/>
          <w:rFonts w:eastAsiaTheme="minorEastAsia" w:cstheme="minorHAnsi"/>
          <w:color w:val="0D0D0D"/>
          <w:shd w:val="clear" w:color="auto" w:fill="FFFFFF"/>
        </w:rPr>
        <w:t>Training programs may be required to enhance employee capabilities and adapt to new project requirements (Fields, 2016).</w:t>
      </w:r>
      <w:r>
        <w:rPr>
          <w:rStyle w:val="mop"/>
          <w:rFonts w:eastAsiaTheme="minorEastAsia" w:cstheme="minorHAnsi"/>
          <w:color w:val="0D0D0D"/>
          <w:shd w:val="clear" w:color="auto" w:fill="FFFFFF"/>
        </w:rPr>
        <w:t xml:space="preserve"> </w:t>
      </w:r>
      <w:r w:rsidRPr="00883435">
        <w:rPr>
          <w:rStyle w:val="mop"/>
          <w:rFonts w:eastAsiaTheme="minorEastAsia" w:cstheme="minorHAnsi"/>
          <w:color w:val="0D0D0D"/>
          <w:shd w:val="clear" w:color="auto" w:fill="FFFFFF"/>
        </w:rPr>
        <w:t>Cultural factors, both internal and external, can influence project outcomes (Atrill &amp; Mclaney, 2012).</w:t>
      </w:r>
      <w:r>
        <w:rPr>
          <w:rStyle w:val="mop"/>
          <w:rFonts w:eastAsiaTheme="minorEastAsia" w:cstheme="minorHAnsi"/>
          <w:color w:val="0D0D0D"/>
          <w:shd w:val="clear" w:color="auto" w:fill="FFFFFF"/>
        </w:rPr>
        <w:t xml:space="preserve"> </w:t>
      </w:r>
      <w:r w:rsidRPr="00883435">
        <w:rPr>
          <w:rStyle w:val="mop"/>
          <w:rFonts w:eastAsiaTheme="minorEastAsia" w:cstheme="minorHAnsi"/>
          <w:color w:val="0D0D0D"/>
          <w:shd w:val="clear" w:color="auto" w:fill="FFFFFF"/>
        </w:rPr>
        <w:t>Projects should respect cultural diversity and adapt strategies to ensure acceptance and success (Marsh, 2012).</w:t>
      </w:r>
      <w:r>
        <w:rPr>
          <w:rStyle w:val="mop"/>
          <w:rFonts w:eastAsiaTheme="minorEastAsia" w:cstheme="minorHAnsi"/>
          <w:color w:val="0D0D0D"/>
          <w:shd w:val="clear" w:color="auto" w:fill="FFFFFF"/>
        </w:rPr>
        <w:t xml:space="preserve"> </w:t>
      </w:r>
      <w:r w:rsidRPr="00883435">
        <w:rPr>
          <w:rStyle w:val="mop"/>
          <w:rFonts w:eastAsiaTheme="minorEastAsia" w:cstheme="minorHAnsi"/>
          <w:color w:val="0D0D0D"/>
          <w:shd w:val="clear" w:color="auto" w:fill="FFFFFF"/>
        </w:rPr>
        <w:t>Incorporating these nonfinancial factors into project evaluation ensures a holistic assessment of feasibility and impact. While financial metrics provide quantifiable insights, considering nonfinancial factors is essential for long-term sustainability and value creation.</w:t>
      </w:r>
    </w:p>
    <w:p w14:paraId="116BFF29" w14:textId="77777777" w:rsidR="006943DE" w:rsidRPr="0009016F" w:rsidRDefault="006943DE" w:rsidP="0009016F">
      <w:pPr>
        <w:spacing w:line="360" w:lineRule="auto"/>
        <w:jc w:val="both"/>
        <w:rPr>
          <w:rStyle w:val="mop"/>
          <w:rFonts w:eastAsiaTheme="minorEastAsia" w:cstheme="minorHAnsi"/>
          <w:color w:val="0D0D0D"/>
          <w:shd w:val="clear" w:color="auto" w:fill="FFFFFF"/>
        </w:rPr>
      </w:pPr>
    </w:p>
    <w:p w14:paraId="33D6EC1E" w14:textId="77777777" w:rsidR="0009016F" w:rsidRPr="0009016F" w:rsidRDefault="0009016F" w:rsidP="0009016F">
      <w:pPr>
        <w:spacing w:line="360" w:lineRule="auto"/>
        <w:jc w:val="both"/>
        <w:rPr>
          <w:rFonts w:cstheme="minorHAnsi"/>
          <w:lang w:val="en-US"/>
        </w:rPr>
      </w:pPr>
    </w:p>
    <w:p w14:paraId="0A344ABD" w14:textId="77777777" w:rsidR="0012079C" w:rsidRPr="0009016F" w:rsidRDefault="0012079C" w:rsidP="000D79CE">
      <w:pPr>
        <w:spacing w:line="360" w:lineRule="auto"/>
        <w:jc w:val="both"/>
        <w:rPr>
          <w:rFonts w:cstheme="minorHAnsi"/>
          <w:lang w:val="en-US"/>
        </w:rPr>
      </w:pPr>
    </w:p>
    <w:p w14:paraId="04995295" w14:textId="77777777" w:rsidR="0009016F" w:rsidRDefault="0009016F" w:rsidP="000D79CE">
      <w:pPr>
        <w:spacing w:line="360" w:lineRule="auto"/>
        <w:jc w:val="both"/>
        <w:rPr>
          <w:rFonts w:cstheme="minorHAnsi"/>
          <w:lang w:val="en-US"/>
        </w:rPr>
      </w:pPr>
    </w:p>
    <w:p w14:paraId="38F8FC4E" w14:textId="77777777" w:rsidR="00883435" w:rsidRDefault="00883435" w:rsidP="000D79CE">
      <w:pPr>
        <w:spacing w:line="360" w:lineRule="auto"/>
        <w:jc w:val="both"/>
        <w:rPr>
          <w:rFonts w:cstheme="minorHAnsi"/>
          <w:lang w:val="en-US"/>
        </w:rPr>
      </w:pPr>
    </w:p>
    <w:p w14:paraId="2A709D99" w14:textId="77777777" w:rsidR="00883435" w:rsidRDefault="00883435" w:rsidP="000D79CE">
      <w:pPr>
        <w:spacing w:line="360" w:lineRule="auto"/>
        <w:jc w:val="both"/>
        <w:rPr>
          <w:rFonts w:cstheme="minorHAnsi"/>
          <w:lang w:val="en-US"/>
        </w:rPr>
      </w:pPr>
    </w:p>
    <w:p w14:paraId="5C379C3B" w14:textId="77777777" w:rsidR="00883435" w:rsidRDefault="00883435" w:rsidP="000D79CE">
      <w:pPr>
        <w:spacing w:line="360" w:lineRule="auto"/>
        <w:jc w:val="both"/>
        <w:rPr>
          <w:rFonts w:cstheme="minorHAnsi"/>
          <w:lang w:val="en-US"/>
        </w:rPr>
      </w:pPr>
    </w:p>
    <w:p w14:paraId="03EEB9C9" w14:textId="77777777" w:rsidR="00883435" w:rsidRDefault="00883435" w:rsidP="000D79CE">
      <w:pPr>
        <w:spacing w:line="360" w:lineRule="auto"/>
        <w:jc w:val="both"/>
        <w:rPr>
          <w:rFonts w:cstheme="minorHAnsi"/>
          <w:lang w:val="en-US"/>
        </w:rPr>
      </w:pPr>
    </w:p>
    <w:p w14:paraId="3314AB55" w14:textId="77777777" w:rsidR="00883435" w:rsidRDefault="00883435" w:rsidP="000D79CE">
      <w:pPr>
        <w:spacing w:line="360" w:lineRule="auto"/>
        <w:jc w:val="both"/>
        <w:rPr>
          <w:rFonts w:cstheme="minorHAnsi"/>
          <w:lang w:val="en-US"/>
        </w:rPr>
      </w:pPr>
    </w:p>
    <w:p w14:paraId="313430E6" w14:textId="77777777" w:rsidR="00883435" w:rsidRDefault="00883435" w:rsidP="000D79CE">
      <w:pPr>
        <w:spacing w:line="360" w:lineRule="auto"/>
        <w:jc w:val="both"/>
        <w:rPr>
          <w:rFonts w:cstheme="minorHAnsi"/>
          <w:lang w:val="en-US"/>
        </w:rPr>
      </w:pPr>
    </w:p>
    <w:p w14:paraId="19486CCF" w14:textId="77777777" w:rsidR="00883435" w:rsidRDefault="00883435" w:rsidP="000D79CE">
      <w:pPr>
        <w:spacing w:line="360" w:lineRule="auto"/>
        <w:jc w:val="both"/>
        <w:rPr>
          <w:rFonts w:cstheme="minorHAnsi"/>
          <w:lang w:val="en-US"/>
        </w:rPr>
      </w:pPr>
    </w:p>
    <w:p w14:paraId="5F1F096E" w14:textId="77777777" w:rsidR="00883435" w:rsidRDefault="00883435" w:rsidP="000D79CE">
      <w:pPr>
        <w:spacing w:line="360" w:lineRule="auto"/>
        <w:jc w:val="both"/>
        <w:rPr>
          <w:rFonts w:cstheme="minorHAnsi"/>
          <w:lang w:val="en-US"/>
        </w:rPr>
      </w:pPr>
    </w:p>
    <w:p w14:paraId="204EF251" w14:textId="77777777" w:rsidR="00883435" w:rsidRDefault="00883435" w:rsidP="000D79CE">
      <w:pPr>
        <w:spacing w:line="360" w:lineRule="auto"/>
        <w:jc w:val="both"/>
        <w:rPr>
          <w:rFonts w:cstheme="minorHAnsi"/>
          <w:lang w:val="en-US"/>
        </w:rPr>
      </w:pPr>
    </w:p>
    <w:p w14:paraId="5C5C3903" w14:textId="77777777" w:rsidR="00883435" w:rsidRDefault="00883435" w:rsidP="000D79CE">
      <w:pPr>
        <w:spacing w:line="360" w:lineRule="auto"/>
        <w:jc w:val="both"/>
        <w:rPr>
          <w:rFonts w:cstheme="minorHAnsi"/>
          <w:lang w:val="en-US"/>
        </w:rPr>
      </w:pPr>
    </w:p>
    <w:p w14:paraId="68893181" w14:textId="77777777" w:rsidR="006943DE" w:rsidRDefault="006943DE" w:rsidP="000D79CE">
      <w:pPr>
        <w:spacing w:line="360" w:lineRule="auto"/>
        <w:jc w:val="both"/>
        <w:rPr>
          <w:rFonts w:cstheme="minorHAnsi"/>
          <w:lang w:val="en-US"/>
        </w:rPr>
      </w:pPr>
    </w:p>
    <w:p w14:paraId="75B924B2" w14:textId="4DD94DEA" w:rsidR="00883435" w:rsidRDefault="00883435" w:rsidP="000D79CE">
      <w:pPr>
        <w:spacing w:line="360" w:lineRule="auto"/>
        <w:jc w:val="both"/>
        <w:rPr>
          <w:rFonts w:cstheme="minorHAnsi"/>
          <w:lang w:val="en-US"/>
        </w:rPr>
      </w:pPr>
      <w:r>
        <w:rPr>
          <w:rFonts w:cstheme="minorHAnsi"/>
          <w:lang w:val="en-US"/>
        </w:rPr>
        <w:lastRenderedPageBreak/>
        <w:t xml:space="preserve">Reference list </w:t>
      </w:r>
    </w:p>
    <w:p w14:paraId="07A48BDA" w14:textId="50FCE76D" w:rsidR="00883435" w:rsidRPr="00883435" w:rsidRDefault="00883435" w:rsidP="00883435">
      <w:pPr>
        <w:spacing w:line="360" w:lineRule="auto"/>
        <w:jc w:val="both"/>
        <w:rPr>
          <w:rFonts w:cstheme="minorHAnsi"/>
          <w:lang w:val="en-US"/>
        </w:rPr>
      </w:pPr>
      <w:r w:rsidRPr="00883435">
        <w:rPr>
          <w:rFonts w:cstheme="minorHAnsi"/>
          <w:lang w:val="en-US"/>
        </w:rPr>
        <w:t>Atrill, P., &amp; McClaney, E. (2018). Accounting and Finance for Non-Specialists (11th ed.). Harlow: Pearson.</w:t>
      </w:r>
    </w:p>
    <w:p w14:paraId="63D67EA4" w14:textId="11472AA0" w:rsidR="00883435" w:rsidRPr="00883435" w:rsidRDefault="00883435" w:rsidP="00883435">
      <w:pPr>
        <w:spacing w:line="360" w:lineRule="auto"/>
        <w:jc w:val="both"/>
        <w:rPr>
          <w:rFonts w:cstheme="minorHAnsi"/>
          <w:lang w:val="en-US"/>
        </w:rPr>
      </w:pPr>
      <w:r w:rsidRPr="00883435">
        <w:rPr>
          <w:rFonts w:cstheme="minorHAnsi"/>
          <w:lang w:val="en-US"/>
        </w:rPr>
        <w:t>Atrill, P., &amp; McClaney, E.J. (2012). Management accounting for decision makers. New York: Pearson Financial Times/Prentice Hall.</w:t>
      </w:r>
    </w:p>
    <w:p w14:paraId="491581BB" w14:textId="723AF06C" w:rsidR="00883435" w:rsidRPr="00883435" w:rsidRDefault="00883435" w:rsidP="00883435">
      <w:pPr>
        <w:spacing w:line="360" w:lineRule="auto"/>
        <w:jc w:val="both"/>
        <w:rPr>
          <w:rFonts w:cstheme="minorHAnsi"/>
          <w:lang w:val="en-US"/>
        </w:rPr>
      </w:pPr>
      <w:r w:rsidRPr="00883435">
        <w:rPr>
          <w:rFonts w:cstheme="minorHAnsi"/>
          <w:lang w:val="en-US"/>
        </w:rPr>
        <w:t>Collis, J., Holt, A., &amp; Hussey, R. (2017). Business accounting: An introduction to financial and management accounting. London: Palgrave, An Imprint Of Macmillan Publishers Limited.</w:t>
      </w:r>
    </w:p>
    <w:p w14:paraId="08B8E693" w14:textId="5A265731" w:rsidR="00883435" w:rsidRPr="00883435" w:rsidRDefault="00883435" w:rsidP="00883435">
      <w:pPr>
        <w:spacing w:line="360" w:lineRule="auto"/>
        <w:jc w:val="both"/>
        <w:rPr>
          <w:rFonts w:cstheme="minorHAnsi"/>
          <w:lang w:val="en-US"/>
        </w:rPr>
      </w:pPr>
      <w:r w:rsidRPr="00883435">
        <w:rPr>
          <w:rFonts w:cstheme="minorHAnsi"/>
          <w:lang w:val="en-US"/>
        </w:rPr>
        <w:t>Fields, E. (2016). The Essentials of Finance and Accounting for Nonfinancial Managers (3rd ed.). New York: American Management Association.</w:t>
      </w:r>
    </w:p>
    <w:p w14:paraId="13AD6E0D" w14:textId="3186222C" w:rsidR="00883435" w:rsidRPr="00883435" w:rsidRDefault="00883435" w:rsidP="00883435">
      <w:pPr>
        <w:spacing w:line="360" w:lineRule="auto"/>
        <w:jc w:val="both"/>
        <w:rPr>
          <w:rFonts w:cstheme="minorHAnsi"/>
          <w:lang w:val="en-US"/>
        </w:rPr>
      </w:pPr>
      <w:r w:rsidRPr="00883435">
        <w:rPr>
          <w:rFonts w:cstheme="minorHAnsi"/>
          <w:lang w:val="en-US"/>
        </w:rPr>
        <w:t>Marsh, C. (2012). Financial management for nonfinancial managers. London; Philadelphia, Pa: Kogan Page.</w:t>
      </w:r>
    </w:p>
    <w:p w14:paraId="2C8B9545" w14:textId="1BFFC8BB" w:rsidR="00883435" w:rsidRPr="00883435" w:rsidRDefault="00883435" w:rsidP="00883435">
      <w:pPr>
        <w:spacing w:line="360" w:lineRule="auto"/>
        <w:jc w:val="both"/>
        <w:rPr>
          <w:rFonts w:cstheme="minorHAnsi"/>
          <w:lang w:val="en-US"/>
        </w:rPr>
      </w:pPr>
      <w:r w:rsidRPr="00883435">
        <w:rPr>
          <w:rFonts w:cstheme="minorHAnsi"/>
          <w:lang w:val="en-US"/>
        </w:rPr>
        <w:t xml:space="preserve">ycharts.com. (2024). Pfizer Debt to Equity Ratio. [online] Available at: https://ycharts.com/companies/PFE/debt_equity_ratio [Accessed </w:t>
      </w:r>
      <w:r>
        <w:rPr>
          <w:rFonts w:cstheme="minorHAnsi"/>
          <w:lang w:val="en-US"/>
        </w:rPr>
        <w:t>March 7</w:t>
      </w:r>
      <w:r w:rsidRPr="00883435">
        <w:rPr>
          <w:rFonts w:cstheme="minorHAnsi"/>
          <w:lang w:val="en-US"/>
        </w:rPr>
        <w:t>. 2024].</w:t>
      </w:r>
    </w:p>
    <w:p w14:paraId="1105349E" w14:textId="7E563B93" w:rsidR="00883435" w:rsidRPr="00883435" w:rsidRDefault="00883435" w:rsidP="00883435">
      <w:pPr>
        <w:spacing w:line="360" w:lineRule="auto"/>
        <w:jc w:val="both"/>
        <w:rPr>
          <w:rFonts w:cstheme="minorHAnsi"/>
          <w:lang w:val="en-US"/>
        </w:rPr>
      </w:pPr>
      <w:r w:rsidRPr="00883435">
        <w:rPr>
          <w:rFonts w:cstheme="minorHAnsi"/>
          <w:lang w:val="en-US"/>
        </w:rPr>
        <w:t>Garattini, S., &amp; Bertele, V. (2015). Pfizer: The industrial grand tour. Journal of Market Access &amp; Health Policy, 3(1), 26340. doi: 10.3402/jmahp.v3.26340</w:t>
      </w:r>
    </w:p>
    <w:p w14:paraId="5F7DDE45" w14:textId="4D387B66" w:rsidR="00883435" w:rsidRPr="00883435" w:rsidRDefault="00883435" w:rsidP="00883435">
      <w:pPr>
        <w:spacing w:line="360" w:lineRule="auto"/>
        <w:jc w:val="both"/>
        <w:rPr>
          <w:rFonts w:cstheme="minorHAnsi"/>
          <w:lang w:val="en-US"/>
        </w:rPr>
      </w:pPr>
      <w:r w:rsidRPr="00883435">
        <w:rPr>
          <w:rFonts w:cstheme="minorHAnsi"/>
          <w:lang w:val="en-US"/>
        </w:rPr>
        <w:t>Dyllick, T., &amp; Hockerts, K. (2002). Beyond the business case for corporate sustainability. Business Strategy and the Environment, 11(2), 130-141. doi: 10.1002/bse.323</w:t>
      </w:r>
    </w:p>
    <w:p w14:paraId="702CC925" w14:textId="0AE2E1C8" w:rsidR="00883435" w:rsidRPr="00883435" w:rsidRDefault="00883435" w:rsidP="00883435">
      <w:pPr>
        <w:spacing w:line="360" w:lineRule="auto"/>
        <w:jc w:val="both"/>
        <w:rPr>
          <w:rFonts w:cstheme="minorHAnsi"/>
          <w:lang w:val="en-US"/>
        </w:rPr>
      </w:pPr>
      <w:r w:rsidRPr="00883435">
        <w:rPr>
          <w:rFonts w:cstheme="minorHAnsi"/>
          <w:lang w:val="en-US"/>
        </w:rPr>
        <w:t>Krishnan, V. (2018). Valuation of Pfizer Inc.: An industry and company analysis. The Journal of Private Equity, 21(3), 43-55.</w:t>
      </w:r>
    </w:p>
    <w:p w14:paraId="48D14131" w14:textId="3CFC7472" w:rsidR="00883435" w:rsidRPr="00883435" w:rsidRDefault="00883435" w:rsidP="00883435">
      <w:pPr>
        <w:spacing w:line="360" w:lineRule="auto"/>
        <w:jc w:val="both"/>
        <w:rPr>
          <w:rFonts w:cstheme="minorHAnsi"/>
          <w:lang w:val="en-US"/>
        </w:rPr>
      </w:pPr>
      <w:r w:rsidRPr="00883435">
        <w:rPr>
          <w:rFonts w:cstheme="minorHAnsi"/>
          <w:lang w:val="en-US"/>
        </w:rPr>
        <w:t>Daemmrich, A. (2010). Pharmacopolitics: Drug Regulation in the United States and Germany. University of North Carolina Press.</w:t>
      </w:r>
    </w:p>
    <w:p w14:paraId="1AE49161" w14:textId="3C0C1B7F" w:rsidR="00883435" w:rsidRPr="00883435" w:rsidRDefault="00883435" w:rsidP="00883435">
      <w:pPr>
        <w:spacing w:line="360" w:lineRule="auto"/>
        <w:jc w:val="both"/>
        <w:rPr>
          <w:rFonts w:cstheme="minorHAnsi"/>
          <w:lang w:val="en-US"/>
        </w:rPr>
      </w:pPr>
      <w:r w:rsidRPr="00883435">
        <w:rPr>
          <w:rFonts w:cstheme="minorHAnsi"/>
          <w:lang w:val="en-US"/>
        </w:rPr>
        <w:t>Johnson, J.L., &amp; Pfizer, K. (2009). Competitive Intelligence Advantage: How to Minimize Risk, Avoid Surprises, and Grow Your Business in a Changing World. John Wiley &amp; Sons.</w:t>
      </w:r>
    </w:p>
    <w:p w14:paraId="4DA9EBD0" w14:textId="77777777" w:rsidR="00883435" w:rsidRPr="00883435" w:rsidRDefault="00883435" w:rsidP="00883435">
      <w:pPr>
        <w:spacing w:line="360" w:lineRule="auto"/>
        <w:jc w:val="both"/>
        <w:rPr>
          <w:rFonts w:cstheme="minorHAnsi"/>
          <w:lang w:val="en-US"/>
        </w:rPr>
      </w:pPr>
      <w:r w:rsidRPr="00883435">
        <w:rPr>
          <w:rFonts w:cstheme="minorHAnsi"/>
          <w:lang w:val="en-US"/>
        </w:rPr>
        <w:t>Grabowski, H.G., &amp; Vernon, J.M. (2017). The Economics of Pharmaceutical Pricing. Cambridge University Press.</w:t>
      </w:r>
    </w:p>
    <w:p w14:paraId="0AC85F89" w14:textId="77777777" w:rsidR="00883435" w:rsidRPr="00883435" w:rsidRDefault="00883435" w:rsidP="00883435">
      <w:pPr>
        <w:spacing w:line="360" w:lineRule="auto"/>
        <w:jc w:val="both"/>
        <w:rPr>
          <w:rFonts w:cstheme="minorHAnsi"/>
          <w:lang w:val="en-US"/>
        </w:rPr>
      </w:pPr>
    </w:p>
    <w:p w14:paraId="2B4389DA" w14:textId="11C82012" w:rsidR="00883435" w:rsidRPr="00883435" w:rsidRDefault="00883435" w:rsidP="00883435">
      <w:pPr>
        <w:spacing w:line="360" w:lineRule="auto"/>
        <w:jc w:val="both"/>
        <w:rPr>
          <w:rFonts w:cstheme="minorHAnsi"/>
          <w:lang w:val="en-US"/>
        </w:rPr>
      </w:pPr>
      <w:r w:rsidRPr="00883435">
        <w:rPr>
          <w:rFonts w:cstheme="minorHAnsi"/>
          <w:lang w:val="en-US"/>
        </w:rPr>
        <w:lastRenderedPageBreak/>
        <w:t xml:space="preserve">EvaluatePharma. (2023). World Preview 2023, Outlook to 2028: Returning to Growth. Retrieved from https://www.evaluate.com/thought-leadership/pharma/evaluatepharma-world-preview-2023-outlook-2028 [Accessed </w:t>
      </w:r>
      <w:r>
        <w:rPr>
          <w:rFonts w:cstheme="minorHAnsi"/>
          <w:lang w:val="en-US"/>
        </w:rPr>
        <w:t>March 7</w:t>
      </w:r>
      <w:r w:rsidRPr="00883435">
        <w:rPr>
          <w:rFonts w:cstheme="minorHAnsi"/>
          <w:lang w:val="en-US"/>
        </w:rPr>
        <w:t>. 2024]</w:t>
      </w:r>
    </w:p>
    <w:p w14:paraId="47DD08CE" w14:textId="4CE6EC02" w:rsidR="00883435" w:rsidRPr="00883435" w:rsidRDefault="00883435" w:rsidP="00883435">
      <w:pPr>
        <w:spacing w:line="360" w:lineRule="auto"/>
        <w:jc w:val="both"/>
        <w:rPr>
          <w:rFonts w:cstheme="minorHAnsi"/>
          <w:lang w:val="en-US"/>
        </w:rPr>
      </w:pPr>
      <w:r w:rsidRPr="00883435">
        <w:rPr>
          <w:rFonts w:cstheme="minorHAnsi"/>
          <w:lang w:val="en-US"/>
        </w:rPr>
        <w:t xml:space="preserve">IQVIA. (2022). Global Pharmaceuticals Market Forecast 2022-2026. Retrieved from https://www.iqvia.com/insights/the-iqvia-institute/reports/global-pharmaceutical-market-forecast-2022-2026 [Accessed </w:t>
      </w:r>
      <w:r>
        <w:rPr>
          <w:rFonts w:cstheme="minorHAnsi"/>
          <w:lang w:val="en-US"/>
        </w:rPr>
        <w:t>March 7</w:t>
      </w:r>
      <w:r w:rsidRPr="00883435">
        <w:rPr>
          <w:rFonts w:cstheme="minorHAnsi"/>
          <w:lang w:val="en-US"/>
        </w:rPr>
        <w:t>. 2024]</w:t>
      </w:r>
    </w:p>
    <w:p w14:paraId="0836BC45" w14:textId="5235BC13" w:rsidR="00883435" w:rsidRPr="00883435" w:rsidRDefault="00883435" w:rsidP="00883435">
      <w:pPr>
        <w:spacing w:line="360" w:lineRule="auto"/>
        <w:jc w:val="both"/>
        <w:rPr>
          <w:rFonts w:cstheme="minorHAnsi"/>
          <w:lang w:val="en-US"/>
        </w:rPr>
      </w:pPr>
      <w:r w:rsidRPr="00883435">
        <w:rPr>
          <w:rFonts w:cstheme="minorHAnsi"/>
          <w:lang w:val="en-US"/>
        </w:rPr>
        <w:t xml:space="preserve">U.S. Food and Drug Administration. (2023). Drug Approvals and Databases. Retrieved from https://www.fda.gov/drugs/drug-approvals-and-databases [Accessed </w:t>
      </w:r>
      <w:r>
        <w:rPr>
          <w:rFonts w:cstheme="minorHAnsi"/>
          <w:lang w:val="en-US"/>
        </w:rPr>
        <w:t>March 7</w:t>
      </w:r>
      <w:r w:rsidRPr="00883435">
        <w:rPr>
          <w:rFonts w:cstheme="minorHAnsi"/>
          <w:lang w:val="en-US"/>
        </w:rPr>
        <w:t>. 2024]</w:t>
      </w:r>
    </w:p>
    <w:p w14:paraId="7C017857" w14:textId="40794E5E" w:rsidR="00883435" w:rsidRPr="00883435" w:rsidRDefault="00883435" w:rsidP="00883435">
      <w:pPr>
        <w:spacing w:line="360" w:lineRule="auto"/>
        <w:jc w:val="both"/>
        <w:rPr>
          <w:rFonts w:cstheme="minorHAnsi"/>
          <w:lang w:val="en-US"/>
        </w:rPr>
      </w:pPr>
      <w:r w:rsidRPr="00883435">
        <w:rPr>
          <w:rFonts w:cstheme="minorHAnsi"/>
          <w:lang w:val="en-US"/>
        </w:rPr>
        <w:t xml:space="preserve">Pfizer Inc. (2023). Annual Report 2022. Retrieved from https://investors.pfizer.com/investor-news/press-release-details/2023/Pfizer-Reports-Strong-Operating-Results-in-Fourth-Quarter-and-Full-Year- 2022/default.aspx [Accessed </w:t>
      </w:r>
      <w:r>
        <w:rPr>
          <w:rFonts w:cstheme="minorHAnsi"/>
          <w:lang w:val="en-US"/>
        </w:rPr>
        <w:t>March 7</w:t>
      </w:r>
      <w:r w:rsidRPr="00883435">
        <w:rPr>
          <w:rFonts w:cstheme="minorHAnsi"/>
          <w:lang w:val="en-US"/>
        </w:rPr>
        <w:t>. 2024]</w:t>
      </w:r>
    </w:p>
    <w:p w14:paraId="4A40A4C2" w14:textId="539A48F6" w:rsidR="00883435" w:rsidRPr="00883435" w:rsidRDefault="00883435" w:rsidP="00883435">
      <w:pPr>
        <w:spacing w:line="360" w:lineRule="auto"/>
        <w:jc w:val="both"/>
        <w:rPr>
          <w:rFonts w:cstheme="minorHAnsi"/>
          <w:lang w:val="en-US"/>
        </w:rPr>
      </w:pPr>
      <w:r w:rsidRPr="00883435">
        <w:rPr>
          <w:rFonts w:cstheme="minorHAnsi"/>
          <w:lang w:val="en-US"/>
        </w:rPr>
        <w:t xml:space="preserve">Securities and Exchange Commission (SEC). (2023). Pfizer Inc. Form 10-K. Retrieved from https://www.sec.gov/Archives/edgar/data/78003/000007800322000019/pfe-20211231.htm [Accessed </w:t>
      </w:r>
      <w:r>
        <w:rPr>
          <w:rFonts w:cstheme="minorHAnsi"/>
          <w:lang w:val="en-US"/>
        </w:rPr>
        <w:t>March 7</w:t>
      </w:r>
      <w:r w:rsidRPr="00883435">
        <w:rPr>
          <w:rFonts w:cstheme="minorHAnsi"/>
          <w:lang w:val="en-US"/>
        </w:rPr>
        <w:t>. 2024]</w:t>
      </w:r>
    </w:p>
    <w:p w14:paraId="14F6CC2D" w14:textId="32D05A8E" w:rsidR="00883435" w:rsidRPr="00883435" w:rsidRDefault="00883435" w:rsidP="00883435">
      <w:pPr>
        <w:spacing w:line="360" w:lineRule="auto"/>
        <w:jc w:val="both"/>
        <w:rPr>
          <w:rFonts w:cstheme="minorHAnsi"/>
          <w:lang w:val="en-US"/>
        </w:rPr>
      </w:pPr>
      <w:r w:rsidRPr="00883435">
        <w:rPr>
          <w:rFonts w:cstheme="minorHAnsi"/>
          <w:lang w:val="en-US"/>
        </w:rPr>
        <w:t xml:space="preserve">CNBC. (2016, April 5). </w:t>
      </w:r>
      <w:r>
        <w:rPr>
          <w:rFonts w:cstheme="minorHAnsi"/>
          <w:lang w:val="en-US"/>
        </w:rPr>
        <w:t>Sources say that Pfizer and Allergan will mutually terminate the merger over inversion rule changes</w:t>
      </w:r>
      <w:r w:rsidRPr="00883435">
        <w:rPr>
          <w:rFonts w:cstheme="minorHAnsi"/>
          <w:lang w:val="en-US"/>
        </w:rPr>
        <w:t xml:space="preserve">. Retrieved from https://www.cnbc.com/2016/04/05/pfizer-allergan-will-mutually-terminate-merger-over-inversion-rule-changes-sources-say.html [Accessed </w:t>
      </w:r>
      <w:r>
        <w:rPr>
          <w:rFonts w:cstheme="minorHAnsi"/>
          <w:lang w:val="en-US"/>
        </w:rPr>
        <w:t>March 7</w:t>
      </w:r>
      <w:r w:rsidRPr="00883435">
        <w:rPr>
          <w:rFonts w:cstheme="minorHAnsi"/>
          <w:lang w:val="en-US"/>
        </w:rPr>
        <w:t>. 2024]</w:t>
      </w:r>
    </w:p>
    <w:p w14:paraId="35B4A32D" w14:textId="64E7DD9B" w:rsidR="00883435" w:rsidRPr="00883435" w:rsidRDefault="00883435" w:rsidP="00883435">
      <w:pPr>
        <w:spacing w:line="360" w:lineRule="auto"/>
        <w:jc w:val="both"/>
        <w:rPr>
          <w:rFonts w:cstheme="minorHAnsi"/>
          <w:lang w:val="en-US"/>
        </w:rPr>
      </w:pPr>
      <w:r w:rsidRPr="00883435">
        <w:rPr>
          <w:rFonts w:cstheme="minorHAnsi"/>
          <w:lang w:val="en-US"/>
        </w:rPr>
        <w:t xml:space="preserve">Pfizer. (n.d.). Real-world evidence confirms the high effectiveness of Pfizer. Retrieved from https://www.pfizer.com/news/press-release/press-release-detail/real-world-evidence-confirms-high-effectiveness-pfizer [Accessed </w:t>
      </w:r>
      <w:r>
        <w:rPr>
          <w:rFonts w:cstheme="minorHAnsi"/>
          <w:lang w:val="en-US"/>
        </w:rPr>
        <w:t>March 7</w:t>
      </w:r>
      <w:r w:rsidRPr="00883435">
        <w:rPr>
          <w:rFonts w:cstheme="minorHAnsi"/>
          <w:lang w:val="en-US"/>
        </w:rPr>
        <w:t>. 2024]</w:t>
      </w:r>
    </w:p>
    <w:p w14:paraId="79E54489" w14:textId="2085E802" w:rsidR="00883435" w:rsidRPr="00883435" w:rsidRDefault="00883435" w:rsidP="00883435">
      <w:pPr>
        <w:spacing w:line="360" w:lineRule="auto"/>
        <w:jc w:val="both"/>
        <w:rPr>
          <w:rFonts w:cstheme="minorHAnsi"/>
          <w:lang w:val="en-US"/>
        </w:rPr>
      </w:pPr>
      <w:r w:rsidRPr="00883435">
        <w:rPr>
          <w:rFonts w:cstheme="minorHAnsi"/>
          <w:lang w:val="en-US"/>
        </w:rPr>
        <w:t xml:space="preserve">Council on Foreign Relations. (n.d.). Vaccine equity and global economic recovery. Retrieved from https://www.cfr.org/event/vaccine-equity-and-global-economic-recovery [Accessed </w:t>
      </w:r>
      <w:r>
        <w:rPr>
          <w:rFonts w:cstheme="minorHAnsi"/>
          <w:lang w:val="en-US"/>
        </w:rPr>
        <w:t>March 7</w:t>
      </w:r>
      <w:r w:rsidRPr="00883435">
        <w:rPr>
          <w:rFonts w:cstheme="minorHAnsi"/>
          <w:lang w:val="en-US"/>
        </w:rPr>
        <w:t>. 2024]</w:t>
      </w:r>
    </w:p>
    <w:p w14:paraId="22112EB1" w14:textId="5E381685" w:rsidR="00883435" w:rsidRPr="00883435" w:rsidRDefault="00883435" w:rsidP="00883435">
      <w:pPr>
        <w:spacing w:line="360" w:lineRule="auto"/>
        <w:jc w:val="both"/>
        <w:rPr>
          <w:rFonts w:cstheme="minorHAnsi"/>
          <w:lang w:val="en-US"/>
        </w:rPr>
      </w:pPr>
      <w:r w:rsidRPr="00883435">
        <w:rPr>
          <w:rFonts w:cstheme="minorHAnsi"/>
          <w:lang w:val="en-US"/>
        </w:rPr>
        <w:t xml:space="preserve">ClinicalTrials.gov. (n.d.). Pfizer's development of the RSV vaccine. Retrieved from https://clinicaltrials.gov/ct2/show/NCT05788237 [Accessed </w:t>
      </w:r>
      <w:r>
        <w:rPr>
          <w:rFonts w:cstheme="minorHAnsi"/>
          <w:lang w:val="en-US"/>
        </w:rPr>
        <w:t>March 7</w:t>
      </w:r>
      <w:r w:rsidRPr="00883435">
        <w:rPr>
          <w:rFonts w:cstheme="minorHAnsi"/>
          <w:lang w:val="en-US"/>
        </w:rPr>
        <w:t>. 2024]</w:t>
      </w:r>
    </w:p>
    <w:p w14:paraId="08390942" w14:textId="7E2ECB2E" w:rsidR="00883435" w:rsidRPr="00883435" w:rsidRDefault="00883435" w:rsidP="00883435">
      <w:pPr>
        <w:spacing w:line="360" w:lineRule="auto"/>
        <w:jc w:val="both"/>
        <w:rPr>
          <w:rFonts w:cstheme="minorHAnsi"/>
          <w:lang w:val="en-US"/>
        </w:rPr>
      </w:pPr>
      <w:r w:rsidRPr="00883435">
        <w:rPr>
          <w:rFonts w:cstheme="minorHAnsi"/>
          <w:lang w:val="en-US"/>
        </w:rPr>
        <w:t>Fierce Pharma. (n.d.). Pfizer's 2024 revenue guidance reflects plummeting demand for COVID</w:t>
      </w:r>
      <w:r>
        <w:rPr>
          <w:rFonts w:cstheme="minorHAnsi"/>
          <w:lang w:val="en-US"/>
        </w:rPr>
        <w:t>-19</w:t>
      </w:r>
      <w:r w:rsidRPr="00883435">
        <w:rPr>
          <w:rFonts w:cstheme="minorHAnsi"/>
          <w:lang w:val="en-US"/>
        </w:rPr>
        <w:t xml:space="preserve"> products. Retrieved from https://www.fiercepharma.com/pharma/pfizers-2024-revenue-guidance-reflects-plummeting-demand-covid-products [Accessed </w:t>
      </w:r>
      <w:r>
        <w:rPr>
          <w:rFonts w:cstheme="minorHAnsi"/>
          <w:lang w:val="en-US"/>
        </w:rPr>
        <w:t>March 7</w:t>
      </w:r>
      <w:r w:rsidRPr="00883435">
        <w:rPr>
          <w:rFonts w:cstheme="minorHAnsi"/>
          <w:lang w:val="en-US"/>
        </w:rPr>
        <w:t>. 2024]</w:t>
      </w:r>
    </w:p>
    <w:p w14:paraId="0F24CAFF" w14:textId="77777777" w:rsidR="00883435" w:rsidRPr="00883435" w:rsidRDefault="00883435" w:rsidP="00883435">
      <w:pPr>
        <w:spacing w:line="360" w:lineRule="auto"/>
        <w:jc w:val="both"/>
        <w:rPr>
          <w:rFonts w:cstheme="minorHAnsi"/>
          <w:lang w:val="en-US"/>
        </w:rPr>
      </w:pPr>
    </w:p>
    <w:p w14:paraId="19CA81DE" w14:textId="7BAC07D6" w:rsidR="00883435" w:rsidRPr="0009016F" w:rsidRDefault="00883435" w:rsidP="00883435">
      <w:pPr>
        <w:spacing w:line="360" w:lineRule="auto"/>
        <w:jc w:val="both"/>
        <w:rPr>
          <w:rFonts w:cstheme="minorHAnsi"/>
          <w:lang w:val="en-US"/>
        </w:rPr>
      </w:pPr>
      <w:r w:rsidRPr="00883435">
        <w:rPr>
          <w:rFonts w:cstheme="minorHAnsi"/>
          <w:lang w:val="en-US"/>
        </w:rPr>
        <w:lastRenderedPageBreak/>
        <w:t xml:space="preserve">Reuters. (n.d.). COVID-19 vaccine patent battles continue into 2023. Retrieved from https://www.reuters.com/legal/litigation/covid-19-vaccine-patent-battles-continue-into-2023-2022-12-27/ [Accessed </w:t>
      </w:r>
      <w:r>
        <w:rPr>
          <w:rFonts w:cstheme="minorHAnsi"/>
          <w:lang w:val="en-US"/>
        </w:rPr>
        <w:t>March 7</w:t>
      </w:r>
      <w:r w:rsidRPr="00883435">
        <w:rPr>
          <w:rFonts w:cstheme="minorHAnsi"/>
          <w:lang w:val="en-US"/>
        </w:rPr>
        <w:t>. 2024]</w:t>
      </w:r>
    </w:p>
    <w:sectPr w:rsidR="00883435" w:rsidRPr="0009016F" w:rsidSect="00733E60">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02A22F1" w14:textId="77777777" w:rsidR="00733E60" w:rsidRDefault="00733E60" w:rsidP="0009016F">
      <w:pPr>
        <w:spacing w:after="0" w:line="240" w:lineRule="auto"/>
      </w:pPr>
      <w:r>
        <w:separator/>
      </w:r>
    </w:p>
  </w:endnote>
  <w:endnote w:type="continuationSeparator" w:id="0">
    <w:p w14:paraId="6734C3BC" w14:textId="77777777" w:rsidR="00733E60" w:rsidRDefault="00733E60" w:rsidP="000901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0E30D4" w14:textId="77777777" w:rsidR="0009016F" w:rsidRDefault="0009016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noProof w:val="0"/>
      </w:rPr>
      <w:id w:val="1706903824"/>
      <w:docPartObj>
        <w:docPartGallery w:val="Page Numbers (Bottom of Page)"/>
        <w:docPartUnique/>
      </w:docPartObj>
    </w:sdtPr>
    <w:sdtEndPr>
      <w:rPr>
        <w:noProof/>
      </w:rPr>
    </w:sdtEndPr>
    <w:sdtContent>
      <w:p w14:paraId="0B2F2EAC" w14:textId="38D3DD54" w:rsidR="0009016F" w:rsidRDefault="0009016F">
        <w:pPr>
          <w:pStyle w:val="Footer"/>
          <w:jc w:val="center"/>
        </w:pPr>
        <w:r>
          <w:rPr>
            <w:noProof w:val="0"/>
          </w:rPr>
          <w:fldChar w:fldCharType="begin"/>
        </w:r>
        <w:r>
          <w:instrText xml:space="preserve"> PAGE   \* MERGEFORMAT </w:instrText>
        </w:r>
        <w:r>
          <w:rPr>
            <w:noProof w:val="0"/>
          </w:rPr>
          <w:fldChar w:fldCharType="separate"/>
        </w:r>
        <w:r>
          <w:t>2</w:t>
        </w:r>
        <w:r>
          <w:fldChar w:fldCharType="end"/>
        </w:r>
      </w:p>
    </w:sdtContent>
  </w:sdt>
  <w:p w14:paraId="534A411A" w14:textId="77777777" w:rsidR="0009016F" w:rsidRDefault="0009016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3EDF725" w14:textId="77777777" w:rsidR="0009016F" w:rsidRDefault="000901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18D6641" w14:textId="77777777" w:rsidR="00733E60" w:rsidRDefault="00733E60" w:rsidP="0009016F">
      <w:pPr>
        <w:spacing w:after="0" w:line="240" w:lineRule="auto"/>
      </w:pPr>
      <w:r>
        <w:separator/>
      </w:r>
    </w:p>
  </w:footnote>
  <w:footnote w:type="continuationSeparator" w:id="0">
    <w:p w14:paraId="2F4D3023" w14:textId="77777777" w:rsidR="00733E60" w:rsidRDefault="00733E60" w:rsidP="000901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53D3BFA" w14:textId="77777777" w:rsidR="0009016F" w:rsidRDefault="0009016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37E75C" w14:textId="77777777" w:rsidR="0009016F" w:rsidRDefault="0009016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ED95E1" w14:textId="77777777" w:rsidR="0009016F" w:rsidRDefault="0009016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490451"/>
    <w:multiLevelType w:val="multilevel"/>
    <w:tmpl w:val="AF26BA7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1E3122E"/>
    <w:multiLevelType w:val="multilevel"/>
    <w:tmpl w:val="574C6238"/>
    <w:lvl w:ilvl="0">
      <w:start w:val="2"/>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09D0205"/>
    <w:multiLevelType w:val="multilevel"/>
    <w:tmpl w:val="57B88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4F1FA9"/>
    <w:multiLevelType w:val="multilevel"/>
    <w:tmpl w:val="96F23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6813D8"/>
    <w:multiLevelType w:val="multilevel"/>
    <w:tmpl w:val="F2902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EB7630"/>
    <w:multiLevelType w:val="hybridMultilevel"/>
    <w:tmpl w:val="3C888602"/>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9A137BC"/>
    <w:multiLevelType w:val="hybridMultilevel"/>
    <w:tmpl w:val="C008AA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A472C37"/>
    <w:multiLevelType w:val="multilevel"/>
    <w:tmpl w:val="DB1EC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AA817DD"/>
    <w:multiLevelType w:val="multilevel"/>
    <w:tmpl w:val="0B481D2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B395D7B"/>
    <w:multiLevelType w:val="hybridMultilevel"/>
    <w:tmpl w:val="C47A33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D393259"/>
    <w:multiLevelType w:val="multilevel"/>
    <w:tmpl w:val="6550084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0881E59"/>
    <w:multiLevelType w:val="multilevel"/>
    <w:tmpl w:val="E5A0BAFE"/>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67C67F2"/>
    <w:multiLevelType w:val="multilevel"/>
    <w:tmpl w:val="19E844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7A0321A"/>
    <w:multiLevelType w:val="hybridMultilevel"/>
    <w:tmpl w:val="7A765D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DAC3938"/>
    <w:multiLevelType w:val="hybridMultilevel"/>
    <w:tmpl w:val="2CA8854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0C056B8"/>
    <w:multiLevelType w:val="multilevel"/>
    <w:tmpl w:val="E5A0BAFE"/>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43B42014"/>
    <w:multiLevelType w:val="multilevel"/>
    <w:tmpl w:val="BCE0699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4A5720F2"/>
    <w:multiLevelType w:val="hybridMultilevel"/>
    <w:tmpl w:val="681C876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F6B0027"/>
    <w:multiLevelType w:val="multilevel"/>
    <w:tmpl w:val="28A004B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547D0A06"/>
    <w:multiLevelType w:val="multilevel"/>
    <w:tmpl w:val="69D21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CC414EC"/>
    <w:multiLevelType w:val="hybridMultilevel"/>
    <w:tmpl w:val="924021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A7F658F"/>
    <w:multiLevelType w:val="multilevel"/>
    <w:tmpl w:val="8698F45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2" w15:restartNumberingAfterBreak="0">
    <w:nsid w:val="6B9C0323"/>
    <w:multiLevelType w:val="hybridMultilevel"/>
    <w:tmpl w:val="E446CE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72A27BDF"/>
    <w:multiLevelType w:val="multilevel"/>
    <w:tmpl w:val="5E6A9688"/>
    <w:lvl w:ilvl="0">
      <w:start w:val="1"/>
      <w:numFmt w:val="decimal"/>
      <w:lvlText w:val="%1."/>
      <w:lvlJc w:val="left"/>
      <w:pPr>
        <w:ind w:left="720" w:hanging="360"/>
      </w:pPr>
      <w:rPr>
        <w:rFonts w:asciiTheme="minorHAnsi" w:eastAsiaTheme="minorHAnsi" w:hAnsiTheme="minorHAnsi" w:cstheme="minorHAnsi"/>
        <w:b w:val="0"/>
        <w:bCs w:val="0"/>
      </w:rPr>
    </w:lvl>
    <w:lvl w:ilvl="1">
      <w:start w:val="1"/>
      <w:numFmt w:val="decimal"/>
      <w:isLgl/>
      <w:lvlText w:val="%1.%2."/>
      <w:lvlJc w:val="left"/>
      <w:pPr>
        <w:ind w:left="1440" w:hanging="360"/>
      </w:pPr>
      <w:rPr>
        <w:rFonts w:hint="default"/>
        <w:b w:val="0"/>
        <w:bCs w:val="0"/>
      </w:rPr>
    </w:lvl>
    <w:lvl w:ilvl="2">
      <w:start w:val="1"/>
      <w:numFmt w:val="decimal"/>
      <w:isLgl/>
      <w:lvlText w:val="%1.%2.%3."/>
      <w:lvlJc w:val="left"/>
      <w:pPr>
        <w:ind w:left="2520" w:hanging="720"/>
      </w:pPr>
      <w:rPr>
        <w:rFonts w:hint="default"/>
      </w:rPr>
    </w:lvl>
    <w:lvl w:ilvl="3">
      <w:start w:val="1"/>
      <w:numFmt w:val="decimal"/>
      <w:isLgl/>
      <w:lvlText w:val="%1.%2.%3.%4."/>
      <w:lvlJc w:val="left"/>
      <w:pPr>
        <w:ind w:left="3240" w:hanging="720"/>
      </w:pPr>
      <w:rPr>
        <w:rFonts w:hint="default"/>
      </w:rPr>
    </w:lvl>
    <w:lvl w:ilvl="4">
      <w:start w:val="1"/>
      <w:numFmt w:val="decimal"/>
      <w:isLgl/>
      <w:lvlText w:val="%1.%2.%3.%4.%5."/>
      <w:lvlJc w:val="left"/>
      <w:pPr>
        <w:ind w:left="4320" w:hanging="1080"/>
      </w:pPr>
      <w:rPr>
        <w:rFonts w:hint="default"/>
      </w:rPr>
    </w:lvl>
    <w:lvl w:ilvl="5">
      <w:start w:val="1"/>
      <w:numFmt w:val="decimal"/>
      <w:isLgl/>
      <w:lvlText w:val="%1.%2.%3.%4.%5.%6."/>
      <w:lvlJc w:val="left"/>
      <w:pPr>
        <w:ind w:left="5040" w:hanging="1080"/>
      </w:pPr>
      <w:rPr>
        <w:rFonts w:hint="default"/>
      </w:rPr>
    </w:lvl>
    <w:lvl w:ilvl="6">
      <w:start w:val="1"/>
      <w:numFmt w:val="decimal"/>
      <w:isLgl/>
      <w:lvlText w:val="%1.%2.%3.%4.%5.%6.%7."/>
      <w:lvlJc w:val="left"/>
      <w:pPr>
        <w:ind w:left="6120" w:hanging="1440"/>
      </w:pPr>
      <w:rPr>
        <w:rFonts w:hint="default"/>
      </w:rPr>
    </w:lvl>
    <w:lvl w:ilvl="7">
      <w:start w:val="1"/>
      <w:numFmt w:val="decimal"/>
      <w:isLgl/>
      <w:lvlText w:val="%1.%2.%3.%4.%5.%6.%7.%8."/>
      <w:lvlJc w:val="left"/>
      <w:pPr>
        <w:ind w:left="6840" w:hanging="1440"/>
      </w:pPr>
      <w:rPr>
        <w:rFonts w:hint="default"/>
      </w:rPr>
    </w:lvl>
    <w:lvl w:ilvl="8">
      <w:start w:val="1"/>
      <w:numFmt w:val="decimal"/>
      <w:isLgl/>
      <w:lvlText w:val="%1.%2.%3.%4.%5.%6.%7.%8.%9."/>
      <w:lvlJc w:val="left"/>
      <w:pPr>
        <w:ind w:left="7920" w:hanging="1800"/>
      </w:pPr>
      <w:rPr>
        <w:rFonts w:hint="default"/>
      </w:rPr>
    </w:lvl>
  </w:abstractNum>
  <w:abstractNum w:abstractNumId="24" w15:restartNumberingAfterBreak="0">
    <w:nsid w:val="766D7B45"/>
    <w:multiLevelType w:val="multilevel"/>
    <w:tmpl w:val="BCE0699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5" w15:restartNumberingAfterBreak="0">
    <w:nsid w:val="7E7D4268"/>
    <w:multiLevelType w:val="multilevel"/>
    <w:tmpl w:val="9670F690"/>
    <w:lvl w:ilvl="0">
      <w:start w:val="2"/>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362753303">
    <w:abstractNumId w:val="14"/>
  </w:num>
  <w:num w:numId="2" w16cid:durableId="2061323321">
    <w:abstractNumId w:val="19"/>
  </w:num>
  <w:num w:numId="3" w16cid:durableId="897672119">
    <w:abstractNumId w:val="17"/>
  </w:num>
  <w:num w:numId="4" w16cid:durableId="1028289783">
    <w:abstractNumId w:val="10"/>
  </w:num>
  <w:num w:numId="5" w16cid:durableId="882449520">
    <w:abstractNumId w:val="16"/>
  </w:num>
  <w:num w:numId="6" w16cid:durableId="419835326">
    <w:abstractNumId w:val="12"/>
  </w:num>
  <w:num w:numId="7" w16cid:durableId="1698237353">
    <w:abstractNumId w:val="24"/>
  </w:num>
  <w:num w:numId="8" w16cid:durableId="2103379271">
    <w:abstractNumId w:val="2"/>
  </w:num>
  <w:num w:numId="9" w16cid:durableId="626741642">
    <w:abstractNumId w:val="22"/>
  </w:num>
  <w:num w:numId="10" w16cid:durableId="1185285123">
    <w:abstractNumId w:val="23"/>
  </w:num>
  <w:num w:numId="11" w16cid:durableId="539629172">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044408141">
    <w:abstractNumId w:val="8"/>
  </w:num>
  <w:num w:numId="13" w16cid:durableId="500703296">
    <w:abstractNumId w:val="20"/>
  </w:num>
  <w:num w:numId="14" w16cid:durableId="2012948656">
    <w:abstractNumId w:val="6"/>
  </w:num>
  <w:num w:numId="15" w16cid:durableId="717975981">
    <w:abstractNumId w:val="13"/>
  </w:num>
  <w:num w:numId="16" w16cid:durableId="819620478">
    <w:abstractNumId w:val="7"/>
  </w:num>
  <w:num w:numId="17" w16cid:durableId="775250771">
    <w:abstractNumId w:val="4"/>
  </w:num>
  <w:num w:numId="18" w16cid:durableId="680745575">
    <w:abstractNumId w:val="3"/>
  </w:num>
  <w:num w:numId="19" w16cid:durableId="1969627186">
    <w:abstractNumId w:val="18"/>
  </w:num>
  <w:num w:numId="20" w16cid:durableId="805780332">
    <w:abstractNumId w:val="0"/>
  </w:num>
  <w:num w:numId="21" w16cid:durableId="870843501">
    <w:abstractNumId w:val="1"/>
  </w:num>
  <w:num w:numId="22" w16cid:durableId="1559318479">
    <w:abstractNumId w:val="25"/>
  </w:num>
  <w:num w:numId="23" w16cid:durableId="1967344820">
    <w:abstractNumId w:val="9"/>
  </w:num>
  <w:num w:numId="24" w16cid:durableId="1362365633">
    <w:abstractNumId w:val="21"/>
  </w:num>
  <w:num w:numId="25" w16cid:durableId="2101215232">
    <w:abstractNumId w:val="5"/>
  </w:num>
  <w:num w:numId="26" w16cid:durableId="2084983048">
    <w:abstractNumId w:val="11"/>
  </w:num>
  <w:num w:numId="27" w16cid:durableId="36680577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YwswTSRubGxgZGhko6SsGpxcWZ+XkgBYZmtQBUk4i/LQAAAA=="/>
  </w:docVars>
  <w:rsids>
    <w:rsidRoot w:val="00CC1467"/>
    <w:rsid w:val="00016CE8"/>
    <w:rsid w:val="0009016F"/>
    <w:rsid w:val="000B4C30"/>
    <w:rsid w:val="000D79CE"/>
    <w:rsid w:val="0012079C"/>
    <w:rsid w:val="00186F1B"/>
    <w:rsid w:val="001B3553"/>
    <w:rsid w:val="001B45B5"/>
    <w:rsid w:val="001C4B94"/>
    <w:rsid w:val="00223642"/>
    <w:rsid w:val="0026056E"/>
    <w:rsid w:val="002835D6"/>
    <w:rsid w:val="00296521"/>
    <w:rsid w:val="0032020B"/>
    <w:rsid w:val="003504C7"/>
    <w:rsid w:val="00357CFE"/>
    <w:rsid w:val="0037122C"/>
    <w:rsid w:val="003F48AB"/>
    <w:rsid w:val="00434382"/>
    <w:rsid w:val="004862CC"/>
    <w:rsid w:val="004A6349"/>
    <w:rsid w:val="004E46D8"/>
    <w:rsid w:val="00517CDE"/>
    <w:rsid w:val="0059224B"/>
    <w:rsid w:val="00606773"/>
    <w:rsid w:val="00627883"/>
    <w:rsid w:val="006943DE"/>
    <w:rsid w:val="006C3680"/>
    <w:rsid w:val="006E69BF"/>
    <w:rsid w:val="00717E0E"/>
    <w:rsid w:val="00733E60"/>
    <w:rsid w:val="00790A05"/>
    <w:rsid w:val="007E4FEB"/>
    <w:rsid w:val="00883435"/>
    <w:rsid w:val="008F44FA"/>
    <w:rsid w:val="009C4D93"/>
    <w:rsid w:val="009E23C7"/>
    <w:rsid w:val="00B519FB"/>
    <w:rsid w:val="00BC3198"/>
    <w:rsid w:val="00BC3CF8"/>
    <w:rsid w:val="00BC5F98"/>
    <w:rsid w:val="00BE30EB"/>
    <w:rsid w:val="00C13023"/>
    <w:rsid w:val="00C219C5"/>
    <w:rsid w:val="00C33BC6"/>
    <w:rsid w:val="00CA6176"/>
    <w:rsid w:val="00CB74F9"/>
    <w:rsid w:val="00CC1467"/>
    <w:rsid w:val="00D10F22"/>
    <w:rsid w:val="00D9581A"/>
    <w:rsid w:val="00DC0E0F"/>
    <w:rsid w:val="00E175D6"/>
    <w:rsid w:val="00E33996"/>
    <w:rsid w:val="00E46135"/>
    <w:rsid w:val="00E86BDB"/>
    <w:rsid w:val="00EE4F07"/>
    <w:rsid w:val="00EF2E54"/>
    <w:rsid w:val="00EF5970"/>
    <w:rsid w:val="00F150F7"/>
    <w:rsid w:val="00F33B3D"/>
    <w:rsid w:val="00F85905"/>
    <w:rsid w:val="00FA21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10D4E"/>
  <w15:chartTrackingRefBased/>
  <w15:docId w15:val="{AE33D7F8-D816-4E1E-AAA4-73FDE1FE65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50F7"/>
    <w:pPr>
      <w:ind w:left="720"/>
      <w:contextualSpacing/>
    </w:pPr>
  </w:style>
  <w:style w:type="paragraph" w:styleId="NormalWeb">
    <w:name w:val="Normal (Web)"/>
    <w:basedOn w:val="Normal"/>
    <w:uiPriority w:val="99"/>
    <w:unhideWhenUsed/>
    <w:rsid w:val="000D79CE"/>
    <w:pPr>
      <w:spacing w:before="100" w:beforeAutospacing="1" w:after="100" w:afterAutospacing="1" w:line="240" w:lineRule="auto"/>
    </w:pPr>
    <w:rPr>
      <w:rFonts w:ascii="Times New Roman" w:eastAsia="Times New Roman" w:hAnsi="Times New Roman" w:cs="Times New Roman"/>
      <w:noProof w:val="0"/>
      <w:kern w:val="0"/>
      <w:sz w:val="24"/>
      <w:szCs w:val="24"/>
      <w:lang w:val="en-US"/>
      <w14:ligatures w14:val="none"/>
    </w:rPr>
  </w:style>
  <w:style w:type="character" w:styleId="Strong">
    <w:name w:val="Strong"/>
    <w:basedOn w:val="DefaultParagraphFont"/>
    <w:uiPriority w:val="22"/>
    <w:qFormat/>
    <w:rsid w:val="000D79CE"/>
    <w:rPr>
      <w:b/>
      <w:bCs/>
    </w:rPr>
  </w:style>
  <w:style w:type="character" w:styleId="Hyperlink">
    <w:name w:val="Hyperlink"/>
    <w:basedOn w:val="DefaultParagraphFont"/>
    <w:uiPriority w:val="99"/>
    <w:unhideWhenUsed/>
    <w:rsid w:val="00CB74F9"/>
    <w:rPr>
      <w:color w:val="0563C1" w:themeColor="hyperlink"/>
      <w:u w:val="single"/>
    </w:rPr>
  </w:style>
  <w:style w:type="character" w:styleId="UnresolvedMention">
    <w:name w:val="Unresolved Mention"/>
    <w:basedOn w:val="DefaultParagraphFont"/>
    <w:uiPriority w:val="99"/>
    <w:semiHidden/>
    <w:unhideWhenUsed/>
    <w:rsid w:val="00CB74F9"/>
    <w:rPr>
      <w:color w:val="605E5C"/>
      <w:shd w:val="clear" w:color="auto" w:fill="E1DFDD"/>
    </w:rPr>
  </w:style>
  <w:style w:type="character" w:styleId="PlaceholderText">
    <w:name w:val="Placeholder Text"/>
    <w:basedOn w:val="DefaultParagraphFont"/>
    <w:uiPriority w:val="99"/>
    <w:semiHidden/>
    <w:rsid w:val="00FA21E3"/>
    <w:rPr>
      <w:color w:val="666666"/>
    </w:rPr>
  </w:style>
  <w:style w:type="character" w:customStyle="1" w:styleId="mord">
    <w:name w:val="mord"/>
    <w:basedOn w:val="DefaultParagraphFont"/>
    <w:rsid w:val="0009016F"/>
  </w:style>
  <w:style w:type="character" w:customStyle="1" w:styleId="mspace">
    <w:name w:val="mspace"/>
    <w:basedOn w:val="DefaultParagraphFont"/>
    <w:rsid w:val="0009016F"/>
  </w:style>
  <w:style w:type="character" w:customStyle="1" w:styleId="mrel">
    <w:name w:val="mrel"/>
    <w:basedOn w:val="DefaultParagraphFont"/>
    <w:rsid w:val="0009016F"/>
  </w:style>
  <w:style w:type="character" w:customStyle="1" w:styleId="mop">
    <w:name w:val="mop"/>
    <w:basedOn w:val="DefaultParagraphFont"/>
    <w:rsid w:val="0009016F"/>
  </w:style>
  <w:style w:type="character" w:customStyle="1" w:styleId="vlist-s">
    <w:name w:val="vlist-s"/>
    <w:basedOn w:val="DefaultParagraphFont"/>
    <w:rsid w:val="0009016F"/>
  </w:style>
  <w:style w:type="character" w:customStyle="1" w:styleId="mopen">
    <w:name w:val="mopen"/>
    <w:basedOn w:val="DefaultParagraphFont"/>
    <w:rsid w:val="0009016F"/>
  </w:style>
  <w:style w:type="character" w:customStyle="1" w:styleId="mbin">
    <w:name w:val="mbin"/>
    <w:basedOn w:val="DefaultParagraphFont"/>
    <w:rsid w:val="0009016F"/>
  </w:style>
  <w:style w:type="character" w:customStyle="1" w:styleId="mclose">
    <w:name w:val="mclose"/>
    <w:basedOn w:val="DefaultParagraphFont"/>
    <w:rsid w:val="0009016F"/>
  </w:style>
  <w:style w:type="paragraph" w:styleId="Header">
    <w:name w:val="header"/>
    <w:basedOn w:val="Normal"/>
    <w:link w:val="HeaderChar"/>
    <w:uiPriority w:val="99"/>
    <w:unhideWhenUsed/>
    <w:rsid w:val="0009016F"/>
    <w:pPr>
      <w:tabs>
        <w:tab w:val="center" w:pos="4680"/>
        <w:tab w:val="right" w:pos="9360"/>
      </w:tabs>
      <w:spacing w:after="0" w:line="240" w:lineRule="auto"/>
    </w:pPr>
  </w:style>
  <w:style w:type="character" w:customStyle="1" w:styleId="HeaderChar">
    <w:name w:val="Header Char"/>
    <w:basedOn w:val="DefaultParagraphFont"/>
    <w:link w:val="Header"/>
    <w:uiPriority w:val="99"/>
    <w:rsid w:val="0009016F"/>
    <w:rPr>
      <w:noProof/>
      <w:lang w:val="en-GB"/>
    </w:rPr>
  </w:style>
  <w:style w:type="paragraph" w:styleId="Footer">
    <w:name w:val="footer"/>
    <w:basedOn w:val="Normal"/>
    <w:link w:val="FooterChar"/>
    <w:uiPriority w:val="99"/>
    <w:unhideWhenUsed/>
    <w:rsid w:val="0009016F"/>
    <w:pPr>
      <w:tabs>
        <w:tab w:val="center" w:pos="4680"/>
        <w:tab w:val="right" w:pos="9360"/>
      </w:tabs>
      <w:spacing w:after="0" w:line="240" w:lineRule="auto"/>
    </w:pPr>
  </w:style>
  <w:style w:type="character" w:customStyle="1" w:styleId="FooterChar">
    <w:name w:val="Footer Char"/>
    <w:basedOn w:val="DefaultParagraphFont"/>
    <w:link w:val="Footer"/>
    <w:uiPriority w:val="99"/>
    <w:rsid w:val="0009016F"/>
    <w:rPr>
      <w:noProo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435473">
      <w:bodyDiv w:val="1"/>
      <w:marLeft w:val="0"/>
      <w:marRight w:val="0"/>
      <w:marTop w:val="0"/>
      <w:marBottom w:val="0"/>
      <w:divBdr>
        <w:top w:val="none" w:sz="0" w:space="0" w:color="auto"/>
        <w:left w:val="none" w:sz="0" w:space="0" w:color="auto"/>
        <w:bottom w:val="none" w:sz="0" w:space="0" w:color="auto"/>
        <w:right w:val="none" w:sz="0" w:space="0" w:color="auto"/>
      </w:divBdr>
    </w:div>
    <w:div w:id="60444947">
      <w:bodyDiv w:val="1"/>
      <w:marLeft w:val="0"/>
      <w:marRight w:val="0"/>
      <w:marTop w:val="0"/>
      <w:marBottom w:val="0"/>
      <w:divBdr>
        <w:top w:val="none" w:sz="0" w:space="0" w:color="auto"/>
        <w:left w:val="none" w:sz="0" w:space="0" w:color="auto"/>
        <w:bottom w:val="none" w:sz="0" w:space="0" w:color="auto"/>
        <w:right w:val="none" w:sz="0" w:space="0" w:color="auto"/>
      </w:divBdr>
    </w:div>
    <w:div w:id="116995367">
      <w:bodyDiv w:val="1"/>
      <w:marLeft w:val="0"/>
      <w:marRight w:val="0"/>
      <w:marTop w:val="0"/>
      <w:marBottom w:val="0"/>
      <w:divBdr>
        <w:top w:val="none" w:sz="0" w:space="0" w:color="auto"/>
        <w:left w:val="none" w:sz="0" w:space="0" w:color="auto"/>
        <w:bottom w:val="none" w:sz="0" w:space="0" w:color="auto"/>
        <w:right w:val="none" w:sz="0" w:space="0" w:color="auto"/>
      </w:divBdr>
    </w:div>
    <w:div w:id="158205087">
      <w:bodyDiv w:val="1"/>
      <w:marLeft w:val="0"/>
      <w:marRight w:val="0"/>
      <w:marTop w:val="0"/>
      <w:marBottom w:val="0"/>
      <w:divBdr>
        <w:top w:val="none" w:sz="0" w:space="0" w:color="auto"/>
        <w:left w:val="none" w:sz="0" w:space="0" w:color="auto"/>
        <w:bottom w:val="none" w:sz="0" w:space="0" w:color="auto"/>
        <w:right w:val="none" w:sz="0" w:space="0" w:color="auto"/>
      </w:divBdr>
    </w:div>
    <w:div w:id="166412204">
      <w:bodyDiv w:val="1"/>
      <w:marLeft w:val="0"/>
      <w:marRight w:val="0"/>
      <w:marTop w:val="0"/>
      <w:marBottom w:val="0"/>
      <w:divBdr>
        <w:top w:val="none" w:sz="0" w:space="0" w:color="auto"/>
        <w:left w:val="none" w:sz="0" w:space="0" w:color="auto"/>
        <w:bottom w:val="none" w:sz="0" w:space="0" w:color="auto"/>
        <w:right w:val="none" w:sz="0" w:space="0" w:color="auto"/>
      </w:divBdr>
    </w:div>
    <w:div w:id="170219044">
      <w:bodyDiv w:val="1"/>
      <w:marLeft w:val="0"/>
      <w:marRight w:val="0"/>
      <w:marTop w:val="0"/>
      <w:marBottom w:val="0"/>
      <w:divBdr>
        <w:top w:val="none" w:sz="0" w:space="0" w:color="auto"/>
        <w:left w:val="none" w:sz="0" w:space="0" w:color="auto"/>
        <w:bottom w:val="none" w:sz="0" w:space="0" w:color="auto"/>
        <w:right w:val="none" w:sz="0" w:space="0" w:color="auto"/>
      </w:divBdr>
    </w:div>
    <w:div w:id="203911878">
      <w:bodyDiv w:val="1"/>
      <w:marLeft w:val="0"/>
      <w:marRight w:val="0"/>
      <w:marTop w:val="0"/>
      <w:marBottom w:val="0"/>
      <w:divBdr>
        <w:top w:val="none" w:sz="0" w:space="0" w:color="auto"/>
        <w:left w:val="none" w:sz="0" w:space="0" w:color="auto"/>
        <w:bottom w:val="none" w:sz="0" w:space="0" w:color="auto"/>
        <w:right w:val="none" w:sz="0" w:space="0" w:color="auto"/>
      </w:divBdr>
    </w:div>
    <w:div w:id="220334399">
      <w:bodyDiv w:val="1"/>
      <w:marLeft w:val="0"/>
      <w:marRight w:val="0"/>
      <w:marTop w:val="0"/>
      <w:marBottom w:val="0"/>
      <w:divBdr>
        <w:top w:val="none" w:sz="0" w:space="0" w:color="auto"/>
        <w:left w:val="none" w:sz="0" w:space="0" w:color="auto"/>
        <w:bottom w:val="none" w:sz="0" w:space="0" w:color="auto"/>
        <w:right w:val="none" w:sz="0" w:space="0" w:color="auto"/>
      </w:divBdr>
    </w:div>
    <w:div w:id="348606360">
      <w:bodyDiv w:val="1"/>
      <w:marLeft w:val="0"/>
      <w:marRight w:val="0"/>
      <w:marTop w:val="0"/>
      <w:marBottom w:val="0"/>
      <w:divBdr>
        <w:top w:val="none" w:sz="0" w:space="0" w:color="auto"/>
        <w:left w:val="none" w:sz="0" w:space="0" w:color="auto"/>
        <w:bottom w:val="none" w:sz="0" w:space="0" w:color="auto"/>
        <w:right w:val="none" w:sz="0" w:space="0" w:color="auto"/>
      </w:divBdr>
    </w:div>
    <w:div w:id="391465131">
      <w:bodyDiv w:val="1"/>
      <w:marLeft w:val="0"/>
      <w:marRight w:val="0"/>
      <w:marTop w:val="0"/>
      <w:marBottom w:val="0"/>
      <w:divBdr>
        <w:top w:val="none" w:sz="0" w:space="0" w:color="auto"/>
        <w:left w:val="none" w:sz="0" w:space="0" w:color="auto"/>
        <w:bottom w:val="none" w:sz="0" w:space="0" w:color="auto"/>
        <w:right w:val="none" w:sz="0" w:space="0" w:color="auto"/>
      </w:divBdr>
      <w:divsChild>
        <w:div w:id="426660724">
          <w:marLeft w:val="0"/>
          <w:marRight w:val="0"/>
          <w:marTop w:val="0"/>
          <w:marBottom w:val="0"/>
          <w:divBdr>
            <w:top w:val="none" w:sz="0" w:space="0" w:color="auto"/>
            <w:left w:val="none" w:sz="0" w:space="0" w:color="auto"/>
            <w:bottom w:val="none" w:sz="0" w:space="0" w:color="auto"/>
            <w:right w:val="none" w:sz="0" w:space="0" w:color="auto"/>
          </w:divBdr>
          <w:divsChild>
            <w:div w:id="18704819">
              <w:marLeft w:val="0"/>
              <w:marRight w:val="0"/>
              <w:marTop w:val="0"/>
              <w:marBottom w:val="0"/>
              <w:divBdr>
                <w:top w:val="none" w:sz="0" w:space="0" w:color="auto"/>
                <w:left w:val="none" w:sz="0" w:space="0" w:color="auto"/>
                <w:bottom w:val="none" w:sz="0" w:space="0" w:color="auto"/>
                <w:right w:val="none" w:sz="0" w:space="0" w:color="auto"/>
              </w:divBdr>
              <w:divsChild>
                <w:div w:id="378168737">
                  <w:marLeft w:val="0"/>
                  <w:marRight w:val="0"/>
                  <w:marTop w:val="0"/>
                  <w:marBottom w:val="0"/>
                  <w:divBdr>
                    <w:top w:val="none" w:sz="0" w:space="0" w:color="auto"/>
                    <w:left w:val="none" w:sz="0" w:space="0" w:color="auto"/>
                    <w:bottom w:val="none" w:sz="0" w:space="0" w:color="auto"/>
                    <w:right w:val="none" w:sz="0" w:space="0" w:color="auto"/>
                  </w:divBdr>
                  <w:divsChild>
                    <w:div w:id="1106118488">
                      <w:marLeft w:val="0"/>
                      <w:marRight w:val="0"/>
                      <w:marTop w:val="0"/>
                      <w:marBottom w:val="0"/>
                      <w:divBdr>
                        <w:top w:val="none" w:sz="0" w:space="0" w:color="auto"/>
                        <w:left w:val="none" w:sz="0" w:space="0" w:color="auto"/>
                        <w:bottom w:val="none" w:sz="0" w:space="0" w:color="auto"/>
                        <w:right w:val="none" w:sz="0" w:space="0" w:color="auto"/>
                      </w:divBdr>
                    </w:div>
                    <w:div w:id="1188250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2966379">
      <w:bodyDiv w:val="1"/>
      <w:marLeft w:val="0"/>
      <w:marRight w:val="0"/>
      <w:marTop w:val="0"/>
      <w:marBottom w:val="0"/>
      <w:divBdr>
        <w:top w:val="none" w:sz="0" w:space="0" w:color="auto"/>
        <w:left w:val="none" w:sz="0" w:space="0" w:color="auto"/>
        <w:bottom w:val="none" w:sz="0" w:space="0" w:color="auto"/>
        <w:right w:val="none" w:sz="0" w:space="0" w:color="auto"/>
      </w:divBdr>
    </w:div>
    <w:div w:id="469789637">
      <w:bodyDiv w:val="1"/>
      <w:marLeft w:val="0"/>
      <w:marRight w:val="0"/>
      <w:marTop w:val="0"/>
      <w:marBottom w:val="0"/>
      <w:divBdr>
        <w:top w:val="none" w:sz="0" w:space="0" w:color="auto"/>
        <w:left w:val="none" w:sz="0" w:space="0" w:color="auto"/>
        <w:bottom w:val="none" w:sz="0" w:space="0" w:color="auto"/>
        <w:right w:val="none" w:sz="0" w:space="0" w:color="auto"/>
      </w:divBdr>
    </w:div>
    <w:div w:id="545138488">
      <w:bodyDiv w:val="1"/>
      <w:marLeft w:val="0"/>
      <w:marRight w:val="0"/>
      <w:marTop w:val="0"/>
      <w:marBottom w:val="0"/>
      <w:divBdr>
        <w:top w:val="none" w:sz="0" w:space="0" w:color="auto"/>
        <w:left w:val="none" w:sz="0" w:space="0" w:color="auto"/>
        <w:bottom w:val="none" w:sz="0" w:space="0" w:color="auto"/>
        <w:right w:val="none" w:sz="0" w:space="0" w:color="auto"/>
      </w:divBdr>
    </w:div>
    <w:div w:id="558633119">
      <w:bodyDiv w:val="1"/>
      <w:marLeft w:val="0"/>
      <w:marRight w:val="0"/>
      <w:marTop w:val="0"/>
      <w:marBottom w:val="0"/>
      <w:divBdr>
        <w:top w:val="none" w:sz="0" w:space="0" w:color="auto"/>
        <w:left w:val="none" w:sz="0" w:space="0" w:color="auto"/>
        <w:bottom w:val="none" w:sz="0" w:space="0" w:color="auto"/>
        <w:right w:val="none" w:sz="0" w:space="0" w:color="auto"/>
      </w:divBdr>
    </w:div>
    <w:div w:id="673069642">
      <w:bodyDiv w:val="1"/>
      <w:marLeft w:val="0"/>
      <w:marRight w:val="0"/>
      <w:marTop w:val="0"/>
      <w:marBottom w:val="0"/>
      <w:divBdr>
        <w:top w:val="none" w:sz="0" w:space="0" w:color="auto"/>
        <w:left w:val="none" w:sz="0" w:space="0" w:color="auto"/>
        <w:bottom w:val="none" w:sz="0" w:space="0" w:color="auto"/>
        <w:right w:val="none" w:sz="0" w:space="0" w:color="auto"/>
      </w:divBdr>
    </w:div>
    <w:div w:id="689263053">
      <w:bodyDiv w:val="1"/>
      <w:marLeft w:val="0"/>
      <w:marRight w:val="0"/>
      <w:marTop w:val="0"/>
      <w:marBottom w:val="0"/>
      <w:divBdr>
        <w:top w:val="none" w:sz="0" w:space="0" w:color="auto"/>
        <w:left w:val="none" w:sz="0" w:space="0" w:color="auto"/>
        <w:bottom w:val="none" w:sz="0" w:space="0" w:color="auto"/>
        <w:right w:val="none" w:sz="0" w:space="0" w:color="auto"/>
      </w:divBdr>
    </w:div>
    <w:div w:id="853810190">
      <w:bodyDiv w:val="1"/>
      <w:marLeft w:val="0"/>
      <w:marRight w:val="0"/>
      <w:marTop w:val="0"/>
      <w:marBottom w:val="0"/>
      <w:divBdr>
        <w:top w:val="none" w:sz="0" w:space="0" w:color="auto"/>
        <w:left w:val="none" w:sz="0" w:space="0" w:color="auto"/>
        <w:bottom w:val="none" w:sz="0" w:space="0" w:color="auto"/>
        <w:right w:val="none" w:sz="0" w:space="0" w:color="auto"/>
      </w:divBdr>
    </w:div>
    <w:div w:id="905922206">
      <w:bodyDiv w:val="1"/>
      <w:marLeft w:val="0"/>
      <w:marRight w:val="0"/>
      <w:marTop w:val="0"/>
      <w:marBottom w:val="0"/>
      <w:divBdr>
        <w:top w:val="none" w:sz="0" w:space="0" w:color="auto"/>
        <w:left w:val="none" w:sz="0" w:space="0" w:color="auto"/>
        <w:bottom w:val="none" w:sz="0" w:space="0" w:color="auto"/>
        <w:right w:val="none" w:sz="0" w:space="0" w:color="auto"/>
      </w:divBdr>
    </w:div>
    <w:div w:id="1017315878">
      <w:bodyDiv w:val="1"/>
      <w:marLeft w:val="0"/>
      <w:marRight w:val="0"/>
      <w:marTop w:val="0"/>
      <w:marBottom w:val="0"/>
      <w:divBdr>
        <w:top w:val="none" w:sz="0" w:space="0" w:color="auto"/>
        <w:left w:val="none" w:sz="0" w:space="0" w:color="auto"/>
        <w:bottom w:val="none" w:sz="0" w:space="0" w:color="auto"/>
        <w:right w:val="none" w:sz="0" w:space="0" w:color="auto"/>
      </w:divBdr>
    </w:div>
    <w:div w:id="1119497826">
      <w:bodyDiv w:val="1"/>
      <w:marLeft w:val="0"/>
      <w:marRight w:val="0"/>
      <w:marTop w:val="0"/>
      <w:marBottom w:val="0"/>
      <w:divBdr>
        <w:top w:val="none" w:sz="0" w:space="0" w:color="auto"/>
        <w:left w:val="none" w:sz="0" w:space="0" w:color="auto"/>
        <w:bottom w:val="none" w:sz="0" w:space="0" w:color="auto"/>
        <w:right w:val="none" w:sz="0" w:space="0" w:color="auto"/>
      </w:divBdr>
    </w:div>
    <w:div w:id="1133838501">
      <w:bodyDiv w:val="1"/>
      <w:marLeft w:val="0"/>
      <w:marRight w:val="0"/>
      <w:marTop w:val="0"/>
      <w:marBottom w:val="0"/>
      <w:divBdr>
        <w:top w:val="none" w:sz="0" w:space="0" w:color="auto"/>
        <w:left w:val="none" w:sz="0" w:space="0" w:color="auto"/>
        <w:bottom w:val="none" w:sz="0" w:space="0" w:color="auto"/>
        <w:right w:val="none" w:sz="0" w:space="0" w:color="auto"/>
      </w:divBdr>
    </w:div>
    <w:div w:id="1155223116">
      <w:bodyDiv w:val="1"/>
      <w:marLeft w:val="0"/>
      <w:marRight w:val="0"/>
      <w:marTop w:val="0"/>
      <w:marBottom w:val="0"/>
      <w:divBdr>
        <w:top w:val="none" w:sz="0" w:space="0" w:color="auto"/>
        <w:left w:val="none" w:sz="0" w:space="0" w:color="auto"/>
        <w:bottom w:val="none" w:sz="0" w:space="0" w:color="auto"/>
        <w:right w:val="none" w:sz="0" w:space="0" w:color="auto"/>
      </w:divBdr>
    </w:div>
    <w:div w:id="1348678305">
      <w:bodyDiv w:val="1"/>
      <w:marLeft w:val="0"/>
      <w:marRight w:val="0"/>
      <w:marTop w:val="0"/>
      <w:marBottom w:val="0"/>
      <w:divBdr>
        <w:top w:val="none" w:sz="0" w:space="0" w:color="auto"/>
        <w:left w:val="none" w:sz="0" w:space="0" w:color="auto"/>
        <w:bottom w:val="none" w:sz="0" w:space="0" w:color="auto"/>
        <w:right w:val="none" w:sz="0" w:space="0" w:color="auto"/>
      </w:divBdr>
      <w:divsChild>
        <w:div w:id="609046121">
          <w:marLeft w:val="0"/>
          <w:marRight w:val="0"/>
          <w:marTop w:val="0"/>
          <w:marBottom w:val="0"/>
          <w:divBdr>
            <w:top w:val="single" w:sz="2" w:space="0" w:color="E3E3E3"/>
            <w:left w:val="single" w:sz="2" w:space="0" w:color="E3E3E3"/>
            <w:bottom w:val="single" w:sz="2" w:space="0" w:color="E3E3E3"/>
            <w:right w:val="single" w:sz="2" w:space="0" w:color="E3E3E3"/>
          </w:divBdr>
          <w:divsChild>
            <w:div w:id="2027172982">
              <w:marLeft w:val="0"/>
              <w:marRight w:val="0"/>
              <w:marTop w:val="0"/>
              <w:marBottom w:val="0"/>
              <w:divBdr>
                <w:top w:val="single" w:sz="2" w:space="0" w:color="E3E3E3"/>
                <w:left w:val="single" w:sz="2" w:space="0" w:color="E3E3E3"/>
                <w:bottom w:val="single" w:sz="2" w:space="0" w:color="E3E3E3"/>
                <w:right w:val="single" w:sz="2" w:space="0" w:color="E3E3E3"/>
              </w:divBdr>
              <w:divsChild>
                <w:div w:id="1970822280">
                  <w:marLeft w:val="0"/>
                  <w:marRight w:val="0"/>
                  <w:marTop w:val="0"/>
                  <w:marBottom w:val="0"/>
                  <w:divBdr>
                    <w:top w:val="single" w:sz="2" w:space="0" w:color="E3E3E3"/>
                    <w:left w:val="single" w:sz="2" w:space="0" w:color="E3E3E3"/>
                    <w:bottom w:val="single" w:sz="2" w:space="0" w:color="E3E3E3"/>
                    <w:right w:val="single" w:sz="2" w:space="0" w:color="E3E3E3"/>
                  </w:divBdr>
                  <w:divsChild>
                    <w:div w:id="1159467619">
                      <w:marLeft w:val="0"/>
                      <w:marRight w:val="0"/>
                      <w:marTop w:val="0"/>
                      <w:marBottom w:val="0"/>
                      <w:divBdr>
                        <w:top w:val="single" w:sz="2" w:space="0" w:color="E3E3E3"/>
                        <w:left w:val="single" w:sz="2" w:space="0" w:color="E3E3E3"/>
                        <w:bottom w:val="single" w:sz="2" w:space="0" w:color="E3E3E3"/>
                        <w:right w:val="single" w:sz="2" w:space="0" w:color="E3E3E3"/>
                      </w:divBdr>
                      <w:divsChild>
                        <w:div w:id="371266696">
                          <w:marLeft w:val="0"/>
                          <w:marRight w:val="0"/>
                          <w:marTop w:val="0"/>
                          <w:marBottom w:val="0"/>
                          <w:divBdr>
                            <w:top w:val="single" w:sz="2" w:space="0" w:color="E3E3E3"/>
                            <w:left w:val="single" w:sz="2" w:space="0" w:color="E3E3E3"/>
                            <w:bottom w:val="single" w:sz="2" w:space="0" w:color="E3E3E3"/>
                            <w:right w:val="single" w:sz="2" w:space="0" w:color="E3E3E3"/>
                          </w:divBdr>
                          <w:divsChild>
                            <w:div w:id="841814865">
                              <w:marLeft w:val="0"/>
                              <w:marRight w:val="0"/>
                              <w:marTop w:val="0"/>
                              <w:marBottom w:val="0"/>
                              <w:divBdr>
                                <w:top w:val="single" w:sz="2" w:space="0" w:color="E3E3E3"/>
                                <w:left w:val="single" w:sz="2" w:space="0" w:color="E3E3E3"/>
                                <w:bottom w:val="single" w:sz="2" w:space="0" w:color="E3E3E3"/>
                                <w:right w:val="single" w:sz="2" w:space="0" w:color="E3E3E3"/>
                              </w:divBdr>
                              <w:divsChild>
                                <w:div w:id="687755915">
                                  <w:marLeft w:val="0"/>
                                  <w:marRight w:val="0"/>
                                  <w:marTop w:val="100"/>
                                  <w:marBottom w:val="100"/>
                                  <w:divBdr>
                                    <w:top w:val="single" w:sz="2" w:space="0" w:color="E3E3E3"/>
                                    <w:left w:val="single" w:sz="2" w:space="0" w:color="E3E3E3"/>
                                    <w:bottom w:val="single" w:sz="2" w:space="0" w:color="E3E3E3"/>
                                    <w:right w:val="single" w:sz="2" w:space="0" w:color="E3E3E3"/>
                                  </w:divBdr>
                                  <w:divsChild>
                                    <w:div w:id="1929384649">
                                      <w:marLeft w:val="0"/>
                                      <w:marRight w:val="0"/>
                                      <w:marTop w:val="0"/>
                                      <w:marBottom w:val="0"/>
                                      <w:divBdr>
                                        <w:top w:val="single" w:sz="2" w:space="0" w:color="E3E3E3"/>
                                        <w:left w:val="single" w:sz="2" w:space="0" w:color="E3E3E3"/>
                                        <w:bottom w:val="single" w:sz="2" w:space="0" w:color="E3E3E3"/>
                                        <w:right w:val="single" w:sz="2" w:space="0" w:color="E3E3E3"/>
                                      </w:divBdr>
                                      <w:divsChild>
                                        <w:div w:id="1816558180">
                                          <w:marLeft w:val="0"/>
                                          <w:marRight w:val="0"/>
                                          <w:marTop w:val="0"/>
                                          <w:marBottom w:val="0"/>
                                          <w:divBdr>
                                            <w:top w:val="single" w:sz="2" w:space="0" w:color="E3E3E3"/>
                                            <w:left w:val="single" w:sz="2" w:space="0" w:color="E3E3E3"/>
                                            <w:bottom w:val="single" w:sz="2" w:space="0" w:color="E3E3E3"/>
                                            <w:right w:val="single" w:sz="2" w:space="0" w:color="E3E3E3"/>
                                          </w:divBdr>
                                          <w:divsChild>
                                            <w:div w:id="355085651">
                                              <w:marLeft w:val="0"/>
                                              <w:marRight w:val="0"/>
                                              <w:marTop w:val="0"/>
                                              <w:marBottom w:val="0"/>
                                              <w:divBdr>
                                                <w:top w:val="single" w:sz="2" w:space="0" w:color="E3E3E3"/>
                                                <w:left w:val="single" w:sz="2" w:space="0" w:color="E3E3E3"/>
                                                <w:bottom w:val="single" w:sz="2" w:space="0" w:color="E3E3E3"/>
                                                <w:right w:val="single" w:sz="2" w:space="0" w:color="E3E3E3"/>
                                              </w:divBdr>
                                              <w:divsChild>
                                                <w:div w:id="1416249382">
                                                  <w:marLeft w:val="0"/>
                                                  <w:marRight w:val="0"/>
                                                  <w:marTop w:val="0"/>
                                                  <w:marBottom w:val="0"/>
                                                  <w:divBdr>
                                                    <w:top w:val="single" w:sz="2" w:space="0" w:color="E3E3E3"/>
                                                    <w:left w:val="single" w:sz="2" w:space="0" w:color="E3E3E3"/>
                                                    <w:bottom w:val="single" w:sz="2" w:space="0" w:color="E3E3E3"/>
                                                    <w:right w:val="single" w:sz="2" w:space="0" w:color="E3E3E3"/>
                                                  </w:divBdr>
                                                  <w:divsChild>
                                                    <w:div w:id="1363825782">
                                                      <w:marLeft w:val="0"/>
                                                      <w:marRight w:val="0"/>
                                                      <w:marTop w:val="0"/>
                                                      <w:marBottom w:val="0"/>
                                                      <w:divBdr>
                                                        <w:top w:val="single" w:sz="2" w:space="0" w:color="E3E3E3"/>
                                                        <w:left w:val="single" w:sz="2" w:space="0" w:color="E3E3E3"/>
                                                        <w:bottom w:val="single" w:sz="2" w:space="0" w:color="E3E3E3"/>
                                                        <w:right w:val="single" w:sz="2" w:space="0" w:color="E3E3E3"/>
                                                      </w:divBdr>
                                                      <w:divsChild>
                                                        <w:div w:id="20891835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604263282">
          <w:marLeft w:val="0"/>
          <w:marRight w:val="0"/>
          <w:marTop w:val="0"/>
          <w:marBottom w:val="0"/>
          <w:divBdr>
            <w:top w:val="none" w:sz="0" w:space="0" w:color="auto"/>
            <w:left w:val="none" w:sz="0" w:space="0" w:color="auto"/>
            <w:bottom w:val="none" w:sz="0" w:space="0" w:color="auto"/>
            <w:right w:val="none" w:sz="0" w:space="0" w:color="auto"/>
          </w:divBdr>
        </w:div>
      </w:divsChild>
    </w:div>
    <w:div w:id="1363238428">
      <w:bodyDiv w:val="1"/>
      <w:marLeft w:val="0"/>
      <w:marRight w:val="0"/>
      <w:marTop w:val="0"/>
      <w:marBottom w:val="0"/>
      <w:divBdr>
        <w:top w:val="none" w:sz="0" w:space="0" w:color="auto"/>
        <w:left w:val="none" w:sz="0" w:space="0" w:color="auto"/>
        <w:bottom w:val="none" w:sz="0" w:space="0" w:color="auto"/>
        <w:right w:val="none" w:sz="0" w:space="0" w:color="auto"/>
      </w:divBdr>
    </w:div>
    <w:div w:id="1575242617">
      <w:bodyDiv w:val="1"/>
      <w:marLeft w:val="0"/>
      <w:marRight w:val="0"/>
      <w:marTop w:val="0"/>
      <w:marBottom w:val="0"/>
      <w:divBdr>
        <w:top w:val="none" w:sz="0" w:space="0" w:color="auto"/>
        <w:left w:val="none" w:sz="0" w:space="0" w:color="auto"/>
        <w:bottom w:val="none" w:sz="0" w:space="0" w:color="auto"/>
        <w:right w:val="none" w:sz="0" w:space="0" w:color="auto"/>
      </w:divBdr>
    </w:div>
    <w:div w:id="1681548421">
      <w:bodyDiv w:val="1"/>
      <w:marLeft w:val="0"/>
      <w:marRight w:val="0"/>
      <w:marTop w:val="0"/>
      <w:marBottom w:val="0"/>
      <w:divBdr>
        <w:top w:val="none" w:sz="0" w:space="0" w:color="auto"/>
        <w:left w:val="none" w:sz="0" w:space="0" w:color="auto"/>
        <w:bottom w:val="none" w:sz="0" w:space="0" w:color="auto"/>
        <w:right w:val="none" w:sz="0" w:space="0" w:color="auto"/>
      </w:divBdr>
      <w:divsChild>
        <w:div w:id="1630553301">
          <w:marLeft w:val="0"/>
          <w:marRight w:val="0"/>
          <w:marTop w:val="0"/>
          <w:marBottom w:val="0"/>
          <w:divBdr>
            <w:top w:val="none" w:sz="0" w:space="0" w:color="auto"/>
            <w:left w:val="none" w:sz="0" w:space="0" w:color="auto"/>
            <w:bottom w:val="none" w:sz="0" w:space="0" w:color="auto"/>
            <w:right w:val="none" w:sz="0" w:space="0" w:color="auto"/>
          </w:divBdr>
          <w:divsChild>
            <w:div w:id="289479784">
              <w:marLeft w:val="0"/>
              <w:marRight w:val="0"/>
              <w:marTop w:val="0"/>
              <w:marBottom w:val="0"/>
              <w:divBdr>
                <w:top w:val="none" w:sz="0" w:space="0" w:color="auto"/>
                <w:left w:val="none" w:sz="0" w:space="0" w:color="auto"/>
                <w:bottom w:val="none" w:sz="0" w:space="0" w:color="auto"/>
                <w:right w:val="none" w:sz="0" w:space="0" w:color="auto"/>
              </w:divBdr>
              <w:divsChild>
                <w:div w:id="1058014315">
                  <w:marLeft w:val="0"/>
                  <w:marRight w:val="0"/>
                  <w:marTop w:val="0"/>
                  <w:marBottom w:val="0"/>
                  <w:divBdr>
                    <w:top w:val="none" w:sz="0" w:space="0" w:color="auto"/>
                    <w:left w:val="none" w:sz="0" w:space="0" w:color="auto"/>
                    <w:bottom w:val="none" w:sz="0" w:space="0" w:color="auto"/>
                    <w:right w:val="none" w:sz="0" w:space="0" w:color="auto"/>
                  </w:divBdr>
                  <w:divsChild>
                    <w:div w:id="7030187">
                      <w:marLeft w:val="0"/>
                      <w:marRight w:val="0"/>
                      <w:marTop w:val="0"/>
                      <w:marBottom w:val="0"/>
                      <w:divBdr>
                        <w:top w:val="none" w:sz="0" w:space="0" w:color="auto"/>
                        <w:left w:val="none" w:sz="0" w:space="0" w:color="auto"/>
                        <w:bottom w:val="none" w:sz="0" w:space="0" w:color="auto"/>
                        <w:right w:val="none" w:sz="0" w:space="0" w:color="auto"/>
                      </w:divBdr>
                    </w:div>
                    <w:div w:id="1331062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6270557">
          <w:marLeft w:val="0"/>
          <w:marRight w:val="0"/>
          <w:marTop w:val="0"/>
          <w:marBottom w:val="0"/>
          <w:divBdr>
            <w:top w:val="none" w:sz="0" w:space="0" w:color="auto"/>
            <w:left w:val="none" w:sz="0" w:space="0" w:color="auto"/>
            <w:bottom w:val="none" w:sz="0" w:space="0" w:color="auto"/>
            <w:right w:val="none" w:sz="0" w:space="0" w:color="auto"/>
          </w:divBdr>
          <w:divsChild>
            <w:div w:id="2118941477">
              <w:marLeft w:val="0"/>
              <w:marRight w:val="0"/>
              <w:marTop w:val="0"/>
              <w:marBottom w:val="0"/>
              <w:divBdr>
                <w:top w:val="none" w:sz="0" w:space="0" w:color="auto"/>
                <w:left w:val="none" w:sz="0" w:space="0" w:color="auto"/>
                <w:bottom w:val="none" w:sz="0" w:space="0" w:color="auto"/>
                <w:right w:val="none" w:sz="0" w:space="0" w:color="auto"/>
              </w:divBdr>
              <w:divsChild>
                <w:div w:id="1545556414">
                  <w:marLeft w:val="0"/>
                  <w:marRight w:val="0"/>
                  <w:marTop w:val="0"/>
                  <w:marBottom w:val="0"/>
                  <w:divBdr>
                    <w:top w:val="none" w:sz="0" w:space="0" w:color="auto"/>
                    <w:left w:val="none" w:sz="0" w:space="0" w:color="auto"/>
                    <w:bottom w:val="none" w:sz="0" w:space="0" w:color="auto"/>
                    <w:right w:val="none" w:sz="0" w:space="0" w:color="auto"/>
                  </w:divBdr>
                  <w:divsChild>
                    <w:div w:id="1532567396">
                      <w:marLeft w:val="0"/>
                      <w:marRight w:val="0"/>
                      <w:marTop w:val="0"/>
                      <w:marBottom w:val="0"/>
                      <w:divBdr>
                        <w:top w:val="none" w:sz="0" w:space="0" w:color="auto"/>
                        <w:left w:val="none" w:sz="0" w:space="0" w:color="auto"/>
                        <w:bottom w:val="none" w:sz="0" w:space="0" w:color="auto"/>
                        <w:right w:val="none" w:sz="0" w:space="0" w:color="auto"/>
                      </w:divBdr>
                    </w:div>
                    <w:div w:id="1121386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7131631">
          <w:marLeft w:val="0"/>
          <w:marRight w:val="0"/>
          <w:marTop w:val="0"/>
          <w:marBottom w:val="0"/>
          <w:divBdr>
            <w:top w:val="none" w:sz="0" w:space="0" w:color="auto"/>
            <w:left w:val="none" w:sz="0" w:space="0" w:color="auto"/>
            <w:bottom w:val="none" w:sz="0" w:space="0" w:color="auto"/>
            <w:right w:val="none" w:sz="0" w:space="0" w:color="auto"/>
          </w:divBdr>
          <w:divsChild>
            <w:div w:id="1901987081">
              <w:marLeft w:val="0"/>
              <w:marRight w:val="0"/>
              <w:marTop w:val="0"/>
              <w:marBottom w:val="0"/>
              <w:divBdr>
                <w:top w:val="none" w:sz="0" w:space="0" w:color="auto"/>
                <w:left w:val="none" w:sz="0" w:space="0" w:color="auto"/>
                <w:bottom w:val="none" w:sz="0" w:space="0" w:color="auto"/>
                <w:right w:val="none" w:sz="0" w:space="0" w:color="auto"/>
              </w:divBdr>
              <w:divsChild>
                <w:div w:id="2084448996">
                  <w:marLeft w:val="0"/>
                  <w:marRight w:val="0"/>
                  <w:marTop w:val="0"/>
                  <w:marBottom w:val="0"/>
                  <w:divBdr>
                    <w:top w:val="none" w:sz="0" w:space="0" w:color="auto"/>
                    <w:left w:val="none" w:sz="0" w:space="0" w:color="auto"/>
                    <w:bottom w:val="none" w:sz="0" w:space="0" w:color="auto"/>
                    <w:right w:val="none" w:sz="0" w:space="0" w:color="auto"/>
                  </w:divBdr>
                  <w:divsChild>
                    <w:div w:id="721293127">
                      <w:marLeft w:val="0"/>
                      <w:marRight w:val="0"/>
                      <w:marTop w:val="0"/>
                      <w:marBottom w:val="0"/>
                      <w:divBdr>
                        <w:top w:val="none" w:sz="0" w:space="0" w:color="auto"/>
                        <w:left w:val="none" w:sz="0" w:space="0" w:color="auto"/>
                        <w:bottom w:val="none" w:sz="0" w:space="0" w:color="auto"/>
                        <w:right w:val="none" w:sz="0" w:space="0" w:color="auto"/>
                      </w:divBdr>
                    </w:div>
                    <w:div w:id="596257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514317">
          <w:marLeft w:val="0"/>
          <w:marRight w:val="0"/>
          <w:marTop w:val="0"/>
          <w:marBottom w:val="0"/>
          <w:divBdr>
            <w:top w:val="none" w:sz="0" w:space="0" w:color="auto"/>
            <w:left w:val="none" w:sz="0" w:space="0" w:color="auto"/>
            <w:bottom w:val="none" w:sz="0" w:space="0" w:color="auto"/>
            <w:right w:val="none" w:sz="0" w:space="0" w:color="auto"/>
          </w:divBdr>
          <w:divsChild>
            <w:div w:id="630357438">
              <w:marLeft w:val="0"/>
              <w:marRight w:val="0"/>
              <w:marTop w:val="0"/>
              <w:marBottom w:val="0"/>
              <w:divBdr>
                <w:top w:val="none" w:sz="0" w:space="0" w:color="auto"/>
                <w:left w:val="none" w:sz="0" w:space="0" w:color="auto"/>
                <w:bottom w:val="none" w:sz="0" w:space="0" w:color="auto"/>
                <w:right w:val="none" w:sz="0" w:space="0" w:color="auto"/>
              </w:divBdr>
              <w:divsChild>
                <w:div w:id="1416325011">
                  <w:marLeft w:val="0"/>
                  <w:marRight w:val="0"/>
                  <w:marTop w:val="0"/>
                  <w:marBottom w:val="0"/>
                  <w:divBdr>
                    <w:top w:val="none" w:sz="0" w:space="0" w:color="auto"/>
                    <w:left w:val="none" w:sz="0" w:space="0" w:color="auto"/>
                    <w:bottom w:val="none" w:sz="0" w:space="0" w:color="auto"/>
                    <w:right w:val="none" w:sz="0" w:space="0" w:color="auto"/>
                  </w:divBdr>
                  <w:divsChild>
                    <w:div w:id="935401869">
                      <w:marLeft w:val="0"/>
                      <w:marRight w:val="0"/>
                      <w:marTop w:val="0"/>
                      <w:marBottom w:val="0"/>
                      <w:divBdr>
                        <w:top w:val="none" w:sz="0" w:space="0" w:color="auto"/>
                        <w:left w:val="none" w:sz="0" w:space="0" w:color="auto"/>
                        <w:bottom w:val="none" w:sz="0" w:space="0" w:color="auto"/>
                        <w:right w:val="none" w:sz="0" w:space="0" w:color="auto"/>
                      </w:divBdr>
                    </w:div>
                    <w:div w:id="1456217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0664991">
      <w:bodyDiv w:val="1"/>
      <w:marLeft w:val="0"/>
      <w:marRight w:val="0"/>
      <w:marTop w:val="0"/>
      <w:marBottom w:val="0"/>
      <w:divBdr>
        <w:top w:val="none" w:sz="0" w:space="0" w:color="auto"/>
        <w:left w:val="none" w:sz="0" w:space="0" w:color="auto"/>
        <w:bottom w:val="none" w:sz="0" w:space="0" w:color="auto"/>
        <w:right w:val="none" w:sz="0" w:space="0" w:color="auto"/>
      </w:divBdr>
    </w:div>
    <w:div w:id="1747611410">
      <w:bodyDiv w:val="1"/>
      <w:marLeft w:val="0"/>
      <w:marRight w:val="0"/>
      <w:marTop w:val="0"/>
      <w:marBottom w:val="0"/>
      <w:divBdr>
        <w:top w:val="none" w:sz="0" w:space="0" w:color="auto"/>
        <w:left w:val="none" w:sz="0" w:space="0" w:color="auto"/>
        <w:bottom w:val="none" w:sz="0" w:space="0" w:color="auto"/>
        <w:right w:val="none" w:sz="0" w:space="0" w:color="auto"/>
      </w:divBdr>
    </w:div>
    <w:div w:id="1880121764">
      <w:bodyDiv w:val="1"/>
      <w:marLeft w:val="0"/>
      <w:marRight w:val="0"/>
      <w:marTop w:val="0"/>
      <w:marBottom w:val="0"/>
      <w:divBdr>
        <w:top w:val="none" w:sz="0" w:space="0" w:color="auto"/>
        <w:left w:val="none" w:sz="0" w:space="0" w:color="auto"/>
        <w:bottom w:val="none" w:sz="0" w:space="0" w:color="auto"/>
        <w:right w:val="none" w:sz="0" w:space="0" w:color="auto"/>
      </w:divBdr>
    </w:div>
    <w:div w:id="1909145294">
      <w:bodyDiv w:val="1"/>
      <w:marLeft w:val="0"/>
      <w:marRight w:val="0"/>
      <w:marTop w:val="0"/>
      <w:marBottom w:val="0"/>
      <w:divBdr>
        <w:top w:val="none" w:sz="0" w:space="0" w:color="auto"/>
        <w:left w:val="none" w:sz="0" w:space="0" w:color="auto"/>
        <w:bottom w:val="none" w:sz="0" w:space="0" w:color="auto"/>
        <w:right w:val="none" w:sz="0" w:space="0" w:color="auto"/>
      </w:divBdr>
    </w:div>
    <w:div w:id="1959599172">
      <w:bodyDiv w:val="1"/>
      <w:marLeft w:val="0"/>
      <w:marRight w:val="0"/>
      <w:marTop w:val="0"/>
      <w:marBottom w:val="0"/>
      <w:divBdr>
        <w:top w:val="none" w:sz="0" w:space="0" w:color="auto"/>
        <w:left w:val="none" w:sz="0" w:space="0" w:color="auto"/>
        <w:bottom w:val="none" w:sz="0" w:space="0" w:color="auto"/>
        <w:right w:val="none" w:sz="0" w:space="0" w:color="auto"/>
      </w:divBdr>
    </w:div>
    <w:div w:id="1968047456">
      <w:bodyDiv w:val="1"/>
      <w:marLeft w:val="0"/>
      <w:marRight w:val="0"/>
      <w:marTop w:val="0"/>
      <w:marBottom w:val="0"/>
      <w:divBdr>
        <w:top w:val="none" w:sz="0" w:space="0" w:color="auto"/>
        <w:left w:val="none" w:sz="0" w:space="0" w:color="auto"/>
        <w:bottom w:val="none" w:sz="0" w:space="0" w:color="auto"/>
        <w:right w:val="none" w:sz="0" w:space="0" w:color="auto"/>
      </w:divBdr>
      <w:divsChild>
        <w:div w:id="1064255342">
          <w:marLeft w:val="0"/>
          <w:marRight w:val="0"/>
          <w:marTop w:val="0"/>
          <w:marBottom w:val="0"/>
          <w:divBdr>
            <w:top w:val="single" w:sz="2" w:space="0" w:color="E3E3E3"/>
            <w:left w:val="single" w:sz="2" w:space="0" w:color="E3E3E3"/>
            <w:bottom w:val="single" w:sz="2" w:space="0" w:color="E3E3E3"/>
            <w:right w:val="single" w:sz="2" w:space="0" w:color="E3E3E3"/>
          </w:divBdr>
          <w:divsChild>
            <w:div w:id="593561732">
              <w:marLeft w:val="0"/>
              <w:marRight w:val="0"/>
              <w:marTop w:val="0"/>
              <w:marBottom w:val="0"/>
              <w:divBdr>
                <w:top w:val="single" w:sz="2" w:space="0" w:color="E3E3E3"/>
                <w:left w:val="single" w:sz="2" w:space="0" w:color="E3E3E3"/>
                <w:bottom w:val="single" w:sz="2" w:space="0" w:color="E3E3E3"/>
                <w:right w:val="single" w:sz="2" w:space="0" w:color="E3E3E3"/>
              </w:divBdr>
              <w:divsChild>
                <w:div w:id="2128573572">
                  <w:marLeft w:val="0"/>
                  <w:marRight w:val="0"/>
                  <w:marTop w:val="0"/>
                  <w:marBottom w:val="0"/>
                  <w:divBdr>
                    <w:top w:val="single" w:sz="2" w:space="0" w:color="E3E3E3"/>
                    <w:left w:val="single" w:sz="2" w:space="0" w:color="E3E3E3"/>
                    <w:bottom w:val="single" w:sz="2" w:space="0" w:color="E3E3E3"/>
                    <w:right w:val="single" w:sz="2" w:space="0" w:color="E3E3E3"/>
                  </w:divBdr>
                  <w:divsChild>
                    <w:div w:id="477965562">
                      <w:marLeft w:val="0"/>
                      <w:marRight w:val="0"/>
                      <w:marTop w:val="0"/>
                      <w:marBottom w:val="0"/>
                      <w:divBdr>
                        <w:top w:val="single" w:sz="2" w:space="0" w:color="E3E3E3"/>
                        <w:left w:val="single" w:sz="2" w:space="0" w:color="E3E3E3"/>
                        <w:bottom w:val="single" w:sz="2" w:space="0" w:color="E3E3E3"/>
                        <w:right w:val="single" w:sz="2" w:space="0" w:color="E3E3E3"/>
                      </w:divBdr>
                      <w:divsChild>
                        <w:div w:id="781221227">
                          <w:marLeft w:val="0"/>
                          <w:marRight w:val="0"/>
                          <w:marTop w:val="0"/>
                          <w:marBottom w:val="0"/>
                          <w:divBdr>
                            <w:top w:val="single" w:sz="2" w:space="0" w:color="E3E3E3"/>
                            <w:left w:val="single" w:sz="2" w:space="0" w:color="E3E3E3"/>
                            <w:bottom w:val="single" w:sz="2" w:space="0" w:color="E3E3E3"/>
                            <w:right w:val="single" w:sz="2" w:space="0" w:color="E3E3E3"/>
                          </w:divBdr>
                          <w:divsChild>
                            <w:div w:id="1209148353">
                              <w:marLeft w:val="0"/>
                              <w:marRight w:val="0"/>
                              <w:marTop w:val="0"/>
                              <w:marBottom w:val="0"/>
                              <w:divBdr>
                                <w:top w:val="single" w:sz="2" w:space="0" w:color="E3E3E3"/>
                                <w:left w:val="single" w:sz="2" w:space="0" w:color="E3E3E3"/>
                                <w:bottom w:val="single" w:sz="2" w:space="0" w:color="E3E3E3"/>
                                <w:right w:val="single" w:sz="2" w:space="0" w:color="E3E3E3"/>
                              </w:divBdr>
                              <w:divsChild>
                                <w:div w:id="597829216">
                                  <w:marLeft w:val="0"/>
                                  <w:marRight w:val="0"/>
                                  <w:marTop w:val="100"/>
                                  <w:marBottom w:val="100"/>
                                  <w:divBdr>
                                    <w:top w:val="single" w:sz="2" w:space="0" w:color="E3E3E3"/>
                                    <w:left w:val="single" w:sz="2" w:space="0" w:color="E3E3E3"/>
                                    <w:bottom w:val="single" w:sz="2" w:space="0" w:color="E3E3E3"/>
                                    <w:right w:val="single" w:sz="2" w:space="0" w:color="E3E3E3"/>
                                  </w:divBdr>
                                  <w:divsChild>
                                    <w:div w:id="65033323">
                                      <w:marLeft w:val="0"/>
                                      <w:marRight w:val="0"/>
                                      <w:marTop w:val="0"/>
                                      <w:marBottom w:val="0"/>
                                      <w:divBdr>
                                        <w:top w:val="single" w:sz="2" w:space="0" w:color="E3E3E3"/>
                                        <w:left w:val="single" w:sz="2" w:space="0" w:color="E3E3E3"/>
                                        <w:bottom w:val="single" w:sz="2" w:space="0" w:color="E3E3E3"/>
                                        <w:right w:val="single" w:sz="2" w:space="0" w:color="E3E3E3"/>
                                      </w:divBdr>
                                      <w:divsChild>
                                        <w:div w:id="1979140251">
                                          <w:marLeft w:val="0"/>
                                          <w:marRight w:val="0"/>
                                          <w:marTop w:val="0"/>
                                          <w:marBottom w:val="0"/>
                                          <w:divBdr>
                                            <w:top w:val="single" w:sz="2" w:space="0" w:color="E3E3E3"/>
                                            <w:left w:val="single" w:sz="2" w:space="0" w:color="E3E3E3"/>
                                            <w:bottom w:val="single" w:sz="2" w:space="0" w:color="E3E3E3"/>
                                            <w:right w:val="single" w:sz="2" w:space="0" w:color="E3E3E3"/>
                                          </w:divBdr>
                                          <w:divsChild>
                                            <w:div w:id="777022017">
                                              <w:marLeft w:val="0"/>
                                              <w:marRight w:val="0"/>
                                              <w:marTop w:val="0"/>
                                              <w:marBottom w:val="0"/>
                                              <w:divBdr>
                                                <w:top w:val="single" w:sz="2" w:space="0" w:color="E3E3E3"/>
                                                <w:left w:val="single" w:sz="2" w:space="0" w:color="E3E3E3"/>
                                                <w:bottom w:val="single" w:sz="2" w:space="0" w:color="E3E3E3"/>
                                                <w:right w:val="single" w:sz="2" w:space="0" w:color="E3E3E3"/>
                                              </w:divBdr>
                                              <w:divsChild>
                                                <w:div w:id="1406687172">
                                                  <w:marLeft w:val="0"/>
                                                  <w:marRight w:val="0"/>
                                                  <w:marTop w:val="0"/>
                                                  <w:marBottom w:val="0"/>
                                                  <w:divBdr>
                                                    <w:top w:val="single" w:sz="2" w:space="0" w:color="E3E3E3"/>
                                                    <w:left w:val="single" w:sz="2" w:space="0" w:color="E3E3E3"/>
                                                    <w:bottom w:val="single" w:sz="2" w:space="0" w:color="E3E3E3"/>
                                                    <w:right w:val="single" w:sz="2" w:space="0" w:color="E3E3E3"/>
                                                  </w:divBdr>
                                                  <w:divsChild>
                                                    <w:div w:id="275212574">
                                                      <w:marLeft w:val="0"/>
                                                      <w:marRight w:val="0"/>
                                                      <w:marTop w:val="0"/>
                                                      <w:marBottom w:val="0"/>
                                                      <w:divBdr>
                                                        <w:top w:val="single" w:sz="2" w:space="0" w:color="E3E3E3"/>
                                                        <w:left w:val="single" w:sz="2" w:space="0" w:color="E3E3E3"/>
                                                        <w:bottom w:val="single" w:sz="2" w:space="0" w:color="E3E3E3"/>
                                                        <w:right w:val="single" w:sz="2" w:space="0" w:color="E3E3E3"/>
                                                      </w:divBdr>
                                                      <w:divsChild>
                                                        <w:div w:id="17834984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640963776">
          <w:marLeft w:val="0"/>
          <w:marRight w:val="0"/>
          <w:marTop w:val="0"/>
          <w:marBottom w:val="0"/>
          <w:divBdr>
            <w:top w:val="none" w:sz="0" w:space="0" w:color="auto"/>
            <w:left w:val="none" w:sz="0" w:space="0" w:color="auto"/>
            <w:bottom w:val="none" w:sz="0" w:space="0" w:color="auto"/>
            <w:right w:val="none" w:sz="0" w:space="0" w:color="auto"/>
          </w:divBdr>
        </w:div>
      </w:divsChild>
    </w:div>
    <w:div w:id="1992708055">
      <w:bodyDiv w:val="1"/>
      <w:marLeft w:val="0"/>
      <w:marRight w:val="0"/>
      <w:marTop w:val="0"/>
      <w:marBottom w:val="0"/>
      <w:divBdr>
        <w:top w:val="none" w:sz="0" w:space="0" w:color="auto"/>
        <w:left w:val="none" w:sz="0" w:space="0" w:color="auto"/>
        <w:bottom w:val="none" w:sz="0" w:space="0" w:color="auto"/>
        <w:right w:val="none" w:sz="0" w:space="0" w:color="auto"/>
      </w:divBdr>
    </w:div>
    <w:div w:id="2144887294">
      <w:bodyDiv w:val="1"/>
      <w:marLeft w:val="0"/>
      <w:marRight w:val="0"/>
      <w:marTop w:val="0"/>
      <w:marBottom w:val="0"/>
      <w:divBdr>
        <w:top w:val="none" w:sz="0" w:space="0" w:color="auto"/>
        <w:left w:val="none" w:sz="0" w:space="0" w:color="auto"/>
        <w:bottom w:val="none" w:sz="0" w:space="0" w:color="auto"/>
        <w:right w:val="none" w:sz="0" w:space="0" w:color="auto"/>
      </w:divBdr>
    </w:div>
    <w:div w:id="2146582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984</TotalTime>
  <Pages>30</Pages>
  <Words>6930</Words>
  <Characters>39506</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Valeria Varga (2009456)</dc:creator>
  <cp:keywords/>
  <dc:description/>
  <cp:lastModifiedBy>Valeria Varga (2009456)</cp:lastModifiedBy>
  <cp:revision>38</cp:revision>
  <dcterms:created xsi:type="dcterms:W3CDTF">2024-02-22T09:42:00Z</dcterms:created>
  <dcterms:modified xsi:type="dcterms:W3CDTF">2024-04-22T10:55:00Z</dcterms:modified>
</cp:coreProperties>
</file>