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rFonts w:ascii="Times New Roman" w:cs="Times New Roman" w:eastAsia="Times New Roman" w:hAnsi="Times New Roman"/>
          <w:sz w:val="40"/>
          <w:szCs w:val="40"/>
        </w:rPr>
      </w:pPr>
      <w:r w:rsidDel="00000000" w:rsidR="00000000" w:rsidRPr="00000000">
        <w:rPr>
          <w:rtl w:val="0"/>
        </w:rPr>
      </w:r>
    </w:p>
    <w:p w:rsidR="00000000" w:rsidDel="00000000" w:rsidP="00000000" w:rsidRDefault="00000000" w:rsidRPr="00000000" w14:paraId="00000002">
      <w:pPr>
        <w:jc w:val="center"/>
        <w:rPr>
          <w:rFonts w:ascii="Times New Roman" w:cs="Times New Roman" w:eastAsia="Times New Roman" w:hAnsi="Times New Roman"/>
          <w:sz w:val="40"/>
          <w:szCs w:val="40"/>
        </w:rPr>
      </w:pPr>
      <w:r w:rsidDel="00000000" w:rsidR="00000000" w:rsidRPr="00000000">
        <w:rPr>
          <w:rtl w:val="0"/>
        </w:rPr>
      </w:r>
    </w:p>
    <w:p w:rsidR="00000000" w:rsidDel="00000000" w:rsidP="00000000" w:rsidRDefault="00000000" w:rsidRPr="00000000" w14:paraId="00000003">
      <w:pPr>
        <w:jc w:val="center"/>
        <w:rPr>
          <w:rFonts w:ascii="Times New Roman" w:cs="Times New Roman" w:eastAsia="Times New Roman" w:hAnsi="Times New Roman"/>
          <w:sz w:val="40"/>
          <w:szCs w:val="40"/>
        </w:rPr>
      </w:pPr>
      <w:r w:rsidDel="00000000" w:rsidR="00000000" w:rsidRPr="00000000">
        <w:rPr>
          <w:rtl w:val="0"/>
        </w:rPr>
      </w:r>
    </w:p>
    <w:p w:rsidR="00000000" w:rsidDel="00000000" w:rsidP="00000000" w:rsidRDefault="00000000" w:rsidRPr="00000000" w14:paraId="00000004">
      <w:pPr>
        <w:jc w:val="center"/>
        <w:rPr>
          <w:rFonts w:ascii="Times New Roman" w:cs="Times New Roman" w:eastAsia="Times New Roman" w:hAnsi="Times New Roman"/>
          <w:sz w:val="40"/>
          <w:szCs w:val="40"/>
        </w:rPr>
      </w:pPr>
      <w:r w:rsidDel="00000000" w:rsidR="00000000" w:rsidRPr="00000000">
        <w:rPr>
          <w:rtl w:val="0"/>
        </w:rPr>
      </w:r>
    </w:p>
    <w:p w:rsidR="00000000" w:rsidDel="00000000" w:rsidP="00000000" w:rsidRDefault="00000000" w:rsidRPr="00000000" w14:paraId="00000005">
      <w:pPr>
        <w:jc w:val="center"/>
        <w:rPr>
          <w:rFonts w:ascii="Times New Roman" w:cs="Times New Roman" w:eastAsia="Times New Roman" w:hAnsi="Times New Roman"/>
          <w:sz w:val="40"/>
          <w:szCs w:val="40"/>
        </w:rPr>
      </w:pPr>
      <w:r w:rsidDel="00000000" w:rsidR="00000000" w:rsidRPr="00000000">
        <w:rPr>
          <w:rtl w:val="0"/>
        </w:rPr>
      </w:r>
    </w:p>
    <w:p w:rsidR="00000000" w:rsidDel="00000000" w:rsidP="00000000" w:rsidRDefault="00000000" w:rsidRPr="00000000" w14:paraId="00000006">
      <w:pPr>
        <w:jc w:val="center"/>
        <w:rPr>
          <w:rFonts w:ascii="Times New Roman" w:cs="Times New Roman" w:eastAsia="Times New Roman" w:hAnsi="Times New Roman"/>
          <w:sz w:val="40"/>
          <w:szCs w:val="40"/>
        </w:rPr>
      </w:pPr>
      <w:r w:rsidDel="00000000" w:rsidR="00000000" w:rsidRPr="00000000">
        <w:rPr>
          <w:rtl w:val="0"/>
        </w:rPr>
      </w:r>
    </w:p>
    <w:p w:rsidR="00000000" w:rsidDel="00000000" w:rsidP="00000000" w:rsidRDefault="00000000" w:rsidRPr="00000000" w14:paraId="00000007">
      <w:pPr>
        <w:jc w:val="center"/>
        <w:rPr>
          <w:rFonts w:ascii="Times New Roman" w:cs="Times New Roman" w:eastAsia="Times New Roman" w:hAnsi="Times New Roman"/>
          <w:sz w:val="40"/>
          <w:szCs w:val="40"/>
        </w:rPr>
      </w:pPr>
      <w:r w:rsidDel="00000000" w:rsidR="00000000" w:rsidRPr="00000000">
        <w:rPr>
          <w:rFonts w:ascii="Times New Roman" w:cs="Times New Roman" w:eastAsia="Times New Roman" w:hAnsi="Times New Roman"/>
          <w:sz w:val="40"/>
          <w:szCs w:val="40"/>
          <w:rtl w:val="0"/>
        </w:rPr>
        <w:t xml:space="preserve">Student Name: Marcela Elena Oprea</w:t>
      </w:r>
    </w:p>
    <w:p w:rsidR="00000000" w:rsidDel="00000000" w:rsidP="00000000" w:rsidRDefault="00000000" w:rsidRPr="00000000" w14:paraId="00000008">
      <w:pPr>
        <w:jc w:val="center"/>
        <w:rPr>
          <w:rFonts w:ascii="Times New Roman" w:cs="Times New Roman" w:eastAsia="Times New Roman" w:hAnsi="Times New Roman"/>
          <w:sz w:val="40"/>
          <w:szCs w:val="40"/>
        </w:rPr>
      </w:pPr>
      <w:r w:rsidDel="00000000" w:rsidR="00000000" w:rsidRPr="00000000">
        <w:rPr>
          <w:rFonts w:ascii="Times New Roman" w:cs="Times New Roman" w:eastAsia="Times New Roman" w:hAnsi="Times New Roman"/>
          <w:sz w:val="40"/>
          <w:szCs w:val="40"/>
          <w:rtl w:val="0"/>
        </w:rPr>
        <w:t xml:space="preserve">Student Number: 2322804</w:t>
      </w:r>
    </w:p>
    <w:p w:rsidR="00000000" w:rsidDel="00000000" w:rsidP="00000000" w:rsidRDefault="00000000" w:rsidRPr="00000000" w14:paraId="00000009">
      <w:pPr>
        <w:jc w:val="center"/>
        <w:rPr>
          <w:rFonts w:ascii="Times New Roman" w:cs="Times New Roman" w:eastAsia="Times New Roman" w:hAnsi="Times New Roman"/>
          <w:sz w:val="40"/>
          <w:szCs w:val="40"/>
        </w:rPr>
      </w:pPr>
      <w:r w:rsidDel="00000000" w:rsidR="00000000" w:rsidRPr="00000000">
        <w:rPr>
          <w:rFonts w:ascii="Times New Roman" w:cs="Times New Roman" w:eastAsia="Times New Roman" w:hAnsi="Times New Roman"/>
          <w:sz w:val="40"/>
          <w:szCs w:val="40"/>
          <w:rtl w:val="0"/>
        </w:rPr>
        <w:t xml:space="preserve">Module Title: Changemakers: Building your Personal Brand for Sustainable Employment</w:t>
      </w:r>
      <w:r w:rsidDel="00000000" w:rsidR="00000000" w:rsidRPr="00000000">
        <w:rPr>
          <w:rFonts w:ascii="Times New Roman" w:cs="Times New Roman" w:eastAsia="Times New Roman" w:hAnsi="Times New Roman"/>
          <w:b w:val="1"/>
          <w:bCs w:val="1"/>
          <w:sz w:val="40"/>
          <w:szCs w:val="40"/>
          <w:rtl w:val="0"/>
        </w:rPr>
        <w:t xml:space="preserve">   </w:t>
      </w:r>
      <w:r w:rsidDel="00000000" w:rsidR="00000000" w:rsidRPr="00000000">
        <w:rPr>
          <w:rtl w:val="0"/>
        </w:rPr>
      </w:r>
    </w:p>
    <w:p w:rsidR="00000000" w:rsidDel="00000000" w:rsidP="00000000" w:rsidRDefault="00000000" w:rsidRPr="00000000" w14:paraId="0000000A">
      <w:pPr>
        <w:jc w:val="center"/>
        <w:rPr>
          <w:rFonts w:ascii="Times New Roman" w:cs="Times New Roman" w:eastAsia="Times New Roman" w:hAnsi="Times New Roman"/>
          <w:sz w:val="40"/>
          <w:szCs w:val="40"/>
        </w:rPr>
      </w:pPr>
      <w:r w:rsidDel="00000000" w:rsidR="00000000" w:rsidRPr="00000000">
        <w:rPr>
          <w:rFonts w:ascii="Times New Roman" w:cs="Times New Roman" w:eastAsia="Times New Roman" w:hAnsi="Times New Roman"/>
          <w:sz w:val="40"/>
          <w:szCs w:val="40"/>
          <w:rtl w:val="0"/>
        </w:rPr>
        <w:t xml:space="preserve">Module Code: BMHP5015</w:t>
      </w:r>
    </w:p>
    <w:p w:rsidR="00000000" w:rsidDel="00000000" w:rsidP="00000000" w:rsidRDefault="00000000" w:rsidRPr="00000000" w14:paraId="0000000B">
      <w:pPr>
        <w:jc w:val="center"/>
        <w:rPr>
          <w:rFonts w:ascii="Times New Roman" w:cs="Times New Roman" w:eastAsia="Times New Roman" w:hAnsi="Times New Roman"/>
          <w:sz w:val="40"/>
          <w:szCs w:val="40"/>
        </w:rPr>
      </w:pPr>
      <w:r w:rsidDel="00000000" w:rsidR="00000000" w:rsidRPr="00000000">
        <w:rPr>
          <w:rFonts w:ascii="Times New Roman" w:cs="Times New Roman" w:eastAsia="Times New Roman" w:hAnsi="Times New Roman"/>
          <w:sz w:val="40"/>
          <w:szCs w:val="40"/>
          <w:rtl w:val="0"/>
        </w:rPr>
        <w:t xml:space="preserve">Assignment Title:  Written Assignment (Report)</w:t>
      </w:r>
    </w:p>
    <w:p w:rsidR="00000000" w:rsidDel="00000000" w:rsidP="00000000" w:rsidRDefault="00000000" w:rsidRPr="00000000" w14:paraId="0000000C">
      <w:pPr>
        <w:jc w:val="center"/>
        <w:rPr>
          <w:rFonts w:ascii="Times New Roman" w:cs="Times New Roman" w:eastAsia="Times New Roman" w:hAnsi="Times New Roman"/>
          <w:sz w:val="40"/>
          <w:szCs w:val="40"/>
        </w:rPr>
      </w:pPr>
      <w:r w:rsidDel="00000000" w:rsidR="00000000" w:rsidRPr="00000000">
        <w:rPr>
          <w:rFonts w:ascii="Times New Roman" w:cs="Times New Roman" w:eastAsia="Times New Roman" w:hAnsi="Times New Roman"/>
          <w:sz w:val="40"/>
          <w:szCs w:val="40"/>
          <w:rtl w:val="0"/>
        </w:rPr>
        <w:t xml:space="preserve">Lecturer:Danielle Dunne</w:t>
      </w:r>
    </w:p>
    <w:p w:rsidR="00000000" w:rsidDel="00000000" w:rsidP="00000000" w:rsidRDefault="00000000" w:rsidRPr="00000000" w14:paraId="0000000D">
      <w:pPr>
        <w:jc w:val="center"/>
        <w:rPr>
          <w:rFonts w:ascii="Times New Roman" w:cs="Times New Roman" w:eastAsia="Times New Roman" w:hAnsi="Times New Roman"/>
          <w:sz w:val="40"/>
          <w:szCs w:val="40"/>
        </w:rPr>
      </w:pPr>
      <w:r w:rsidDel="00000000" w:rsidR="00000000" w:rsidRPr="00000000">
        <w:rPr>
          <w:rtl w:val="0"/>
        </w:rPr>
      </w:r>
    </w:p>
    <w:p w:rsidR="00000000" w:rsidDel="00000000" w:rsidP="00000000" w:rsidRDefault="00000000" w:rsidRPr="00000000" w14:paraId="0000000E">
      <w:pPr>
        <w:jc w:val="center"/>
        <w:rPr>
          <w:rFonts w:ascii="Times New Roman" w:cs="Times New Roman" w:eastAsia="Times New Roman" w:hAnsi="Times New Roman"/>
          <w:sz w:val="40"/>
          <w:szCs w:val="40"/>
        </w:rPr>
      </w:pPr>
      <w:r w:rsidDel="00000000" w:rsidR="00000000" w:rsidRPr="00000000">
        <w:rPr>
          <w:rtl w:val="0"/>
        </w:rPr>
      </w:r>
    </w:p>
    <w:p w:rsidR="00000000" w:rsidDel="00000000" w:rsidP="00000000" w:rsidRDefault="00000000" w:rsidRPr="00000000" w14:paraId="0000000F">
      <w:pPr>
        <w:jc w:val="center"/>
        <w:rPr>
          <w:rFonts w:ascii="Times New Roman" w:cs="Times New Roman" w:eastAsia="Times New Roman" w:hAnsi="Times New Roman"/>
          <w:sz w:val="40"/>
          <w:szCs w:val="40"/>
        </w:rPr>
      </w:pPr>
      <w:r w:rsidDel="00000000" w:rsidR="00000000" w:rsidRPr="00000000">
        <w:rPr>
          <w:rtl w:val="0"/>
        </w:rPr>
      </w:r>
    </w:p>
    <w:p w:rsidR="00000000" w:rsidDel="00000000" w:rsidP="00000000" w:rsidRDefault="00000000" w:rsidRPr="00000000" w14:paraId="00000010">
      <w:pPr>
        <w:jc w:val="center"/>
        <w:rPr>
          <w:rFonts w:ascii="Times New Roman" w:cs="Times New Roman" w:eastAsia="Times New Roman" w:hAnsi="Times New Roman"/>
          <w:sz w:val="40"/>
          <w:szCs w:val="40"/>
        </w:rPr>
      </w:pPr>
      <w:r w:rsidDel="00000000" w:rsidR="00000000" w:rsidRPr="00000000">
        <w:rPr>
          <w:rtl w:val="0"/>
        </w:rPr>
      </w:r>
    </w:p>
    <w:p w:rsidR="00000000" w:rsidDel="00000000" w:rsidP="00000000" w:rsidRDefault="00000000" w:rsidRPr="00000000" w14:paraId="00000011">
      <w:pPr>
        <w:jc w:val="center"/>
        <w:rPr>
          <w:rFonts w:ascii="Times New Roman" w:cs="Times New Roman" w:eastAsia="Times New Roman" w:hAnsi="Times New Roman"/>
          <w:sz w:val="40"/>
          <w:szCs w:val="40"/>
        </w:rPr>
      </w:pPr>
      <w:r w:rsidDel="00000000" w:rsidR="00000000" w:rsidRPr="00000000">
        <w:rPr>
          <w:rtl w:val="0"/>
        </w:rPr>
      </w:r>
    </w:p>
    <w:p w:rsidR="00000000" w:rsidDel="00000000" w:rsidP="00000000" w:rsidRDefault="00000000" w:rsidRPr="00000000" w14:paraId="00000012">
      <w:pPr>
        <w:jc w:val="center"/>
        <w:rPr>
          <w:rFonts w:ascii="Times New Roman" w:cs="Times New Roman" w:eastAsia="Times New Roman" w:hAnsi="Times New Roman"/>
          <w:sz w:val="40"/>
          <w:szCs w:val="40"/>
        </w:rPr>
      </w:pPr>
      <w:r w:rsidDel="00000000" w:rsidR="00000000" w:rsidRPr="00000000">
        <w:rPr>
          <w:rtl w:val="0"/>
        </w:rPr>
      </w:r>
    </w:p>
    <w:p w:rsidR="00000000" w:rsidDel="00000000" w:rsidP="00000000" w:rsidRDefault="00000000" w:rsidRPr="00000000" w14:paraId="00000013">
      <w:pPr>
        <w:jc w:val="center"/>
        <w:rPr>
          <w:rFonts w:ascii="Times New Roman" w:cs="Times New Roman" w:eastAsia="Times New Roman" w:hAnsi="Times New Roman"/>
          <w:sz w:val="40"/>
          <w:szCs w:val="40"/>
        </w:rPr>
      </w:pPr>
      <w:r w:rsidDel="00000000" w:rsidR="00000000" w:rsidRPr="00000000">
        <w:rPr>
          <w:rtl w:val="0"/>
        </w:rPr>
      </w:r>
    </w:p>
    <w:p w:rsidR="00000000" w:rsidDel="00000000" w:rsidP="00000000" w:rsidRDefault="00000000" w:rsidRPr="00000000" w14:paraId="00000014">
      <w:pPr>
        <w:jc w:val="center"/>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Table of Contents</w:t>
      </w:r>
    </w:p>
    <w:p w:rsidR="00000000" w:rsidDel="00000000" w:rsidP="00000000" w:rsidRDefault="00000000" w:rsidRPr="00000000" w14:paraId="0000001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Play" w:cs="Play" w:eastAsia="Play" w:hAnsi="Play"/>
          <w:b w:val="0"/>
          <w:bCs w:val="0"/>
          <w:i w:val="0"/>
          <w:iCs w:val="0"/>
          <w:smallCaps w:val="0"/>
          <w:strike w:val="0"/>
          <w:color w:val="0f4761"/>
          <w:sz w:val="32"/>
          <w:szCs w:val="32"/>
          <w:u w:val="none"/>
          <w:shd w:fill="auto" w:val="clear"/>
          <w:vertAlign w:val="baseline"/>
        </w:rPr>
      </w:pPr>
      <w:r w:rsidDel="00000000" w:rsidR="00000000" w:rsidRPr="00000000">
        <w:rPr>
          <w:rFonts w:ascii="Play" w:cs="Play" w:eastAsia="Play" w:hAnsi="Play"/>
          <w:b w:val="0"/>
          <w:bCs w:val="0"/>
          <w:i w:val="0"/>
          <w:iCs w:val="0"/>
          <w:smallCaps w:val="0"/>
          <w:strike w:val="0"/>
          <w:color w:val="0f4761"/>
          <w:sz w:val="32"/>
          <w:szCs w:val="32"/>
          <w:u w:val="none"/>
          <w:shd w:fill="auto" w:val="clear"/>
          <w:vertAlign w:val="baseline"/>
          <w:rtl w:val="0"/>
        </w:rPr>
        <w:t xml:space="preserve">Contents</w:t>
      </w:r>
    </w:p>
    <w:sdt>
      <w:sdtPr>
        <w:id w:val="-148753566"/>
        <w:docPartObj>
          <w:docPartGallery w:val="Table of Contents"/>
          <w:docPartUnique w:val="1"/>
        </w:docPartObj>
      </w:sdtPr>
      <w:sdtContent>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9"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svgoxaruyqs4">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1. Introduction</w:t>
              <w:tab/>
              <w:t xml:space="preserve">3</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9"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124zewwecscf">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2. Job description and person specification</w:t>
              <w:tab/>
              <w:t xml:space="preserve">3</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9"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livwkm1n44ez">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2. Employability skills required for the HCA role</w:t>
              <w:tab/>
              <w:t xml:space="preserve">4</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9"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ah3b1cr79bk7">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3. My current skills and experience</w:t>
              <w:tab/>
              <w:t xml:space="preserve">6</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9"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6dgf97g3xqmn">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4. Building my personal brand and professional identity</w:t>
              <w:tab/>
              <w:t xml:space="preserve">7</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9"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g93g6u77psa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5. Action plan, timeline and resources</w:t>
              <w:tab/>
              <w:t xml:space="preserve">8</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9"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dc8msvqdxmbd">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6. Communicating my skills to employers</w:t>
              <w:tab/>
              <w:t xml:space="preserve">9</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9"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v8xt8x4ql1k5">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7. Conclusion</w:t>
              <w:tab/>
              <w:t xml:space="preserve">10</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9"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a7hkb0562v5z">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8. Reference List</w:t>
              <w:tab/>
              <w:t xml:space="preserve">10</w:t>
            </w:r>
          </w:hyperlink>
          <w:r w:rsidDel="00000000" w:rsidR="00000000" w:rsidRPr="00000000">
            <w:rPr>
              <w:rtl w:val="0"/>
            </w:rPr>
          </w:r>
        </w:p>
        <w:p w:rsidR="00000000" w:rsidDel="00000000" w:rsidP="00000000" w:rsidRDefault="00000000" w:rsidRPr="00000000" w14:paraId="0000001F">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pStyle w:val="Heading1"/>
        <w:rPr/>
      </w:pPr>
      <w:bookmarkStart w:colFirst="0" w:colLast="0" w:name="_heading=h.svgoxaruyqs4" w:id="0"/>
      <w:bookmarkEnd w:id="0"/>
      <w:r w:rsidDel="00000000" w:rsidR="00000000" w:rsidRPr="00000000">
        <w:rPr>
          <w:rtl w:val="0"/>
        </w:rPr>
        <w:t xml:space="preserve">1. Introduction</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spacing w:after="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w:t>
        <w:tab/>
        <w:t xml:space="preserve">In this report, I concentrate on the position of Health Care Assistant (HCA), Band 2, Planned Orthopaedic Unit at Tameside and Glossop Integrated Care NHS Foundation Trust because I want to develop my future career in front-line patient care. On November 11, 2025, a Band 2 position supporting patients on an elective orthopaedic ward under the supervision of registered staff was posted on the UK government's "Find a job" website (Tameside and Glossop Integrated Care NHS Foundation Trust, 2025). As proof, I would give a screenshot of this advertisement together with the complete URL in the appendix of my assignment.</w:t>
        <w:br w:type="textWrapping"/>
        <w:t xml:space="preserve"> </w:t>
        <w:tab/>
        <w:t xml:space="preserve">After comparing my profile with the employability skills needed for this HCA position, the report will assess them and provide a schedule and action plan for acquiring the abilities I lack. In these parts, I also discuss how I can market my professional identity, create a personal brand and build a network that will help me get job in the health and social care sectors.</w:t>
      </w:r>
    </w:p>
    <w:p w:rsidR="00000000" w:rsidDel="00000000" w:rsidP="00000000" w:rsidRDefault="00000000" w:rsidRPr="00000000" w14:paraId="00000033">
      <w:pPr>
        <w:spacing w:after="0"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4">
      <w:pPr>
        <w:pStyle w:val="Heading1"/>
        <w:rPr/>
      </w:pPr>
      <w:bookmarkStart w:colFirst="0" w:colLast="0" w:name="_heading=h.124zewwecscf" w:id="1"/>
      <w:bookmarkEnd w:id="1"/>
      <w:r w:rsidDel="00000000" w:rsidR="00000000" w:rsidRPr="00000000">
        <w:rPr>
          <w:rtl w:val="0"/>
        </w:rPr>
        <w:t xml:space="preserve">2. Job description and person specification</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spacing w:after="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w:t>
        <w:tab/>
        <w:t xml:space="preserve">The HCA at the Planned Orthopaedic Unit is employed by the Elective Services Division, according to the job advertisement. Under the supervision of the Sister or Charge Nurse, the primary goal is to support the healthcare team with personal care and a variety of clinical tasks for a specific patient group. Following scheduled orthopaedic surgery, the position holder helps to keep the area tidy, secure and comfortable and enhances the patient experience (Tameside and Glossop Integrated Care NHS Foundation Trust, 2025).</w:t>
        <w:br w:type="textWrapping"/>
        <w:t xml:space="preserve"> </w:t>
        <w:tab/>
        <w:t xml:space="preserve">The person specification is also summarised in the advertisement. Good interpersonal and communication skills, the ability to work under pressure, the ability to work as a team member while managing one's own workload and a dedication to the trust's values of compassion, accountability, respect and excellence are all crucial (Tameside and Glossop Integrated Care NHS Foundation Trust, 2025). Although training is provided, prior hospital experience is preferred but not required.</w:t>
        <w:br w:type="textWrapping"/>
        <w:t xml:space="preserve"> </w:t>
        <w:tab/>
        <w:t xml:space="preserve">These standards align with broader NHS policy. Respect, dignity, dedication to high-quality treatment, compassion, enhancing lives, everyone matters and cooperating for patients are among the fundamental principles outlined in the NHS Constitution (Department of Health and Social treatment, 2023). Although a Band 2 HCA is at the entry level of the Career Framework, they are nevertheless required to demonstrate these common values not just via technical activities but also through their everyday behaviour. </w:t>
      </w:r>
    </w:p>
    <w:p w:rsidR="00000000" w:rsidDel="00000000" w:rsidP="00000000" w:rsidRDefault="00000000" w:rsidRPr="00000000" w14:paraId="00000037">
      <w:pPr>
        <w:spacing w:after="0"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8">
      <w:pPr>
        <w:spacing w:after="0" w:line="360" w:lineRule="auto"/>
        <w:rPr>
          <w:rFonts w:ascii="Times New Roman" w:cs="Times New Roman" w:eastAsia="Times New Roman" w:hAnsi="Times New Roman"/>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514350</wp:posOffset>
            </wp:positionH>
            <wp:positionV relativeFrom="paragraph">
              <wp:posOffset>28575</wp:posOffset>
            </wp:positionV>
            <wp:extent cx="4784956" cy="4657725"/>
            <wp:effectExtent b="0" l="0" r="0" t="0"/>
            <wp:wrapNone/>
            <wp:docPr descr="A screenshot of a medical application&#10;&#10;AI-generated content may be incorrect." id="1523159369" name="image1.png"/>
            <a:graphic>
              <a:graphicData uri="http://schemas.openxmlformats.org/drawingml/2006/picture">
                <pic:pic>
                  <pic:nvPicPr>
                    <pic:cNvPr descr="A screenshot of a medical application&#10;&#10;AI-generated content may be incorrect." id="0" name="image1.png"/>
                    <pic:cNvPicPr preferRelativeResize="0"/>
                  </pic:nvPicPr>
                  <pic:blipFill>
                    <a:blip r:embed="rId7"/>
                    <a:srcRect b="0" l="0" r="0" t="0"/>
                    <a:stretch>
                      <a:fillRect/>
                    </a:stretch>
                  </pic:blipFill>
                  <pic:spPr>
                    <a:xfrm>
                      <a:off x="0" y="0"/>
                      <a:ext cx="4784956" cy="4657725"/>
                    </a:xfrm>
                    <a:prstGeom prst="rect"/>
                    <a:ln/>
                  </pic:spPr>
                </pic:pic>
              </a:graphicData>
            </a:graphic>
          </wp:anchor>
        </w:drawing>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pStyle w:val="Heading1"/>
        <w:rPr/>
      </w:pPr>
      <w:bookmarkStart w:colFirst="0" w:colLast="0" w:name="_heading=h.livwkm1n44ez" w:id="2"/>
      <w:bookmarkEnd w:id="2"/>
      <w:r w:rsidDel="00000000" w:rsidR="00000000" w:rsidRPr="00000000">
        <w:rPr>
          <w:rtl w:val="0"/>
        </w:rPr>
        <w:t xml:space="preserve">2. Employability skills required for the HCA role</w:t>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spacing w:after="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w:t>
        <w:tab/>
        <w:t xml:space="preserve">This role's employability skills can be connected to national frameworks. For employees at lower levels of the Career Framework, such as support workers, the Employability Skills Matrix for the Health Sector identifies communication, teamwork, problem-solving, accountability, honesty, and compassion as critical traits (Skills for Health, 2013). The talents mentioned in the HCA advertisement are extremely similar to these.</w:t>
        <w:br w:type="textWrapping"/>
        <w:t xml:space="preserve">Interpersonal and communication abilities are essential. According to the advertisement, staff members must be able to communicate with one another and treat patients and their families with courtesy and politeness (Tameside and Glossop Integrated Care NHS Foundation Trust, 2025). Employees at Level 2 of the Employability Skills Matrix are required to maintain correct written records, listen to and answer questions and communicate coherently (Skills for Health, 2013). This include communicating with patients who might be in discomfort, outlining basic tasks and informing nurses of any changes in a planned orthopaedic unit.</w:t>
        <w:br w:type="textWrapping"/>
        <w:t xml:space="preserve"> </w:t>
        <w:tab/>
        <w:t xml:space="preserve">Another crucial component is teamwork. According to the advertisement, the position is part of a larger team and is directly supervised by qualified health care experts (Tameside and Glossop Integrated Care NHS Foundation Trust, 2025). According to Skills for Health (2013), the Employability Skills Matrix relates employability to collaborating with others, being receptive to colleagues' viewpoints and voicing concerns when needed.</w:t>
        <w:br w:type="textWrapping"/>
        <w:t xml:space="preserve">Additionally, the position requires dependability and organising abilities. The HCA is responsible for managing their own workload under pressure, keeping track of time and following safety and infection prevention protocols. These criteria align with the Matrix, which emphasises time management, accountability and safety and health compliance as general employability skills for healthcare professionals (Skills for Health, 2013).</w:t>
        <w:br w:type="textWrapping"/>
        <w:t xml:space="preserve"> </w:t>
        <w:tab/>
        <w:t xml:space="preserve">Both the national frameworks and the advertisement emphasise attitudes and values. According to the Department of Health and Social Care (2023) and the Tameside and Glossop Integrated Care NHS Foundation Trust (2025), compassion, respect and non-discriminatory treatment are outlined as essential requirements rather than optional extras.</w:t>
        <w:br w:type="textWrapping"/>
        <w:t xml:space="preserve">Lastly, the advertisement emphasises a readiness to learn. Prior hospital experience is preferred but not required and training is offered. This has a direct connection to the Care Certificate, which establishes a consistent set of basic standards for non-registered employees. These standards cover things like communication, privacy and dignity, person-centred work, duty of care, safeguarding and infection prevention (Skills for Health, 20%). An HCA who is prepared to finish this organised training and continue to grow is considered employable.</w:t>
        <w:br w:type="textWrapping"/>
        <w:t xml:space="preserve"> </w:t>
        <w:tab/>
        <w:t xml:space="preserve">Employers prioritise these general skills, according to research on health and social care courses. Communication, teamwork, reflective skills and professional attitudes are consistently cited as critical for employment in health and social care contexts, according to a scoping assessment of graduate employability (Williamson et al., 2020).</w:t>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pStyle w:val="Heading1"/>
        <w:rPr/>
      </w:pPr>
      <w:bookmarkStart w:colFirst="0" w:colLast="0" w:name="_heading=h.ah3b1cr79bk7" w:id="3"/>
      <w:bookmarkEnd w:id="3"/>
      <w:r w:rsidDel="00000000" w:rsidR="00000000" w:rsidRPr="00000000">
        <w:rPr>
          <w:rtl w:val="0"/>
        </w:rPr>
        <w:t xml:space="preserve">3. My current skills and experience</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spacing w:after="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w:t>
        <w:tab/>
        <w:t xml:space="preserve">I am an older student working on a BSc in Health and Social Care and I live in the ST2 0BL area. From 1984 to 1988, I went to Liceul de filologie-istorie Elena Cuza in Craiova, Romania, where I studied biology and chemistry. This scientific method helped me learn the basics of how the human body works, which is now useful for my university classes.  Before I went to college, I worked after school for a long time. In August 1990, I began working as a gas installer for Distrigaz Sud. The job required strict adherence to protocols, safe handling of equipment, and a thorough risk assessment. I learnt to be responsible, precise, and safe because making mistakes can be dangerous. I worked as a tailor from 2014 to 2017, which required patience, focus, and good manual skills. After moving to the UK on January 31, I got a job right away. In February 2018, I began working at Sainsbury's XPO in Tamworth through an agency. I worked for Volkswagen for a short time from September to November 2019, then I went back to Sainsbury's XPO until June 2020. I have worked for Amazon Services UK Ltd. since August 2020. These warehouse and logistics jobs are hard on the body and require close coordination, shift work, and high productivity standards. This history has a lot of benefits over the HCA person criteria. I am used to working long hours and doing physically demanding work, which is important for handling things by hand and working long hours in the ward. I have a lot of experience using tools and following health and safety rules in places where mistakes could have terrible effects. I have shown that I can be trusted by working steadily for several years. Also, I've worked in teams with people from different cultures, so I know how to talk to people who speak different languages and have different accents. There are also clear gaps. I don't have any official paid work experience in health or social care right now. Most of my direct care experience is informal and comes from working with family, so it's not recorded in a formal setting. Even though my English has gotten a lot better, I still have trouble finding the right words in complicated conversations from time to time. I'm still learning clinical and academic language. I plan to use resources from the university's career service to do a structured skills audit so that I can better assess my skills. </w:t>
      </w:r>
    </w:p>
    <w:p w:rsidR="00000000" w:rsidDel="00000000" w:rsidP="00000000" w:rsidRDefault="00000000" w:rsidRPr="00000000" w14:paraId="00000050">
      <w:pPr>
        <w:spacing w:after="0" w:line="360" w:lineRule="auto"/>
        <w:rPr/>
      </w:pPr>
      <w:r w:rsidDel="00000000" w:rsidR="00000000" w:rsidRPr="00000000">
        <w:rPr>
          <w:rFonts w:ascii="Times New Roman" w:cs="Times New Roman" w:eastAsia="Times New Roman" w:hAnsi="Times New Roman"/>
          <w:rtl w:val="0"/>
        </w:rPr>
        <w:t xml:space="preserve"> </w:t>
        <w:tab/>
        <w:t xml:space="preserve">Employability research suggests self-evaluation and feedback from various stakeholders as means to identify strengths and areas for improvement (Williamson et al., 2020). I will also ask tutors, classmates, and, in the future, supervisors on placements for feedback on my communication, teamwork, and dependability so that I can clearly link comments to my action plan. My main qualification in health and social care right now is my BSc. Many businesses, especially the NHS and local governments, know that students who get degrees in health and social care learn skills like research, critical thinking, teamwork, time management, project planning, and how to write and speak well (AGCAS, 2025). I'm already learning these transferable skills in my degree, but I need to make a stronger link between them and the HCA job.</w:t>
      </w:r>
      <w:r w:rsidDel="00000000" w:rsidR="00000000" w:rsidRPr="00000000">
        <w:rPr>
          <w:rtl w:val="0"/>
        </w:rPr>
      </w:r>
    </w:p>
    <w:p w:rsidR="00000000" w:rsidDel="00000000" w:rsidP="00000000" w:rsidRDefault="00000000" w:rsidRPr="00000000" w14:paraId="00000051">
      <w:pPr>
        <w:pStyle w:val="Heading1"/>
        <w:rPr/>
      </w:pPr>
      <w:bookmarkStart w:colFirst="0" w:colLast="0" w:name="_heading=h.6dgf97g3xqmn" w:id="4"/>
      <w:bookmarkEnd w:id="4"/>
      <w:r w:rsidDel="00000000" w:rsidR="00000000" w:rsidRPr="00000000">
        <w:rPr>
          <w:rtl w:val="0"/>
        </w:rPr>
        <w:t xml:space="preserve">4. Building my personal brand and professional identity</w:t>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spacing w:after="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w:t>
        <w:tab/>
        <w:t xml:space="preserve">Having skills is only part of what makes me employable but how I present myself is also important. My personal brand as a potential HCA will be based on three things: my reliability and work ethic from years of experience, my life experience as a mature woman changing careers, and my identity as a multilingual student who is dedicated to patient care. The NHS principles of compassion, respect, teamwork for patients and dedication to high-quality care (Department of Health and Social Care, 2023) shape this brand. I want to show compassion in my job by being kind to patients who are scared, being patient with them, and really caring about how comfortable they are. I will show respect by listening to everyone, using language that includes everyone, and keeping people's privacy safe. I will show that I can work together for the benefit of patients by being willing to help coworkers, share information, and take criticism. Being willing to follow directions, keeping careful records, and paying close attention to details are all signs that you are committed to providing high-quality care. I’ll make a professional LinkedIn profile and a CV that focusses on this persona to help me market it. The CV will explain how I went from working in gas installation and a warehouse to health and social care, focussing on skills that can be used in many different jobs, like being able to work well with others, being aware of safety and being able to bounce back from setbacks. My LinkedIn page will show my degree, work history, and any volunteer or bank work I've done that has to do with care. I'll choose a professional photo, write short descriptions and focus on skills and beliefs that are in line with NHS standards. My unique selling point is my years of experience in the industry, my mature outlook, and my commitment to retraining. A lot of younger people who want to work in Band 2 jobs apply right after they finish school or college. I can offer stability, real-world experience with responsibility and safety, and the ability to connect with older patients who may have had similar jobs in the past. Because I am Romanian and speak English well, I can also help some patients who feel more comfortable speaking another European language.</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pStyle w:val="Heading1"/>
        <w:rPr/>
      </w:pPr>
      <w:bookmarkStart w:colFirst="0" w:colLast="0" w:name="_heading=h.g93g6u77psar" w:id="5"/>
      <w:bookmarkEnd w:id="5"/>
      <w:r w:rsidDel="00000000" w:rsidR="00000000" w:rsidRPr="00000000">
        <w:rPr>
          <w:rtl w:val="0"/>
        </w:rPr>
        <w:t xml:space="preserve">5. Action plan, timeline and resources</w:t>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spacing w:after="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w:t>
        <w:tab/>
        <w:t xml:space="preserve">In roughly five years, I want to establish myself as a solid contender for a Band 2 HCA position. The plan integrates personal branding, real-world experience and academic advancement.</w:t>
        <w:br w:type="textWrapping"/>
        <w:t xml:space="preserve"> </w:t>
        <w:tab/>
        <w:t xml:space="preserve">I'll be concentrating on my BSc modules and getting ready to interact directly with service consumers throughout the course of the next 12 months. Since the modules on communication, ethics and safeguarding are closely related to the Care Certificate standards, I will try to pass all of the assignments (Skills for Health, 2025). In addition to attending courses on CV writing and interview techniques, I will visit the university's careers service to finish a skills audit. Even if it's only a few hours a week, I'll start looking for regular volunteer work at a nearby hospital, care facility, or community initiative. For graduates in the health and social care fields, work experience during their studies is closely associated with increased self-assurance and better employment prospects (AGCAS, 2025).</w:t>
        <w:br w:type="textWrapping"/>
        <w:t xml:space="preserve"> </w:t>
        <w:tab/>
        <w:t xml:space="preserve">I intend to become more involved in practice during the second and third years of the degree. I'll try to apply for jobs as a bank HCA or as a healthcare support worker in hospitals or assisted living facilities. I would be exposed to patient communication, personal care and teamwork with registered nurses, even if my shifts were brief. Evidence from research on clinical education demonstrates that high-quality placements and support in practice are critical for skill development and future employment choices (Williamson et al., 2020).</w:t>
        <w:br w:type="textWrapping"/>
        <w:t xml:space="preserve"> </w:t>
        <w:tab/>
        <w:t xml:space="preserve">I will work with an employer or through a certified program to complete the Care Certificate during that time. Role clarity, personal development, duty of care, communication, equality, privacy, nutrition, mental health awareness, safeguarding, basic life support, health and safety, information handling and infection prevention are among the sixteen standards that have been added to the updated Care Certificate (Skills for Health, 2025). Having this credential will prove that I already meet basic national requirements expected of HCAs.</w:t>
        <w:br w:type="textWrapping"/>
        <w:t xml:space="preserve"> </w:t>
        <w:tab/>
        <w:t xml:space="preserve">My goal is to work as a permanent Band 2 HCA within five years, preferably in an acute setting or a hospital like the Planned Orthopaedic Unit. I will document instances that demonstrate my communication, teamwork, problem-solving and professional ideals in a reflective journal throughout this time. Future job applications and interviews will make use of these instances.</w:t>
        <w:br w:type="textWrapping"/>
        <w:t xml:space="preserve"> </w:t>
        <w:tab/>
        <w:t xml:space="preserve">I will require assistance and resources in order to complete these activities. Academic personnel will provide me with comments on my oral and written communication. I will keep working for Amazon for pay while progressively putting in more hours in caregiving, so I need to be mindful of how I use my time and money. For subjects like infection prevention, basic life support and safeguarding, I will rely on online training materials, many of which are offered to volunteers and bank employees for free or at a reduced cost.</w:t>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pStyle w:val="Heading1"/>
        <w:rPr/>
      </w:pPr>
      <w:bookmarkStart w:colFirst="0" w:colLast="0" w:name="_heading=h.dc8msvqdxmbd" w:id="6"/>
      <w:bookmarkEnd w:id="6"/>
      <w:r w:rsidDel="00000000" w:rsidR="00000000" w:rsidRPr="00000000">
        <w:rPr>
          <w:rtl w:val="0"/>
        </w:rPr>
        <w:t xml:space="preserve">6. Communicating my skills to employers</w:t>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spacing w:after="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w:t>
        <w:tab/>
        <w:t xml:space="preserve">I will use my resume, application forms and interviews to match each candidate's requirements when I apply for HCA positions. I will adhere to the stated requirements in my personal statements and provide succinct examples from my prior industrial occupations, charity work, bank work or academic projects.</w:t>
        <w:br w:type="textWrapping"/>
        <w:t xml:space="preserve"> </w:t>
        <w:tab/>
        <w:t xml:space="preserve">Using active verbs like helping, ensuring safety and supporting coworkers, I will highlight my BSc in Health and Social Care, my experience working at Distrigaz Sud, Sainsbury's XPO, Volkswagen and Amazon, as well as my background in Romanian biology and chemistry. The same narrative will be told on a professional LinkedIn page, which will also facilitate connections with instructors, classmates and potential employers.</w:t>
        <w:br w:type="textWrapping"/>
        <w:t xml:space="preserve"> </w:t>
        <w:tab/>
        <w:t xml:space="preserve">In interviews I will focus on clear English, courteous attitude and examples that reflect NHS principles. I will also candidly describe how I went from industry to healthcare, demonstrating how this experience strengthened my resolve and dedication to frontline work.</w:t>
      </w:r>
    </w:p>
    <w:p w:rsidR="00000000" w:rsidDel="00000000" w:rsidP="00000000" w:rsidRDefault="00000000" w:rsidRPr="00000000" w14:paraId="0000005C">
      <w:pPr>
        <w:spacing w:after="0"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D">
      <w:pPr>
        <w:spacing w:after="0"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E">
      <w:pPr>
        <w:spacing w:after="0"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F">
      <w:pPr>
        <w:pStyle w:val="Heading1"/>
        <w:rPr/>
      </w:pPr>
      <w:bookmarkStart w:colFirst="0" w:colLast="0" w:name="_heading=h.v8xt8x4ql1k5" w:id="7"/>
      <w:bookmarkEnd w:id="7"/>
      <w:r w:rsidDel="00000000" w:rsidR="00000000" w:rsidRPr="00000000">
        <w:rPr>
          <w:rtl w:val="0"/>
        </w:rPr>
        <w:t xml:space="preserve">7. Conclusion</w:t>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spacing w:after="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w:t>
        <w:tab/>
        <w:t xml:space="preserve">The employability requirements of a current Band 2 Health Care Assistant position at the Planned Orthopaedic Unit at Tameside and Glossop Integrated Care NHS Foundation Trust have been examined in this paper and they have been compared to my profile as a BSc Health and Social Care student. Communication, teamwork, dependability, values-based behaviour and a willingness to finish the Care Certificate are highlighted as critical requirements for HCAs in the job advertisement and national frameworks (Skills for Health, 2013; Skills for Health, 2025; Tameside and Glossop Integrated Care NHS Foundation Trust, 2025).</w:t>
        <w:br w:type="textWrapping"/>
        <w:t xml:space="preserve"> </w:t>
        <w:tab/>
        <w:t xml:space="preserve">I have transferable abilities in safety, endurance, teamwork and dependability from my prior experience in gas installation, tailoring, warehousing and logistics. Employers of health and social care graduates value the academic and communication abilities that my degree develops (AGCAS, 2025). However, I also realise that I need greater clinical English confidence, official Care Certificate training and hands-on care experience.</w:t>
        <w:br w:type="textWrapping"/>
        <w:t xml:space="preserve"> </w:t>
        <w:tab/>
        <w:t xml:space="preserve">The action plan lays out a practical course for the next five years, which includes volunteering, bank HCA work, earning the Care Certificate and consciously building my professional and personal identities. I think I can become a competitive candidate for Band 2 HCA employment and then advance higher within the health and social care sector with consistent effort, methodical use of university and outside resources and careful presentation of my talents to employers.</w:t>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pStyle w:val="Heading1"/>
        <w:rPr/>
      </w:pPr>
      <w:bookmarkStart w:colFirst="0" w:colLast="0" w:name="_heading=h.a7hkb0562v5z" w:id="8"/>
      <w:bookmarkEnd w:id="8"/>
      <w:r w:rsidDel="00000000" w:rsidR="00000000" w:rsidRPr="00000000">
        <w:rPr>
          <w:rtl w:val="0"/>
        </w:rPr>
        <w:t xml:space="preserve">8. Reference List</w:t>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AGCAS (2025) Health and social care. Prospects. Available at: </w:t>
      </w:r>
      <w:hyperlink r:id="rId8">
        <w:r w:rsidDel="00000000" w:rsidR="00000000" w:rsidRPr="00000000">
          <w:rPr>
            <w:rFonts w:ascii="Times New Roman" w:cs="Times New Roman" w:eastAsia="Times New Roman" w:hAnsi="Times New Roman"/>
            <w:color w:val="467886"/>
            <w:u w:val="single"/>
            <w:rtl w:val="0"/>
          </w:rPr>
          <w:t xml:space="preserve">https://www.prospects.ac.uk/careers-advice/what-can-i-do-with-my-degree/health-and-social-care</w:t>
        </w:r>
      </w:hyperlink>
      <w:r w:rsidDel="00000000" w:rsidR="00000000" w:rsidRPr="00000000">
        <w:rPr>
          <w:rFonts w:ascii="Times New Roman" w:cs="Times New Roman" w:eastAsia="Times New Roman" w:hAnsi="Times New Roman"/>
          <w:rtl w:val="0"/>
        </w:rPr>
        <w:t xml:space="preserve"> (Accessed 18 November 2025). </w:t>
      </w:r>
    </w:p>
    <w:p w:rsidR="00000000" w:rsidDel="00000000" w:rsidP="00000000" w:rsidRDefault="00000000" w:rsidRPr="00000000" w14:paraId="00000066">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Department of Health and Social Care (2023) The NHS Constitution for England. GOV.UK. Available at: </w:t>
      </w:r>
      <w:hyperlink r:id="rId9">
        <w:r w:rsidDel="00000000" w:rsidR="00000000" w:rsidRPr="00000000">
          <w:rPr>
            <w:rFonts w:ascii="Times New Roman" w:cs="Times New Roman" w:eastAsia="Times New Roman" w:hAnsi="Times New Roman"/>
            <w:color w:val="467886"/>
            <w:u w:val="single"/>
            <w:rtl w:val="0"/>
          </w:rPr>
          <w:t xml:space="preserve">https://www.gov.uk/government/publications/the-nhs-constitution-for-england</w:t>
        </w:r>
      </w:hyperlink>
      <w:r w:rsidDel="00000000" w:rsidR="00000000" w:rsidRPr="00000000">
        <w:rPr>
          <w:rFonts w:ascii="Times New Roman" w:cs="Times New Roman" w:eastAsia="Times New Roman" w:hAnsi="Times New Roman"/>
          <w:rtl w:val="0"/>
        </w:rPr>
        <w:t xml:space="preserve"> (Accessed 20 November 2025). </w:t>
      </w:r>
    </w:p>
    <w:p w:rsidR="00000000" w:rsidDel="00000000" w:rsidP="00000000" w:rsidRDefault="00000000" w:rsidRPr="00000000" w14:paraId="00000067">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Skills for Health (2013) The Employability Skills Matrix for the Health Sector. Skills for Health. </w:t>
      </w:r>
    </w:p>
    <w:p w:rsidR="00000000" w:rsidDel="00000000" w:rsidP="00000000" w:rsidRDefault="00000000" w:rsidRPr="00000000" w14:paraId="00000068">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69">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Skills for Health (2025) The Care Certificate: Overview. Skills for Health. Available at: </w:t>
      </w:r>
      <w:hyperlink r:id="rId10">
        <w:r w:rsidDel="00000000" w:rsidR="00000000" w:rsidRPr="00000000">
          <w:rPr>
            <w:rFonts w:ascii="Times New Roman" w:cs="Times New Roman" w:eastAsia="Times New Roman" w:hAnsi="Times New Roman"/>
            <w:color w:val="467886"/>
            <w:u w:val="single"/>
            <w:rtl w:val="0"/>
          </w:rPr>
          <w:t xml:space="preserve">https://www.skillsforhealth.org.uk/resources/the-care-certificate</w:t>
        </w:r>
      </w:hyperlink>
      <w:r w:rsidDel="00000000" w:rsidR="00000000" w:rsidRPr="00000000">
        <w:rPr>
          <w:rFonts w:ascii="Times New Roman" w:cs="Times New Roman" w:eastAsia="Times New Roman" w:hAnsi="Times New Roman"/>
          <w:rtl w:val="0"/>
        </w:rPr>
        <w:t xml:space="preserve">  (Accessed 21 November 2025). </w:t>
      </w:r>
    </w:p>
    <w:p w:rsidR="00000000" w:rsidDel="00000000" w:rsidP="00000000" w:rsidRDefault="00000000" w:rsidRPr="00000000" w14:paraId="0000006A">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Tameside and Glossop Integrated Care NHS Foundation Trust (2025) Health Care Assistant – Planned Orthopaedic Unit (Band 2). Find a job service, 11 November. Available at: </w:t>
      </w:r>
      <w:hyperlink r:id="rId11">
        <w:r w:rsidDel="00000000" w:rsidR="00000000" w:rsidRPr="00000000">
          <w:rPr>
            <w:rFonts w:ascii="Times New Roman" w:cs="Times New Roman" w:eastAsia="Times New Roman" w:hAnsi="Times New Roman"/>
            <w:color w:val="467886"/>
            <w:u w:val="single"/>
            <w:rtl w:val="0"/>
          </w:rPr>
          <w:t xml:space="preserve">https://findajob.dwp.gov.uk/details/17447159</w:t>
        </w:r>
      </w:hyperlink>
      <w:r w:rsidDel="00000000" w:rsidR="00000000" w:rsidRPr="00000000">
        <w:rPr>
          <w:rFonts w:ascii="Times New Roman" w:cs="Times New Roman" w:eastAsia="Times New Roman" w:hAnsi="Times New Roman"/>
          <w:rtl w:val="0"/>
        </w:rPr>
        <w:t xml:space="preserve">  (Accessed 21 November 2025). </w:t>
      </w:r>
    </w:p>
    <w:p w:rsidR="00000000" w:rsidDel="00000000" w:rsidP="00000000" w:rsidRDefault="00000000" w:rsidRPr="00000000" w14:paraId="0000006B">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Williamson, S.N., Paulsen-Becejac, L., Tong, K., Minette, R. and Forbes-Burford, J. (2020) ‘Embedding graduate employability skills into health and social care course – a scoping review’, World Journal of Advance Healthcare Research, 4(1), pp. 147–164.</w:t>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Times New Roman"/>
  <w:font w:name="Aptos"/>
  <w:font w:name="Play">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278.00000000000006"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278.00000000000006"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278.00000000000006" w:lineRule="auto"/>
    </w:pPr>
    <w:rPr>
      <w:color w:val="0f4761"/>
      <w:sz w:val="28"/>
      <w:szCs w:val="28"/>
    </w:rPr>
  </w:style>
  <w:style w:type="paragraph" w:styleId="Heading4">
    <w:name w:val="heading 4"/>
    <w:basedOn w:val="Normal"/>
    <w:next w:val="Normal"/>
    <w:pPr>
      <w:keepNext w:val="1"/>
      <w:keepLines w:val="1"/>
      <w:spacing w:after="40" w:before="80" w:line="278.00000000000006" w:lineRule="auto"/>
    </w:pPr>
    <w:rPr>
      <w:i w:val="1"/>
      <w:iCs w:val="1"/>
      <w:color w:val="0f4761"/>
    </w:rPr>
  </w:style>
  <w:style w:type="paragraph" w:styleId="Heading5">
    <w:name w:val="heading 5"/>
    <w:basedOn w:val="Normal"/>
    <w:next w:val="Normal"/>
    <w:pPr>
      <w:keepNext w:val="1"/>
      <w:keepLines w:val="1"/>
      <w:spacing w:after="40" w:before="80" w:line="278.00000000000006" w:lineRule="auto"/>
    </w:pPr>
    <w:rPr>
      <w:color w:val="0f4761"/>
    </w:rPr>
  </w:style>
  <w:style w:type="paragraph" w:styleId="Heading6">
    <w:name w:val="heading 6"/>
    <w:basedOn w:val="Normal"/>
    <w:next w:val="Normal"/>
    <w:pPr>
      <w:keepNext w:val="1"/>
      <w:keepLines w:val="1"/>
      <w:spacing w:after="0" w:before="40" w:line="278.00000000000006"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Heading7">
    <w:name w:val="heading 7"/>
    <w:basedOn w:val="Normal"/>
    <w:next w:val="Normal"/>
    <w:link w:val="Heading7Char"/>
    <w:uiPriority w:val="9"/>
    <w:semiHidden w:val="1"/>
    <w:unhideWhenUsed w:val="1"/>
    <w:qFormat w:val="1"/>
    <w:rsid w:val="00F75ABA"/>
    <w:pPr>
      <w:keepNext w:val="1"/>
      <w:keepLines w:val="1"/>
      <w:spacing w:after="0" w:before="40" w:line="278" w:lineRule="auto"/>
      <w:outlineLvl w:val="6"/>
    </w:pPr>
    <w:rPr>
      <w:rFonts w:cstheme="majorBidi" w:eastAsiaTheme="majorEastAsia"/>
      <w:color w:val="595959" w:themeColor="text1" w:themeTint="0000A6"/>
      <w:kern w:val="2"/>
      <w:lang w:eastAsia="en-US"/>
    </w:rPr>
  </w:style>
  <w:style w:type="paragraph" w:styleId="Heading8">
    <w:name w:val="heading 8"/>
    <w:basedOn w:val="Normal"/>
    <w:next w:val="Normal"/>
    <w:link w:val="Heading8Char"/>
    <w:uiPriority w:val="9"/>
    <w:semiHidden w:val="1"/>
    <w:unhideWhenUsed w:val="1"/>
    <w:qFormat w:val="1"/>
    <w:rsid w:val="00F75ABA"/>
    <w:pPr>
      <w:keepNext w:val="1"/>
      <w:keepLines w:val="1"/>
      <w:spacing w:after="0" w:line="278" w:lineRule="auto"/>
      <w:outlineLvl w:val="7"/>
    </w:pPr>
    <w:rPr>
      <w:rFonts w:cstheme="majorBidi" w:eastAsiaTheme="majorEastAsia"/>
      <w:i w:val="1"/>
      <w:iCs w:val="1"/>
      <w:color w:val="272727" w:themeColor="text1" w:themeTint="0000D8"/>
      <w:kern w:val="2"/>
      <w:lang w:eastAsia="en-US"/>
    </w:rPr>
  </w:style>
  <w:style w:type="paragraph" w:styleId="Heading9">
    <w:name w:val="heading 9"/>
    <w:basedOn w:val="Normal"/>
    <w:next w:val="Normal"/>
    <w:link w:val="Heading9Char"/>
    <w:uiPriority w:val="9"/>
    <w:semiHidden w:val="1"/>
    <w:unhideWhenUsed w:val="1"/>
    <w:qFormat w:val="1"/>
    <w:rsid w:val="00F75ABA"/>
    <w:pPr>
      <w:keepNext w:val="1"/>
      <w:keepLines w:val="1"/>
      <w:spacing w:after="0" w:line="278" w:lineRule="auto"/>
      <w:outlineLvl w:val="8"/>
    </w:pPr>
    <w:rPr>
      <w:rFonts w:cstheme="majorBidi" w:eastAsiaTheme="majorEastAsia"/>
      <w:color w:val="272727" w:themeColor="text1" w:themeTint="0000D8"/>
      <w:kern w:val="2"/>
      <w:lang w:eastAsia="en-US"/>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F75ABA"/>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semiHidden w:val="1"/>
    <w:rsid w:val="00F75ABA"/>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semiHidden w:val="1"/>
    <w:rsid w:val="00F75ABA"/>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semiHidden w:val="1"/>
    <w:rsid w:val="00F75ABA"/>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F75ABA"/>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F75ABA"/>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F75ABA"/>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F75ABA"/>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F75ABA"/>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F75ABA"/>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F75ABA"/>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F75ABA"/>
    <w:pPr>
      <w:spacing w:before="160" w:line="278" w:lineRule="auto"/>
      <w:jc w:val="center"/>
    </w:pPr>
    <w:rPr>
      <w:rFonts w:eastAsiaTheme="minorHAnsi"/>
      <w:i w:val="1"/>
      <w:iCs w:val="1"/>
      <w:color w:val="404040" w:themeColor="text1" w:themeTint="0000BF"/>
      <w:kern w:val="2"/>
      <w:lang w:eastAsia="en-US"/>
    </w:rPr>
  </w:style>
  <w:style w:type="character" w:styleId="QuoteChar" w:customStyle="1">
    <w:name w:val="Quote Char"/>
    <w:basedOn w:val="DefaultParagraphFont"/>
    <w:link w:val="Quote"/>
    <w:uiPriority w:val="29"/>
    <w:rsid w:val="00F75ABA"/>
    <w:rPr>
      <w:i w:val="1"/>
      <w:iCs w:val="1"/>
      <w:color w:val="404040" w:themeColor="text1" w:themeTint="0000BF"/>
    </w:rPr>
  </w:style>
  <w:style w:type="paragraph" w:styleId="ListParagraph">
    <w:name w:val="List Paragraph"/>
    <w:basedOn w:val="Normal"/>
    <w:uiPriority w:val="34"/>
    <w:qFormat w:val="1"/>
    <w:rsid w:val="00F75ABA"/>
    <w:pPr>
      <w:spacing w:line="278" w:lineRule="auto"/>
      <w:ind w:left="720"/>
      <w:contextualSpacing w:val="1"/>
    </w:pPr>
    <w:rPr>
      <w:rFonts w:eastAsiaTheme="minorHAnsi"/>
      <w:kern w:val="2"/>
      <w:lang w:eastAsia="en-US"/>
    </w:rPr>
  </w:style>
  <w:style w:type="character" w:styleId="IntenseEmphasis">
    <w:name w:val="Intense Emphasis"/>
    <w:basedOn w:val="DefaultParagraphFont"/>
    <w:uiPriority w:val="21"/>
    <w:qFormat w:val="1"/>
    <w:rsid w:val="00F75ABA"/>
    <w:rPr>
      <w:i w:val="1"/>
      <w:iCs w:val="1"/>
      <w:color w:val="0f4761" w:themeColor="accent1" w:themeShade="0000BF"/>
    </w:rPr>
  </w:style>
  <w:style w:type="paragraph" w:styleId="IntenseQuote">
    <w:name w:val="Intense Quote"/>
    <w:basedOn w:val="Normal"/>
    <w:next w:val="Normal"/>
    <w:link w:val="IntenseQuoteChar"/>
    <w:uiPriority w:val="30"/>
    <w:qFormat w:val="1"/>
    <w:rsid w:val="00F75ABA"/>
    <w:pPr>
      <w:pBdr>
        <w:top w:color="0f4761" w:space="10" w:sz="4" w:themeColor="accent1" w:themeShade="0000BF" w:val="single"/>
        <w:bottom w:color="0f4761" w:space="10" w:sz="4" w:themeColor="accent1" w:themeShade="0000BF" w:val="single"/>
      </w:pBdr>
      <w:spacing w:after="360" w:before="360" w:line="278" w:lineRule="auto"/>
      <w:ind w:left="864" w:right="864"/>
      <w:jc w:val="center"/>
    </w:pPr>
    <w:rPr>
      <w:rFonts w:eastAsiaTheme="minorHAnsi"/>
      <w:i w:val="1"/>
      <w:iCs w:val="1"/>
      <w:color w:val="0f4761" w:themeColor="accent1" w:themeShade="0000BF"/>
      <w:kern w:val="2"/>
      <w:lang w:eastAsia="en-US"/>
    </w:rPr>
  </w:style>
  <w:style w:type="character" w:styleId="IntenseQuoteChar" w:customStyle="1">
    <w:name w:val="Intense Quote Char"/>
    <w:basedOn w:val="DefaultParagraphFont"/>
    <w:link w:val="IntenseQuote"/>
    <w:uiPriority w:val="30"/>
    <w:rsid w:val="00F75ABA"/>
    <w:rPr>
      <w:i w:val="1"/>
      <w:iCs w:val="1"/>
      <w:color w:val="0f4761" w:themeColor="accent1" w:themeShade="0000BF"/>
    </w:rPr>
  </w:style>
  <w:style w:type="character" w:styleId="IntenseReference">
    <w:name w:val="Intense Reference"/>
    <w:basedOn w:val="DefaultParagraphFont"/>
    <w:uiPriority w:val="32"/>
    <w:qFormat w:val="1"/>
    <w:rsid w:val="00F75ABA"/>
    <w:rPr>
      <w:b w:val="1"/>
      <w:bCs w:val="1"/>
      <w:smallCaps w:val="1"/>
      <w:color w:val="0f4761" w:themeColor="accent1" w:themeShade="0000BF"/>
      <w:spacing w:val="5"/>
    </w:rPr>
  </w:style>
  <w:style w:type="paragraph" w:styleId="NoSpacing">
    <w:name w:val="No Spacing"/>
    <w:uiPriority w:val="1"/>
    <w:qFormat w:val="1"/>
    <w:rsid w:val="000C5E17"/>
    <w:pPr>
      <w:spacing w:after="0" w:line="240" w:lineRule="auto"/>
    </w:pPr>
    <w:rPr>
      <w:rFonts w:eastAsiaTheme="minorEastAsia"/>
      <w:kern w:val="0"/>
      <w:lang w:eastAsia="ja-JP"/>
    </w:rPr>
  </w:style>
  <w:style w:type="character" w:styleId="Hyperlink">
    <w:name w:val="Hyperlink"/>
    <w:basedOn w:val="DefaultParagraphFont"/>
    <w:uiPriority w:val="99"/>
    <w:unhideWhenUsed w:val="1"/>
    <w:rsid w:val="00E20E39"/>
    <w:rPr>
      <w:color w:val="467886" w:themeColor="hyperlink"/>
      <w:u w:val="single"/>
    </w:rPr>
  </w:style>
  <w:style w:type="character" w:styleId="UnresolvedMention">
    <w:name w:val="Unresolved Mention"/>
    <w:basedOn w:val="DefaultParagraphFont"/>
    <w:uiPriority w:val="99"/>
    <w:semiHidden w:val="1"/>
    <w:unhideWhenUsed w:val="1"/>
    <w:rsid w:val="00E20E39"/>
    <w:rPr>
      <w:color w:val="605e5c"/>
      <w:shd w:color="auto" w:fill="e1dfdd" w:val="clear"/>
    </w:rPr>
  </w:style>
  <w:style w:type="character" w:styleId="FollowedHyperlink">
    <w:name w:val="FollowedHyperlink"/>
    <w:basedOn w:val="DefaultParagraphFont"/>
    <w:uiPriority w:val="99"/>
    <w:semiHidden w:val="1"/>
    <w:unhideWhenUsed w:val="1"/>
    <w:rsid w:val="00E20E39"/>
    <w:rPr>
      <w:color w:val="96607d" w:themeColor="followedHyperlink"/>
      <w:u w:val="single"/>
    </w:rPr>
  </w:style>
  <w:style w:type="paragraph" w:styleId="TOCHeading">
    <w:name w:val="TOC Heading"/>
    <w:basedOn w:val="Heading1"/>
    <w:next w:val="Normal"/>
    <w:uiPriority w:val="39"/>
    <w:unhideWhenUsed w:val="1"/>
    <w:qFormat w:val="1"/>
    <w:rsid w:val="0035509C"/>
    <w:pPr>
      <w:spacing w:after="0" w:before="240" w:line="259" w:lineRule="auto"/>
      <w:outlineLvl w:val="9"/>
    </w:pPr>
    <w:rPr>
      <w:kern w:val="0"/>
      <w:sz w:val="32"/>
      <w:szCs w:val="32"/>
      <w:lang w:val="en-US"/>
    </w:rPr>
  </w:style>
  <w:style w:type="paragraph" w:styleId="TOC1">
    <w:name w:val="toc 1"/>
    <w:basedOn w:val="Normal"/>
    <w:next w:val="Normal"/>
    <w:autoRedefine w:val="1"/>
    <w:uiPriority w:val="39"/>
    <w:unhideWhenUsed w:val="1"/>
    <w:rsid w:val="0035509C"/>
    <w:pPr>
      <w:spacing w:after="100"/>
    </w:pPr>
  </w:style>
  <w:style w:type="paragraph" w:styleId="Subtitle">
    <w:name w:val="Subtitle"/>
    <w:basedOn w:val="Normal"/>
    <w:next w:val="Normal"/>
    <w:pPr>
      <w:spacing w:line="278.00000000000006" w:lineRule="auto"/>
    </w:pPr>
    <w:rPr>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findajob.dwp.gov.uk/details/17447159" TargetMode="External"/><Relationship Id="rId10" Type="http://schemas.openxmlformats.org/officeDocument/2006/relationships/hyperlink" Target="https://www.skillsforhealth.org.uk/resources/the-care-certificate" TargetMode="External"/><Relationship Id="rId9" Type="http://schemas.openxmlformats.org/officeDocument/2006/relationships/hyperlink" Target="https://www.gov.uk/government/publications/the-nhs-constitution-for-england"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www.prospects.ac.uk/careers-advice/what-can-i-do-with-my-degree/health-and-social-care"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rT1sMBDYxTHotRmdZfCHSh8DWA==">CgMxLjAyDmguc3Znb3hhcnV5cXM0Mg5oLjEyNHpld3dlY3NjZjIOaC5saXZ3a20xbjQ0ZXoyDmguYWgzYjFjcjc5Yms3Mg5oLjZkZ2Y5N2czeHFtbjIOaC5nOTNnNnU3N3BzYXIyDmguZGM4bXN2cWR4bWJkMg5oLnY4eHQ4eDRxbDFrNTIOaC5hN2hrYjA1NjJ2NXo4AHIhMUFJRmJyaGZUNjI0Q3gtX2FhcEhmdUVIdkRjQndJV2p1</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2025-11-21T10:40:00Z</dcterms:created>
</cp:coreProperties>
</file>