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Raising a Bilingual Child</w:t>
      </w:r>
    </w:p>
    <w:p>
      <w:pPr>
        <w:numPr>
          <w:ilvl w:val="0"/>
          <w:numId w:val="0"/>
        </w:numPr>
        <w:rPr>
          <w:rFonts w:hint="default" w:ascii="Arial" w:hAnsi="Arial" w:cs="Arial"/>
          <w:sz w:val="22"/>
          <w:szCs w:val="22"/>
          <w:highlight w:val="none"/>
          <w:lang w:val="en-US" w:eastAsia="zh-CN"/>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Introduction</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8"/>
          <w:szCs w:val="28"/>
          <w:highlight w:val="none"/>
          <w:lang w:eastAsia="zh-CN"/>
        </w:rPr>
      </w:pPr>
      <w:r>
        <w:rPr>
          <w:rFonts w:hint="default" w:ascii="Times New Roman" w:hAnsi="Times New Roman" w:eastAsia="宋体" w:cs="Times New Roman"/>
          <w:sz w:val="28"/>
          <w:szCs w:val="28"/>
        </w:rPr>
        <w:t>The issue of bilingualism has long been an important topic in second language learning, and many scholars have attempted to define it</w:t>
      </w:r>
      <w:r>
        <w:rPr>
          <w:rFonts w:hint="default" w:ascii="Times New Roman" w:hAnsi="Times New Roman" w:eastAsia="宋体" w:cs="Times New Roman"/>
          <w:sz w:val="28"/>
          <w:szCs w:val="28"/>
          <w:highlight w:val="none"/>
        </w:rPr>
        <w:t xml:space="preserve">.Grosjean (2012) proposes a definition of bilingualism that emphasizes regular language use over fluency. Similarly, Valdés (2015) provides a definition </w:t>
      </w:r>
      <w:r>
        <w:rPr>
          <w:rFonts w:hint="default" w:ascii="Times New Roman" w:hAnsi="Times New Roman" w:eastAsia="宋体" w:cs="Times New Roman"/>
          <w:sz w:val="28"/>
          <w:szCs w:val="28"/>
          <w:highlight w:val="none"/>
          <w:lang w:val="en-US" w:eastAsia="zh-CN"/>
        </w:rPr>
        <w:t>as b</w:t>
      </w:r>
      <w:r>
        <w:rPr>
          <w:rFonts w:hint="default" w:ascii="Times New Roman" w:hAnsi="Times New Roman" w:eastAsia="宋体" w:cs="Times New Roman"/>
          <w:sz w:val="28"/>
          <w:szCs w:val="28"/>
          <w:highlight w:val="none"/>
        </w:rPr>
        <w:t>ilingual/multilingual individuals are capable of speaking, understanding, reading, or writing</w:t>
      </w:r>
      <w:r>
        <w:rPr>
          <w:rFonts w:hint="default" w:ascii="Times New Roman" w:hAnsi="Times New Roman" w:eastAsia="宋体" w:cs="Times New Roman"/>
          <w:sz w:val="28"/>
          <w:szCs w:val="28"/>
          <w:highlight w:val="none"/>
          <w:lang w:val="en-US" w:eastAsia="zh-CN"/>
        </w:rPr>
        <w:t xml:space="preserve"> which is </w:t>
      </w:r>
      <w:r>
        <w:rPr>
          <w:rFonts w:hint="default" w:ascii="Times New Roman" w:hAnsi="Times New Roman" w:eastAsia="宋体" w:cs="Times New Roman"/>
          <w:sz w:val="28"/>
          <w:szCs w:val="28"/>
          <w:highlight w:val="none"/>
        </w:rPr>
        <w:t>centered on functional ability</w:t>
      </w:r>
      <w:r>
        <w:rPr>
          <w:rFonts w:hint="default" w:ascii="Times New Roman" w:hAnsi="Times New Roman" w:eastAsia="宋体" w:cs="Times New Roman"/>
          <w:sz w:val="28"/>
          <w:szCs w:val="28"/>
          <w:highlight w:val="none"/>
          <w:lang w:val="en-US" w:eastAsia="zh-CN"/>
        </w:rPr>
        <w:t>.</w:t>
      </w:r>
      <w:r>
        <w:rPr>
          <w:rFonts w:hint="default" w:ascii="Times New Roman" w:hAnsi="Times New Roman" w:eastAsia="宋体" w:cs="Times New Roman"/>
          <w:sz w:val="28"/>
          <w:szCs w:val="28"/>
          <w:highlight w:val="none"/>
        </w:rPr>
        <w:t xml:space="preserve"> </w:t>
      </w:r>
      <w:r>
        <w:rPr>
          <w:rFonts w:hint="default" w:ascii="Times New Roman" w:hAnsi="Times New Roman" w:eastAsia="宋体" w:cs="Times New Roman"/>
          <w:color w:val="000000" w:themeColor="text1"/>
          <w:sz w:val="28"/>
          <w:szCs w:val="28"/>
          <w:highlight w:val="none"/>
          <w14:textFill>
            <w14:solidFill>
              <w14:schemeClr w14:val="tx1"/>
            </w14:solidFill>
          </w14:textFill>
        </w:rPr>
        <w:t>Colin Baker（2021）</w:t>
      </w:r>
      <w:r>
        <w:rPr>
          <w:rFonts w:hint="default" w:ascii="Times New Roman" w:hAnsi="Times New Roman" w:eastAsia="宋体" w:cs="Times New Roman"/>
          <w:sz w:val="28"/>
          <w:szCs w:val="28"/>
        </w:rPr>
        <w:t xml:space="preserve"> defines bilingualism as an individual's capacity to use two or more languages successfully. This competency goes beyond fundamental communication abilities and includes vocabulary, grammar, pronunciation, and cultural nuances. Bilingual individuals can understand, talk, read, and write in various languages with varying degrees of fluency. Baker also underlines that bilingualism is a dynamic and diverse phenomena, with people displaying a wide range of bilingual abilities and experiences depending on characteristics like language competency, language dominance, and language usage patterns in different circumstances.</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8"/>
          <w:szCs w:val="28"/>
        </w:rPr>
      </w:pPr>
      <w:r>
        <w:rPr>
          <w:rFonts w:hint="default" w:ascii="Times New Roman" w:hAnsi="Times New Roman" w:eastAsia="宋体" w:cs="Times New Roman"/>
          <w:sz w:val="28"/>
          <w:szCs w:val="28"/>
        </w:rPr>
        <w:t>According to</w:t>
      </w:r>
      <w:r>
        <w:rPr>
          <w:rFonts w:hint="default" w:ascii="Times New Roman" w:hAnsi="Times New Roman" w:eastAsia="宋体" w:cs="Times New Roman"/>
          <w:sz w:val="28"/>
          <w:szCs w:val="28"/>
          <w:highlight w:val="none"/>
        </w:rPr>
        <w:t xml:space="preserve"> </w:t>
      </w:r>
      <w:r>
        <w:rPr>
          <w:rFonts w:hint="default" w:ascii="Times New Roman" w:hAnsi="Times New Roman" w:eastAsia="宋体" w:cs="Times New Roman"/>
          <w:sz w:val="28"/>
          <w:szCs w:val="28"/>
          <w:highlight w:val="none"/>
          <w:lang w:val="en-US" w:eastAsia="zh-CN"/>
        </w:rPr>
        <w:t xml:space="preserve">Ramírez-Esparza </w:t>
      </w:r>
      <w:r>
        <w:rPr>
          <w:rFonts w:hint="default" w:ascii="Times New Roman" w:hAnsi="Times New Roman" w:eastAsia="宋体" w:cs="Times New Roman"/>
          <w:sz w:val="28"/>
          <w:szCs w:val="28"/>
          <w:highlight w:val="none"/>
          <w:lang w:eastAsia="zh-CN"/>
        </w:rPr>
        <w:t>et al(2020)</w:t>
      </w:r>
      <w:r>
        <w:rPr>
          <w:rFonts w:hint="default" w:ascii="Times New Roman" w:hAnsi="Times New Roman" w:eastAsia="宋体" w:cs="Times New Roman"/>
          <w:sz w:val="28"/>
          <w:szCs w:val="28"/>
          <w:lang w:eastAsia="zh-CN"/>
        </w:rPr>
        <w:t xml:space="preserve">, </w:t>
      </w:r>
      <w:r>
        <w:rPr>
          <w:rFonts w:hint="default" w:ascii="Times New Roman" w:hAnsi="Times New Roman" w:eastAsia="宋体" w:cs="Times New Roman"/>
          <w:sz w:val="28"/>
          <w:szCs w:val="28"/>
        </w:rPr>
        <w:t xml:space="preserve">the importance of bilingualism in today's world cannot be overstated, </w:t>
      </w:r>
      <w:r>
        <w:rPr>
          <w:rFonts w:hint="default" w:ascii="Times New Roman" w:hAnsi="Times New Roman" w:eastAsia="宋体" w:cs="Times New Roman"/>
          <w:sz w:val="28"/>
          <w:szCs w:val="28"/>
          <w:lang w:val="en-US" w:eastAsia="zh-CN"/>
        </w:rPr>
        <w:t>as b</w:t>
      </w:r>
      <w:r>
        <w:rPr>
          <w:rFonts w:hint="default" w:ascii="Times New Roman" w:hAnsi="Times New Roman" w:eastAsia="宋体" w:cs="Times New Roman"/>
          <w:sz w:val="28"/>
          <w:szCs w:val="28"/>
        </w:rPr>
        <w:t>ilingualism improves cognitive capacity, scholastic achievement,</w:t>
      </w:r>
      <w:r>
        <w:rPr>
          <w:rFonts w:hint="default"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cultural competency, employment prospects, promotes social cohesiveness, preserves cultural heritage, and increases adaptation and resilience. These advantages contribute to personal, societal, and global success by encouraging  understanding</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and appreciation for varied viewpoints in today's linked world.</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sz w:val="28"/>
          <w:szCs w:val="28"/>
          <w:lang w:val="en-US" w:eastAsia="zh-CN"/>
        </w:rPr>
        <w:t xml:space="preserve">Thus, this study is going to make review on the important factors shich may have influences on the process of raising a bilingual children based on Colin Baker’s previous study.  </w:t>
      </w:r>
      <w:r>
        <w:rPr>
          <w:rFonts w:hint="default" w:ascii="Times New Roman" w:hAnsi="Times New Roman" w:cs="Times New Roman"/>
          <w:sz w:val="28"/>
          <w:szCs w:val="28"/>
          <w:highlight w:val="none"/>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8"/>
          <w:szCs w:val="28"/>
          <w:highlight w:val="none"/>
          <w:lang w:val="en-US" w:eastAsia="zh-CN"/>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Factors in Raising a Bilingual Child</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 xml:space="preserve">In his book, </w:t>
      </w:r>
      <w:r>
        <w:rPr>
          <w:rFonts w:hint="default" w:ascii="Times New Roman" w:hAnsi="Times New Roman" w:eastAsia="宋体" w:cs="Times New Roman"/>
          <w:sz w:val="28"/>
          <w:szCs w:val="28"/>
          <w:highlight w:val="none"/>
          <w:lang w:val="en-US" w:eastAsia="zh-CN"/>
        </w:rPr>
        <w:t>Baker(2014)</w:t>
      </w:r>
      <w:r>
        <w:rPr>
          <w:rFonts w:hint="default" w:ascii="Times New Roman" w:hAnsi="Times New Roman" w:eastAsia="宋体" w:cs="Times New Roman"/>
          <w:sz w:val="28"/>
          <w:szCs w:val="28"/>
          <w:lang w:val="en-US" w:eastAsia="zh-CN"/>
        </w:rPr>
        <w:t xml:space="preserve"> mentioned several important factors when raising a bilingual child.</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lang w:val="en-US" w:eastAsia="zh-CN"/>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8"/>
          <w:szCs w:val="28"/>
          <w:highlight w:val="none"/>
          <w:lang w:val="en-US" w:eastAsia="zh-CN"/>
        </w:rPr>
      </w:pPr>
      <w:r>
        <w:rPr>
          <w:rFonts w:hint="default" w:ascii="Times New Roman" w:hAnsi="Times New Roman" w:cs="Times New Roman"/>
          <w:b/>
          <w:bCs/>
          <w:sz w:val="28"/>
          <w:szCs w:val="28"/>
          <w:highlight w:val="none"/>
          <w:lang w:val="en-US" w:eastAsia="zh-CN"/>
        </w:rPr>
        <w:t xml:space="preserve">Early Exposure to Languages </w:t>
      </w:r>
      <w:r>
        <w:rPr>
          <w:rFonts w:hint="default" w:ascii="Times New Roman" w:hAnsi="Times New Roman" w:cs="Times New Roman"/>
          <w:sz w:val="28"/>
          <w:szCs w:val="28"/>
          <w:highlight w:val="none"/>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 xml:space="preserve">Baker not only emphasizes the importance of early exposure but also stresses the significance of providing adequate exposure to both languages. According to Baker (2014)，early and </w:t>
      </w:r>
      <w:r>
        <w:rPr>
          <w:rFonts w:hint="default" w:ascii="Times New Roman" w:hAnsi="Times New Roman" w:eastAsia="宋体" w:cs="Times New Roman"/>
          <w:sz w:val="28"/>
          <w:szCs w:val="28"/>
        </w:rPr>
        <w:t xml:space="preserve">adequate exposure to both languages is essential for children to achieve bilingual competency. Consistent and enriching exposure promotes balanced language development, which mirrors that of monolingual youngsters. Genesee </w:t>
      </w:r>
      <w:r>
        <w:rPr>
          <w:rFonts w:hint="default" w:ascii="Times New Roman" w:hAnsi="Times New Roman" w:eastAsia="宋体" w:cs="Times New Roman"/>
          <w:sz w:val="28"/>
          <w:szCs w:val="28"/>
          <w:lang w:val="en-US" w:eastAsia="zh-CN"/>
        </w:rPr>
        <w:t>(2006)</w:t>
      </w:r>
      <w:r>
        <w:rPr>
          <w:rFonts w:hint="default" w:ascii="Times New Roman" w:hAnsi="Times New Roman" w:eastAsia="宋体" w:cs="Times New Roman"/>
          <w:sz w:val="28"/>
          <w:szCs w:val="28"/>
        </w:rPr>
        <w:t>emphasize</w:t>
      </w:r>
      <w:r>
        <w:rPr>
          <w:rFonts w:hint="default" w:ascii="Times New Roman" w:hAnsi="Times New Roman" w:eastAsia="宋体" w:cs="Times New Roman"/>
          <w:sz w:val="28"/>
          <w:szCs w:val="28"/>
          <w:lang w:val="en-US" w:eastAsia="zh-CN"/>
        </w:rPr>
        <w:t>s</w:t>
      </w:r>
      <w:r>
        <w:rPr>
          <w:rFonts w:hint="default" w:ascii="Times New Roman" w:hAnsi="Times New Roman" w:eastAsia="宋体" w:cs="Times New Roman"/>
          <w:sz w:val="28"/>
          <w:szCs w:val="28"/>
        </w:rPr>
        <w:t xml:space="preserve"> the importance of maintaining a minimum amount of exposure, claiming that bilingual children benefit from at least 30% exposure to the </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weaker</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 xml:space="preserve"> language in order to achieve optimal multilingual development.</w:t>
      </w:r>
      <w:r>
        <w:rPr>
          <w:rFonts w:hint="default" w:ascii="Times New Roman" w:hAnsi="Times New Roman" w:eastAsia="宋体" w:cs="Times New Roman"/>
          <w:sz w:val="28"/>
          <w:szCs w:val="28"/>
          <w:lang w:val="en-US" w:eastAsia="zh-CN"/>
        </w:rPr>
        <w:t xml:space="preserve"> What’s more, according to the study of Kavak and </w:t>
      </w:r>
      <w:r>
        <w:rPr>
          <w:rFonts w:hint="default" w:ascii="Times New Roman" w:hAnsi="Times New Roman" w:eastAsia="宋体" w:cs="Times New Roman"/>
          <w:sz w:val="28"/>
          <w:szCs w:val="28"/>
        </w:rPr>
        <w:t>Gül</w:t>
      </w:r>
      <w:r>
        <w:rPr>
          <w:rFonts w:hint="default" w:ascii="Times New Roman" w:hAnsi="Times New Roman" w:eastAsia="宋体" w:cs="Times New Roman"/>
          <w:sz w:val="28"/>
          <w:szCs w:val="28"/>
          <w:lang w:val="en-US" w:eastAsia="zh-CN"/>
        </w:rPr>
        <w:t xml:space="preserve"> (2020), early exposure to both languages enhances cognitive abilities, improves academic performance, fosters cultural awareness, boosts communication skills, and provides career advantages, shaping holistic development and future opportunities for bilingual children.</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In addition to emphasizing the importance of early and sufficient exposure to both languages, Baker also proposes some strategies. These include parents speaking both languages at home and enrolling the child in bilingual programs.</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Baker emphasizes the relevance of encouragement in the piece, arguing that children's views about both languages might influence their language acquisition outcomes. youngsters who learn two languages may take longer than youngsters raised in monolingual households, </w:t>
      </w:r>
      <w:r>
        <w:rPr>
          <w:rFonts w:hint="default" w:ascii="Times New Roman" w:hAnsi="Times New Roman" w:eastAsia="宋体" w:cs="Times New Roman"/>
          <w:sz w:val="28"/>
          <w:szCs w:val="28"/>
          <w:lang w:val="en-US" w:eastAsia="zh-CN"/>
        </w:rPr>
        <w:t>which means they need more</w:t>
      </w:r>
      <w:r>
        <w:rPr>
          <w:rFonts w:hint="default" w:ascii="Times New Roman" w:hAnsi="Times New Roman" w:eastAsia="宋体" w:cs="Times New Roman"/>
          <w:sz w:val="28"/>
          <w:szCs w:val="28"/>
        </w:rPr>
        <w:t xml:space="preserve"> patience and regular encouragement from their parents. This strategy increases children's excitement</w:t>
      </w:r>
      <w:r>
        <w:rPr>
          <w:rFonts w:hint="default" w:ascii="Times New Roman" w:hAnsi="Times New Roman" w:eastAsia="宋体" w:cs="Times New Roman"/>
          <w:sz w:val="28"/>
          <w:szCs w:val="28"/>
          <w:lang w:val="en-US" w:eastAsia="zh-CN"/>
        </w:rPr>
        <w:t xml:space="preserve"> and</w:t>
      </w:r>
      <w:r>
        <w:rPr>
          <w:rFonts w:hint="default" w:ascii="Times New Roman" w:hAnsi="Times New Roman" w:eastAsia="宋体" w:cs="Times New Roman"/>
          <w:sz w:val="28"/>
          <w:szCs w:val="28"/>
        </w:rPr>
        <w:t xml:space="preserve"> progress</w:t>
      </w:r>
      <w:r>
        <w:rPr>
          <w:rFonts w:hint="default"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for learning both languages.</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Consistency and Persistence</w:t>
      </w:r>
    </w:p>
    <w:p>
      <w:pPr>
        <w:keepNext w:val="0"/>
        <w:keepLines w:val="0"/>
        <w:pageBreakBefore w:val="0"/>
        <w:widowControl/>
        <w:suppressLineNumbers w:val="0"/>
        <w:kinsoku/>
        <w:wordWrap/>
        <w:overflowPunct/>
        <w:topLinePunct w:val="0"/>
        <w:autoSpaceDE/>
        <w:autoSpaceDN/>
        <w:bidi w:val="0"/>
        <w:adjustRightInd/>
        <w:snapToGrid/>
        <w:jc w:val="both"/>
        <w:textAlignment w:val="auto"/>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sz w:val="28"/>
          <w:szCs w:val="28"/>
        </w:rPr>
        <w:t>As Baker mentions in</w:t>
      </w:r>
      <w:r>
        <w:rPr>
          <w:rFonts w:hint="default" w:ascii="Times New Roman" w:hAnsi="Times New Roman" w:eastAsia="宋体" w:cs="Times New Roman"/>
          <w:i/>
          <w:iCs/>
          <w:sz w:val="28"/>
          <w:szCs w:val="28"/>
        </w:rPr>
        <w:t xml:space="preserve"> </w:t>
      </w:r>
      <w:r>
        <w:rPr>
          <w:rFonts w:hint="default" w:ascii="Times New Roman" w:hAnsi="Times New Roman" w:eastAsia="宋体" w:cs="Times New Roman"/>
          <w:i/>
          <w:iCs/>
          <w:sz w:val="28"/>
          <w:szCs w:val="28"/>
          <w:lang w:val="en-US" w:eastAsia="zh-CN"/>
        </w:rPr>
        <w:t>“A</w:t>
      </w:r>
      <w:r>
        <w:rPr>
          <w:rFonts w:hint="default" w:ascii="Times New Roman" w:hAnsi="Times New Roman" w:eastAsia="宋体" w:cs="Times New Roman"/>
          <w:i/>
          <w:iCs/>
          <w:sz w:val="28"/>
          <w:szCs w:val="28"/>
        </w:rPr>
        <w:t xml:space="preserve"> Parents' and Teachers' Guide to Bilingualism</w:t>
      </w:r>
      <w:r>
        <w:rPr>
          <w:rFonts w:hint="default" w:ascii="Times New Roman" w:hAnsi="Times New Roman" w:eastAsia="宋体" w:cs="Times New Roman"/>
          <w:i/>
          <w:iCs/>
          <w:sz w:val="28"/>
          <w:szCs w:val="28"/>
          <w:lang w:val="en-US" w:eastAsia="zh-CN"/>
        </w:rPr>
        <w:t>”,</w:t>
      </w:r>
      <w:r>
        <w:rPr>
          <w:rFonts w:hint="default" w:ascii="Times New Roman" w:hAnsi="Times New Roman" w:eastAsia="宋体" w:cs="Times New Roman"/>
          <w:sz w:val="28"/>
          <w:szCs w:val="28"/>
        </w:rPr>
        <w:t xml:space="preserve"> </w:t>
      </w:r>
      <w:r>
        <w:rPr>
          <w:rFonts w:hint="default" w:ascii="Times New Roman" w:hAnsi="Times New Roman" w:eastAsia="宋体" w:cs="Times New Roman"/>
          <w:sz w:val="28"/>
          <w:szCs w:val="28"/>
          <w:lang w:val="en-US" w:eastAsia="zh-CN"/>
        </w:rPr>
        <w:t>c</w:t>
      </w:r>
      <w:r>
        <w:rPr>
          <w:rFonts w:hint="default" w:ascii="Times New Roman" w:hAnsi="Times New Roman" w:eastAsia="宋体" w:cs="Times New Roman"/>
          <w:sz w:val="28"/>
          <w:szCs w:val="28"/>
        </w:rPr>
        <w:t xml:space="preserve">onsistency and tenacity are </w:t>
      </w:r>
      <w:r>
        <w:rPr>
          <w:rFonts w:hint="default" w:ascii="Times New Roman" w:hAnsi="Times New Roman" w:eastAsia="宋体" w:cs="Times New Roman"/>
          <w:sz w:val="28"/>
          <w:szCs w:val="28"/>
          <w:lang w:val="en-US" w:eastAsia="zh-CN"/>
        </w:rPr>
        <w:t xml:space="preserve">also </w:t>
      </w:r>
      <w:r>
        <w:rPr>
          <w:rFonts w:hint="default" w:ascii="Times New Roman" w:hAnsi="Times New Roman" w:eastAsia="宋体" w:cs="Times New Roman"/>
          <w:sz w:val="28"/>
          <w:szCs w:val="28"/>
        </w:rPr>
        <w:t>essential in language development, particularly for bilingual youngsters. Consistency refers to utilizing the same language in specific situations or with specific people</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kern w:val="0"/>
          <w:sz w:val="28"/>
          <w:szCs w:val="28"/>
          <w:lang w:val="en-US" w:eastAsia="zh-CN" w:bidi="ar"/>
        </w:rPr>
        <w:t xml:space="preserve">Elazar </w:t>
      </w:r>
      <w:r>
        <w:rPr>
          <w:rFonts w:hint="default" w:ascii="Times New Roman" w:hAnsi="Times New Roman" w:eastAsia="宋体" w:cs="Times New Roman"/>
          <w:i/>
          <w:iCs/>
          <w:kern w:val="0"/>
          <w:sz w:val="28"/>
          <w:szCs w:val="28"/>
          <w:lang w:val="en-US" w:eastAsia="zh-CN" w:bidi="ar"/>
        </w:rPr>
        <w:t xml:space="preserve">et al, </w:t>
      </w:r>
      <w:r>
        <w:rPr>
          <w:rFonts w:hint="default" w:ascii="Times New Roman" w:hAnsi="Times New Roman" w:eastAsia="宋体" w:cs="Times New Roman"/>
          <w:kern w:val="0"/>
          <w:sz w:val="28"/>
          <w:szCs w:val="28"/>
          <w:lang w:val="en-US" w:eastAsia="zh-CN" w:bidi="ar"/>
        </w:rPr>
        <w:t>2021</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such as using the minority</w:t>
      </w:r>
      <w:r>
        <w:rPr>
          <w:rFonts w:hint="default" w:ascii="Times New Roman" w:hAnsi="Times New Roman" w:eastAsia="宋体" w:cs="Times New Roman"/>
          <w:sz w:val="28"/>
          <w:szCs w:val="28"/>
          <w:lang w:val="en-US" w:eastAsia="zh-CN"/>
        </w:rPr>
        <w:t xml:space="preserve"> or </w:t>
      </w:r>
      <w:r>
        <w:rPr>
          <w:rFonts w:hint="default" w:ascii="Times New Roman" w:hAnsi="Times New Roman" w:eastAsia="宋体" w:cs="Times New Roman"/>
          <w:sz w:val="28"/>
          <w:szCs w:val="28"/>
        </w:rPr>
        <w:t>home language at home and the majority</w:t>
      </w:r>
      <w:r>
        <w:rPr>
          <w:rFonts w:hint="default" w:ascii="Times New Roman" w:hAnsi="Times New Roman" w:eastAsia="宋体" w:cs="Times New Roman"/>
          <w:sz w:val="28"/>
          <w:szCs w:val="28"/>
          <w:lang w:val="en-US" w:eastAsia="zh-CN"/>
        </w:rPr>
        <w:t xml:space="preserve"> or </w:t>
      </w:r>
      <w:r>
        <w:rPr>
          <w:rFonts w:hint="default" w:ascii="Times New Roman" w:hAnsi="Times New Roman" w:eastAsia="宋体" w:cs="Times New Roman"/>
          <w:sz w:val="28"/>
          <w:szCs w:val="28"/>
        </w:rPr>
        <w:t xml:space="preserve">societal language outside. This helps children develop language patterns and relationships. Persistence entails constant exposure to both languages as well as ongoing practice in order to build and preserve language skills. Parents can effectively assist their child's bilingual development by using language consistently and providing language exposure on a regular basis.Consistency and </w:t>
      </w:r>
      <w:r>
        <w:rPr>
          <w:rFonts w:hint="default" w:ascii="Times New Roman" w:hAnsi="Times New Roman" w:eastAsia="宋体" w:cs="Times New Roman"/>
          <w:sz w:val="28"/>
          <w:szCs w:val="28"/>
          <w:lang w:val="en-US" w:eastAsia="zh-CN"/>
        </w:rPr>
        <w:t>p</w:t>
      </w:r>
      <w:r>
        <w:rPr>
          <w:rFonts w:hint="default" w:ascii="Times New Roman" w:hAnsi="Times New Roman" w:eastAsia="宋体" w:cs="Times New Roman"/>
          <w:sz w:val="28"/>
          <w:szCs w:val="28"/>
        </w:rPr>
        <w:t>ersistence help youngsters internalize language patterns and vocabulary, which aids in their overall language development. By creating a consistent language environment and supporting continual language practice, parents can help their kid develop bilingual skills and encourage successful language acquisition. This technique promotes language proficiency and cultural competence in children, allowing them to confidently navigate varied linguistic and cultural environments.</w:t>
      </w:r>
      <w:r>
        <w:rPr>
          <w:rFonts w:hint="default" w:ascii="Times New Roman" w:hAnsi="Times New Roman" w:eastAsia="宋体" w:cs="Times New Roman"/>
          <w:sz w:val="28"/>
          <w:szCs w:val="28"/>
          <w:lang w:val="en-US" w:eastAsia="zh-CN"/>
        </w:rPr>
        <w:t>Whereas</w:t>
      </w:r>
      <w:r>
        <w:rPr>
          <w:rFonts w:hint="default" w:ascii="Times New Roman" w:hAnsi="Times New Roman" w:eastAsia="宋体" w:cs="Times New Roman"/>
          <w:sz w:val="28"/>
          <w:szCs w:val="28"/>
        </w:rPr>
        <w:t xml:space="preserve">, many </w:t>
      </w:r>
      <w:r>
        <w:rPr>
          <w:rFonts w:hint="default" w:ascii="Times New Roman" w:hAnsi="Times New Roman" w:eastAsia="宋体" w:cs="Times New Roman"/>
          <w:sz w:val="28"/>
          <w:szCs w:val="28"/>
          <w:lang w:val="en-US" w:eastAsia="zh-CN"/>
        </w:rPr>
        <w:t>parents</w:t>
      </w:r>
      <w:r>
        <w:rPr>
          <w:rFonts w:hint="default" w:ascii="Times New Roman" w:hAnsi="Times New Roman" w:eastAsia="宋体" w:cs="Times New Roman"/>
          <w:sz w:val="28"/>
          <w:szCs w:val="28"/>
        </w:rPr>
        <w:t xml:space="preserve"> do not </w:t>
      </w:r>
      <w:r>
        <w:rPr>
          <w:rFonts w:hint="default" w:ascii="Times New Roman" w:hAnsi="Times New Roman" w:eastAsia="宋体" w:cs="Times New Roman"/>
          <w:sz w:val="28"/>
          <w:szCs w:val="28"/>
          <w:lang w:val="en-US" w:eastAsia="zh-CN"/>
        </w:rPr>
        <w:t>have</w:t>
      </w:r>
      <w:r>
        <w:rPr>
          <w:rFonts w:hint="default" w:ascii="Times New Roman" w:hAnsi="Times New Roman" w:eastAsia="宋体" w:cs="Times New Roman"/>
          <w:sz w:val="28"/>
          <w:szCs w:val="28"/>
        </w:rPr>
        <w:t xml:space="preserve"> a conscious </w:t>
      </w:r>
      <w:r>
        <w:rPr>
          <w:rFonts w:hint="default" w:ascii="Times New Roman" w:hAnsi="Times New Roman" w:eastAsia="宋体" w:cs="Times New Roman"/>
          <w:sz w:val="28"/>
          <w:szCs w:val="28"/>
          <w:lang w:val="en-US" w:eastAsia="zh-CN"/>
        </w:rPr>
        <w:t>to make a choice</w:t>
      </w:r>
      <w:r>
        <w:rPr>
          <w:rFonts w:hint="default" w:ascii="Times New Roman" w:hAnsi="Times New Roman" w:eastAsia="宋体" w:cs="Times New Roman"/>
          <w:sz w:val="28"/>
          <w:szCs w:val="28"/>
        </w:rPr>
        <w:t xml:space="preserve"> regarding which language(s) to speak at home (Piller, 2002).</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kern w:val="2"/>
          <w:sz w:val="28"/>
          <w:szCs w:val="28"/>
          <w:lang w:val="en-US" w:eastAsia="zh-CN" w:bidi="ar-SA"/>
        </w:rPr>
        <w:t xml:space="preserve">Baker also suggests parents maintaining consistency by using strategies like setting language routines as weel as involving extended family. He suggests that </w:t>
      </w:r>
      <w:r>
        <w:rPr>
          <w:rFonts w:hint="default" w:ascii="Times New Roman" w:hAnsi="Times New Roman" w:eastAsia="宋体" w:cs="Times New Roman"/>
          <w:sz w:val="28"/>
          <w:szCs w:val="28"/>
          <w:lang w:val="en-US" w:eastAsia="zh-CN"/>
        </w:rPr>
        <w:t>p</w:t>
      </w:r>
      <w:r>
        <w:rPr>
          <w:rFonts w:hint="default" w:ascii="Times New Roman" w:hAnsi="Times New Roman" w:eastAsia="宋体" w:cs="Times New Roman"/>
          <w:sz w:val="28"/>
          <w:szCs w:val="28"/>
        </w:rPr>
        <w:t>arents can effectively assist their child's bilingual development by using consistent language and giving regular language exposure. This includes developing circumstances in which both languages are constantly spoken, such as speaking one language at home and another in community settings or with family. Furthermore, parents should ensure that their child has plenty of opportunity for language development, whether through discussions, reading, or other activities.</w:t>
      </w:r>
      <w:r>
        <w:rPr>
          <w:rFonts w:hint="default" w:ascii="Times New Roman" w:hAnsi="Times New Roman" w:eastAsia="宋体" w:cs="Times New Roman"/>
          <w:sz w:val="28"/>
          <w:szCs w:val="28"/>
          <w:lang w:val="en-US" w:eastAsia="zh-CN"/>
        </w:rPr>
        <w:t>Also,p</w:t>
      </w:r>
      <w:r>
        <w:rPr>
          <w:rFonts w:hint="default" w:ascii="Times New Roman" w:hAnsi="Times New Roman" w:eastAsia="宋体" w:cs="Times New Roman"/>
          <w:sz w:val="28"/>
          <w:szCs w:val="28"/>
        </w:rPr>
        <w:t>roviding children with ongoing opportunities to practice both languages through books, media, interactions, etc. is essential for maintaining and improving proficiency in both languages over time</w:t>
      </w:r>
      <w:r>
        <w:rPr>
          <w:rFonts w:hint="default" w:ascii="Times New Roman" w:hAnsi="Times New Roman" w:eastAsia="宋体" w:cs="Times New Roman"/>
          <w:sz w:val="28"/>
          <w:szCs w:val="28"/>
          <w:lang w:val="en-US" w:eastAsia="zh-CN"/>
        </w:rPr>
        <w:t>.</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Baker's guidance is consistent with best practices in language development and supported by empirical research</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color w:val="000000"/>
          <w:kern w:val="0"/>
          <w:sz w:val="28"/>
          <w:szCs w:val="28"/>
          <w:lang w:val="en-US" w:eastAsia="zh-CN" w:bidi="ar"/>
        </w:rPr>
        <w:t>Genesee, 1983</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 xml:space="preserve"> Consistency and persistence are important components in effective bilingualism because they give the structure and reinforcement required for children to become fluent in several languages. Baker's advice can help parents and educators implement regular language use and continuing practice into their strategies for helping multilingual youngsters.</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8"/>
          <w:szCs w:val="28"/>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lang w:val="en-US" w:eastAsia="zh-CN"/>
        </w:rPr>
        <w:t>Supportive Environment</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0" w:beforeAutospacing="0" w:after="263" w:afterAutospacing="0"/>
        <w:ind w:left="0" w:right="0" w:firstLine="0"/>
        <w:jc w:val="both"/>
        <w:textAlignment w:val="auto"/>
        <w:rPr>
          <w:rFonts w:hint="default" w:ascii="Times New Roman" w:hAnsi="Times New Roman" w:eastAsia="宋体" w:cs="Times New Roman"/>
          <w:kern w:val="2"/>
          <w:sz w:val="28"/>
          <w:szCs w:val="28"/>
          <w:lang w:val="en-US" w:eastAsia="zh-CN" w:bidi="ar-SA"/>
        </w:rPr>
      </w:pPr>
      <w:r>
        <w:rPr>
          <w:rFonts w:hint="default" w:ascii="Times New Roman" w:hAnsi="Times New Roman" w:eastAsia="宋体" w:cs="Times New Roman"/>
          <w:kern w:val="2"/>
          <w:sz w:val="28"/>
          <w:szCs w:val="28"/>
          <w:lang w:val="en-US" w:eastAsia="zh-CN" w:bidi="ar-SA"/>
        </w:rPr>
        <w:t>According to Baker, creating a supportive environment is crucial for nurturing bilingual children. He emphasizes the roles of consistency and persistence in language development, as well as the significance of the family and school environments. Bilingualism in childhood is shaped not only by parental influence and language use at home but also by external factors such as social interactions and media exposure to the majority language. Lanza and Lexander (2019) highlight the importance of digital family language practices in and around media (such as text messaging, email, video chat, and other digital tools). Other impacts include extended family and acquaintances.Children often adopt the language of their peers and surroundings, while interactions with extended family members who speak a different language can also contribute to bilingualism(Rampton and Charalambous, 2012). Understanding these complexities is essential for guiding bilingual children through their language development journey.</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0" w:beforeAutospacing="0" w:after="263" w:afterAutospacing="0"/>
        <w:ind w:left="0" w:right="0" w:firstLine="0"/>
        <w:jc w:val="both"/>
        <w:textAlignment w:val="auto"/>
        <w:rPr>
          <w:rFonts w:hint="default" w:ascii="Times New Roman" w:hAnsi="Times New Roman" w:eastAsia="宋体" w:cs="Times New Roman"/>
          <w:kern w:val="2"/>
          <w:sz w:val="28"/>
          <w:szCs w:val="28"/>
          <w:lang w:val="en-US" w:eastAsia="zh-CN" w:bidi="ar-SA"/>
        </w:rPr>
      </w:pPr>
      <w:r>
        <w:rPr>
          <w:rFonts w:hint="default" w:ascii="Times New Roman" w:hAnsi="Times New Roman" w:eastAsia="宋体" w:cs="Times New Roman"/>
          <w:kern w:val="2"/>
          <w:sz w:val="28"/>
          <w:szCs w:val="28"/>
          <w:lang w:val="en-US" w:eastAsia="zh-CN" w:bidi="ar-SA"/>
        </w:rPr>
        <w:t>Based on Baker's advice, parents and educators should focus on creating an environment that fosters bilingualism. This includes providing consistent language practice and exposure, encouraging the use of both languages in various contexts, and promoting cooperation between home and school to ensure children receive support and encouragement in their multilingual environment. By creating such a supportive environment, children can better develop their bilingual abilities and succeed in different language environments.</w:t>
      </w:r>
      <w:r>
        <w:rPr>
          <w:rFonts w:hint="eastAsia" w:ascii="Times New Roman" w:hAnsi="Times New Roman" w:eastAsia="宋体" w:cs="Times New Roman"/>
          <w:kern w:val="2"/>
          <w:sz w:val="28"/>
          <w:szCs w:val="28"/>
          <w:lang w:val="en-US" w:eastAsia="zh-CN" w:bidi="ar-SA"/>
        </w:rPr>
        <w:t xml:space="preserve"> </w:t>
      </w:r>
      <w:r>
        <w:rPr>
          <w:rFonts w:hint="default" w:ascii="Times New Roman" w:hAnsi="Times New Roman" w:eastAsia="宋体" w:cs="Times New Roman"/>
          <w:kern w:val="2"/>
          <w:sz w:val="28"/>
          <w:szCs w:val="28"/>
          <w:lang w:val="en-US" w:eastAsia="zh-CN" w:bidi="ar-SA"/>
        </w:rPr>
        <w:t>Furthermore, Baker suggests that parents should have positive attitudes towards both languages. This helps children recognize the importance of each language, enhances their confidence in bilingual abilities, and promotes active learning and usage of both languages. Positive attitudes motivate children to continue practicing and improving their language skills, while also helping them better integrate into bilingual environments and enjoy the cultural and cognitive benefits of bilingualism.</w:t>
      </w:r>
    </w:p>
    <w:p>
      <w:pPr>
        <w:keepNext w:val="0"/>
        <w:keepLines w:val="0"/>
        <w:pageBreakBefore w:val="0"/>
        <w:numPr>
          <w:ilvl w:val="0"/>
          <w:numId w:val="0"/>
        </w:numPr>
        <w:kinsoku/>
        <w:wordWrap/>
        <w:overflowPunct/>
        <w:topLinePunct w:val="0"/>
        <w:autoSpaceDE/>
        <w:autoSpaceDN/>
        <w:bidi w:val="0"/>
        <w:adjustRightInd/>
        <w:snapToGrid/>
        <w:spacing w:after="240" w:afterAutospacing="0"/>
        <w:textAlignment w:val="auto"/>
        <w:rPr>
          <w:rFonts w:hint="default" w:ascii="Times New Roman" w:hAnsi="Times New Roman" w:eastAsia="宋体" w:cs="Times New Roman"/>
          <w:sz w:val="28"/>
          <w:szCs w:val="28"/>
          <w:lang w:eastAsia="zh-CN"/>
        </w:rPr>
      </w:pPr>
      <w:r>
        <w:rPr>
          <w:rFonts w:hint="default" w:ascii="Times New Roman" w:hAnsi="Times New Roman" w:eastAsia="宋体" w:cs="Times New Roman"/>
          <w:sz w:val="28"/>
          <w:szCs w:val="28"/>
        </w:rPr>
        <w:t>Colin Baker's recommendations on providing a supportive environment for bilingual children</w:t>
      </w:r>
      <w:r>
        <w:rPr>
          <w:rFonts w:hint="default" w:ascii="Times New Roman" w:hAnsi="Times New Roman" w:eastAsia="宋体" w:cs="Times New Roman"/>
          <w:sz w:val="28"/>
          <w:szCs w:val="28"/>
          <w:lang w:val="en-US" w:eastAsia="zh-CN"/>
        </w:rPr>
        <w:t xml:space="preserve"> are useful which has been proved by several empirical studies.</w:t>
      </w:r>
      <w:r>
        <w:rPr>
          <w:rFonts w:hint="default" w:ascii="Times New Roman" w:hAnsi="Times New Roman" w:eastAsia="宋体" w:cs="Times New Roman"/>
          <w:sz w:val="28"/>
          <w:szCs w:val="28"/>
        </w:rPr>
        <w:t xml:space="preserve"> </w:t>
      </w:r>
      <w:r>
        <w:rPr>
          <w:rFonts w:hint="default" w:ascii="Times New Roman" w:hAnsi="Times New Roman" w:eastAsia="宋体" w:cs="Times New Roman"/>
          <w:sz w:val="28"/>
          <w:szCs w:val="28"/>
          <w:lang w:val="en-US" w:eastAsia="zh-CN"/>
        </w:rPr>
        <w:t>One of t</w:t>
      </w:r>
      <w:r>
        <w:rPr>
          <w:rFonts w:hint="default" w:ascii="Times New Roman" w:hAnsi="Times New Roman" w:eastAsia="宋体" w:cs="Times New Roman"/>
          <w:sz w:val="28"/>
          <w:szCs w:val="28"/>
        </w:rPr>
        <w:t>he case studies presented by</w:t>
      </w:r>
      <w:r>
        <w:rPr>
          <w:rFonts w:hint="default" w:ascii="Times New Roman" w:hAnsi="Times New Roman" w:eastAsia="宋体" w:cs="Times New Roman"/>
          <w:sz w:val="28"/>
          <w:szCs w:val="28"/>
          <w:highlight w:val="none"/>
        </w:rPr>
        <w:t xml:space="preserve"> Ronjat (1913)</w:t>
      </w:r>
      <w:r>
        <w:rPr>
          <w:rFonts w:hint="default" w:ascii="Times New Roman" w:hAnsi="Times New Roman" w:eastAsia="宋体" w:cs="Times New Roman"/>
          <w:sz w:val="28"/>
          <w:szCs w:val="28"/>
        </w:rPr>
        <w:t xml:space="preserve"> provide useful insights into the dynamics of multilingual language development.</w:t>
      </w:r>
      <w:r>
        <w:rPr>
          <w:rFonts w:hint="default" w:ascii="Times New Roman" w:hAnsi="Times New Roman" w:eastAsia="宋体" w:cs="Times New Roman"/>
          <w:sz w:val="28"/>
          <w:szCs w:val="28"/>
          <w:lang w:val="en-US" w:eastAsia="zh-CN"/>
        </w:rPr>
        <w:t>The</w:t>
      </w:r>
      <w:r>
        <w:rPr>
          <w:rFonts w:hint="default" w:ascii="Times New Roman" w:hAnsi="Times New Roman" w:eastAsia="宋体" w:cs="Times New Roman"/>
          <w:sz w:val="28"/>
          <w:szCs w:val="28"/>
        </w:rPr>
        <w:t xml:space="preserve"> study</w:t>
      </w:r>
      <w:r>
        <w:rPr>
          <w:rFonts w:hint="default"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developed the notion of One Person, One linguistic (OPOL), emphasizes the necessity of caregivers providing consistent linguistic input in molding bilingual competency. This supports Baker's emphasis on consistency in language use at home. Similarly,</w:t>
      </w:r>
      <w:r>
        <w:rPr>
          <w:rFonts w:hint="default" w:ascii="Times New Roman" w:hAnsi="Times New Roman" w:eastAsia="宋体" w:cs="Times New Roman"/>
          <w:sz w:val="28"/>
          <w:szCs w:val="28"/>
          <w:lang w:val="en-US" w:eastAsia="zh-CN"/>
        </w:rPr>
        <w:t>in the study,</w:t>
      </w:r>
      <w:r>
        <w:rPr>
          <w:rFonts w:hint="default" w:ascii="Times New Roman" w:hAnsi="Times New Roman" w:eastAsia="宋体" w:cs="Times New Roman"/>
          <w:sz w:val="28"/>
          <w:szCs w:val="28"/>
        </w:rPr>
        <w:t xml:space="preserve"> Leopold's in-depth examination of his daughter Hildegard's bilingual upbringing emphasizes the impact of family language practices on language dominance and proficiency. Ronjat's observation of variations in language dominance based on context is consistent with Baker's emphasis on establishing a supportive environment that adjusts to multilingual children's shifting needs and experiences.</w:t>
      </w:r>
    </w:p>
    <w:p>
      <w:pPr>
        <w:keepNext w:val="0"/>
        <w:keepLines w:val="0"/>
        <w:pageBreakBefore w:val="0"/>
        <w:numPr>
          <w:ilvl w:val="0"/>
          <w:numId w:val="0"/>
        </w:numPr>
        <w:kinsoku/>
        <w:wordWrap/>
        <w:overflowPunct/>
        <w:topLinePunct w:val="0"/>
        <w:autoSpaceDE/>
        <w:autoSpaceDN/>
        <w:bidi w:val="0"/>
        <w:adjustRightInd/>
        <w:snapToGrid/>
        <w:spacing w:after="240" w:afterAutospacing="0"/>
        <w:textAlignment w:val="auto"/>
        <w:rPr>
          <w:rFonts w:hint="default" w:ascii="Times New Roman" w:hAnsi="Times New Roman" w:eastAsia="宋体" w:cs="Times New Roman"/>
          <w:sz w:val="28"/>
          <w:szCs w:val="28"/>
          <w:lang w:eastAsia="zh-CN"/>
        </w:rPr>
      </w:pPr>
      <w:r>
        <w:rPr>
          <w:rFonts w:hint="default" w:ascii="Times New Roman" w:hAnsi="Times New Roman" w:eastAsia="宋体" w:cs="Times New Roman"/>
          <w:sz w:val="28"/>
          <w:szCs w:val="28"/>
          <w:lang w:val="en-US" w:eastAsia="zh-CN"/>
        </w:rPr>
        <w:t>Furthermore,</w:t>
      </w:r>
      <w:r>
        <w:rPr>
          <w:rFonts w:hint="default" w:ascii="Times New Roman" w:hAnsi="Times New Roman" w:eastAsia="宋体" w:cs="Times New Roman"/>
          <w:sz w:val="28"/>
          <w:szCs w:val="28"/>
          <w:highlight w:val="none"/>
        </w:rPr>
        <w:t xml:space="preserve">Taura's longitudinal study (2012) </w:t>
      </w:r>
      <w:r>
        <w:rPr>
          <w:rFonts w:hint="default" w:ascii="Times New Roman" w:hAnsi="Times New Roman" w:eastAsia="宋体" w:cs="Times New Roman"/>
          <w:sz w:val="28"/>
          <w:szCs w:val="28"/>
        </w:rPr>
        <w:t>provides more insights on multilingual language development. Despite the typological gap between English and Japanese, as well as variations in exposure, the researchers discovered that the bilingual girl, referred to as 'M', gained competency in both languages on par with monolingual speakers. This emphasizes the significance of constant exposure and educational support, which is congruent with Baker's recommendations for providing a supportive environment for bilingual children.</w:t>
      </w:r>
    </w:p>
    <w:p>
      <w:pPr>
        <w:keepNext w:val="0"/>
        <w:keepLines w:val="0"/>
        <w:pageBreakBefore w:val="0"/>
        <w:numPr>
          <w:ilvl w:val="0"/>
          <w:numId w:val="0"/>
        </w:numPr>
        <w:kinsoku/>
        <w:wordWrap/>
        <w:overflowPunct/>
        <w:topLinePunct w:val="0"/>
        <w:autoSpaceDE/>
        <w:autoSpaceDN/>
        <w:bidi w:val="0"/>
        <w:adjustRightInd/>
        <w:snapToGrid/>
        <w:spacing w:after="240" w:afterAutospacing="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Incorporating these case studies within the evaluation emphasizes the importance of Baker's guidance in real-world bilingual settings. They highlight the significance of regular language intake, family language practices, and adaptive support systems in promoting multilingual competency and success. Overall, these case studies demonstrate the relevance and efficacy of Baker's guidance on raising bilingual children.</w:t>
      </w:r>
    </w:p>
    <w:p>
      <w:pPr>
        <w:keepNext w:val="0"/>
        <w:keepLines w:val="0"/>
        <w:pageBreakBefore w:val="0"/>
        <w:numPr>
          <w:ilvl w:val="0"/>
          <w:numId w:val="0"/>
        </w:numPr>
        <w:kinsoku/>
        <w:wordWrap/>
        <w:overflowPunct/>
        <w:topLinePunct w:val="0"/>
        <w:autoSpaceDE/>
        <w:autoSpaceDN/>
        <w:bidi w:val="0"/>
        <w:adjustRightInd/>
        <w:snapToGrid/>
        <w:spacing w:after="240" w:afterAutospacing="0"/>
        <w:textAlignment w:val="auto"/>
        <w:rPr>
          <w:rFonts w:hint="default" w:ascii="Times New Roman" w:hAnsi="Times New Roman" w:eastAsia="宋体" w:cs="Times New Roman"/>
          <w:sz w:val="28"/>
          <w:szCs w:val="28"/>
          <w:lang w:eastAsia="zh-CN"/>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Cultural Integration</w:t>
      </w:r>
    </w:p>
    <w:p>
      <w:pPr>
        <w:keepNext w:val="0"/>
        <w:keepLines w:val="0"/>
        <w:pageBreakBefore w:val="0"/>
        <w:numPr>
          <w:ilvl w:val="0"/>
          <w:numId w:val="0"/>
        </w:numPr>
        <w:kinsoku/>
        <w:wordWrap/>
        <w:overflowPunct/>
        <w:topLinePunct w:val="0"/>
        <w:autoSpaceDE/>
        <w:autoSpaceDN/>
        <w:bidi w:val="0"/>
        <w:adjustRightInd/>
        <w:snapToGrid/>
        <w:spacing w:after="240" w:afterAutospacing="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Baker views cultural integration as equally important as language acquisition, emphasizing its function in building a better understanding and respect for both language and culture. By adding cultural components such as literature, music, films, and traditions into language learning activities, bilingual children get insight into the language's cultural nuances, traditions, and values. This strategy not only improves language acquisition but also fosters cultural understanding.</w:t>
      </w:r>
      <w:r>
        <w:rPr>
          <w:rFonts w:hint="eastAsia" w:ascii="Times New Roman" w:hAnsi="Times New Roman" w:eastAsia="宋体" w:cs="Times New Roman"/>
          <w:sz w:val="28"/>
          <w:szCs w:val="28"/>
          <w:lang w:val="en-US" w:eastAsia="zh-CN"/>
        </w:rPr>
        <w:t xml:space="preserve"> He</w:t>
      </w:r>
      <w:r>
        <w:rPr>
          <w:rFonts w:hint="default" w:ascii="Times New Roman" w:hAnsi="Times New Roman" w:eastAsia="宋体" w:cs="Times New Roman"/>
          <w:sz w:val="28"/>
          <w:szCs w:val="28"/>
        </w:rPr>
        <w:t xml:space="preserve"> also encourages cultural exchanges, talks, and relationships amongst parents from various ethnic origins in order to foster a diversified learning environment. By exchanging cultural experiences and opinions, parents build mutual understanding and tolerance, as well as a favorable attitude toward diverse cultures. This optimistic attitude has a huge impact on children's motivation to learn other languages. </w:t>
      </w:r>
      <w:r>
        <w:rPr>
          <w:rFonts w:hint="default" w:ascii="Times New Roman" w:hAnsi="Times New Roman" w:eastAsia="宋体" w:cs="Times New Roman"/>
          <w:sz w:val="28"/>
          <w:szCs w:val="28"/>
        </w:rPr>
        <w:br w:type="textWrapping"/>
      </w:r>
      <w:r>
        <w:rPr>
          <w:rFonts w:hint="default" w:ascii="Times New Roman" w:hAnsi="Times New Roman" w:eastAsia="宋体" w:cs="Times New Roman"/>
          <w:sz w:val="28"/>
          <w:szCs w:val="28"/>
        </w:rPr>
        <w:t>Baker also advocates introducing cultural festivals, celebrations, and activities into language learning programs to provide students with hands-on experiences that improve both their cultural understanding and language ability. These tactics help bilingual children develop not only language skills, but also cultural awareness and appreciation, which improves their entire learning experience and fosters positive attitudes toward cultural diversity.</w:t>
      </w:r>
    </w:p>
    <w:p>
      <w:pPr>
        <w:keepNext w:val="0"/>
        <w:keepLines w:val="0"/>
        <w:pageBreakBefore w:val="0"/>
        <w:numPr>
          <w:ilvl w:val="0"/>
          <w:numId w:val="0"/>
        </w:numPr>
        <w:kinsoku/>
        <w:wordWrap/>
        <w:overflowPunct/>
        <w:topLinePunct w:val="0"/>
        <w:autoSpaceDE/>
        <w:autoSpaceDN/>
        <w:bidi w:val="0"/>
        <w:adjustRightInd/>
        <w:snapToGrid/>
        <w:spacing w:after="240" w:afterAutospacing="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In conclusion, Baker calls for a comprehensive approach to language learning that acknowledges the inherent relationship between language and culture. By including cultural elements into language learning exercises, bilingual children can have a better grasp of both language and culture, encouraging cultural awareness, appreciation, and respect.</w:t>
      </w: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宋体" w:hAnsi="宋体" w:eastAsia="宋体" w:cs="宋体"/>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Recommendations for Parents</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Segoe UI" w:cs="Times New Roman"/>
          <w:i w:val="0"/>
          <w:iCs w:val="0"/>
          <w:caps w:val="0"/>
          <w:color w:val="0D0D0D"/>
          <w:spacing w:val="0"/>
          <w:sz w:val="28"/>
          <w:szCs w:val="28"/>
          <w:shd w:val="clear" w:color="auto" w:fill="auto"/>
        </w:rPr>
      </w:pPr>
      <w:r>
        <w:rPr>
          <w:rFonts w:hint="default" w:ascii="Times New Roman" w:hAnsi="Times New Roman" w:eastAsia="宋体" w:cs="Times New Roman"/>
          <w:sz w:val="28"/>
          <w:szCs w:val="28"/>
          <w:lang w:val="en-US" w:eastAsia="zh-CN"/>
        </w:rPr>
        <w:t>Based on the previous review on the factors influencing bilingual children, s</w:t>
      </w:r>
      <w:r>
        <w:rPr>
          <w:rFonts w:hint="default" w:ascii="Times New Roman" w:hAnsi="Times New Roman" w:eastAsia="宋体" w:cs="Times New Roman"/>
          <w:sz w:val="28"/>
          <w:szCs w:val="28"/>
        </w:rPr>
        <w:t>everal key tips can greatly help multilingual parents boost their children's language development. First and foremost, get started as soon as possible. Parents should highlight the value of early exposure to both languages, as studies show that infants are most susceptible to language acquisition throughout their early years. Reading bilingual books, singing songs, and participating in language-rich activities are all practical ways to help children learn languages early on.</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Second, consistency and persistence are critical. Parents should emphasize the need of keeping consistent language use inside the home. This constancy reinforces language abilities and promotes bilingual competency over time. Strategies such as using a One Person One Language (OPOL) strategy or scheduling dedicated language time each day can help guarantee bilingual language development persists.</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lang w:eastAsia="zh-CN"/>
        </w:rPr>
      </w:pPr>
      <w:r>
        <w:rPr>
          <w:rFonts w:hint="default" w:ascii="Times New Roman" w:hAnsi="Times New Roman" w:eastAsia="宋体" w:cs="Times New Roman"/>
          <w:sz w:val="28"/>
          <w:szCs w:val="28"/>
        </w:rPr>
        <w:t>Creating a supportive workplace is equally important. Parents are advised to create a linguistically friendly environment at home by encouraging language use and offering numerous chances for language practice. Furthermore, developing good views toward both languages makes youngsters feel valued and inspired to keep studying. Another key recommendation is to promote cultural integration. Integrating cultural components into language instruction strengthens the language acquisition process while also encouraging cultural knowledge and respect. Cooking traditional recipes, commemorating cultural holidays, and visiting cultural landmarks can all help to promote cultural integration.</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 xml:space="preserve">Furthermore, when applying language acquisition practices, parents should take into account individual differences. Every child is unique, therefore parents should tailor their tactics to their child's distinct requirements and preferences. Tailoring language learning approaches to individual learning styles and interests can improve the efficacy of language development programs. </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In conclusion, by following these guidelines, parents can foster a supportive atmosphere that promotes bilingual language development in their child. Starting early, keeping consistency and tenacity, creating a supportive atmosphere, incorporating culture, and taking into account individual circumstances are all essential components of successful multilingual rearing. With these efforts, parents can help their children become fluent and confident bilingual speakers, expanding their linguistic and cultural experiences for years to come.</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lang w:val="en-US" w:eastAsia="zh-CN"/>
        </w:rPr>
      </w:pPr>
    </w:p>
    <w:p>
      <w:pPr>
        <w:keepNext w:val="0"/>
        <w:keepLines w:val="0"/>
        <w:pageBreakBefore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Analysis of Colin Baker's Advice in regarding to my own experience</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Baker's comprehensive examination of bilingual education illuminates its multifaceted nature, revealing both its advantages and limitations. His thorough investigation encompasses various facets, including language development, instructional methodologies, and policy implications, all substantiated by a wealth of empirical data. Notably, Baker advocates for customizing teaching strategies to suit the idiosyncrasies of individual learners, a stance reinforced by practical case studies. Additionally, he adeptly contextualizes bilingual education within broader sociopolitical landscapes, shedding light on the complex interplay between language acquisition and societal dynamics.</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However, despite its strengths, Baker's work exhibits certain shortcomings. Chief among these is the need for more extensive discussions on the practical implementation of recommended strategies. Furthermore, a deeper critical analysis of research findings could enrich the discourse, offering readers a more nuanced understanding of the subject. Moreover, some aspects addressed in the book solely focus on bilingual education, potentially limiting its relevance to other language acquisition contexts and overlooking valuable insights from diverse educational settings.</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eastAsia" w:ascii="Times New Roman" w:hAnsi="Times New Roman" w:eastAsia="宋体" w:cs="Times New Roman"/>
          <w:sz w:val="28"/>
          <w:szCs w:val="28"/>
          <w:lang w:val="en-US" w:eastAsia="zh-CN"/>
        </w:rPr>
        <w:t>In regarding to my r</w:t>
      </w:r>
      <w:r>
        <w:rPr>
          <w:rFonts w:hint="default" w:ascii="Times New Roman" w:hAnsi="Times New Roman" w:eastAsia="宋体" w:cs="Times New Roman"/>
          <w:sz w:val="28"/>
          <w:szCs w:val="28"/>
        </w:rPr>
        <w:t xml:space="preserve">eal-life examples, such as those of Jane and Yi Yi, </w:t>
      </w:r>
      <w:r>
        <w:rPr>
          <w:rFonts w:hint="eastAsia" w:ascii="Times New Roman" w:hAnsi="Times New Roman" w:eastAsia="宋体" w:cs="Times New Roman"/>
          <w:sz w:val="28"/>
          <w:szCs w:val="28"/>
          <w:lang w:val="en-US" w:eastAsia="zh-CN"/>
        </w:rPr>
        <w:t xml:space="preserve">in fact, </w:t>
      </w:r>
      <w:r>
        <w:rPr>
          <w:rFonts w:hint="default" w:ascii="Times New Roman" w:hAnsi="Times New Roman" w:eastAsia="宋体" w:cs="Times New Roman"/>
          <w:sz w:val="28"/>
          <w:szCs w:val="28"/>
        </w:rPr>
        <w:t>underscore the significance of exposure to diverse languages and cultural integration in fostering language proficiency. Jane's upbringing in a multilingual environment, where she acquired Mandarin, Malay, and English, underscores the benefits of early exposure to diverse linguistic stimuli. Although Mandarin is her most fluent language due to familial interactions, her formal education in Malay and English has enhanced her reading abilities in both languages.</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Similarly, Yi Yi's upbringing in a Chinese-speaking household in France highlights the role of cultural affinity in shaping language preferences and competence. While proficient in Mandarin, her exposure to French at school and English in academic contexts has broadened her linguistic repertoire. Both cases exemplify the dynamic interplay of familial influences, educational environments, and individual language development trajectories.</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It is noteworthy that neither Jane nor Yi Yi's parents actively fostered their bilingualism, resulting in challenges during the acquisition of additional languages. This underscores the importance of proactive language education practices within families to mitigate obstacles in future language learning endeavors</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Helvetica" w:cs="Times New Roman"/>
          <w:i w:val="0"/>
          <w:iCs w:val="0"/>
          <w:caps w:val="0"/>
          <w:color w:val="181817"/>
          <w:spacing w:val="0"/>
          <w:sz w:val="28"/>
          <w:szCs w:val="28"/>
          <w:shd w:val="clear" w:fill="FFFFFF"/>
        </w:rPr>
        <w:t>De Houwer A</w:t>
      </w:r>
      <w:r>
        <w:rPr>
          <w:rFonts w:hint="eastAsia" w:ascii="Times New Roman" w:hAnsi="Times New Roman" w:eastAsia="宋体" w:cs="Times New Roman"/>
          <w:i w:val="0"/>
          <w:iCs w:val="0"/>
          <w:caps w:val="0"/>
          <w:color w:val="181817"/>
          <w:spacing w:val="0"/>
          <w:sz w:val="28"/>
          <w:szCs w:val="28"/>
          <w:shd w:val="clear" w:fill="FFFFFF"/>
          <w:lang w:val="en-US" w:eastAsia="zh-CN"/>
        </w:rPr>
        <w:t>,</w:t>
      </w:r>
      <w:r>
        <w:rPr>
          <w:rFonts w:hint="default" w:ascii="Times New Roman" w:hAnsi="Times New Roman" w:eastAsia="宋体" w:cs="Times New Roman"/>
          <w:i w:val="0"/>
          <w:iCs w:val="0"/>
          <w:caps w:val="0"/>
          <w:color w:val="181817"/>
          <w:spacing w:val="0"/>
          <w:sz w:val="28"/>
          <w:szCs w:val="28"/>
          <w:shd w:val="clear" w:fill="FFFFFF"/>
          <w:lang w:val="en-US" w:eastAsia="zh-CN"/>
        </w:rPr>
        <w:t xml:space="preserve"> 2021</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These anecdotal narratives align with existing literature emphasizing the pivotal role of home and educational environments in shaping bilingual proficiency</w:t>
      </w:r>
      <w:r>
        <w:rPr>
          <w:rFonts w:hint="default" w:ascii="Times New Roman" w:hAnsi="Times New Roman" w:eastAsia="宋体" w:cs="Times New Roman"/>
          <w:sz w:val="28"/>
          <w:szCs w:val="28"/>
          <w:lang w:val="en-US" w:eastAsia="zh-CN"/>
        </w:rPr>
        <w:t>(</w:t>
      </w:r>
      <w:r>
        <w:rPr>
          <w:rFonts w:hint="default" w:ascii="Times New Roman" w:hAnsi="Times New Roman" w:eastAsia="Segoe UI" w:cs="Times New Roman"/>
          <w:i w:val="0"/>
          <w:iCs w:val="0"/>
          <w:caps w:val="0"/>
          <w:color w:val="0D0D0D"/>
          <w:spacing w:val="0"/>
          <w:sz w:val="28"/>
          <w:szCs w:val="28"/>
          <w:bdr w:val="single" w:color="E3E3E3" w:sz="2" w:space="0"/>
          <w:shd w:val="clear" w:fill="FFFFFF"/>
        </w:rPr>
        <w:t>Hamers</w:t>
      </w:r>
      <w:r>
        <w:rPr>
          <w:rFonts w:hint="default" w:ascii="Times New Roman" w:hAnsi="Times New Roman" w:eastAsia="宋体" w:cs="Times New Roman"/>
          <w:i w:val="0"/>
          <w:iCs w:val="0"/>
          <w:caps w:val="0"/>
          <w:color w:val="0D0D0D"/>
          <w:spacing w:val="0"/>
          <w:sz w:val="28"/>
          <w:szCs w:val="28"/>
          <w:bdr w:val="single" w:color="E3E3E3" w:sz="2" w:space="0"/>
          <w:shd w:val="clear" w:fill="FFFFFF"/>
          <w:lang w:val="en-US" w:eastAsia="zh-CN"/>
        </w:rPr>
        <w:t xml:space="preserve"> and</w:t>
      </w:r>
      <w:r>
        <w:rPr>
          <w:rFonts w:hint="default" w:ascii="Times New Roman" w:hAnsi="Times New Roman" w:eastAsia="Segoe UI" w:cs="Times New Roman"/>
          <w:i w:val="0"/>
          <w:iCs w:val="0"/>
          <w:caps w:val="0"/>
          <w:color w:val="0D0D0D"/>
          <w:spacing w:val="0"/>
          <w:sz w:val="28"/>
          <w:szCs w:val="28"/>
          <w:bdr w:val="single" w:color="E3E3E3" w:sz="2" w:space="0"/>
          <w:shd w:val="clear" w:fill="FFFFFF"/>
        </w:rPr>
        <w:t xml:space="preserve"> Blanc 2000</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 While extensive research has explored familial language practices, there remains a notable gap in establishing comprehensive frameworks for nurturing bilingual children. Addressing this gap necessitates interdisciplinary collaboration among educators, linguists, and psychologists to develop holistic approaches that consider individual learning styles and sociocultural variables.</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In conclusion, Baker's research on bilingual education offers valuable insights into its complexities and implications. However, to fully harness the benefits of multilingualism, concerted efforts are required to develop comprehensive language education frameworks that encompass various learning contexts and accommodate individual differences. By bridging the divide between theory and practice, stakeholders can effectively support the linguistic development of future generations in an increasingly interconnected world.</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default" w:ascii="Times New Roman" w:hAnsi="Times New Roman" w:eastAsia="宋体" w:cs="Times New Roman"/>
          <w:sz w:val="28"/>
          <w:szCs w:val="28"/>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Word count: 2431</w:t>
      </w: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4"/>
        <w:keepNext w:val="0"/>
        <w:keepLines w:val="0"/>
        <w:pageBreakBefore w:val="0"/>
        <w:widowControl/>
        <w:suppressLineNumbers w:val="0"/>
        <w:pBdr>
          <w:top w:val="single" w:color="E3E3E3" w:sz="2" w:space="0"/>
          <w:left w:val="single" w:color="E3E3E3" w:sz="2" w:space="0"/>
          <w:bottom w:val="single" w:color="E3E3E3" w:sz="2" w:space="0"/>
          <w:right w:val="single" w:color="E3E3E3" w:sz="2" w:space="0"/>
        </w:pBdr>
        <w:shd w:val="clear"/>
        <w:kinsoku/>
        <w:wordWrap/>
        <w:overflowPunct/>
        <w:topLinePunct w:val="0"/>
        <w:autoSpaceDE/>
        <w:autoSpaceDN/>
        <w:bidi w:val="0"/>
        <w:adjustRightInd/>
        <w:snapToGrid/>
        <w:spacing w:before="263" w:beforeAutospacing="0" w:after="263" w:afterAutospacing="0"/>
        <w:ind w:left="0" w:right="0" w:firstLine="0"/>
        <w:jc w:val="both"/>
        <w:textAlignment w:val="auto"/>
        <w:rPr>
          <w:rFonts w:hint="eastAsia" w:ascii="Times New Roman" w:hAnsi="Times New Roman" w:eastAsia="宋体" w:cs="Times New Roman"/>
          <w:sz w:val="28"/>
          <w:szCs w:val="28"/>
          <w:lang w:val="en-US" w:eastAsia="zh-CN"/>
        </w:rPr>
      </w:pPr>
    </w:p>
    <w:p>
      <w:pPr>
        <w:pStyle w:val="3"/>
        <w:bidi w:val="0"/>
        <w:rPr>
          <w:rFonts w:hint="default" w:ascii="Times New Roman" w:hAnsi="Times New Roman" w:cs="Times New Roman"/>
          <w:lang w:val="en-US" w:eastAsia="zh-CN"/>
        </w:rPr>
      </w:pPr>
      <w:r>
        <w:rPr>
          <w:rFonts w:hint="default" w:ascii="Times New Roman" w:hAnsi="Times New Roman" w:cs="Times New Roman"/>
          <w:lang w:val="en-US" w:eastAsia="zh-CN"/>
        </w:rPr>
        <w:t>References</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Baker, C. (2014) </w:t>
      </w:r>
      <w:r>
        <w:rPr>
          <w:rFonts w:hint="default" w:ascii="Times New Roman" w:hAnsi="Times New Roman" w:eastAsia="宋体" w:cs="Times New Roman"/>
          <w:i/>
          <w:iCs/>
          <w:kern w:val="0"/>
          <w:sz w:val="28"/>
          <w:szCs w:val="28"/>
          <w:lang w:val="en-US" w:eastAsia="zh-CN" w:bidi="ar"/>
        </w:rPr>
        <w:t>A Parents’ and Teachers’ Guide to Bilingualism</w:t>
      </w:r>
      <w:r>
        <w:rPr>
          <w:rFonts w:hint="default" w:ascii="Times New Roman" w:hAnsi="Times New Roman" w:eastAsia="宋体" w:cs="Times New Roman"/>
          <w:kern w:val="0"/>
          <w:sz w:val="28"/>
          <w:szCs w:val="28"/>
          <w:lang w:val="en-US" w:eastAsia="zh-CN" w:bidi="ar"/>
        </w:rPr>
        <w:t>. 4th edition. Bristol: Multilingual Matters.</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Helvetica" w:cs="Times New Roman"/>
          <w:i w:val="0"/>
          <w:iCs w:val="0"/>
          <w:caps w:val="0"/>
          <w:color w:val="181817"/>
          <w:spacing w:val="0"/>
          <w:sz w:val="28"/>
          <w:szCs w:val="28"/>
          <w:shd w:val="clear" w:fill="FFFFFF"/>
        </w:rPr>
      </w:pPr>
      <w:r>
        <w:rPr>
          <w:rFonts w:hint="default" w:ascii="Times New Roman" w:hAnsi="Times New Roman" w:eastAsia="宋体" w:cs="Times New Roman"/>
          <w:kern w:val="0"/>
          <w:sz w:val="28"/>
          <w:szCs w:val="28"/>
          <w:lang w:val="en-US" w:eastAsia="zh-CN" w:bidi="ar"/>
        </w:rPr>
        <w:t xml:space="preserve">Baker, C. and Wright, W.E. (2021) </w:t>
      </w:r>
      <w:r>
        <w:rPr>
          <w:rFonts w:hint="default" w:ascii="Times New Roman" w:hAnsi="Times New Roman" w:eastAsia="宋体" w:cs="Times New Roman"/>
          <w:i/>
          <w:iCs/>
          <w:kern w:val="0"/>
          <w:sz w:val="28"/>
          <w:szCs w:val="28"/>
          <w:lang w:val="en-US" w:eastAsia="zh-CN" w:bidi="ar"/>
        </w:rPr>
        <w:t>Foundations of Bilingual Education and Bilingualism</w:t>
      </w:r>
      <w:r>
        <w:rPr>
          <w:rFonts w:hint="default" w:ascii="Times New Roman" w:hAnsi="Times New Roman" w:eastAsia="宋体" w:cs="Times New Roman"/>
          <w:kern w:val="0"/>
          <w:sz w:val="28"/>
          <w:szCs w:val="28"/>
          <w:lang w:val="en-US" w:eastAsia="zh-CN" w:bidi="ar"/>
        </w:rPr>
        <w:t>. 7th edition. Bristol: Multilingual Matters.</w:t>
      </w:r>
    </w:p>
    <w:p>
      <w:pPr>
        <w:keepNext w:val="0"/>
        <w:keepLines w:val="0"/>
        <w:pageBreakBefore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Helvetica" w:cs="Times New Roman"/>
          <w:i w:val="0"/>
          <w:iCs w:val="0"/>
          <w:caps w:val="0"/>
          <w:color w:val="181817"/>
          <w:spacing w:val="0"/>
          <w:sz w:val="28"/>
          <w:szCs w:val="28"/>
          <w:shd w:val="clear" w:fill="FFFFFF"/>
        </w:rPr>
      </w:pPr>
      <w:r>
        <w:rPr>
          <w:rFonts w:hint="default" w:ascii="Times New Roman" w:hAnsi="Times New Roman" w:eastAsia="Helvetica" w:cs="Times New Roman"/>
          <w:i w:val="0"/>
          <w:iCs w:val="0"/>
          <w:caps w:val="0"/>
          <w:color w:val="181817"/>
          <w:spacing w:val="0"/>
          <w:sz w:val="28"/>
          <w:szCs w:val="28"/>
          <w:shd w:val="clear" w:fill="FFFFFF"/>
        </w:rPr>
        <w:t>De</w:t>
      </w:r>
      <w:r>
        <w:rPr>
          <w:rFonts w:hint="default" w:ascii="Times New Roman" w:hAnsi="Times New Roman" w:eastAsia="宋体" w:cs="Times New Roman"/>
          <w:i w:val="0"/>
          <w:iCs w:val="0"/>
          <w:caps w:val="0"/>
          <w:color w:val="181817"/>
          <w:spacing w:val="0"/>
          <w:sz w:val="28"/>
          <w:szCs w:val="28"/>
          <w:shd w:val="clear" w:fill="FFFFFF"/>
          <w:lang w:val="en-US" w:eastAsia="zh-CN"/>
        </w:rPr>
        <w:t xml:space="preserve">, </w:t>
      </w:r>
      <w:r>
        <w:rPr>
          <w:rFonts w:hint="default" w:ascii="Times New Roman" w:hAnsi="Times New Roman" w:eastAsia="Helvetica" w:cs="Times New Roman"/>
          <w:i w:val="0"/>
          <w:iCs w:val="0"/>
          <w:caps w:val="0"/>
          <w:color w:val="181817"/>
          <w:spacing w:val="0"/>
          <w:sz w:val="28"/>
          <w:szCs w:val="28"/>
          <w:shd w:val="clear" w:fill="FFFFFF"/>
        </w:rPr>
        <w:t>H</w:t>
      </w:r>
      <w:r>
        <w:rPr>
          <w:rFonts w:hint="default" w:ascii="Times New Roman" w:hAnsi="Times New Roman" w:eastAsia="宋体" w:cs="Times New Roman"/>
          <w:i w:val="0"/>
          <w:iCs w:val="0"/>
          <w:caps w:val="0"/>
          <w:color w:val="181817"/>
          <w:spacing w:val="0"/>
          <w:sz w:val="28"/>
          <w:szCs w:val="28"/>
          <w:shd w:val="clear" w:fill="FFFFFF"/>
          <w:lang w:val="en-US" w:eastAsia="zh-CN"/>
        </w:rPr>
        <w:t>.</w:t>
      </w:r>
      <w:r>
        <w:rPr>
          <w:rFonts w:hint="default" w:ascii="Times New Roman" w:hAnsi="Times New Roman" w:eastAsia="Helvetica" w:cs="Times New Roman"/>
          <w:i w:val="0"/>
          <w:iCs w:val="0"/>
          <w:caps w:val="0"/>
          <w:color w:val="181817"/>
          <w:spacing w:val="0"/>
          <w:sz w:val="28"/>
          <w:szCs w:val="28"/>
          <w:shd w:val="clear" w:fill="FFFFFF"/>
        </w:rPr>
        <w:t xml:space="preserve"> A</w:t>
      </w:r>
      <w:r>
        <w:rPr>
          <w:rFonts w:hint="default" w:ascii="Times New Roman" w:hAnsi="Times New Roman" w:eastAsia="宋体" w:cs="Times New Roman"/>
          <w:i w:val="0"/>
          <w:iCs w:val="0"/>
          <w:caps w:val="0"/>
          <w:color w:val="181817"/>
          <w:spacing w:val="0"/>
          <w:sz w:val="28"/>
          <w:szCs w:val="28"/>
          <w:shd w:val="clear" w:fill="FFFFFF"/>
          <w:lang w:val="en-US" w:eastAsia="zh-CN"/>
        </w:rPr>
        <w:t>. (2021)</w:t>
      </w:r>
      <w:r>
        <w:rPr>
          <w:rFonts w:hint="default" w:ascii="Times New Roman" w:hAnsi="Times New Roman" w:eastAsia="Helvetica" w:cs="Times New Roman"/>
          <w:i w:val="0"/>
          <w:iCs w:val="0"/>
          <w:caps w:val="0"/>
          <w:color w:val="181817"/>
          <w:spacing w:val="0"/>
          <w:sz w:val="28"/>
          <w:szCs w:val="28"/>
          <w:shd w:val="clear" w:fill="FFFFFF"/>
        </w:rPr>
        <w:t> </w:t>
      </w:r>
      <w:r>
        <w:rPr>
          <w:rFonts w:hint="default" w:ascii="Times New Roman" w:hAnsi="Times New Roman" w:eastAsia="Helvetica" w:cs="Times New Roman"/>
          <w:i/>
          <w:iCs/>
          <w:caps w:val="0"/>
          <w:color w:val="181817"/>
          <w:spacing w:val="0"/>
          <w:sz w:val="28"/>
          <w:szCs w:val="28"/>
          <w:shd w:val="clear" w:fill="FFFFFF"/>
          <w:vertAlign w:val="baseline"/>
        </w:rPr>
        <w:t>Bilingual Development in Childhood</w:t>
      </w:r>
      <w:r>
        <w:rPr>
          <w:rFonts w:hint="default" w:ascii="Times New Roman" w:hAnsi="Times New Roman" w:eastAsia="Helvetica" w:cs="Times New Roman"/>
          <w:i/>
          <w:iCs/>
          <w:caps w:val="0"/>
          <w:color w:val="181817"/>
          <w:spacing w:val="0"/>
          <w:sz w:val="28"/>
          <w:szCs w:val="28"/>
          <w:shd w:val="clear" w:fill="FFFFFF"/>
        </w:rPr>
        <w:t>.</w:t>
      </w:r>
      <w:r>
        <w:rPr>
          <w:rFonts w:hint="default" w:ascii="Times New Roman" w:hAnsi="Times New Roman" w:eastAsia="Helvetica" w:cs="Times New Roman"/>
          <w:i w:val="0"/>
          <w:iCs w:val="0"/>
          <w:caps w:val="0"/>
          <w:color w:val="181817"/>
          <w:spacing w:val="0"/>
          <w:sz w:val="28"/>
          <w:szCs w:val="28"/>
          <w:shd w:val="clear" w:fill="FFFFFF"/>
        </w:rPr>
        <w:t xml:space="preserve"> </w:t>
      </w:r>
      <w:r>
        <w:rPr>
          <w:rFonts w:hint="default" w:ascii="Times New Roman" w:hAnsi="Times New Roman" w:eastAsia="宋体" w:cs="Times New Roman"/>
          <w:i w:val="0"/>
          <w:iCs w:val="0"/>
          <w:caps w:val="0"/>
          <w:color w:val="181817"/>
          <w:spacing w:val="0"/>
          <w:sz w:val="28"/>
          <w:szCs w:val="28"/>
          <w:shd w:val="clear" w:fill="FFFFFF"/>
          <w:lang w:val="en-US" w:eastAsia="zh-CN"/>
        </w:rPr>
        <w:t xml:space="preserve">Cambridge: </w:t>
      </w:r>
      <w:r>
        <w:rPr>
          <w:rFonts w:hint="default" w:ascii="Times New Roman" w:hAnsi="Times New Roman" w:eastAsia="Helvetica" w:cs="Times New Roman"/>
          <w:i w:val="0"/>
          <w:iCs w:val="0"/>
          <w:caps w:val="0"/>
          <w:color w:val="181817"/>
          <w:spacing w:val="0"/>
          <w:sz w:val="28"/>
          <w:szCs w:val="28"/>
          <w:shd w:val="clear" w:fill="FFFFFF"/>
        </w:rPr>
        <w:t>Cambridge University Press.</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Elazar, Y. </w:t>
      </w:r>
      <w:r>
        <w:rPr>
          <w:rFonts w:hint="default" w:ascii="Times New Roman" w:hAnsi="Times New Roman" w:eastAsia="宋体" w:cs="Times New Roman"/>
          <w:i/>
          <w:iCs/>
          <w:kern w:val="0"/>
          <w:sz w:val="28"/>
          <w:szCs w:val="28"/>
          <w:lang w:val="en-US" w:eastAsia="zh-CN" w:bidi="ar"/>
        </w:rPr>
        <w:t>et al.</w:t>
      </w:r>
      <w:r>
        <w:rPr>
          <w:rFonts w:hint="default" w:ascii="Times New Roman" w:hAnsi="Times New Roman" w:eastAsia="宋体" w:cs="Times New Roman"/>
          <w:kern w:val="0"/>
          <w:sz w:val="28"/>
          <w:szCs w:val="28"/>
          <w:lang w:val="en-US" w:eastAsia="zh-CN" w:bidi="ar"/>
        </w:rPr>
        <w:t xml:space="preserve"> (2021) “Measuring and improving vonsistency in pretrained language models,” </w:t>
      </w:r>
      <w:r>
        <w:rPr>
          <w:rFonts w:hint="default" w:ascii="Times New Roman" w:hAnsi="Times New Roman" w:eastAsia="宋体" w:cs="Times New Roman"/>
          <w:i/>
          <w:iCs/>
          <w:kern w:val="0"/>
          <w:sz w:val="28"/>
          <w:szCs w:val="28"/>
          <w:lang w:val="en-US" w:eastAsia="zh-CN" w:bidi="ar"/>
        </w:rPr>
        <w:t>Transactions of the Association for Computational Linguistics</w:t>
      </w:r>
      <w:r>
        <w:rPr>
          <w:rFonts w:hint="default" w:ascii="Times New Roman" w:hAnsi="Times New Roman" w:eastAsia="宋体" w:cs="Times New Roman"/>
          <w:kern w:val="0"/>
          <w:sz w:val="28"/>
          <w:szCs w:val="28"/>
          <w:lang w:val="en-US" w:eastAsia="zh-CN" w:bidi="ar"/>
        </w:rPr>
        <w:t xml:space="preserve">, 9, pp. 1012–1031.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"https://doi.org/10.1162/tacl_a_00410." </w:instrText>
      </w:r>
      <w:r>
        <w:rPr>
          <w:rFonts w:hint="default" w:ascii="Times New Roman" w:hAnsi="Times New Roman" w:eastAsia="宋体" w:cs="Times New Roman"/>
          <w:kern w:val="0"/>
          <w:sz w:val="28"/>
          <w:szCs w:val="28"/>
          <w:lang w:val="en-US" w:eastAsia="zh-CN" w:bidi="ar"/>
        </w:rPr>
        <w:fldChar w:fldCharType="separate"/>
      </w:r>
      <w:r>
        <w:rPr>
          <w:rStyle w:val="7"/>
          <w:rFonts w:hint="default" w:ascii="Times New Roman" w:hAnsi="Times New Roman" w:eastAsia="宋体" w:cs="Times New Roman"/>
          <w:kern w:val="0"/>
          <w:sz w:val="28"/>
          <w:szCs w:val="28"/>
          <w:lang w:val="en-US" w:eastAsia="zh-CN" w:bidi="ar"/>
        </w:rPr>
        <w:t>https://doi.org/10.1162/tacl_a_00410.</w:t>
      </w:r>
      <w:r>
        <w:rPr>
          <w:rFonts w:hint="default" w:ascii="Times New Roman" w:hAnsi="Times New Roman" w:eastAsia="宋体" w:cs="Times New Roman"/>
          <w:kern w:val="0"/>
          <w:sz w:val="28"/>
          <w:szCs w:val="28"/>
          <w:lang w:val="en-US" w:eastAsia="zh-CN" w:bidi="ar"/>
        </w:rPr>
        <w:fldChar w:fldCharType="end"/>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color w:val="000000"/>
          <w:kern w:val="0"/>
          <w:sz w:val="28"/>
          <w:szCs w:val="28"/>
          <w:highlight w:val="none"/>
          <w:lang w:val="en-US" w:eastAsia="zh-CN" w:bidi="ar"/>
        </w:rPr>
      </w:pPr>
      <w:r>
        <w:rPr>
          <w:rFonts w:hint="default" w:ascii="Times New Roman" w:hAnsi="Times New Roman" w:eastAsia="宋体" w:cs="Times New Roman"/>
          <w:color w:val="000000"/>
          <w:kern w:val="0"/>
          <w:sz w:val="28"/>
          <w:szCs w:val="28"/>
          <w:highlight w:val="none"/>
          <w:lang w:val="en-US" w:eastAsia="zh-CN" w:bidi="ar"/>
        </w:rPr>
        <w:t xml:space="preserve">Genesee, F. (2006)  ‘Bilingual first language acquisition in perspective’ , in P. McCardle and E. Hoff (eds) </w:t>
      </w:r>
      <w:r>
        <w:rPr>
          <w:rFonts w:hint="default" w:ascii="Times New Roman" w:hAnsi="Times New Roman" w:eastAsia="Arial-ItalicMT" w:cs="Times New Roman"/>
          <w:i/>
          <w:iCs/>
          <w:color w:val="000000"/>
          <w:kern w:val="0"/>
          <w:sz w:val="28"/>
          <w:szCs w:val="28"/>
          <w:highlight w:val="none"/>
          <w:lang w:val="en-US" w:eastAsia="zh-CN" w:bidi="ar"/>
        </w:rPr>
        <w:t>Childhood Bilingualism: Research on Infancy through School Age</w:t>
      </w:r>
      <w:r>
        <w:rPr>
          <w:rFonts w:hint="default" w:ascii="Times New Roman" w:hAnsi="Times New Roman" w:eastAsia="宋体" w:cs="Times New Roman"/>
          <w:color w:val="000000"/>
          <w:kern w:val="0"/>
          <w:sz w:val="28"/>
          <w:szCs w:val="28"/>
          <w:highlight w:val="none"/>
          <w:lang w:val="en-US" w:eastAsia="zh-CN" w:bidi="ar"/>
        </w:rPr>
        <w:t>. Clevedon: Multilingual Matters, pp. 45-67.</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Genesee, F. (1983) “Bilingual education of majority-language children: The Immersion experiments in review,” </w:t>
      </w:r>
      <w:r>
        <w:rPr>
          <w:rFonts w:hint="default" w:ascii="Times New Roman" w:hAnsi="Times New Roman" w:eastAsia="宋体" w:cs="Times New Roman"/>
          <w:i/>
          <w:iCs/>
          <w:kern w:val="0"/>
          <w:sz w:val="28"/>
          <w:szCs w:val="28"/>
          <w:lang w:val="en-US" w:eastAsia="zh-CN" w:bidi="ar"/>
        </w:rPr>
        <w:t>Applied Psycholinguistics</w:t>
      </w:r>
      <w:r>
        <w:rPr>
          <w:rFonts w:hint="default" w:ascii="Times New Roman" w:hAnsi="Times New Roman" w:eastAsia="宋体" w:cs="Times New Roman"/>
          <w:kern w:val="0"/>
          <w:sz w:val="28"/>
          <w:szCs w:val="28"/>
          <w:lang w:val="en-US" w:eastAsia="zh-CN" w:bidi="ar"/>
        </w:rPr>
        <w:t xml:space="preserve">, 4(1), pp. 1-46.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"https://doi.org/10.1017/S0142716400001739." </w:instrText>
      </w:r>
      <w:r>
        <w:rPr>
          <w:rFonts w:hint="default" w:ascii="Times New Roman" w:hAnsi="Times New Roman" w:eastAsia="宋体" w:cs="Times New Roman"/>
          <w:kern w:val="0"/>
          <w:sz w:val="28"/>
          <w:szCs w:val="28"/>
          <w:lang w:val="en-US" w:eastAsia="zh-CN" w:bidi="ar"/>
        </w:rPr>
        <w:fldChar w:fldCharType="separate"/>
      </w:r>
      <w:r>
        <w:rPr>
          <w:rStyle w:val="7"/>
          <w:rFonts w:hint="default" w:ascii="Times New Roman" w:hAnsi="Times New Roman" w:eastAsia="宋体" w:cs="Times New Roman"/>
          <w:kern w:val="0"/>
          <w:sz w:val="28"/>
          <w:szCs w:val="28"/>
          <w:lang w:val="en-US" w:eastAsia="zh-CN" w:bidi="ar"/>
        </w:rPr>
        <w:t>https://doi.org/10.1017/S0142716400001739.</w:t>
      </w:r>
      <w:r>
        <w:rPr>
          <w:rFonts w:hint="default" w:ascii="Times New Roman" w:hAnsi="Times New Roman" w:eastAsia="宋体" w:cs="Times New Roman"/>
          <w:kern w:val="0"/>
          <w:sz w:val="28"/>
          <w:szCs w:val="28"/>
          <w:lang w:val="en-US" w:eastAsia="zh-CN" w:bidi="ar"/>
        </w:rPr>
        <w:fldChar w:fldCharType="end"/>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Grosjean, F. (2012) </w:t>
      </w:r>
      <w:r>
        <w:rPr>
          <w:rFonts w:hint="default" w:ascii="Times New Roman" w:hAnsi="Times New Roman" w:eastAsia="宋体" w:cs="Times New Roman"/>
          <w:i/>
          <w:iCs/>
          <w:kern w:val="0"/>
          <w:sz w:val="28"/>
          <w:szCs w:val="28"/>
          <w:lang w:val="en-US" w:eastAsia="zh-CN" w:bidi="ar"/>
        </w:rPr>
        <w:t>Bilingual: Life and Reality (reprint edItion).</w:t>
      </w:r>
      <w:r>
        <w:rPr>
          <w:rFonts w:hint="default" w:ascii="Times New Roman" w:hAnsi="Times New Roman" w:eastAsia="宋体" w:cs="Times New Roman"/>
          <w:kern w:val="0"/>
          <w:sz w:val="28"/>
          <w:szCs w:val="28"/>
          <w:lang w:val="en-US" w:eastAsia="zh-CN" w:bidi="ar"/>
        </w:rPr>
        <w:t xml:space="preserve"> Cambridge: Harvard University Press.</w:t>
      </w:r>
    </w:p>
    <w:p>
      <w:pPr>
        <w:keepNext w:val="0"/>
        <w:keepLines w:val="0"/>
        <w:pageBreakBefore w:val="0"/>
        <w:widowControl/>
        <w:numPr>
          <w:ilvl w:val="0"/>
          <w:numId w:val="0"/>
        </w:numPr>
        <w:suppressLineNumbers w:val="0"/>
        <w:pBdr>
          <w:top w:val="single" w:color="E3E3E3" w:sz="2" w:space="0"/>
          <w:left w:val="single" w:color="E3E3E3" w:sz="2" w:space="3"/>
          <w:bottom w:val="single" w:color="E3E3E3" w:sz="2" w:space="0"/>
          <w:right w:val="single" w:color="E3E3E3" w:sz="2" w:space="0"/>
        </w:pBdr>
        <w:kinsoku/>
        <w:wordWrap/>
        <w:overflowPunct/>
        <w:topLinePunct w:val="0"/>
        <w:autoSpaceDE/>
        <w:autoSpaceDN/>
        <w:bidi w:val="0"/>
        <w:adjustRightInd/>
        <w:snapToGrid/>
        <w:spacing w:before="157" w:beforeLines="50" w:beforeAutospacing="0" w:after="100" w:afterAutospacing="1" w:line="360" w:lineRule="auto"/>
        <w:ind w:right="0" w:rightChars="0"/>
        <w:jc w:val="both"/>
        <w:textAlignment w:val="auto"/>
        <w:rPr>
          <w:rFonts w:hint="default" w:ascii="Times New Roman" w:hAnsi="Times New Roman" w:eastAsia="Segoe UI" w:cs="Times New Roman"/>
          <w:i w:val="0"/>
          <w:iCs w:val="0"/>
          <w:caps w:val="0"/>
          <w:color w:val="0D0D0D"/>
          <w:spacing w:val="0"/>
          <w:sz w:val="28"/>
          <w:szCs w:val="28"/>
          <w:bdr w:val="single" w:color="E3E3E3" w:sz="2" w:space="0"/>
          <w:shd w:val="clear" w:fill="FFFFFF"/>
        </w:rPr>
      </w:pPr>
      <w:r>
        <w:rPr>
          <w:rFonts w:hint="default" w:ascii="Times New Roman" w:hAnsi="Times New Roman" w:eastAsia="Segoe UI" w:cs="Times New Roman"/>
          <w:i w:val="0"/>
          <w:iCs w:val="0"/>
          <w:caps w:val="0"/>
          <w:color w:val="0D0D0D"/>
          <w:spacing w:val="0"/>
          <w:sz w:val="28"/>
          <w:szCs w:val="28"/>
          <w:bdr w:val="single" w:color="E3E3E3" w:sz="2" w:space="0"/>
          <w:shd w:val="clear" w:fill="FFFFFF"/>
        </w:rPr>
        <w:t xml:space="preserve">Hamers, J. F. </w:t>
      </w:r>
      <w:r>
        <w:rPr>
          <w:rFonts w:hint="default" w:ascii="Times New Roman" w:hAnsi="Times New Roman" w:eastAsia="宋体" w:cs="Times New Roman"/>
          <w:i w:val="0"/>
          <w:iCs w:val="0"/>
          <w:caps w:val="0"/>
          <w:color w:val="0D0D0D"/>
          <w:spacing w:val="0"/>
          <w:sz w:val="28"/>
          <w:szCs w:val="28"/>
          <w:bdr w:val="single" w:color="E3E3E3" w:sz="2" w:space="0"/>
          <w:shd w:val="clear" w:fill="FFFFFF"/>
          <w:lang w:val="en-US" w:eastAsia="zh-CN"/>
        </w:rPr>
        <w:t>and</w:t>
      </w:r>
      <w:r>
        <w:rPr>
          <w:rFonts w:hint="default" w:ascii="Times New Roman" w:hAnsi="Times New Roman" w:eastAsia="Segoe UI" w:cs="Times New Roman"/>
          <w:i w:val="0"/>
          <w:iCs w:val="0"/>
          <w:caps w:val="0"/>
          <w:color w:val="0D0D0D"/>
          <w:spacing w:val="0"/>
          <w:sz w:val="28"/>
          <w:szCs w:val="28"/>
          <w:bdr w:val="single" w:color="E3E3E3" w:sz="2" w:space="0"/>
          <w:shd w:val="clear" w:fill="FFFFFF"/>
        </w:rPr>
        <w:t xml:space="preserve"> Blanc, M. H. (2000)</w:t>
      </w:r>
      <w:r>
        <w:rPr>
          <w:rFonts w:hint="default" w:ascii="Times New Roman" w:hAnsi="Times New Roman" w:eastAsia="宋体" w:cs="Times New Roman"/>
          <w:i w:val="0"/>
          <w:iCs w:val="0"/>
          <w:caps w:val="0"/>
          <w:color w:val="0D0D0D"/>
          <w:spacing w:val="0"/>
          <w:sz w:val="28"/>
          <w:szCs w:val="28"/>
          <w:bdr w:val="single" w:color="E3E3E3" w:sz="2" w:space="0"/>
          <w:shd w:val="clear" w:fill="FFFFFF"/>
          <w:lang w:val="en-US" w:eastAsia="zh-CN"/>
        </w:rPr>
        <w:t xml:space="preserve"> </w:t>
      </w:r>
      <w:r>
        <w:rPr>
          <w:rFonts w:hint="default" w:ascii="Times New Roman" w:hAnsi="Times New Roman" w:eastAsia="Segoe UI" w:cs="Times New Roman"/>
          <w:i/>
          <w:iCs/>
          <w:caps w:val="0"/>
          <w:color w:val="0D0D0D"/>
          <w:spacing w:val="0"/>
          <w:sz w:val="28"/>
          <w:szCs w:val="28"/>
          <w:bdr w:val="single" w:color="E3E3E3" w:sz="2" w:space="0"/>
          <w:shd w:val="clear" w:fill="FFFFFF"/>
        </w:rPr>
        <w:t xml:space="preserve">Bilinguality and </w:t>
      </w:r>
      <w:r>
        <w:rPr>
          <w:rFonts w:hint="default" w:ascii="Times New Roman" w:hAnsi="Times New Roman" w:eastAsia="宋体" w:cs="Times New Roman"/>
          <w:i/>
          <w:iCs/>
          <w:caps w:val="0"/>
          <w:color w:val="0D0D0D"/>
          <w:spacing w:val="0"/>
          <w:sz w:val="28"/>
          <w:szCs w:val="28"/>
          <w:bdr w:val="single" w:color="E3E3E3" w:sz="2" w:space="0"/>
          <w:shd w:val="clear" w:fill="FFFFFF"/>
          <w:lang w:val="en-US" w:eastAsia="zh-CN"/>
        </w:rPr>
        <w:t>B</w:t>
      </w:r>
      <w:r>
        <w:rPr>
          <w:rFonts w:hint="default" w:ascii="Times New Roman" w:hAnsi="Times New Roman" w:eastAsia="Segoe UI" w:cs="Times New Roman"/>
          <w:i/>
          <w:iCs/>
          <w:caps w:val="0"/>
          <w:color w:val="0D0D0D"/>
          <w:spacing w:val="0"/>
          <w:sz w:val="28"/>
          <w:szCs w:val="28"/>
          <w:bdr w:val="single" w:color="E3E3E3" w:sz="2" w:space="0"/>
          <w:shd w:val="clear" w:fill="FFFFFF"/>
        </w:rPr>
        <w:t>ilingualism</w:t>
      </w:r>
      <w:r>
        <w:rPr>
          <w:rFonts w:hint="default" w:ascii="Times New Roman" w:hAnsi="Times New Roman" w:eastAsia="Segoe UI" w:cs="Times New Roman"/>
          <w:i w:val="0"/>
          <w:iCs w:val="0"/>
          <w:caps w:val="0"/>
          <w:color w:val="0D0D0D"/>
          <w:spacing w:val="0"/>
          <w:sz w:val="28"/>
          <w:szCs w:val="28"/>
          <w:bdr w:val="single" w:color="E3E3E3" w:sz="2" w:space="0"/>
          <w:shd w:val="clear" w:fill="FFFFFF"/>
        </w:rPr>
        <w:t xml:space="preserve">. </w:t>
      </w:r>
      <w:r>
        <w:rPr>
          <w:rFonts w:hint="default" w:ascii="Times New Roman" w:hAnsi="Times New Roman" w:eastAsia="宋体" w:cs="Times New Roman"/>
          <w:i w:val="0"/>
          <w:iCs w:val="0"/>
          <w:caps w:val="0"/>
          <w:color w:val="0D0D0D"/>
          <w:spacing w:val="0"/>
          <w:sz w:val="28"/>
          <w:szCs w:val="28"/>
          <w:bdr w:val="single" w:color="E3E3E3" w:sz="2" w:space="0"/>
          <w:shd w:val="clear" w:fill="FFFFFF"/>
          <w:lang w:val="en-US" w:eastAsia="zh-CN"/>
        </w:rPr>
        <w:t xml:space="preserve"> </w:t>
      </w:r>
      <w:r>
        <w:rPr>
          <w:rFonts w:hint="default" w:ascii="Times New Roman" w:hAnsi="Times New Roman" w:eastAsia="Segoe UI" w:cs="Times New Roman"/>
          <w:i w:val="0"/>
          <w:iCs w:val="0"/>
          <w:caps w:val="0"/>
          <w:color w:val="0D0D0D"/>
          <w:spacing w:val="0"/>
          <w:sz w:val="28"/>
          <w:szCs w:val="28"/>
          <w:bdr w:val="single" w:color="E3E3E3" w:sz="2" w:space="0"/>
          <w:shd w:val="clear" w:fill="FFFFFF"/>
        </w:rPr>
        <w:t xml:space="preserve">Cambridge </w:t>
      </w:r>
      <w:r>
        <w:rPr>
          <w:rFonts w:hint="default" w:ascii="Times New Roman" w:hAnsi="Times New Roman" w:eastAsia="宋体" w:cs="Times New Roman"/>
          <w:i w:val="0"/>
          <w:iCs w:val="0"/>
          <w:caps w:val="0"/>
          <w:color w:val="0D0D0D"/>
          <w:spacing w:val="0"/>
          <w:sz w:val="28"/>
          <w:szCs w:val="28"/>
          <w:bdr w:val="single" w:color="E3E3E3" w:sz="2" w:space="0"/>
          <w:shd w:val="clear" w:fill="FFFFFF"/>
          <w:lang w:val="en-US" w:eastAsia="zh-CN"/>
        </w:rPr>
        <w:t xml:space="preserve">: </w:t>
      </w:r>
      <w:r>
        <w:rPr>
          <w:rFonts w:hint="default" w:ascii="Times New Roman" w:hAnsi="Times New Roman" w:eastAsia="Segoe UI" w:cs="Times New Roman"/>
          <w:i w:val="0"/>
          <w:iCs w:val="0"/>
          <w:caps w:val="0"/>
          <w:color w:val="0D0D0D"/>
          <w:spacing w:val="0"/>
          <w:sz w:val="28"/>
          <w:szCs w:val="28"/>
          <w:bdr w:val="single" w:color="E3E3E3" w:sz="2" w:space="0"/>
          <w:shd w:val="clear" w:fill="FFFFFF"/>
        </w:rPr>
        <w:t>Cambridge University Press.</w:t>
      </w:r>
    </w:p>
    <w:p>
      <w:pPr>
        <w:keepNext w:val="0"/>
        <w:keepLines w:val="0"/>
        <w:pageBreakBefore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Kavak</w:t>
      </w:r>
      <w:r>
        <w:rPr>
          <w:rFonts w:hint="default" w:ascii="Times New Roman" w:hAnsi="Times New Roman" w:eastAsia="宋体" w:cs="Times New Roman"/>
          <w:sz w:val="28"/>
          <w:szCs w:val="28"/>
          <w:lang w:val="en-US" w:eastAsia="zh-CN"/>
        </w:rPr>
        <w:t xml:space="preserve">, S. and </w:t>
      </w:r>
      <w:r>
        <w:rPr>
          <w:rFonts w:hint="default" w:ascii="Times New Roman" w:hAnsi="Times New Roman" w:eastAsia="宋体" w:cs="Times New Roman"/>
          <w:sz w:val="28"/>
          <w:szCs w:val="28"/>
        </w:rPr>
        <w:t>Gül</w:t>
      </w:r>
      <w:r>
        <w:rPr>
          <w:rFonts w:hint="default"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rPr>
        <w:t>E</w:t>
      </w:r>
      <w:r>
        <w:rPr>
          <w:rFonts w:hint="default" w:ascii="Times New Roman" w:hAnsi="Times New Roman" w:eastAsia="宋体" w:cs="Times New Roman"/>
          <w:sz w:val="28"/>
          <w:szCs w:val="28"/>
          <w:lang w:val="en-US" w:eastAsia="zh-CN"/>
        </w:rPr>
        <w:t xml:space="preserve">.D. (2020) </w:t>
      </w:r>
      <w:r>
        <w:rPr>
          <w:rFonts w:hint="default" w:ascii="Times New Roman" w:hAnsi="Times New Roman" w:eastAsia="宋体" w:cs="Times New Roman"/>
          <w:i w:val="0"/>
          <w:iCs w:val="0"/>
          <w:sz w:val="28"/>
          <w:szCs w:val="28"/>
          <w:lang w:val="en-US" w:eastAsia="zh-CN"/>
        </w:rPr>
        <w:t>“</w:t>
      </w:r>
      <w:r>
        <w:rPr>
          <w:rFonts w:hint="default" w:ascii="Times New Roman" w:hAnsi="Times New Roman" w:eastAsia="宋体" w:cs="Times New Roman"/>
          <w:i w:val="0"/>
          <w:iCs w:val="0"/>
          <w:sz w:val="28"/>
          <w:szCs w:val="28"/>
        </w:rPr>
        <w:t>B</w:t>
      </w:r>
      <w:r>
        <w:rPr>
          <w:rFonts w:hint="default" w:ascii="Times New Roman" w:hAnsi="Times New Roman" w:eastAsia="宋体" w:cs="Times New Roman"/>
          <w:i w:val="0"/>
          <w:iCs w:val="0"/>
          <w:sz w:val="28"/>
          <w:szCs w:val="28"/>
          <w:lang w:val="en-US" w:eastAsia="zh-CN"/>
        </w:rPr>
        <w:t>ilingualism</w:t>
      </w:r>
      <w:r>
        <w:rPr>
          <w:rFonts w:hint="default" w:ascii="Times New Roman" w:hAnsi="Times New Roman" w:eastAsia="宋体" w:cs="Times New Roman"/>
          <w:i w:val="0"/>
          <w:iCs w:val="0"/>
          <w:sz w:val="28"/>
          <w:szCs w:val="28"/>
        </w:rPr>
        <w:t xml:space="preserve"> </w:t>
      </w:r>
      <w:r>
        <w:rPr>
          <w:rFonts w:hint="default" w:ascii="Times New Roman" w:hAnsi="Times New Roman" w:eastAsia="宋体" w:cs="Times New Roman"/>
          <w:i w:val="0"/>
          <w:iCs w:val="0"/>
          <w:sz w:val="28"/>
          <w:szCs w:val="28"/>
          <w:lang w:val="en-US" w:eastAsia="zh-CN"/>
        </w:rPr>
        <w:t>in</w:t>
      </w:r>
      <w:r>
        <w:rPr>
          <w:rFonts w:hint="default" w:ascii="Times New Roman" w:hAnsi="Times New Roman" w:eastAsia="宋体" w:cs="Times New Roman"/>
          <w:i w:val="0"/>
          <w:iCs w:val="0"/>
          <w:sz w:val="28"/>
          <w:szCs w:val="28"/>
        </w:rPr>
        <w:t xml:space="preserve"> </w:t>
      </w:r>
      <w:r>
        <w:rPr>
          <w:rFonts w:hint="default" w:ascii="Times New Roman" w:hAnsi="Times New Roman" w:eastAsia="宋体" w:cs="Times New Roman"/>
          <w:i w:val="0"/>
          <w:iCs w:val="0"/>
          <w:sz w:val="28"/>
          <w:szCs w:val="28"/>
          <w:lang w:val="en-US" w:eastAsia="zh-CN"/>
        </w:rPr>
        <w:t>early</w:t>
      </w:r>
      <w:r>
        <w:rPr>
          <w:rFonts w:hint="default" w:ascii="Times New Roman" w:hAnsi="Times New Roman" w:eastAsia="宋体" w:cs="Times New Roman"/>
          <w:i w:val="0"/>
          <w:iCs w:val="0"/>
          <w:sz w:val="28"/>
          <w:szCs w:val="28"/>
        </w:rPr>
        <w:t xml:space="preserve"> </w:t>
      </w:r>
      <w:r>
        <w:rPr>
          <w:rFonts w:hint="default" w:ascii="Times New Roman" w:hAnsi="Times New Roman" w:eastAsia="宋体" w:cs="Times New Roman"/>
          <w:i w:val="0"/>
          <w:iCs w:val="0"/>
          <w:sz w:val="28"/>
          <w:szCs w:val="28"/>
          <w:lang w:val="en-US" w:eastAsia="zh-CN"/>
        </w:rPr>
        <w:t>childhood</w:t>
      </w:r>
      <w:r>
        <w:rPr>
          <w:rFonts w:hint="default" w:ascii="Times New Roman" w:hAnsi="Times New Roman" w:eastAsia="宋体" w:cs="Times New Roman"/>
          <w:i w:val="0"/>
          <w:iCs w:val="0"/>
          <w:sz w:val="28"/>
          <w:szCs w:val="28"/>
        </w:rPr>
        <w:t xml:space="preserve">: </w:t>
      </w:r>
      <w:r>
        <w:rPr>
          <w:rFonts w:hint="default" w:ascii="Times New Roman" w:hAnsi="Times New Roman" w:eastAsia="宋体" w:cs="Times New Roman"/>
          <w:i w:val="0"/>
          <w:iCs w:val="0"/>
          <w:sz w:val="28"/>
          <w:szCs w:val="28"/>
          <w:lang w:val="en-US" w:eastAsia="zh-CN"/>
        </w:rPr>
        <w:t>code switching”</w:t>
      </w:r>
      <w:r>
        <w:rPr>
          <w:rFonts w:hint="default" w:ascii="Times New Roman" w:hAnsi="Times New Roman" w:eastAsia="宋体" w:cs="Times New Roman"/>
          <w:i/>
          <w:iCs/>
          <w:sz w:val="28"/>
          <w:szCs w:val="28"/>
          <w:lang w:val="en-US" w:eastAsia="zh-CN"/>
        </w:rPr>
        <w:t xml:space="preserve"> </w:t>
      </w:r>
      <w:r>
        <w:rPr>
          <w:rFonts w:hint="default" w:ascii="Times New Roman" w:hAnsi="Times New Roman" w:eastAsia="宋体" w:cs="Times New Roman"/>
          <w:i/>
          <w:iCs/>
          <w:sz w:val="28"/>
          <w:szCs w:val="28"/>
        </w:rPr>
        <w:t>Psycho-Educational Research Reviews</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 xml:space="preserve"> 9</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3</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 xml:space="preserve"> pp</w:t>
      </w:r>
      <w:r>
        <w:rPr>
          <w:rFonts w:hint="default" w:ascii="Times New Roman" w:hAnsi="Times New Roman" w:eastAsia="宋体" w:cs="Times New Roman"/>
          <w:sz w:val="28"/>
          <w:szCs w:val="28"/>
          <w:lang w:val="en-US" w:eastAsia="zh-CN"/>
        </w:rPr>
        <w:t>.</w:t>
      </w:r>
      <w:r>
        <w:rPr>
          <w:rFonts w:hint="default" w:ascii="Times New Roman" w:hAnsi="Times New Roman" w:eastAsia="宋体" w:cs="Times New Roman"/>
          <w:sz w:val="28"/>
          <w:szCs w:val="28"/>
        </w:rPr>
        <w:t xml:space="preserve"> 70–83. </w:t>
      </w:r>
      <w:r>
        <w:rPr>
          <w:rFonts w:hint="default" w:ascii="Times New Roman" w:hAnsi="Times New Roman" w:eastAsia="宋体" w:cs="Times New Roman"/>
          <w:kern w:val="0"/>
          <w:sz w:val="28"/>
          <w:szCs w:val="28"/>
          <w:lang w:val="en-US" w:eastAsia="zh-CN" w:bidi="ar"/>
        </w:rPr>
        <w:t xml:space="preserve">Available at: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"https://www.journals.lapub.co.uk/index.php/PERR"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https://www.journals.lapub.co.uk/index.php/PERR</w:t>
      </w:r>
      <w:r>
        <w:rPr>
          <w:rFonts w:hint="default" w:ascii="Times New Roman" w:hAnsi="Times New Roman" w:eastAsia="宋体" w:cs="Times New Roman"/>
          <w:sz w:val="28"/>
          <w:szCs w:val="28"/>
        </w:rPr>
        <w:fldChar w:fldCharType="end"/>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sz w:val="28"/>
          <w:szCs w:val="28"/>
        </w:rPr>
      </w:pPr>
      <w:r>
        <w:rPr>
          <w:rFonts w:hint="default" w:ascii="Times New Roman" w:hAnsi="Times New Roman" w:eastAsia="宋体" w:cs="Times New Roman"/>
          <w:color w:val="000000"/>
          <w:kern w:val="0"/>
          <w:sz w:val="28"/>
          <w:szCs w:val="28"/>
          <w:lang w:val="en-US" w:eastAsia="zh-CN" w:bidi="ar"/>
        </w:rPr>
        <w:t xml:space="preserve">Lanza, E. and Lexander, K.V. (2019) ‘Family language practices in multilingual transcultural families’, in S. Montanari and S. Quay (eds) </w:t>
      </w:r>
      <w:r>
        <w:rPr>
          <w:rFonts w:hint="default" w:ascii="Times New Roman" w:hAnsi="Times New Roman" w:eastAsia="Arial-ItalicMT" w:cs="Times New Roman"/>
          <w:i/>
          <w:iCs/>
          <w:color w:val="000000"/>
          <w:kern w:val="0"/>
          <w:sz w:val="28"/>
          <w:szCs w:val="28"/>
          <w:lang w:val="en-US" w:eastAsia="zh-CN" w:bidi="ar"/>
        </w:rPr>
        <w:t>Multidisciplinary Perspectives on Multilingualism: The Fundamentals</w:t>
      </w:r>
      <w:r>
        <w:rPr>
          <w:rFonts w:hint="default" w:ascii="Times New Roman" w:hAnsi="Times New Roman" w:eastAsia="宋体" w:cs="Times New Roman"/>
          <w:color w:val="000000"/>
          <w:kern w:val="0"/>
          <w:sz w:val="28"/>
          <w:szCs w:val="28"/>
          <w:lang w:val="en-US" w:eastAsia="zh-CN" w:bidi="ar"/>
        </w:rPr>
        <w:t>.  MA: De Gruyter Mouton, pp. 230–251.</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Helvetica" w:cs="Times New Roman"/>
          <w:i w:val="0"/>
          <w:iCs w:val="0"/>
          <w:caps w:val="0"/>
          <w:color w:val="181817"/>
          <w:spacing w:val="0"/>
          <w:sz w:val="28"/>
          <w:szCs w:val="28"/>
          <w:shd w:val="clear" w:fill="FFFFFF"/>
          <w:lang w:val="en-US" w:eastAsia="zh-CN"/>
        </w:rPr>
      </w:pPr>
      <w:r>
        <w:rPr>
          <w:rFonts w:hint="default" w:ascii="Times New Roman" w:hAnsi="Times New Roman" w:eastAsia="宋体" w:cs="Times New Roman"/>
          <w:kern w:val="0"/>
          <w:sz w:val="28"/>
          <w:szCs w:val="28"/>
          <w:lang w:val="en-US" w:eastAsia="zh-CN" w:bidi="ar"/>
        </w:rPr>
        <w:t>Piller, I. (2002)</w:t>
      </w:r>
      <w:r>
        <w:rPr>
          <w:rFonts w:hint="default" w:ascii="Times New Roman" w:hAnsi="Times New Roman" w:eastAsia="宋体" w:cs="Times New Roman"/>
          <w:i/>
          <w:iCs/>
          <w:kern w:val="0"/>
          <w:sz w:val="28"/>
          <w:szCs w:val="28"/>
          <w:lang w:val="en-US" w:eastAsia="zh-CN" w:bidi="ar"/>
        </w:rPr>
        <w:t xml:space="preserve"> Bilingual Couples Talk: The Discursive Construction of Hybridity.</w:t>
      </w:r>
      <w:r>
        <w:rPr>
          <w:rFonts w:hint="default" w:ascii="Times New Roman" w:hAnsi="Times New Roman" w:eastAsia="宋体" w:cs="Times New Roman"/>
          <w:kern w:val="0"/>
          <w:sz w:val="28"/>
          <w:szCs w:val="28"/>
          <w:lang w:val="en-US" w:eastAsia="zh-CN" w:bidi="ar"/>
        </w:rPr>
        <w:t xml:space="preserve"> Amsterdam: John Benjamins. </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Ramírez-Esparza,  N.,  García-Sierra,  A. and Jiang,  S. (2020)  “The current standing of bilingualism in today’s globalized world: a socio-ecological perspective,” </w:t>
      </w:r>
      <w:r>
        <w:rPr>
          <w:rFonts w:hint="default" w:ascii="Times New Roman" w:hAnsi="Times New Roman" w:eastAsia="宋体" w:cs="Times New Roman"/>
          <w:i/>
          <w:iCs/>
          <w:kern w:val="0"/>
          <w:sz w:val="28"/>
          <w:szCs w:val="28"/>
          <w:lang w:val="en-US" w:eastAsia="zh-CN" w:bidi="ar"/>
        </w:rPr>
        <w:t>Current Opinion in Psychology</w:t>
      </w:r>
      <w:r>
        <w:rPr>
          <w:rFonts w:hint="default" w:ascii="Times New Roman" w:hAnsi="Times New Roman" w:eastAsia="宋体" w:cs="Times New Roman"/>
          <w:kern w:val="0"/>
          <w:sz w:val="28"/>
          <w:szCs w:val="28"/>
          <w:lang w:val="en-US" w:eastAsia="zh-CN" w:bidi="ar"/>
        </w:rPr>
        <w:t xml:space="preserve">, 32, pp. 124–128.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"https://doi.org/10.1016/j.copsyc.2019.06.038." </w:instrText>
      </w:r>
      <w:r>
        <w:rPr>
          <w:rFonts w:hint="default" w:ascii="Times New Roman" w:hAnsi="Times New Roman" w:eastAsia="宋体" w:cs="Times New Roman"/>
          <w:kern w:val="0"/>
          <w:sz w:val="28"/>
          <w:szCs w:val="28"/>
          <w:lang w:val="en-US" w:eastAsia="zh-CN" w:bidi="ar"/>
        </w:rPr>
        <w:fldChar w:fldCharType="separate"/>
      </w:r>
      <w:r>
        <w:rPr>
          <w:rStyle w:val="7"/>
          <w:rFonts w:hint="default" w:ascii="Times New Roman" w:hAnsi="Times New Roman" w:eastAsia="宋体" w:cs="Times New Roman"/>
          <w:kern w:val="0"/>
          <w:sz w:val="28"/>
          <w:szCs w:val="28"/>
          <w:lang w:val="en-US" w:eastAsia="zh-CN" w:bidi="ar"/>
        </w:rPr>
        <w:t>https://doi.org/10.1016/j.copsyc.2019.06.038.</w:t>
      </w:r>
      <w:r>
        <w:rPr>
          <w:rFonts w:hint="default" w:ascii="Times New Roman" w:hAnsi="Times New Roman" w:eastAsia="宋体" w:cs="Times New Roman"/>
          <w:kern w:val="0"/>
          <w:sz w:val="28"/>
          <w:szCs w:val="28"/>
          <w:lang w:val="en-US" w:eastAsia="zh-CN" w:bidi="ar"/>
        </w:rPr>
        <w:fldChar w:fldCharType="end"/>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cs="Times New Roman"/>
          <w:sz w:val="28"/>
          <w:szCs w:val="28"/>
        </w:rPr>
      </w:pPr>
      <w:r>
        <w:rPr>
          <w:rFonts w:hint="default" w:ascii="Times New Roman" w:hAnsi="Times New Roman" w:eastAsia="宋体" w:cs="Times New Roman"/>
          <w:color w:val="000000"/>
          <w:kern w:val="0"/>
          <w:sz w:val="28"/>
          <w:szCs w:val="28"/>
          <w:lang w:val="en-US" w:eastAsia="zh-CN" w:bidi="ar"/>
        </w:rPr>
        <w:t xml:space="preserve">Rampton, B. and Charalambous, C. (2012) ‘Crossing’, in M. Martin-Jones, A. Blackledge and A. Creese (eds) </w:t>
      </w:r>
      <w:r>
        <w:rPr>
          <w:rFonts w:hint="default" w:ascii="Times New Roman" w:hAnsi="Times New Roman" w:eastAsia="Arial-ItalicMT" w:cs="Times New Roman"/>
          <w:i/>
          <w:iCs/>
          <w:color w:val="000000"/>
          <w:kern w:val="0"/>
          <w:sz w:val="28"/>
          <w:szCs w:val="28"/>
          <w:lang w:val="en-US" w:eastAsia="zh-CN" w:bidi="ar"/>
        </w:rPr>
        <w:t>Routledge Handbook of Multilingualism.</w:t>
      </w:r>
      <w:r>
        <w:rPr>
          <w:rFonts w:hint="default" w:ascii="Times New Roman" w:hAnsi="Times New Roman" w:eastAsia="宋体" w:cs="Times New Roman"/>
          <w:color w:val="000000"/>
          <w:kern w:val="0"/>
          <w:sz w:val="28"/>
          <w:szCs w:val="28"/>
          <w:lang w:val="en-US" w:eastAsia="zh-CN" w:bidi="ar"/>
        </w:rPr>
        <w:t xml:space="preserve">  London: Routledge, pp. 482–498.</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color w:val="000000"/>
          <w:kern w:val="0"/>
          <w:sz w:val="28"/>
          <w:szCs w:val="28"/>
          <w:lang w:val="en-US" w:eastAsia="zh-CN" w:bidi="ar"/>
        </w:rPr>
      </w:pPr>
      <w:r>
        <w:rPr>
          <w:rFonts w:hint="default" w:ascii="Times New Roman" w:hAnsi="Times New Roman" w:eastAsia="宋体" w:cs="Times New Roman"/>
          <w:color w:val="000000"/>
          <w:kern w:val="0"/>
          <w:sz w:val="28"/>
          <w:szCs w:val="28"/>
          <w:lang w:val="en-US" w:eastAsia="zh-CN" w:bidi="ar"/>
        </w:rPr>
        <w:t xml:space="preserve">Ronjat,  J.  (1913)  </w:t>
      </w:r>
      <w:r>
        <w:rPr>
          <w:rFonts w:hint="default" w:ascii="Times New Roman" w:hAnsi="Times New Roman" w:eastAsia="Arial-ItalicMT" w:cs="Times New Roman"/>
          <w:i/>
          <w:iCs/>
          <w:color w:val="000000"/>
          <w:kern w:val="0"/>
          <w:sz w:val="28"/>
          <w:szCs w:val="28"/>
          <w:lang w:val="en-US" w:eastAsia="zh-CN" w:bidi="ar"/>
        </w:rPr>
        <w:t>Le développement du langage observé chez un enfant bilingue</w:t>
      </w:r>
      <w:r>
        <w:rPr>
          <w:rFonts w:hint="default" w:ascii="Times New Roman" w:hAnsi="Times New Roman" w:eastAsia="宋体" w:cs="Times New Roman"/>
          <w:color w:val="000000"/>
          <w:kern w:val="0"/>
          <w:sz w:val="28"/>
          <w:szCs w:val="28"/>
          <w:lang w:val="en-US" w:eastAsia="zh-CN" w:bidi="ar"/>
        </w:rPr>
        <w:t xml:space="preserve">.  Paris: Champion. </w:t>
      </w:r>
    </w:p>
    <w:p>
      <w:pPr>
        <w:keepNext w:val="0"/>
        <w:keepLines w:val="0"/>
        <w:pageBreakBefore w:val="0"/>
        <w:widowControl/>
        <w:suppressLineNumbers w:val="0"/>
        <w:kinsoku/>
        <w:wordWrap/>
        <w:overflowPunct/>
        <w:topLinePunct w:val="0"/>
        <w:autoSpaceDE/>
        <w:autoSpaceDN/>
        <w:bidi w:val="0"/>
        <w:adjustRightInd/>
        <w:snapToGrid/>
        <w:spacing w:before="157" w:beforeLines="50" w:after="100" w:afterAutospacing="1" w:line="360" w:lineRule="auto"/>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Taura, H. and Taura, A. (2012) “Linguistic and narrative development in a Japanese-English bilingual’s first language acquisition: a 14-year longitudinal case study,” </w:t>
      </w:r>
      <w:r>
        <w:rPr>
          <w:rFonts w:hint="default" w:ascii="Times New Roman" w:hAnsi="Times New Roman" w:eastAsia="宋体" w:cs="Times New Roman"/>
          <w:i/>
          <w:iCs/>
          <w:kern w:val="0"/>
          <w:sz w:val="28"/>
          <w:szCs w:val="28"/>
          <w:lang w:val="en-US" w:eastAsia="zh-CN" w:bidi="ar"/>
        </w:rPr>
        <w:t>International Journal of Bilingual Education and Bilingualism</w:t>
      </w:r>
      <w:r>
        <w:rPr>
          <w:rFonts w:hint="default" w:ascii="Times New Roman" w:hAnsi="Times New Roman" w:eastAsia="宋体" w:cs="Times New Roman"/>
          <w:kern w:val="0"/>
          <w:sz w:val="28"/>
          <w:szCs w:val="28"/>
          <w:lang w:val="en-US" w:eastAsia="zh-CN" w:bidi="ar"/>
        </w:rPr>
        <w:t xml:space="preserve">, 15(4), pp. 475–508.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"https://doi.org/10.1080/13670050.2012.665830." </w:instrText>
      </w:r>
      <w:r>
        <w:rPr>
          <w:rFonts w:hint="default" w:ascii="Times New Roman" w:hAnsi="Times New Roman" w:eastAsia="宋体" w:cs="Times New Roman"/>
          <w:kern w:val="0"/>
          <w:sz w:val="28"/>
          <w:szCs w:val="28"/>
          <w:lang w:val="en-US" w:eastAsia="zh-CN" w:bidi="ar"/>
        </w:rPr>
        <w:fldChar w:fldCharType="separate"/>
      </w:r>
      <w:r>
        <w:rPr>
          <w:rStyle w:val="7"/>
          <w:rFonts w:hint="default" w:ascii="Times New Roman" w:hAnsi="Times New Roman" w:eastAsia="宋体" w:cs="Times New Roman"/>
          <w:kern w:val="0"/>
          <w:sz w:val="28"/>
          <w:szCs w:val="28"/>
          <w:lang w:val="en-US" w:eastAsia="zh-CN" w:bidi="ar"/>
        </w:rPr>
        <w:t>https://doi.org/10.1080/13670050.2012.665830.</w:t>
      </w:r>
      <w:r>
        <w:rPr>
          <w:rFonts w:hint="default" w:ascii="Times New Roman" w:hAnsi="Times New Roman" w:eastAsia="宋体" w:cs="Times New Roman"/>
          <w:kern w:val="0"/>
          <w:sz w:val="28"/>
          <w:szCs w:val="28"/>
          <w:lang w:val="en-US" w:eastAsia="zh-CN" w:bidi="ar"/>
        </w:rPr>
        <w:fldChar w:fldCharType="end"/>
      </w:r>
    </w:p>
    <w:p>
      <w:pPr>
        <w:rPr>
          <w:rFonts w:hint="default"/>
          <w:lang w:val="en-US" w:eastAsia="zh-CN"/>
        </w:rPr>
      </w:pPr>
      <w:r>
        <w:rPr>
          <w:rFonts w:hint="default" w:ascii="Times New Roman" w:hAnsi="Times New Roman" w:eastAsia="宋体" w:cs="Times New Roman"/>
          <w:kern w:val="0"/>
          <w:sz w:val="28"/>
          <w:szCs w:val="28"/>
          <w:highlight w:val="none"/>
          <w:lang w:val="en-US" w:eastAsia="zh-CN" w:bidi="ar"/>
        </w:rPr>
        <w:t xml:space="preserve">Valdés, G., Poza, L. and Brooks, M.D. (2015) ‘Language acquisition in bilingual education’, in W.E. Wright, S. Boun and O. García (eds) </w:t>
      </w:r>
      <w:r>
        <w:rPr>
          <w:rFonts w:hint="default" w:ascii="Times New Roman" w:hAnsi="Times New Roman" w:eastAsia="宋体" w:cs="Times New Roman"/>
          <w:i/>
          <w:iCs/>
          <w:kern w:val="0"/>
          <w:sz w:val="28"/>
          <w:szCs w:val="28"/>
          <w:highlight w:val="none"/>
          <w:lang w:val="en-US" w:eastAsia="zh-CN" w:bidi="ar"/>
        </w:rPr>
        <w:t xml:space="preserve">Handbook of Bilingual and Multilingual Education. </w:t>
      </w:r>
      <w:r>
        <w:rPr>
          <w:rFonts w:hint="default" w:ascii="Times New Roman" w:hAnsi="Times New Roman" w:eastAsia="宋体" w:cs="Times New Roman"/>
          <w:kern w:val="0"/>
          <w:sz w:val="28"/>
          <w:szCs w:val="28"/>
          <w:highlight w:val="none"/>
          <w:lang w:val="en-US" w:eastAsia="zh-CN" w:bidi="ar"/>
        </w:rPr>
        <w:t>MA: Wiley-Blackwell, pp. 56–74.</w:t>
      </w:r>
      <w:bookmarkStart w:id="0" w:name="_GoBack"/>
      <w:bookmarkEnd w:id="0"/>
    </w:p>
    <w:p>
      <w:pPr>
        <w:pStyle w:val="4"/>
        <w:keepNext w:val="0"/>
        <w:keepLines w:val="0"/>
        <w:widowControl/>
        <w:suppressLineNumbers w:val="0"/>
        <w:pBdr>
          <w:top w:val="single" w:color="E3E3E3" w:sz="2" w:space="0"/>
          <w:left w:val="single" w:color="E3E3E3" w:sz="2" w:space="0"/>
          <w:bottom w:val="single" w:color="E3E3E3" w:sz="2" w:space="0"/>
          <w:right w:val="single" w:color="E3E3E3" w:sz="2" w:space="0"/>
        </w:pBdr>
        <w:shd w:val="clear"/>
        <w:spacing w:before="263" w:beforeAutospacing="0" w:after="263" w:afterAutospacing="0"/>
        <w:ind w:left="0" w:right="0" w:firstLine="0"/>
        <w:jc w:val="both"/>
        <w:rPr>
          <w:rFonts w:ascii="宋体" w:hAnsi="宋体" w:eastAsia="宋体" w:cs="宋体"/>
          <w:sz w:val="24"/>
          <w:szCs w:val="24"/>
        </w:rPr>
      </w:pPr>
    </w:p>
    <w:p>
      <w:pPr>
        <w:pStyle w:val="4"/>
        <w:keepNext w:val="0"/>
        <w:keepLines w:val="0"/>
        <w:widowControl/>
        <w:suppressLineNumbers w:val="0"/>
        <w:pBdr>
          <w:top w:val="single" w:color="E3E3E3" w:sz="2" w:space="0"/>
          <w:left w:val="single" w:color="E3E3E3" w:sz="2" w:space="0"/>
          <w:bottom w:val="single" w:color="E3E3E3" w:sz="2" w:space="0"/>
          <w:right w:val="single" w:color="E3E3E3" w:sz="2" w:space="0"/>
        </w:pBdr>
        <w:shd w:val="clear"/>
        <w:spacing w:before="263" w:beforeAutospacing="0" w:after="263" w:afterAutospacing="0"/>
        <w:ind w:left="0" w:right="0" w:firstLine="0"/>
        <w:jc w:val="both"/>
        <w:rPr>
          <w:rFonts w:ascii="宋体" w:hAnsi="宋体" w:eastAsia="宋体" w:cs="宋体"/>
          <w:sz w:val="24"/>
          <w:szCs w:val="24"/>
        </w:rPr>
      </w:pPr>
    </w:p>
    <w:p>
      <w:pPr>
        <w:pStyle w:val="4"/>
        <w:keepNext w:val="0"/>
        <w:keepLines w:val="0"/>
        <w:widowControl/>
        <w:suppressLineNumbers w:val="0"/>
        <w:pBdr>
          <w:top w:val="single" w:color="E3E3E3" w:sz="2" w:space="0"/>
          <w:left w:val="single" w:color="E3E3E3" w:sz="2" w:space="0"/>
          <w:bottom w:val="single" w:color="E3E3E3" w:sz="2" w:space="0"/>
          <w:right w:val="single" w:color="E3E3E3" w:sz="2" w:space="0"/>
        </w:pBdr>
        <w:shd w:val="clear"/>
        <w:spacing w:before="263" w:beforeAutospacing="0" w:after="263" w:afterAutospacing="0"/>
        <w:ind w:left="0" w:right="0" w:firstLine="0"/>
        <w:jc w:val="both"/>
        <w:rPr>
          <w:rFonts w:ascii="宋体" w:hAnsi="宋体" w:eastAsia="宋体" w:cs="宋体"/>
          <w:sz w:val="24"/>
          <w:szCs w:val="24"/>
        </w:rPr>
      </w:pPr>
    </w:p>
    <w:p>
      <w:pPr>
        <w:pStyle w:val="4"/>
        <w:keepNext w:val="0"/>
        <w:keepLines w:val="0"/>
        <w:widowControl/>
        <w:suppressLineNumbers w:val="0"/>
        <w:pBdr>
          <w:top w:val="single" w:color="E3E3E3" w:sz="2" w:space="0"/>
          <w:left w:val="single" w:color="E3E3E3" w:sz="2" w:space="0"/>
          <w:bottom w:val="single" w:color="E3E3E3" w:sz="2" w:space="0"/>
          <w:right w:val="single" w:color="E3E3E3" w:sz="2" w:space="0"/>
        </w:pBdr>
        <w:shd w:val="clear"/>
        <w:spacing w:before="263" w:beforeAutospacing="0" w:after="263" w:afterAutospacing="0"/>
        <w:ind w:left="0" w:right="0" w:firstLine="0"/>
        <w:jc w:val="both"/>
        <w:rPr>
          <w:rFonts w:hint="default" w:ascii="宋体" w:hAnsi="宋体" w:eastAsia="宋体" w:cs="宋体"/>
          <w:sz w:val="24"/>
          <w:szCs w:val="24"/>
        </w:rPr>
      </w:pPr>
    </w:p>
    <w:p>
      <w:pPr>
        <w:numPr>
          <w:ilvl w:val="0"/>
          <w:numId w:val="0"/>
        </w:numPr>
        <w:rPr>
          <w:rFonts w:hint="default" w:ascii="Arial" w:hAnsi="Arial" w:cs="Arial"/>
          <w:sz w:val="22"/>
          <w:szCs w:val="22"/>
          <w:highlight w:val="none"/>
          <w:lang w:val="en-US" w:eastAsia="zh-CN"/>
        </w:rPr>
      </w:pPr>
    </w:p>
    <w:p>
      <w:pPr>
        <w:rPr>
          <w:rFonts w:ascii="Arial" w:hAnsi="Arial" w:cs="Arial"/>
          <w:color w:val="FF0000"/>
          <w:sz w:val="22"/>
          <w:szCs w:val="22"/>
          <w:highlight w:val="cyan"/>
        </w:rPr>
      </w:pPr>
    </w:p>
    <w:p>
      <w:pPr>
        <w:rPr>
          <w:rFonts w:ascii="Arial" w:hAnsi="Arial" w:cs="Arial"/>
          <w:color w:val="FF0000"/>
          <w:sz w:val="22"/>
          <w:szCs w:val="22"/>
          <w:highlight w:val="cyan"/>
        </w:rPr>
      </w:pPr>
    </w:p>
    <w:p>
      <w:pPr>
        <w:rPr>
          <w:rFonts w:ascii="Arial" w:hAnsi="Arial" w:cs="Arial"/>
          <w:color w:val="FF0000"/>
          <w:sz w:val="22"/>
          <w:szCs w:val="22"/>
          <w:highlight w:val="cyan"/>
        </w:rPr>
      </w:pPr>
    </w:p>
    <w:p>
      <w:pPr>
        <w:rPr>
          <w:rFonts w:ascii="Arial" w:hAnsi="Arial" w:cs="Arial"/>
          <w:color w:val="FF0000"/>
          <w:sz w:val="22"/>
          <w:szCs w:val="22"/>
          <w:highlight w:val="cy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imSun-ExtB">
    <w:panose1 w:val="02010609060101010101"/>
    <w:charset w:val="86"/>
    <w:family w:val="auto"/>
    <w:pitch w:val="default"/>
    <w:sig w:usb0="00000001" w:usb1="02000000" w:usb2="00000000" w:usb3="00000000" w:csb0="00040001" w:csb1="00000000"/>
  </w:font>
  <w:font w:name="Arial Black">
    <w:panose1 w:val="020B0A04020102020204"/>
    <w:charset w:val="00"/>
    <w:family w:val="auto"/>
    <w:pitch w:val="default"/>
    <w:sig w:usb0="A00002AF" w:usb1="400078FB" w:usb2="00000000" w:usb3="00000000" w:csb0="6000009F" w:csb1="DFD70000"/>
  </w:font>
  <w:font w:name="Arial">
    <w:panose1 w:val="020B0604020202020204"/>
    <w:charset w:val="00"/>
    <w:family w:val="auto"/>
    <w:pitch w:val="default"/>
    <w:sig w:usb0="E0002EFF" w:usb1="C000785B" w:usb2="00000009" w:usb3="00000000" w:csb0="400001FF" w:csb1="FFFF0000"/>
  </w:font>
  <w:font w:name="Yu Gothic Medium">
    <w:panose1 w:val="020B0500000000000000"/>
    <w:charset w:val="80"/>
    <w:family w:val="auto"/>
    <w:pitch w:val="default"/>
    <w:sig w:usb0="E00002FF" w:usb1="2AC7FDFF" w:usb2="00000016" w:usb3="00000000" w:csb0="2002009F" w:csb1="00000000"/>
  </w:font>
  <w:font w:name="MingLiU-ExtB">
    <w:panose1 w:val="02020500000000000000"/>
    <w:charset w:val="88"/>
    <w:family w:val="auto"/>
    <w:pitch w:val="default"/>
    <w:sig w:usb0="8000002F" w:usb1="02000008" w:usb2="00000000" w:usb3="00000000" w:csb0="00100001" w:csb1="00000000"/>
  </w:font>
  <w:font w:name="方正粗黑宋简体">
    <w:panose1 w:val="02000000000000000000"/>
    <w:charset w:val="86"/>
    <w:family w:val="auto"/>
    <w:pitch w:val="default"/>
    <w:sig w:usb0="A00002BF" w:usb1="184F6CFA" w:usb2="00000012" w:usb3="00000000" w:csb0="00040001" w:csb1="00000000"/>
  </w:font>
  <w:font w:name="Mongolian Baiti">
    <w:panose1 w:val="03000500000000000000"/>
    <w:charset w:val="00"/>
    <w:family w:val="auto"/>
    <w:pitch w:val="default"/>
    <w:sig w:usb0="80000023" w:usb1="00000000" w:usb2="00020000" w:usb3="00000000" w:csb0="00000001" w:csb1="00000000"/>
  </w:font>
  <w:font w:name="Helvetica">
    <w:altName w:val="Arial"/>
    <w:panose1 w:val="00000000000000000000"/>
    <w:charset w:val="00"/>
    <w:family w:val="auto"/>
    <w:pitch w:val="default"/>
    <w:sig w:usb0="00000000" w:usb1="00000000" w:usb2="00000000" w:usb3="00000000" w:csb0="00000000" w:csb1="00000000"/>
  </w:font>
  <w:font w:name="Arial-ItalicMT">
    <w:altName w:val="Segoe Prin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5CDA2F46"/>
    <w:rsid w:val="0B1B3C0F"/>
    <w:rsid w:val="0D7336B7"/>
    <w:rsid w:val="0FA820BD"/>
    <w:rsid w:val="21F708BC"/>
    <w:rsid w:val="2D9771E1"/>
    <w:rsid w:val="46326F64"/>
    <w:rsid w:val="50830AE8"/>
    <w:rsid w:val="7A232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2024-03-26T11:45:00Z</dcterms:created>
  <dc:creator>晨跑的小猪</dc:creator>
  <cp:lastModifiedBy>晨跑的小猪</cp:lastModifiedBy>
  <dcterms:modified xsi:type="dcterms:W3CDTF">2024-03-28T15:58:40Z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4032ED4A4E8343F393045B493C6EC1C7_11</vt:lpwstr>
  </property>
</Properties>
</file>