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39C30A" w14:textId="65A5E799" w:rsidR="009D290A" w:rsidRDefault="009D290A">
      <w:pPr>
        <w:rPr>
          <w:rFonts w:ascii="Times New Roman" w:hAnsi="Times New Roman" w:cs="Times New Roman"/>
          <w:sz w:val="24"/>
          <w:szCs w:val="24"/>
          <w:u w:val="single"/>
        </w:rPr>
      </w:pPr>
      <w:r w:rsidRPr="009D290A">
        <w:rPr>
          <w:rFonts w:ascii="Times New Roman" w:hAnsi="Times New Roman" w:cs="Times New Roman"/>
          <w:sz w:val="24"/>
          <w:szCs w:val="24"/>
          <w:u w:val="single"/>
        </w:rPr>
        <w:t>Do Religio</w:t>
      </w:r>
      <w:r w:rsidR="00261C41">
        <w:rPr>
          <w:rFonts w:ascii="Times New Roman" w:hAnsi="Times New Roman" w:cs="Times New Roman"/>
          <w:sz w:val="24"/>
          <w:szCs w:val="24"/>
          <w:u w:val="single"/>
        </w:rPr>
        <w:t>us E</w:t>
      </w:r>
      <w:r w:rsidRPr="009D290A">
        <w:rPr>
          <w:rFonts w:ascii="Times New Roman" w:hAnsi="Times New Roman" w:cs="Times New Roman"/>
          <w:sz w:val="24"/>
          <w:szCs w:val="24"/>
          <w:u w:val="single"/>
        </w:rPr>
        <w:t>xperiences Provide Evidence of The Existence of God?</w:t>
      </w:r>
    </w:p>
    <w:p w14:paraId="66BD7C18" w14:textId="6631F2F3" w:rsidR="00261C41" w:rsidRPr="00261C41" w:rsidRDefault="00261C41">
      <w:pPr>
        <w:rPr>
          <w:rFonts w:ascii="Times New Roman" w:hAnsi="Times New Roman" w:cs="Times New Roman"/>
          <w:sz w:val="24"/>
          <w:szCs w:val="24"/>
        </w:rPr>
      </w:pPr>
      <w:r w:rsidRPr="00261C41">
        <w:rPr>
          <w:rFonts w:ascii="Times New Roman" w:hAnsi="Times New Roman" w:cs="Times New Roman"/>
          <w:sz w:val="24"/>
          <w:szCs w:val="24"/>
        </w:rPr>
        <w:t>This essay will show that firstly religious experiences are hard to define. In western traditions, God is beli</w:t>
      </w:r>
      <w:r>
        <w:rPr>
          <w:rFonts w:ascii="Times New Roman" w:hAnsi="Times New Roman" w:cs="Times New Roman"/>
          <w:sz w:val="24"/>
          <w:szCs w:val="24"/>
        </w:rPr>
        <w:t>e</w:t>
      </w:r>
      <w:r w:rsidRPr="00261C41">
        <w:rPr>
          <w:rFonts w:ascii="Times New Roman" w:hAnsi="Times New Roman" w:cs="Times New Roman"/>
          <w:sz w:val="24"/>
          <w:szCs w:val="24"/>
        </w:rPr>
        <w:t xml:space="preserve">ved </w:t>
      </w:r>
      <w:r>
        <w:rPr>
          <w:rFonts w:ascii="Times New Roman" w:hAnsi="Times New Roman" w:cs="Times New Roman"/>
          <w:sz w:val="24"/>
          <w:szCs w:val="24"/>
        </w:rPr>
        <w:t xml:space="preserve">to be the creator God. Secondly it will discuss Richard Swinburne’s belief in five different types of religious experience. Thirdly it will argue William James belief that religious experiences are the basis for all religion and all religious experiences are grounded in mystical experience, but it is only authentic for the person having the experience. Fourthly it will discuss Mark Webb’s views that not all religious experiences qualify as mystical experiences and his belief are two claims that argue against religious experiences. It will briefly discuss medical materialism and </w:t>
      </w:r>
      <w:r w:rsidR="005A3125">
        <w:rPr>
          <w:rFonts w:ascii="Times New Roman" w:hAnsi="Times New Roman" w:cs="Times New Roman"/>
          <w:sz w:val="24"/>
          <w:szCs w:val="24"/>
        </w:rPr>
        <w:t>Sigmund Freuds beliefs about religious ideas being illusions. It will briefly discuss the neural basis of religious experience and how V.S. Ramachandran believed that his experiment still did not prove that God existed. Lastly it will discuss how religious diversity is the main defeater for the truth of religious experiences.</w:t>
      </w:r>
    </w:p>
    <w:p w14:paraId="486AE608" w14:textId="27CA325A" w:rsidR="00E50408" w:rsidRPr="00E50408" w:rsidRDefault="00E50408">
      <w:pPr>
        <w:rPr>
          <w:rFonts w:ascii="Times New Roman" w:hAnsi="Times New Roman" w:cs="Times New Roman"/>
          <w:sz w:val="24"/>
          <w:szCs w:val="24"/>
        </w:rPr>
      </w:pPr>
      <w:r w:rsidRPr="00E50408">
        <w:rPr>
          <w:rFonts w:ascii="Times New Roman" w:hAnsi="Times New Roman" w:cs="Times New Roman"/>
          <w:sz w:val="24"/>
          <w:szCs w:val="24"/>
        </w:rPr>
        <w:t>The argument for God’s existence based on religious experience is a conclusion based on evidence and reasoning.</w:t>
      </w:r>
      <w:r>
        <w:rPr>
          <w:rFonts w:ascii="Times New Roman" w:hAnsi="Times New Roman" w:cs="Times New Roman"/>
          <w:sz w:val="24"/>
          <w:szCs w:val="24"/>
        </w:rPr>
        <w:t xml:space="preserve"> If a person experiences God, then God exists. Not every religious experience that claim to be of God are of western tradition. Western faiths generally believe that God is the creator God. D.G. Attfield states that if God was not identified as the creator God then serious issues would arise. There would be no logical basis for theological knowledge, and would God then be even worthy of worship.</w:t>
      </w:r>
      <w:r>
        <w:rPr>
          <w:rStyle w:val="FootnoteReference"/>
          <w:rFonts w:ascii="Times New Roman" w:hAnsi="Times New Roman" w:cs="Times New Roman"/>
          <w:sz w:val="24"/>
          <w:szCs w:val="24"/>
        </w:rPr>
        <w:footnoteReference w:id="1"/>
      </w:r>
    </w:p>
    <w:p w14:paraId="37A4CAD9" w14:textId="2FA6FCD5" w:rsidR="009D290A" w:rsidRDefault="009D290A">
      <w:pPr>
        <w:rPr>
          <w:rFonts w:ascii="Times New Roman" w:hAnsi="Times New Roman" w:cs="Times New Roman"/>
          <w:sz w:val="24"/>
          <w:szCs w:val="24"/>
        </w:rPr>
      </w:pPr>
      <w:r w:rsidRPr="009D290A">
        <w:rPr>
          <w:rFonts w:ascii="Times New Roman" w:hAnsi="Times New Roman" w:cs="Times New Roman"/>
          <w:sz w:val="24"/>
          <w:szCs w:val="24"/>
        </w:rPr>
        <w:t xml:space="preserve">Religious </w:t>
      </w:r>
      <w:r>
        <w:rPr>
          <w:rFonts w:ascii="Times New Roman" w:hAnsi="Times New Roman" w:cs="Times New Roman"/>
          <w:sz w:val="24"/>
          <w:szCs w:val="24"/>
        </w:rPr>
        <w:t>experiences are hard to define as they have different meaning for each individual person. Richard Swinburne defines a religious experience as</w:t>
      </w:r>
    </w:p>
    <w:p w14:paraId="343E484E" w14:textId="104CB646" w:rsidR="009D290A" w:rsidRDefault="009D290A">
      <w:pPr>
        <w:rPr>
          <w:rFonts w:ascii="Times New Roman" w:hAnsi="Times New Roman" w:cs="Times New Roman"/>
          <w:sz w:val="24"/>
          <w:szCs w:val="24"/>
        </w:rPr>
      </w:pPr>
      <w:r>
        <w:rPr>
          <w:rFonts w:ascii="Times New Roman" w:hAnsi="Times New Roman" w:cs="Times New Roman"/>
          <w:sz w:val="24"/>
          <w:szCs w:val="24"/>
        </w:rPr>
        <w:lastRenderedPageBreak/>
        <w:tab/>
        <w:t>“An experience that seems (epistemically) to the subject to be an experience of God (either of his just being there, or of his saying or bringing about something) or of some other natural thing?”</w:t>
      </w:r>
      <w:r w:rsidR="00FC3F1E">
        <w:rPr>
          <w:rStyle w:val="FootnoteReference"/>
          <w:rFonts w:ascii="Times New Roman" w:hAnsi="Times New Roman" w:cs="Times New Roman"/>
          <w:sz w:val="24"/>
          <w:szCs w:val="24"/>
        </w:rPr>
        <w:footnoteReference w:id="2"/>
      </w:r>
    </w:p>
    <w:p w14:paraId="2AC0ADE1" w14:textId="1CA3150F" w:rsidR="00FC3F1E" w:rsidRDefault="00FC3F1E">
      <w:pPr>
        <w:rPr>
          <w:rFonts w:ascii="Times New Roman" w:hAnsi="Times New Roman" w:cs="Times New Roman"/>
          <w:sz w:val="24"/>
          <w:szCs w:val="24"/>
        </w:rPr>
      </w:pPr>
      <w:r>
        <w:rPr>
          <w:rFonts w:ascii="Times New Roman" w:hAnsi="Times New Roman" w:cs="Times New Roman"/>
          <w:sz w:val="24"/>
          <w:szCs w:val="24"/>
        </w:rPr>
        <w:t xml:space="preserve">Swinburne believes that there are five different types of religious experience. Two of these religious experiences are perceived as been ‘public’ and three are perceived as been ‘private’. The first public perceptions are that you can see God in everyday occurrences such as an object in the sky, for example, a rainbow is the work of God, to a non-believer the rainbow is just a rainbow. The second public perception is a violation of natural law, an example of this would be a miracle, Jesus turning water into wine. The third perception is a private experience that only the person having the experience encounters, such as a dream or vision, the person will have private sensations, where they believe they have seen and </w:t>
      </w:r>
      <w:r w:rsidR="00094E05">
        <w:rPr>
          <w:rFonts w:ascii="Times New Roman" w:hAnsi="Times New Roman" w:cs="Times New Roman"/>
          <w:sz w:val="24"/>
          <w:szCs w:val="24"/>
        </w:rPr>
        <w:t xml:space="preserve">heard </w:t>
      </w:r>
      <w:r>
        <w:rPr>
          <w:rFonts w:ascii="Times New Roman" w:hAnsi="Times New Roman" w:cs="Times New Roman"/>
          <w:sz w:val="24"/>
          <w:szCs w:val="24"/>
        </w:rPr>
        <w:t xml:space="preserve">something, for example </w:t>
      </w:r>
      <w:r w:rsidR="00094E05">
        <w:rPr>
          <w:rFonts w:ascii="Times New Roman" w:hAnsi="Times New Roman" w:cs="Times New Roman"/>
          <w:sz w:val="24"/>
          <w:szCs w:val="24"/>
        </w:rPr>
        <w:t xml:space="preserve">Mohammed’s vision of the Angel Gabriel. The fourth perception is similar to the third but the private sensations that the person has while having the religious experience are unable to describe what they were seeing, hearing or feeling for example a mystical religious experience. The fifth and final religious experience according to Swinburne is that the person has the sensation that God is around them, they are aware of his presence, but they are not having a specific experience. </w:t>
      </w:r>
      <w:r w:rsidR="00AC5511">
        <w:rPr>
          <w:rStyle w:val="FootnoteReference"/>
          <w:rFonts w:ascii="Times New Roman" w:hAnsi="Times New Roman" w:cs="Times New Roman"/>
          <w:sz w:val="24"/>
          <w:szCs w:val="24"/>
        </w:rPr>
        <w:footnoteReference w:id="3"/>
      </w:r>
    </w:p>
    <w:p w14:paraId="643A0BC4" w14:textId="1E6770E2" w:rsidR="00AD2AFF" w:rsidRDefault="00AC5511">
      <w:pPr>
        <w:rPr>
          <w:rFonts w:ascii="Times New Roman" w:hAnsi="Times New Roman" w:cs="Times New Roman"/>
          <w:sz w:val="24"/>
          <w:szCs w:val="24"/>
        </w:rPr>
      </w:pPr>
      <w:r>
        <w:rPr>
          <w:rFonts w:ascii="Times New Roman" w:hAnsi="Times New Roman" w:cs="Times New Roman"/>
          <w:sz w:val="24"/>
          <w:szCs w:val="24"/>
        </w:rPr>
        <w:t xml:space="preserve">Swinburne states that </w:t>
      </w:r>
    </w:p>
    <w:p w14:paraId="01626074" w14:textId="37B3BF72" w:rsidR="00AD2AFF" w:rsidRDefault="00AD2AFF">
      <w:pPr>
        <w:rPr>
          <w:rFonts w:ascii="Times New Roman" w:hAnsi="Times New Roman" w:cs="Times New Roman"/>
          <w:sz w:val="24"/>
          <w:szCs w:val="24"/>
        </w:rPr>
      </w:pPr>
      <w:r>
        <w:rPr>
          <w:rFonts w:ascii="Times New Roman" w:hAnsi="Times New Roman" w:cs="Times New Roman"/>
          <w:sz w:val="24"/>
          <w:szCs w:val="24"/>
        </w:rPr>
        <w:lastRenderedPageBreak/>
        <w:tab/>
        <w:t>“</w:t>
      </w:r>
      <w:r w:rsidR="00B0698E">
        <w:rPr>
          <w:rFonts w:ascii="Times New Roman" w:hAnsi="Times New Roman" w:cs="Times New Roman"/>
          <w:sz w:val="24"/>
          <w:szCs w:val="24"/>
        </w:rPr>
        <w:t>I</w:t>
      </w:r>
      <w:r w:rsidR="003A0F60">
        <w:rPr>
          <w:rFonts w:ascii="Times New Roman" w:hAnsi="Times New Roman" w:cs="Times New Roman"/>
          <w:sz w:val="24"/>
          <w:szCs w:val="24"/>
        </w:rPr>
        <w:t>n discussing religious experience philosophers have sometimes made the claim</w:t>
      </w:r>
      <w:r w:rsidR="00B0698E">
        <w:rPr>
          <w:rFonts w:ascii="Times New Roman" w:hAnsi="Times New Roman" w:cs="Times New Roman"/>
          <w:sz w:val="24"/>
          <w:szCs w:val="24"/>
        </w:rPr>
        <w:t xml:space="preserve"> that an experience is evidence for nothing beyond itself, therefore religious experience has no evidential value</w:t>
      </w:r>
      <w:r w:rsidR="00A33D6D">
        <w:rPr>
          <w:rFonts w:ascii="Times New Roman" w:hAnsi="Times New Roman" w:cs="Times New Roman"/>
          <w:sz w:val="24"/>
          <w:szCs w:val="24"/>
        </w:rPr>
        <w:t>.”</w:t>
      </w:r>
      <w:r w:rsidR="00A33D6D">
        <w:rPr>
          <w:rStyle w:val="FootnoteReference"/>
          <w:rFonts w:ascii="Times New Roman" w:hAnsi="Times New Roman" w:cs="Times New Roman"/>
          <w:sz w:val="24"/>
          <w:szCs w:val="24"/>
        </w:rPr>
        <w:footnoteReference w:id="4"/>
      </w:r>
    </w:p>
    <w:p w14:paraId="05C45C39" w14:textId="79DF559C" w:rsidR="00F04BD0" w:rsidRDefault="00F04BD0">
      <w:pPr>
        <w:rPr>
          <w:rFonts w:ascii="Times New Roman" w:hAnsi="Times New Roman" w:cs="Times New Roman"/>
          <w:sz w:val="24"/>
          <w:szCs w:val="24"/>
        </w:rPr>
      </w:pPr>
      <w:r>
        <w:rPr>
          <w:rFonts w:ascii="Times New Roman" w:hAnsi="Times New Roman" w:cs="Times New Roman"/>
          <w:sz w:val="24"/>
          <w:szCs w:val="24"/>
        </w:rPr>
        <w:t>Swinburne believes that religious experience</w:t>
      </w:r>
      <w:r w:rsidR="003A6AFE">
        <w:rPr>
          <w:rFonts w:ascii="Times New Roman" w:hAnsi="Times New Roman" w:cs="Times New Roman"/>
          <w:sz w:val="24"/>
          <w:szCs w:val="24"/>
        </w:rPr>
        <w:t>s</w:t>
      </w:r>
      <w:r>
        <w:rPr>
          <w:rFonts w:ascii="Times New Roman" w:hAnsi="Times New Roman" w:cs="Times New Roman"/>
          <w:sz w:val="24"/>
          <w:szCs w:val="24"/>
        </w:rPr>
        <w:t xml:space="preserve"> </w:t>
      </w:r>
      <w:r w:rsidR="003A6AFE">
        <w:rPr>
          <w:rFonts w:ascii="Times New Roman" w:hAnsi="Times New Roman" w:cs="Times New Roman"/>
          <w:sz w:val="24"/>
          <w:szCs w:val="24"/>
        </w:rPr>
        <w:t xml:space="preserve">do provide evidence of the existence of God. </w:t>
      </w:r>
    </w:p>
    <w:p w14:paraId="07E42927" w14:textId="38A8CB66" w:rsidR="004B141B" w:rsidRDefault="004B141B">
      <w:pPr>
        <w:rPr>
          <w:rFonts w:ascii="Times New Roman" w:hAnsi="Times New Roman" w:cs="Times New Roman"/>
          <w:sz w:val="24"/>
          <w:szCs w:val="24"/>
          <w:u w:val="single"/>
        </w:rPr>
      </w:pPr>
      <w:r w:rsidRPr="00233878">
        <w:rPr>
          <w:rFonts w:ascii="Times New Roman" w:hAnsi="Times New Roman" w:cs="Times New Roman"/>
          <w:sz w:val="24"/>
          <w:szCs w:val="24"/>
          <w:u w:val="single"/>
        </w:rPr>
        <w:t>The Principle of C</w:t>
      </w:r>
      <w:r w:rsidR="00233878" w:rsidRPr="00233878">
        <w:rPr>
          <w:rFonts w:ascii="Times New Roman" w:hAnsi="Times New Roman" w:cs="Times New Roman"/>
          <w:sz w:val="24"/>
          <w:szCs w:val="24"/>
          <w:u w:val="single"/>
        </w:rPr>
        <w:t>redulity.</w:t>
      </w:r>
    </w:p>
    <w:p w14:paraId="3E8FE6FD" w14:textId="445D9874" w:rsidR="00233878" w:rsidRDefault="00C94C2E">
      <w:pPr>
        <w:rPr>
          <w:rFonts w:ascii="Times New Roman" w:hAnsi="Times New Roman" w:cs="Times New Roman"/>
          <w:sz w:val="24"/>
          <w:szCs w:val="24"/>
        </w:rPr>
      </w:pPr>
      <w:r w:rsidRPr="00C94C2E">
        <w:rPr>
          <w:rFonts w:ascii="Times New Roman" w:hAnsi="Times New Roman" w:cs="Times New Roman"/>
          <w:sz w:val="24"/>
          <w:szCs w:val="24"/>
        </w:rPr>
        <w:t xml:space="preserve">If you </w:t>
      </w:r>
      <w:r>
        <w:rPr>
          <w:rFonts w:ascii="Times New Roman" w:hAnsi="Times New Roman" w:cs="Times New Roman"/>
          <w:sz w:val="24"/>
          <w:szCs w:val="24"/>
        </w:rPr>
        <w:t xml:space="preserve">have the experience </w:t>
      </w:r>
      <w:r w:rsidR="008C5C35">
        <w:rPr>
          <w:rFonts w:ascii="Times New Roman" w:hAnsi="Times New Roman" w:cs="Times New Roman"/>
          <w:sz w:val="24"/>
          <w:szCs w:val="24"/>
        </w:rPr>
        <w:t xml:space="preserve">of something, if you are seeing and </w:t>
      </w:r>
      <w:r w:rsidR="007160CF">
        <w:rPr>
          <w:rFonts w:ascii="Times New Roman" w:hAnsi="Times New Roman" w:cs="Times New Roman"/>
          <w:sz w:val="24"/>
          <w:szCs w:val="24"/>
        </w:rPr>
        <w:t>h</w:t>
      </w:r>
      <w:r w:rsidR="008C5C35">
        <w:rPr>
          <w:rFonts w:ascii="Times New Roman" w:hAnsi="Times New Roman" w:cs="Times New Roman"/>
          <w:sz w:val="24"/>
          <w:szCs w:val="24"/>
        </w:rPr>
        <w:t>earing somethi</w:t>
      </w:r>
      <w:r w:rsidR="004B1953">
        <w:rPr>
          <w:rFonts w:ascii="Times New Roman" w:hAnsi="Times New Roman" w:cs="Times New Roman"/>
          <w:sz w:val="24"/>
          <w:szCs w:val="24"/>
        </w:rPr>
        <w:t xml:space="preserve">ng, then it is good evidence </w:t>
      </w:r>
      <w:r w:rsidR="00B70912">
        <w:rPr>
          <w:rFonts w:ascii="Times New Roman" w:hAnsi="Times New Roman" w:cs="Times New Roman"/>
          <w:sz w:val="24"/>
          <w:szCs w:val="24"/>
        </w:rPr>
        <w:t>to perceive that it is probably so. It should be excepted that the person who is having the religious experience is in fact doing so unless it can be proved otherwise.</w:t>
      </w:r>
      <w:r w:rsidR="00B70912">
        <w:rPr>
          <w:rStyle w:val="FootnoteReference"/>
          <w:rFonts w:ascii="Times New Roman" w:hAnsi="Times New Roman" w:cs="Times New Roman"/>
          <w:sz w:val="24"/>
          <w:szCs w:val="24"/>
        </w:rPr>
        <w:footnoteReference w:id="5"/>
      </w:r>
    </w:p>
    <w:p w14:paraId="3A5D383F" w14:textId="071E0439" w:rsidR="007818AC" w:rsidRDefault="007818AC">
      <w:pPr>
        <w:rPr>
          <w:rFonts w:ascii="Times New Roman" w:hAnsi="Times New Roman" w:cs="Times New Roman"/>
          <w:sz w:val="24"/>
          <w:szCs w:val="24"/>
        </w:rPr>
      </w:pPr>
      <w:r>
        <w:rPr>
          <w:rFonts w:ascii="Times New Roman" w:hAnsi="Times New Roman" w:cs="Times New Roman"/>
          <w:sz w:val="24"/>
          <w:szCs w:val="24"/>
        </w:rPr>
        <w:t>Swinburne believes that there could be four special considerations that limit the principle of cred</w:t>
      </w:r>
      <w:r w:rsidR="008C4AA0">
        <w:rPr>
          <w:rFonts w:ascii="Times New Roman" w:hAnsi="Times New Roman" w:cs="Times New Roman"/>
          <w:sz w:val="24"/>
          <w:szCs w:val="24"/>
        </w:rPr>
        <w:t xml:space="preserve">ulity. The first been that the person having the </w:t>
      </w:r>
      <w:r w:rsidR="00376DD1">
        <w:rPr>
          <w:rFonts w:ascii="Times New Roman" w:hAnsi="Times New Roman" w:cs="Times New Roman"/>
          <w:sz w:val="24"/>
          <w:szCs w:val="24"/>
        </w:rPr>
        <w:t xml:space="preserve">religious experience has in the past been found to be unreliable or not always telling the truth, or that the person was drunk or on drugs. </w:t>
      </w:r>
      <w:r w:rsidR="0055097A">
        <w:rPr>
          <w:rFonts w:ascii="Times New Roman" w:hAnsi="Times New Roman" w:cs="Times New Roman"/>
          <w:sz w:val="24"/>
          <w:szCs w:val="24"/>
        </w:rPr>
        <w:t>The second special consideration which would make the claim false would be if the person having the experience was unable to understand</w:t>
      </w:r>
      <w:r w:rsidR="00C87385">
        <w:rPr>
          <w:rFonts w:ascii="Times New Roman" w:hAnsi="Times New Roman" w:cs="Times New Roman"/>
          <w:sz w:val="24"/>
          <w:szCs w:val="24"/>
        </w:rPr>
        <w:t xml:space="preserve"> the experience, for example if we had smelled something but never tasted it would they be able to recognise it the first time they tasted it</w:t>
      </w:r>
      <w:r w:rsidR="006E7E3C">
        <w:rPr>
          <w:rFonts w:ascii="Times New Roman" w:hAnsi="Times New Roman" w:cs="Times New Roman"/>
          <w:sz w:val="24"/>
          <w:szCs w:val="24"/>
        </w:rPr>
        <w:t>. The third special consideration would be if s claim was made the person making the claim was not present at the time</w:t>
      </w:r>
      <w:r w:rsidR="00CB48A8">
        <w:rPr>
          <w:rFonts w:ascii="Times New Roman" w:hAnsi="Times New Roman" w:cs="Times New Roman"/>
          <w:sz w:val="24"/>
          <w:szCs w:val="24"/>
        </w:rPr>
        <w:t xml:space="preserve">. The fourth and final special consideration that would limit the </w:t>
      </w:r>
      <w:r w:rsidR="00EF533A">
        <w:rPr>
          <w:rFonts w:ascii="Times New Roman" w:hAnsi="Times New Roman" w:cs="Times New Roman"/>
          <w:sz w:val="24"/>
          <w:szCs w:val="24"/>
        </w:rPr>
        <w:t xml:space="preserve">principal of credulity would be that the person who was said to be involved in this experience, </w:t>
      </w:r>
      <w:r w:rsidR="00695735">
        <w:rPr>
          <w:rFonts w:ascii="Times New Roman" w:hAnsi="Times New Roman" w:cs="Times New Roman"/>
          <w:sz w:val="24"/>
          <w:szCs w:val="24"/>
        </w:rPr>
        <w:t xml:space="preserve">was in fact there at the time but was not actually involved in the experience themselves. </w:t>
      </w:r>
      <w:r w:rsidR="00FD743D">
        <w:rPr>
          <w:rStyle w:val="FootnoteReference"/>
          <w:rFonts w:ascii="Times New Roman" w:hAnsi="Times New Roman" w:cs="Times New Roman"/>
          <w:sz w:val="24"/>
          <w:szCs w:val="24"/>
        </w:rPr>
        <w:footnoteReference w:id="6"/>
      </w:r>
    </w:p>
    <w:p w14:paraId="2594B39C" w14:textId="5E726E5D" w:rsidR="00127DAF" w:rsidRDefault="005A2713">
      <w:pPr>
        <w:rPr>
          <w:rFonts w:ascii="Times New Roman" w:hAnsi="Times New Roman" w:cs="Times New Roman"/>
          <w:sz w:val="24"/>
          <w:szCs w:val="24"/>
        </w:rPr>
      </w:pPr>
      <w:r>
        <w:rPr>
          <w:rFonts w:ascii="Times New Roman" w:hAnsi="Times New Roman" w:cs="Times New Roman"/>
          <w:sz w:val="24"/>
          <w:szCs w:val="24"/>
        </w:rPr>
        <w:lastRenderedPageBreak/>
        <w:t xml:space="preserve">Swinburne believes that in everyday life people generally consider what other people tell them about things that have happened </w:t>
      </w:r>
      <w:r w:rsidR="0086254F">
        <w:rPr>
          <w:rFonts w:ascii="Times New Roman" w:hAnsi="Times New Roman" w:cs="Times New Roman"/>
          <w:sz w:val="24"/>
          <w:szCs w:val="24"/>
        </w:rPr>
        <w:t xml:space="preserve">or what people are told about the world for example science or </w:t>
      </w:r>
      <w:r w:rsidR="0018415F">
        <w:rPr>
          <w:rFonts w:ascii="Times New Roman" w:hAnsi="Times New Roman" w:cs="Times New Roman"/>
          <w:sz w:val="24"/>
          <w:szCs w:val="24"/>
        </w:rPr>
        <w:t>history, they perceive them to be true.</w:t>
      </w:r>
    </w:p>
    <w:p w14:paraId="6DB1001F" w14:textId="6700BD73" w:rsidR="0018415F" w:rsidRDefault="0018415F">
      <w:pPr>
        <w:rPr>
          <w:rFonts w:ascii="Times New Roman" w:hAnsi="Times New Roman" w:cs="Times New Roman"/>
          <w:sz w:val="24"/>
          <w:szCs w:val="24"/>
          <w:u w:val="single"/>
        </w:rPr>
      </w:pPr>
      <w:r w:rsidRPr="00785247">
        <w:rPr>
          <w:rFonts w:ascii="Times New Roman" w:hAnsi="Times New Roman" w:cs="Times New Roman"/>
          <w:sz w:val="24"/>
          <w:szCs w:val="24"/>
          <w:u w:val="single"/>
        </w:rPr>
        <w:t xml:space="preserve">The Principal of </w:t>
      </w:r>
      <w:r w:rsidR="00785247" w:rsidRPr="00785247">
        <w:rPr>
          <w:rFonts w:ascii="Times New Roman" w:hAnsi="Times New Roman" w:cs="Times New Roman"/>
          <w:sz w:val="24"/>
          <w:szCs w:val="24"/>
          <w:u w:val="single"/>
        </w:rPr>
        <w:t>Testimony.</w:t>
      </w:r>
    </w:p>
    <w:p w14:paraId="2270D28D" w14:textId="584A86DF" w:rsidR="00785247" w:rsidRDefault="004905DE">
      <w:pPr>
        <w:rPr>
          <w:rFonts w:ascii="Times New Roman" w:hAnsi="Times New Roman" w:cs="Times New Roman"/>
          <w:sz w:val="24"/>
          <w:szCs w:val="24"/>
        </w:rPr>
      </w:pPr>
      <w:r>
        <w:rPr>
          <w:rFonts w:ascii="Times New Roman" w:hAnsi="Times New Roman" w:cs="Times New Roman"/>
          <w:sz w:val="24"/>
          <w:szCs w:val="24"/>
        </w:rPr>
        <w:t>For Swinburne the p</w:t>
      </w:r>
      <w:r w:rsidR="00E51868">
        <w:rPr>
          <w:rFonts w:ascii="Times New Roman" w:hAnsi="Times New Roman" w:cs="Times New Roman"/>
          <w:sz w:val="24"/>
          <w:szCs w:val="24"/>
        </w:rPr>
        <w:t>rinciple of testimony is the second component in the assumption that</w:t>
      </w:r>
      <w:r w:rsidR="004868E6">
        <w:rPr>
          <w:rFonts w:ascii="Times New Roman" w:hAnsi="Times New Roman" w:cs="Times New Roman"/>
          <w:sz w:val="24"/>
          <w:szCs w:val="24"/>
        </w:rPr>
        <w:t xml:space="preserve"> what people have claimed to have perceived are probably true, the first</w:t>
      </w:r>
      <w:r w:rsidR="00286ECE">
        <w:rPr>
          <w:rFonts w:ascii="Times New Roman" w:hAnsi="Times New Roman" w:cs="Times New Roman"/>
          <w:sz w:val="24"/>
          <w:szCs w:val="24"/>
        </w:rPr>
        <w:t xml:space="preserve"> component been the principle of credulity. The principle of testimony</w:t>
      </w:r>
      <w:r w:rsidR="00E23A3F">
        <w:rPr>
          <w:rFonts w:ascii="Times New Roman" w:hAnsi="Times New Roman" w:cs="Times New Roman"/>
          <w:sz w:val="24"/>
          <w:szCs w:val="24"/>
        </w:rPr>
        <w:t xml:space="preserve"> therefore is the principle that the experiences of other</w:t>
      </w:r>
      <w:r w:rsidR="00366C01">
        <w:rPr>
          <w:rFonts w:ascii="Times New Roman" w:hAnsi="Times New Roman" w:cs="Times New Roman"/>
          <w:sz w:val="24"/>
          <w:szCs w:val="24"/>
        </w:rPr>
        <w:t xml:space="preserve"> people should probably be as they report them to be unless there are special considerations</w:t>
      </w:r>
      <w:r w:rsidR="0015141D">
        <w:rPr>
          <w:rFonts w:ascii="Times New Roman" w:hAnsi="Times New Roman" w:cs="Times New Roman"/>
          <w:sz w:val="24"/>
          <w:szCs w:val="24"/>
        </w:rPr>
        <w:t>. These special considerations would be if a person is not telling the truth</w:t>
      </w:r>
      <w:r w:rsidR="00514644">
        <w:rPr>
          <w:rFonts w:ascii="Times New Roman" w:hAnsi="Times New Roman" w:cs="Times New Roman"/>
          <w:sz w:val="24"/>
          <w:szCs w:val="24"/>
        </w:rPr>
        <w:t>, if they exaggerate their story or if they do not remember things in the correct order</w:t>
      </w:r>
      <w:r w:rsidR="00280607">
        <w:rPr>
          <w:rFonts w:ascii="Times New Roman" w:hAnsi="Times New Roman" w:cs="Times New Roman"/>
          <w:sz w:val="24"/>
          <w:szCs w:val="24"/>
        </w:rPr>
        <w:t xml:space="preserve"> of how they happened.</w:t>
      </w:r>
      <w:r w:rsidR="00280607">
        <w:rPr>
          <w:rStyle w:val="FootnoteReference"/>
          <w:rFonts w:ascii="Times New Roman" w:hAnsi="Times New Roman" w:cs="Times New Roman"/>
          <w:sz w:val="24"/>
          <w:szCs w:val="24"/>
        </w:rPr>
        <w:footnoteReference w:id="7"/>
      </w:r>
    </w:p>
    <w:p w14:paraId="2FC8E51D" w14:textId="351E24F1" w:rsidR="00E13E16" w:rsidRDefault="00E13E16">
      <w:pPr>
        <w:rPr>
          <w:rFonts w:ascii="Times New Roman" w:hAnsi="Times New Roman" w:cs="Times New Roman"/>
          <w:sz w:val="24"/>
          <w:szCs w:val="24"/>
        </w:rPr>
      </w:pPr>
      <w:r>
        <w:rPr>
          <w:rFonts w:ascii="Times New Roman" w:hAnsi="Times New Roman" w:cs="Times New Roman"/>
          <w:sz w:val="24"/>
          <w:szCs w:val="24"/>
        </w:rPr>
        <w:t>Swinburne believes that the beliefs about the world</w:t>
      </w:r>
      <w:r w:rsidR="00126609">
        <w:rPr>
          <w:rFonts w:ascii="Times New Roman" w:hAnsi="Times New Roman" w:cs="Times New Roman"/>
          <w:sz w:val="24"/>
          <w:szCs w:val="24"/>
        </w:rPr>
        <w:t xml:space="preserve"> beyond people</w:t>
      </w:r>
      <w:r w:rsidR="004F7E78">
        <w:rPr>
          <w:rFonts w:ascii="Times New Roman" w:hAnsi="Times New Roman" w:cs="Times New Roman"/>
          <w:sz w:val="24"/>
          <w:szCs w:val="24"/>
        </w:rPr>
        <w:t>’</w:t>
      </w:r>
      <w:r w:rsidR="00126609">
        <w:rPr>
          <w:rFonts w:ascii="Times New Roman" w:hAnsi="Times New Roman" w:cs="Times New Roman"/>
          <w:sz w:val="24"/>
          <w:szCs w:val="24"/>
        </w:rPr>
        <w:t>s immediate experiences are to believable on the grounds that</w:t>
      </w:r>
      <w:r w:rsidR="00820937">
        <w:rPr>
          <w:rFonts w:ascii="Times New Roman" w:hAnsi="Times New Roman" w:cs="Times New Roman"/>
          <w:sz w:val="24"/>
          <w:szCs w:val="24"/>
        </w:rPr>
        <w:t xml:space="preserve"> we should trust what other people report to be true, the more people that </w:t>
      </w:r>
      <w:r w:rsidR="00E711AC">
        <w:rPr>
          <w:rFonts w:ascii="Times New Roman" w:hAnsi="Times New Roman" w:cs="Times New Roman"/>
          <w:sz w:val="24"/>
          <w:szCs w:val="24"/>
        </w:rPr>
        <w:t>report similar experiences, the greater credibility it gives to religious experi</w:t>
      </w:r>
      <w:r w:rsidR="004F7E78">
        <w:rPr>
          <w:rFonts w:ascii="Times New Roman" w:hAnsi="Times New Roman" w:cs="Times New Roman"/>
          <w:sz w:val="24"/>
          <w:szCs w:val="24"/>
        </w:rPr>
        <w:t>ences.</w:t>
      </w:r>
      <w:r w:rsidR="00941C13">
        <w:rPr>
          <w:rStyle w:val="FootnoteReference"/>
          <w:rFonts w:ascii="Times New Roman" w:hAnsi="Times New Roman" w:cs="Times New Roman"/>
          <w:sz w:val="24"/>
          <w:szCs w:val="24"/>
        </w:rPr>
        <w:footnoteReference w:id="8"/>
      </w:r>
    </w:p>
    <w:p w14:paraId="79B9876E" w14:textId="4EDEDAC6" w:rsidR="00391318" w:rsidRDefault="00E620EB">
      <w:pPr>
        <w:rPr>
          <w:rFonts w:ascii="Times New Roman" w:hAnsi="Times New Roman" w:cs="Times New Roman"/>
          <w:sz w:val="24"/>
          <w:szCs w:val="24"/>
        </w:rPr>
      </w:pPr>
      <w:r>
        <w:rPr>
          <w:rFonts w:ascii="Times New Roman" w:hAnsi="Times New Roman" w:cs="Times New Roman"/>
          <w:sz w:val="24"/>
          <w:szCs w:val="24"/>
        </w:rPr>
        <w:t>William James believed that religious experience</w:t>
      </w:r>
      <w:r w:rsidR="00511A0E">
        <w:rPr>
          <w:rFonts w:ascii="Times New Roman" w:hAnsi="Times New Roman" w:cs="Times New Roman"/>
          <w:sz w:val="24"/>
          <w:szCs w:val="24"/>
        </w:rPr>
        <w:t>s was the basis for all religion. He was not interested in religious experiences that</w:t>
      </w:r>
      <w:r w:rsidR="00264BBC">
        <w:rPr>
          <w:rFonts w:ascii="Times New Roman" w:hAnsi="Times New Roman" w:cs="Times New Roman"/>
          <w:sz w:val="24"/>
          <w:szCs w:val="24"/>
        </w:rPr>
        <w:t xml:space="preserve"> were institutional, or that had creeds and rituals</w:t>
      </w:r>
      <w:r w:rsidR="00FB4E18">
        <w:rPr>
          <w:rFonts w:ascii="Times New Roman" w:hAnsi="Times New Roman" w:cs="Times New Roman"/>
          <w:sz w:val="24"/>
          <w:szCs w:val="24"/>
        </w:rPr>
        <w:t>, he was only interested with the individual religious experience and how it</w:t>
      </w:r>
      <w:r w:rsidR="00EA4757">
        <w:rPr>
          <w:rFonts w:ascii="Times New Roman" w:hAnsi="Times New Roman" w:cs="Times New Roman"/>
          <w:sz w:val="24"/>
          <w:szCs w:val="24"/>
        </w:rPr>
        <w:t xml:space="preserve"> could benefit the person.</w:t>
      </w:r>
      <w:r w:rsidR="00A36B2C">
        <w:rPr>
          <w:rStyle w:val="FootnoteReference"/>
          <w:rFonts w:ascii="Times New Roman" w:hAnsi="Times New Roman" w:cs="Times New Roman"/>
          <w:sz w:val="24"/>
          <w:szCs w:val="24"/>
        </w:rPr>
        <w:footnoteReference w:id="9"/>
      </w:r>
      <w:r w:rsidR="00391318">
        <w:rPr>
          <w:rFonts w:ascii="Times New Roman" w:hAnsi="Times New Roman" w:cs="Times New Roman"/>
          <w:sz w:val="24"/>
          <w:szCs w:val="24"/>
        </w:rPr>
        <w:t xml:space="preserve"> James states that human will is essential for people to be able to act on their beliefs and emotions. He argues that there are five types of decision making and the fifth is a rare </w:t>
      </w:r>
      <w:r w:rsidR="00391318">
        <w:rPr>
          <w:rFonts w:ascii="Times New Roman" w:hAnsi="Times New Roman" w:cs="Times New Roman"/>
          <w:sz w:val="24"/>
          <w:szCs w:val="24"/>
        </w:rPr>
        <w:lastRenderedPageBreak/>
        <w:t xml:space="preserve">type that is a consequence of people freely choosing to do something and this is the “will to believe.” James states that the supernatural is not a natural experience, faith in God is falling short of knowledge. James defines religion as </w:t>
      </w:r>
    </w:p>
    <w:p w14:paraId="79527E79" w14:textId="5B1439F7" w:rsidR="00391318" w:rsidRDefault="00391318" w:rsidP="00391318">
      <w:pPr>
        <w:ind w:firstLine="720"/>
        <w:rPr>
          <w:rFonts w:ascii="Times New Roman" w:hAnsi="Times New Roman" w:cs="Times New Roman"/>
          <w:sz w:val="24"/>
          <w:szCs w:val="24"/>
        </w:rPr>
      </w:pPr>
      <w:r>
        <w:rPr>
          <w:rFonts w:ascii="Times New Roman" w:hAnsi="Times New Roman" w:cs="Times New Roman"/>
          <w:sz w:val="24"/>
          <w:szCs w:val="24"/>
        </w:rPr>
        <w:t>“The experiences of human individuals in so far as they see themselves related to whatever they regard as divine.”</w:t>
      </w:r>
      <w:r>
        <w:rPr>
          <w:rStyle w:val="FootnoteReference"/>
          <w:rFonts w:ascii="Times New Roman" w:hAnsi="Times New Roman" w:cs="Times New Roman"/>
          <w:sz w:val="24"/>
          <w:szCs w:val="24"/>
        </w:rPr>
        <w:footnoteReference w:id="10"/>
      </w:r>
    </w:p>
    <w:p w14:paraId="3200AA19" w14:textId="5FB8CF38" w:rsidR="00391318" w:rsidRDefault="00391318" w:rsidP="00391318">
      <w:pPr>
        <w:ind w:firstLine="720"/>
        <w:rPr>
          <w:rFonts w:ascii="Times New Roman" w:hAnsi="Times New Roman" w:cs="Times New Roman"/>
          <w:sz w:val="24"/>
          <w:szCs w:val="24"/>
        </w:rPr>
      </w:pPr>
      <w:r>
        <w:rPr>
          <w:rFonts w:ascii="Times New Roman" w:hAnsi="Times New Roman" w:cs="Times New Roman"/>
          <w:sz w:val="24"/>
          <w:szCs w:val="24"/>
        </w:rPr>
        <w:t xml:space="preserve">James did not believe that religion required faith in a </w:t>
      </w:r>
      <w:r w:rsidR="00B84854">
        <w:rPr>
          <w:rFonts w:ascii="Times New Roman" w:hAnsi="Times New Roman" w:cs="Times New Roman"/>
          <w:sz w:val="24"/>
          <w:szCs w:val="24"/>
        </w:rPr>
        <w:t>transcendent</w:t>
      </w:r>
      <w:r>
        <w:rPr>
          <w:rFonts w:ascii="Times New Roman" w:hAnsi="Times New Roman" w:cs="Times New Roman"/>
          <w:sz w:val="24"/>
          <w:szCs w:val="24"/>
        </w:rPr>
        <w:t xml:space="preserve">, </w:t>
      </w:r>
      <w:r w:rsidR="00B84854">
        <w:rPr>
          <w:rFonts w:ascii="Times New Roman" w:hAnsi="Times New Roman" w:cs="Times New Roman"/>
          <w:sz w:val="24"/>
          <w:szCs w:val="24"/>
        </w:rPr>
        <w:t>monotheistic</w:t>
      </w:r>
      <w:r>
        <w:rPr>
          <w:rFonts w:ascii="Times New Roman" w:hAnsi="Times New Roman" w:cs="Times New Roman"/>
          <w:sz w:val="24"/>
          <w:szCs w:val="24"/>
        </w:rPr>
        <w:t xml:space="preserve"> God or that it required a social community. He argued that </w:t>
      </w:r>
      <w:r w:rsidR="00B84854">
        <w:rPr>
          <w:rFonts w:ascii="Times New Roman" w:hAnsi="Times New Roman" w:cs="Times New Roman"/>
          <w:sz w:val="24"/>
          <w:szCs w:val="24"/>
        </w:rPr>
        <w:t>there were three beliefs that experience finds in religion, that the world obtains its importance from a greater spiritual order, that our purpose in life is to achieve harmonious union with it and prayer and spiritual communion are greatly effective. He thought that people who believed in this way had a better outlook on life and had a sense of peace love and security.</w:t>
      </w:r>
      <w:r w:rsidR="00B84854">
        <w:rPr>
          <w:rStyle w:val="FootnoteReference"/>
          <w:rFonts w:ascii="Times New Roman" w:hAnsi="Times New Roman" w:cs="Times New Roman"/>
          <w:sz w:val="24"/>
          <w:szCs w:val="24"/>
        </w:rPr>
        <w:footnoteReference w:id="11"/>
      </w:r>
    </w:p>
    <w:p w14:paraId="0F82C5A4" w14:textId="02B65EAE" w:rsidR="00E620EB" w:rsidRDefault="00EA4757" w:rsidP="00391318">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DB79F1">
        <w:rPr>
          <w:rFonts w:ascii="Times New Roman" w:hAnsi="Times New Roman" w:cs="Times New Roman"/>
          <w:sz w:val="24"/>
          <w:szCs w:val="24"/>
        </w:rPr>
        <w:t xml:space="preserve">James believed that there were two types of religious </w:t>
      </w:r>
      <w:r w:rsidR="00F66CB6">
        <w:rPr>
          <w:rFonts w:ascii="Times New Roman" w:hAnsi="Times New Roman" w:cs="Times New Roman"/>
          <w:sz w:val="24"/>
          <w:szCs w:val="24"/>
        </w:rPr>
        <w:t>con</w:t>
      </w:r>
      <w:r w:rsidR="002A2E33">
        <w:rPr>
          <w:rFonts w:ascii="Times New Roman" w:hAnsi="Times New Roman" w:cs="Times New Roman"/>
          <w:sz w:val="24"/>
          <w:szCs w:val="24"/>
        </w:rPr>
        <w:t>sciousness</w:t>
      </w:r>
      <w:r w:rsidR="00DB79F1">
        <w:rPr>
          <w:rFonts w:ascii="Times New Roman" w:hAnsi="Times New Roman" w:cs="Times New Roman"/>
          <w:sz w:val="24"/>
          <w:szCs w:val="24"/>
        </w:rPr>
        <w:t>, the healthy-minded person and the sick-soul</w:t>
      </w:r>
      <w:r w:rsidR="004C0F2D">
        <w:rPr>
          <w:rFonts w:ascii="Times New Roman" w:hAnsi="Times New Roman" w:cs="Times New Roman"/>
          <w:sz w:val="24"/>
          <w:szCs w:val="24"/>
        </w:rPr>
        <w:t>. The healthy minded person had a happier outlook on life and</w:t>
      </w:r>
      <w:r w:rsidR="004513FD">
        <w:rPr>
          <w:rFonts w:ascii="Times New Roman" w:hAnsi="Times New Roman" w:cs="Times New Roman"/>
          <w:sz w:val="24"/>
          <w:szCs w:val="24"/>
        </w:rPr>
        <w:t xml:space="preserve"> believed in the goodness of God. The sick-soul type </w:t>
      </w:r>
      <w:r w:rsidR="007607FA">
        <w:rPr>
          <w:rFonts w:ascii="Times New Roman" w:hAnsi="Times New Roman" w:cs="Times New Roman"/>
          <w:sz w:val="24"/>
          <w:szCs w:val="24"/>
        </w:rPr>
        <w:t>was</w:t>
      </w:r>
      <w:r w:rsidR="004513FD">
        <w:rPr>
          <w:rFonts w:ascii="Times New Roman" w:hAnsi="Times New Roman" w:cs="Times New Roman"/>
          <w:sz w:val="24"/>
          <w:szCs w:val="24"/>
        </w:rPr>
        <w:t xml:space="preserve"> unhappy, </w:t>
      </w:r>
      <w:r w:rsidR="007607FA">
        <w:rPr>
          <w:rFonts w:ascii="Times New Roman" w:hAnsi="Times New Roman" w:cs="Times New Roman"/>
          <w:sz w:val="24"/>
          <w:szCs w:val="24"/>
        </w:rPr>
        <w:t>pessimistic</w:t>
      </w:r>
      <w:r w:rsidR="004513FD">
        <w:rPr>
          <w:rFonts w:ascii="Times New Roman" w:hAnsi="Times New Roman" w:cs="Times New Roman"/>
          <w:sz w:val="24"/>
          <w:szCs w:val="24"/>
        </w:rPr>
        <w:t xml:space="preserve"> and believed that the world was a </w:t>
      </w:r>
      <w:r w:rsidR="00032FE1">
        <w:rPr>
          <w:rFonts w:ascii="Times New Roman" w:hAnsi="Times New Roman" w:cs="Times New Roman"/>
          <w:sz w:val="24"/>
          <w:szCs w:val="24"/>
        </w:rPr>
        <w:t>dark and sinister place. The only way a sick-soul could become well again</w:t>
      </w:r>
      <w:r w:rsidR="00CA3911">
        <w:rPr>
          <w:rFonts w:ascii="Times New Roman" w:hAnsi="Times New Roman" w:cs="Times New Roman"/>
          <w:sz w:val="24"/>
          <w:szCs w:val="24"/>
        </w:rPr>
        <w:t xml:space="preserve"> would be a unifying of the </w:t>
      </w:r>
      <w:r w:rsidR="007607FA">
        <w:rPr>
          <w:rFonts w:ascii="Times New Roman" w:hAnsi="Times New Roman" w:cs="Times New Roman"/>
          <w:sz w:val="24"/>
          <w:szCs w:val="24"/>
        </w:rPr>
        <w:t>inner self</w:t>
      </w:r>
      <w:r w:rsidR="00CA3911">
        <w:rPr>
          <w:rFonts w:ascii="Times New Roman" w:hAnsi="Times New Roman" w:cs="Times New Roman"/>
          <w:sz w:val="24"/>
          <w:szCs w:val="24"/>
        </w:rPr>
        <w:t xml:space="preserve"> o</w:t>
      </w:r>
      <w:r w:rsidR="000C47B0">
        <w:rPr>
          <w:rFonts w:ascii="Times New Roman" w:hAnsi="Times New Roman" w:cs="Times New Roman"/>
          <w:sz w:val="24"/>
          <w:szCs w:val="24"/>
        </w:rPr>
        <w:t>r conversion</w:t>
      </w:r>
      <w:r w:rsidR="00B84854">
        <w:rPr>
          <w:rFonts w:ascii="Times New Roman" w:hAnsi="Times New Roman" w:cs="Times New Roman"/>
          <w:sz w:val="24"/>
          <w:szCs w:val="24"/>
        </w:rPr>
        <w:t>,</w:t>
      </w:r>
      <w:r w:rsidR="000C47B0">
        <w:rPr>
          <w:rFonts w:ascii="Times New Roman" w:hAnsi="Times New Roman" w:cs="Times New Roman"/>
          <w:sz w:val="24"/>
          <w:szCs w:val="24"/>
        </w:rPr>
        <w:t xml:space="preserve"> </w:t>
      </w:r>
      <w:r w:rsidR="00B84854">
        <w:rPr>
          <w:rFonts w:ascii="Times New Roman" w:hAnsi="Times New Roman" w:cs="Times New Roman"/>
          <w:sz w:val="24"/>
          <w:szCs w:val="24"/>
        </w:rPr>
        <w:t>which</w:t>
      </w:r>
      <w:r w:rsidR="000C47B0">
        <w:rPr>
          <w:rFonts w:ascii="Times New Roman" w:hAnsi="Times New Roman" w:cs="Times New Roman"/>
          <w:sz w:val="24"/>
          <w:szCs w:val="24"/>
        </w:rPr>
        <w:t xml:space="preserve"> happens internally.</w:t>
      </w:r>
      <w:r w:rsidR="007607FA">
        <w:rPr>
          <w:rStyle w:val="FootnoteReference"/>
          <w:rFonts w:ascii="Times New Roman" w:hAnsi="Times New Roman" w:cs="Times New Roman"/>
          <w:sz w:val="24"/>
          <w:szCs w:val="24"/>
        </w:rPr>
        <w:footnoteReference w:id="12"/>
      </w:r>
    </w:p>
    <w:p w14:paraId="295AED4A" w14:textId="275CDAC1" w:rsidR="00C40F39" w:rsidRDefault="00C40F39" w:rsidP="00391318">
      <w:pPr>
        <w:ind w:firstLine="720"/>
        <w:rPr>
          <w:rFonts w:ascii="Times New Roman" w:hAnsi="Times New Roman" w:cs="Times New Roman"/>
          <w:sz w:val="24"/>
          <w:szCs w:val="24"/>
        </w:rPr>
      </w:pPr>
      <w:r>
        <w:rPr>
          <w:rFonts w:ascii="Times New Roman" w:hAnsi="Times New Roman" w:cs="Times New Roman"/>
          <w:sz w:val="24"/>
          <w:szCs w:val="24"/>
        </w:rPr>
        <w:t>James argues that all religious experiences are grounded in mystical experience. He states that</w:t>
      </w:r>
    </w:p>
    <w:p w14:paraId="3040E453" w14:textId="63B26A83" w:rsidR="00C40F39" w:rsidRDefault="00C40F39" w:rsidP="00391318">
      <w:pPr>
        <w:ind w:firstLine="720"/>
        <w:rPr>
          <w:rFonts w:ascii="Times New Roman" w:hAnsi="Times New Roman" w:cs="Times New Roman"/>
          <w:sz w:val="24"/>
          <w:szCs w:val="24"/>
        </w:rPr>
      </w:pPr>
      <w:r>
        <w:rPr>
          <w:rFonts w:ascii="Times New Roman" w:hAnsi="Times New Roman" w:cs="Times New Roman"/>
          <w:sz w:val="24"/>
          <w:szCs w:val="24"/>
        </w:rPr>
        <w:lastRenderedPageBreak/>
        <w:tab/>
        <w:t>“Personal religious experience has its roots and centres in mystical states of consciousness.”</w:t>
      </w:r>
      <w:r>
        <w:rPr>
          <w:rStyle w:val="FootnoteReference"/>
          <w:rFonts w:ascii="Times New Roman" w:hAnsi="Times New Roman" w:cs="Times New Roman"/>
          <w:sz w:val="24"/>
          <w:szCs w:val="24"/>
        </w:rPr>
        <w:footnoteReference w:id="13"/>
      </w:r>
    </w:p>
    <w:p w14:paraId="4EAD11BC" w14:textId="71416492" w:rsidR="00C40F39" w:rsidRDefault="00C40F39" w:rsidP="00391318">
      <w:pPr>
        <w:ind w:firstLine="720"/>
        <w:rPr>
          <w:rFonts w:ascii="Times New Roman" w:hAnsi="Times New Roman" w:cs="Times New Roman"/>
          <w:sz w:val="24"/>
          <w:szCs w:val="24"/>
        </w:rPr>
      </w:pPr>
      <w:r>
        <w:rPr>
          <w:rFonts w:ascii="Times New Roman" w:hAnsi="Times New Roman" w:cs="Times New Roman"/>
          <w:sz w:val="24"/>
          <w:szCs w:val="24"/>
        </w:rPr>
        <w:t>He believes that the four main features of mysticism are that it is ineffable (indescribable, hard to put into words), it has a noetic quality (relating to intellect and the mind)</w:t>
      </w:r>
      <w:r w:rsidR="006235D3">
        <w:rPr>
          <w:rFonts w:ascii="Times New Roman" w:hAnsi="Times New Roman" w:cs="Times New Roman"/>
          <w:sz w:val="24"/>
          <w:szCs w:val="24"/>
        </w:rPr>
        <w:t>, transient (lasting for a short period of time) and it is received passively because the mystic’s will be temporarily suspended. James believes that normal, rational consciousness is only one type of consciousness, mystical consciousness is different because worldly worries are” melted into unity.” These mystical states are only reliable and authentic for the person who is having the experience.</w:t>
      </w:r>
      <w:r w:rsidR="006235D3">
        <w:rPr>
          <w:rStyle w:val="FootnoteReference"/>
          <w:rFonts w:ascii="Times New Roman" w:hAnsi="Times New Roman" w:cs="Times New Roman"/>
          <w:sz w:val="24"/>
          <w:szCs w:val="24"/>
        </w:rPr>
        <w:footnoteReference w:id="14"/>
      </w:r>
    </w:p>
    <w:p w14:paraId="74BC1851" w14:textId="5E08C49E" w:rsidR="00893EB8" w:rsidRDefault="00893EB8" w:rsidP="00391318">
      <w:pPr>
        <w:ind w:firstLine="720"/>
        <w:rPr>
          <w:rFonts w:ascii="Times New Roman" w:hAnsi="Times New Roman" w:cs="Times New Roman"/>
          <w:sz w:val="24"/>
          <w:szCs w:val="24"/>
        </w:rPr>
      </w:pPr>
      <w:r>
        <w:rPr>
          <w:rFonts w:ascii="Times New Roman" w:hAnsi="Times New Roman" w:cs="Times New Roman"/>
          <w:sz w:val="24"/>
          <w:szCs w:val="24"/>
        </w:rPr>
        <w:t xml:space="preserve">Mark Webb argues that religious experiences need to be distinguished from mystical experiences even </w:t>
      </w:r>
      <w:r w:rsidR="00EB13B2">
        <w:rPr>
          <w:rFonts w:ascii="Times New Roman" w:hAnsi="Times New Roman" w:cs="Times New Roman"/>
          <w:sz w:val="24"/>
          <w:szCs w:val="24"/>
        </w:rPr>
        <w:t>though</w:t>
      </w:r>
      <w:r>
        <w:rPr>
          <w:rFonts w:ascii="Times New Roman" w:hAnsi="Times New Roman" w:cs="Times New Roman"/>
          <w:sz w:val="24"/>
          <w:szCs w:val="24"/>
        </w:rPr>
        <w:t xml:space="preserve"> they are closely linked, he believes that not all religious experiences qualify as mystical. He argues that mysticism is a specific religious practice and is undertaken to experience ultimate reality and unity with the divine. Webb states that there are two claims against epistemic authority of religious </w:t>
      </w:r>
      <w:r w:rsidR="00EB13B2">
        <w:rPr>
          <w:rFonts w:ascii="Times New Roman" w:hAnsi="Times New Roman" w:cs="Times New Roman"/>
          <w:sz w:val="24"/>
          <w:szCs w:val="24"/>
        </w:rPr>
        <w:t>experience,</w:t>
      </w:r>
      <w:r>
        <w:rPr>
          <w:rFonts w:ascii="Times New Roman" w:hAnsi="Times New Roman" w:cs="Times New Roman"/>
          <w:sz w:val="24"/>
          <w:szCs w:val="24"/>
        </w:rPr>
        <w:t xml:space="preserve"> and they are naturalistic explanations and religious diversity. Naturalistic explanations are often seen as been able to weaken epistemic value for religious experience because if they are </w:t>
      </w:r>
      <w:r w:rsidR="00EB13B2">
        <w:rPr>
          <w:rFonts w:ascii="Times New Roman" w:hAnsi="Times New Roman" w:cs="Times New Roman"/>
          <w:sz w:val="24"/>
          <w:szCs w:val="24"/>
        </w:rPr>
        <w:t>adequate</w:t>
      </w:r>
      <w:r>
        <w:rPr>
          <w:rFonts w:ascii="Times New Roman" w:hAnsi="Times New Roman" w:cs="Times New Roman"/>
          <w:sz w:val="24"/>
          <w:szCs w:val="24"/>
        </w:rPr>
        <w:t xml:space="preserve"> to explain religious experience then why look for further meaning.</w:t>
      </w:r>
      <w:r>
        <w:rPr>
          <w:rStyle w:val="FootnoteReference"/>
          <w:rFonts w:ascii="Times New Roman" w:hAnsi="Times New Roman" w:cs="Times New Roman"/>
          <w:sz w:val="24"/>
          <w:szCs w:val="24"/>
        </w:rPr>
        <w:footnoteReference w:id="15"/>
      </w:r>
    </w:p>
    <w:p w14:paraId="116BC3DB" w14:textId="45DF49FF" w:rsidR="005C375E" w:rsidRDefault="005C375E" w:rsidP="00391318">
      <w:pPr>
        <w:ind w:firstLine="720"/>
        <w:rPr>
          <w:rFonts w:ascii="Times New Roman" w:hAnsi="Times New Roman" w:cs="Times New Roman"/>
          <w:sz w:val="24"/>
          <w:szCs w:val="24"/>
        </w:rPr>
      </w:pPr>
      <w:r>
        <w:rPr>
          <w:rFonts w:ascii="Times New Roman" w:hAnsi="Times New Roman" w:cs="Times New Roman"/>
          <w:sz w:val="24"/>
          <w:szCs w:val="24"/>
        </w:rPr>
        <w:t xml:space="preserve">James introduced the term ‘medical materialism’ to explain how scientists could argue against the value of spiritual ideas. Sigmund Freud a famous neurologist and psychologist argued that religious opinions could be reduced to feelings of dependence on a father figure. He believed that religious feelings were caused by infant dependency. Freud </w:t>
      </w:r>
      <w:r>
        <w:rPr>
          <w:rFonts w:ascii="Times New Roman" w:hAnsi="Times New Roman" w:cs="Times New Roman"/>
          <w:sz w:val="24"/>
          <w:szCs w:val="24"/>
        </w:rPr>
        <w:lastRenderedPageBreak/>
        <w:t>believed that people created gods because it made them feel less helpless when dealing with death and injustice. Freud argues that religion does not make people happy or more moral, he states that religion is morally harmful.</w:t>
      </w:r>
      <w:r>
        <w:rPr>
          <w:rStyle w:val="FootnoteReference"/>
          <w:rFonts w:ascii="Times New Roman" w:hAnsi="Times New Roman" w:cs="Times New Roman"/>
          <w:sz w:val="24"/>
          <w:szCs w:val="24"/>
        </w:rPr>
        <w:footnoteReference w:id="16"/>
      </w:r>
    </w:p>
    <w:p w14:paraId="2226A00B" w14:textId="32AC8D94" w:rsidR="00AC0855" w:rsidRDefault="00301130" w:rsidP="00391318">
      <w:pPr>
        <w:ind w:firstLine="720"/>
        <w:rPr>
          <w:rFonts w:ascii="Times New Roman" w:hAnsi="Times New Roman" w:cs="Times New Roman"/>
          <w:sz w:val="24"/>
          <w:szCs w:val="24"/>
        </w:rPr>
      </w:pPr>
      <w:r>
        <w:rPr>
          <w:rFonts w:ascii="Times New Roman" w:hAnsi="Times New Roman" w:cs="Times New Roman"/>
          <w:sz w:val="24"/>
          <w:szCs w:val="24"/>
        </w:rPr>
        <w:t xml:space="preserve">Freud argued that ideas about religion are not based on reason or experience but instead on </w:t>
      </w:r>
      <w:r w:rsidR="00A05395">
        <w:rPr>
          <w:rFonts w:ascii="Times New Roman" w:hAnsi="Times New Roman" w:cs="Times New Roman"/>
          <w:sz w:val="24"/>
          <w:szCs w:val="24"/>
        </w:rPr>
        <w:t>an</w:t>
      </w:r>
      <w:r>
        <w:rPr>
          <w:rFonts w:ascii="Times New Roman" w:hAnsi="Times New Roman" w:cs="Times New Roman"/>
          <w:sz w:val="24"/>
          <w:szCs w:val="24"/>
        </w:rPr>
        <w:t xml:space="preserve"> ancestral need to overcome the fear of nature. He believed that religious ideas were illusions and wishes of mankind. He declared that religious beliefs were delusional not only to the individual but on a large scale. Freud argued that religious and mystical feelings were</w:t>
      </w:r>
    </w:p>
    <w:p w14:paraId="6F8062EA" w14:textId="75DF2BD3" w:rsidR="00301130" w:rsidRDefault="00301130" w:rsidP="00391318">
      <w:pPr>
        <w:ind w:firstLine="720"/>
        <w:rPr>
          <w:rFonts w:ascii="Times New Roman" w:hAnsi="Times New Roman" w:cs="Times New Roman"/>
          <w:sz w:val="24"/>
          <w:szCs w:val="24"/>
        </w:rPr>
      </w:pPr>
      <w:r>
        <w:rPr>
          <w:rFonts w:ascii="Times New Roman" w:hAnsi="Times New Roman" w:cs="Times New Roman"/>
          <w:sz w:val="24"/>
          <w:szCs w:val="24"/>
        </w:rPr>
        <w:tab/>
        <w:t xml:space="preserve">“A revival of an infantile experience associated with the narcissistic union between mother and child.” </w:t>
      </w:r>
      <w:r>
        <w:rPr>
          <w:rStyle w:val="FootnoteReference"/>
          <w:rFonts w:ascii="Times New Roman" w:hAnsi="Times New Roman" w:cs="Times New Roman"/>
          <w:sz w:val="24"/>
          <w:szCs w:val="24"/>
        </w:rPr>
        <w:footnoteReference w:id="17"/>
      </w:r>
    </w:p>
    <w:p w14:paraId="00FC515B" w14:textId="0B721148" w:rsidR="00301130" w:rsidRDefault="00301130" w:rsidP="00391318">
      <w:pPr>
        <w:ind w:firstLine="720"/>
        <w:rPr>
          <w:rFonts w:ascii="Times New Roman" w:hAnsi="Times New Roman" w:cs="Times New Roman"/>
          <w:sz w:val="24"/>
          <w:szCs w:val="24"/>
        </w:rPr>
      </w:pPr>
      <w:r>
        <w:rPr>
          <w:rFonts w:ascii="Times New Roman" w:hAnsi="Times New Roman" w:cs="Times New Roman"/>
          <w:sz w:val="24"/>
          <w:szCs w:val="24"/>
        </w:rPr>
        <w:t>Religion derives from the experience of infantile helplessness and the desire for a father figure.</w:t>
      </w:r>
    </w:p>
    <w:p w14:paraId="55A3DDF9" w14:textId="0A876E6E" w:rsidR="000F3E1B" w:rsidRDefault="00F06C61" w:rsidP="000F3E1B">
      <w:pPr>
        <w:ind w:firstLine="720"/>
        <w:rPr>
          <w:rFonts w:ascii="Times New Roman" w:hAnsi="Times New Roman" w:cs="Times New Roman"/>
          <w:sz w:val="24"/>
          <w:szCs w:val="24"/>
        </w:rPr>
      </w:pPr>
      <w:r>
        <w:rPr>
          <w:rFonts w:ascii="Times New Roman" w:hAnsi="Times New Roman" w:cs="Times New Roman"/>
          <w:sz w:val="24"/>
          <w:szCs w:val="24"/>
        </w:rPr>
        <w:t xml:space="preserve">The neural basis of religious experience undertaken by V.S Ramachandran argued that they discovered a God module in the brain and claimed that God could communicate with people while having a religious experience. People with focal temporal-lobe epilepsy were reported to have had religious feelings when having a seizure and this feeling continued after the seizure had ended but the feeling was less intense. Ramachandran conducted an experiment that measured galvanic skin responses of two people and monitored their responses to religious and none religious words and icons. He discovered that the two people had an enhanced reaction to the religious words and icons. Ramachandran stated that his goal </w:t>
      </w:r>
      <w:r>
        <w:rPr>
          <w:rFonts w:ascii="Times New Roman" w:hAnsi="Times New Roman" w:cs="Times New Roman"/>
          <w:sz w:val="24"/>
          <w:szCs w:val="24"/>
        </w:rPr>
        <w:lastRenderedPageBreak/>
        <w:t>was to find out how and why religious sentiments originated in the brain, this still did not prove that God really existed.</w:t>
      </w:r>
      <w:r>
        <w:rPr>
          <w:rStyle w:val="FootnoteReference"/>
          <w:rFonts w:ascii="Times New Roman" w:hAnsi="Times New Roman" w:cs="Times New Roman"/>
          <w:sz w:val="24"/>
          <w:szCs w:val="24"/>
        </w:rPr>
        <w:footnoteReference w:id="18"/>
      </w:r>
    </w:p>
    <w:p w14:paraId="186A5E34" w14:textId="23CA8C01" w:rsidR="000F3E1B" w:rsidRDefault="000F3E1B" w:rsidP="000F3E1B">
      <w:pPr>
        <w:jc w:val="both"/>
        <w:rPr>
          <w:rFonts w:ascii="Times New Roman" w:hAnsi="Times New Roman" w:cs="Times New Roman"/>
          <w:sz w:val="24"/>
          <w:szCs w:val="24"/>
        </w:rPr>
      </w:pPr>
      <w:r>
        <w:rPr>
          <w:rFonts w:ascii="Times New Roman" w:hAnsi="Times New Roman" w:cs="Times New Roman"/>
          <w:sz w:val="24"/>
          <w:szCs w:val="24"/>
        </w:rPr>
        <w:t xml:space="preserve">John Hick states that while Ramachandran is an expert in the feel of neurology his expertise’s is not in the study of religion. Hick believes that Ramachandran has a naïve understanding of religious experiences. Hick states that he is doubtful that epileptic seizures were religious experiences. </w:t>
      </w:r>
      <w:r w:rsidR="006F361C">
        <w:rPr>
          <w:rStyle w:val="FootnoteReference"/>
          <w:rFonts w:ascii="Times New Roman" w:hAnsi="Times New Roman" w:cs="Times New Roman"/>
          <w:sz w:val="24"/>
          <w:szCs w:val="24"/>
        </w:rPr>
        <w:footnoteReference w:id="19"/>
      </w:r>
    </w:p>
    <w:p w14:paraId="2C69B9D0" w14:textId="4C9C517E" w:rsidR="009941EB" w:rsidRDefault="009941EB" w:rsidP="000F3E1B">
      <w:pPr>
        <w:jc w:val="both"/>
        <w:rPr>
          <w:rFonts w:ascii="Times New Roman" w:hAnsi="Times New Roman" w:cs="Times New Roman"/>
          <w:sz w:val="24"/>
          <w:szCs w:val="24"/>
          <w:u w:val="single"/>
        </w:rPr>
      </w:pPr>
      <w:r w:rsidRPr="0057740D">
        <w:rPr>
          <w:rFonts w:ascii="Times New Roman" w:hAnsi="Times New Roman" w:cs="Times New Roman"/>
          <w:sz w:val="24"/>
          <w:szCs w:val="24"/>
          <w:u w:val="single"/>
        </w:rPr>
        <w:t>Religious Diversity</w:t>
      </w:r>
      <w:r w:rsidR="0057740D">
        <w:rPr>
          <w:rFonts w:ascii="Times New Roman" w:hAnsi="Times New Roman" w:cs="Times New Roman"/>
          <w:sz w:val="24"/>
          <w:szCs w:val="24"/>
          <w:u w:val="single"/>
        </w:rPr>
        <w:t>.</w:t>
      </w:r>
    </w:p>
    <w:p w14:paraId="23EF259E" w14:textId="0AF9A503" w:rsidR="0057740D" w:rsidRDefault="0057740D" w:rsidP="000F3E1B">
      <w:pPr>
        <w:jc w:val="both"/>
        <w:rPr>
          <w:rFonts w:ascii="Times New Roman" w:hAnsi="Times New Roman" w:cs="Times New Roman"/>
          <w:sz w:val="24"/>
          <w:szCs w:val="24"/>
        </w:rPr>
      </w:pPr>
      <w:r w:rsidRPr="0057740D">
        <w:rPr>
          <w:rFonts w:ascii="Times New Roman" w:hAnsi="Times New Roman" w:cs="Times New Roman"/>
          <w:sz w:val="24"/>
          <w:szCs w:val="24"/>
        </w:rPr>
        <w:t>Hick states that</w:t>
      </w:r>
      <w:r>
        <w:rPr>
          <w:rFonts w:ascii="Times New Roman" w:hAnsi="Times New Roman" w:cs="Times New Roman"/>
          <w:sz w:val="24"/>
          <w:szCs w:val="24"/>
        </w:rPr>
        <w:t xml:space="preserve"> there are three main contenders in the discussions within relationships between different religions. The first view been exclusivism, that there is only one true salvific faith. The second view is inclusivism, the belief that one set of religious beliefs is true, and the other beliefs are only partially true. The third view is that of Pluralism, the belief that all world faiths are equal, authentic and salvific.</w:t>
      </w:r>
    </w:p>
    <w:p w14:paraId="263C2667" w14:textId="0D9EAB6B" w:rsidR="0057740D" w:rsidRDefault="0057740D" w:rsidP="000F3E1B">
      <w:pPr>
        <w:jc w:val="both"/>
        <w:rPr>
          <w:rFonts w:ascii="Times New Roman" w:hAnsi="Times New Roman" w:cs="Times New Roman"/>
          <w:sz w:val="24"/>
          <w:szCs w:val="24"/>
        </w:rPr>
      </w:pPr>
      <w:r>
        <w:rPr>
          <w:rFonts w:ascii="Times New Roman" w:hAnsi="Times New Roman" w:cs="Times New Roman"/>
          <w:sz w:val="24"/>
          <w:szCs w:val="24"/>
        </w:rPr>
        <w:t>Hick believes that all world religions have moral and spiritual truths in human life, and they all have equal status. He argues that if all religious traditions could accept that their tradition is not the only true faith then gradually things will continue to change and reform.</w:t>
      </w:r>
      <w:r>
        <w:rPr>
          <w:rStyle w:val="FootnoteReference"/>
          <w:rFonts w:ascii="Times New Roman" w:hAnsi="Times New Roman" w:cs="Times New Roman"/>
          <w:sz w:val="24"/>
          <w:szCs w:val="24"/>
        </w:rPr>
        <w:footnoteReference w:id="20"/>
      </w:r>
    </w:p>
    <w:p w14:paraId="1B22D86E" w14:textId="752FACC0" w:rsidR="00121677" w:rsidRDefault="00121677" w:rsidP="000F3E1B">
      <w:pPr>
        <w:jc w:val="both"/>
        <w:rPr>
          <w:rFonts w:ascii="Times New Roman" w:hAnsi="Times New Roman" w:cs="Times New Roman"/>
          <w:sz w:val="24"/>
          <w:szCs w:val="24"/>
        </w:rPr>
      </w:pPr>
      <w:r>
        <w:rPr>
          <w:rFonts w:ascii="Times New Roman" w:hAnsi="Times New Roman" w:cs="Times New Roman"/>
          <w:sz w:val="24"/>
          <w:szCs w:val="24"/>
        </w:rPr>
        <w:t xml:space="preserve">Webb states that religious diversity is the main defeater for the truth of religious experiences. The reports of religious experiences are vastly different from one religion to another. If God does exist, why does he not reveal himself to more people during religious experiences. He </w:t>
      </w:r>
      <w:r>
        <w:rPr>
          <w:rFonts w:ascii="Times New Roman" w:hAnsi="Times New Roman" w:cs="Times New Roman"/>
          <w:sz w:val="24"/>
          <w:szCs w:val="24"/>
        </w:rPr>
        <w:lastRenderedPageBreak/>
        <w:t>argues that if people from the same religion cannot agree on what is a religious experience how then can other religions be able to agree on what is a religious experience.</w:t>
      </w:r>
      <w:r>
        <w:rPr>
          <w:rStyle w:val="FootnoteReference"/>
          <w:rFonts w:ascii="Times New Roman" w:hAnsi="Times New Roman" w:cs="Times New Roman"/>
          <w:sz w:val="24"/>
          <w:szCs w:val="24"/>
        </w:rPr>
        <w:footnoteReference w:id="21"/>
      </w:r>
    </w:p>
    <w:p w14:paraId="41033E6E" w14:textId="15947208" w:rsidR="004E153A" w:rsidRDefault="004E153A" w:rsidP="000F3E1B">
      <w:pPr>
        <w:jc w:val="both"/>
        <w:rPr>
          <w:rFonts w:ascii="Times New Roman" w:hAnsi="Times New Roman" w:cs="Times New Roman"/>
          <w:sz w:val="24"/>
          <w:szCs w:val="24"/>
        </w:rPr>
      </w:pPr>
      <w:r>
        <w:rPr>
          <w:rFonts w:ascii="Times New Roman" w:hAnsi="Times New Roman" w:cs="Times New Roman"/>
          <w:sz w:val="24"/>
          <w:szCs w:val="24"/>
        </w:rPr>
        <w:t xml:space="preserve">This essay has shown that the arguments </w:t>
      </w:r>
      <w:r w:rsidR="0050538D">
        <w:rPr>
          <w:rFonts w:ascii="Times New Roman" w:hAnsi="Times New Roman" w:cs="Times New Roman"/>
          <w:sz w:val="24"/>
          <w:szCs w:val="24"/>
        </w:rPr>
        <w:t xml:space="preserve">for God’s existence is based on evidence and reasoning. Richard Swinburne argues that religious experiences do provide evidence for the existence of God. Swinburne believes that there are five different types of religious experiences. He believes that peoples experiences should be believed, and that people should trust what other people report to be true. William James was interested in people’s individual experiences and how it could benefit them as a person. James believed in two types of religious consciousness, the healthy mind and the sick soul. He also argued that all religious experiences are grounded in mystical experiences. Medical materialism is a term that was introduced by James to explain how scientists could argue against the value of spiritual ideas. Freud argued against religious experiences being evidence for the existence of God he argued that religious ideas were illusions and that religious beliefs were delusional. John Hick argues the view of pluralism within religious diversity, he </w:t>
      </w:r>
      <w:r w:rsidR="000761DE">
        <w:rPr>
          <w:rFonts w:ascii="Times New Roman" w:hAnsi="Times New Roman" w:cs="Times New Roman"/>
          <w:sz w:val="24"/>
          <w:szCs w:val="24"/>
        </w:rPr>
        <w:t>believes</w:t>
      </w:r>
      <w:r w:rsidR="0050538D">
        <w:rPr>
          <w:rFonts w:ascii="Times New Roman" w:hAnsi="Times New Roman" w:cs="Times New Roman"/>
          <w:sz w:val="24"/>
          <w:szCs w:val="24"/>
        </w:rPr>
        <w:t xml:space="preserve"> that all world faiths are equal and authentic. Webb argues that religious diversity is the main objection for the truth of religious </w:t>
      </w:r>
      <w:r w:rsidR="000761DE">
        <w:rPr>
          <w:rFonts w:ascii="Times New Roman" w:hAnsi="Times New Roman" w:cs="Times New Roman"/>
          <w:sz w:val="24"/>
          <w:szCs w:val="24"/>
        </w:rPr>
        <w:t>experiences</w:t>
      </w:r>
      <w:r w:rsidR="0050538D">
        <w:rPr>
          <w:rFonts w:ascii="Times New Roman" w:hAnsi="Times New Roman" w:cs="Times New Roman"/>
          <w:sz w:val="24"/>
          <w:szCs w:val="24"/>
        </w:rPr>
        <w:t xml:space="preserve">. Religious </w:t>
      </w:r>
      <w:r w:rsidR="000761DE">
        <w:rPr>
          <w:rFonts w:ascii="Times New Roman" w:hAnsi="Times New Roman" w:cs="Times New Roman"/>
          <w:sz w:val="24"/>
          <w:szCs w:val="24"/>
        </w:rPr>
        <w:t>experiences</w:t>
      </w:r>
      <w:r w:rsidR="0050538D">
        <w:rPr>
          <w:rFonts w:ascii="Times New Roman" w:hAnsi="Times New Roman" w:cs="Times New Roman"/>
          <w:sz w:val="24"/>
          <w:szCs w:val="24"/>
        </w:rPr>
        <w:t xml:space="preserve"> only provide evidence of the existence of God </w:t>
      </w:r>
      <w:r w:rsidR="000761DE">
        <w:rPr>
          <w:rFonts w:ascii="Times New Roman" w:hAnsi="Times New Roman" w:cs="Times New Roman"/>
          <w:sz w:val="24"/>
          <w:szCs w:val="24"/>
        </w:rPr>
        <w:t>to the individual religious believer. The non-believer will probably always argue against religious experiences providing evidence for the existence of God.</w:t>
      </w:r>
    </w:p>
    <w:p w14:paraId="7AE75FAA" w14:textId="17CFDFCE" w:rsidR="0083229D" w:rsidRDefault="0083229D" w:rsidP="000F3E1B">
      <w:pPr>
        <w:jc w:val="both"/>
        <w:rPr>
          <w:rFonts w:ascii="Times New Roman" w:hAnsi="Times New Roman" w:cs="Times New Roman"/>
          <w:sz w:val="24"/>
          <w:szCs w:val="24"/>
          <w:u w:val="single"/>
        </w:rPr>
      </w:pPr>
      <w:r w:rsidRPr="0083229D">
        <w:rPr>
          <w:rFonts w:ascii="Times New Roman" w:hAnsi="Times New Roman" w:cs="Times New Roman"/>
          <w:sz w:val="24"/>
          <w:szCs w:val="24"/>
          <w:u w:val="single"/>
        </w:rPr>
        <w:t>Bibliography</w:t>
      </w:r>
    </w:p>
    <w:p w14:paraId="745E1CE8" w14:textId="4D5E8FFF" w:rsidR="0083229D" w:rsidRDefault="0083229D">
      <w:pPr>
        <w:rPr>
          <w:rFonts w:ascii="Arial" w:hAnsi="Arial" w:cs="Arial"/>
          <w:color w:val="000000"/>
          <w:sz w:val="19"/>
          <w:szCs w:val="19"/>
        </w:rPr>
      </w:pPr>
      <w:r>
        <w:rPr>
          <w:rFonts w:ascii="Arial" w:hAnsi="Arial" w:cs="Arial"/>
          <w:color w:val="000000"/>
          <w:sz w:val="19"/>
          <w:szCs w:val="19"/>
        </w:rPr>
        <w:t>Attfield</w:t>
      </w:r>
      <w:r>
        <w:rPr>
          <w:rFonts w:ascii="Arial" w:hAnsi="Arial" w:cs="Arial"/>
          <w:color w:val="000000"/>
          <w:sz w:val="19"/>
          <w:szCs w:val="19"/>
        </w:rPr>
        <w:t xml:space="preserve"> D.G</w:t>
      </w:r>
      <w:r>
        <w:rPr>
          <w:rFonts w:ascii="Arial" w:hAnsi="Arial" w:cs="Arial"/>
          <w:color w:val="000000"/>
          <w:sz w:val="19"/>
          <w:szCs w:val="19"/>
        </w:rPr>
        <w:t xml:space="preserve">, 'The Argument from Religious Experience', </w:t>
      </w:r>
      <w:r>
        <w:rPr>
          <w:rFonts w:ascii="Arial" w:hAnsi="Arial" w:cs="Arial"/>
          <w:i/>
          <w:iCs/>
          <w:color w:val="000000"/>
          <w:sz w:val="19"/>
          <w:szCs w:val="19"/>
        </w:rPr>
        <w:t>Religious Studies</w:t>
      </w:r>
      <w:r>
        <w:rPr>
          <w:rFonts w:ascii="Arial" w:hAnsi="Arial" w:cs="Arial"/>
          <w:color w:val="000000"/>
          <w:sz w:val="19"/>
          <w:szCs w:val="19"/>
        </w:rPr>
        <w:t>, 11.3, (1975)</w:t>
      </w:r>
      <w:r>
        <w:rPr>
          <w:rFonts w:ascii="Arial" w:hAnsi="Arial" w:cs="Arial"/>
          <w:color w:val="000000"/>
          <w:sz w:val="19"/>
          <w:szCs w:val="19"/>
        </w:rPr>
        <w:t>.</w:t>
      </w:r>
    </w:p>
    <w:p w14:paraId="3FC7190E" w14:textId="08FD9F52" w:rsidR="0083229D" w:rsidRDefault="0083229D">
      <w:pPr>
        <w:rPr>
          <w:rFonts w:ascii="Arial" w:eastAsia="Times New Roman" w:hAnsi="Arial" w:cs="Arial"/>
          <w:color w:val="000000"/>
          <w:sz w:val="19"/>
          <w:szCs w:val="19"/>
          <w:lang w:eastAsia="en-GB"/>
        </w:rPr>
      </w:pPr>
      <w:r w:rsidRPr="006F361C">
        <w:rPr>
          <w:rFonts w:ascii="Arial" w:eastAsia="Times New Roman" w:hAnsi="Arial" w:cs="Arial"/>
          <w:color w:val="000000"/>
          <w:sz w:val="19"/>
          <w:szCs w:val="19"/>
          <w:lang w:eastAsia="en-GB"/>
        </w:rPr>
        <w:t>Hick</w:t>
      </w:r>
      <w:r>
        <w:rPr>
          <w:rFonts w:ascii="Arial" w:eastAsia="Times New Roman" w:hAnsi="Arial" w:cs="Arial"/>
          <w:color w:val="000000"/>
          <w:sz w:val="19"/>
          <w:szCs w:val="19"/>
          <w:lang w:eastAsia="en-GB"/>
        </w:rPr>
        <w:t xml:space="preserve"> John</w:t>
      </w:r>
      <w:r w:rsidRPr="006F361C">
        <w:rPr>
          <w:rFonts w:ascii="Arial" w:eastAsia="Times New Roman" w:hAnsi="Arial" w:cs="Arial"/>
          <w:color w:val="000000"/>
          <w:sz w:val="19"/>
          <w:szCs w:val="19"/>
          <w:lang w:eastAsia="en-GB"/>
        </w:rPr>
        <w:t xml:space="preserve">, </w:t>
      </w:r>
      <w:r w:rsidRPr="006F361C">
        <w:rPr>
          <w:rFonts w:ascii="Arial" w:eastAsia="Times New Roman" w:hAnsi="Arial" w:cs="Arial"/>
          <w:i/>
          <w:iCs/>
          <w:color w:val="000000"/>
          <w:sz w:val="19"/>
          <w:szCs w:val="19"/>
          <w:lang w:eastAsia="en-GB"/>
        </w:rPr>
        <w:t>The New Frontier of Religion and Science; Religious Experience, Neuroscience and the Transcendent</w:t>
      </w:r>
      <w:r w:rsidRPr="006F361C">
        <w:rPr>
          <w:rFonts w:ascii="Arial" w:eastAsia="Times New Roman" w:hAnsi="Arial" w:cs="Arial"/>
          <w:color w:val="000000"/>
          <w:sz w:val="19"/>
          <w:szCs w:val="19"/>
          <w:lang w:eastAsia="en-GB"/>
        </w:rPr>
        <w:t xml:space="preserve"> (Basingstoke England; New York: Palgrave Macmillan, 2006)</w:t>
      </w:r>
      <w:r>
        <w:rPr>
          <w:rFonts w:ascii="Arial" w:eastAsia="Times New Roman" w:hAnsi="Arial" w:cs="Arial"/>
          <w:color w:val="000000"/>
          <w:sz w:val="19"/>
          <w:szCs w:val="19"/>
          <w:lang w:eastAsia="en-GB"/>
        </w:rPr>
        <w:t>.</w:t>
      </w:r>
    </w:p>
    <w:p w14:paraId="04D5D2C7" w14:textId="3993C1F3" w:rsidR="0083229D" w:rsidRDefault="0083229D">
      <w:pPr>
        <w:rPr>
          <w:rFonts w:ascii="Arial" w:hAnsi="Arial" w:cs="Arial"/>
          <w:color w:val="000000"/>
          <w:sz w:val="19"/>
          <w:szCs w:val="19"/>
        </w:rPr>
      </w:pPr>
      <w:r>
        <w:rPr>
          <w:rFonts w:ascii="Arial" w:hAnsi="Arial" w:cs="Arial"/>
          <w:color w:val="000000"/>
          <w:sz w:val="19"/>
          <w:szCs w:val="19"/>
        </w:rPr>
        <w:lastRenderedPageBreak/>
        <w:t xml:space="preserve"> Kay</w:t>
      </w:r>
      <w:r>
        <w:rPr>
          <w:rFonts w:ascii="Arial" w:hAnsi="Arial" w:cs="Arial"/>
          <w:color w:val="000000"/>
          <w:sz w:val="19"/>
          <w:szCs w:val="19"/>
        </w:rPr>
        <w:t xml:space="preserve"> William K</w:t>
      </w:r>
      <w:r>
        <w:rPr>
          <w:rFonts w:ascii="Arial" w:hAnsi="Arial" w:cs="Arial"/>
          <w:color w:val="000000"/>
          <w:sz w:val="19"/>
          <w:szCs w:val="19"/>
        </w:rPr>
        <w:t xml:space="preserve">, 'William James; a re-examination of The Varieties of Religious Experience', </w:t>
      </w:r>
      <w:r>
        <w:rPr>
          <w:rFonts w:ascii="Arial" w:hAnsi="Arial" w:cs="Arial"/>
          <w:i/>
          <w:iCs/>
          <w:color w:val="000000"/>
          <w:sz w:val="19"/>
          <w:szCs w:val="19"/>
        </w:rPr>
        <w:t>Mental Health, Religion &amp; Culture</w:t>
      </w:r>
      <w:r>
        <w:rPr>
          <w:rFonts w:ascii="Arial" w:hAnsi="Arial" w:cs="Arial"/>
          <w:color w:val="000000"/>
          <w:sz w:val="19"/>
          <w:szCs w:val="19"/>
        </w:rPr>
        <w:t>, 20.4, (2017)</w:t>
      </w:r>
      <w:r>
        <w:rPr>
          <w:rFonts w:ascii="Arial" w:hAnsi="Arial" w:cs="Arial"/>
          <w:color w:val="000000"/>
          <w:sz w:val="19"/>
          <w:szCs w:val="19"/>
        </w:rPr>
        <w:t>.</w:t>
      </w:r>
    </w:p>
    <w:p w14:paraId="7484495C" w14:textId="1DFD8C68" w:rsidR="0083229D" w:rsidRDefault="0083229D">
      <w:pPr>
        <w:rPr>
          <w:rFonts w:ascii="Arial" w:hAnsi="Arial" w:cs="Arial"/>
          <w:color w:val="000000"/>
          <w:sz w:val="19"/>
          <w:szCs w:val="19"/>
        </w:rPr>
      </w:pPr>
      <w:r>
        <w:rPr>
          <w:rFonts w:ascii="Arial" w:hAnsi="Arial" w:cs="Arial"/>
          <w:color w:val="000000"/>
          <w:sz w:val="19"/>
          <w:szCs w:val="19"/>
        </w:rPr>
        <w:t xml:space="preserve"> Pomerleau</w:t>
      </w:r>
      <w:r>
        <w:rPr>
          <w:rFonts w:ascii="Arial" w:hAnsi="Arial" w:cs="Arial"/>
          <w:color w:val="000000"/>
          <w:sz w:val="19"/>
          <w:szCs w:val="19"/>
        </w:rPr>
        <w:t xml:space="preserve"> Wayne. P</w:t>
      </w:r>
      <w:r>
        <w:rPr>
          <w:rFonts w:ascii="Arial" w:hAnsi="Arial" w:cs="Arial"/>
          <w:color w:val="000000"/>
          <w:sz w:val="19"/>
          <w:szCs w:val="19"/>
        </w:rPr>
        <w:t xml:space="preserve">, </w:t>
      </w:r>
      <w:r>
        <w:rPr>
          <w:rFonts w:ascii="Arial" w:hAnsi="Arial" w:cs="Arial"/>
          <w:i/>
          <w:iCs/>
          <w:color w:val="000000"/>
          <w:sz w:val="19"/>
          <w:szCs w:val="19"/>
        </w:rPr>
        <w:t>William James (1842-1910)</w:t>
      </w:r>
      <w:r>
        <w:rPr>
          <w:rFonts w:ascii="Arial" w:hAnsi="Arial" w:cs="Arial"/>
          <w:color w:val="000000"/>
          <w:sz w:val="19"/>
          <w:szCs w:val="19"/>
        </w:rPr>
        <w:t xml:space="preserve"> (2019) &lt;https://www.iep.utm.edu/james-o/&gt; [accessed 9 March 2019].</w:t>
      </w:r>
    </w:p>
    <w:p w14:paraId="4D228D0D" w14:textId="5C8F8D00" w:rsidR="0083229D" w:rsidRDefault="0083229D">
      <w:pPr>
        <w:rPr>
          <w:rFonts w:ascii="Arial" w:hAnsi="Arial" w:cs="Arial"/>
          <w:color w:val="000000"/>
          <w:sz w:val="19"/>
          <w:szCs w:val="19"/>
        </w:rPr>
      </w:pPr>
      <w:r>
        <w:rPr>
          <w:rFonts w:ascii="Arial" w:hAnsi="Arial" w:cs="Arial"/>
          <w:color w:val="000000"/>
          <w:sz w:val="19"/>
          <w:szCs w:val="19"/>
        </w:rPr>
        <w:t xml:space="preserve"> Ratcliffe</w:t>
      </w:r>
      <w:r>
        <w:rPr>
          <w:rFonts w:ascii="Arial" w:hAnsi="Arial" w:cs="Arial"/>
          <w:color w:val="000000"/>
          <w:sz w:val="19"/>
          <w:szCs w:val="19"/>
        </w:rPr>
        <w:t xml:space="preserve"> Matthew</w:t>
      </w:r>
      <w:r>
        <w:rPr>
          <w:rFonts w:ascii="Arial" w:hAnsi="Arial" w:cs="Arial"/>
          <w:color w:val="000000"/>
          <w:sz w:val="19"/>
          <w:szCs w:val="19"/>
        </w:rPr>
        <w:t xml:space="preserve">, 'Scientific naturalism and the neurology of religious experience', </w:t>
      </w:r>
      <w:r>
        <w:rPr>
          <w:rFonts w:ascii="Arial" w:hAnsi="Arial" w:cs="Arial"/>
          <w:i/>
          <w:iCs/>
          <w:color w:val="000000"/>
          <w:sz w:val="19"/>
          <w:szCs w:val="19"/>
        </w:rPr>
        <w:t>Religious Studies</w:t>
      </w:r>
      <w:r>
        <w:rPr>
          <w:rFonts w:ascii="Arial" w:hAnsi="Arial" w:cs="Arial"/>
          <w:color w:val="000000"/>
          <w:sz w:val="19"/>
          <w:szCs w:val="19"/>
        </w:rPr>
        <w:t>, 39, (2003)</w:t>
      </w:r>
      <w:r>
        <w:rPr>
          <w:rFonts w:ascii="Arial" w:hAnsi="Arial" w:cs="Arial"/>
          <w:color w:val="000000"/>
          <w:sz w:val="19"/>
          <w:szCs w:val="19"/>
        </w:rPr>
        <w:t>.</w:t>
      </w:r>
    </w:p>
    <w:p w14:paraId="0A212EF1" w14:textId="03A92036" w:rsidR="0083229D" w:rsidRDefault="0083229D">
      <w:pPr>
        <w:rPr>
          <w:rFonts w:ascii="Arial" w:hAnsi="Arial" w:cs="Arial"/>
          <w:color w:val="000000"/>
          <w:sz w:val="19"/>
          <w:szCs w:val="19"/>
        </w:rPr>
      </w:pPr>
      <w:r>
        <w:rPr>
          <w:rFonts w:ascii="Arial" w:hAnsi="Arial" w:cs="Arial"/>
          <w:color w:val="000000"/>
          <w:sz w:val="19"/>
          <w:szCs w:val="19"/>
        </w:rPr>
        <w:t xml:space="preserve"> Ruetenik</w:t>
      </w:r>
      <w:bookmarkStart w:id="7" w:name="_GoBack"/>
      <w:bookmarkEnd w:id="7"/>
      <w:r w:rsidR="00013055">
        <w:rPr>
          <w:rFonts w:ascii="Arial" w:hAnsi="Arial" w:cs="Arial"/>
          <w:color w:val="000000"/>
          <w:sz w:val="19"/>
          <w:szCs w:val="19"/>
        </w:rPr>
        <w:t xml:space="preserve"> Tadd</w:t>
      </w:r>
      <w:r>
        <w:rPr>
          <w:rFonts w:ascii="Arial" w:hAnsi="Arial" w:cs="Arial"/>
          <w:color w:val="000000"/>
          <w:sz w:val="19"/>
          <w:szCs w:val="19"/>
        </w:rPr>
        <w:t xml:space="preserve">, 'Fruits of Health; Roots of Despair: William James, Medical Materialism and the Evaluation of Religious Experience', </w:t>
      </w:r>
      <w:r>
        <w:rPr>
          <w:rFonts w:ascii="Arial" w:hAnsi="Arial" w:cs="Arial"/>
          <w:i/>
          <w:iCs/>
          <w:color w:val="000000"/>
          <w:sz w:val="19"/>
          <w:szCs w:val="19"/>
        </w:rPr>
        <w:t>Journal of Religion and Health</w:t>
      </w:r>
      <w:r>
        <w:rPr>
          <w:rFonts w:ascii="Arial" w:hAnsi="Arial" w:cs="Arial"/>
          <w:color w:val="000000"/>
          <w:sz w:val="19"/>
          <w:szCs w:val="19"/>
        </w:rPr>
        <w:t>, 45.3, (2006)</w:t>
      </w:r>
      <w:r w:rsidR="00013055">
        <w:rPr>
          <w:rFonts w:ascii="Arial" w:hAnsi="Arial" w:cs="Arial"/>
          <w:color w:val="000000"/>
          <w:sz w:val="19"/>
          <w:szCs w:val="19"/>
        </w:rPr>
        <w:t>.</w:t>
      </w:r>
    </w:p>
    <w:p w14:paraId="0A456C12" w14:textId="62555C1D" w:rsidR="00013055" w:rsidRDefault="00013055">
      <w:pPr>
        <w:rPr>
          <w:rFonts w:ascii="Arial" w:hAnsi="Arial" w:cs="Arial"/>
          <w:color w:val="000000"/>
          <w:sz w:val="19"/>
          <w:szCs w:val="19"/>
        </w:rPr>
      </w:pPr>
      <w:r>
        <w:rPr>
          <w:rFonts w:ascii="Arial" w:hAnsi="Arial" w:cs="Arial"/>
          <w:color w:val="000000"/>
          <w:sz w:val="19"/>
          <w:szCs w:val="19"/>
        </w:rPr>
        <w:t>Swinburne</w:t>
      </w:r>
      <w:r>
        <w:rPr>
          <w:rFonts w:ascii="Arial" w:hAnsi="Arial" w:cs="Arial"/>
          <w:color w:val="000000"/>
          <w:sz w:val="19"/>
          <w:szCs w:val="19"/>
        </w:rPr>
        <w:t xml:space="preserve"> Richard</w:t>
      </w:r>
      <w:r>
        <w:rPr>
          <w:rFonts w:ascii="Arial" w:hAnsi="Arial" w:cs="Arial"/>
          <w:color w:val="000000"/>
          <w:sz w:val="19"/>
          <w:szCs w:val="19"/>
        </w:rPr>
        <w:t xml:space="preserve">, </w:t>
      </w:r>
      <w:r>
        <w:rPr>
          <w:rFonts w:ascii="Arial" w:hAnsi="Arial" w:cs="Arial"/>
          <w:i/>
          <w:iCs/>
          <w:color w:val="000000"/>
          <w:sz w:val="19"/>
          <w:szCs w:val="19"/>
        </w:rPr>
        <w:t>The Existence of God</w:t>
      </w:r>
      <w:r>
        <w:rPr>
          <w:rFonts w:ascii="Arial" w:hAnsi="Arial" w:cs="Arial"/>
          <w:color w:val="000000"/>
          <w:sz w:val="19"/>
          <w:szCs w:val="19"/>
        </w:rPr>
        <w:t xml:space="preserve"> (2019) &lt;http://www.oxfordscholarship.com.ezproxy.uwtsd.ac.uk/view/10.1093/acprof:oso/9780199271672.001.0001/acprof-9780199271672-chapter-14&gt; [accessed 9 March 2019].</w:t>
      </w:r>
    </w:p>
    <w:p w14:paraId="7FBBB2E7" w14:textId="1ECCCBF8" w:rsidR="00013055" w:rsidRDefault="00013055">
      <w:pPr>
        <w:rPr>
          <w:rFonts w:ascii="Arial" w:hAnsi="Arial" w:cs="Arial"/>
          <w:color w:val="000000"/>
          <w:sz w:val="19"/>
          <w:szCs w:val="19"/>
        </w:rPr>
      </w:pPr>
      <w:r>
        <w:rPr>
          <w:rFonts w:ascii="Arial" w:hAnsi="Arial" w:cs="Arial"/>
          <w:color w:val="000000"/>
          <w:sz w:val="19"/>
          <w:szCs w:val="19"/>
        </w:rPr>
        <w:t xml:space="preserve"> Thornton</w:t>
      </w:r>
      <w:r>
        <w:rPr>
          <w:rFonts w:ascii="Arial" w:hAnsi="Arial" w:cs="Arial"/>
          <w:color w:val="000000"/>
          <w:sz w:val="19"/>
          <w:szCs w:val="19"/>
        </w:rPr>
        <w:t xml:space="preserve"> Stephen</w:t>
      </w:r>
      <w:r>
        <w:rPr>
          <w:rFonts w:ascii="Arial" w:hAnsi="Arial" w:cs="Arial"/>
          <w:color w:val="000000"/>
          <w:sz w:val="19"/>
          <w:szCs w:val="19"/>
        </w:rPr>
        <w:t xml:space="preserve">, </w:t>
      </w:r>
      <w:r>
        <w:rPr>
          <w:rFonts w:ascii="Arial" w:hAnsi="Arial" w:cs="Arial"/>
          <w:i/>
          <w:iCs/>
          <w:color w:val="000000"/>
          <w:sz w:val="19"/>
          <w:szCs w:val="19"/>
        </w:rPr>
        <w:t>Sigmund Freud; Religion</w:t>
      </w:r>
      <w:r>
        <w:rPr>
          <w:rFonts w:ascii="Arial" w:hAnsi="Arial" w:cs="Arial"/>
          <w:color w:val="000000"/>
          <w:sz w:val="19"/>
          <w:szCs w:val="19"/>
        </w:rPr>
        <w:t xml:space="preserve"> (2019) &lt;https://www.iep.utm.edu/freud/&gt; [accessed 9 March 2019].</w:t>
      </w:r>
    </w:p>
    <w:p w14:paraId="31B9B659" w14:textId="3604471D" w:rsidR="00013055" w:rsidRDefault="00013055">
      <w:pPr>
        <w:rPr>
          <w:rFonts w:ascii="Arial" w:hAnsi="Arial" w:cs="Arial"/>
          <w:color w:val="000000"/>
          <w:sz w:val="19"/>
          <w:szCs w:val="19"/>
        </w:rPr>
      </w:pPr>
      <w:r>
        <w:rPr>
          <w:rFonts w:ascii="Arial" w:hAnsi="Arial" w:cs="Arial"/>
          <w:color w:val="000000"/>
          <w:sz w:val="19"/>
          <w:szCs w:val="19"/>
        </w:rPr>
        <w:t>Webb</w:t>
      </w:r>
      <w:r>
        <w:rPr>
          <w:rFonts w:ascii="Arial" w:hAnsi="Arial" w:cs="Arial"/>
          <w:color w:val="000000"/>
          <w:sz w:val="19"/>
          <w:szCs w:val="19"/>
        </w:rPr>
        <w:t xml:space="preserve"> Mark</w:t>
      </w:r>
      <w:r>
        <w:rPr>
          <w:rFonts w:ascii="Arial" w:hAnsi="Arial" w:cs="Arial"/>
          <w:color w:val="000000"/>
          <w:sz w:val="19"/>
          <w:szCs w:val="19"/>
        </w:rPr>
        <w:t xml:space="preserve">, </w:t>
      </w:r>
      <w:r>
        <w:rPr>
          <w:rFonts w:ascii="Arial" w:hAnsi="Arial" w:cs="Arial"/>
          <w:i/>
          <w:iCs/>
          <w:color w:val="000000"/>
          <w:sz w:val="19"/>
          <w:szCs w:val="19"/>
        </w:rPr>
        <w:t>Religious Experience</w:t>
      </w:r>
      <w:r>
        <w:rPr>
          <w:rFonts w:ascii="Arial" w:hAnsi="Arial" w:cs="Arial"/>
          <w:color w:val="000000"/>
          <w:sz w:val="19"/>
          <w:szCs w:val="19"/>
        </w:rPr>
        <w:t xml:space="preserve"> (2019) &lt;https://plato.stanford.edu/entries/religious-experience/&gt; [accessed 9 March 2019].</w:t>
      </w:r>
    </w:p>
    <w:p w14:paraId="28A59896" w14:textId="77777777" w:rsidR="0083229D" w:rsidRDefault="0083229D">
      <w:pPr>
        <w:rPr>
          <w:rFonts w:ascii="Arial" w:hAnsi="Arial" w:cs="Arial"/>
          <w:color w:val="000000"/>
          <w:sz w:val="19"/>
          <w:szCs w:val="19"/>
        </w:rPr>
      </w:pPr>
    </w:p>
    <w:p w14:paraId="3B90272F" w14:textId="77777777" w:rsidR="0083229D" w:rsidRDefault="0083229D">
      <w:pPr>
        <w:rPr>
          <w:rFonts w:ascii="Arial" w:hAnsi="Arial" w:cs="Arial"/>
          <w:color w:val="000000"/>
          <w:sz w:val="19"/>
          <w:szCs w:val="19"/>
        </w:rPr>
      </w:pPr>
    </w:p>
    <w:p w14:paraId="0A725EB2" w14:textId="60A79679" w:rsidR="0083229D" w:rsidRDefault="0083229D">
      <w:pPr>
        <w:rPr>
          <w:rFonts w:ascii="Arial" w:hAnsi="Arial" w:cs="Arial"/>
          <w:color w:val="000000"/>
          <w:sz w:val="19"/>
          <w:szCs w:val="19"/>
        </w:rPr>
      </w:pPr>
    </w:p>
    <w:p w14:paraId="1844888F" w14:textId="77777777" w:rsidR="0083229D" w:rsidRDefault="0083229D">
      <w:pPr>
        <w:rPr>
          <w:rFonts w:ascii="Arial" w:eastAsia="Times New Roman" w:hAnsi="Arial" w:cs="Arial"/>
          <w:color w:val="000000"/>
          <w:sz w:val="19"/>
          <w:szCs w:val="19"/>
          <w:lang w:eastAsia="en-GB"/>
        </w:rPr>
      </w:pPr>
    </w:p>
    <w:p w14:paraId="6F9966EA" w14:textId="77777777" w:rsidR="0083229D" w:rsidRDefault="0083229D">
      <w:pPr>
        <w:rPr>
          <w:rFonts w:ascii="Arial" w:hAnsi="Arial" w:cs="Arial"/>
          <w:color w:val="000000"/>
          <w:sz w:val="19"/>
          <w:szCs w:val="19"/>
        </w:rPr>
      </w:pPr>
    </w:p>
    <w:p w14:paraId="139AC545" w14:textId="4E8F8E97" w:rsidR="009D290A" w:rsidRDefault="009D290A">
      <w:pPr>
        <w:rPr>
          <w:rFonts w:ascii="Times New Roman" w:hAnsi="Times New Roman" w:cs="Times New Roman"/>
          <w:sz w:val="24"/>
          <w:szCs w:val="24"/>
        </w:rPr>
      </w:pPr>
      <w:r>
        <w:rPr>
          <w:rFonts w:ascii="Times New Roman" w:hAnsi="Times New Roman" w:cs="Times New Roman"/>
          <w:sz w:val="24"/>
          <w:szCs w:val="24"/>
        </w:rPr>
        <w:tab/>
      </w:r>
    </w:p>
    <w:p w14:paraId="1EC54654" w14:textId="77777777" w:rsidR="009D290A" w:rsidRPr="009D290A" w:rsidRDefault="009D290A">
      <w:pPr>
        <w:rPr>
          <w:rFonts w:ascii="Times New Roman" w:hAnsi="Times New Roman" w:cs="Times New Roman"/>
          <w:sz w:val="24"/>
          <w:szCs w:val="24"/>
        </w:rPr>
      </w:pPr>
    </w:p>
    <w:sectPr w:rsidR="009D290A" w:rsidRPr="009D29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09247" w14:textId="77777777" w:rsidR="00FC3F1E" w:rsidRDefault="00FC3F1E" w:rsidP="00FC3F1E">
      <w:pPr>
        <w:spacing w:after="0" w:line="240" w:lineRule="auto"/>
      </w:pPr>
      <w:r>
        <w:separator/>
      </w:r>
    </w:p>
  </w:endnote>
  <w:endnote w:type="continuationSeparator" w:id="0">
    <w:p w14:paraId="5BE46720" w14:textId="77777777" w:rsidR="00FC3F1E" w:rsidRDefault="00FC3F1E" w:rsidP="00FC3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9A346" w14:textId="77777777" w:rsidR="00FC3F1E" w:rsidRDefault="00FC3F1E" w:rsidP="00FC3F1E">
      <w:pPr>
        <w:spacing w:after="0" w:line="240" w:lineRule="auto"/>
      </w:pPr>
      <w:r>
        <w:separator/>
      </w:r>
    </w:p>
  </w:footnote>
  <w:footnote w:type="continuationSeparator" w:id="0">
    <w:p w14:paraId="432111F4" w14:textId="77777777" w:rsidR="00FC3F1E" w:rsidRDefault="00FC3F1E" w:rsidP="00FC3F1E">
      <w:pPr>
        <w:spacing w:after="0" w:line="240" w:lineRule="auto"/>
      </w:pPr>
      <w:r>
        <w:continuationSeparator/>
      </w:r>
    </w:p>
  </w:footnote>
  <w:footnote w:id="1">
    <w:p w14:paraId="0C4F3696" w14:textId="24CA2D44" w:rsidR="00E50408" w:rsidRDefault="00E50408">
      <w:pPr>
        <w:pStyle w:val="FootnoteText"/>
      </w:pPr>
      <w:r>
        <w:rPr>
          <w:rStyle w:val="FootnoteReference"/>
        </w:rPr>
        <w:footnoteRef/>
      </w:r>
      <w:r>
        <w:t xml:space="preserve"> </w:t>
      </w:r>
      <w:r>
        <w:rPr>
          <w:rFonts w:ascii="Arial" w:hAnsi="Arial" w:cs="Arial"/>
          <w:color w:val="000000"/>
          <w:sz w:val="19"/>
          <w:szCs w:val="19"/>
        </w:rPr>
        <w:t xml:space="preserve">D. G. Attfield, 'The Argument from Religious Experience', </w:t>
      </w:r>
      <w:r>
        <w:rPr>
          <w:rFonts w:ascii="Arial" w:hAnsi="Arial" w:cs="Arial"/>
          <w:i/>
          <w:iCs/>
          <w:color w:val="000000"/>
          <w:sz w:val="19"/>
          <w:szCs w:val="19"/>
        </w:rPr>
        <w:t>Religious Studies</w:t>
      </w:r>
      <w:r>
        <w:rPr>
          <w:rFonts w:ascii="Arial" w:hAnsi="Arial" w:cs="Arial"/>
          <w:color w:val="000000"/>
          <w:sz w:val="19"/>
          <w:szCs w:val="19"/>
        </w:rPr>
        <w:t>, 11.3, (1975), 335-343.</w:t>
      </w:r>
    </w:p>
  </w:footnote>
  <w:footnote w:id="2">
    <w:p w14:paraId="695A6205" w14:textId="242AB2D6" w:rsidR="00FC3F1E" w:rsidRDefault="00FC3F1E">
      <w:pPr>
        <w:pStyle w:val="FootnoteText"/>
      </w:pPr>
      <w:r>
        <w:rPr>
          <w:rStyle w:val="FootnoteReference"/>
        </w:rPr>
        <w:footnoteRef/>
      </w:r>
      <w:r>
        <w:t xml:space="preserve"> </w:t>
      </w:r>
      <w:r w:rsidR="00A36B2C">
        <w:rPr>
          <w:rFonts w:ascii="Arial" w:hAnsi="Arial" w:cs="Arial"/>
          <w:color w:val="000000"/>
          <w:sz w:val="19"/>
          <w:szCs w:val="19"/>
        </w:rPr>
        <w:t xml:space="preserve">Richard Swinburne, </w:t>
      </w:r>
      <w:r w:rsidR="00A36B2C">
        <w:rPr>
          <w:rFonts w:ascii="Arial" w:hAnsi="Arial" w:cs="Arial"/>
          <w:i/>
          <w:iCs/>
          <w:color w:val="000000"/>
          <w:sz w:val="19"/>
          <w:szCs w:val="19"/>
        </w:rPr>
        <w:t>The Existence of God</w:t>
      </w:r>
      <w:r w:rsidR="00A36B2C">
        <w:rPr>
          <w:rFonts w:ascii="Arial" w:hAnsi="Arial" w:cs="Arial"/>
          <w:color w:val="000000"/>
          <w:sz w:val="19"/>
          <w:szCs w:val="19"/>
        </w:rPr>
        <w:t xml:space="preserve"> (2019) &lt;http://www.oxfordscholarship.com.ezproxy.uwtsd.ac.uk/view/10.1093/acprof:oso/9780199271672.001.0001/acprof-9780199271672-chapter-14&gt; [accessed 9 March 2019].</w:t>
      </w:r>
    </w:p>
  </w:footnote>
  <w:footnote w:id="3">
    <w:p w14:paraId="68A6BD70" w14:textId="1D3F39B4" w:rsidR="00AC5511" w:rsidRDefault="00AC5511">
      <w:pPr>
        <w:pStyle w:val="FootnoteText"/>
      </w:pPr>
      <w:r>
        <w:rPr>
          <w:rStyle w:val="FootnoteReference"/>
        </w:rPr>
        <w:footnoteRef/>
      </w:r>
      <w:r>
        <w:t xml:space="preserve"> </w:t>
      </w:r>
      <w:r w:rsidR="00A36B2C">
        <w:rPr>
          <w:rFonts w:ascii="Arial" w:hAnsi="Arial" w:cs="Arial"/>
          <w:color w:val="000000"/>
          <w:sz w:val="19"/>
          <w:szCs w:val="19"/>
        </w:rPr>
        <w:t xml:space="preserve">Richard Swinburne, </w:t>
      </w:r>
      <w:r w:rsidR="00A36B2C">
        <w:rPr>
          <w:rFonts w:ascii="Arial" w:hAnsi="Arial" w:cs="Arial"/>
          <w:i/>
          <w:iCs/>
          <w:color w:val="000000"/>
          <w:sz w:val="19"/>
          <w:szCs w:val="19"/>
        </w:rPr>
        <w:t>The Existence of God</w:t>
      </w:r>
      <w:r w:rsidR="00A36B2C">
        <w:rPr>
          <w:rFonts w:ascii="Arial" w:hAnsi="Arial" w:cs="Arial"/>
          <w:color w:val="000000"/>
          <w:sz w:val="19"/>
          <w:szCs w:val="19"/>
        </w:rPr>
        <w:t xml:space="preserve"> (2019) &lt;http://www.oxfordscholarship.com.ezproxy.uwtsd.ac.uk/view/10.1093/acprof:oso/9780199271672.001.0001/acprof-9780199271672-chapter-14&gt; [accessed 9 March 2019].</w:t>
      </w:r>
    </w:p>
  </w:footnote>
  <w:footnote w:id="4">
    <w:p w14:paraId="5EE1259D" w14:textId="0928B740" w:rsidR="00A33D6D" w:rsidRDefault="00A33D6D">
      <w:pPr>
        <w:pStyle w:val="FootnoteText"/>
      </w:pPr>
      <w:r>
        <w:rPr>
          <w:rStyle w:val="FootnoteReference"/>
        </w:rPr>
        <w:footnoteRef/>
      </w:r>
      <w:r>
        <w:t xml:space="preserve"> </w:t>
      </w:r>
      <w:r w:rsidR="00A36B2C">
        <w:rPr>
          <w:rFonts w:ascii="Arial" w:hAnsi="Arial" w:cs="Arial"/>
          <w:color w:val="000000"/>
          <w:sz w:val="19"/>
          <w:szCs w:val="19"/>
        </w:rPr>
        <w:t xml:space="preserve">Richard Swinburne, </w:t>
      </w:r>
      <w:r w:rsidR="00A36B2C">
        <w:rPr>
          <w:rFonts w:ascii="Arial" w:hAnsi="Arial" w:cs="Arial"/>
          <w:i/>
          <w:iCs/>
          <w:color w:val="000000"/>
          <w:sz w:val="19"/>
          <w:szCs w:val="19"/>
        </w:rPr>
        <w:t>The Existence of God</w:t>
      </w:r>
      <w:r w:rsidR="00A36B2C">
        <w:rPr>
          <w:rFonts w:ascii="Arial" w:hAnsi="Arial" w:cs="Arial"/>
          <w:color w:val="000000"/>
          <w:sz w:val="19"/>
          <w:szCs w:val="19"/>
        </w:rPr>
        <w:t xml:space="preserve"> (2019) &lt;http://www.oxfordscholarship.com.ezproxy.uwtsd.ac.uk/view/10.1093/acprof:oso/9780199271672.001.0001/acprof-9780199271672-chapter-14&gt; [accessed 9 March 2019].</w:t>
      </w:r>
    </w:p>
  </w:footnote>
  <w:footnote w:id="5">
    <w:p w14:paraId="5378CCA7" w14:textId="407978DF" w:rsidR="00B70912" w:rsidRDefault="00B70912">
      <w:pPr>
        <w:pStyle w:val="FootnoteText"/>
      </w:pPr>
      <w:r>
        <w:rPr>
          <w:rStyle w:val="FootnoteReference"/>
        </w:rPr>
        <w:footnoteRef/>
      </w:r>
      <w:r>
        <w:t xml:space="preserve"> </w:t>
      </w:r>
      <w:r w:rsidR="00A36B2C">
        <w:rPr>
          <w:rFonts w:ascii="Arial" w:hAnsi="Arial" w:cs="Arial"/>
          <w:color w:val="000000"/>
          <w:sz w:val="19"/>
          <w:szCs w:val="19"/>
        </w:rPr>
        <w:t xml:space="preserve">Richard Swinburne, </w:t>
      </w:r>
      <w:r w:rsidR="00A36B2C">
        <w:rPr>
          <w:rFonts w:ascii="Arial" w:hAnsi="Arial" w:cs="Arial"/>
          <w:i/>
          <w:iCs/>
          <w:color w:val="000000"/>
          <w:sz w:val="19"/>
          <w:szCs w:val="19"/>
        </w:rPr>
        <w:t>The Existence of God</w:t>
      </w:r>
      <w:r w:rsidR="00A36B2C">
        <w:rPr>
          <w:rFonts w:ascii="Arial" w:hAnsi="Arial" w:cs="Arial"/>
          <w:color w:val="000000"/>
          <w:sz w:val="19"/>
          <w:szCs w:val="19"/>
        </w:rPr>
        <w:t xml:space="preserve"> (2019) &lt;http://www.oxfordscholarship.com.ezproxy.uwtsd.ac.uk/view/10.1093/acprof:oso/9780199271672.001.0001/acprof-9780199271672-chapter-14&gt; [accessed 9 March 2019].</w:t>
      </w:r>
    </w:p>
  </w:footnote>
  <w:footnote w:id="6">
    <w:p w14:paraId="4609ED8F" w14:textId="22480E96" w:rsidR="00FD743D" w:rsidRDefault="00FD743D">
      <w:pPr>
        <w:pStyle w:val="FootnoteText"/>
      </w:pPr>
      <w:r>
        <w:rPr>
          <w:rStyle w:val="FootnoteReference"/>
        </w:rPr>
        <w:footnoteRef/>
      </w:r>
      <w:r>
        <w:t xml:space="preserve"> </w:t>
      </w:r>
      <w:r w:rsidR="00A36B2C">
        <w:rPr>
          <w:rFonts w:ascii="Arial" w:hAnsi="Arial" w:cs="Arial"/>
          <w:color w:val="000000"/>
          <w:sz w:val="19"/>
          <w:szCs w:val="19"/>
        </w:rPr>
        <w:t xml:space="preserve">Richard Swinburne, </w:t>
      </w:r>
      <w:r w:rsidR="00A36B2C">
        <w:rPr>
          <w:rFonts w:ascii="Arial" w:hAnsi="Arial" w:cs="Arial"/>
          <w:i/>
          <w:iCs/>
          <w:color w:val="000000"/>
          <w:sz w:val="19"/>
          <w:szCs w:val="19"/>
        </w:rPr>
        <w:t>The Existence of God</w:t>
      </w:r>
      <w:r w:rsidR="00A36B2C">
        <w:rPr>
          <w:rFonts w:ascii="Arial" w:hAnsi="Arial" w:cs="Arial"/>
          <w:color w:val="000000"/>
          <w:sz w:val="19"/>
          <w:szCs w:val="19"/>
        </w:rPr>
        <w:t xml:space="preserve"> (2019) &lt;http://www.oxfordscholarship.com.ezproxy.uwtsd.ac.uk/view/10.1093/acprof:oso/9780199271672.001.0001/acprof-9780199271672-chapter-14&gt; [accessed 9 March 2019].</w:t>
      </w:r>
    </w:p>
  </w:footnote>
  <w:footnote w:id="7">
    <w:p w14:paraId="108B2A61" w14:textId="79DB12FA" w:rsidR="00280607" w:rsidRDefault="00280607">
      <w:pPr>
        <w:pStyle w:val="FootnoteText"/>
      </w:pPr>
      <w:r>
        <w:rPr>
          <w:rStyle w:val="FootnoteReference"/>
        </w:rPr>
        <w:footnoteRef/>
      </w:r>
      <w:r>
        <w:t xml:space="preserve"> </w:t>
      </w:r>
      <w:r w:rsidR="00A36B2C">
        <w:rPr>
          <w:rFonts w:ascii="Arial" w:hAnsi="Arial" w:cs="Arial"/>
          <w:color w:val="000000"/>
          <w:sz w:val="19"/>
          <w:szCs w:val="19"/>
        </w:rPr>
        <w:t xml:space="preserve">Richard Swinburne, </w:t>
      </w:r>
      <w:r w:rsidR="00A36B2C">
        <w:rPr>
          <w:rFonts w:ascii="Arial" w:hAnsi="Arial" w:cs="Arial"/>
          <w:i/>
          <w:iCs/>
          <w:color w:val="000000"/>
          <w:sz w:val="19"/>
          <w:szCs w:val="19"/>
        </w:rPr>
        <w:t>The Existence of God</w:t>
      </w:r>
      <w:r w:rsidR="00A36B2C">
        <w:rPr>
          <w:rFonts w:ascii="Arial" w:hAnsi="Arial" w:cs="Arial"/>
          <w:color w:val="000000"/>
          <w:sz w:val="19"/>
          <w:szCs w:val="19"/>
        </w:rPr>
        <w:t xml:space="preserve"> (2019) &lt;http://www.oxfordscholarship.com.ezproxy.uwtsd.ac.uk/view/10.1093/acprof:oso/9780199271672.001.0001/acprof-9780199271672-chapter-14&gt; [accessed 9 March 2019].</w:t>
      </w:r>
    </w:p>
  </w:footnote>
  <w:footnote w:id="8">
    <w:p w14:paraId="72823580" w14:textId="7E160638" w:rsidR="00941C13" w:rsidRDefault="00941C13">
      <w:pPr>
        <w:pStyle w:val="FootnoteText"/>
      </w:pPr>
      <w:r>
        <w:rPr>
          <w:rStyle w:val="FootnoteReference"/>
        </w:rPr>
        <w:footnoteRef/>
      </w:r>
      <w:r>
        <w:t xml:space="preserve"> </w:t>
      </w:r>
      <w:r w:rsidR="00A36B2C">
        <w:rPr>
          <w:rFonts w:ascii="Arial" w:hAnsi="Arial" w:cs="Arial"/>
          <w:color w:val="000000"/>
          <w:sz w:val="19"/>
          <w:szCs w:val="19"/>
        </w:rPr>
        <w:t xml:space="preserve">Richard Swinburne, </w:t>
      </w:r>
      <w:r w:rsidR="00A36B2C">
        <w:rPr>
          <w:rFonts w:ascii="Arial" w:hAnsi="Arial" w:cs="Arial"/>
          <w:i/>
          <w:iCs/>
          <w:color w:val="000000"/>
          <w:sz w:val="19"/>
          <w:szCs w:val="19"/>
        </w:rPr>
        <w:t>The Existence of God</w:t>
      </w:r>
      <w:r w:rsidR="00A36B2C">
        <w:rPr>
          <w:rFonts w:ascii="Arial" w:hAnsi="Arial" w:cs="Arial"/>
          <w:color w:val="000000"/>
          <w:sz w:val="19"/>
          <w:szCs w:val="19"/>
        </w:rPr>
        <w:t xml:space="preserve"> (2019) &lt;http://www.oxfordscholarship.com.ezproxy.uwtsd.ac.uk/view/10.1093/acprof:oso/9780199271672.001.0001/acprof-9780199271672-chapter-14&gt; [accessed 9 March 2019].</w:t>
      </w:r>
    </w:p>
  </w:footnote>
  <w:footnote w:id="9">
    <w:p w14:paraId="567BAACE" w14:textId="7F9D9E1A" w:rsidR="00A36B2C" w:rsidRDefault="00A36B2C">
      <w:pPr>
        <w:pStyle w:val="FootnoteText"/>
      </w:pPr>
      <w:r>
        <w:rPr>
          <w:rStyle w:val="FootnoteReference"/>
        </w:rPr>
        <w:footnoteRef/>
      </w:r>
      <w:r>
        <w:t xml:space="preserve"> </w:t>
      </w:r>
      <w:r w:rsidR="00C40F39">
        <w:rPr>
          <w:rFonts w:ascii="Arial" w:hAnsi="Arial" w:cs="Arial"/>
          <w:color w:val="000000"/>
          <w:sz w:val="19"/>
          <w:szCs w:val="19"/>
        </w:rPr>
        <w:t xml:space="preserve">William K. Kay, 'William James; a re-examination of The Varieties of Religious Experience', </w:t>
      </w:r>
      <w:r w:rsidR="00C40F39">
        <w:rPr>
          <w:rFonts w:ascii="Arial" w:hAnsi="Arial" w:cs="Arial"/>
          <w:i/>
          <w:iCs/>
          <w:color w:val="000000"/>
          <w:sz w:val="19"/>
          <w:szCs w:val="19"/>
        </w:rPr>
        <w:t>Mental Health, Religion &amp; Culture</w:t>
      </w:r>
      <w:r w:rsidR="00C40F39">
        <w:rPr>
          <w:rFonts w:ascii="Arial" w:hAnsi="Arial" w:cs="Arial"/>
          <w:color w:val="000000"/>
          <w:sz w:val="19"/>
          <w:szCs w:val="19"/>
        </w:rPr>
        <w:t>, 20.4, (2017), 299-310 (p. 302).</w:t>
      </w:r>
    </w:p>
  </w:footnote>
  <w:footnote w:id="10">
    <w:p w14:paraId="3C5C3F8C" w14:textId="501D5BDB" w:rsidR="00391318" w:rsidRDefault="00391318">
      <w:pPr>
        <w:pStyle w:val="FootnoteText"/>
      </w:pPr>
      <w:r>
        <w:rPr>
          <w:rStyle w:val="FootnoteReference"/>
        </w:rPr>
        <w:footnoteRef/>
      </w:r>
      <w:r>
        <w:t xml:space="preserve"> </w:t>
      </w:r>
      <w:bookmarkStart w:id="0" w:name="_Hlk3152412"/>
      <w:r w:rsidR="00A36B2C">
        <w:rPr>
          <w:rFonts w:ascii="Arial" w:hAnsi="Arial" w:cs="Arial"/>
          <w:color w:val="000000"/>
          <w:sz w:val="19"/>
          <w:szCs w:val="19"/>
        </w:rPr>
        <w:t xml:space="preserve">Wayne. P. Pomerleau, </w:t>
      </w:r>
      <w:r w:rsidR="00A36B2C">
        <w:rPr>
          <w:rFonts w:ascii="Arial" w:hAnsi="Arial" w:cs="Arial"/>
          <w:i/>
          <w:iCs/>
          <w:color w:val="000000"/>
          <w:sz w:val="19"/>
          <w:szCs w:val="19"/>
        </w:rPr>
        <w:t>William James (1842-1910)</w:t>
      </w:r>
      <w:r w:rsidR="00A36B2C">
        <w:rPr>
          <w:rFonts w:ascii="Arial" w:hAnsi="Arial" w:cs="Arial"/>
          <w:color w:val="000000"/>
          <w:sz w:val="19"/>
          <w:szCs w:val="19"/>
        </w:rPr>
        <w:t xml:space="preserve"> (2019) &lt;https://www.iep.utm.edu/james-o/&gt; [accessed 9 March 2019].</w:t>
      </w:r>
      <w:bookmarkEnd w:id="0"/>
    </w:p>
  </w:footnote>
  <w:footnote w:id="11">
    <w:p w14:paraId="64E3D396" w14:textId="0E72F894" w:rsidR="00B84854" w:rsidRDefault="00B84854">
      <w:pPr>
        <w:pStyle w:val="FootnoteText"/>
      </w:pPr>
      <w:r>
        <w:rPr>
          <w:rStyle w:val="FootnoteReference"/>
        </w:rPr>
        <w:footnoteRef/>
      </w:r>
      <w:r>
        <w:t xml:space="preserve"> </w:t>
      </w:r>
      <w:r w:rsidR="00A36B2C">
        <w:rPr>
          <w:rFonts w:ascii="Arial" w:hAnsi="Arial" w:cs="Arial"/>
          <w:color w:val="000000"/>
          <w:sz w:val="19"/>
          <w:szCs w:val="19"/>
        </w:rPr>
        <w:t xml:space="preserve">Wayne. P. Pomerleau, </w:t>
      </w:r>
      <w:r w:rsidR="00A36B2C">
        <w:rPr>
          <w:rFonts w:ascii="Arial" w:hAnsi="Arial" w:cs="Arial"/>
          <w:i/>
          <w:iCs/>
          <w:color w:val="000000"/>
          <w:sz w:val="19"/>
          <w:szCs w:val="19"/>
        </w:rPr>
        <w:t>William James (1842-1910)</w:t>
      </w:r>
      <w:r w:rsidR="00A36B2C">
        <w:rPr>
          <w:rFonts w:ascii="Arial" w:hAnsi="Arial" w:cs="Arial"/>
          <w:color w:val="000000"/>
          <w:sz w:val="19"/>
          <w:szCs w:val="19"/>
        </w:rPr>
        <w:t xml:space="preserve"> (2019) &lt;https://www.iep.utm.edu/james-o/&gt; [accessed 9 March 2019].</w:t>
      </w:r>
    </w:p>
  </w:footnote>
  <w:footnote w:id="12">
    <w:p w14:paraId="2E1475AF" w14:textId="4129FC07" w:rsidR="007607FA" w:rsidRDefault="007607FA">
      <w:pPr>
        <w:pStyle w:val="FootnoteText"/>
      </w:pPr>
      <w:r>
        <w:rPr>
          <w:rStyle w:val="FootnoteReference"/>
        </w:rPr>
        <w:footnoteRef/>
      </w:r>
      <w:r>
        <w:t xml:space="preserve"> </w:t>
      </w:r>
      <w:r w:rsidR="00C40F39">
        <w:rPr>
          <w:rFonts w:ascii="Arial" w:hAnsi="Arial" w:cs="Arial"/>
          <w:color w:val="000000"/>
          <w:sz w:val="19"/>
          <w:szCs w:val="19"/>
        </w:rPr>
        <w:t xml:space="preserve">William K. Kay, 'William James; a re-examination of The Varieties of Religious Experience', </w:t>
      </w:r>
      <w:r w:rsidR="00C40F39">
        <w:rPr>
          <w:rFonts w:ascii="Arial" w:hAnsi="Arial" w:cs="Arial"/>
          <w:i/>
          <w:iCs/>
          <w:color w:val="000000"/>
          <w:sz w:val="19"/>
          <w:szCs w:val="19"/>
        </w:rPr>
        <w:t>Mental Health, Religion &amp; Culture</w:t>
      </w:r>
      <w:r w:rsidR="00C40F39">
        <w:rPr>
          <w:rFonts w:ascii="Arial" w:hAnsi="Arial" w:cs="Arial"/>
          <w:color w:val="000000"/>
          <w:sz w:val="19"/>
          <w:szCs w:val="19"/>
        </w:rPr>
        <w:t>, 20.4, (2017), 299-310 (p. 302).</w:t>
      </w:r>
    </w:p>
  </w:footnote>
  <w:footnote w:id="13">
    <w:p w14:paraId="49168E3E" w14:textId="11C59359" w:rsidR="00C40F39" w:rsidRDefault="00C40F39">
      <w:pPr>
        <w:pStyle w:val="FootnoteText"/>
      </w:pPr>
      <w:r>
        <w:rPr>
          <w:rStyle w:val="FootnoteReference"/>
        </w:rPr>
        <w:footnoteRef/>
      </w:r>
      <w:r>
        <w:rPr>
          <w:rFonts w:ascii="Arial" w:hAnsi="Arial" w:cs="Arial"/>
          <w:color w:val="000000"/>
          <w:sz w:val="19"/>
          <w:szCs w:val="19"/>
        </w:rPr>
        <w:t xml:space="preserve">William K. Kay, 'William James; a re-examination of The Varieties of Religious Experience', </w:t>
      </w:r>
      <w:r>
        <w:rPr>
          <w:rFonts w:ascii="Arial" w:hAnsi="Arial" w:cs="Arial"/>
          <w:i/>
          <w:iCs/>
          <w:color w:val="000000"/>
          <w:sz w:val="19"/>
          <w:szCs w:val="19"/>
        </w:rPr>
        <w:t>Mental Health, Religion &amp; Culture</w:t>
      </w:r>
      <w:r>
        <w:rPr>
          <w:rFonts w:ascii="Arial" w:hAnsi="Arial" w:cs="Arial"/>
          <w:color w:val="000000"/>
          <w:sz w:val="19"/>
          <w:szCs w:val="19"/>
        </w:rPr>
        <w:t xml:space="preserve">, 20.4, (2017), 299-310 (p. 303). </w:t>
      </w:r>
      <w:r>
        <w:t xml:space="preserve"> </w:t>
      </w:r>
    </w:p>
  </w:footnote>
  <w:footnote w:id="14">
    <w:p w14:paraId="3B6DD619" w14:textId="61BE8E16" w:rsidR="006235D3" w:rsidRDefault="006235D3">
      <w:pPr>
        <w:pStyle w:val="FootnoteText"/>
      </w:pPr>
      <w:r>
        <w:rPr>
          <w:rStyle w:val="FootnoteReference"/>
        </w:rPr>
        <w:footnoteRef/>
      </w:r>
      <w:r>
        <w:t xml:space="preserve"> </w:t>
      </w:r>
      <w:bookmarkStart w:id="1" w:name="_Hlk3152339"/>
      <w:r>
        <w:rPr>
          <w:rFonts w:ascii="Arial" w:hAnsi="Arial" w:cs="Arial"/>
          <w:color w:val="000000"/>
          <w:sz w:val="19"/>
          <w:szCs w:val="19"/>
        </w:rPr>
        <w:t xml:space="preserve">William K. Kay, 'William James; a re-examination of The Varieties of Religious Experience', </w:t>
      </w:r>
      <w:r>
        <w:rPr>
          <w:rFonts w:ascii="Arial" w:hAnsi="Arial" w:cs="Arial"/>
          <w:i/>
          <w:iCs/>
          <w:color w:val="000000"/>
          <w:sz w:val="19"/>
          <w:szCs w:val="19"/>
        </w:rPr>
        <w:t>Mental Health, Religion &amp; Culture</w:t>
      </w:r>
      <w:r>
        <w:rPr>
          <w:rFonts w:ascii="Arial" w:hAnsi="Arial" w:cs="Arial"/>
          <w:color w:val="000000"/>
          <w:sz w:val="19"/>
          <w:szCs w:val="19"/>
        </w:rPr>
        <w:t xml:space="preserve">, 20.4, (2017), </w:t>
      </w:r>
      <w:bookmarkEnd w:id="1"/>
      <w:r>
        <w:rPr>
          <w:rFonts w:ascii="Arial" w:hAnsi="Arial" w:cs="Arial"/>
          <w:color w:val="000000"/>
          <w:sz w:val="19"/>
          <w:szCs w:val="19"/>
        </w:rPr>
        <w:t>299-310 (p. 303).</w:t>
      </w:r>
    </w:p>
  </w:footnote>
  <w:footnote w:id="15">
    <w:p w14:paraId="3C468AFD" w14:textId="3CAFDD9F" w:rsidR="00893EB8" w:rsidRDefault="00893EB8">
      <w:pPr>
        <w:pStyle w:val="FootnoteText"/>
      </w:pPr>
      <w:r>
        <w:rPr>
          <w:rStyle w:val="FootnoteReference"/>
        </w:rPr>
        <w:footnoteRef/>
      </w:r>
      <w:r>
        <w:t xml:space="preserve"> </w:t>
      </w:r>
      <w:bookmarkStart w:id="2" w:name="_Hlk3145132"/>
      <w:r w:rsidR="00EB13B2">
        <w:rPr>
          <w:rFonts w:ascii="Arial" w:hAnsi="Arial" w:cs="Arial"/>
          <w:color w:val="000000"/>
          <w:sz w:val="19"/>
          <w:szCs w:val="19"/>
        </w:rPr>
        <w:t xml:space="preserve">Mark Webb, </w:t>
      </w:r>
      <w:r w:rsidR="00EB13B2">
        <w:rPr>
          <w:rFonts w:ascii="Arial" w:hAnsi="Arial" w:cs="Arial"/>
          <w:i/>
          <w:iCs/>
          <w:color w:val="000000"/>
          <w:sz w:val="19"/>
          <w:szCs w:val="19"/>
        </w:rPr>
        <w:t>Religious Experience</w:t>
      </w:r>
      <w:r w:rsidR="00EB13B2">
        <w:rPr>
          <w:rFonts w:ascii="Arial" w:hAnsi="Arial" w:cs="Arial"/>
          <w:color w:val="000000"/>
          <w:sz w:val="19"/>
          <w:szCs w:val="19"/>
        </w:rPr>
        <w:t xml:space="preserve"> (2019) &lt;https://plato.stanford.edu/entries/religious-experience/&gt; [accessed 9 March 2019].</w:t>
      </w:r>
      <w:bookmarkEnd w:id="2"/>
    </w:p>
  </w:footnote>
  <w:footnote w:id="16">
    <w:p w14:paraId="6788AA11" w14:textId="3F012166" w:rsidR="005C375E" w:rsidRDefault="005C375E">
      <w:pPr>
        <w:pStyle w:val="FootnoteText"/>
      </w:pPr>
      <w:r>
        <w:rPr>
          <w:rStyle w:val="FootnoteReference"/>
        </w:rPr>
        <w:footnoteRef/>
      </w:r>
      <w:r>
        <w:t xml:space="preserve"> </w:t>
      </w:r>
      <w:bookmarkStart w:id="3" w:name="_Hlk3152532"/>
      <w:r>
        <w:rPr>
          <w:rFonts w:ascii="Arial" w:hAnsi="Arial" w:cs="Arial"/>
          <w:color w:val="000000"/>
          <w:sz w:val="19"/>
          <w:szCs w:val="19"/>
        </w:rPr>
        <w:t>Tadd Ruetenik, 'Fruits of Health; Roots of Despair: William James, Medical Materialism and the Evaluation of Religious Experi</w:t>
      </w:r>
      <w:r w:rsidR="00136634">
        <w:rPr>
          <w:rFonts w:ascii="Arial" w:hAnsi="Arial" w:cs="Arial"/>
          <w:color w:val="000000"/>
          <w:sz w:val="19"/>
          <w:szCs w:val="19"/>
        </w:rPr>
        <w:t>e</w:t>
      </w:r>
      <w:r>
        <w:rPr>
          <w:rFonts w:ascii="Arial" w:hAnsi="Arial" w:cs="Arial"/>
          <w:color w:val="000000"/>
          <w:sz w:val="19"/>
          <w:szCs w:val="19"/>
        </w:rPr>
        <w:t xml:space="preserve">nce', </w:t>
      </w:r>
      <w:r>
        <w:rPr>
          <w:rFonts w:ascii="Arial" w:hAnsi="Arial" w:cs="Arial"/>
          <w:i/>
          <w:iCs/>
          <w:color w:val="000000"/>
          <w:sz w:val="19"/>
          <w:szCs w:val="19"/>
        </w:rPr>
        <w:t>Journal of Religion and Health</w:t>
      </w:r>
      <w:r>
        <w:rPr>
          <w:rFonts w:ascii="Arial" w:hAnsi="Arial" w:cs="Arial"/>
          <w:color w:val="000000"/>
          <w:sz w:val="19"/>
          <w:szCs w:val="19"/>
        </w:rPr>
        <w:t xml:space="preserve">, 45.3, (2006), </w:t>
      </w:r>
      <w:bookmarkEnd w:id="3"/>
      <w:r>
        <w:rPr>
          <w:rFonts w:ascii="Arial" w:hAnsi="Arial" w:cs="Arial"/>
          <w:color w:val="000000"/>
          <w:sz w:val="19"/>
          <w:szCs w:val="19"/>
        </w:rPr>
        <w:t>382-395 (p. 382-385).</w:t>
      </w:r>
    </w:p>
  </w:footnote>
  <w:footnote w:id="17">
    <w:p w14:paraId="0DA12D60" w14:textId="2D20ECDE" w:rsidR="00301130" w:rsidRDefault="00301130">
      <w:pPr>
        <w:pStyle w:val="FootnoteText"/>
      </w:pPr>
      <w:r>
        <w:rPr>
          <w:rStyle w:val="FootnoteReference"/>
        </w:rPr>
        <w:footnoteRef/>
      </w:r>
      <w:r>
        <w:t xml:space="preserve"> </w:t>
      </w:r>
      <w:bookmarkStart w:id="4" w:name="_Hlk3152639"/>
      <w:r>
        <w:rPr>
          <w:rFonts w:ascii="Arial" w:hAnsi="Arial" w:cs="Arial"/>
          <w:color w:val="000000"/>
          <w:sz w:val="19"/>
          <w:szCs w:val="19"/>
        </w:rPr>
        <w:t xml:space="preserve">Stephen Thornton, </w:t>
      </w:r>
      <w:r>
        <w:rPr>
          <w:rFonts w:ascii="Arial" w:hAnsi="Arial" w:cs="Arial"/>
          <w:i/>
          <w:iCs/>
          <w:color w:val="000000"/>
          <w:sz w:val="19"/>
          <w:szCs w:val="19"/>
        </w:rPr>
        <w:t>Sigmund Freud; Religion</w:t>
      </w:r>
      <w:r>
        <w:rPr>
          <w:rFonts w:ascii="Arial" w:hAnsi="Arial" w:cs="Arial"/>
          <w:color w:val="000000"/>
          <w:sz w:val="19"/>
          <w:szCs w:val="19"/>
        </w:rPr>
        <w:t xml:space="preserve"> (2019) &lt;https://www.iep.utm.edu/freud/&gt; [accessed 9 March 2019].</w:t>
      </w:r>
      <w:bookmarkEnd w:id="4"/>
    </w:p>
  </w:footnote>
  <w:footnote w:id="18">
    <w:p w14:paraId="50053E15" w14:textId="3A8B1314" w:rsidR="00F06C61" w:rsidRDefault="00F06C61">
      <w:pPr>
        <w:pStyle w:val="FootnoteText"/>
      </w:pPr>
      <w:r>
        <w:rPr>
          <w:rStyle w:val="FootnoteReference"/>
        </w:rPr>
        <w:footnoteRef/>
      </w:r>
      <w:r>
        <w:t xml:space="preserve"> </w:t>
      </w:r>
      <w:bookmarkStart w:id="5" w:name="_Hlk3152482"/>
      <w:r w:rsidR="000F3E1B">
        <w:rPr>
          <w:rFonts w:ascii="Arial" w:hAnsi="Arial" w:cs="Arial"/>
          <w:color w:val="000000"/>
          <w:sz w:val="19"/>
          <w:szCs w:val="19"/>
        </w:rPr>
        <w:t>Matthew Ratcliffe, 'Scientific naturalism and the neurology of relig</w:t>
      </w:r>
      <w:r w:rsidR="000F3E1B">
        <w:rPr>
          <w:rFonts w:ascii="Arial" w:hAnsi="Arial" w:cs="Arial"/>
          <w:color w:val="000000"/>
          <w:sz w:val="19"/>
          <w:szCs w:val="19"/>
        </w:rPr>
        <w:t>i</w:t>
      </w:r>
      <w:r w:rsidR="000F3E1B">
        <w:rPr>
          <w:rFonts w:ascii="Arial" w:hAnsi="Arial" w:cs="Arial"/>
          <w:color w:val="000000"/>
          <w:sz w:val="19"/>
          <w:szCs w:val="19"/>
        </w:rPr>
        <w:t>ous experi</w:t>
      </w:r>
      <w:r w:rsidR="000F3E1B">
        <w:rPr>
          <w:rFonts w:ascii="Arial" w:hAnsi="Arial" w:cs="Arial"/>
          <w:color w:val="000000"/>
          <w:sz w:val="19"/>
          <w:szCs w:val="19"/>
        </w:rPr>
        <w:t>e</w:t>
      </w:r>
      <w:r w:rsidR="000F3E1B">
        <w:rPr>
          <w:rFonts w:ascii="Arial" w:hAnsi="Arial" w:cs="Arial"/>
          <w:color w:val="000000"/>
          <w:sz w:val="19"/>
          <w:szCs w:val="19"/>
        </w:rPr>
        <w:t xml:space="preserve">nce', </w:t>
      </w:r>
      <w:r w:rsidR="000F3E1B">
        <w:rPr>
          <w:rFonts w:ascii="Arial" w:hAnsi="Arial" w:cs="Arial"/>
          <w:i/>
          <w:iCs/>
          <w:color w:val="000000"/>
          <w:sz w:val="19"/>
          <w:szCs w:val="19"/>
        </w:rPr>
        <w:t>Religious Studies</w:t>
      </w:r>
      <w:r w:rsidR="000F3E1B">
        <w:rPr>
          <w:rFonts w:ascii="Arial" w:hAnsi="Arial" w:cs="Arial"/>
          <w:color w:val="000000"/>
          <w:sz w:val="19"/>
          <w:szCs w:val="19"/>
        </w:rPr>
        <w:t xml:space="preserve">, 39, (2003), </w:t>
      </w:r>
      <w:bookmarkEnd w:id="5"/>
      <w:r w:rsidR="000F3E1B">
        <w:rPr>
          <w:rFonts w:ascii="Arial" w:hAnsi="Arial" w:cs="Arial"/>
          <w:color w:val="000000"/>
          <w:sz w:val="19"/>
          <w:szCs w:val="19"/>
        </w:rPr>
        <w:t>323-345 (p. 323-326).</w:t>
      </w:r>
    </w:p>
  </w:footnote>
  <w:footnote w:id="19">
    <w:p w14:paraId="4695E49E" w14:textId="77777777" w:rsidR="006F361C" w:rsidRPr="006F361C" w:rsidRDefault="006F361C" w:rsidP="006F361C">
      <w:pPr>
        <w:rPr>
          <w:rFonts w:ascii="Arial" w:eastAsia="Times New Roman" w:hAnsi="Arial" w:cs="Arial"/>
          <w:color w:val="000000"/>
          <w:sz w:val="19"/>
          <w:szCs w:val="19"/>
          <w:lang w:eastAsia="en-GB"/>
        </w:rPr>
      </w:pPr>
      <w:r>
        <w:rPr>
          <w:rStyle w:val="FootnoteReference"/>
        </w:rPr>
        <w:footnoteRef/>
      </w:r>
      <w:r>
        <w:t xml:space="preserve"> </w:t>
      </w:r>
      <w:r w:rsidRPr="006F361C">
        <w:rPr>
          <w:rFonts w:ascii="Arial" w:eastAsia="Times New Roman" w:hAnsi="Arial" w:cs="Arial"/>
          <w:color w:val="000000"/>
          <w:sz w:val="19"/>
          <w:szCs w:val="19"/>
          <w:lang w:eastAsia="en-GB"/>
        </w:rPr>
        <w:t xml:space="preserve">John Hick, </w:t>
      </w:r>
      <w:r w:rsidRPr="006F361C">
        <w:rPr>
          <w:rFonts w:ascii="Arial" w:eastAsia="Times New Roman" w:hAnsi="Arial" w:cs="Arial"/>
          <w:i/>
          <w:iCs/>
          <w:color w:val="000000"/>
          <w:sz w:val="19"/>
          <w:szCs w:val="19"/>
          <w:lang w:eastAsia="en-GB"/>
        </w:rPr>
        <w:t>The New Frontier of Religion and Science; Religious Experience, Neuroscience and the Transcendent</w:t>
      </w:r>
      <w:r w:rsidRPr="006F361C">
        <w:rPr>
          <w:rFonts w:ascii="Arial" w:eastAsia="Times New Roman" w:hAnsi="Arial" w:cs="Arial"/>
          <w:color w:val="000000"/>
          <w:sz w:val="19"/>
          <w:szCs w:val="19"/>
          <w:lang w:eastAsia="en-GB"/>
        </w:rPr>
        <w:t xml:space="preserve"> (Basingstoke England; New York: Palgrave Macmillan, 2006), p. 70-71.</w:t>
      </w:r>
    </w:p>
    <w:p w14:paraId="646BF8F5" w14:textId="7290E86B" w:rsidR="006F361C" w:rsidRDefault="006F361C">
      <w:pPr>
        <w:pStyle w:val="FootnoteText"/>
      </w:pPr>
    </w:p>
  </w:footnote>
  <w:footnote w:id="20">
    <w:p w14:paraId="757EFB06" w14:textId="00245A09" w:rsidR="0057740D" w:rsidRDefault="0057740D">
      <w:pPr>
        <w:pStyle w:val="FootnoteText"/>
      </w:pPr>
      <w:r>
        <w:rPr>
          <w:rStyle w:val="FootnoteReference"/>
        </w:rPr>
        <w:footnoteRef/>
      </w:r>
      <w:r>
        <w:t xml:space="preserve"> </w:t>
      </w:r>
      <w:bookmarkStart w:id="6" w:name="_Hlk3152283"/>
      <w:r w:rsidRPr="006F361C">
        <w:rPr>
          <w:rFonts w:ascii="Arial" w:eastAsia="Times New Roman" w:hAnsi="Arial" w:cs="Arial"/>
          <w:color w:val="000000"/>
          <w:sz w:val="19"/>
          <w:szCs w:val="19"/>
          <w:lang w:eastAsia="en-GB"/>
        </w:rPr>
        <w:t xml:space="preserve">John Hick, </w:t>
      </w:r>
      <w:r w:rsidRPr="006F361C">
        <w:rPr>
          <w:rFonts w:ascii="Arial" w:eastAsia="Times New Roman" w:hAnsi="Arial" w:cs="Arial"/>
          <w:i/>
          <w:iCs/>
          <w:color w:val="000000"/>
          <w:sz w:val="19"/>
          <w:szCs w:val="19"/>
          <w:lang w:eastAsia="en-GB"/>
        </w:rPr>
        <w:t>The New Frontier of Religion and Science; Religious Experience, Neuroscience and the Transcendent</w:t>
      </w:r>
      <w:r w:rsidRPr="006F361C">
        <w:rPr>
          <w:rFonts w:ascii="Arial" w:eastAsia="Times New Roman" w:hAnsi="Arial" w:cs="Arial"/>
          <w:color w:val="000000"/>
          <w:sz w:val="19"/>
          <w:szCs w:val="19"/>
          <w:lang w:eastAsia="en-GB"/>
        </w:rPr>
        <w:t xml:space="preserve"> (Basingstoke England; New York: Palgrave Macmillan, 2006)</w:t>
      </w:r>
      <w:r w:rsidR="00121677">
        <w:rPr>
          <w:rFonts w:ascii="Arial" w:eastAsia="Times New Roman" w:hAnsi="Arial" w:cs="Arial"/>
          <w:color w:val="000000"/>
          <w:sz w:val="19"/>
          <w:szCs w:val="19"/>
          <w:lang w:eastAsia="en-GB"/>
        </w:rPr>
        <w:t>.</w:t>
      </w:r>
      <w:bookmarkEnd w:id="6"/>
    </w:p>
  </w:footnote>
  <w:footnote w:id="21">
    <w:p w14:paraId="0D787A64" w14:textId="3D85F804" w:rsidR="00121677" w:rsidRDefault="00121677">
      <w:pPr>
        <w:pStyle w:val="FootnoteText"/>
      </w:pPr>
      <w:r>
        <w:rPr>
          <w:rStyle w:val="FootnoteReference"/>
        </w:rPr>
        <w:footnoteRef/>
      </w:r>
      <w:r>
        <w:t xml:space="preserve"> </w:t>
      </w:r>
      <w:r>
        <w:rPr>
          <w:rFonts w:ascii="Arial" w:hAnsi="Arial" w:cs="Arial"/>
          <w:color w:val="000000"/>
          <w:sz w:val="19"/>
          <w:szCs w:val="19"/>
        </w:rPr>
        <w:t xml:space="preserve">Mark Webb, </w:t>
      </w:r>
      <w:r>
        <w:rPr>
          <w:rFonts w:ascii="Arial" w:hAnsi="Arial" w:cs="Arial"/>
          <w:i/>
          <w:iCs/>
          <w:color w:val="000000"/>
          <w:sz w:val="19"/>
          <w:szCs w:val="19"/>
        </w:rPr>
        <w:t>Religious Experience</w:t>
      </w:r>
      <w:r>
        <w:rPr>
          <w:rFonts w:ascii="Arial" w:hAnsi="Arial" w:cs="Arial"/>
          <w:color w:val="000000"/>
          <w:sz w:val="19"/>
          <w:szCs w:val="19"/>
        </w:rPr>
        <w:t xml:space="preserve"> (2019) &lt;https://plato.stanford.edu/entries/religious-experience/&gt; [accessed 9 March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90A"/>
    <w:rsid w:val="00013055"/>
    <w:rsid w:val="00032FE1"/>
    <w:rsid w:val="000761DE"/>
    <w:rsid w:val="00094E05"/>
    <w:rsid w:val="000B3BC7"/>
    <w:rsid w:val="000C47B0"/>
    <w:rsid w:val="000F3E1B"/>
    <w:rsid w:val="00121677"/>
    <w:rsid w:val="00126609"/>
    <w:rsid w:val="00127DAF"/>
    <w:rsid w:val="00136634"/>
    <w:rsid w:val="0015141D"/>
    <w:rsid w:val="0018415F"/>
    <w:rsid w:val="00233878"/>
    <w:rsid w:val="00261C41"/>
    <w:rsid w:val="00264BBC"/>
    <w:rsid w:val="00280607"/>
    <w:rsid w:val="00286ECE"/>
    <w:rsid w:val="002A2E33"/>
    <w:rsid w:val="00301130"/>
    <w:rsid w:val="00366C01"/>
    <w:rsid w:val="00376DD1"/>
    <w:rsid w:val="00391318"/>
    <w:rsid w:val="003A0F60"/>
    <w:rsid w:val="003A6AFE"/>
    <w:rsid w:val="004513FD"/>
    <w:rsid w:val="004868E6"/>
    <w:rsid w:val="004905DE"/>
    <w:rsid w:val="004B141B"/>
    <w:rsid w:val="004B1953"/>
    <w:rsid w:val="004C0F2D"/>
    <w:rsid w:val="004E153A"/>
    <w:rsid w:val="004F7E78"/>
    <w:rsid w:val="0050538D"/>
    <w:rsid w:val="00511A0E"/>
    <w:rsid w:val="00514644"/>
    <w:rsid w:val="0055097A"/>
    <w:rsid w:val="0057740D"/>
    <w:rsid w:val="005A2713"/>
    <w:rsid w:val="005A3125"/>
    <w:rsid w:val="005C375E"/>
    <w:rsid w:val="006235D3"/>
    <w:rsid w:val="00695735"/>
    <w:rsid w:val="006E7E3C"/>
    <w:rsid w:val="006F361C"/>
    <w:rsid w:val="007160CF"/>
    <w:rsid w:val="007607FA"/>
    <w:rsid w:val="007818AC"/>
    <w:rsid w:val="00785247"/>
    <w:rsid w:val="007F3567"/>
    <w:rsid w:val="00820937"/>
    <w:rsid w:val="0083229D"/>
    <w:rsid w:val="0086254F"/>
    <w:rsid w:val="00893EB8"/>
    <w:rsid w:val="008C4AA0"/>
    <w:rsid w:val="008C5C35"/>
    <w:rsid w:val="00941C13"/>
    <w:rsid w:val="009941EB"/>
    <w:rsid w:val="009D290A"/>
    <w:rsid w:val="00A05395"/>
    <w:rsid w:val="00A33D6D"/>
    <w:rsid w:val="00A36B2C"/>
    <w:rsid w:val="00AC0855"/>
    <w:rsid w:val="00AC5511"/>
    <w:rsid w:val="00AD2AFF"/>
    <w:rsid w:val="00B0698E"/>
    <w:rsid w:val="00B70912"/>
    <w:rsid w:val="00B84854"/>
    <w:rsid w:val="00C40F39"/>
    <w:rsid w:val="00C87385"/>
    <w:rsid w:val="00C94C2E"/>
    <w:rsid w:val="00CA3911"/>
    <w:rsid w:val="00CB48A8"/>
    <w:rsid w:val="00DB79F1"/>
    <w:rsid w:val="00E13E16"/>
    <w:rsid w:val="00E23A3F"/>
    <w:rsid w:val="00E50408"/>
    <w:rsid w:val="00E51868"/>
    <w:rsid w:val="00E620EB"/>
    <w:rsid w:val="00E711AC"/>
    <w:rsid w:val="00EA4757"/>
    <w:rsid w:val="00EB13B2"/>
    <w:rsid w:val="00EF533A"/>
    <w:rsid w:val="00F04BD0"/>
    <w:rsid w:val="00F06C61"/>
    <w:rsid w:val="00F66CB6"/>
    <w:rsid w:val="00FB4E18"/>
    <w:rsid w:val="00FC3F1E"/>
    <w:rsid w:val="00FD7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DC63A2"/>
  <w15:chartTrackingRefBased/>
  <w15:docId w15:val="{149597F8-A3AC-4C9A-963C-402026E0D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3F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3F1E"/>
    <w:rPr>
      <w:sz w:val="20"/>
      <w:szCs w:val="20"/>
    </w:rPr>
  </w:style>
  <w:style w:type="character" w:styleId="FootnoteReference">
    <w:name w:val="footnote reference"/>
    <w:basedOn w:val="DefaultParagraphFont"/>
    <w:uiPriority w:val="99"/>
    <w:semiHidden/>
    <w:unhideWhenUsed/>
    <w:rsid w:val="00FC3F1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6750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91C26-8AF2-40B6-B293-953593190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2374</Words>
  <Characters>12907</Characters>
  <Application>Microsoft Office Word</Application>
  <DocSecurity>0</DocSecurity>
  <Lines>195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cp:revision>
  <dcterms:created xsi:type="dcterms:W3CDTF">2019-03-10T23:24:00Z</dcterms:created>
  <dcterms:modified xsi:type="dcterms:W3CDTF">2019-03-10T23:24:00Z</dcterms:modified>
</cp:coreProperties>
</file>