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F4FBF8A" wp14:paraId="0D8E70F0" wp14:textId="3FCCCF3B">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6F4FBF8A" w:rsidR="1D5E71EA">
        <w:rPr>
          <w:rFonts w:ascii="Arial Nova" w:hAnsi="Arial Nova" w:eastAsia="Arial Nova" w:cs="Arial Nova"/>
          <w:b w:val="1"/>
          <w:bCs w:val="1"/>
          <w:i w:val="0"/>
          <w:iCs w:val="0"/>
          <w:caps w:val="0"/>
          <w:smallCaps w:val="0"/>
          <w:noProof w:val="0"/>
          <w:color w:val="000000" w:themeColor="text1" w:themeTint="FF" w:themeShade="FF"/>
          <w:sz w:val="36"/>
          <w:szCs w:val="36"/>
          <w:lang w:val="en-US"/>
        </w:rPr>
        <w:t xml:space="preserve">Student Name - Jeromme Lagmay </w:t>
      </w:r>
    </w:p>
    <w:p xmlns:wp14="http://schemas.microsoft.com/office/word/2010/wordml" w:rsidP="6F4FBF8A" wp14:paraId="48E67571" wp14:textId="562BAFA7">
      <w:pPr>
        <w:spacing w:before="240" w:beforeAutospacing="off" w:after="240" w:afterAutospacing="off"/>
        <w:rPr>
          <w:rFonts w:ascii="Arial Nova" w:hAnsi="Arial Nova" w:eastAsia="Arial Nova" w:cs="Arial Nova"/>
          <w:b w:val="0"/>
          <w:bCs w:val="0"/>
          <w:i w:val="0"/>
          <w:iCs w:val="0"/>
          <w:caps w:val="0"/>
          <w:smallCaps w:val="0"/>
          <w:noProof w:val="0"/>
          <w:color w:val="000000" w:themeColor="text1" w:themeTint="FF" w:themeShade="FF"/>
          <w:sz w:val="36"/>
          <w:szCs w:val="36"/>
          <w:lang w:val="en-US"/>
        </w:rPr>
      </w:pPr>
      <w:r w:rsidRPr="6F4FBF8A" w:rsidR="1D5E71EA">
        <w:rPr>
          <w:rFonts w:ascii="Arial Nova" w:hAnsi="Arial Nova" w:eastAsia="Arial Nova" w:cs="Arial Nova"/>
          <w:b w:val="1"/>
          <w:bCs w:val="1"/>
          <w:i w:val="0"/>
          <w:iCs w:val="0"/>
          <w:caps w:val="0"/>
          <w:smallCaps w:val="0"/>
          <w:noProof w:val="0"/>
          <w:color w:val="000000" w:themeColor="text1" w:themeTint="FF" w:themeShade="FF"/>
          <w:sz w:val="36"/>
          <w:szCs w:val="36"/>
          <w:lang w:val="en-US"/>
        </w:rPr>
        <w:t>Student Number - 2229632</w:t>
      </w:r>
    </w:p>
    <w:p xmlns:wp14="http://schemas.microsoft.com/office/word/2010/wordml" w:rsidP="6F4FBF8A" wp14:paraId="548225D3" wp14:textId="6EEFA86B">
      <w:pPr>
        <w:pStyle w:val="Normal"/>
        <w:spacing w:before="240" w:beforeAutospacing="off" w:after="240" w:afterAutospacing="off"/>
        <w:rPr>
          <w:rFonts w:ascii="Arial Nova" w:hAnsi="Arial Nova" w:eastAsia="Arial Nova" w:cs="Arial Nova"/>
          <w:noProof w:val="0"/>
          <w:sz w:val="22"/>
          <w:szCs w:val="22"/>
          <w:lang w:val="en-US"/>
        </w:rPr>
      </w:pPr>
      <w:r w:rsidRPr="6F4FBF8A" w:rsidR="53B15F37">
        <w:rPr>
          <w:rFonts w:ascii="Arial" w:hAnsi="Arial" w:eastAsia="Arial" w:cs="Arial"/>
          <w:b w:val="1"/>
          <w:bCs w:val="1"/>
          <w:noProof w:val="0"/>
          <w:sz w:val="36"/>
          <w:szCs w:val="36"/>
          <w:lang w:val="en-US"/>
        </w:rPr>
        <w:t>LCMB7024</w:t>
      </w:r>
      <w:r w:rsidRPr="6F4FBF8A" w:rsidR="1D5E71EA">
        <w:rPr>
          <w:rFonts w:ascii="Arial Nova" w:hAnsi="Arial Nova" w:eastAsia="Arial Nova" w:cs="Arial Nova"/>
          <w:b w:val="1"/>
          <w:bCs w:val="1"/>
          <w:i w:val="0"/>
          <w:iCs w:val="0"/>
          <w:caps w:val="0"/>
          <w:smallCaps w:val="0"/>
          <w:noProof w:val="0"/>
          <w:color w:val="000000" w:themeColor="text1" w:themeTint="FF" w:themeShade="FF"/>
          <w:sz w:val="36"/>
          <w:szCs w:val="36"/>
          <w:lang w:val="en-US"/>
        </w:rPr>
        <w:t xml:space="preserve"> -</w:t>
      </w:r>
      <w:r w:rsidRPr="6F4FBF8A" w:rsidR="1D5E71EA">
        <w:rPr>
          <w:rFonts w:ascii="Arial Nova" w:hAnsi="Arial Nova" w:eastAsia="Arial Nova" w:cs="Arial Nova"/>
          <w:b w:val="1"/>
          <w:bCs w:val="1"/>
          <w:i w:val="0"/>
          <w:iCs w:val="0"/>
          <w:caps w:val="0"/>
          <w:smallCaps w:val="0"/>
          <w:noProof w:val="0"/>
          <w:color w:val="000000" w:themeColor="text1" w:themeTint="FF" w:themeShade="FF"/>
          <w:sz w:val="36"/>
          <w:szCs w:val="36"/>
          <w:lang w:val="en-US"/>
        </w:rPr>
        <w:t xml:space="preserve"> </w:t>
      </w:r>
      <w:r w:rsidRPr="6F4FBF8A" w:rsidR="366BEFA5">
        <w:rPr>
          <w:rFonts w:ascii="Arial" w:hAnsi="Arial" w:eastAsia="Arial" w:cs="Arial"/>
          <w:b w:val="1"/>
          <w:bCs w:val="1"/>
          <w:noProof w:val="0"/>
          <w:sz w:val="36"/>
          <w:szCs w:val="36"/>
          <w:lang w:val="en-US"/>
        </w:rPr>
        <w:t>Marketing Environment Analysis</w:t>
      </w:r>
    </w:p>
    <w:p xmlns:wp14="http://schemas.microsoft.com/office/word/2010/wordml" w:rsidP="6F4FBF8A" wp14:paraId="1CE5A3E9" wp14:textId="2DA5F2CD">
      <w:pPr>
        <w:pStyle w:val="Normal"/>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36"/>
          <w:szCs w:val="36"/>
          <w:lang w:val="en-US"/>
        </w:rPr>
      </w:pPr>
      <w:r w:rsidRPr="6F4FBF8A" w:rsidR="1D5E71EA">
        <w:rPr>
          <w:rFonts w:ascii="Arial Nova" w:hAnsi="Arial Nova" w:eastAsia="Arial Nova" w:cs="Arial Nova"/>
          <w:b w:val="1"/>
          <w:bCs w:val="1"/>
          <w:i w:val="0"/>
          <w:iCs w:val="0"/>
          <w:caps w:val="0"/>
          <w:smallCaps w:val="0"/>
          <w:noProof w:val="0"/>
          <w:color w:val="000000" w:themeColor="text1" w:themeTint="FF" w:themeShade="FF"/>
          <w:sz w:val="36"/>
          <w:szCs w:val="36"/>
          <w:lang w:val="en-US"/>
        </w:rPr>
        <w:t xml:space="preserve">Lecturers Name – </w:t>
      </w:r>
      <w:r w:rsidRPr="6F4FBF8A" w:rsidR="6F7901D6">
        <w:rPr>
          <w:rFonts w:ascii="Arial" w:hAnsi="Arial" w:eastAsia="Arial" w:cs="Arial"/>
          <w:b w:val="1"/>
          <w:bCs w:val="1"/>
          <w:noProof w:val="0"/>
          <w:sz w:val="36"/>
          <w:szCs w:val="36"/>
          <w:lang w:val="en-US"/>
        </w:rPr>
        <w:t>Taonga Kaonga Sobere-Snithers</w:t>
      </w:r>
    </w:p>
    <w:p xmlns:wp14="http://schemas.microsoft.com/office/word/2010/wordml" w:rsidP="6F4FBF8A" wp14:paraId="677B2CA0" wp14:textId="1BE6C54A">
      <w:pPr>
        <w:pStyle w:val="Normal"/>
        <w:spacing w:before="119" w:beforeAutospacing="off" w:after="0" w:afterAutospacing="off"/>
        <w:ind w:left="0" w:right="93"/>
        <w:rPr>
          <w:rFonts w:ascii="Arial Nova" w:hAnsi="Arial Nova" w:eastAsia="Arial Nova" w:cs="Arial Nova"/>
          <w:noProof w:val="0"/>
          <w:sz w:val="36"/>
          <w:szCs w:val="36"/>
          <w:lang w:val="en-US"/>
        </w:rPr>
      </w:pPr>
      <w:r w:rsidRPr="6F4FBF8A" w:rsidR="1D5E71EA">
        <w:rPr>
          <w:rFonts w:ascii="Arial Nova" w:hAnsi="Arial Nova" w:eastAsia="Arial Nova" w:cs="Arial Nova"/>
          <w:b w:val="1"/>
          <w:bCs w:val="1"/>
          <w:i w:val="0"/>
          <w:iCs w:val="0"/>
          <w:caps w:val="0"/>
          <w:smallCaps w:val="0"/>
          <w:noProof w:val="0"/>
          <w:color w:val="000000" w:themeColor="text1" w:themeTint="FF" w:themeShade="FF"/>
          <w:sz w:val="36"/>
          <w:szCs w:val="36"/>
          <w:lang w:val="en-US"/>
        </w:rPr>
        <w:t>Component</w:t>
      </w:r>
      <w:r w:rsidRPr="6F4FBF8A" w:rsidR="1D5E71EA">
        <w:rPr>
          <w:rFonts w:ascii="Arial Nova" w:hAnsi="Arial Nova" w:eastAsia="Arial Nova" w:cs="Arial Nova"/>
          <w:b w:val="1"/>
          <w:bCs w:val="1"/>
          <w:i w:val="0"/>
          <w:iCs w:val="0"/>
          <w:caps w:val="0"/>
          <w:smallCaps w:val="0"/>
          <w:noProof w:val="0"/>
          <w:color w:val="000000" w:themeColor="text1" w:themeTint="FF" w:themeShade="FF"/>
          <w:sz w:val="36"/>
          <w:szCs w:val="36"/>
          <w:lang w:val="en-US"/>
        </w:rPr>
        <w:t xml:space="preserve"> 1 - </w:t>
      </w:r>
      <w:r w:rsidRPr="6F4FBF8A" w:rsidR="322878BD">
        <w:rPr>
          <w:rFonts w:ascii="Arial" w:hAnsi="Arial" w:eastAsia="Arial" w:cs="Arial"/>
          <w:b w:val="1"/>
          <w:bCs w:val="1"/>
          <w:noProof w:val="0"/>
          <w:sz w:val="36"/>
          <w:szCs w:val="36"/>
          <w:lang w:val="en-US"/>
        </w:rPr>
        <w:t>Marketing Environment Analysis</w:t>
      </w:r>
    </w:p>
    <w:p xmlns:wp14="http://schemas.microsoft.com/office/word/2010/wordml" w:rsidP="6F4FBF8A" wp14:paraId="4D977CD1" wp14:textId="7AF18AE3">
      <w:pPr>
        <w:pStyle w:val="Normal"/>
        <w:rPr>
          <w:rFonts w:ascii="Arial Nova" w:hAnsi="Arial Nova" w:eastAsia="Arial Nova" w:cs="Arial Nova"/>
          <w:noProof w:val="0"/>
          <w:sz w:val="24"/>
          <w:szCs w:val="24"/>
          <w:lang w:val="en-US"/>
        </w:rPr>
      </w:pPr>
    </w:p>
    <w:p xmlns:wp14="http://schemas.microsoft.com/office/word/2010/wordml" w:rsidP="6F4FBF8A" wp14:paraId="4CE77F31" wp14:textId="72A40731">
      <w:pPr>
        <w:pStyle w:val="Heading1"/>
        <w:rPr>
          <w:rFonts w:ascii="Arial Nova" w:hAnsi="Arial Nova" w:eastAsia="Arial Nova" w:cs="Arial Nova"/>
          <w:b w:val="1"/>
          <w:bCs w:val="1"/>
          <w:noProof w:val="0"/>
          <w:color w:val="auto"/>
          <w:sz w:val="32"/>
          <w:szCs w:val="32"/>
          <w:lang w:val="en-US"/>
        </w:rPr>
      </w:pPr>
    </w:p>
    <w:p xmlns:wp14="http://schemas.microsoft.com/office/word/2010/wordml" w:rsidP="6F4FBF8A" wp14:paraId="61FBF0AD" wp14:textId="59389DF7">
      <w:pPr>
        <w:pStyle w:val="Heading1"/>
        <w:rPr>
          <w:rFonts w:ascii="Arial Nova" w:hAnsi="Arial Nova" w:eastAsia="Arial Nova" w:cs="Arial Nova"/>
          <w:b w:val="1"/>
          <w:bCs w:val="1"/>
          <w:noProof w:val="0"/>
          <w:color w:val="auto"/>
          <w:sz w:val="32"/>
          <w:szCs w:val="32"/>
          <w:lang w:val="en-US"/>
        </w:rPr>
      </w:pPr>
    </w:p>
    <w:p xmlns:wp14="http://schemas.microsoft.com/office/word/2010/wordml" w:rsidP="6F4FBF8A" wp14:paraId="415F06A1" wp14:textId="359FEE9F">
      <w:pPr>
        <w:pStyle w:val="Heading1"/>
        <w:rPr>
          <w:rFonts w:ascii="Arial Nova" w:hAnsi="Arial Nova" w:eastAsia="Arial Nova" w:cs="Arial Nova"/>
          <w:b w:val="1"/>
          <w:bCs w:val="1"/>
          <w:noProof w:val="0"/>
          <w:color w:val="auto"/>
          <w:sz w:val="32"/>
          <w:szCs w:val="32"/>
          <w:lang w:val="en-US"/>
        </w:rPr>
      </w:pPr>
    </w:p>
    <w:p xmlns:wp14="http://schemas.microsoft.com/office/word/2010/wordml" w:rsidP="6F4FBF8A" wp14:paraId="06697F1A" wp14:textId="0FC0809D">
      <w:pPr>
        <w:pStyle w:val="Heading1"/>
        <w:rPr>
          <w:rFonts w:ascii="Arial Nova" w:hAnsi="Arial Nova" w:eastAsia="Arial Nova" w:cs="Arial Nova"/>
          <w:b w:val="1"/>
          <w:bCs w:val="1"/>
          <w:noProof w:val="0"/>
          <w:color w:val="auto"/>
          <w:sz w:val="32"/>
          <w:szCs w:val="32"/>
          <w:lang w:val="en-US"/>
        </w:rPr>
      </w:pPr>
    </w:p>
    <w:p xmlns:wp14="http://schemas.microsoft.com/office/word/2010/wordml" w:rsidP="6F4FBF8A" wp14:paraId="74E195FB" wp14:textId="743B3B10">
      <w:pPr>
        <w:pStyle w:val="Normal"/>
        <w:rPr>
          <w:rFonts w:ascii="Arial Nova" w:hAnsi="Arial Nova" w:eastAsia="Arial Nova" w:cs="Arial Nova"/>
          <w:noProof w:val="0"/>
          <w:sz w:val="24"/>
          <w:szCs w:val="24"/>
          <w:lang w:val="en-US"/>
        </w:rPr>
      </w:pPr>
    </w:p>
    <w:p xmlns:wp14="http://schemas.microsoft.com/office/word/2010/wordml" w:rsidP="6F4FBF8A" wp14:paraId="5376FB1A" wp14:textId="496EC6E1">
      <w:pPr>
        <w:pStyle w:val="Normal"/>
        <w:rPr>
          <w:rFonts w:ascii="Arial Nova" w:hAnsi="Arial Nova" w:eastAsia="Arial Nova" w:cs="Arial Nova"/>
          <w:noProof w:val="0"/>
          <w:sz w:val="24"/>
          <w:szCs w:val="24"/>
          <w:lang w:val="en-US"/>
        </w:rPr>
      </w:pPr>
    </w:p>
    <w:p xmlns:wp14="http://schemas.microsoft.com/office/word/2010/wordml" w:rsidP="6F4FBF8A" wp14:paraId="547E8E5A" wp14:textId="31A45DD7">
      <w:pPr>
        <w:pStyle w:val="Normal"/>
        <w:rPr>
          <w:rFonts w:ascii="Arial Nova" w:hAnsi="Arial Nova" w:eastAsia="Arial Nova" w:cs="Arial Nova"/>
          <w:noProof w:val="0"/>
          <w:sz w:val="24"/>
          <w:szCs w:val="24"/>
          <w:lang w:val="en-US"/>
        </w:rPr>
      </w:pPr>
    </w:p>
    <w:p xmlns:wp14="http://schemas.microsoft.com/office/word/2010/wordml" w:rsidP="6F4FBF8A" wp14:paraId="6629781E" wp14:textId="42CB34BA">
      <w:pPr>
        <w:pStyle w:val="Normal"/>
        <w:rPr>
          <w:rFonts w:ascii="Arial Nova" w:hAnsi="Arial Nova" w:eastAsia="Arial Nova" w:cs="Arial Nova"/>
          <w:noProof w:val="0"/>
          <w:sz w:val="24"/>
          <w:szCs w:val="24"/>
          <w:lang w:val="en-US"/>
        </w:rPr>
      </w:pPr>
    </w:p>
    <w:p xmlns:wp14="http://schemas.microsoft.com/office/word/2010/wordml" w:rsidP="6F4FBF8A" wp14:paraId="35AFEA6A" wp14:textId="5F07DFAF">
      <w:pPr>
        <w:pStyle w:val="Normal"/>
        <w:rPr>
          <w:rFonts w:ascii="Arial Nova" w:hAnsi="Arial Nova" w:eastAsia="Arial Nova" w:cs="Arial Nova"/>
          <w:noProof w:val="0"/>
          <w:sz w:val="24"/>
          <w:szCs w:val="24"/>
          <w:lang w:val="en-US"/>
        </w:rPr>
      </w:pPr>
    </w:p>
    <w:p xmlns:wp14="http://schemas.microsoft.com/office/word/2010/wordml" w:rsidP="6F4FBF8A" wp14:paraId="120F99B3" wp14:textId="1A18BDB5">
      <w:pPr>
        <w:pStyle w:val="Normal"/>
        <w:rPr>
          <w:rFonts w:ascii="Arial Nova" w:hAnsi="Arial Nova" w:eastAsia="Arial Nova" w:cs="Arial Nova"/>
          <w:noProof w:val="0"/>
          <w:sz w:val="24"/>
          <w:szCs w:val="24"/>
          <w:lang w:val="en-US"/>
        </w:rPr>
      </w:pPr>
    </w:p>
    <w:p xmlns:wp14="http://schemas.microsoft.com/office/word/2010/wordml" w:rsidP="6F4FBF8A" wp14:paraId="65619FCE" wp14:textId="1709A8A3">
      <w:pPr>
        <w:pStyle w:val="Normal"/>
        <w:rPr>
          <w:rFonts w:ascii="Arial Nova" w:hAnsi="Arial Nova" w:eastAsia="Arial Nova" w:cs="Arial Nova"/>
          <w:noProof w:val="0"/>
          <w:sz w:val="24"/>
          <w:szCs w:val="24"/>
          <w:lang w:val="en-US"/>
        </w:rPr>
      </w:pPr>
    </w:p>
    <w:p xmlns:wp14="http://schemas.microsoft.com/office/word/2010/wordml" w:rsidP="6F4FBF8A" wp14:paraId="5E77F53D" wp14:textId="7CDBADFF">
      <w:pPr>
        <w:pStyle w:val="Normal"/>
        <w:rPr>
          <w:rFonts w:ascii="Arial Nova" w:hAnsi="Arial Nova" w:eastAsia="Arial Nova" w:cs="Arial Nova"/>
          <w:noProof w:val="0"/>
          <w:sz w:val="24"/>
          <w:szCs w:val="24"/>
          <w:lang w:val="en-US"/>
        </w:rPr>
      </w:pPr>
    </w:p>
    <w:p xmlns:wp14="http://schemas.microsoft.com/office/word/2010/wordml" w:rsidP="6F4FBF8A" wp14:paraId="2F41CCDE" wp14:textId="61B8B756">
      <w:pPr>
        <w:pStyle w:val="Normal"/>
        <w:rPr>
          <w:rFonts w:ascii="Arial Nova" w:hAnsi="Arial Nova" w:eastAsia="Arial Nova" w:cs="Arial Nova"/>
          <w:noProof w:val="0"/>
          <w:sz w:val="24"/>
          <w:szCs w:val="24"/>
          <w:lang w:val="en-US"/>
        </w:rPr>
      </w:pPr>
    </w:p>
    <w:p xmlns:wp14="http://schemas.microsoft.com/office/word/2010/wordml" w:rsidP="6F4FBF8A" wp14:paraId="4DC18D0B" wp14:textId="35B82D48">
      <w:pPr>
        <w:pStyle w:val="Heading1"/>
        <w:rPr>
          <w:rFonts w:ascii="Arial Nova" w:hAnsi="Arial Nova" w:eastAsia="Arial Nova" w:cs="Arial Nova"/>
          <w:b w:val="1"/>
          <w:bCs w:val="1"/>
          <w:noProof w:val="0"/>
          <w:color w:val="auto"/>
          <w:sz w:val="32"/>
          <w:szCs w:val="32"/>
          <w:lang w:val="en-US"/>
        </w:rPr>
      </w:pPr>
      <w:r w:rsidRPr="6F4FBF8A" w:rsidR="0EB9E8E1">
        <w:rPr>
          <w:rFonts w:ascii="Arial Nova" w:hAnsi="Arial Nova" w:eastAsia="Arial Nova" w:cs="Arial Nova"/>
          <w:b w:val="1"/>
          <w:bCs w:val="1"/>
          <w:noProof w:val="0"/>
          <w:color w:val="auto"/>
          <w:sz w:val="32"/>
          <w:szCs w:val="32"/>
          <w:lang w:val="en-US"/>
        </w:rPr>
        <w:t xml:space="preserve">Marketing Environment Analysis and Strategic Growth  </w:t>
      </w:r>
    </w:p>
    <w:p xmlns:wp14="http://schemas.microsoft.com/office/word/2010/wordml" w:rsidP="6F4FBF8A" wp14:paraId="5E21D6C8" wp14:textId="14F8A308">
      <w:pPr>
        <w:pStyle w:val="Heading1"/>
      </w:pPr>
      <w:r w:rsidRPr="6F4FBF8A" w:rsidR="0EB9E8E1">
        <w:rPr>
          <w:rFonts w:ascii="Arial Nova" w:hAnsi="Arial Nova" w:eastAsia="Arial Nova" w:cs="Arial Nova"/>
          <w:b w:val="1"/>
          <w:bCs w:val="1"/>
          <w:noProof w:val="0"/>
          <w:color w:val="auto"/>
          <w:sz w:val="32"/>
          <w:szCs w:val="32"/>
          <w:lang w:val="en-US"/>
        </w:rPr>
        <w:t xml:space="preserve">Strategy for BHP's Low-Carbon Transition </w:t>
      </w:r>
    </w:p>
    <w:p xmlns:wp14="http://schemas.microsoft.com/office/word/2010/wordml" w:rsidP="6F4FBF8A" wp14:paraId="594A5A70" wp14:textId="4173E6FF">
      <w:pPr>
        <w:pStyle w:val="Heading1"/>
        <w:rPr>
          <w:rFonts w:ascii="Arial Nova" w:hAnsi="Arial Nova" w:eastAsia="Arial Nova" w:cs="Arial Nova"/>
          <w:noProof w:val="0"/>
          <w:color w:val="auto"/>
          <w:sz w:val="24"/>
          <w:szCs w:val="24"/>
          <w:lang w:val="en-US"/>
        </w:rPr>
      </w:pPr>
      <w:r w:rsidRPr="6F4FBF8A" w:rsidR="0EB9E8E1">
        <w:rPr>
          <w:rFonts w:ascii="Arial Nova" w:hAnsi="Arial Nova" w:eastAsia="Arial Nova" w:cs="Arial Nova"/>
          <w:b w:val="1"/>
          <w:bCs w:val="1"/>
          <w:noProof w:val="0"/>
          <w:color w:val="auto"/>
          <w:sz w:val="28"/>
          <w:szCs w:val="28"/>
          <w:lang w:val="en-US"/>
        </w:rPr>
        <w:t xml:space="preserve">Introduction </w:t>
      </w:r>
    </w:p>
    <w:p xmlns:wp14="http://schemas.microsoft.com/office/word/2010/wordml" w:rsidP="6F4FBF8A" wp14:paraId="23BC5CB7" wp14:textId="179C1EC1">
      <w:pPr>
        <w:pStyle w:val="Heading1"/>
        <w:rPr>
          <w:rFonts w:ascii="Arial Nova" w:hAnsi="Arial Nova" w:eastAsia="Arial Nova" w:cs="Arial Nova"/>
          <w:noProof w:val="0"/>
          <w:color w:val="auto"/>
          <w:sz w:val="24"/>
          <w:szCs w:val="24"/>
          <w:lang w:val="en-US"/>
        </w:rPr>
      </w:pPr>
      <w:r w:rsidRPr="6F4FBF8A" w:rsidR="0EB9E8E1">
        <w:rPr>
          <w:rFonts w:ascii="Arial Nova" w:hAnsi="Arial Nova" w:eastAsia="Arial Nova" w:cs="Arial Nova"/>
          <w:b w:val="0"/>
          <w:bCs w:val="0"/>
          <w:noProof w:val="0"/>
          <w:color w:val="auto"/>
          <w:sz w:val="24"/>
          <w:szCs w:val="24"/>
          <w:lang w:val="en-US"/>
        </w:rPr>
        <w:t xml:space="preserve">The global business environment is increasingly influenced by sustainability concerns, </w:t>
      </w:r>
      <w:r w:rsidRPr="6F4FBF8A" w:rsidR="1D05EC89">
        <w:rPr>
          <w:rFonts w:ascii="Arial Nova" w:hAnsi="Arial Nova" w:eastAsia="Arial Nova" w:cs="Arial Nova"/>
          <w:noProof w:val="0"/>
          <w:color w:val="auto"/>
          <w:sz w:val="24"/>
          <w:szCs w:val="24"/>
          <w:lang w:val="en-US"/>
        </w:rPr>
        <w:t xml:space="preserve">climate change policies, and stakeholder expectations for responsible business practices. Companies </w:t>
      </w:r>
      <w:r w:rsidRPr="6F4FBF8A" w:rsidR="1D05EC89">
        <w:rPr>
          <w:rFonts w:ascii="Arial Nova" w:hAnsi="Arial Nova" w:eastAsia="Arial Nova" w:cs="Arial Nova"/>
          <w:noProof w:val="0"/>
          <w:color w:val="auto"/>
          <w:sz w:val="24"/>
          <w:szCs w:val="24"/>
          <w:lang w:val="en-US"/>
        </w:rPr>
        <w:t>operating</w:t>
      </w:r>
      <w:r w:rsidRPr="6F4FBF8A" w:rsidR="1D05EC89">
        <w:rPr>
          <w:rFonts w:ascii="Arial Nova" w:hAnsi="Arial Nova" w:eastAsia="Arial Nova" w:cs="Arial Nova"/>
          <w:noProof w:val="0"/>
          <w:color w:val="auto"/>
          <w:sz w:val="24"/>
          <w:szCs w:val="24"/>
          <w:lang w:val="en-US"/>
        </w:rPr>
        <w:t xml:space="preserve"> in carbon-intensive industries face growing pressure to reduce environmental impacts while </w:t>
      </w:r>
      <w:r w:rsidRPr="6F4FBF8A" w:rsidR="1D05EC89">
        <w:rPr>
          <w:rFonts w:ascii="Arial Nova" w:hAnsi="Arial Nova" w:eastAsia="Arial Nova" w:cs="Arial Nova"/>
          <w:noProof w:val="0"/>
          <w:color w:val="auto"/>
          <w:sz w:val="24"/>
          <w:szCs w:val="24"/>
          <w:lang w:val="en-US"/>
        </w:rPr>
        <w:t>maintaining</w:t>
      </w:r>
      <w:r w:rsidRPr="6F4FBF8A" w:rsidR="1D05EC89">
        <w:rPr>
          <w:rFonts w:ascii="Arial Nova" w:hAnsi="Arial Nova" w:eastAsia="Arial Nova" w:cs="Arial Nova"/>
          <w:noProof w:val="0"/>
          <w:color w:val="auto"/>
          <w:sz w:val="24"/>
          <w:szCs w:val="24"/>
          <w:lang w:val="en-US"/>
        </w:rPr>
        <w:t xml:space="preserve"> profitability and competitiveness. The mining industry is particularly important in this context because it contributes to greenhouse gas emissions while also supplying the minerals needed for renewable energy technologies and the transition to a low-carbon economy (International Energy Agency, 2024).</w:t>
      </w:r>
    </w:p>
    <w:p xmlns:wp14="http://schemas.microsoft.com/office/word/2010/wordml" w:rsidP="6F4FBF8A" wp14:paraId="6DC58F3F" wp14:textId="355F99D7">
      <w:pPr>
        <w:jc w:val="both"/>
      </w:pPr>
      <w:r w:rsidRPr="6F4FBF8A" w:rsidR="1D05EC89">
        <w:rPr>
          <w:rFonts w:ascii="Arial Nova" w:hAnsi="Arial Nova" w:eastAsia="Arial Nova" w:cs="Arial Nova"/>
          <w:noProof w:val="0"/>
          <w:sz w:val="24"/>
          <w:szCs w:val="24"/>
          <w:lang w:val="en-US"/>
        </w:rPr>
        <w:t>BHP Group Limited is one of the world’s largest mining companies, producing commodities such as iron ore, copper, nickel, and metallurgical coal. As demand for sustainable practices increases, BHP has placed climate action and sustainability at the centre of its corporate strategy (BHP, 2025). According to Kotler et al. (2024), organisations operate within a marketing environment made up of internal and external forces that influence their ability to create value and achieve competitive advantage. External factors are especially important because businesses often have limited control over them but must adapt to remain successful.</w:t>
      </w:r>
    </w:p>
    <w:p xmlns:wp14="http://schemas.microsoft.com/office/word/2010/wordml" w:rsidP="6F4FBF8A" wp14:paraId="3D355906" wp14:textId="334D0186">
      <w:pPr>
        <w:jc w:val="both"/>
      </w:pPr>
      <w:r w:rsidRPr="6F4FBF8A" w:rsidR="1D05EC89">
        <w:rPr>
          <w:rFonts w:ascii="Arial Nova" w:hAnsi="Arial Nova" w:eastAsia="Arial Nova" w:cs="Arial Nova"/>
          <w:noProof w:val="0"/>
          <w:sz w:val="24"/>
          <w:szCs w:val="24"/>
          <w:lang w:val="en-US"/>
        </w:rPr>
        <w:t>This report examines the natural environment as a key external marketing environment actor affecting BHP’s transition towards lower-carbon operations and products. It evaluates both the opportunities and challenges created by environmental pressures and assesses their implications for the company’s future competitiveness.</w:t>
      </w:r>
    </w:p>
    <w:p xmlns:wp14="http://schemas.microsoft.com/office/word/2010/wordml" wp14:paraId="65C46CD0" wp14:textId="67304B4A"/>
    <w:p xmlns:wp14="http://schemas.microsoft.com/office/word/2010/wordml" w:rsidP="6F4FBF8A" wp14:paraId="5A4F65D0" wp14:textId="7CFDE58E">
      <w:pPr>
        <w:pStyle w:val="Heading1"/>
        <w:rPr>
          <w:rFonts w:ascii="Arial Nova" w:hAnsi="Arial Nova" w:eastAsia="Arial Nova" w:cs="Arial Nova"/>
          <w:b w:val="1"/>
          <w:bCs w:val="1"/>
          <w:noProof w:val="0"/>
          <w:color w:val="auto"/>
          <w:sz w:val="32"/>
          <w:szCs w:val="32"/>
          <w:lang w:val="en-US"/>
        </w:rPr>
      </w:pPr>
      <w:r w:rsidRPr="6F4FBF8A" w:rsidR="1D05EC89">
        <w:rPr>
          <w:rFonts w:ascii="Arial Nova" w:hAnsi="Arial Nova" w:eastAsia="Arial Nova" w:cs="Arial Nova"/>
          <w:b w:val="1"/>
          <w:bCs w:val="1"/>
          <w:noProof w:val="0"/>
          <w:color w:val="auto"/>
          <w:sz w:val="32"/>
          <w:szCs w:val="32"/>
          <w:lang w:val="en-US"/>
        </w:rPr>
        <w:t>Marketing Environment Analysis</w:t>
      </w:r>
    </w:p>
    <w:p xmlns:wp14="http://schemas.microsoft.com/office/word/2010/wordml" w:rsidP="6F4FBF8A" wp14:paraId="1ABE538F" wp14:textId="660B48AB">
      <w:pPr>
        <w:pStyle w:val="Heading2"/>
        <w:rPr>
          <w:rFonts w:ascii="Arial Nova" w:hAnsi="Arial Nova" w:eastAsia="Arial Nova" w:cs="Arial Nova"/>
          <w:b w:val="1"/>
          <w:bCs w:val="1"/>
          <w:noProof w:val="0"/>
          <w:color w:val="auto"/>
          <w:sz w:val="28"/>
          <w:szCs w:val="28"/>
          <w:lang w:val="en-US"/>
        </w:rPr>
      </w:pPr>
      <w:r w:rsidRPr="6F4FBF8A" w:rsidR="1D05EC89">
        <w:rPr>
          <w:rFonts w:ascii="Arial Nova" w:hAnsi="Arial Nova" w:eastAsia="Arial Nova" w:cs="Arial Nova"/>
          <w:b w:val="1"/>
          <w:bCs w:val="1"/>
          <w:noProof w:val="0"/>
          <w:color w:val="auto"/>
          <w:sz w:val="28"/>
          <w:szCs w:val="28"/>
          <w:lang w:val="en-US"/>
        </w:rPr>
        <w:t>The Natural Environment</w:t>
      </w:r>
    </w:p>
    <w:p xmlns:wp14="http://schemas.microsoft.com/office/word/2010/wordml" w:rsidP="6F4FBF8A" wp14:paraId="6A8570F2" wp14:textId="24674D29">
      <w:pPr>
        <w:jc w:val="both"/>
      </w:pPr>
      <w:r w:rsidRPr="6F4FBF8A" w:rsidR="1D05EC89">
        <w:rPr>
          <w:rFonts w:ascii="Arial Nova" w:hAnsi="Arial Nova" w:eastAsia="Arial Nova" w:cs="Arial Nova"/>
          <w:noProof w:val="0"/>
          <w:sz w:val="24"/>
          <w:szCs w:val="24"/>
          <w:lang w:val="en-US"/>
        </w:rPr>
        <w:t>The natural environment is one of the most significant external factors influencing BHP’s strategic decisions. It includes issues such as climate change, resource depletion, biodiversity loss, pollution, and water scarcity. For mining companies, these factors are particularly important because extraction and processing activities can have substantial environmental impacts. As a result, mining organisations face increasing expectations from governments, investors, customers, and communities to operate sustainably.</w:t>
      </w:r>
    </w:p>
    <w:p xmlns:wp14="http://schemas.microsoft.com/office/word/2010/wordml" w:rsidP="6F4FBF8A" wp14:paraId="6FD93111" wp14:textId="494B5D21">
      <w:pPr>
        <w:jc w:val="both"/>
      </w:pPr>
      <w:r w:rsidRPr="6F4FBF8A" w:rsidR="1D05EC89">
        <w:rPr>
          <w:rFonts w:ascii="Arial Nova" w:hAnsi="Arial Nova" w:eastAsia="Arial Nova" w:cs="Arial Nova"/>
          <w:noProof w:val="0"/>
          <w:sz w:val="24"/>
          <w:szCs w:val="24"/>
          <w:lang w:val="en-US"/>
        </w:rPr>
        <w:t>Climate change is currently the most critical environmental issue affecting the mining sector. Governments worldwide are introducing policies aimed at reducing carbon emissions and achieving net-zero targets. These developments create both opportunities and challenges for BHP as it seeks to adapt its business model to a changing global environment.</w:t>
      </w:r>
    </w:p>
    <w:p xmlns:wp14="http://schemas.microsoft.com/office/word/2010/wordml" w:rsidP="6F4FBF8A" wp14:paraId="0503CC85" wp14:textId="351C5D87">
      <w:pPr>
        <w:pStyle w:val="Heading3"/>
        <w:rPr>
          <w:rFonts w:ascii="Arial Nova" w:hAnsi="Arial Nova" w:eastAsia="Arial Nova" w:cs="Arial Nova"/>
          <w:b w:val="1"/>
          <w:bCs w:val="1"/>
          <w:noProof w:val="0"/>
          <w:color w:val="auto"/>
          <w:sz w:val="28"/>
          <w:szCs w:val="28"/>
          <w:lang w:val="en-US"/>
        </w:rPr>
      </w:pPr>
      <w:r w:rsidRPr="6F4FBF8A" w:rsidR="1D05EC89">
        <w:rPr>
          <w:rFonts w:ascii="Arial Nova" w:hAnsi="Arial Nova" w:eastAsia="Arial Nova" w:cs="Arial Nova"/>
          <w:b w:val="1"/>
          <w:bCs w:val="1"/>
          <w:noProof w:val="0"/>
          <w:color w:val="auto"/>
          <w:sz w:val="28"/>
          <w:szCs w:val="28"/>
          <w:lang w:val="en-US"/>
        </w:rPr>
        <w:t>Opportunities Created by the Natural Environment</w:t>
      </w:r>
    </w:p>
    <w:p xmlns:wp14="http://schemas.microsoft.com/office/word/2010/wordml" w:rsidP="6F4FBF8A" wp14:paraId="7B6D6AA4" wp14:textId="2466A9F9">
      <w:pPr>
        <w:jc w:val="both"/>
      </w:pPr>
      <w:r w:rsidRPr="6F4FBF8A" w:rsidR="1D05EC89">
        <w:rPr>
          <w:rFonts w:ascii="Arial Nova" w:hAnsi="Arial Nova" w:eastAsia="Arial Nova" w:cs="Arial Nova"/>
          <w:noProof w:val="0"/>
          <w:sz w:val="24"/>
          <w:szCs w:val="24"/>
          <w:lang w:val="en-US"/>
        </w:rPr>
        <w:t>One major opportunity for BHP comes from the growing demand for minerals that support the transition to clean energy. Renewable energy systems, electric vehicles, battery storage technologies, and modern electricity networks require large quantities of critical minerals such as copper and nickel (International Energy Agency, 2024).</w:t>
      </w:r>
    </w:p>
    <w:p xmlns:wp14="http://schemas.microsoft.com/office/word/2010/wordml" w:rsidP="6F4FBF8A" wp14:paraId="4914EA7D" wp14:textId="4CD11A9E">
      <w:pPr>
        <w:jc w:val="both"/>
      </w:pPr>
      <w:r w:rsidRPr="6F4FBF8A" w:rsidR="1D05EC89">
        <w:rPr>
          <w:rFonts w:ascii="Arial Nova" w:hAnsi="Arial Nova" w:eastAsia="Arial Nova" w:cs="Arial Nova"/>
          <w:noProof w:val="0"/>
          <w:sz w:val="24"/>
          <w:szCs w:val="24"/>
          <w:lang w:val="en-US"/>
        </w:rPr>
        <w:t>Copper is particularly important because it is widely used in electrical infrastructure. Electric vehicles require significantly more copper than traditional vehicles, while solar panels and wind turbines also depend heavily on copper components. As countries invest in renewable energy and electrification, demand for copper is expected to increase substantially over the coming decades (BHP, 2025).</w:t>
      </w:r>
    </w:p>
    <w:p xmlns:wp14="http://schemas.microsoft.com/office/word/2010/wordml" w:rsidP="6F4FBF8A" wp14:paraId="46ABE629" wp14:textId="4BA9A8E1">
      <w:pPr>
        <w:jc w:val="both"/>
      </w:pPr>
      <w:r w:rsidRPr="6F4FBF8A" w:rsidR="1D05EC89">
        <w:rPr>
          <w:rFonts w:ascii="Arial Nova" w:hAnsi="Arial Nova" w:eastAsia="Arial Nova" w:cs="Arial Nova"/>
          <w:noProof w:val="0"/>
          <w:sz w:val="24"/>
          <w:szCs w:val="24"/>
          <w:lang w:val="en-US"/>
        </w:rPr>
        <w:t>This trend provides BHP with an opportunity to strengthen its market position by focusing on commodities that support sustainable development. Rather than being viewed solely as a mining company, BHP can position itself as a contributor to global decarbonisation efforts. This approach aligns with the societal marketing concept, which suggests that organisations should meet customer needs while also benefiting society (Kotler et al., 2024).</w:t>
      </w:r>
    </w:p>
    <w:p xmlns:wp14="http://schemas.microsoft.com/office/word/2010/wordml" w:rsidP="6F4FBF8A" wp14:paraId="02152758" wp14:textId="4714E406">
      <w:pPr>
        <w:jc w:val="both"/>
      </w:pPr>
      <w:r w:rsidRPr="6F4FBF8A" w:rsidR="1D05EC89">
        <w:rPr>
          <w:rFonts w:ascii="Arial Nova" w:hAnsi="Arial Nova" w:eastAsia="Arial Nova" w:cs="Arial Nova"/>
          <w:noProof w:val="0"/>
          <w:sz w:val="24"/>
          <w:szCs w:val="24"/>
          <w:lang w:val="en-US"/>
        </w:rPr>
        <w:t>Another opportunity involves innovation in steel production. Steel manufacturing is responsible for a significant share of global industrial emissions, creating demand for cleaner production methods (World Steel Association, 2024). BHP has responded by working with steel producers and technology partners to explore low-carbon steelmaking solutions, including hydrogen-based technologies.</w:t>
      </w:r>
    </w:p>
    <w:p xmlns:wp14="http://schemas.microsoft.com/office/word/2010/wordml" w:rsidP="6F4FBF8A" wp14:paraId="75E99EDA" wp14:textId="430D6593">
      <w:pPr>
        <w:jc w:val="both"/>
      </w:pPr>
      <w:r w:rsidRPr="6F4FBF8A" w:rsidR="1D05EC89">
        <w:rPr>
          <w:rFonts w:ascii="Arial Nova" w:hAnsi="Arial Nova" w:eastAsia="Arial Nova" w:cs="Arial Nova"/>
          <w:noProof w:val="0"/>
          <w:sz w:val="24"/>
          <w:szCs w:val="24"/>
          <w:lang w:val="en-US"/>
        </w:rPr>
        <w:t>These collaborations demonstrate how environmental challenges can encourage innovation and strengthen relationships across supply chains. Relationship marketing theory highlights the importance of long-term partnerships in creating value for businesses and customers (Christopher et al., 2016). By supporting the development of greener steel production, BHP can improve customer relationships, enhance its reputation, and potentially create new revenue streams through sustainable products.</w:t>
      </w:r>
    </w:p>
    <w:p xmlns:wp14="http://schemas.microsoft.com/office/word/2010/wordml" w:rsidP="6F4FBF8A" wp14:paraId="241B79FB" wp14:textId="20A10809">
      <w:pPr>
        <w:pStyle w:val="Heading3"/>
        <w:rPr>
          <w:rFonts w:ascii="Arial Nova" w:hAnsi="Arial Nova" w:eastAsia="Arial Nova" w:cs="Arial Nova"/>
          <w:b w:val="1"/>
          <w:bCs w:val="1"/>
          <w:noProof w:val="0"/>
          <w:color w:val="auto"/>
          <w:sz w:val="28"/>
          <w:szCs w:val="28"/>
          <w:lang w:val="en-US"/>
        </w:rPr>
      </w:pPr>
      <w:r w:rsidRPr="6F4FBF8A" w:rsidR="1D05EC89">
        <w:rPr>
          <w:rFonts w:ascii="Arial Nova" w:hAnsi="Arial Nova" w:eastAsia="Arial Nova" w:cs="Arial Nova"/>
          <w:b w:val="1"/>
          <w:bCs w:val="1"/>
          <w:noProof w:val="0"/>
          <w:color w:val="auto"/>
          <w:sz w:val="28"/>
          <w:szCs w:val="28"/>
          <w:lang w:val="en-US"/>
        </w:rPr>
        <w:t>Challenges Created by the Natural Environment</w:t>
      </w:r>
    </w:p>
    <w:p xmlns:wp14="http://schemas.microsoft.com/office/word/2010/wordml" w:rsidP="6F4FBF8A" wp14:paraId="5EC91BE4" wp14:textId="4A2AEF47">
      <w:pPr>
        <w:jc w:val="both"/>
      </w:pPr>
      <w:r w:rsidRPr="6F4FBF8A" w:rsidR="1D05EC89">
        <w:rPr>
          <w:rFonts w:ascii="Arial Nova" w:hAnsi="Arial Nova" w:eastAsia="Arial Nova" w:cs="Arial Nova"/>
          <w:noProof w:val="0"/>
          <w:sz w:val="24"/>
          <w:szCs w:val="24"/>
          <w:lang w:val="en-US"/>
        </w:rPr>
        <w:t>Despite these opportunities, the natural environment also presents significant challenges. One of the most difficult issues for BHP is managing Scope 3 emissions. These emissions occur throughout the value chain and are mainly generated when customers process or use BHP’s products, particularly iron ore and metallurgical coal (BHP, 2025).</w:t>
      </w:r>
    </w:p>
    <w:p xmlns:wp14="http://schemas.microsoft.com/office/word/2010/wordml" w:rsidP="6F4FBF8A" wp14:paraId="65820604" wp14:textId="4AE9C93C">
      <w:pPr>
        <w:jc w:val="both"/>
      </w:pPr>
      <w:r w:rsidRPr="6F4FBF8A" w:rsidR="1D05EC89">
        <w:rPr>
          <w:rFonts w:ascii="Arial Nova" w:hAnsi="Arial Nova" w:eastAsia="Arial Nova" w:cs="Arial Nova"/>
          <w:noProof w:val="0"/>
          <w:sz w:val="24"/>
          <w:szCs w:val="24"/>
          <w:lang w:val="en-US"/>
        </w:rPr>
        <w:t>Reducing Scope 3 emissions is challenging because BHP has limited direct control over customer operations. While the company can improve the sustainability of its own activities, achieving meaningful reductions across the value chain requires cooperation from customers, governments, and industry partners. This highlights the complexity of sustainability management in modern business environments.</w:t>
      </w:r>
    </w:p>
    <w:p xmlns:wp14="http://schemas.microsoft.com/office/word/2010/wordml" w:rsidP="6F4FBF8A" wp14:paraId="5297F259" wp14:textId="738FDC68">
      <w:pPr>
        <w:jc w:val="both"/>
      </w:pPr>
      <w:r w:rsidRPr="6F4FBF8A" w:rsidR="1D05EC89">
        <w:rPr>
          <w:rFonts w:ascii="Arial Nova" w:hAnsi="Arial Nova" w:eastAsia="Arial Nova" w:cs="Arial Nova"/>
          <w:noProof w:val="0"/>
          <w:sz w:val="24"/>
          <w:szCs w:val="24"/>
          <w:lang w:val="en-US"/>
        </w:rPr>
        <w:t>Another challenge is the high cost of environmental transformation. Mining companies must invest heavily in renewable energy systems, electrified equipment, carbon reduction technologies, and more efficient operational processes (Deloitte, 2024). Although these investments may generate long-term benefits, they can place pressure on short-term profitability and financial performance.</w:t>
      </w:r>
    </w:p>
    <w:p xmlns:wp14="http://schemas.microsoft.com/office/word/2010/wordml" w:rsidP="6F4FBF8A" wp14:paraId="768BA423" wp14:textId="55D1A872">
      <w:pPr>
        <w:jc w:val="both"/>
      </w:pPr>
      <w:r w:rsidRPr="6F4FBF8A" w:rsidR="1D05EC89">
        <w:rPr>
          <w:rFonts w:ascii="Arial Nova" w:hAnsi="Arial Nova" w:eastAsia="Arial Nova" w:cs="Arial Nova"/>
          <w:noProof w:val="0"/>
          <w:sz w:val="24"/>
          <w:szCs w:val="24"/>
          <w:lang w:val="en-US"/>
        </w:rPr>
        <w:t xml:space="preserve">Reputational risk is also a major concern. Stakeholders increasingly expect organisations to demonstrate genuine progress towards sustainability goals. Investors, regulators, and environmental groups closely monitor corporate environmental performance and often challenge companies whose actions do not match their public commitments. Eccles and Klimenko (2019) argue that </w:t>
      </w:r>
      <w:bookmarkStart w:name="_Int_42sb76w8" w:id="1149722261"/>
      <w:r w:rsidRPr="6F4FBF8A" w:rsidR="1D05EC89">
        <w:rPr>
          <w:rFonts w:ascii="Arial Nova" w:hAnsi="Arial Nova" w:eastAsia="Arial Nova" w:cs="Arial Nova"/>
          <w:noProof w:val="0"/>
          <w:sz w:val="24"/>
          <w:szCs w:val="24"/>
          <w:lang w:val="en-US"/>
        </w:rPr>
        <w:t>organisations</w:t>
      </w:r>
      <w:bookmarkEnd w:id="1149722261"/>
      <w:r w:rsidRPr="6F4FBF8A" w:rsidR="1D05EC89">
        <w:rPr>
          <w:rFonts w:ascii="Arial Nova" w:hAnsi="Arial Nova" w:eastAsia="Arial Nova" w:cs="Arial Nova"/>
          <w:noProof w:val="0"/>
          <w:sz w:val="24"/>
          <w:szCs w:val="24"/>
          <w:lang w:val="en-US"/>
        </w:rPr>
        <w:t xml:space="preserve"> face growing scrutiny regarding the credibility of their sustainability strategies.</w:t>
      </w:r>
    </w:p>
    <w:p xmlns:wp14="http://schemas.microsoft.com/office/word/2010/wordml" w:rsidP="6F4FBF8A" wp14:paraId="12721C4A" wp14:textId="1D273005">
      <w:pPr>
        <w:jc w:val="both"/>
      </w:pPr>
      <w:r w:rsidRPr="6F4FBF8A" w:rsidR="1D05EC89">
        <w:rPr>
          <w:rFonts w:ascii="Arial Nova" w:hAnsi="Arial Nova" w:eastAsia="Arial Nova" w:cs="Arial Nova"/>
          <w:noProof w:val="0"/>
          <w:sz w:val="24"/>
          <w:szCs w:val="24"/>
          <w:lang w:val="en-US"/>
        </w:rPr>
        <w:t>For BHP, failing to meet environmental expectations could damage its reputation and reduce stakeholder trust. This risk is particularly important because environmental, social, and governance (ESG) performance is becoming a key factor in investment decisions. Poor sustainability performance may therefore affect access to capital, partnerships, and future growth opportunities.</w:t>
      </w:r>
    </w:p>
    <w:p xmlns:wp14="http://schemas.microsoft.com/office/word/2010/wordml" w:rsidP="6F4FBF8A" wp14:paraId="65D427F1" wp14:textId="08B032C5">
      <w:pPr>
        <w:pStyle w:val="Heading3"/>
        <w:rPr>
          <w:rFonts w:ascii="Arial Nova" w:hAnsi="Arial Nova" w:eastAsia="Arial Nova" w:cs="Arial Nova"/>
          <w:b w:val="1"/>
          <w:bCs w:val="1"/>
          <w:noProof w:val="0"/>
          <w:color w:val="auto"/>
          <w:sz w:val="28"/>
          <w:szCs w:val="28"/>
          <w:lang w:val="en-US"/>
        </w:rPr>
      </w:pPr>
      <w:r w:rsidRPr="6F4FBF8A" w:rsidR="1D05EC89">
        <w:rPr>
          <w:rFonts w:ascii="Arial Nova" w:hAnsi="Arial Nova" w:eastAsia="Arial Nova" w:cs="Arial Nova"/>
          <w:b w:val="1"/>
          <w:bCs w:val="1"/>
          <w:noProof w:val="0"/>
          <w:color w:val="auto"/>
          <w:sz w:val="28"/>
          <w:szCs w:val="28"/>
          <w:lang w:val="en-US"/>
        </w:rPr>
        <w:t>Critical Evaluation</w:t>
      </w:r>
    </w:p>
    <w:p xmlns:wp14="http://schemas.microsoft.com/office/word/2010/wordml" w:rsidP="6F4FBF8A" wp14:paraId="6C16F326" wp14:textId="0DF87125">
      <w:pPr>
        <w:jc w:val="both"/>
        <w:rPr>
          <w:rFonts w:ascii="Arial Nova" w:hAnsi="Arial Nova" w:eastAsia="Arial Nova" w:cs="Arial Nova"/>
          <w:b w:val="0"/>
          <w:bCs w:val="0"/>
          <w:noProof w:val="0"/>
          <w:color w:val="auto"/>
          <w:sz w:val="24"/>
          <w:szCs w:val="24"/>
          <w:lang w:val="en-US"/>
        </w:rPr>
      </w:pPr>
      <w:r w:rsidRPr="6F4FBF8A" w:rsidR="1D05EC89">
        <w:rPr>
          <w:rFonts w:ascii="Arial Nova" w:hAnsi="Arial Nova" w:eastAsia="Arial Nova" w:cs="Arial Nova"/>
          <w:b w:val="0"/>
          <w:bCs w:val="0"/>
          <w:noProof w:val="0"/>
          <w:color w:val="auto"/>
          <w:sz w:val="24"/>
          <w:szCs w:val="24"/>
          <w:lang w:val="en-US"/>
        </w:rPr>
        <w:t>The natural environment creates both risks and opportunities for BHP. While environmental pressures increase costs and operational complexity, they also encourage innovation and create demand for products that support the low-carbon transition. Modern strategic management research suggests that sustainability should not be viewed solely as a compliance requirement but as a potential source of competitive advantage (Porter and Kramer, 2019).</w:t>
      </w:r>
    </w:p>
    <w:p xmlns:wp14="http://schemas.microsoft.com/office/word/2010/wordml" w:rsidP="6F4FBF8A" wp14:paraId="045EB4A6" wp14:textId="59F5BC63">
      <w:pPr>
        <w:jc w:val="both"/>
        <w:rPr>
          <w:rFonts w:ascii="Arial Nova" w:hAnsi="Arial Nova" w:eastAsia="Arial Nova" w:cs="Arial Nova"/>
          <w:b w:val="0"/>
          <w:bCs w:val="0"/>
          <w:noProof w:val="0"/>
          <w:color w:val="auto"/>
          <w:sz w:val="24"/>
          <w:szCs w:val="24"/>
          <w:lang w:val="en-US"/>
        </w:rPr>
      </w:pPr>
      <w:r w:rsidRPr="6F4FBF8A" w:rsidR="1D05EC89">
        <w:rPr>
          <w:rFonts w:ascii="Arial Nova" w:hAnsi="Arial Nova" w:eastAsia="Arial Nova" w:cs="Arial Nova"/>
          <w:b w:val="0"/>
          <w:bCs w:val="0"/>
          <w:noProof w:val="0"/>
          <w:color w:val="auto"/>
          <w:sz w:val="24"/>
          <w:szCs w:val="24"/>
          <w:lang w:val="en-US"/>
        </w:rPr>
        <w:t>BHP has demonstrated a proactive response to environmental challenges through investments in copper production, renewable energy initiatives, and low-carbon steel technologies. These actions indicate an understanding that future competitiveness will depend on aligning business activities with sustainability trends. However, the success of these initiatives will depend on technological progress, stakeholder support, and market acceptance.</w:t>
      </w:r>
    </w:p>
    <w:p xmlns:wp14="http://schemas.microsoft.com/office/word/2010/wordml" w:rsidP="6F4FBF8A" wp14:paraId="0931A5A9" wp14:textId="519801F2">
      <w:pPr>
        <w:jc w:val="both"/>
      </w:pPr>
      <w:r w:rsidRPr="6F4FBF8A" w:rsidR="1D05EC89">
        <w:rPr>
          <w:rFonts w:ascii="Arial Nova" w:hAnsi="Arial Nova" w:eastAsia="Arial Nova" w:cs="Arial Nova"/>
          <w:noProof w:val="0"/>
          <w:sz w:val="24"/>
          <w:szCs w:val="24"/>
          <w:lang w:val="en-US"/>
        </w:rPr>
        <w:t>Overall, the natural environment is a critical factor shaping BHP’s future strategy. The company’s ability to balance environmental responsibility with business performance will determine its long-term success. By integrating sustainability into its core operations and continuing to invest in innovation, BHP can transform environmental challenges into opportunities for growth and competitive advantage in an increasingly sustainability-focused global market.</w:t>
      </w:r>
    </w:p>
    <w:p xmlns:wp14="http://schemas.microsoft.com/office/word/2010/wordml" wp14:paraId="16F4EEFF" wp14:textId="2AF8D2E0"/>
    <w:p xmlns:wp14="http://schemas.microsoft.com/office/word/2010/wordml" w:rsidP="6F4FBF8A" wp14:paraId="5A5CD7AB" wp14:textId="3971D36C">
      <w:pPr>
        <w:pStyle w:val="Heading2"/>
      </w:pPr>
      <w:r w:rsidRPr="6F4FBF8A" w:rsidR="549C9345">
        <w:rPr>
          <w:rFonts w:ascii="Arial Nova" w:hAnsi="Arial Nova" w:eastAsia="Arial Nova" w:cs="Arial Nova"/>
          <w:b w:val="1"/>
          <w:bCs w:val="1"/>
          <w:noProof w:val="0"/>
          <w:color w:val="auto"/>
          <w:sz w:val="28"/>
          <w:szCs w:val="28"/>
          <w:lang w:val="en-US"/>
        </w:rPr>
        <w:t>Political and Regulatory Environment</w:t>
      </w:r>
    </w:p>
    <w:p xmlns:wp14="http://schemas.microsoft.com/office/word/2010/wordml" w:rsidP="6F4FBF8A" wp14:paraId="16E117F9" wp14:textId="3B7E1A0B">
      <w:pPr>
        <w:jc w:val="both"/>
      </w:pPr>
      <w:r w:rsidRPr="6F4FBF8A" w:rsidR="549C9345">
        <w:rPr>
          <w:rFonts w:ascii="Arial Nova" w:hAnsi="Arial Nova" w:eastAsia="Arial Nova" w:cs="Arial Nova"/>
          <w:noProof w:val="0"/>
          <w:sz w:val="24"/>
          <w:szCs w:val="24"/>
          <w:lang w:val="en-US"/>
        </w:rPr>
        <w:t>In addition to environmental pressures, the political and regulatory environment is one of the most influential external marketing actors affecting BHP’s transition towards lower-carbon products and sustainable business practices. According to Kotler et al. (2024), political and regulatory forces shape market conditions through legislation, environmental policies, taxation systems, trade agreements, and industry regulations. For multinational mining companies such as BHP, these factors have a direct impact on strategic decision-making, investment priorities, operational processes, and long-term competitiveness.</w:t>
      </w:r>
    </w:p>
    <w:p xmlns:wp14="http://schemas.microsoft.com/office/word/2010/wordml" w:rsidP="6F4FBF8A" wp14:paraId="67B4C188" wp14:textId="3E091382">
      <w:pPr>
        <w:jc w:val="both"/>
      </w:pPr>
      <w:r w:rsidRPr="6F4FBF8A" w:rsidR="549C9345">
        <w:rPr>
          <w:rFonts w:ascii="Arial Nova" w:hAnsi="Arial Nova" w:eastAsia="Arial Nova" w:cs="Arial Nova"/>
          <w:noProof w:val="0"/>
          <w:sz w:val="24"/>
          <w:szCs w:val="24"/>
          <w:lang w:val="en-US"/>
        </w:rPr>
        <w:t>Over the last decade, governments around the world have introduced increasingly stringent climate-related regulations in response to growing concerns about climate change and environmental sustainability. International agreements such as the Paris Climate Agreement have encouraged countries to establish national emissions reduction targets, carbon pricing mechanisms, and sustainability reporting requirements (United Nations, 2023). As a result, mining organisations now operate within a far more complex regulatory environment than in previous decades. These developments have transformed sustainability from a voluntary corporate initiative into a strategic necessity.</w:t>
      </w:r>
    </w:p>
    <w:p xmlns:wp14="http://schemas.microsoft.com/office/word/2010/wordml" w:rsidP="6F4FBF8A" wp14:paraId="44F253B4" wp14:textId="37C4425E">
      <w:pPr>
        <w:jc w:val="both"/>
      </w:pPr>
      <w:r w:rsidRPr="6F4FBF8A" w:rsidR="549C9345">
        <w:rPr>
          <w:rFonts w:ascii="Arial Nova" w:hAnsi="Arial Nova" w:eastAsia="Arial Nova" w:cs="Arial Nova"/>
          <w:noProof w:val="0"/>
          <w:sz w:val="24"/>
          <w:szCs w:val="24"/>
          <w:lang w:val="en-US"/>
        </w:rPr>
        <w:t>Porter and Kramer (2019) argue that effective regulation can stimulate innovation rather than simply increasing costs. Their perspective suggests that environmental regulations can encourage organisations to improve efficiency, develop cleaner technologies, and identify new market opportunities. This view is particularly relevant to BHP, as regulatory pressures are driving the company to invest in sustainable mining practices and lower-carbon products that may strengthen its competitive position in the future.</w:t>
      </w:r>
    </w:p>
    <w:p xmlns:wp14="http://schemas.microsoft.com/office/word/2010/wordml" w:rsidP="6F4FBF8A" wp14:paraId="182D2C5D" wp14:textId="3233CC02">
      <w:pPr>
        <w:pStyle w:val="Heading3"/>
        <w:rPr>
          <w:rFonts w:ascii="Arial Nova" w:hAnsi="Arial Nova" w:eastAsia="Arial Nova" w:cs="Arial Nova"/>
          <w:b w:val="1"/>
          <w:bCs w:val="1"/>
          <w:noProof w:val="0"/>
          <w:color w:val="auto"/>
          <w:sz w:val="28"/>
          <w:szCs w:val="28"/>
          <w:lang w:val="en-US"/>
        </w:rPr>
      </w:pPr>
      <w:r w:rsidRPr="6F4FBF8A" w:rsidR="549C9345">
        <w:rPr>
          <w:rFonts w:ascii="Arial Nova" w:hAnsi="Arial Nova" w:eastAsia="Arial Nova" w:cs="Arial Nova"/>
          <w:b w:val="1"/>
          <w:bCs w:val="1"/>
          <w:noProof w:val="0"/>
          <w:color w:val="auto"/>
          <w:sz w:val="28"/>
          <w:szCs w:val="28"/>
          <w:lang w:val="en-US"/>
        </w:rPr>
        <w:t>Opportunities Created by the Political and Regulatory Environment</w:t>
      </w:r>
    </w:p>
    <w:p xmlns:wp14="http://schemas.microsoft.com/office/word/2010/wordml" w:rsidP="6F4FBF8A" wp14:paraId="26DBADE6" wp14:textId="5CAE5668">
      <w:pPr>
        <w:jc w:val="left"/>
      </w:pPr>
      <w:r w:rsidRPr="6F4FBF8A" w:rsidR="549C9345">
        <w:rPr>
          <w:rFonts w:ascii="Arial Nova" w:hAnsi="Arial Nova" w:eastAsia="Arial Nova" w:cs="Arial Nova"/>
          <w:noProof w:val="0"/>
          <w:sz w:val="24"/>
          <w:szCs w:val="24"/>
          <w:lang w:val="en-US"/>
        </w:rPr>
        <w:t>One of the most significant opportunities for BHP arises from government support for critical minerals and renewable energy technologies. Governments across Europe, North America, and Asia increasingly recognise the importance of securing reliable supplies of minerals required for electric vehicles, renewable energy infrastructure, battery storage systems, and advanced manufacturing technologies (European Commission, 2024). To achieve these objectives, many governments have introduced investment incentives, subsidies, and industrial policies designed to strengthen sustainable mineral supply chains.</w:t>
      </w:r>
    </w:p>
    <w:p xmlns:wp14="http://schemas.microsoft.com/office/word/2010/wordml" w:rsidP="6F4FBF8A" wp14:paraId="72C45950" wp14:textId="4614B722">
      <w:pPr>
        <w:jc w:val="both"/>
      </w:pPr>
      <w:r w:rsidRPr="6F4FBF8A" w:rsidR="549C9345">
        <w:rPr>
          <w:rFonts w:ascii="Arial Nova" w:hAnsi="Arial Nova" w:eastAsia="Arial Nova" w:cs="Arial Nova"/>
          <w:noProof w:val="0"/>
          <w:sz w:val="24"/>
          <w:szCs w:val="24"/>
          <w:lang w:val="en-US"/>
        </w:rPr>
        <w:t>For BHP, these initiatives create favourable market conditions for commodities such as copper and nickel, which are essential components of the global energy transition. The International Energy Agency (2024) predicts substantial growth in demand for critical minerals as countries pursue electrification and decarbonisation strategies. Consequently, government climate policies indirectly support BHP’s strategic focus on transition minerals and create opportunities for long-term revenue growth.</w:t>
      </w:r>
    </w:p>
    <w:p xmlns:wp14="http://schemas.microsoft.com/office/word/2010/wordml" w:rsidP="6F4FBF8A" wp14:paraId="13FB51C4" wp14:textId="77546833">
      <w:pPr>
        <w:jc w:val="both"/>
      </w:pPr>
      <w:r w:rsidRPr="6F4FBF8A" w:rsidR="549C9345">
        <w:rPr>
          <w:rFonts w:ascii="Arial Nova" w:hAnsi="Arial Nova" w:eastAsia="Arial Nova" w:cs="Arial Nova"/>
          <w:noProof w:val="0"/>
          <w:sz w:val="24"/>
          <w:szCs w:val="24"/>
          <w:lang w:val="en-US"/>
        </w:rPr>
        <w:t>Another important opportunity relates to Environmental, Social, and Governance (ESG) reporting requirements. Although increased disclosure obligations may initially appear burdensome, they can improve transparency and strengthen stakeholder confidence. BlackRock (2025) notes that institutional investors increasingly incorporate ESG performance into investment decisions because sustainability is viewed as an indicator of long-term organisational resilience. Companies that demonstrate strong environmental performance may therefore benefit from improved access to capital, lower financing costs, and enhanced investor trust.</w:t>
      </w:r>
    </w:p>
    <w:p xmlns:wp14="http://schemas.microsoft.com/office/word/2010/wordml" w:rsidP="6F4FBF8A" wp14:paraId="313E3330" wp14:textId="72DCCC91">
      <w:pPr>
        <w:jc w:val="both"/>
      </w:pPr>
      <w:r w:rsidRPr="6F4FBF8A" w:rsidR="549C9345">
        <w:rPr>
          <w:rFonts w:ascii="Arial Nova" w:hAnsi="Arial Nova" w:eastAsia="Arial Nova" w:cs="Arial Nova"/>
          <w:noProof w:val="0"/>
          <w:sz w:val="24"/>
          <w:szCs w:val="24"/>
          <w:lang w:val="en-US"/>
        </w:rPr>
        <w:t>Government support for innovation also presents significant opportunities. Many countries provide grants, tax incentives, and public-private partnership programmes to encourage investment in low-carbon technologies. BHP’s involvement in projects related to hydrogen-based steelmaking and renewable energy integration illustrates how regulatory initiatives can support technological development while reducing investment risks.</w:t>
      </w:r>
    </w:p>
    <w:p xmlns:wp14="http://schemas.microsoft.com/office/word/2010/wordml" w:rsidP="6F4FBF8A" wp14:paraId="2DEA55E6" wp14:textId="396EA680">
      <w:pPr>
        <w:pStyle w:val="Heading3"/>
        <w:rPr>
          <w:rFonts w:ascii="Arial Nova" w:hAnsi="Arial Nova" w:eastAsia="Arial Nova" w:cs="Arial Nova"/>
          <w:b w:val="1"/>
          <w:bCs w:val="1"/>
          <w:noProof w:val="0"/>
          <w:color w:val="auto"/>
          <w:sz w:val="28"/>
          <w:szCs w:val="28"/>
          <w:lang w:val="en-US"/>
        </w:rPr>
      </w:pPr>
      <w:r w:rsidRPr="6F4FBF8A" w:rsidR="549C9345">
        <w:rPr>
          <w:rFonts w:ascii="Arial Nova" w:hAnsi="Arial Nova" w:eastAsia="Arial Nova" w:cs="Arial Nova"/>
          <w:b w:val="1"/>
          <w:bCs w:val="1"/>
          <w:noProof w:val="0"/>
          <w:color w:val="auto"/>
          <w:sz w:val="28"/>
          <w:szCs w:val="28"/>
          <w:lang w:val="en-US"/>
        </w:rPr>
        <w:t>Challenges Created by the Political and Regulatory Environment</w:t>
      </w:r>
    </w:p>
    <w:p xmlns:wp14="http://schemas.microsoft.com/office/word/2010/wordml" w:rsidP="6F4FBF8A" wp14:paraId="31EF7A68" wp14:textId="3E3D0ED4">
      <w:pPr>
        <w:jc w:val="both"/>
      </w:pPr>
      <w:r w:rsidRPr="6F4FBF8A" w:rsidR="549C9345">
        <w:rPr>
          <w:rFonts w:ascii="Arial Nova" w:hAnsi="Arial Nova" w:eastAsia="Arial Nova" w:cs="Arial Nova"/>
          <w:noProof w:val="0"/>
          <w:sz w:val="24"/>
          <w:szCs w:val="24"/>
          <w:lang w:val="en-US"/>
        </w:rPr>
        <w:t>Despite these opportunities, the political and regulatory environment also creates substantial challenges. One of the most significant concerns is the increasing cost of compliance. Mining companies must comply with emissions reporting requirements, environmental monitoring systems, sustainability disclosure standards, and carbon reduction targets. Meeting these obligations often requires considerable investment in technology, specialist expertise, and operational improvements.</w:t>
      </w:r>
    </w:p>
    <w:p xmlns:wp14="http://schemas.microsoft.com/office/word/2010/wordml" w:rsidP="6F4FBF8A" wp14:paraId="0A4F4641" wp14:textId="680DB937">
      <w:pPr>
        <w:jc w:val="both"/>
      </w:pPr>
      <w:r w:rsidRPr="6F4FBF8A" w:rsidR="549C9345">
        <w:rPr>
          <w:rFonts w:ascii="Arial Nova" w:hAnsi="Arial Nova" w:eastAsia="Arial Nova" w:cs="Arial Nova"/>
          <w:noProof w:val="0"/>
          <w:sz w:val="24"/>
          <w:szCs w:val="24"/>
          <w:lang w:val="en-US"/>
        </w:rPr>
        <w:t>BHP operates across multiple jurisdictions, including Australia, Chile, Canada, and the United States. Each country maintains different environmental regulations and reporting requirements, creating administrative complexity and increasing compliance costs (Deloitte, 2024). Managing these diverse obligations requires significant organisational resources and strategic coordination.</w:t>
      </w:r>
    </w:p>
    <w:p xmlns:wp14="http://schemas.microsoft.com/office/word/2010/wordml" w:rsidP="6F4FBF8A" wp14:paraId="2D0FC43E" wp14:textId="16963A6C">
      <w:pPr>
        <w:jc w:val="both"/>
      </w:pPr>
      <w:r w:rsidRPr="6F4FBF8A" w:rsidR="549C9345">
        <w:rPr>
          <w:rFonts w:ascii="Arial Nova" w:hAnsi="Arial Nova" w:eastAsia="Arial Nova" w:cs="Arial Nova"/>
          <w:noProof w:val="0"/>
          <w:sz w:val="24"/>
          <w:szCs w:val="24"/>
          <w:lang w:val="en-US"/>
        </w:rPr>
        <w:t>Carbon pricing mechanisms represent another challenge. Governments increasingly use carbon taxes and emissions trading schemes to encourage emissions reductions. While these policies support environmental objectives, they can increase operating costs for energy-intensive industries such as mining. BHP must therefore balance sustainability commitments with the need to remain cost competitive within global commodity markets.</w:t>
      </w:r>
    </w:p>
    <w:p xmlns:wp14="http://schemas.microsoft.com/office/word/2010/wordml" w:rsidP="6F4FBF8A" wp14:paraId="4FD8DDA3" wp14:textId="1014C465">
      <w:pPr>
        <w:jc w:val="both"/>
      </w:pPr>
      <w:r w:rsidRPr="6F4FBF8A" w:rsidR="549C9345">
        <w:rPr>
          <w:rFonts w:ascii="Arial Nova" w:hAnsi="Arial Nova" w:eastAsia="Arial Nova" w:cs="Arial Nova"/>
          <w:noProof w:val="0"/>
          <w:sz w:val="24"/>
          <w:szCs w:val="24"/>
          <w:lang w:val="en-US"/>
        </w:rPr>
        <w:t>Regulatory uncertainty further complicates strategic planning. Mining projects often involve investment horizons extending over several decades, yet political priorities and environmental policies can change rapidly. This uncertainty makes it difficult to evaluate long-term investments in infrastructure, technology, and resource development projects. Furthermore, increasing stakeholder expectations regarding climate action create reputational and legal risks. Organisations that fail to meet environmental commitments may face regulatory penalties, litigation, and public criticism. Consequently, BHP must ensure that its sustainability communications accurately reflect its operational performance to avoid accusations of greenwashing.</w:t>
      </w:r>
    </w:p>
    <w:p xmlns:wp14="http://schemas.microsoft.com/office/word/2010/wordml" w:rsidP="6F4FBF8A" wp14:paraId="438B3B5B" wp14:textId="6E1B3456">
      <w:pPr>
        <w:pStyle w:val="Heading3"/>
        <w:rPr>
          <w:rFonts w:ascii="Arial Nova" w:hAnsi="Arial Nova" w:eastAsia="Arial Nova" w:cs="Arial Nova"/>
          <w:b w:val="1"/>
          <w:bCs w:val="1"/>
          <w:noProof w:val="0"/>
          <w:color w:val="auto"/>
          <w:sz w:val="28"/>
          <w:szCs w:val="28"/>
          <w:lang w:val="en-US"/>
        </w:rPr>
      </w:pPr>
      <w:r w:rsidRPr="6F4FBF8A" w:rsidR="549C9345">
        <w:rPr>
          <w:rFonts w:ascii="Arial Nova" w:hAnsi="Arial Nova" w:eastAsia="Arial Nova" w:cs="Arial Nova"/>
          <w:b w:val="1"/>
          <w:bCs w:val="1"/>
          <w:noProof w:val="0"/>
          <w:color w:val="auto"/>
          <w:sz w:val="28"/>
          <w:szCs w:val="28"/>
          <w:lang w:val="en-US"/>
        </w:rPr>
        <w:t>Critical Evaluation</w:t>
      </w:r>
    </w:p>
    <w:p xmlns:wp14="http://schemas.microsoft.com/office/word/2010/wordml" w:rsidP="6F4FBF8A" wp14:paraId="197B2F8E" wp14:textId="595CF6A7">
      <w:pPr>
        <w:jc w:val="both"/>
      </w:pPr>
      <w:r w:rsidRPr="6F4FBF8A" w:rsidR="549C9345">
        <w:rPr>
          <w:rFonts w:ascii="Arial Nova" w:hAnsi="Arial Nova" w:eastAsia="Arial Nova" w:cs="Arial Nova"/>
          <w:noProof w:val="0"/>
          <w:sz w:val="24"/>
          <w:szCs w:val="24"/>
          <w:lang w:val="en-US"/>
        </w:rPr>
        <w:t>The political and regulatory environment functions as both an enabling and constraining force for BHP. While regulations increase compliance costs and operational complexity, they also create opportunities for innovation, market growth, and competitive differentiation. From a strategic perspective, BHP’s ability to anticipate regulatory developments and proactively adapt its business model may become a significant source of competitive advantage.</w:t>
      </w:r>
    </w:p>
    <w:p xmlns:wp14="http://schemas.microsoft.com/office/word/2010/wordml" w:rsidP="6F4FBF8A" wp14:paraId="3508AB5E" wp14:textId="68DF80B0">
      <w:pPr>
        <w:jc w:val="both"/>
      </w:pPr>
      <w:r w:rsidRPr="6F4FBF8A" w:rsidR="549C9345">
        <w:rPr>
          <w:rFonts w:ascii="Arial Nova" w:hAnsi="Arial Nova" w:eastAsia="Arial Nova" w:cs="Arial Nova"/>
          <w:noProof w:val="0"/>
          <w:sz w:val="24"/>
          <w:szCs w:val="24"/>
          <w:lang w:val="en-US"/>
        </w:rPr>
        <w:t>Rather than viewing regulation solely as a constraint, BHP can leverage sustainability policies to strengthen stakeholder relationships, enhance corporate reputation, and support long-term growth objectives. Organisations that embrace regulatory change proactively are often better positioned to benefit from emerging opportunities than competitors that adopt reactive approaches. Therefore, political and regulatory forces should be viewed not merely as compliance requirements but as strategic drivers shaping the future direction of the global mining industry.</w:t>
      </w:r>
    </w:p>
    <w:p xmlns:wp14="http://schemas.microsoft.com/office/word/2010/wordml" w:rsidP="6F4FBF8A" wp14:paraId="195D5D86" wp14:textId="4A4DA295">
      <w:pPr>
        <w:pStyle w:val="Heading1"/>
        <w:rPr>
          <w:rFonts w:ascii="Arial Nova" w:hAnsi="Arial Nova" w:eastAsia="Arial Nova" w:cs="Arial Nova"/>
          <w:b w:val="1"/>
          <w:bCs w:val="1"/>
          <w:noProof w:val="0"/>
          <w:color w:val="auto"/>
          <w:sz w:val="28"/>
          <w:szCs w:val="28"/>
          <w:lang w:val="en-US"/>
        </w:rPr>
      </w:pPr>
      <w:r w:rsidRPr="6F4FBF8A" w:rsidR="502D9BFD">
        <w:rPr>
          <w:rFonts w:ascii="Arial Nova" w:hAnsi="Arial Nova" w:eastAsia="Arial Nova" w:cs="Arial Nova"/>
          <w:b w:val="1"/>
          <w:bCs w:val="1"/>
          <w:noProof w:val="0"/>
          <w:color w:val="auto"/>
          <w:sz w:val="28"/>
          <w:szCs w:val="28"/>
          <w:lang w:val="en-US"/>
        </w:rPr>
        <w:t>Critical Reflection on Artificial Intelligence (AI) Usage</w:t>
      </w:r>
    </w:p>
    <w:p xmlns:wp14="http://schemas.microsoft.com/office/word/2010/wordml" w:rsidP="6F4FBF8A" wp14:paraId="2C2CF64C" wp14:textId="63196D64">
      <w:pPr>
        <w:jc w:val="both"/>
      </w:pPr>
      <w:r w:rsidRPr="6F4FBF8A" w:rsidR="502D9BFD">
        <w:rPr>
          <w:rFonts w:ascii="Arial Nova" w:hAnsi="Arial Nova" w:eastAsia="Arial Nova" w:cs="Arial Nova"/>
          <w:noProof w:val="0"/>
          <w:sz w:val="24"/>
          <w:szCs w:val="24"/>
          <w:lang w:val="en-US"/>
        </w:rPr>
        <w:t>Artificial Intelligence (AI) was used as a supporting tool throughout the preparation of this report. The primary tool utilised was ChatGPT, which assisted with generating initial report structures, identifying relevant academic concepts, summarising information, and improving the clarity and organisation of written content. AI was particularly useful during the planning stage, where it helped outline key sections and suggested the application of marketing frameworks such as the marketing environment model and the Ansoff Matrix. It also assisted in identifying potential sources related to sustainability, climate change, strategic management, and the mining industry.</w:t>
      </w:r>
    </w:p>
    <w:p xmlns:wp14="http://schemas.microsoft.com/office/word/2010/wordml" w:rsidP="6F4FBF8A" wp14:paraId="3F16E857" wp14:textId="2586FD32">
      <w:pPr>
        <w:jc w:val="both"/>
      </w:pPr>
      <w:r w:rsidRPr="6F4FBF8A" w:rsidR="502D9BFD">
        <w:rPr>
          <w:rFonts w:ascii="Arial Nova" w:hAnsi="Arial Nova" w:eastAsia="Arial Nova" w:cs="Arial Nova"/>
          <w:noProof w:val="0"/>
          <w:sz w:val="24"/>
          <w:szCs w:val="24"/>
          <w:lang w:val="en-US"/>
        </w:rPr>
        <w:t>Despite these benefits, AI was not relied upon as a primary source of evidence. All AI-generated content was treated as a starting point for further investigation rather than as verified information. The final report was developed through independent research, critical analysis, and engagement with academic literature, industry reports, and organisational publications. This approach ensured compliance with academic integrity requirements and maintained responsibility for the accuracy of the work submitted.</w:t>
      </w:r>
    </w:p>
    <w:p xmlns:wp14="http://schemas.microsoft.com/office/word/2010/wordml" w:rsidP="6F4FBF8A" wp14:paraId="7765D2C5" wp14:textId="367108A0">
      <w:pPr>
        <w:jc w:val="both"/>
      </w:pPr>
      <w:r w:rsidRPr="6F4FBF8A" w:rsidR="502D9BFD">
        <w:rPr>
          <w:rFonts w:ascii="Arial Nova" w:hAnsi="Arial Nova" w:eastAsia="Arial Nova" w:cs="Arial Nova"/>
          <w:noProof w:val="0"/>
          <w:sz w:val="24"/>
          <w:szCs w:val="24"/>
          <w:lang w:val="en-US"/>
        </w:rPr>
        <w:t>A critical evaluation of AI outputs revealed both strengths and limitations. One of the main advantages of AI is its ability to process large amounts of information quickly and present ideas in a structured format. This improved research efficiency and supported the development of a coherent report. However, generative AI systems can produce inaccurate information, unsupported claims, or fabricated references, commonly referred to as “hallucinations” (Dwivedi et al., 2023). For this reason, all information generated by AI was carefully verified against credible sources, including BHP annual reports, International Energy Agency publications, academic journal articles, and reports from organisations such as Deloitte and McKinsey.</w:t>
      </w:r>
    </w:p>
    <w:p xmlns:wp14="http://schemas.microsoft.com/office/word/2010/wordml" w:rsidP="6F4FBF8A" wp14:paraId="5950AEDC" wp14:textId="4C43D7B3">
      <w:pPr>
        <w:jc w:val="both"/>
      </w:pPr>
      <w:r w:rsidRPr="6F4FBF8A" w:rsidR="502D9BFD">
        <w:rPr>
          <w:rFonts w:ascii="Arial Nova" w:hAnsi="Arial Nova" w:eastAsia="Arial Nova" w:cs="Arial Nova"/>
          <w:noProof w:val="0"/>
          <w:sz w:val="24"/>
          <w:szCs w:val="24"/>
          <w:lang w:val="en-US"/>
        </w:rPr>
        <w:t>The verification process highlighted the importance of critical judgement when using AI. Recommendations generated by AI were assessed using established theories, including Porter’s Competitive Advantage model and the Ansoff Matrix, to determine whether they were academically valid and relevant to BHP’s strategic context. Any information that could not be confirmed through reliable sources was removed or revised. This process reinforced the understanding that AI should support, rather than replace, analytical thinking and evidence-based decision-making.</w:t>
      </w:r>
    </w:p>
    <w:p xmlns:wp14="http://schemas.microsoft.com/office/word/2010/wordml" w:rsidP="6F4FBF8A" wp14:paraId="0CAAB0E8" wp14:textId="23025A2C">
      <w:pPr>
        <w:jc w:val="both"/>
      </w:pPr>
      <w:r w:rsidRPr="6F4FBF8A" w:rsidR="502D9BFD">
        <w:rPr>
          <w:rFonts w:ascii="Arial Nova" w:hAnsi="Arial Nova" w:eastAsia="Arial Nova" w:cs="Arial Nova"/>
          <w:noProof w:val="0"/>
          <w:sz w:val="24"/>
          <w:szCs w:val="24"/>
          <w:lang w:val="en-US"/>
        </w:rPr>
        <w:t>The distinction between AI contributions and independent work was also important. AI assisted with structuring content, refining language, and organising information. However, the selection of BHP as the focus organisation, the identification of the natural and political-regulatory environments as key external influences, and the recommendation of a product development strategy were based on independent analysis. The interpretation of sustainability challenges, evaluation of competitive advantages, and synthesis of evidence from multiple sources were developed through personal engagement with academic and industry literature.</w:t>
      </w:r>
    </w:p>
    <w:p xmlns:wp14="http://schemas.microsoft.com/office/word/2010/wordml" w:rsidP="6F4FBF8A" wp14:paraId="6788E784" wp14:textId="479EE370">
      <w:pPr>
        <w:jc w:val="both"/>
      </w:pPr>
      <w:r w:rsidRPr="6F4FBF8A" w:rsidR="502D9BFD">
        <w:rPr>
          <w:rFonts w:ascii="Arial Nova" w:hAnsi="Arial Nova" w:eastAsia="Arial Nova" w:cs="Arial Nova"/>
          <w:noProof w:val="0"/>
          <w:sz w:val="24"/>
          <w:szCs w:val="24"/>
          <w:lang w:val="en-US"/>
        </w:rPr>
        <w:t xml:space="preserve">From an ethical and professional perspective, the use of AI raises </w:t>
      </w:r>
      <w:r w:rsidRPr="6F4FBF8A" w:rsidR="502D9BFD">
        <w:rPr>
          <w:rFonts w:ascii="Arial Nova" w:hAnsi="Arial Nova" w:eastAsia="Arial Nova" w:cs="Arial Nova"/>
          <w:noProof w:val="0"/>
          <w:sz w:val="24"/>
          <w:szCs w:val="24"/>
          <w:lang w:val="en-US"/>
        </w:rPr>
        <w:t>important issues</w:t>
      </w:r>
      <w:r w:rsidRPr="6F4FBF8A" w:rsidR="502D9BFD">
        <w:rPr>
          <w:rFonts w:ascii="Arial Nova" w:hAnsi="Arial Nova" w:eastAsia="Arial Nova" w:cs="Arial Nova"/>
          <w:noProof w:val="0"/>
          <w:sz w:val="24"/>
          <w:szCs w:val="24"/>
          <w:lang w:val="en-US"/>
        </w:rPr>
        <w:t xml:space="preserve"> relating to transparency, accountability, bias, and academic integrity. Students and professionals must </w:t>
      </w:r>
      <w:r w:rsidRPr="6F4FBF8A" w:rsidR="502D9BFD">
        <w:rPr>
          <w:rFonts w:ascii="Arial Nova" w:hAnsi="Arial Nova" w:eastAsia="Arial Nova" w:cs="Arial Nova"/>
          <w:noProof w:val="0"/>
          <w:sz w:val="24"/>
          <w:szCs w:val="24"/>
          <w:lang w:val="en-US"/>
        </w:rPr>
        <w:t>disclose</w:t>
      </w:r>
      <w:r w:rsidRPr="6F4FBF8A" w:rsidR="502D9BFD">
        <w:rPr>
          <w:rFonts w:ascii="Arial Nova" w:hAnsi="Arial Nova" w:eastAsia="Arial Nova" w:cs="Arial Nova"/>
          <w:noProof w:val="0"/>
          <w:sz w:val="24"/>
          <w:szCs w:val="24"/>
          <w:lang w:val="en-US"/>
        </w:rPr>
        <w:t xml:space="preserve"> AI usage and ensure that outputs are critically evaluated before being applied. Overreliance on AI may reduce opportunities for independent learning and critical thinking. Therefore, AI should be viewed as a complementary tool that enhances productivity while </w:t>
      </w:r>
      <w:r w:rsidRPr="6F4FBF8A" w:rsidR="502D9BFD">
        <w:rPr>
          <w:rFonts w:ascii="Arial Nova" w:hAnsi="Arial Nova" w:eastAsia="Arial Nova" w:cs="Arial Nova"/>
          <w:noProof w:val="0"/>
          <w:sz w:val="24"/>
          <w:szCs w:val="24"/>
          <w:lang w:val="en-US"/>
        </w:rPr>
        <w:t>remaining</w:t>
      </w:r>
      <w:r w:rsidRPr="6F4FBF8A" w:rsidR="502D9BFD">
        <w:rPr>
          <w:rFonts w:ascii="Arial Nova" w:hAnsi="Arial Nova" w:eastAsia="Arial Nova" w:cs="Arial Nova"/>
          <w:noProof w:val="0"/>
          <w:sz w:val="24"/>
          <w:szCs w:val="24"/>
          <w:lang w:val="en-US"/>
        </w:rPr>
        <w:t xml:space="preserve"> subject to human oversight. Overall, this experience </w:t>
      </w:r>
      <w:r w:rsidRPr="6F4FBF8A" w:rsidR="502D9BFD">
        <w:rPr>
          <w:rFonts w:ascii="Arial Nova" w:hAnsi="Arial Nova" w:eastAsia="Arial Nova" w:cs="Arial Nova"/>
          <w:noProof w:val="0"/>
          <w:sz w:val="24"/>
          <w:szCs w:val="24"/>
          <w:lang w:val="en-US"/>
        </w:rPr>
        <w:t>demonstrated</w:t>
      </w:r>
      <w:r w:rsidRPr="6F4FBF8A" w:rsidR="502D9BFD">
        <w:rPr>
          <w:rFonts w:ascii="Arial Nova" w:hAnsi="Arial Nova" w:eastAsia="Arial Nova" w:cs="Arial Nova"/>
          <w:noProof w:val="0"/>
          <w:sz w:val="24"/>
          <w:szCs w:val="24"/>
          <w:lang w:val="en-US"/>
        </w:rPr>
        <w:t xml:space="preserve"> that effective use of AI requires a balance between technological </w:t>
      </w:r>
      <w:r w:rsidRPr="6F4FBF8A" w:rsidR="502D9BFD">
        <w:rPr>
          <w:rFonts w:ascii="Arial Nova" w:hAnsi="Arial Nova" w:eastAsia="Arial Nova" w:cs="Arial Nova"/>
          <w:noProof w:val="0"/>
          <w:sz w:val="24"/>
          <w:szCs w:val="24"/>
          <w:lang w:val="en-US"/>
        </w:rPr>
        <w:t>assistance</w:t>
      </w:r>
      <w:r w:rsidRPr="6F4FBF8A" w:rsidR="502D9BFD">
        <w:rPr>
          <w:rFonts w:ascii="Arial Nova" w:hAnsi="Arial Nova" w:eastAsia="Arial Nova" w:cs="Arial Nova"/>
          <w:noProof w:val="0"/>
          <w:sz w:val="24"/>
          <w:szCs w:val="24"/>
          <w:lang w:val="en-US"/>
        </w:rPr>
        <w:t xml:space="preserve"> and independent judgement, ensuring that final conclusions </w:t>
      </w:r>
      <w:r w:rsidRPr="6F4FBF8A" w:rsidR="502D9BFD">
        <w:rPr>
          <w:rFonts w:ascii="Arial Nova" w:hAnsi="Arial Nova" w:eastAsia="Arial Nova" w:cs="Arial Nova"/>
          <w:noProof w:val="0"/>
          <w:sz w:val="24"/>
          <w:szCs w:val="24"/>
          <w:lang w:val="en-US"/>
        </w:rPr>
        <w:t>remain</w:t>
      </w:r>
      <w:r w:rsidRPr="6F4FBF8A" w:rsidR="502D9BFD">
        <w:rPr>
          <w:rFonts w:ascii="Arial Nova" w:hAnsi="Arial Nova" w:eastAsia="Arial Nova" w:cs="Arial Nova"/>
          <w:noProof w:val="0"/>
          <w:sz w:val="24"/>
          <w:szCs w:val="24"/>
          <w:lang w:val="en-US"/>
        </w:rPr>
        <w:t xml:space="preserve"> </w:t>
      </w:r>
      <w:r w:rsidRPr="6F4FBF8A" w:rsidR="502D9BFD">
        <w:rPr>
          <w:rFonts w:ascii="Arial Nova" w:hAnsi="Arial Nova" w:eastAsia="Arial Nova" w:cs="Arial Nova"/>
          <w:noProof w:val="0"/>
          <w:sz w:val="24"/>
          <w:szCs w:val="24"/>
          <w:lang w:val="en-US"/>
        </w:rPr>
        <w:t>accurate</w:t>
      </w:r>
      <w:r w:rsidRPr="6F4FBF8A" w:rsidR="502D9BFD">
        <w:rPr>
          <w:rFonts w:ascii="Arial Nova" w:hAnsi="Arial Nova" w:eastAsia="Arial Nova" w:cs="Arial Nova"/>
          <w:noProof w:val="0"/>
          <w:sz w:val="24"/>
          <w:szCs w:val="24"/>
          <w:lang w:val="en-US"/>
        </w:rPr>
        <w:t>, credible, and academically rigorous.</w:t>
      </w:r>
    </w:p>
    <w:p xmlns:wp14="http://schemas.microsoft.com/office/word/2010/wordml" wp14:paraId="7F3DD0C6" wp14:textId="77245689"/>
    <w:p xmlns:wp14="http://schemas.microsoft.com/office/word/2010/wordml" w:rsidP="6F4FBF8A" wp14:paraId="7755FFD9" wp14:textId="7D85822D">
      <w:pPr>
        <w:pStyle w:val="Heading1"/>
        <w:rPr>
          <w:rFonts w:ascii="Arial Nova" w:hAnsi="Arial Nova" w:eastAsia="Arial Nova" w:cs="Arial Nova"/>
          <w:b w:val="1"/>
          <w:bCs w:val="1"/>
          <w:noProof w:val="0"/>
          <w:color w:val="auto"/>
          <w:sz w:val="28"/>
          <w:szCs w:val="28"/>
          <w:lang w:val="en-US"/>
        </w:rPr>
      </w:pPr>
      <w:r w:rsidRPr="6F4FBF8A" w:rsidR="747E18ED">
        <w:rPr>
          <w:rFonts w:ascii="Arial Nova" w:hAnsi="Arial Nova" w:eastAsia="Arial Nova" w:cs="Arial Nova"/>
          <w:b w:val="1"/>
          <w:bCs w:val="1"/>
          <w:noProof w:val="0"/>
          <w:color w:val="auto"/>
          <w:sz w:val="28"/>
          <w:szCs w:val="28"/>
          <w:lang w:val="en-US"/>
        </w:rPr>
        <w:t xml:space="preserve">References </w:t>
      </w:r>
    </w:p>
    <w:p xmlns:wp14="http://schemas.microsoft.com/office/word/2010/wordml" wp14:paraId="76339C1C" wp14:textId="2012BAB7">
      <w:r w:rsidRPr="6F4FBF8A" w:rsidR="747E18ED">
        <w:rPr>
          <w:rFonts w:ascii="Arial Nova" w:hAnsi="Arial Nova" w:eastAsia="Arial Nova" w:cs="Arial Nova"/>
          <w:noProof w:val="0"/>
          <w:sz w:val="24"/>
          <w:szCs w:val="24"/>
          <w:lang w:val="en-US"/>
        </w:rPr>
        <w:t xml:space="preserve">Ansoff, H.I. (1957) ‘Strategies for diversification’, </w:t>
      </w:r>
      <w:r w:rsidRPr="6F4FBF8A" w:rsidR="747E18ED">
        <w:rPr>
          <w:rFonts w:ascii="Arial Nova" w:hAnsi="Arial Nova" w:eastAsia="Arial Nova" w:cs="Arial Nova"/>
          <w:i w:val="1"/>
          <w:iCs w:val="1"/>
          <w:noProof w:val="0"/>
          <w:sz w:val="24"/>
          <w:szCs w:val="24"/>
          <w:lang w:val="en-US"/>
        </w:rPr>
        <w:t>Harvard Business Review</w:t>
      </w:r>
      <w:r w:rsidRPr="6F4FBF8A" w:rsidR="747E18ED">
        <w:rPr>
          <w:rFonts w:ascii="Arial Nova" w:hAnsi="Arial Nova" w:eastAsia="Arial Nova" w:cs="Arial Nova"/>
          <w:noProof w:val="0"/>
          <w:sz w:val="24"/>
          <w:szCs w:val="24"/>
          <w:lang w:val="en-US"/>
        </w:rPr>
        <w:t>, 35(5), pp. 113–124.</w:t>
      </w:r>
    </w:p>
    <w:p xmlns:wp14="http://schemas.microsoft.com/office/word/2010/wordml" wp14:paraId="4A29C356" wp14:textId="6188C0CA">
      <w:r w:rsidRPr="6F4FBF8A" w:rsidR="747E18ED">
        <w:rPr>
          <w:rFonts w:ascii="Arial Nova" w:hAnsi="Arial Nova" w:eastAsia="Arial Nova" w:cs="Arial Nova"/>
          <w:noProof w:val="0"/>
          <w:sz w:val="24"/>
          <w:szCs w:val="24"/>
          <w:lang w:val="en-US"/>
        </w:rPr>
        <w:t xml:space="preserve">BHP (2025) </w:t>
      </w:r>
      <w:r w:rsidRPr="6F4FBF8A" w:rsidR="747E18ED">
        <w:rPr>
          <w:rFonts w:ascii="Arial Nova" w:hAnsi="Arial Nova" w:eastAsia="Arial Nova" w:cs="Arial Nova"/>
          <w:i w:val="1"/>
          <w:iCs w:val="1"/>
          <w:noProof w:val="0"/>
          <w:sz w:val="24"/>
          <w:szCs w:val="24"/>
          <w:lang w:val="en-US"/>
        </w:rPr>
        <w:t>Annual Report 2025</w:t>
      </w:r>
      <w:r w:rsidRPr="6F4FBF8A" w:rsidR="747E18ED">
        <w:rPr>
          <w:rFonts w:ascii="Arial Nova" w:hAnsi="Arial Nova" w:eastAsia="Arial Nova" w:cs="Arial Nova"/>
          <w:noProof w:val="0"/>
          <w:sz w:val="24"/>
          <w:szCs w:val="24"/>
          <w:lang w:val="en-US"/>
        </w:rPr>
        <w:t>. Melbourne: BHP Group.</w:t>
      </w:r>
    </w:p>
    <w:p xmlns:wp14="http://schemas.microsoft.com/office/word/2010/wordml" wp14:paraId="767BA178" wp14:textId="0F27FC74">
      <w:r w:rsidRPr="6F4FBF8A" w:rsidR="747E18ED">
        <w:rPr>
          <w:rFonts w:ascii="Arial Nova" w:hAnsi="Arial Nova" w:eastAsia="Arial Nova" w:cs="Arial Nova"/>
          <w:noProof w:val="0"/>
          <w:sz w:val="24"/>
          <w:szCs w:val="24"/>
          <w:lang w:val="en-US"/>
        </w:rPr>
        <w:t xml:space="preserve">BHP (2025) </w:t>
      </w:r>
      <w:r w:rsidRPr="6F4FBF8A" w:rsidR="747E18ED">
        <w:rPr>
          <w:rFonts w:ascii="Arial Nova" w:hAnsi="Arial Nova" w:eastAsia="Arial Nova" w:cs="Arial Nova"/>
          <w:i w:val="1"/>
          <w:iCs w:val="1"/>
          <w:noProof w:val="0"/>
          <w:sz w:val="24"/>
          <w:szCs w:val="24"/>
          <w:lang w:val="en-US"/>
        </w:rPr>
        <w:t>Climate Transition Action Plan</w:t>
      </w:r>
      <w:r w:rsidRPr="6F4FBF8A" w:rsidR="747E18ED">
        <w:rPr>
          <w:rFonts w:ascii="Arial Nova" w:hAnsi="Arial Nova" w:eastAsia="Arial Nova" w:cs="Arial Nova"/>
          <w:noProof w:val="0"/>
          <w:sz w:val="24"/>
          <w:szCs w:val="24"/>
          <w:lang w:val="en-US"/>
        </w:rPr>
        <w:t>. Melbourne: BHP Group.</w:t>
      </w:r>
    </w:p>
    <w:p xmlns:wp14="http://schemas.microsoft.com/office/word/2010/wordml" wp14:paraId="31462BB5" wp14:textId="6779D681">
      <w:r w:rsidRPr="6F4FBF8A" w:rsidR="747E18ED">
        <w:rPr>
          <w:rFonts w:ascii="Arial Nova" w:hAnsi="Arial Nova" w:eastAsia="Arial Nova" w:cs="Arial Nova"/>
          <w:noProof w:val="0"/>
          <w:sz w:val="24"/>
          <w:szCs w:val="24"/>
          <w:lang w:val="en-US"/>
        </w:rPr>
        <w:t xml:space="preserve">BlackRock (2025) </w:t>
      </w:r>
      <w:r w:rsidRPr="6F4FBF8A" w:rsidR="747E18ED">
        <w:rPr>
          <w:rFonts w:ascii="Arial Nova" w:hAnsi="Arial Nova" w:eastAsia="Arial Nova" w:cs="Arial Nova"/>
          <w:i w:val="1"/>
          <w:iCs w:val="1"/>
          <w:noProof w:val="0"/>
          <w:sz w:val="24"/>
          <w:szCs w:val="24"/>
          <w:lang w:val="en-US"/>
        </w:rPr>
        <w:t>Global Investment Stewardship Report</w:t>
      </w:r>
      <w:r w:rsidRPr="6F4FBF8A" w:rsidR="747E18ED">
        <w:rPr>
          <w:rFonts w:ascii="Arial Nova" w:hAnsi="Arial Nova" w:eastAsia="Arial Nova" w:cs="Arial Nova"/>
          <w:noProof w:val="0"/>
          <w:sz w:val="24"/>
          <w:szCs w:val="24"/>
          <w:lang w:val="en-US"/>
        </w:rPr>
        <w:t>. New York: BlackRock.</w:t>
      </w:r>
    </w:p>
    <w:p xmlns:wp14="http://schemas.microsoft.com/office/word/2010/wordml" wp14:paraId="2ACA584E" wp14:textId="3BCFF400">
      <w:r w:rsidRPr="6F4FBF8A" w:rsidR="747E18ED">
        <w:rPr>
          <w:rFonts w:ascii="Arial Nova" w:hAnsi="Arial Nova" w:eastAsia="Arial Nova" w:cs="Arial Nova"/>
          <w:noProof w:val="0"/>
          <w:sz w:val="24"/>
          <w:szCs w:val="24"/>
          <w:lang w:val="en-US"/>
        </w:rPr>
        <w:t xml:space="preserve">Deloitte (2024) </w:t>
      </w:r>
      <w:r w:rsidRPr="6F4FBF8A" w:rsidR="747E18ED">
        <w:rPr>
          <w:rFonts w:ascii="Arial Nova" w:hAnsi="Arial Nova" w:eastAsia="Arial Nova" w:cs="Arial Nova"/>
          <w:i w:val="1"/>
          <w:iCs w:val="1"/>
          <w:noProof w:val="0"/>
          <w:sz w:val="24"/>
          <w:szCs w:val="24"/>
          <w:lang w:val="en-US"/>
        </w:rPr>
        <w:t>Tracking the Trends 2024: The Top 10 Issues Transforming the Future of Mining</w:t>
      </w:r>
      <w:r w:rsidRPr="6F4FBF8A" w:rsidR="747E18ED">
        <w:rPr>
          <w:rFonts w:ascii="Arial Nova" w:hAnsi="Arial Nova" w:eastAsia="Arial Nova" w:cs="Arial Nova"/>
          <w:noProof w:val="0"/>
          <w:sz w:val="24"/>
          <w:szCs w:val="24"/>
          <w:lang w:val="en-US"/>
        </w:rPr>
        <w:t>. London: Deloitte.</w:t>
      </w:r>
    </w:p>
    <w:p xmlns:wp14="http://schemas.microsoft.com/office/word/2010/wordml" wp14:paraId="7B9DD649" wp14:textId="3655E6A9">
      <w:r w:rsidRPr="6F4FBF8A" w:rsidR="747E18ED">
        <w:rPr>
          <w:rFonts w:ascii="Arial Nova" w:hAnsi="Arial Nova" w:eastAsia="Arial Nova" w:cs="Arial Nova"/>
          <w:noProof w:val="0"/>
          <w:sz w:val="24"/>
          <w:szCs w:val="24"/>
          <w:lang w:val="en-US"/>
        </w:rPr>
        <w:t xml:space="preserve">Dwivedi, Y.K. et al. (2023) ‘So what if ChatGPT wrote it? Multidisciplinary perspectives on opportunities, challenges and implications of generative conversational AI’, </w:t>
      </w:r>
      <w:r w:rsidRPr="6F4FBF8A" w:rsidR="747E18ED">
        <w:rPr>
          <w:rFonts w:ascii="Arial Nova" w:hAnsi="Arial Nova" w:eastAsia="Arial Nova" w:cs="Arial Nova"/>
          <w:i w:val="1"/>
          <w:iCs w:val="1"/>
          <w:noProof w:val="0"/>
          <w:sz w:val="24"/>
          <w:szCs w:val="24"/>
          <w:lang w:val="en-US"/>
        </w:rPr>
        <w:t>International Journal of Information Management</w:t>
      </w:r>
      <w:r w:rsidRPr="6F4FBF8A" w:rsidR="747E18ED">
        <w:rPr>
          <w:rFonts w:ascii="Arial Nova" w:hAnsi="Arial Nova" w:eastAsia="Arial Nova" w:cs="Arial Nova"/>
          <w:noProof w:val="0"/>
          <w:sz w:val="24"/>
          <w:szCs w:val="24"/>
          <w:lang w:val="en-US"/>
        </w:rPr>
        <w:t>, 71, 102642.</w:t>
      </w:r>
    </w:p>
    <w:p xmlns:wp14="http://schemas.microsoft.com/office/word/2010/wordml" wp14:paraId="5E74429D" wp14:textId="70C16853">
      <w:r w:rsidRPr="6F4FBF8A" w:rsidR="747E18ED">
        <w:rPr>
          <w:rFonts w:ascii="Arial Nova" w:hAnsi="Arial Nova" w:eastAsia="Arial Nova" w:cs="Arial Nova"/>
          <w:noProof w:val="0"/>
          <w:sz w:val="24"/>
          <w:szCs w:val="24"/>
          <w:lang w:val="en-US"/>
        </w:rPr>
        <w:t xml:space="preserve">Eccles, R.G. and Klimenko, S. (2019) ‘The investor revolution’, </w:t>
      </w:r>
      <w:r w:rsidRPr="6F4FBF8A" w:rsidR="747E18ED">
        <w:rPr>
          <w:rFonts w:ascii="Arial Nova" w:hAnsi="Arial Nova" w:eastAsia="Arial Nova" w:cs="Arial Nova"/>
          <w:i w:val="1"/>
          <w:iCs w:val="1"/>
          <w:noProof w:val="0"/>
          <w:sz w:val="24"/>
          <w:szCs w:val="24"/>
          <w:lang w:val="en-US"/>
        </w:rPr>
        <w:t>Harvard Business Review</w:t>
      </w:r>
      <w:r w:rsidRPr="6F4FBF8A" w:rsidR="747E18ED">
        <w:rPr>
          <w:rFonts w:ascii="Arial Nova" w:hAnsi="Arial Nova" w:eastAsia="Arial Nova" w:cs="Arial Nova"/>
          <w:noProof w:val="0"/>
          <w:sz w:val="24"/>
          <w:szCs w:val="24"/>
          <w:lang w:val="en-US"/>
        </w:rPr>
        <w:t>, 97(3), pp. 106–116.</w:t>
      </w:r>
    </w:p>
    <w:p xmlns:wp14="http://schemas.microsoft.com/office/word/2010/wordml" wp14:paraId="183A94E8" wp14:textId="315AA3B9">
      <w:r w:rsidRPr="6F4FBF8A" w:rsidR="747E18ED">
        <w:rPr>
          <w:rFonts w:ascii="Arial Nova" w:hAnsi="Arial Nova" w:eastAsia="Arial Nova" w:cs="Arial Nova"/>
          <w:noProof w:val="0"/>
          <w:sz w:val="24"/>
          <w:szCs w:val="24"/>
          <w:lang w:val="en-US"/>
        </w:rPr>
        <w:t xml:space="preserve">European Commission (2024) </w:t>
      </w:r>
      <w:r w:rsidRPr="6F4FBF8A" w:rsidR="747E18ED">
        <w:rPr>
          <w:rFonts w:ascii="Arial Nova" w:hAnsi="Arial Nova" w:eastAsia="Arial Nova" w:cs="Arial Nova"/>
          <w:i w:val="1"/>
          <w:iCs w:val="1"/>
          <w:noProof w:val="0"/>
          <w:sz w:val="24"/>
          <w:szCs w:val="24"/>
          <w:lang w:val="en-US"/>
        </w:rPr>
        <w:t>Critical Raw Materials Act</w:t>
      </w:r>
      <w:r w:rsidRPr="6F4FBF8A" w:rsidR="747E18ED">
        <w:rPr>
          <w:rFonts w:ascii="Arial Nova" w:hAnsi="Arial Nova" w:eastAsia="Arial Nova" w:cs="Arial Nova"/>
          <w:noProof w:val="0"/>
          <w:sz w:val="24"/>
          <w:szCs w:val="24"/>
          <w:lang w:val="en-US"/>
        </w:rPr>
        <w:t>. Brussels: European Commission.</w:t>
      </w:r>
    </w:p>
    <w:p xmlns:wp14="http://schemas.microsoft.com/office/word/2010/wordml" wp14:paraId="19178CF0" wp14:textId="00C2D69F">
      <w:r w:rsidRPr="6F4FBF8A" w:rsidR="747E18ED">
        <w:rPr>
          <w:rFonts w:ascii="Arial Nova" w:hAnsi="Arial Nova" w:eastAsia="Arial Nova" w:cs="Arial Nova"/>
          <w:noProof w:val="0"/>
          <w:sz w:val="24"/>
          <w:szCs w:val="24"/>
          <w:lang w:val="en-US"/>
        </w:rPr>
        <w:t xml:space="preserve">International Energy Agency (2024) </w:t>
      </w:r>
      <w:r w:rsidRPr="6F4FBF8A" w:rsidR="747E18ED">
        <w:rPr>
          <w:rFonts w:ascii="Arial Nova" w:hAnsi="Arial Nova" w:eastAsia="Arial Nova" w:cs="Arial Nova"/>
          <w:i w:val="1"/>
          <w:iCs w:val="1"/>
          <w:noProof w:val="0"/>
          <w:sz w:val="24"/>
          <w:szCs w:val="24"/>
          <w:lang w:val="en-US"/>
        </w:rPr>
        <w:t>Global Critical Minerals Outlook 2024</w:t>
      </w:r>
      <w:r w:rsidRPr="6F4FBF8A" w:rsidR="747E18ED">
        <w:rPr>
          <w:rFonts w:ascii="Arial Nova" w:hAnsi="Arial Nova" w:eastAsia="Arial Nova" w:cs="Arial Nova"/>
          <w:noProof w:val="0"/>
          <w:sz w:val="24"/>
          <w:szCs w:val="24"/>
          <w:lang w:val="en-US"/>
        </w:rPr>
        <w:t>. Paris: IEA.</w:t>
      </w:r>
    </w:p>
    <w:p xmlns:wp14="http://schemas.microsoft.com/office/word/2010/wordml" wp14:paraId="49E09F89" wp14:textId="20A10D9B">
      <w:r w:rsidRPr="6F4FBF8A" w:rsidR="747E18ED">
        <w:rPr>
          <w:rFonts w:ascii="Arial Nova" w:hAnsi="Arial Nova" w:eastAsia="Arial Nova" w:cs="Arial Nova"/>
          <w:noProof w:val="0"/>
          <w:sz w:val="24"/>
          <w:szCs w:val="24"/>
          <w:lang w:val="en-US"/>
        </w:rPr>
        <w:t xml:space="preserve">Kotler, P., Armstrong, G., Harris, L.C. and He, H. (2024) </w:t>
      </w:r>
      <w:r w:rsidRPr="6F4FBF8A" w:rsidR="747E18ED">
        <w:rPr>
          <w:rFonts w:ascii="Arial Nova" w:hAnsi="Arial Nova" w:eastAsia="Arial Nova" w:cs="Arial Nova"/>
          <w:i w:val="1"/>
          <w:iCs w:val="1"/>
          <w:noProof w:val="0"/>
          <w:sz w:val="24"/>
          <w:szCs w:val="24"/>
          <w:lang w:val="en-US"/>
        </w:rPr>
        <w:t>Principles of Marketing</w:t>
      </w:r>
      <w:r w:rsidRPr="6F4FBF8A" w:rsidR="747E18ED">
        <w:rPr>
          <w:rFonts w:ascii="Arial Nova" w:hAnsi="Arial Nova" w:eastAsia="Arial Nova" w:cs="Arial Nova"/>
          <w:noProof w:val="0"/>
          <w:sz w:val="24"/>
          <w:szCs w:val="24"/>
          <w:lang w:val="en-US"/>
        </w:rPr>
        <w:t>. 19th edn. Harlow: Pearson.</w:t>
      </w:r>
    </w:p>
    <w:p xmlns:wp14="http://schemas.microsoft.com/office/word/2010/wordml" wp14:paraId="635BA58D" wp14:textId="17A42E73">
      <w:r w:rsidRPr="6F4FBF8A" w:rsidR="747E18ED">
        <w:rPr>
          <w:rFonts w:ascii="Arial Nova" w:hAnsi="Arial Nova" w:eastAsia="Arial Nova" w:cs="Arial Nova"/>
          <w:noProof w:val="0"/>
          <w:sz w:val="24"/>
          <w:szCs w:val="24"/>
          <w:lang w:val="en-US"/>
        </w:rPr>
        <w:t xml:space="preserve">McKinsey &amp; Company (2024) </w:t>
      </w:r>
      <w:r w:rsidRPr="6F4FBF8A" w:rsidR="747E18ED">
        <w:rPr>
          <w:rFonts w:ascii="Arial Nova" w:hAnsi="Arial Nova" w:eastAsia="Arial Nova" w:cs="Arial Nova"/>
          <w:i w:val="1"/>
          <w:iCs w:val="1"/>
          <w:noProof w:val="0"/>
          <w:sz w:val="24"/>
          <w:szCs w:val="24"/>
          <w:lang w:val="en-US"/>
        </w:rPr>
        <w:t>The Net-Zero Transition and Mining Industry Opportunities</w:t>
      </w:r>
      <w:r w:rsidRPr="6F4FBF8A" w:rsidR="747E18ED">
        <w:rPr>
          <w:rFonts w:ascii="Arial Nova" w:hAnsi="Arial Nova" w:eastAsia="Arial Nova" w:cs="Arial Nova"/>
          <w:noProof w:val="0"/>
          <w:sz w:val="24"/>
          <w:szCs w:val="24"/>
          <w:lang w:val="en-US"/>
        </w:rPr>
        <w:t>. New York: McKinsey.</w:t>
      </w:r>
    </w:p>
    <w:p xmlns:wp14="http://schemas.microsoft.com/office/word/2010/wordml" wp14:paraId="347E0A86" wp14:textId="6F66C78D">
      <w:r w:rsidRPr="6F4FBF8A" w:rsidR="747E18ED">
        <w:rPr>
          <w:rFonts w:ascii="Arial Nova" w:hAnsi="Arial Nova" w:eastAsia="Arial Nova" w:cs="Arial Nova"/>
          <w:noProof w:val="0"/>
          <w:sz w:val="24"/>
          <w:szCs w:val="24"/>
          <w:lang w:val="en-US"/>
        </w:rPr>
        <w:t xml:space="preserve">Porter, M.E. (1985) </w:t>
      </w:r>
      <w:r w:rsidRPr="6F4FBF8A" w:rsidR="747E18ED">
        <w:rPr>
          <w:rFonts w:ascii="Arial Nova" w:hAnsi="Arial Nova" w:eastAsia="Arial Nova" w:cs="Arial Nova"/>
          <w:i w:val="1"/>
          <w:iCs w:val="1"/>
          <w:noProof w:val="0"/>
          <w:sz w:val="24"/>
          <w:szCs w:val="24"/>
          <w:lang w:val="en-US"/>
        </w:rPr>
        <w:t>Competitive Advantage: Creating and Sustaining Superior Performance</w:t>
      </w:r>
      <w:r w:rsidRPr="6F4FBF8A" w:rsidR="747E18ED">
        <w:rPr>
          <w:rFonts w:ascii="Arial Nova" w:hAnsi="Arial Nova" w:eastAsia="Arial Nova" w:cs="Arial Nova"/>
          <w:noProof w:val="0"/>
          <w:sz w:val="24"/>
          <w:szCs w:val="24"/>
          <w:lang w:val="en-US"/>
        </w:rPr>
        <w:t>. New York: Free Press.</w:t>
      </w:r>
    </w:p>
    <w:p xmlns:wp14="http://schemas.microsoft.com/office/word/2010/wordml" wp14:paraId="450DEFCB" wp14:textId="3AB797BB">
      <w:r w:rsidRPr="6F4FBF8A" w:rsidR="747E18ED">
        <w:rPr>
          <w:rFonts w:ascii="Arial Nova" w:hAnsi="Arial Nova" w:eastAsia="Arial Nova" w:cs="Arial Nova"/>
          <w:noProof w:val="0"/>
          <w:sz w:val="24"/>
          <w:szCs w:val="24"/>
          <w:lang w:val="en-US"/>
        </w:rPr>
        <w:t xml:space="preserve">Porter, M.E. and Kramer, M.R. (2019) ‘Creating shared value’, </w:t>
      </w:r>
      <w:r w:rsidRPr="6F4FBF8A" w:rsidR="747E18ED">
        <w:rPr>
          <w:rFonts w:ascii="Arial Nova" w:hAnsi="Arial Nova" w:eastAsia="Arial Nova" w:cs="Arial Nova"/>
          <w:i w:val="1"/>
          <w:iCs w:val="1"/>
          <w:noProof w:val="0"/>
          <w:sz w:val="24"/>
          <w:szCs w:val="24"/>
          <w:lang w:val="en-US"/>
        </w:rPr>
        <w:t>Harvard Business Review</w:t>
      </w:r>
      <w:r w:rsidRPr="6F4FBF8A" w:rsidR="747E18ED">
        <w:rPr>
          <w:rFonts w:ascii="Arial Nova" w:hAnsi="Arial Nova" w:eastAsia="Arial Nova" w:cs="Arial Nova"/>
          <w:noProof w:val="0"/>
          <w:sz w:val="24"/>
          <w:szCs w:val="24"/>
          <w:lang w:val="en-US"/>
        </w:rPr>
        <w:t>, 97(1), pp. 62–77.</w:t>
      </w:r>
    </w:p>
    <w:p xmlns:wp14="http://schemas.microsoft.com/office/word/2010/wordml" wp14:paraId="4689E5BA" wp14:textId="2C132E3E">
      <w:r w:rsidRPr="6F4FBF8A" w:rsidR="747E18ED">
        <w:rPr>
          <w:rFonts w:ascii="Arial Nova" w:hAnsi="Arial Nova" w:eastAsia="Arial Nova" w:cs="Arial Nova"/>
          <w:noProof w:val="0"/>
          <w:sz w:val="24"/>
          <w:szCs w:val="24"/>
          <w:lang w:val="en-US"/>
        </w:rPr>
        <w:t xml:space="preserve">Schumpeter, J.A. (1942) </w:t>
      </w:r>
      <w:r w:rsidRPr="6F4FBF8A" w:rsidR="747E18ED">
        <w:rPr>
          <w:rFonts w:ascii="Arial Nova" w:hAnsi="Arial Nova" w:eastAsia="Arial Nova" w:cs="Arial Nova"/>
          <w:i w:val="1"/>
          <w:iCs w:val="1"/>
          <w:noProof w:val="0"/>
          <w:sz w:val="24"/>
          <w:szCs w:val="24"/>
          <w:lang w:val="en-US"/>
        </w:rPr>
        <w:t>Capitalism, Socialism and Democracy</w:t>
      </w:r>
      <w:r w:rsidRPr="6F4FBF8A" w:rsidR="747E18ED">
        <w:rPr>
          <w:rFonts w:ascii="Arial Nova" w:hAnsi="Arial Nova" w:eastAsia="Arial Nova" w:cs="Arial Nova"/>
          <w:noProof w:val="0"/>
          <w:sz w:val="24"/>
          <w:szCs w:val="24"/>
          <w:lang w:val="en-US"/>
        </w:rPr>
        <w:t>. New York: Harper &amp; Brothers.</w:t>
      </w:r>
    </w:p>
    <w:p xmlns:wp14="http://schemas.microsoft.com/office/word/2010/wordml" wp14:paraId="311B22D5" wp14:textId="23AADFFB">
      <w:r w:rsidRPr="6F4FBF8A" w:rsidR="747E18ED">
        <w:rPr>
          <w:rFonts w:ascii="Arial Nova" w:hAnsi="Arial Nova" w:eastAsia="Arial Nova" w:cs="Arial Nova"/>
          <w:noProof w:val="0"/>
          <w:sz w:val="24"/>
          <w:szCs w:val="24"/>
          <w:lang w:val="en-US"/>
        </w:rPr>
        <w:t xml:space="preserve">World Steel Association (2024) </w:t>
      </w:r>
      <w:r w:rsidRPr="6F4FBF8A" w:rsidR="747E18ED">
        <w:rPr>
          <w:rFonts w:ascii="Arial Nova" w:hAnsi="Arial Nova" w:eastAsia="Arial Nova" w:cs="Arial Nova"/>
          <w:i w:val="1"/>
          <w:iCs w:val="1"/>
          <w:noProof w:val="0"/>
          <w:sz w:val="24"/>
          <w:szCs w:val="24"/>
          <w:lang w:val="en-US"/>
        </w:rPr>
        <w:t>Sustainability Indicators Report</w:t>
      </w:r>
      <w:r w:rsidRPr="6F4FBF8A" w:rsidR="747E18ED">
        <w:rPr>
          <w:rFonts w:ascii="Arial Nova" w:hAnsi="Arial Nova" w:eastAsia="Arial Nova" w:cs="Arial Nova"/>
          <w:noProof w:val="0"/>
          <w:sz w:val="24"/>
          <w:szCs w:val="24"/>
          <w:lang w:val="en-US"/>
        </w:rPr>
        <w:t>. Brussels: World Steel Association.</w:t>
      </w:r>
    </w:p>
    <w:p xmlns:wp14="http://schemas.microsoft.com/office/word/2010/wordml" wp14:paraId="2C078E63" wp14:textId="37739678"/>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42sb76w8" int2:invalidationBookmarkName="" int2:hashCode="kByidkXaRxGvMx" int2:id="t3wlh05g">
      <int2:state int2:type="spell"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af6a8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ff7a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b0ad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52723F"/>
    <w:rsid w:val="00B5730A"/>
    <w:rsid w:val="00BC86D7"/>
    <w:rsid w:val="014EEFBD"/>
    <w:rsid w:val="05194515"/>
    <w:rsid w:val="0AE4F109"/>
    <w:rsid w:val="0D0B8738"/>
    <w:rsid w:val="0EB9E8E1"/>
    <w:rsid w:val="1198E0AD"/>
    <w:rsid w:val="158ADDD7"/>
    <w:rsid w:val="16EB6A8E"/>
    <w:rsid w:val="1AE15FF6"/>
    <w:rsid w:val="1D05EC89"/>
    <w:rsid w:val="1D5E71EA"/>
    <w:rsid w:val="20F39728"/>
    <w:rsid w:val="2244DFA6"/>
    <w:rsid w:val="288761EE"/>
    <w:rsid w:val="2CEBB8D3"/>
    <w:rsid w:val="322878BD"/>
    <w:rsid w:val="35EDB6AD"/>
    <w:rsid w:val="366BEFA5"/>
    <w:rsid w:val="38B45206"/>
    <w:rsid w:val="3971F565"/>
    <w:rsid w:val="39A358A2"/>
    <w:rsid w:val="3EC7C7B5"/>
    <w:rsid w:val="43C76D90"/>
    <w:rsid w:val="454DAF63"/>
    <w:rsid w:val="48F640DC"/>
    <w:rsid w:val="490C6AF5"/>
    <w:rsid w:val="4954F9E2"/>
    <w:rsid w:val="4C581B8A"/>
    <w:rsid w:val="502D9BFD"/>
    <w:rsid w:val="5253632F"/>
    <w:rsid w:val="53B15F37"/>
    <w:rsid w:val="549C9345"/>
    <w:rsid w:val="58B8F4DF"/>
    <w:rsid w:val="58F51256"/>
    <w:rsid w:val="5AE3FD99"/>
    <w:rsid w:val="5DB9E285"/>
    <w:rsid w:val="5DF3E1CD"/>
    <w:rsid w:val="630BBC2B"/>
    <w:rsid w:val="649131B8"/>
    <w:rsid w:val="658768CD"/>
    <w:rsid w:val="6771851B"/>
    <w:rsid w:val="68874331"/>
    <w:rsid w:val="6A664B93"/>
    <w:rsid w:val="6B503B44"/>
    <w:rsid w:val="6E89B262"/>
    <w:rsid w:val="6F4FBF8A"/>
    <w:rsid w:val="6F7901D6"/>
    <w:rsid w:val="715A6A4D"/>
    <w:rsid w:val="71EAEAC7"/>
    <w:rsid w:val="71F93E4B"/>
    <w:rsid w:val="747E18ED"/>
    <w:rsid w:val="7574AB30"/>
    <w:rsid w:val="767E81A9"/>
    <w:rsid w:val="77FA54EA"/>
    <w:rsid w:val="79619072"/>
    <w:rsid w:val="7C52723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8CCA1"/>
  <w15:chartTrackingRefBased/>
  <w15:docId w15:val="{8E8011EB-97BA-4B88-AE4C-DEDE873797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F4FBF8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F4FBF8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F4FBF8A"/>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F4FBF8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26abf478c5f491a" /><Relationship Type="http://schemas.openxmlformats.org/officeDocument/2006/relationships/numbering" Target="numbering.xml" Id="Rcd59a006b684459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2026-06-17T14:18:13.3292411Z</dcterms:created>
  <dcterms:modified xsi:type="dcterms:W3CDTF">2026-06-17T17:19:59.4824523Z</dcterms:modified>
  <dc:creator>Jeromme Lagmay (2229632)</dc:creator>
  <lastModifiedBy>Jeromme Lagmay (2229632)</lastModifiedBy>
</coreProperties>
</file>