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DB7A97" w14:textId="77777777" w:rsidR="00FF7E78" w:rsidRDefault="00FF7E78">
      <w:pPr>
        <w:spacing w:line="360" w:lineRule="auto"/>
        <w:jc w:val="center"/>
        <w:rPr>
          <w:rFonts w:ascii="Times New Roman" w:eastAsia="Times New Roman" w:hAnsi="Times New Roman" w:cs="Times New Roman"/>
          <w:sz w:val="24"/>
          <w:szCs w:val="24"/>
        </w:rPr>
      </w:pPr>
    </w:p>
    <w:p w14:paraId="12FAA788" w14:textId="77777777" w:rsidR="00FF7E78" w:rsidRDefault="00FF7E78">
      <w:pPr>
        <w:spacing w:line="360" w:lineRule="auto"/>
        <w:jc w:val="center"/>
        <w:rPr>
          <w:rFonts w:ascii="Times New Roman" w:eastAsia="Times New Roman" w:hAnsi="Times New Roman" w:cs="Times New Roman"/>
          <w:sz w:val="24"/>
          <w:szCs w:val="24"/>
        </w:rPr>
      </w:pPr>
    </w:p>
    <w:p w14:paraId="34F9DA7C" w14:textId="77777777" w:rsidR="00FF7E78" w:rsidRDefault="00FF7E78">
      <w:pPr>
        <w:spacing w:line="360" w:lineRule="auto"/>
        <w:jc w:val="center"/>
        <w:rPr>
          <w:rFonts w:ascii="Times New Roman" w:eastAsia="Times New Roman" w:hAnsi="Times New Roman" w:cs="Times New Roman"/>
          <w:sz w:val="24"/>
          <w:szCs w:val="24"/>
        </w:rPr>
      </w:pPr>
    </w:p>
    <w:p w14:paraId="703F84DC" w14:textId="77777777" w:rsidR="00FF7E78" w:rsidRDefault="00FF7E78">
      <w:pPr>
        <w:spacing w:line="360" w:lineRule="auto"/>
        <w:jc w:val="center"/>
        <w:rPr>
          <w:rFonts w:ascii="Times New Roman" w:eastAsia="Times New Roman" w:hAnsi="Times New Roman" w:cs="Times New Roman"/>
          <w:sz w:val="24"/>
          <w:szCs w:val="24"/>
        </w:rPr>
      </w:pPr>
    </w:p>
    <w:p w14:paraId="4FD8E681" w14:textId="54A3F218" w:rsidR="00FF7E78" w:rsidRDefault="00FF7E78">
      <w:pPr>
        <w:spacing w:line="360" w:lineRule="auto"/>
        <w:jc w:val="center"/>
        <w:rPr>
          <w:rFonts w:ascii="Times New Roman" w:eastAsia="Times New Roman" w:hAnsi="Times New Roman" w:cs="Times New Roman"/>
          <w:b/>
          <w:bCs/>
          <w:sz w:val="30"/>
          <w:szCs w:val="30"/>
        </w:rPr>
      </w:pPr>
    </w:p>
    <w:p w14:paraId="4F0FC2FF" w14:textId="7140DDFB" w:rsidR="00FF7E78" w:rsidRDefault="002B2278">
      <w:pPr>
        <w:spacing w:line="360" w:lineRule="auto"/>
        <w:jc w:val="center"/>
        <w:rPr>
          <w:rFonts w:ascii="Times New Roman" w:eastAsia="Times New Roman" w:hAnsi="Times New Roman" w:cs="Times New Roman"/>
          <w:b/>
          <w:bCs/>
          <w:sz w:val="30"/>
          <w:szCs w:val="30"/>
        </w:rPr>
      </w:pPr>
      <w:r>
        <w:rPr>
          <w:rFonts w:ascii="Times New Roman" w:eastAsia="Times New Roman" w:hAnsi="Times New Roman" w:cs="Times New Roman"/>
          <w:b/>
          <w:bCs/>
          <w:sz w:val="30"/>
          <w:szCs w:val="30"/>
        </w:rPr>
        <w:t>Global Business Challenges</w:t>
      </w:r>
    </w:p>
    <w:p w14:paraId="2AB88C33" w14:textId="77777777" w:rsidR="00FF7E78" w:rsidRDefault="002B2278">
      <w:pPr>
        <w:spacing w:line="360" w:lineRule="auto"/>
        <w:jc w:val="center"/>
        <w:rPr>
          <w:rFonts w:ascii="Times New Roman" w:eastAsia="Times New Roman" w:hAnsi="Times New Roman" w:cs="Times New Roman"/>
          <w:b/>
          <w:bCs/>
          <w:sz w:val="30"/>
          <w:szCs w:val="30"/>
        </w:rPr>
      </w:pPr>
      <w:r>
        <w:rPr>
          <w:rFonts w:ascii="Times New Roman" w:eastAsia="Times New Roman" w:hAnsi="Times New Roman" w:cs="Times New Roman"/>
          <w:b/>
          <w:bCs/>
          <w:sz w:val="30"/>
          <w:szCs w:val="30"/>
        </w:rPr>
        <w:t>Module code: BMMB7006</w:t>
      </w:r>
    </w:p>
    <w:p w14:paraId="04E75906" w14:textId="77777777" w:rsidR="00FF7E78" w:rsidRDefault="00FF7E78">
      <w:pPr>
        <w:spacing w:line="360" w:lineRule="auto"/>
        <w:jc w:val="center"/>
        <w:rPr>
          <w:rFonts w:ascii="Times New Roman" w:eastAsia="Times New Roman" w:hAnsi="Times New Roman" w:cs="Times New Roman"/>
          <w:b/>
          <w:bCs/>
          <w:sz w:val="30"/>
          <w:szCs w:val="30"/>
        </w:rPr>
      </w:pPr>
    </w:p>
    <w:p w14:paraId="3A4EDC26" w14:textId="77777777" w:rsidR="00FF7E78" w:rsidRDefault="00FF7E78">
      <w:pPr>
        <w:spacing w:line="360" w:lineRule="auto"/>
        <w:jc w:val="center"/>
        <w:rPr>
          <w:rFonts w:ascii="Times New Roman" w:eastAsia="Times New Roman" w:hAnsi="Times New Roman" w:cs="Times New Roman"/>
          <w:b/>
          <w:bCs/>
          <w:sz w:val="24"/>
          <w:szCs w:val="24"/>
        </w:rPr>
      </w:pPr>
    </w:p>
    <w:p w14:paraId="7E6074A5" w14:textId="77777777" w:rsidR="00FF7E78" w:rsidRDefault="002B2278">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5567CBC9" w14:textId="77777777" w:rsidR="00FF7E78" w:rsidRDefault="00FF7E78">
      <w:pPr>
        <w:spacing w:line="360" w:lineRule="auto"/>
        <w:jc w:val="center"/>
        <w:rPr>
          <w:rFonts w:ascii="Times New Roman" w:eastAsia="Times New Roman" w:hAnsi="Times New Roman" w:cs="Times New Roman"/>
          <w:sz w:val="24"/>
          <w:szCs w:val="24"/>
        </w:rPr>
      </w:pPr>
    </w:p>
    <w:p w14:paraId="0A01C2CD" w14:textId="77777777" w:rsidR="00FF7E78" w:rsidRDefault="00FF7E78">
      <w:pPr>
        <w:spacing w:line="360" w:lineRule="auto"/>
        <w:jc w:val="center"/>
        <w:rPr>
          <w:rFonts w:ascii="Times New Roman" w:eastAsia="Times New Roman" w:hAnsi="Times New Roman" w:cs="Times New Roman"/>
          <w:sz w:val="24"/>
          <w:szCs w:val="24"/>
        </w:rPr>
      </w:pPr>
    </w:p>
    <w:p w14:paraId="009AF1B7" w14:textId="77777777" w:rsidR="00FF7E78" w:rsidRDefault="00FF7E78">
      <w:pPr>
        <w:spacing w:line="360" w:lineRule="auto"/>
        <w:jc w:val="center"/>
        <w:rPr>
          <w:rFonts w:ascii="Times New Roman" w:eastAsia="Times New Roman" w:hAnsi="Times New Roman" w:cs="Times New Roman"/>
          <w:sz w:val="24"/>
          <w:szCs w:val="24"/>
        </w:rPr>
      </w:pPr>
    </w:p>
    <w:p w14:paraId="5337B8A5" w14:textId="77777777" w:rsidR="00FF7E78" w:rsidRDefault="00FF7E78">
      <w:pPr>
        <w:spacing w:line="360" w:lineRule="auto"/>
        <w:jc w:val="center"/>
        <w:rPr>
          <w:rFonts w:ascii="Times New Roman" w:eastAsia="Times New Roman" w:hAnsi="Times New Roman" w:cs="Times New Roman"/>
          <w:sz w:val="24"/>
          <w:szCs w:val="24"/>
        </w:rPr>
      </w:pPr>
    </w:p>
    <w:p w14:paraId="1BB37081" w14:textId="77777777" w:rsidR="00FF7E78" w:rsidRDefault="00FF7E78">
      <w:pPr>
        <w:spacing w:line="360" w:lineRule="auto"/>
        <w:jc w:val="center"/>
        <w:rPr>
          <w:rFonts w:ascii="Times New Roman" w:eastAsia="Times New Roman" w:hAnsi="Times New Roman" w:cs="Times New Roman"/>
          <w:sz w:val="24"/>
          <w:szCs w:val="24"/>
        </w:rPr>
      </w:pPr>
    </w:p>
    <w:p w14:paraId="4DEFCCA5" w14:textId="77777777" w:rsidR="00FF7E78" w:rsidRDefault="00FF7E78">
      <w:pPr>
        <w:spacing w:line="360" w:lineRule="auto"/>
        <w:jc w:val="center"/>
        <w:rPr>
          <w:rFonts w:ascii="Times New Roman" w:eastAsia="Times New Roman" w:hAnsi="Times New Roman" w:cs="Times New Roman"/>
          <w:sz w:val="24"/>
          <w:szCs w:val="24"/>
        </w:rPr>
      </w:pPr>
    </w:p>
    <w:p w14:paraId="038AB03C" w14:textId="77777777" w:rsidR="00FF7E78" w:rsidRDefault="00FF7E78">
      <w:pPr>
        <w:spacing w:line="360" w:lineRule="auto"/>
        <w:jc w:val="center"/>
        <w:rPr>
          <w:rFonts w:ascii="Times New Roman" w:eastAsia="Times New Roman" w:hAnsi="Times New Roman" w:cs="Times New Roman"/>
          <w:sz w:val="24"/>
          <w:szCs w:val="24"/>
        </w:rPr>
      </w:pPr>
    </w:p>
    <w:p w14:paraId="7A979C8D" w14:textId="77777777" w:rsidR="00FF7E78" w:rsidRDefault="00FF7E78">
      <w:pPr>
        <w:spacing w:line="360" w:lineRule="auto"/>
        <w:jc w:val="center"/>
        <w:rPr>
          <w:rFonts w:ascii="Times New Roman" w:eastAsia="Times New Roman" w:hAnsi="Times New Roman" w:cs="Times New Roman"/>
          <w:sz w:val="24"/>
          <w:szCs w:val="24"/>
        </w:rPr>
      </w:pPr>
    </w:p>
    <w:p w14:paraId="255DB440" w14:textId="77777777" w:rsidR="00FF7E78" w:rsidRDefault="00FF7E78">
      <w:pPr>
        <w:spacing w:line="360" w:lineRule="auto"/>
        <w:jc w:val="center"/>
        <w:rPr>
          <w:rFonts w:ascii="Times New Roman" w:eastAsia="Times New Roman" w:hAnsi="Times New Roman" w:cs="Times New Roman"/>
          <w:sz w:val="24"/>
          <w:szCs w:val="24"/>
        </w:rPr>
      </w:pPr>
    </w:p>
    <w:p w14:paraId="16D8CBCD" w14:textId="77777777" w:rsidR="00FF7E78" w:rsidRDefault="00FF7E78">
      <w:pPr>
        <w:spacing w:line="360" w:lineRule="auto"/>
        <w:jc w:val="center"/>
        <w:rPr>
          <w:rFonts w:ascii="Times New Roman" w:eastAsia="Times New Roman" w:hAnsi="Times New Roman" w:cs="Times New Roman"/>
          <w:sz w:val="24"/>
          <w:szCs w:val="24"/>
        </w:rPr>
      </w:pPr>
    </w:p>
    <w:p w14:paraId="160F3511" w14:textId="77777777" w:rsidR="00FF7E78" w:rsidRDefault="00FF7E78">
      <w:pPr>
        <w:spacing w:line="360" w:lineRule="auto"/>
        <w:jc w:val="center"/>
        <w:rPr>
          <w:rFonts w:ascii="Times New Roman" w:eastAsia="Times New Roman" w:hAnsi="Times New Roman" w:cs="Times New Roman"/>
          <w:sz w:val="24"/>
          <w:szCs w:val="24"/>
        </w:rPr>
      </w:pPr>
    </w:p>
    <w:p w14:paraId="60738C7D" w14:textId="77777777" w:rsidR="00FF7E78" w:rsidRDefault="00FF7E78">
      <w:pPr>
        <w:spacing w:line="360" w:lineRule="auto"/>
        <w:rPr>
          <w:rFonts w:ascii="Times New Roman" w:eastAsia="Times New Roman" w:hAnsi="Times New Roman" w:cs="Times New Roman"/>
          <w:sz w:val="24"/>
          <w:szCs w:val="24"/>
        </w:rPr>
      </w:pPr>
    </w:p>
    <w:p w14:paraId="4BE183E8" w14:textId="77777777" w:rsidR="00FF7E78" w:rsidRDefault="00FF7E78">
      <w:pPr>
        <w:spacing w:line="360" w:lineRule="auto"/>
        <w:jc w:val="center"/>
        <w:rPr>
          <w:rFonts w:ascii="Times New Roman" w:eastAsia="Times New Roman" w:hAnsi="Times New Roman" w:cs="Times New Roman"/>
          <w:sz w:val="24"/>
          <w:szCs w:val="24"/>
        </w:rPr>
      </w:pPr>
    </w:p>
    <w:p w14:paraId="258E35B9" w14:textId="4CFA2955" w:rsidR="00FF7E78" w:rsidRDefault="002B2278">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w:t>
      </w:r>
      <w:r w:rsidR="004A75FB">
        <w:rPr>
          <w:rFonts w:ascii="Times New Roman" w:eastAsia="Times New Roman" w:hAnsi="Times New Roman" w:cs="Times New Roman"/>
          <w:b/>
          <w:bCs/>
          <w:sz w:val="24"/>
          <w:szCs w:val="24"/>
        </w:rPr>
        <w:t xml:space="preserve"> Liviu Topala</w:t>
      </w:r>
    </w:p>
    <w:p w14:paraId="0263FED5" w14:textId="2BA1F361" w:rsidR="00FF7E78" w:rsidRDefault="002B2278" w:rsidP="004A75F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w:t>
      </w:r>
      <w:r w:rsidR="004A75FB">
        <w:rPr>
          <w:rFonts w:ascii="Times New Roman" w:eastAsia="Times New Roman" w:hAnsi="Times New Roman" w:cs="Times New Roman"/>
          <w:b/>
          <w:bCs/>
          <w:sz w:val="24"/>
          <w:szCs w:val="24"/>
        </w:rPr>
        <w:t xml:space="preserve"> 1905828</w:t>
      </w:r>
    </w:p>
    <w:p w14:paraId="5133E0F5" w14:textId="77777777" w:rsidR="00FF7E78" w:rsidRDefault="00FF7E78">
      <w:pPr>
        <w:spacing w:line="360" w:lineRule="auto"/>
        <w:jc w:val="center"/>
        <w:rPr>
          <w:rFonts w:ascii="Times New Roman" w:eastAsia="Times New Roman" w:hAnsi="Times New Roman" w:cs="Times New Roman"/>
          <w:sz w:val="24"/>
          <w:szCs w:val="24"/>
        </w:rPr>
      </w:pPr>
    </w:p>
    <w:p w14:paraId="4E49FDF5" w14:textId="77777777" w:rsidR="00FF7E78" w:rsidRDefault="00FF7E78">
      <w:pPr>
        <w:spacing w:line="360" w:lineRule="auto"/>
        <w:jc w:val="both"/>
        <w:rPr>
          <w:rFonts w:ascii="Times New Roman" w:eastAsia="Times New Roman" w:hAnsi="Times New Roman" w:cs="Times New Roman"/>
          <w:sz w:val="24"/>
          <w:szCs w:val="24"/>
        </w:rPr>
      </w:pPr>
    </w:p>
    <w:p w14:paraId="07A08084" w14:textId="77777777" w:rsidR="00FF7E78" w:rsidRDefault="00FF7E78">
      <w:pPr>
        <w:spacing w:line="360" w:lineRule="auto"/>
        <w:jc w:val="both"/>
        <w:rPr>
          <w:rFonts w:ascii="Times New Roman" w:eastAsia="Times New Roman" w:hAnsi="Times New Roman" w:cs="Times New Roman"/>
          <w:sz w:val="24"/>
          <w:szCs w:val="24"/>
        </w:rPr>
      </w:pPr>
    </w:p>
    <w:p w14:paraId="336EF9A2" w14:textId="77777777" w:rsidR="00FF7E78" w:rsidRDefault="00FF7E78">
      <w:pPr>
        <w:spacing w:line="360" w:lineRule="auto"/>
        <w:jc w:val="both"/>
        <w:rPr>
          <w:rFonts w:ascii="Times New Roman" w:eastAsia="Times New Roman" w:hAnsi="Times New Roman" w:cs="Times New Roman"/>
          <w:sz w:val="24"/>
          <w:szCs w:val="24"/>
        </w:rPr>
      </w:pPr>
    </w:p>
    <w:p w14:paraId="436B7FBD"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Executive Summary</w:t>
      </w:r>
    </w:p>
    <w:p w14:paraId="0E103ED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provides strategic advice to Amazon, a leading multinational technology and e-commerce company, regarding the opportunities and risks associated with the rapid development of artificial intelligence (AI). As AI becomes the new benchmark of technology in almost all sectors of the global economy, companies now face even greater challenges at the juncture of innovation, geopolitics, and policy changes.</w:t>
      </w:r>
    </w:p>
    <w:p w14:paraId="20488FE2"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findings of this report, although AI is associated with a wide range of positive impacts such as efficiency gains, predictive analysis, and competition, there are risks involved as well, and some of the risks include data governance, algorithm biases, cybersecurity risk, and exposure to regulation compliance. In comparing the UK with a region somewhere in the world, the trend of regulatory fragmentation is increasingly becoming pronounced.</w:t>
      </w:r>
    </w:p>
    <w:p w14:paraId="1AC4A4A6"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RFD Global advisory point of view, the retention of the customer and corporate image are some of the most important strategic aspects. In this regard, the report proposes the adoption of a strong AI governance structure, adoption of AI-specific risk management culture, and active adoption of regulatory compliance strategies. Special focus is also on ethical implementation of AI, development of capability of workforce, and ongoing monitoring system. These actions will empower organisations to</w:t>
      </w:r>
      <w:r>
        <w:rPr>
          <w:rFonts w:ascii="Times New Roman" w:eastAsia="Times New Roman" w:hAnsi="Times New Roman" w:cs="Times New Roman"/>
          <w:sz w:val="24"/>
          <w:szCs w:val="24"/>
        </w:rPr>
        <w:t xml:space="preserve"> attain resilient, responsible and sustainable development in an AI-based global economy.</w:t>
      </w:r>
    </w:p>
    <w:p w14:paraId="04ED3C17" w14:textId="77777777" w:rsidR="00FF7E78" w:rsidRDefault="00FF7E78">
      <w:pPr>
        <w:spacing w:line="360" w:lineRule="auto"/>
        <w:jc w:val="both"/>
        <w:rPr>
          <w:rFonts w:ascii="Times New Roman" w:eastAsia="Times New Roman" w:hAnsi="Times New Roman" w:cs="Times New Roman"/>
          <w:sz w:val="24"/>
          <w:szCs w:val="24"/>
        </w:rPr>
      </w:pPr>
    </w:p>
    <w:p w14:paraId="1C26F249" w14:textId="77777777" w:rsidR="00FF7E78" w:rsidRDefault="00FF7E78">
      <w:pPr>
        <w:spacing w:line="360" w:lineRule="auto"/>
        <w:jc w:val="both"/>
        <w:rPr>
          <w:rFonts w:ascii="Times New Roman" w:eastAsia="Times New Roman" w:hAnsi="Times New Roman" w:cs="Times New Roman"/>
          <w:sz w:val="24"/>
          <w:szCs w:val="24"/>
        </w:rPr>
      </w:pPr>
    </w:p>
    <w:p w14:paraId="1D298947" w14:textId="77777777" w:rsidR="00FF7E78" w:rsidRDefault="002B2278">
      <w:pPr>
        <w:spacing w:line="360" w:lineRule="auto"/>
        <w:jc w:val="both"/>
        <w:rPr>
          <w:rFonts w:ascii="Times New Roman" w:eastAsia="Times New Roman" w:hAnsi="Times New Roman" w:cs="Times New Roman"/>
          <w:sz w:val="24"/>
          <w:szCs w:val="24"/>
        </w:rPr>
      </w:pPr>
      <w:r>
        <w:br w:type="page"/>
      </w:r>
    </w:p>
    <w:p w14:paraId="5D842974" w14:textId="77777777" w:rsidR="00FF7E78" w:rsidRDefault="002B2278">
      <w:pPr>
        <w:keepNext/>
        <w:keepLines/>
        <w:pBdr>
          <w:top w:val="nil"/>
          <w:left w:val="nil"/>
          <w:bottom w:val="nil"/>
          <w:right w:val="nil"/>
          <w:between w:val="nil"/>
        </w:pBd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Table of Contents</w:t>
      </w:r>
    </w:p>
    <w:sdt>
      <w:sdtPr>
        <w:id w:val="1568869913"/>
        <w:docPartObj>
          <w:docPartGallery w:val="Table of Contents"/>
          <w:docPartUnique/>
        </w:docPartObj>
      </w:sdtPr>
      <w:sdtEndPr/>
      <w:sdtContent>
        <w:p w14:paraId="32373DFA"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heading=h.lhr7uz6bqrk2">
            <w:r>
              <w:rPr>
                <w:rFonts w:ascii="Times New Roman" w:eastAsia="Times New Roman" w:hAnsi="Times New Roman" w:cs="Times New Roman"/>
                <w:sz w:val="24"/>
                <w:szCs w:val="24"/>
              </w:rPr>
              <w:t>1. Introduction</w:t>
            </w:r>
            <w:r>
              <w:rPr>
                <w:rFonts w:ascii="Times New Roman" w:eastAsia="Times New Roman" w:hAnsi="Times New Roman" w:cs="Times New Roman"/>
                <w:sz w:val="24"/>
                <w:szCs w:val="24"/>
              </w:rPr>
              <w:tab/>
              <w:t>4</w:t>
            </w:r>
          </w:hyperlink>
        </w:p>
        <w:p w14:paraId="0C517CCF"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d3q46aw3xpu3">
            <w:r>
              <w:rPr>
                <w:rFonts w:ascii="Times New Roman" w:eastAsia="Times New Roman" w:hAnsi="Times New Roman" w:cs="Times New Roman"/>
                <w:sz w:val="24"/>
                <w:szCs w:val="24"/>
              </w:rPr>
              <w:t>2. Macroeconomic and Political Environment</w:t>
            </w:r>
            <w:r>
              <w:rPr>
                <w:rFonts w:ascii="Times New Roman" w:eastAsia="Times New Roman" w:hAnsi="Times New Roman" w:cs="Times New Roman"/>
                <w:sz w:val="24"/>
                <w:szCs w:val="24"/>
              </w:rPr>
              <w:tab/>
              <w:t>4</w:t>
            </w:r>
          </w:hyperlink>
        </w:p>
        <w:p w14:paraId="2D2DD4A3"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dkmm2qkfcc5d">
            <w:r>
              <w:rPr>
                <w:rFonts w:ascii="Times New Roman" w:eastAsia="Times New Roman" w:hAnsi="Times New Roman" w:cs="Times New Roman"/>
                <w:sz w:val="24"/>
                <w:szCs w:val="24"/>
              </w:rPr>
              <w:t>2.1 Economic Environment</w:t>
            </w:r>
            <w:r>
              <w:rPr>
                <w:rFonts w:ascii="Times New Roman" w:eastAsia="Times New Roman" w:hAnsi="Times New Roman" w:cs="Times New Roman"/>
                <w:sz w:val="24"/>
                <w:szCs w:val="24"/>
              </w:rPr>
              <w:tab/>
              <w:t>4</w:t>
            </w:r>
          </w:hyperlink>
        </w:p>
        <w:p w14:paraId="524336F9"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jpwqwgnksiri">
            <w:r>
              <w:rPr>
                <w:rFonts w:ascii="Times New Roman" w:eastAsia="Times New Roman" w:hAnsi="Times New Roman" w:cs="Times New Roman"/>
                <w:sz w:val="24"/>
                <w:szCs w:val="24"/>
              </w:rPr>
              <w:t>2.2 Political Environment</w:t>
            </w:r>
            <w:r>
              <w:rPr>
                <w:rFonts w:ascii="Times New Roman" w:eastAsia="Times New Roman" w:hAnsi="Times New Roman" w:cs="Times New Roman"/>
                <w:sz w:val="24"/>
                <w:szCs w:val="24"/>
              </w:rPr>
              <w:tab/>
              <w:t>5</w:t>
            </w:r>
          </w:hyperlink>
        </w:p>
        <w:p w14:paraId="77A0CC6A"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89ryvxomcman">
            <w:r>
              <w:rPr>
                <w:rFonts w:ascii="Times New Roman" w:eastAsia="Times New Roman" w:hAnsi="Times New Roman" w:cs="Times New Roman"/>
                <w:sz w:val="24"/>
                <w:szCs w:val="24"/>
              </w:rPr>
              <w:t>2.3 Implications for Multinational Corporations</w:t>
            </w:r>
            <w:r>
              <w:rPr>
                <w:rFonts w:ascii="Times New Roman" w:eastAsia="Times New Roman" w:hAnsi="Times New Roman" w:cs="Times New Roman"/>
                <w:sz w:val="24"/>
                <w:szCs w:val="24"/>
              </w:rPr>
              <w:tab/>
              <w:t>5</w:t>
            </w:r>
          </w:hyperlink>
        </w:p>
        <w:p w14:paraId="6ECEF62A"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lxi0s3qhdk7t">
            <w:r>
              <w:rPr>
                <w:rFonts w:ascii="Times New Roman" w:eastAsia="Times New Roman" w:hAnsi="Times New Roman" w:cs="Times New Roman"/>
                <w:sz w:val="24"/>
                <w:szCs w:val="24"/>
              </w:rPr>
              <w:t>3. The Role of Artificial Intelligence in Business Transformation</w:t>
            </w:r>
            <w:r>
              <w:rPr>
                <w:rFonts w:ascii="Times New Roman" w:eastAsia="Times New Roman" w:hAnsi="Times New Roman" w:cs="Times New Roman"/>
                <w:sz w:val="24"/>
                <w:szCs w:val="24"/>
              </w:rPr>
              <w:tab/>
              <w:t>6</w:t>
            </w:r>
          </w:hyperlink>
        </w:p>
        <w:p w14:paraId="14C6AC9C" w14:textId="77777777" w:rsidR="00FF7E78" w:rsidRDefault="002B2278">
          <w:pPr>
            <w:pBdr>
              <w:top w:val="nil"/>
              <w:left w:val="nil"/>
              <w:bottom w:val="nil"/>
              <w:right w:val="nil"/>
              <w:between w:val="nil"/>
            </w:pBdr>
            <w:tabs>
              <w:tab w:val="right" w:pos="9350"/>
            </w:tabs>
            <w:spacing w:after="100" w:line="360" w:lineRule="auto"/>
            <w:ind w:left="440"/>
            <w:jc w:val="both"/>
            <w:rPr>
              <w:rFonts w:ascii="Times New Roman" w:eastAsia="Times New Roman" w:hAnsi="Times New Roman" w:cs="Times New Roman"/>
              <w:sz w:val="24"/>
              <w:szCs w:val="24"/>
            </w:rPr>
          </w:pPr>
          <w:hyperlink w:anchor="_heading=h.q48q4o1ag9tt">
            <w:r>
              <w:rPr>
                <w:rFonts w:ascii="Times New Roman" w:eastAsia="Times New Roman" w:hAnsi="Times New Roman" w:cs="Times New Roman"/>
                <w:sz w:val="24"/>
                <w:szCs w:val="24"/>
              </w:rPr>
              <w:t>3.1 AI Applications</w:t>
            </w:r>
            <w:r>
              <w:rPr>
                <w:rFonts w:ascii="Times New Roman" w:eastAsia="Times New Roman" w:hAnsi="Times New Roman" w:cs="Times New Roman"/>
                <w:sz w:val="24"/>
                <w:szCs w:val="24"/>
              </w:rPr>
              <w:tab/>
              <w:t>6</w:t>
            </w:r>
          </w:hyperlink>
        </w:p>
        <w:p w14:paraId="24D8A02F"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16hdyl4570az">
            <w:r>
              <w:rPr>
                <w:rFonts w:ascii="Times New Roman" w:eastAsia="Times New Roman" w:hAnsi="Times New Roman" w:cs="Times New Roman"/>
                <w:sz w:val="24"/>
                <w:szCs w:val="24"/>
              </w:rPr>
              <w:t>3.2 Strategic Benefits</w:t>
            </w:r>
            <w:r>
              <w:rPr>
                <w:rFonts w:ascii="Times New Roman" w:eastAsia="Times New Roman" w:hAnsi="Times New Roman" w:cs="Times New Roman"/>
                <w:sz w:val="24"/>
                <w:szCs w:val="24"/>
              </w:rPr>
              <w:tab/>
              <w:t>7</w:t>
            </w:r>
          </w:hyperlink>
        </w:p>
        <w:p w14:paraId="2585F7CD"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wfs3y1zg8l70">
            <w:r>
              <w:rPr>
                <w:rFonts w:ascii="Times New Roman" w:eastAsia="Times New Roman" w:hAnsi="Times New Roman" w:cs="Times New Roman"/>
                <w:sz w:val="24"/>
                <w:szCs w:val="24"/>
              </w:rPr>
              <w:t>3.3 AI-related risks</w:t>
            </w:r>
            <w:r>
              <w:rPr>
                <w:rFonts w:ascii="Times New Roman" w:eastAsia="Times New Roman" w:hAnsi="Times New Roman" w:cs="Times New Roman"/>
                <w:sz w:val="24"/>
                <w:szCs w:val="24"/>
              </w:rPr>
              <w:tab/>
              <w:t>7</w:t>
            </w:r>
          </w:hyperlink>
        </w:p>
        <w:p w14:paraId="1F804D50"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8z8p73918vhp">
            <w:r>
              <w:rPr>
                <w:rFonts w:ascii="Times New Roman" w:eastAsia="Times New Roman" w:hAnsi="Times New Roman" w:cs="Times New Roman"/>
                <w:sz w:val="24"/>
                <w:szCs w:val="24"/>
              </w:rPr>
              <w:t>4. AI and Risk Management Framework</w:t>
            </w:r>
            <w:r>
              <w:rPr>
                <w:rFonts w:ascii="Times New Roman" w:eastAsia="Times New Roman" w:hAnsi="Times New Roman" w:cs="Times New Roman"/>
                <w:sz w:val="24"/>
                <w:szCs w:val="24"/>
              </w:rPr>
              <w:tab/>
              <w:t>8</w:t>
            </w:r>
          </w:hyperlink>
        </w:p>
        <w:p w14:paraId="1822C7BD"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sss3el2cr9ta">
            <w:r>
              <w:rPr>
                <w:rFonts w:ascii="Times New Roman" w:eastAsia="Times New Roman" w:hAnsi="Times New Roman" w:cs="Times New Roman"/>
                <w:sz w:val="24"/>
                <w:szCs w:val="24"/>
              </w:rPr>
              <w:t>4.1 The redefinition of Enterprise Risk Management (ERM) in the AI Era</w:t>
            </w:r>
            <w:r>
              <w:rPr>
                <w:rFonts w:ascii="Times New Roman" w:eastAsia="Times New Roman" w:hAnsi="Times New Roman" w:cs="Times New Roman"/>
                <w:sz w:val="24"/>
                <w:szCs w:val="24"/>
              </w:rPr>
              <w:tab/>
              <w:t>8</w:t>
            </w:r>
          </w:hyperlink>
        </w:p>
        <w:p w14:paraId="095550B1"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loepdujxc815">
            <w:r>
              <w:rPr>
                <w:rFonts w:ascii="Times New Roman" w:eastAsia="Times New Roman" w:hAnsi="Times New Roman" w:cs="Times New Roman"/>
                <w:sz w:val="24"/>
                <w:szCs w:val="24"/>
              </w:rPr>
              <w:t>4.2 Key Risk Categories</w:t>
            </w:r>
            <w:r>
              <w:rPr>
                <w:rFonts w:ascii="Times New Roman" w:eastAsia="Times New Roman" w:hAnsi="Times New Roman" w:cs="Times New Roman"/>
                <w:sz w:val="24"/>
                <w:szCs w:val="24"/>
              </w:rPr>
              <w:tab/>
              <w:t>8</w:t>
            </w:r>
          </w:hyperlink>
        </w:p>
        <w:p w14:paraId="29053E2A"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vttd9zl1nyb9">
            <w:r>
              <w:rPr>
                <w:rFonts w:ascii="Times New Roman" w:eastAsia="Times New Roman" w:hAnsi="Times New Roman" w:cs="Times New Roman"/>
                <w:sz w:val="24"/>
                <w:szCs w:val="24"/>
              </w:rPr>
              <w:t>4.3 AI-Specific Risk Factors</w:t>
            </w:r>
            <w:r>
              <w:rPr>
                <w:rFonts w:ascii="Times New Roman" w:eastAsia="Times New Roman" w:hAnsi="Times New Roman" w:cs="Times New Roman"/>
                <w:sz w:val="24"/>
                <w:szCs w:val="24"/>
              </w:rPr>
              <w:tab/>
              <w:t>9</w:t>
            </w:r>
          </w:hyperlink>
        </w:p>
        <w:p w14:paraId="492E9D03"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88isjs3s26ax">
            <w:r>
              <w:rPr>
                <w:rFonts w:ascii="Times New Roman" w:eastAsia="Times New Roman" w:hAnsi="Times New Roman" w:cs="Times New Roman"/>
                <w:sz w:val="24"/>
                <w:szCs w:val="24"/>
              </w:rPr>
              <w:t>4.4 Risk Mitigation Approaches</w:t>
            </w:r>
            <w:r>
              <w:rPr>
                <w:rFonts w:ascii="Times New Roman" w:eastAsia="Times New Roman" w:hAnsi="Times New Roman" w:cs="Times New Roman"/>
                <w:sz w:val="24"/>
                <w:szCs w:val="24"/>
              </w:rPr>
              <w:tab/>
              <w:t>9</w:t>
            </w:r>
          </w:hyperlink>
        </w:p>
        <w:p w14:paraId="1C4A4812"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44ldam3qxsag">
            <w:r>
              <w:rPr>
                <w:rFonts w:ascii="Times New Roman" w:eastAsia="Times New Roman" w:hAnsi="Times New Roman" w:cs="Times New Roman"/>
                <w:sz w:val="24"/>
                <w:szCs w:val="24"/>
              </w:rPr>
              <w:t>5. Data Governance and Ethical AI</w:t>
            </w:r>
            <w:r>
              <w:rPr>
                <w:rFonts w:ascii="Times New Roman" w:eastAsia="Times New Roman" w:hAnsi="Times New Roman" w:cs="Times New Roman"/>
                <w:sz w:val="24"/>
                <w:szCs w:val="24"/>
              </w:rPr>
              <w:tab/>
              <w:t>9</w:t>
            </w:r>
          </w:hyperlink>
        </w:p>
        <w:p w14:paraId="68BB950E"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6sb3y1o5hqs8">
            <w:r>
              <w:rPr>
                <w:rFonts w:ascii="Times New Roman" w:eastAsia="Times New Roman" w:hAnsi="Times New Roman" w:cs="Times New Roman"/>
                <w:sz w:val="24"/>
                <w:szCs w:val="24"/>
              </w:rPr>
              <w:t>5.1 Data Governance Frameworks</w:t>
            </w:r>
            <w:r>
              <w:rPr>
                <w:rFonts w:ascii="Times New Roman" w:eastAsia="Times New Roman" w:hAnsi="Times New Roman" w:cs="Times New Roman"/>
                <w:sz w:val="24"/>
                <w:szCs w:val="24"/>
              </w:rPr>
              <w:tab/>
              <w:t>9</w:t>
            </w:r>
          </w:hyperlink>
        </w:p>
        <w:p w14:paraId="7F5234F7"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i1ibo1704t04">
            <w:r>
              <w:rPr>
                <w:rFonts w:ascii="Times New Roman" w:eastAsia="Times New Roman" w:hAnsi="Times New Roman" w:cs="Times New Roman"/>
                <w:sz w:val="24"/>
                <w:szCs w:val="24"/>
              </w:rPr>
              <w:t>5.2 Ethical issues in AI</w:t>
            </w:r>
            <w:r>
              <w:rPr>
                <w:rFonts w:ascii="Times New Roman" w:eastAsia="Times New Roman" w:hAnsi="Times New Roman" w:cs="Times New Roman"/>
                <w:sz w:val="24"/>
                <w:szCs w:val="24"/>
              </w:rPr>
              <w:tab/>
              <w:t>10</w:t>
            </w:r>
          </w:hyperlink>
        </w:p>
        <w:p w14:paraId="0FC6E3BD"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bierhw5byfgk">
            <w:r>
              <w:rPr>
                <w:rFonts w:ascii="Times New Roman" w:eastAsia="Times New Roman" w:hAnsi="Times New Roman" w:cs="Times New Roman"/>
                <w:sz w:val="24"/>
                <w:szCs w:val="24"/>
              </w:rPr>
              <w:t>5.3 Corporate Responsibility and ESG Connections</w:t>
            </w:r>
            <w:r>
              <w:rPr>
                <w:rFonts w:ascii="Times New Roman" w:eastAsia="Times New Roman" w:hAnsi="Times New Roman" w:cs="Times New Roman"/>
                <w:sz w:val="24"/>
                <w:szCs w:val="24"/>
              </w:rPr>
              <w:tab/>
              <w:t>11</w:t>
            </w:r>
          </w:hyperlink>
        </w:p>
        <w:p w14:paraId="5C1B94D0"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r042ukd86qz2">
            <w:r>
              <w:rPr>
                <w:rFonts w:ascii="Times New Roman" w:eastAsia="Times New Roman" w:hAnsi="Times New Roman" w:cs="Times New Roman"/>
                <w:sz w:val="24"/>
                <w:szCs w:val="24"/>
              </w:rPr>
              <w:t>6. Regulatory and Compliance Landscape</w:t>
            </w:r>
            <w:r>
              <w:rPr>
                <w:rFonts w:ascii="Times New Roman" w:eastAsia="Times New Roman" w:hAnsi="Times New Roman" w:cs="Times New Roman"/>
                <w:sz w:val="24"/>
                <w:szCs w:val="24"/>
              </w:rPr>
              <w:tab/>
              <w:t>11</w:t>
            </w:r>
          </w:hyperlink>
        </w:p>
        <w:p w14:paraId="2928D085"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6hvrjei7bv3o">
            <w:r>
              <w:rPr>
                <w:rFonts w:ascii="Times New Roman" w:eastAsia="Times New Roman" w:hAnsi="Times New Roman" w:cs="Times New Roman"/>
                <w:sz w:val="24"/>
                <w:szCs w:val="24"/>
              </w:rPr>
              <w:t>6.1 United Kingdom Regulatory Framework</w:t>
            </w:r>
            <w:r>
              <w:rPr>
                <w:rFonts w:ascii="Times New Roman" w:eastAsia="Times New Roman" w:hAnsi="Times New Roman" w:cs="Times New Roman"/>
                <w:sz w:val="24"/>
                <w:szCs w:val="24"/>
              </w:rPr>
              <w:tab/>
              <w:t>11</w:t>
            </w:r>
          </w:hyperlink>
        </w:p>
        <w:p w14:paraId="1DD459CE"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kw0cmvgwnsk">
            <w:r>
              <w:rPr>
                <w:rFonts w:ascii="Times New Roman" w:eastAsia="Times New Roman" w:hAnsi="Times New Roman" w:cs="Times New Roman"/>
                <w:sz w:val="24"/>
                <w:szCs w:val="24"/>
              </w:rPr>
              <w:t>6.2 Comparative Analysis: European Union.</w:t>
            </w:r>
            <w:r>
              <w:rPr>
                <w:rFonts w:ascii="Times New Roman" w:eastAsia="Times New Roman" w:hAnsi="Times New Roman" w:cs="Times New Roman"/>
                <w:sz w:val="24"/>
                <w:szCs w:val="24"/>
              </w:rPr>
              <w:tab/>
              <w:t>12</w:t>
            </w:r>
          </w:hyperlink>
        </w:p>
        <w:p w14:paraId="7686055B"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kjuchk9cz6bb">
            <w:r>
              <w:rPr>
                <w:rFonts w:ascii="Times New Roman" w:eastAsia="Times New Roman" w:hAnsi="Times New Roman" w:cs="Times New Roman"/>
                <w:sz w:val="24"/>
                <w:szCs w:val="24"/>
              </w:rPr>
              <w:t>6.3 Regulatory issues faced by Multinationals.</w:t>
            </w:r>
            <w:r>
              <w:rPr>
                <w:rFonts w:ascii="Times New Roman" w:eastAsia="Times New Roman" w:hAnsi="Times New Roman" w:cs="Times New Roman"/>
                <w:sz w:val="24"/>
                <w:szCs w:val="24"/>
              </w:rPr>
              <w:tab/>
              <w:t>12</w:t>
            </w:r>
          </w:hyperlink>
        </w:p>
        <w:p w14:paraId="0E8865E1"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i26pbc318pfp">
            <w:r>
              <w:rPr>
                <w:rFonts w:ascii="Times New Roman" w:eastAsia="Times New Roman" w:hAnsi="Times New Roman" w:cs="Times New Roman"/>
                <w:sz w:val="24"/>
                <w:szCs w:val="24"/>
              </w:rPr>
              <w:t>6.4 Strategic Implications</w:t>
            </w:r>
            <w:r>
              <w:rPr>
                <w:rFonts w:ascii="Times New Roman" w:eastAsia="Times New Roman" w:hAnsi="Times New Roman" w:cs="Times New Roman"/>
                <w:sz w:val="24"/>
                <w:szCs w:val="24"/>
              </w:rPr>
              <w:tab/>
              <w:t>13</w:t>
            </w:r>
          </w:hyperlink>
        </w:p>
        <w:p w14:paraId="21B918EB"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1pyi9dgpgdsq">
            <w:r>
              <w:rPr>
                <w:rFonts w:ascii="Times New Roman" w:eastAsia="Times New Roman" w:hAnsi="Times New Roman" w:cs="Times New Roman"/>
                <w:sz w:val="24"/>
                <w:szCs w:val="24"/>
              </w:rPr>
              <w:t>7. Maintaining Customer Trust and Corporate Reputation</w:t>
            </w:r>
            <w:r>
              <w:rPr>
                <w:rFonts w:ascii="Times New Roman" w:eastAsia="Times New Roman" w:hAnsi="Times New Roman" w:cs="Times New Roman"/>
                <w:sz w:val="24"/>
                <w:szCs w:val="24"/>
              </w:rPr>
              <w:tab/>
              <w:t>13</w:t>
            </w:r>
          </w:hyperlink>
        </w:p>
        <w:p w14:paraId="54FDC157"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bkidrd408ks5">
            <w:r>
              <w:rPr>
                <w:rFonts w:ascii="Times New Roman" w:eastAsia="Times New Roman" w:hAnsi="Times New Roman" w:cs="Times New Roman"/>
                <w:sz w:val="24"/>
                <w:szCs w:val="24"/>
              </w:rPr>
              <w:t>8.Strategic Recommendations</w:t>
            </w:r>
            <w:r>
              <w:rPr>
                <w:rFonts w:ascii="Times New Roman" w:eastAsia="Times New Roman" w:hAnsi="Times New Roman" w:cs="Times New Roman"/>
                <w:sz w:val="24"/>
                <w:szCs w:val="24"/>
              </w:rPr>
              <w:tab/>
              <w:t>14</w:t>
            </w:r>
          </w:hyperlink>
        </w:p>
        <w:p w14:paraId="25EF1BDF"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cx5a17cszc30">
            <w:r>
              <w:rPr>
                <w:rFonts w:ascii="Times New Roman" w:eastAsia="Times New Roman" w:hAnsi="Times New Roman" w:cs="Times New Roman"/>
                <w:sz w:val="24"/>
                <w:szCs w:val="24"/>
              </w:rPr>
              <w:t>8.1 Governance and Leadership</w:t>
            </w:r>
            <w:r>
              <w:rPr>
                <w:rFonts w:ascii="Times New Roman" w:eastAsia="Times New Roman" w:hAnsi="Times New Roman" w:cs="Times New Roman"/>
                <w:sz w:val="24"/>
                <w:szCs w:val="24"/>
              </w:rPr>
              <w:tab/>
              <w:t>14</w:t>
            </w:r>
          </w:hyperlink>
        </w:p>
        <w:p w14:paraId="610CF7C0"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psszgwyi50gb">
            <w:r>
              <w:rPr>
                <w:rFonts w:ascii="Times New Roman" w:eastAsia="Times New Roman" w:hAnsi="Times New Roman" w:cs="Times New Roman"/>
                <w:sz w:val="24"/>
                <w:szCs w:val="24"/>
              </w:rPr>
              <w:t>8.2 Risk Management Enhancements</w:t>
            </w:r>
            <w:r>
              <w:rPr>
                <w:rFonts w:ascii="Times New Roman" w:eastAsia="Times New Roman" w:hAnsi="Times New Roman" w:cs="Times New Roman"/>
                <w:sz w:val="24"/>
                <w:szCs w:val="24"/>
              </w:rPr>
              <w:tab/>
              <w:t>14</w:t>
            </w:r>
          </w:hyperlink>
        </w:p>
        <w:p w14:paraId="4989745D"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vnna5ghkpxii">
            <w:r>
              <w:rPr>
                <w:rFonts w:ascii="Times New Roman" w:eastAsia="Times New Roman" w:hAnsi="Times New Roman" w:cs="Times New Roman"/>
                <w:sz w:val="24"/>
                <w:szCs w:val="24"/>
              </w:rPr>
              <w:t>8.3 Regulatory Compliance Strategy</w:t>
            </w:r>
            <w:r>
              <w:rPr>
                <w:rFonts w:ascii="Times New Roman" w:eastAsia="Times New Roman" w:hAnsi="Times New Roman" w:cs="Times New Roman"/>
                <w:sz w:val="24"/>
                <w:szCs w:val="24"/>
              </w:rPr>
              <w:tab/>
              <w:t>15</w:t>
            </w:r>
          </w:hyperlink>
        </w:p>
        <w:p w14:paraId="3941F80A"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x3xcnr30x1bl">
            <w:r>
              <w:rPr>
                <w:rFonts w:ascii="Times New Roman" w:eastAsia="Times New Roman" w:hAnsi="Times New Roman" w:cs="Times New Roman"/>
                <w:sz w:val="24"/>
                <w:szCs w:val="24"/>
              </w:rPr>
              <w:t>8.4 Ethical AI Implementation</w:t>
            </w:r>
            <w:r>
              <w:rPr>
                <w:rFonts w:ascii="Times New Roman" w:eastAsia="Times New Roman" w:hAnsi="Times New Roman" w:cs="Times New Roman"/>
                <w:sz w:val="24"/>
                <w:szCs w:val="24"/>
              </w:rPr>
              <w:tab/>
              <w:t>15</w:t>
            </w:r>
          </w:hyperlink>
        </w:p>
        <w:p w14:paraId="32D572D2"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7o51skqitgvo">
            <w:r>
              <w:rPr>
                <w:rFonts w:ascii="Times New Roman" w:eastAsia="Times New Roman" w:hAnsi="Times New Roman" w:cs="Times New Roman"/>
                <w:sz w:val="24"/>
                <w:szCs w:val="24"/>
              </w:rPr>
              <w:t>8.5. Implementation of Ethical AI</w:t>
            </w:r>
            <w:r>
              <w:rPr>
                <w:rFonts w:ascii="Times New Roman" w:eastAsia="Times New Roman" w:hAnsi="Times New Roman" w:cs="Times New Roman"/>
                <w:sz w:val="24"/>
                <w:szCs w:val="24"/>
              </w:rPr>
              <w:tab/>
              <w:t>16</w:t>
            </w:r>
          </w:hyperlink>
        </w:p>
        <w:p w14:paraId="41A2BE4D"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9d1240q66ysf">
            <w:r>
              <w:rPr>
                <w:rFonts w:ascii="Times New Roman" w:eastAsia="Times New Roman" w:hAnsi="Times New Roman" w:cs="Times New Roman"/>
                <w:sz w:val="24"/>
                <w:szCs w:val="24"/>
              </w:rPr>
              <w:t>8.6 Workforce and Skills Development</w:t>
            </w:r>
            <w:r>
              <w:rPr>
                <w:rFonts w:ascii="Times New Roman" w:eastAsia="Times New Roman" w:hAnsi="Times New Roman" w:cs="Times New Roman"/>
                <w:sz w:val="24"/>
                <w:szCs w:val="24"/>
              </w:rPr>
              <w:tab/>
              <w:t>16</w:t>
            </w:r>
          </w:hyperlink>
        </w:p>
        <w:p w14:paraId="1B6B6BEA"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xebqokvhcyoh">
            <w:r>
              <w:rPr>
                <w:rFonts w:ascii="Times New Roman" w:eastAsia="Times New Roman" w:hAnsi="Times New Roman" w:cs="Times New Roman"/>
                <w:sz w:val="24"/>
                <w:szCs w:val="24"/>
              </w:rPr>
              <w:t>9. Implementation Plan</w:t>
            </w:r>
            <w:r>
              <w:rPr>
                <w:rFonts w:ascii="Times New Roman" w:eastAsia="Times New Roman" w:hAnsi="Times New Roman" w:cs="Times New Roman"/>
                <w:sz w:val="24"/>
                <w:szCs w:val="24"/>
              </w:rPr>
              <w:tab/>
              <w:t>16</w:t>
            </w:r>
          </w:hyperlink>
        </w:p>
        <w:p w14:paraId="03179E9E"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stbe5hd4pzlg">
            <w:r>
              <w:rPr>
                <w:rFonts w:ascii="Times New Roman" w:eastAsia="Times New Roman" w:hAnsi="Times New Roman" w:cs="Times New Roman"/>
                <w:sz w:val="24"/>
                <w:szCs w:val="24"/>
              </w:rPr>
              <w:t>9.1 Phased Implementation Roadmap</w:t>
            </w:r>
            <w:r>
              <w:rPr>
                <w:rFonts w:ascii="Times New Roman" w:eastAsia="Times New Roman" w:hAnsi="Times New Roman" w:cs="Times New Roman"/>
                <w:sz w:val="24"/>
                <w:szCs w:val="24"/>
              </w:rPr>
              <w:tab/>
              <w:t>16</w:t>
            </w:r>
          </w:hyperlink>
        </w:p>
        <w:p w14:paraId="3C2CC620"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z1s51j5o09zc">
            <w:r>
              <w:rPr>
                <w:rFonts w:ascii="Times New Roman" w:eastAsia="Times New Roman" w:hAnsi="Times New Roman" w:cs="Times New Roman"/>
                <w:sz w:val="24"/>
                <w:szCs w:val="24"/>
              </w:rPr>
              <w:t>9.2 Resource Allocation</w:t>
            </w:r>
            <w:r>
              <w:rPr>
                <w:rFonts w:ascii="Times New Roman" w:eastAsia="Times New Roman" w:hAnsi="Times New Roman" w:cs="Times New Roman"/>
                <w:sz w:val="24"/>
                <w:szCs w:val="24"/>
              </w:rPr>
              <w:tab/>
              <w:t>19</w:t>
            </w:r>
          </w:hyperlink>
        </w:p>
        <w:p w14:paraId="1CB99258"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kikfono796kj">
            <w:r>
              <w:rPr>
                <w:rFonts w:ascii="Times New Roman" w:eastAsia="Times New Roman" w:hAnsi="Times New Roman" w:cs="Times New Roman"/>
                <w:sz w:val="24"/>
                <w:szCs w:val="24"/>
              </w:rPr>
              <w:t>9.3 Key Performance Indicators (KPIs)</w:t>
            </w:r>
            <w:r>
              <w:rPr>
                <w:rFonts w:ascii="Times New Roman" w:eastAsia="Times New Roman" w:hAnsi="Times New Roman" w:cs="Times New Roman"/>
                <w:sz w:val="24"/>
                <w:szCs w:val="24"/>
              </w:rPr>
              <w:tab/>
              <w:t>20</w:t>
            </w:r>
          </w:hyperlink>
        </w:p>
        <w:p w14:paraId="163006D9" w14:textId="77777777" w:rsidR="00FF7E78" w:rsidRDefault="002B2278">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sz w:val="24"/>
              <w:szCs w:val="24"/>
            </w:rPr>
          </w:pPr>
          <w:hyperlink w:anchor="_heading=h.1krkh4nfrtz">
            <w:r>
              <w:rPr>
                <w:rFonts w:ascii="Times New Roman" w:eastAsia="Times New Roman" w:hAnsi="Times New Roman" w:cs="Times New Roman"/>
                <w:sz w:val="24"/>
                <w:szCs w:val="24"/>
              </w:rPr>
              <w:t>9.4 Risk and Contingency Planning</w:t>
            </w:r>
            <w:r>
              <w:rPr>
                <w:rFonts w:ascii="Times New Roman" w:eastAsia="Times New Roman" w:hAnsi="Times New Roman" w:cs="Times New Roman"/>
                <w:sz w:val="24"/>
                <w:szCs w:val="24"/>
              </w:rPr>
              <w:tab/>
              <w:t>20</w:t>
            </w:r>
          </w:hyperlink>
        </w:p>
        <w:p w14:paraId="4B83743E"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yqci03pjt6c">
            <w:r>
              <w:rPr>
                <w:rFonts w:ascii="Times New Roman" w:eastAsia="Times New Roman" w:hAnsi="Times New Roman" w:cs="Times New Roman"/>
                <w:sz w:val="24"/>
                <w:szCs w:val="24"/>
              </w:rPr>
              <w:t>10. Future Outlook and Strategic Resilience</w:t>
            </w:r>
            <w:r>
              <w:rPr>
                <w:rFonts w:ascii="Times New Roman" w:eastAsia="Times New Roman" w:hAnsi="Times New Roman" w:cs="Times New Roman"/>
                <w:sz w:val="24"/>
                <w:szCs w:val="24"/>
              </w:rPr>
              <w:tab/>
              <w:t>22</w:t>
            </w:r>
          </w:hyperlink>
        </w:p>
        <w:p w14:paraId="0D0F5E52"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n2zmmrg0az97">
            <w:r>
              <w:rPr>
                <w:rFonts w:ascii="Times New Roman" w:eastAsia="Times New Roman" w:hAnsi="Times New Roman" w:cs="Times New Roman"/>
                <w:sz w:val="24"/>
                <w:szCs w:val="24"/>
              </w:rPr>
              <w:t>11.Conclusion</w:t>
            </w:r>
            <w:r>
              <w:rPr>
                <w:rFonts w:ascii="Times New Roman" w:eastAsia="Times New Roman" w:hAnsi="Times New Roman" w:cs="Times New Roman"/>
                <w:sz w:val="24"/>
                <w:szCs w:val="24"/>
              </w:rPr>
              <w:tab/>
              <w:t>23</w:t>
            </w:r>
          </w:hyperlink>
        </w:p>
        <w:p w14:paraId="21A22391" w14:textId="77777777" w:rsidR="00FF7E78" w:rsidRDefault="002B227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sz w:val="24"/>
              <w:szCs w:val="24"/>
            </w:rPr>
          </w:pPr>
          <w:hyperlink w:anchor="_heading=h.j8mb5n9o7900">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23</w:t>
            </w:r>
          </w:hyperlink>
        </w:p>
        <w:p w14:paraId="643B38DB" w14:textId="77777777" w:rsidR="00FF7E78" w:rsidRDefault="002B2278">
          <w:pPr>
            <w:spacing w:line="360" w:lineRule="auto"/>
            <w:jc w:val="both"/>
            <w:rPr>
              <w:rFonts w:ascii="Times New Roman" w:eastAsia="Times New Roman" w:hAnsi="Times New Roman" w:cs="Times New Roman"/>
              <w:sz w:val="24"/>
              <w:szCs w:val="24"/>
            </w:rPr>
          </w:pPr>
          <w:r>
            <w:fldChar w:fldCharType="end"/>
          </w:r>
        </w:p>
      </w:sdtContent>
    </w:sdt>
    <w:p w14:paraId="4F0118D4" w14:textId="77777777" w:rsidR="00FF7E78" w:rsidRDefault="00FF7E78">
      <w:pPr>
        <w:spacing w:before="240" w:after="240" w:line="360" w:lineRule="auto"/>
        <w:jc w:val="both"/>
        <w:rPr>
          <w:rFonts w:ascii="Times New Roman" w:eastAsia="Times New Roman" w:hAnsi="Times New Roman" w:cs="Times New Roman"/>
          <w:sz w:val="24"/>
          <w:szCs w:val="24"/>
        </w:rPr>
      </w:pPr>
    </w:p>
    <w:p w14:paraId="78224CBC" w14:textId="77777777" w:rsidR="00FF7E78" w:rsidRDefault="00FF7E78">
      <w:pPr>
        <w:spacing w:line="360" w:lineRule="auto"/>
        <w:jc w:val="both"/>
        <w:rPr>
          <w:rFonts w:ascii="Times New Roman" w:eastAsia="Times New Roman" w:hAnsi="Times New Roman" w:cs="Times New Roman"/>
          <w:sz w:val="24"/>
          <w:szCs w:val="24"/>
        </w:rPr>
      </w:pPr>
    </w:p>
    <w:p w14:paraId="56E6D2B0" w14:textId="77777777" w:rsidR="00FF7E78" w:rsidRDefault="00FF7E78">
      <w:pPr>
        <w:spacing w:line="360" w:lineRule="auto"/>
        <w:jc w:val="both"/>
        <w:rPr>
          <w:rFonts w:ascii="Times New Roman" w:eastAsia="Times New Roman" w:hAnsi="Times New Roman" w:cs="Times New Roman"/>
          <w:sz w:val="24"/>
          <w:szCs w:val="24"/>
        </w:rPr>
      </w:pPr>
    </w:p>
    <w:p w14:paraId="702D96A8" w14:textId="77777777" w:rsidR="00FF7E78" w:rsidRDefault="00FF7E78">
      <w:pPr>
        <w:spacing w:line="360" w:lineRule="auto"/>
        <w:jc w:val="both"/>
        <w:rPr>
          <w:rFonts w:ascii="Times New Roman" w:eastAsia="Times New Roman" w:hAnsi="Times New Roman" w:cs="Times New Roman"/>
          <w:sz w:val="24"/>
          <w:szCs w:val="24"/>
        </w:rPr>
      </w:pPr>
    </w:p>
    <w:p w14:paraId="1FF99A61" w14:textId="77777777" w:rsidR="00FF7E78" w:rsidRDefault="00FF7E78">
      <w:pPr>
        <w:spacing w:line="360" w:lineRule="auto"/>
        <w:jc w:val="both"/>
        <w:rPr>
          <w:rFonts w:ascii="Times New Roman" w:eastAsia="Times New Roman" w:hAnsi="Times New Roman" w:cs="Times New Roman"/>
          <w:sz w:val="24"/>
          <w:szCs w:val="24"/>
        </w:rPr>
      </w:pPr>
    </w:p>
    <w:p w14:paraId="45A42B91" w14:textId="77777777" w:rsidR="00FF7E78" w:rsidRDefault="00FF7E78">
      <w:pPr>
        <w:spacing w:line="360" w:lineRule="auto"/>
        <w:jc w:val="both"/>
        <w:rPr>
          <w:rFonts w:ascii="Times New Roman" w:eastAsia="Times New Roman" w:hAnsi="Times New Roman" w:cs="Times New Roman"/>
          <w:sz w:val="24"/>
          <w:szCs w:val="24"/>
        </w:rPr>
      </w:pPr>
    </w:p>
    <w:p w14:paraId="46283995" w14:textId="77777777" w:rsidR="00FF7E78" w:rsidRDefault="00FF7E78">
      <w:pPr>
        <w:spacing w:line="360" w:lineRule="auto"/>
        <w:jc w:val="both"/>
        <w:rPr>
          <w:rFonts w:ascii="Times New Roman" w:eastAsia="Times New Roman" w:hAnsi="Times New Roman" w:cs="Times New Roman"/>
          <w:sz w:val="24"/>
          <w:szCs w:val="24"/>
        </w:rPr>
      </w:pPr>
    </w:p>
    <w:p w14:paraId="1035F627" w14:textId="77777777" w:rsidR="00FF7E78" w:rsidRDefault="00FF7E78">
      <w:pPr>
        <w:spacing w:line="360" w:lineRule="auto"/>
        <w:jc w:val="both"/>
        <w:rPr>
          <w:rFonts w:ascii="Times New Roman" w:eastAsia="Times New Roman" w:hAnsi="Times New Roman" w:cs="Times New Roman"/>
          <w:sz w:val="24"/>
          <w:szCs w:val="24"/>
        </w:rPr>
      </w:pPr>
    </w:p>
    <w:p w14:paraId="0130F4AA" w14:textId="77777777" w:rsidR="00FF7E78" w:rsidRDefault="00FF7E78">
      <w:pPr>
        <w:spacing w:line="360" w:lineRule="auto"/>
        <w:jc w:val="both"/>
        <w:rPr>
          <w:rFonts w:ascii="Times New Roman" w:eastAsia="Times New Roman" w:hAnsi="Times New Roman" w:cs="Times New Roman"/>
          <w:sz w:val="24"/>
          <w:szCs w:val="24"/>
        </w:rPr>
      </w:pPr>
    </w:p>
    <w:p w14:paraId="4E26BD9A" w14:textId="77777777" w:rsidR="00FF7E78" w:rsidRDefault="00FF7E78">
      <w:pPr>
        <w:spacing w:line="360" w:lineRule="auto"/>
        <w:jc w:val="both"/>
        <w:rPr>
          <w:rFonts w:ascii="Times New Roman" w:eastAsia="Times New Roman" w:hAnsi="Times New Roman" w:cs="Times New Roman"/>
          <w:sz w:val="24"/>
          <w:szCs w:val="24"/>
        </w:rPr>
      </w:pPr>
    </w:p>
    <w:p w14:paraId="3F449E5B" w14:textId="77777777" w:rsidR="00FF7E78" w:rsidRDefault="00FF7E78">
      <w:pPr>
        <w:spacing w:line="360" w:lineRule="auto"/>
        <w:jc w:val="both"/>
        <w:rPr>
          <w:rFonts w:ascii="Times New Roman" w:eastAsia="Times New Roman" w:hAnsi="Times New Roman" w:cs="Times New Roman"/>
          <w:sz w:val="24"/>
          <w:szCs w:val="24"/>
        </w:rPr>
      </w:pPr>
    </w:p>
    <w:p w14:paraId="467BCD18" w14:textId="77777777" w:rsidR="00FF7E78" w:rsidRDefault="00FF7E78">
      <w:pPr>
        <w:spacing w:line="360" w:lineRule="auto"/>
        <w:jc w:val="both"/>
        <w:rPr>
          <w:rFonts w:ascii="Times New Roman" w:eastAsia="Times New Roman" w:hAnsi="Times New Roman" w:cs="Times New Roman"/>
          <w:sz w:val="24"/>
          <w:szCs w:val="24"/>
        </w:rPr>
      </w:pPr>
    </w:p>
    <w:p w14:paraId="1677E8DD" w14:textId="77777777" w:rsidR="00FF7E78" w:rsidRDefault="00FF7E78">
      <w:pPr>
        <w:spacing w:line="360" w:lineRule="auto"/>
        <w:jc w:val="both"/>
        <w:rPr>
          <w:rFonts w:ascii="Times New Roman" w:eastAsia="Times New Roman" w:hAnsi="Times New Roman" w:cs="Times New Roman"/>
          <w:sz w:val="24"/>
          <w:szCs w:val="24"/>
        </w:rPr>
      </w:pPr>
    </w:p>
    <w:p w14:paraId="112D2348" w14:textId="77777777" w:rsidR="00FF7E78" w:rsidRDefault="002B2278">
      <w:pPr>
        <w:pStyle w:val="Heading1"/>
        <w:spacing w:after="240"/>
        <w:rPr>
          <w:color w:val="000000"/>
        </w:rPr>
      </w:pPr>
      <w:bookmarkStart w:id="0" w:name="_heading=h.lhr7uz6bqrk2" w:colFirst="0" w:colLast="0"/>
      <w:bookmarkEnd w:id="0"/>
      <w:r>
        <w:rPr>
          <w:color w:val="000000"/>
        </w:rPr>
        <w:t>1. Introduction</w:t>
      </w:r>
    </w:p>
    <w:p w14:paraId="0BAF2F17"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has</w:t>
      </w:r>
      <w:r>
        <w:rPr>
          <w:rFonts w:ascii="Times New Roman" w:eastAsia="Times New Roman" w:hAnsi="Times New Roman" w:cs="Times New Roman"/>
          <w:sz w:val="24"/>
          <w:szCs w:val="24"/>
          <w:highlight w:val="white"/>
        </w:rPr>
        <w:t xml:space="preserve"> emerged as a catalyst for unprecedented transformation across </w:t>
      </w:r>
      <w:r>
        <w:rPr>
          <w:rFonts w:ascii="Times New Roman" w:eastAsia="Times New Roman" w:hAnsi="Times New Roman" w:cs="Times New Roman"/>
          <w:sz w:val="24"/>
          <w:szCs w:val="24"/>
        </w:rPr>
        <w:t>the world of business, making it a key factor of innovation, efficiency, and a competitive edge (</w:t>
      </w:r>
      <w:r>
        <w:rPr>
          <w:rFonts w:ascii="Times New Roman" w:eastAsia="Times New Roman" w:hAnsi="Times New Roman" w:cs="Times New Roman"/>
          <w:sz w:val="24"/>
          <w:szCs w:val="24"/>
          <w:highlight w:val="white"/>
        </w:rPr>
        <w:t>Aldoseri, Al-Khalifa and Hamouda, 2024</w:t>
      </w:r>
      <w:r>
        <w:rPr>
          <w:rFonts w:ascii="Times New Roman" w:eastAsia="Times New Roman" w:hAnsi="Times New Roman" w:cs="Times New Roman"/>
          <w:sz w:val="24"/>
          <w:szCs w:val="24"/>
        </w:rPr>
        <w:t xml:space="preserve">). Moreover, organizations implement artificial intelligence technologies, including machine learning, automation, and predictive analytics, within all sectors to optimize their business processes and improve decision-making. </w:t>
      </w:r>
    </w:p>
    <w:p w14:paraId="5AAE461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technology is critical for Amazon because it enables the company to process vast amounts of customer and operational data in real time, improve decision-making, optimise supply chains, and manage business risks more effectively. This technology increases forecasting accuracy, enhances organizational operations, and prevents risks. At the same time, the implementation of artificial intelligence technology creates additional difficulties in terms of ethics, data governance, and compliance risks, which shou</w:t>
      </w:r>
      <w:r>
        <w:rPr>
          <w:rFonts w:ascii="Times New Roman" w:eastAsia="Times New Roman" w:hAnsi="Times New Roman" w:cs="Times New Roman"/>
          <w:sz w:val="24"/>
          <w:szCs w:val="24"/>
        </w:rPr>
        <w:t>ld be managed properly (Gudepu and Eichler, 2024). AI adoption is becoming a major concern for Amazon, which is increasingly using AI in its e-commerce platform, logistics operations and Amazon Web Services (AWS).Amazon is using AI in a wide range of its operations, including its e-commerce platform, logistics, and Amazon Web Services (AWS), and is grappling with data governance, cybersecurity, regulatory compliance, and ethical considerations regarding the implementation of AI. The report includes a macroe</w:t>
      </w:r>
      <w:r>
        <w:rPr>
          <w:rFonts w:ascii="Times New Roman" w:eastAsia="Times New Roman" w:hAnsi="Times New Roman" w:cs="Times New Roman"/>
          <w:sz w:val="24"/>
          <w:szCs w:val="24"/>
        </w:rPr>
        <w:t>conomic and political analysis of the environment in which AI is being adopted, and a comparison of the regulatory frameworks in the United Kingdom and European Union. It suggests Amazon to improve its AI governance framework, create separate Responsible AI teams, and upskill their workforce to build a globally connected compliance system for sustainable competitiveness. .</w:t>
      </w:r>
    </w:p>
    <w:p w14:paraId="6AC3DE28" w14:textId="77777777" w:rsidR="00FF7E78" w:rsidRDefault="002B2278">
      <w:pPr>
        <w:pStyle w:val="Heading1"/>
        <w:spacing w:after="240"/>
        <w:rPr>
          <w:color w:val="000000"/>
        </w:rPr>
      </w:pPr>
      <w:bookmarkStart w:id="1" w:name="_heading=h.d3q46aw3xpu3" w:colFirst="0" w:colLast="0"/>
      <w:bookmarkEnd w:id="1"/>
      <w:r>
        <w:rPr>
          <w:color w:val="000000"/>
        </w:rPr>
        <w:t>2. Macroeconomic and Political Environment</w:t>
      </w:r>
    </w:p>
    <w:p w14:paraId="772EA3C2" w14:textId="77777777" w:rsidR="00FF7E78" w:rsidRDefault="002B2278">
      <w:pPr>
        <w:pStyle w:val="Heading2"/>
        <w:spacing w:line="360" w:lineRule="auto"/>
        <w:rPr>
          <w:sz w:val="24"/>
          <w:szCs w:val="24"/>
        </w:rPr>
      </w:pPr>
      <w:bookmarkStart w:id="2" w:name="_heading=h.dkmm2qkfcc5d" w:colFirst="0" w:colLast="0"/>
      <w:bookmarkEnd w:id="2"/>
      <w:r>
        <w:rPr>
          <w:sz w:val="24"/>
          <w:szCs w:val="24"/>
        </w:rPr>
        <w:t xml:space="preserve">2.1 Economic Environment </w:t>
      </w:r>
    </w:p>
    <w:p w14:paraId="534D33A6"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is becoming known as a transformative economic power in the global economy that is having far-reaching consequences on productivity, economic growth, and </w:t>
      </w:r>
      <w:r>
        <w:rPr>
          <w:rFonts w:ascii="Times New Roman" w:eastAsia="Times New Roman" w:hAnsi="Times New Roman" w:cs="Times New Roman"/>
          <w:sz w:val="24"/>
          <w:szCs w:val="24"/>
        </w:rPr>
        <w:lastRenderedPageBreak/>
        <w:t>industrial competitiveness. AI helps organisations to be more efficient and innovative by automating the mundane processes and enhancing human capabilities (</w:t>
      </w:r>
      <w:r>
        <w:rPr>
          <w:rFonts w:ascii="Times New Roman" w:eastAsia="Times New Roman" w:hAnsi="Times New Roman" w:cs="Times New Roman"/>
          <w:sz w:val="24"/>
          <w:szCs w:val="24"/>
          <w:highlight w:val="white"/>
        </w:rPr>
        <w:t>Singh, 2024</w:t>
      </w:r>
      <w:r>
        <w:rPr>
          <w:rFonts w:ascii="Times New Roman" w:eastAsia="Times New Roman" w:hAnsi="Times New Roman" w:cs="Times New Roman"/>
          <w:sz w:val="24"/>
          <w:szCs w:val="24"/>
        </w:rPr>
        <w:t>). In the case of multinational companies, productivity increases driven by AI will translate into cost savings, an increase in operational efficiency, and scalability to other markets around the globe.</w:t>
      </w:r>
    </w:p>
    <w:p w14:paraId="53C34FF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AI has a range of economic consequences other than productivity. The labor markets are changing in terms of structure, as some types of jobs are being replaced by automation, but at the same time, high-skilled jobs are being created. </w:t>
      </w:r>
      <w:r>
        <w:rPr>
          <w:rFonts w:ascii="Times New Roman" w:eastAsia="Times New Roman" w:hAnsi="Times New Roman" w:cs="Times New Roman"/>
          <w:sz w:val="24"/>
          <w:szCs w:val="24"/>
        </w:rPr>
        <w:t>Amazon's adoption of robotics and AI in its fulfilment centres has boosted productivity and cut down on expenses. It has also led to concerns about workforce changes, and the need for new reskilling programmes  (</w:t>
      </w:r>
      <w:r>
        <w:rPr>
          <w:rFonts w:ascii="Times New Roman" w:eastAsia="Times New Roman" w:hAnsi="Times New Roman" w:cs="Times New Roman"/>
          <w:sz w:val="24"/>
          <w:szCs w:val="24"/>
          <w:highlight w:val="white"/>
        </w:rPr>
        <w:t>Acemoglu, 2025</w:t>
      </w:r>
      <w:r>
        <w:rPr>
          <w:rFonts w:ascii="Times New Roman" w:eastAsia="Times New Roman" w:hAnsi="Times New Roman" w:cs="Times New Roman"/>
          <w:sz w:val="24"/>
          <w:szCs w:val="24"/>
        </w:rPr>
        <w:t xml:space="preserve">). As a result, Amazon has rolled out a massive program of employee training in order to equip staff for technology-related positions. </w:t>
      </w:r>
    </w:p>
    <w:p w14:paraId="06E02083" w14:textId="77777777" w:rsidR="00FF7E78" w:rsidRDefault="00FF7E78">
      <w:pPr>
        <w:spacing w:before="240" w:after="240" w:line="360" w:lineRule="auto"/>
        <w:jc w:val="both"/>
        <w:rPr>
          <w:rFonts w:ascii="Times New Roman" w:eastAsia="Times New Roman" w:hAnsi="Times New Roman" w:cs="Times New Roman"/>
          <w:sz w:val="24"/>
          <w:szCs w:val="24"/>
        </w:rPr>
      </w:pPr>
    </w:p>
    <w:p w14:paraId="5F4BEA46" w14:textId="77777777" w:rsidR="00FF7E78" w:rsidRDefault="002B2278">
      <w:pPr>
        <w:pStyle w:val="Heading2"/>
        <w:spacing w:line="360" w:lineRule="auto"/>
        <w:rPr>
          <w:sz w:val="24"/>
          <w:szCs w:val="24"/>
        </w:rPr>
      </w:pPr>
      <w:bookmarkStart w:id="3" w:name="_heading=h.jpwqwgnksiri" w:colFirst="0" w:colLast="0"/>
      <w:bookmarkEnd w:id="3"/>
      <w:r>
        <w:rPr>
          <w:sz w:val="24"/>
          <w:szCs w:val="24"/>
        </w:rPr>
        <w:t>2.2 Political Environment</w:t>
      </w:r>
    </w:p>
    <w:p w14:paraId="7E67717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swift proliferation of AI has led to the intensive involvement of the government since the authorities have been trying to strike a balance between innovation and mitigating risks (</w:t>
      </w:r>
      <w:r>
        <w:rPr>
          <w:rFonts w:ascii="Times New Roman" w:eastAsia="Times New Roman" w:hAnsi="Times New Roman" w:cs="Times New Roman"/>
          <w:sz w:val="24"/>
          <w:szCs w:val="24"/>
          <w:highlight w:val="white"/>
        </w:rPr>
        <w:t>Ricciardi Celsi, 2023</w:t>
      </w:r>
      <w:r>
        <w:rPr>
          <w:rFonts w:ascii="Times New Roman" w:eastAsia="Times New Roman" w:hAnsi="Times New Roman" w:cs="Times New Roman"/>
          <w:sz w:val="24"/>
          <w:szCs w:val="24"/>
        </w:rPr>
        <w:t>). Governments are investing huge amounts of funds in AI research and infrastructure to enhance national competitiveness, as well as to develop regulatory frameworks to mitigate the problem of ethical concerns and data protection and security threats.</w:t>
      </w:r>
    </w:p>
    <w:p w14:paraId="6178F3F7" w14:textId="77777777" w:rsidR="00FF7E78" w:rsidRDefault="002B2278">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The notion of technological sovereignty is an important one in the light of the political landscape, since countries are trying to minimize the level of dependency on foreign technologies and ensure that the digital backbone is kept within their reach.</w:t>
      </w:r>
      <w:r>
        <w:rPr>
          <w:rFonts w:ascii="Times New Roman" w:eastAsia="Times New Roman" w:hAnsi="Times New Roman" w:cs="Times New Roman"/>
          <w:color w:val="FF0000"/>
          <w:sz w:val="24"/>
          <w:szCs w:val="24"/>
        </w:rPr>
        <w:t xml:space="preserve"> </w:t>
      </w:r>
    </w:p>
    <w:p w14:paraId="78342FCE" w14:textId="77777777" w:rsidR="00FF7E78" w:rsidRDefault="002B2278">
      <w:pPr>
        <w:pStyle w:val="Heading2"/>
        <w:spacing w:line="360" w:lineRule="auto"/>
        <w:rPr>
          <w:sz w:val="24"/>
          <w:szCs w:val="24"/>
        </w:rPr>
      </w:pPr>
      <w:bookmarkStart w:id="4" w:name="_heading=h.89ryvxomcman" w:colFirst="0" w:colLast="0"/>
      <w:bookmarkEnd w:id="4"/>
      <w:r>
        <w:rPr>
          <w:sz w:val="24"/>
          <w:szCs w:val="24"/>
        </w:rPr>
        <w:t>2.3 Implications for Multinational Corporations</w:t>
      </w:r>
    </w:p>
    <w:p w14:paraId="051AF351"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dynamic environment regarding both macroeconomic and political issues is considered an asset and a challenge for multinational companies like RFD Global. Among other things, cross-border risk is a serious challenge, since companies have to take into account different regulatory frameworks, data protection laws, and political processes in different countries (Mercurio and Yu, 2022).</w:t>
      </w:r>
    </w:p>
    <w:p w14:paraId="75F5191A"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difficult to implement consistent strategies in terms of using AI across the world due to dissimilarities between the flexible and innovative regulatory framework in the UK and risk-oriented one in the European Union, among other issues. The UK's innovation-friendly approach allows Amazon greater flexibility to experiment with AI technologies and rapidly commercialise new AI-driven services</w:t>
      </w:r>
    </w:p>
    <w:p w14:paraId="56D100D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the European Union's AI Act imposes extensive documentation, transparency and risk assessment requirements. For Amazon, this may increase compliance costs and slow the deployment of certain AI applications.</w:t>
      </w:r>
    </w:p>
    <w:p w14:paraId="2B1B193E" w14:textId="77777777" w:rsidR="00FF7E78" w:rsidRDefault="00FF7E78">
      <w:pPr>
        <w:spacing w:before="240" w:after="240" w:line="360" w:lineRule="auto"/>
        <w:jc w:val="both"/>
        <w:rPr>
          <w:rFonts w:ascii="Times New Roman" w:eastAsia="Times New Roman" w:hAnsi="Times New Roman" w:cs="Times New Roman"/>
          <w:sz w:val="24"/>
          <w:szCs w:val="24"/>
        </w:rPr>
      </w:pPr>
    </w:p>
    <w:p w14:paraId="49A43C22" w14:textId="77777777" w:rsidR="00FF7E78" w:rsidRDefault="002B2278">
      <w:pPr>
        <w:pStyle w:val="Heading1"/>
        <w:keepNext w:val="0"/>
        <w:keepLines w:val="0"/>
        <w:rPr>
          <w:color w:val="000000"/>
        </w:rPr>
      </w:pPr>
      <w:bookmarkStart w:id="5" w:name="_heading=h.lxi0s3qhdk7t" w:colFirst="0" w:colLast="0"/>
      <w:bookmarkEnd w:id="5"/>
      <w:r>
        <w:rPr>
          <w:color w:val="000000"/>
        </w:rPr>
        <w:t xml:space="preserve">3. The Role of Artificial Intelligence in Business Transformation </w:t>
      </w:r>
    </w:p>
    <w:p w14:paraId="3CA3D1AC" w14:textId="77777777" w:rsidR="00FF7E78" w:rsidRDefault="002B227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 w:name="_heading=h.q48q4o1ag9tt" w:colFirst="0" w:colLast="0"/>
      <w:bookmarkEnd w:id="6"/>
      <w:r>
        <w:rPr>
          <w:rFonts w:ascii="Times New Roman" w:eastAsia="Times New Roman" w:hAnsi="Times New Roman" w:cs="Times New Roman"/>
          <w:b/>
          <w:bCs/>
          <w:color w:val="000000"/>
          <w:sz w:val="24"/>
          <w:szCs w:val="24"/>
        </w:rPr>
        <w:t xml:space="preserve">3.1 AI Applications </w:t>
      </w:r>
    </w:p>
    <w:p w14:paraId="73AF8DD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Amazon system of recommendations is a vital part of their business and helps a lot in making a person shop with them (</w:t>
      </w:r>
      <w:r>
        <w:rPr>
          <w:rFonts w:ascii="Times New Roman" w:eastAsia="Times New Roman" w:hAnsi="Times New Roman" w:cs="Times New Roman"/>
          <w:sz w:val="24"/>
          <w:szCs w:val="24"/>
          <w:highlight w:val="white"/>
        </w:rPr>
        <w:t xml:space="preserve">Ahmed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.The recommendations system of Amazon plays a significant role in the sales revenue, as it makes a person shop with them. Likewise, predictive analytics helps Amazon manage its inventory effectively and minimize delivery times, which further enhances its competitiveness in the global e-commerce landscape. </w:t>
      </w:r>
    </w:p>
    <w:p w14:paraId="30E199E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logistics and supply chain operations employ AI in the form of automation in predicting inventory, robots in the warehouse, and optimizing routes, which enhances the speed and cost-effectiveness of its delivery services (Sadiku, Ajayi, and Sadiku, 2026). In addition, predictive analytics may help the company to forecast demand trends, which will remove stockouts and surpluses.</w:t>
      </w:r>
    </w:p>
    <w:p w14:paraId="59DAAF5A"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significant contribution of AI to customer experience is in the form of recommendation algorithms, personalized marketing, and voice technology such as virtual assistants (Jonnala, 2024). The apps assist in scanning big volumes of information to provide customizations that resonate with the tastes of every customer, improving customer satisfaction and involvement. In addition, it provides AI to third-party clients, available in its cloud computing department, who are able to integrate machine learning i</w:t>
      </w:r>
      <w:r>
        <w:rPr>
          <w:rFonts w:ascii="Times New Roman" w:eastAsia="Times New Roman" w:hAnsi="Times New Roman" w:cs="Times New Roman"/>
          <w:sz w:val="24"/>
          <w:szCs w:val="24"/>
        </w:rPr>
        <w:t>nto their businesses. This positions the company as more than an AI user but as a leading AI infrastructure provider in the world.</w:t>
      </w:r>
    </w:p>
    <w:p w14:paraId="3585E783" w14:textId="77777777" w:rsidR="00FF7E78" w:rsidRDefault="002B2278">
      <w:pPr>
        <w:pStyle w:val="Heading2"/>
        <w:spacing w:line="360" w:lineRule="auto"/>
        <w:rPr>
          <w:sz w:val="24"/>
          <w:szCs w:val="24"/>
        </w:rPr>
      </w:pPr>
      <w:bookmarkStart w:id="7" w:name="_heading=h.16hdyl4570az" w:colFirst="0" w:colLast="0"/>
      <w:bookmarkEnd w:id="7"/>
      <w:r>
        <w:rPr>
          <w:sz w:val="24"/>
          <w:szCs w:val="24"/>
        </w:rPr>
        <w:t>3.2 Strategic Benefits</w:t>
      </w:r>
    </w:p>
    <w:p w14:paraId="6D0F61E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advantages of AI strategic integration. Firstly, cost efficiency is achieved through automation of repetitive processes, reduced human error, and better utilization of resources. This will allow the organization to grow operations simultaneously, without becoming unprofitable. Secondly, AI enhances the decision-making process by providing real-time information on the basis of the complex data. The managers can make informed strategic decisions, making them more responsive to the changes in</w:t>
      </w:r>
      <w:r>
        <w:rPr>
          <w:rFonts w:ascii="Times New Roman" w:eastAsia="Times New Roman" w:hAnsi="Times New Roman" w:cs="Times New Roman"/>
          <w:sz w:val="24"/>
          <w:szCs w:val="24"/>
        </w:rPr>
        <w:t xml:space="preserve"> the market and reducing the uncertainty (Nwoke, 2025).</w:t>
      </w:r>
    </w:p>
    <w:p w14:paraId="022CE365"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AI will contribute to the sustainable competitive edge. The company is ahead of the competitors with the assistance of its own data and advanced algorithms and strengthens its positions on the market. The endless advancement of AI programs also puts new market entrants at a disadvantage, affirming the dominance in the long term in the major areas of e-commerce and cloud computing.</w:t>
      </w:r>
    </w:p>
    <w:p w14:paraId="0F1C5DCE" w14:textId="77777777" w:rsidR="00FF7E78" w:rsidRDefault="002B2278">
      <w:pPr>
        <w:pStyle w:val="Heading2"/>
        <w:spacing w:line="360" w:lineRule="auto"/>
        <w:rPr>
          <w:sz w:val="24"/>
          <w:szCs w:val="24"/>
        </w:rPr>
      </w:pPr>
      <w:bookmarkStart w:id="8" w:name="_heading=h.wfs3y1zg8l70" w:colFirst="0" w:colLast="0"/>
      <w:bookmarkEnd w:id="8"/>
      <w:r>
        <w:rPr>
          <w:sz w:val="24"/>
          <w:szCs w:val="24"/>
        </w:rPr>
        <w:t>3.3 AI-related risks</w:t>
      </w:r>
    </w:p>
    <w:p w14:paraId="4E475F96"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are positive sides to it, the implementation of AI poses serious threats. The operational risks are due to overdependence on automated systems, which can cause disruption in case of failure or incorrect outputs of the systems. The risk of cybersecurity is also increased, as AI systems are easy targets of malicious attacks, which aim at manipulating data or at interfering with sensitive information (</w:t>
      </w:r>
      <w:r>
        <w:rPr>
          <w:rFonts w:ascii="Times New Roman" w:eastAsia="Times New Roman" w:hAnsi="Times New Roman" w:cs="Times New Roman"/>
          <w:sz w:val="24"/>
          <w:szCs w:val="24"/>
          <w:highlight w:val="white"/>
        </w:rPr>
        <w:t>Zeb and Lodhi, 2025</w:t>
      </w:r>
      <w:r>
        <w:rPr>
          <w:rFonts w:ascii="Times New Roman" w:eastAsia="Times New Roman" w:hAnsi="Times New Roman" w:cs="Times New Roman"/>
          <w:sz w:val="24"/>
          <w:szCs w:val="24"/>
        </w:rPr>
        <w:t>).</w:t>
      </w:r>
    </w:p>
    <w:p w14:paraId="232ACD5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has faced criticism regarding algorithmic bias and concerns about employee surveillance technologies. Furthermore, the company processes vast quantities of customer information, making cybersecurity breaches and data governance failures potentially damaging to its reputation and financial performance.</w:t>
      </w:r>
    </w:p>
    <w:p w14:paraId="3C155AC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although AI provides significant business change, organisations have to carefully balance between innovation and risk management to be able to adopt it in a sustainable and responsible way.</w:t>
      </w:r>
    </w:p>
    <w:p w14:paraId="1A475C28" w14:textId="77777777" w:rsidR="00FF7E78" w:rsidRDefault="002B2278">
      <w:pPr>
        <w:pStyle w:val="Heading1"/>
        <w:spacing w:after="240"/>
        <w:rPr>
          <w:color w:val="000000"/>
        </w:rPr>
      </w:pPr>
      <w:bookmarkStart w:id="9" w:name="_heading=h.8z8p73918vhp" w:colFirst="0" w:colLast="0"/>
      <w:bookmarkEnd w:id="9"/>
      <w:r>
        <w:rPr>
          <w:color w:val="000000"/>
        </w:rPr>
        <w:t>4. AI and Risk Management Framework</w:t>
      </w:r>
    </w:p>
    <w:p w14:paraId="3EA72D4B" w14:textId="77777777" w:rsidR="00FF7E78" w:rsidRDefault="002B2278">
      <w:pPr>
        <w:pStyle w:val="Heading2"/>
        <w:spacing w:line="360" w:lineRule="auto"/>
        <w:rPr>
          <w:sz w:val="24"/>
          <w:szCs w:val="24"/>
        </w:rPr>
      </w:pPr>
      <w:bookmarkStart w:id="10" w:name="_heading=h.sss3el2cr9ta" w:colFirst="0" w:colLast="0"/>
      <w:bookmarkEnd w:id="10"/>
      <w:r>
        <w:rPr>
          <w:sz w:val="24"/>
          <w:szCs w:val="24"/>
        </w:rPr>
        <w:t>4.1 The redefinition of Enterprise Risk Management (ERM) in the AI Era</w:t>
      </w:r>
    </w:p>
    <w:p w14:paraId="2E816A0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artificial intelligence process requires reconfiguring the conventional Enterprise Risk Management (ERM) models (</w:t>
      </w:r>
      <w:r>
        <w:rPr>
          <w:rFonts w:ascii="Times New Roman" w:eastAsia="Times New Roman" w:hAnsi="Times New Roman" w:cs="Times New Roman"/>
          <w:sz w:val="24"/>
          <w:szCs w:val="24"/>
          <w:highlight w:val="white"/>
        </w:rPr>
        <w:t>Kehinde, 2025</w:t>
      </w:r>
      <w:r>
        <w:rPr>
          <w:rFonts w:ascii="Times New Roman" w:eastAsia="Times New Roman" w:hAnsi="Times New Roman" w:cs="Times New Roman"/>
          <w:sz w:val="24"/>
          <w:szCs w:val="24"/>
        </w:rPr>
        <w:t>). Within organizations where AI is used, dynamic and data-driven processes are introduced, which run at scale and speed, thus augmenting the complexity and the potential impact of risks. The traditional ERM practices that often rely on the periodic assessment and past data cannot be sufficient when it comes to the risks linked to AI that are dynamic and real-time.</w:t>
      </w:r>
    </w:p>
    <w:p w14:paraId="35CCF82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continuous monitoring, predictive analytics, and adaptive controls should be considered as part of the ERM models. AI itself can also be used as a risk management system to identify anomalies and forecast potential disruptions and aid in the proactive decision-making process. This integration assists organizations to cease operating within reactive mode to proactive risk management within organizations, which leads to greater resilience.</w:t>
      </w:r>
    </w:p>
    <w:p w14:paraId="13584B02" w14:textId="77777777" w:rsidR="00FF7E78" w:rsidRDefault="002B2278">
      <w:pPr>
        <w:pStyle w:val="Heading2"/>
        <w:spacing w:line="360" w:lineRule="auto"/>
        <w:rPr>
          <w:sz w:val="24"/>
          <w:szCs w:val="24"/>
        </w:rPr>
      </w:pPr>
      <w:bookmarkStart w:id="11" w:name="_heading=h.loepdujxc815" w:colFirst="0" w:colLast="0"/>
      <w:bookmarkEnd w:id="11"/>
      <w:r>
        <w:rPr>
          <w:sz w:val="24"/>
          <w:szCs w:val="24"/>
        </w:rPr>
        <w:t>4.2 Key Risk Categories</w:t>
      </w:r>
    </w:p>
    <w:p w14:paraId="3D423B9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Various organizational risks are affected by the use of AI. The occurrence of strategic risk is as a result of the non-alignment of AI projects with the overall business objectives, which could lead to ineffective investments or loss of competitiveness (Gregory, Li, and Solanki, 2026). Operational risk can be realized through technical failures, errors in data, and process interruptions as a result of imperfect algorithms or technical failures.</w:t>
      </w:r>
    </w:p>
    <w:p w14:paraId="30F585C5"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some strategic threats for Amazon are reliance on AI decision-making and regulatory pressure. Warehouse automation failures and cloud-based AI service issues could lead to operational risks, while biased AI results or improper use of customer data could result in reputational risks. </w:t>
      </w:r>
    </w:p>
    <w:p w14:paraId="5619B5F3" w14:textId="77777777" w:rsidR="00FF7E78" w:rsidRDefault="002B2278">
      <w:pPr>
        <w:pStyle w:val="Heading2"/>
        <w:spacing w:line="360" w:lineRule="auto"/>
        <w:rPr>
          <w:sz w:val="24"/>
          <w:szCs w:val="24"/>
        </w:rPr>
      </w:pPr>
      <w:bookmarkStart w:id="12" w:name="_heading=h.vttd9zl1nyb9" w:colFirst="0" w:colLast="0"/>
      <w:bookmarkEnd w:id="12"/>
      <w:r>
        <w:rPr>
          <w:sz w:val="24"/>
          <w:szCs w:val="24"/>
        </w:rPr>
        <w:t>4.3 AI-Specific Risk Factors</w:t>
      </w:r>
    </w:p>
    <w:p w14:paraId="33660DE2"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the traditional forms of risk, AI introduces new risk factors. The most noticeable is the black-box nature of advanced algorithms, i.e., it is not easy to explain the process of decision-making (Tschider, 2020). With such lack of transparency, accountability and adherence to rules become a challenge, particularly when stakes are high when it comes to applications.</w:t>
      </w:r>
    </w:p>
    <w:p w14:paraId="6D2F727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Algorithmically-driven recommendations and recruitment systems on Amazon could be problematic due to algorithmic bias and transparency issues.Amazon's recommendations powered by algorithms and recruitment technologies may be problematic because of algorithmic bias and transparency issues (</w:t>
      </w:r>
      <w:r>
        <w:rPr>
          <w:rFonts w:ascii="Times New Roman" w:eastAsia="Times New Roman" w:hAnsi="Times New Roman" w:cs="Times New Roman"/>
          <w:sz w:val="24"/>
          <w:szCs w:val="24"/>
          <w:highlight w:val="white"/>
        </w:rPr>
        <w:t>Ahn, 2025)</w:t>
      </w:r>
      <w:r>
        <w:rPr>
          <w:rFonts w:ascii="Times New Roman" w:eastAsia="Times New Roman" w:hAnsi="Times New Roman" w:cs="Times New Roman"/>
          <w:sz w:val="24"/>
          <w:szCs w:val="24"/>
        </w:rPr>
        <w:t xml:space="preserve">. However, the company's reliance on customer information also raises cybersecurity and data governance concerns. </w:t>
      </w:r>
    </w:p>
    <w:p w14:paraId="50461CA3" w14:textId="77777777" w:rsidR="00FF7E78" w:rsidRDefault="002B2278">
      <w:pPr>
        <w:pStyle w:val="Heading2"/>
        <w:spacing w:line="360" w:lineRule="auto"/>
        <w:rPr>
          <w:sz w:val="24"/>
          <w:szCs w:val="24"/>
        </w:rPr>
      </w:pPr>
      <w:bookmarkStart w:id="13" w:name="_heading=h.88isjs3s26ax" w:colFirst="0" w:colLast="0"/>
      <w:bookmarkEnd w:id="13"/>
      <w:r>
        <w:rPr>
          <w:sz w:val="24"/>
          <w:szCs w:val="24"/>
        </w:rPr>
        <w:t>4.4 Risk Mitigation Approaches</w:t>
      </w:r>
    </w:p>
    <w:p w14:paraId="2CC56CE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address such challenges, organizations must undertake the holistic approach to risk mitigation. Risk identification software such as AI risk mapping and scenario analysis can assist businesses in considering the potential vulnerabilities across their operations (Will, 2025). They should be accompanied by powerful data governance models in order to ensure that there is integrity and security of data.</w:t>
      </w:r>
    </w:p>
    <w:p w14:paraId="2CEFFC5D"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should have a Responsible AI Office to monitor AI systems, do audit and compliance checking on these systems, and ensure that they are ethical and comply with international laws. All high-risk AI applications must be monitored and supervised by humans. </w:t>
      </w:r>
    </w:p>
    <w:p w14:paraId="0DB14DD6"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also ought to come up with cross-functional governance bodies, such as legal, technical, and managerial skills, to monitor AI usage. Further organizational capability in dealing with the risks related to AI can be enhanced with the help of training and awareness programs.</w:t>
      </w:r>
    </w:p>
    <w:p w14:paraId="6603BA3F" w14:textId="77777777" w:rsidR="00FF7E78" w:rsidRDefault="002B2278">
      <w:pPr>
        <w:pStyle w:val="Heading1"/>
        <w:keepNext w:val="0"/>
        <w:keepLines w:val="0"/>
        <w:rPr>
          <w:color w:val="000000"/>
        </w:rPr>
      </w:pPr>
      <w:bookmarkStart w:id="14" w:name="_heading=h.44ldam3qxsag" w:colFirst="0" w:colLast="0"/>
      <w:bookmarkEnd w:id="14"/>
      <w:r>
        <w:rPr>
          <w:color w:val="000000"/>
        </w:rPr>
        <w:t xml:space="preserve">5. Data Governance and Ethical AI </w:t>
      </w:r>
    </w:p>
    <w:p w14:paraId="380CE2DF" w14:textId="77777777" w:rsidR="00FF7E78" w:rsidRDefault="002B2278">
      <w:pPr>
        <w:pStyle w:val="Heading2"/>
        <w:keepNext w:val="0"/>
        <w:keepLines w:val="0"/>
        <w:spacing w:before="280" w:line="360" w:lineRule="auto"/>
        <w:rPr>
          <w:sz w:val="24"/>
          <w:szCs w:val="24"/>
        </w:rPr>
      </w:pPr>
      <w:bookmarkStart w:id="15" w:name="_heading=h.6sb3y1o5hqs8" w:colFirst="0" w:colLast="0"/>
      <w:bookmarkEnd w:id="15"/>
      <w:r>
        <w:rPr>
          <w:sz w:val="24"/>
          <w:szCs w:val="24"/>
        </w:rPr>
        <w:t>5.1 Data Governance Frameworks</w:t>
      </w:r>
    </w:p>
    <w:p w14:paraId="616852A3"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operating across the world so they need to take care about cross-border data transfers and ensure their actions are compliant with UK GDPR and the EU data protection requirements (</w:t>
      </w:r>
      <w:r>
        <w:rPr>
          <w:rFonts w:ascii="Times New Roman" w:eastAsia="Times New Roman" w:hAnsi="Times New Roman" w:cs="Times New Roman"/>
          <w:sz w:val="24"/>
          <w:szCs w:val="24"/>
          <w:highlight w:val="white"/>
        </w:rPr>
        <w:t>Alabi, 2023</w:t>
      </w:r>
      <w:r>
        <w:rPr>
          <w:rFonts w:ascii="Times New Roman" w:eastAsia="Times New Roman" w:hAnsi="Times New Roman" w:cs="Times New Roman"/>
          <w:sz w:val="24"/>
          <w:szCs w:val="24"/>
        </w:rPr>
        <w:t>). Quality data is critical to quality AI results; thus, organisations should have a strong data validation, purification, and standardisation process.</w:t>
      </w:r>
    </w:p>
    <w:p w14:paraId="7A3717F2"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Also of importance in data governance are ownership and accountability. Defined roles and duties will make sure that data is handled in an ethical and secure manner within departments and geographies. Lifecycle management such as data collection, storage, processing and deletion needs to be compliant with legal and organisational requirements. This is especially significant in the light of growing regulatory attention towards data privacy and protection.</w:t>
      </w:r>
    </w:p>
    <w:p w14:paraId="2E9E8BD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Multinational firms also face other challenges when it comes to cross-border data flow. The difference in the data protection regulations in different jurisdictions, including between the United Kingdom and the European Union, introduces complexities in data transfer and storage (</w:t>
      </w:r>
      <w:r>
        <w:rPr>
          <w:rFonts w:ascii="Times New Roman" w:eastAsia="Times New Roman" w:hAnsi="Times New Roman" w:cs="Times New Roman"/>
          <w:sz w:val="24"/>
          <w:szCs w:val="24"/>
          <w:highlight w:val="white"/>
        </w:rPr>
        <w:t>Bolatbekkyzy, 2024</w:t>
      </w:r>
      <w:r>
        <w:rPr>
          <w:rFonts w:ascii="Times New Roman" w:eastAsia="Times New Roman" w:hAnsi="Times New Roman" w:cs="Times New Roman"/>
          <w:sz w:val="24"/>
          <w:szCs w:val="24"/>
        </w:rPr>
        <w:t>). Organisations have to operate under the limitations of the localisation of their data and they have to be specific to the various regulatory requirements, which can necessitate the implementation of the specific data management techniques within the region. The inability to overcome these obstacles may lead to penalties and disruption of operations.</w:t>
      </w:r>
    </w:p>
    <w:p w14:paraId="136854CF" w14:textId="77777777" w:rsidR="00FF7E78" w:rsidRDefault="002B2278">
      <w:pPr>
        <w:pStyle w:val="Heading2"/>
        <w:spacing w:line="360" w:lineRule="auto"/>
        <w:rPr>
          <w:sz w:val="24"/>
          <w:szCs w:val="24"/>
        </w:rPr>
      </w:pPr>
      <w:bookmarkStart w:id="16" w:name="_heading=h.i1ibo1704t04" w:colFirst="0" w:colLast="0"/>
      <w:bookmarkEnd w:id="16"/>
      <w:r>
        <w:rPr>
          <w:sz w:val="24"/>
          <w:szCs w:val="24"/>
        </w:rPr>
        <w:t>5.2 Ethical issues in AI</w:t>
      </w:r>
    </w:p>
    <w:p w14:paraId="248A538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of AI have emerged to be a key issue among organisations that have implemented advanced technologies. Algorithms bias can be considered one of the biggest problems, as AI systems can lead to discriminatory results because of biased training data or incorrect model construction (</w:t>
      </w:r>
      <w:r>
        <w:rPr>
          <w:rFonts w:ascii="Times New Roman" w:eastAsia="Times New Roman" w:hAnsi="Times New Roman" w:cs="Times New Roman"/>
          <w:sz w:val="24"/>
          <w:szCs w:val="24"/>
          <w:highlight w:val="white"/>
        </w:rPr>
        <w:t>Min, 2023</w:t>
      </w:r>
      <w:r>
        <w:rPr>
          <w:rFonts w:ascii="Times New Roman" w:eastAsia="Times New Roman" w:hAnsi="Times New Roman" w:cs="Times New Roman"/>
          <w:sz w:val="24"/>
          <w:szCs w:val="24"/>
        </w:rPr>
        <w:t>). This may have severe social and legal implications especially in the fields of recruitment, lending and customer profiling.</w:t>
      </w:r>
    </w:p>
    <w:p w14:paraId="69B34313"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must routinely review its AI systems for bias and ensure decisions made by AI systems are transparent and fair to customers and employees.Transparency may be improved by adopting explainable AI methods that will give insights into the process of decision-making (</w:t>
      </w:r>
      <w:r>
        <w:rPr>
          <w:rFonts w:ascii="Times New Roman" w:eastAsia="Times New Roman" w:hAnsi="Times New Roman" w:cs="Times New Roman"/>
          <w:sz w:val="24"/>
          <w:szCs w:val="24"/>
          <w:highlight w:val="white"/>
        </w:rPr>
        <w:t>Chinnaraju, 2025</w:t>
      </w:r>
      <w:r>
        <w:rPr>
          <w:rFonts w:ascii="Times New Roman" w:eastAsia="Times New Roman" w:hAnsi="Times New Roman" w:cs="Times New Roman"/>
          <w:sz w:val="24"/>
          <w:szCs w:val="24"/>
        </w:rPr>
        <w:t>). Accountability measures like explicit lines of responsibility and governance frameworks help organisations to respond to any negative consequences efficiently.</w:t>
      </w:r>
    </w:p>
    <w:p w14:paraId="1D21125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control is an important aspect in preventing ethical risks. Although AI systems can be used to automate decision making processes, human involvement is required to confirm the results, deal with anomalies, and make sure that the results are ethical. This mixed strategy is more efficient and responsible, making it less likely to have unintended consequences.</w:t>
      </w:r>
    </w:p>
    <w:p w14:paraId="18CA20D3" w14:textId="77777777" w:rsidR="00FF7E78" w:rsidRDefault="002B2278">
      <w:pPr>
        <w:pStyle w:val="Heading2"/>
        <w:spacing w:line="360" w:lineRule="auto"/>
        <w:rPr>
          <w:sz w:val="24"/>
          <w:szCs w:val="24"/>
        </w:rPr>
      </w:pPr>
      <w:bookmarkStart w:id="17" w:name="_heading=h.bierhw5byfgk" w:colFirst="0" w:colLast="0"/>
      <w:bookmarkEnd w:id="17"/>
      <w:r>
        <w:rPr>
          <w:sz w:val="24"/>
          <w:szCs w:val="24"/>
        </w:rPr>
        <w:t>5.3 Corporate Responsibility and ESG Connections</w:t>
      </w:r>
    </w:p>
    <w:p w14:paraId="1D5A0A7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AI practices are becoming more and more associated with the wider Environmental, Social, and Governance (ESG) goals. As part of their corporate social responsibility, organisations are supposed to be responsible in their technology utilisation. Ethical AI impacts the social and governance aspects of ESG through fostering fairness, transparency, and accountability (</w:t>
      </w:r>
      <w:r>
        <w:rPr>
          <w:rFonts w:ascii="Times New Roman" w:eastAsia="Times New Roman" w:hAnsi="Times New Roman" w:cs="Times New Roman"/>
          <w:sz w:val="24"/>
          <w:szCs w:val="24"/>
          <w:highlight w:val="white"/>
        </w:rPr>
        <w:t>Saebah, 2025</w:t>
      </w:r>
      <w:r>
        <w:rPr>
          <w:rFonts w:ascii="Times New Roman" w:eastAsia="Times New Roman" w:hAnsi="Times New Roman" w:cs="Times New Roman"/>
          <w:sz w:val="24"/>
          <w:szCs w:val="24"/>
        </w:rPr>
        <w:t>).</w:t>
      </w:r>
    </w:p>
    <w:p w14:paraId="2250E3A2"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Responsible AI practices can help bolster Amazon's ESG performance by enhancing transparency, accountability, and stakeholder trust (</w:t>
      </w:r>
      <w:r>
        <w:rPr>
          <w:rFonts w:ascii="Times New Roman" w:eastAsia="Times New Roman" w:hAnsi="Times New Roman" w:cs="Times New Roman"/>
          <w:sz w:val="24"/>
          <w:szCs w:val="24"/>
          <w:highlight w:val="white"/>
        </w:rPr>
        <w:t xml:space="preserve">Rane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w:t>
      </w:r>
    </w:p>
    <w:p w14:paraId="14397441"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the orientation of AI strategies in accordance with the principles of ESG is not just a regulatory necessity but a strategic necessity. Through ethical aspects of AI development and deployment, organisations can grow sustainably by ensuring trust and compliance in an ever-complex global environment.</w:t>
      </w:r>
    </w:p>
    <w:p w14:paraId="7B2D9024" w14:textId="77777777" w:rsidR="00FF7E78" w:rsidRDefault="002B2278">
      <w:pPr>
        <w:pStyle w:val="Heading1"/>
        <w:keepNext w:val="0"/>
        <w:keepLines w:val="0"/>
        <w:spacing w:before="480"/>
        <w:rPr>
          <w:color w:val="000000"/>
        </w:rPr>
      </w:pPr>
      <w:bookmarkStart w:id="18" w:name="_heading=h.r042ukd86qz2" w:colFirst="0" w:colLast="0"/>
      <w:bookmarkEnd w:id="18"/>
      <w:r>
        <w:rPr>
          <w:color w:val="000000"/>
        </w:rPr>
        <w:t xml:space="preserve">6. Regulatory and Compliance Landscape </w:t>
      </w:r>
    </w:p>
    <w:p w14:paraId="1DFFAD91" w14:textId="77777777" w:rsidR="00FF7E78" w:rsidRDefault="002B2278">
      <w:pPr>
        <w:pStyle w:val="Heading2"/>
        <w:keepNext w:val="0"/>
        <w:keepLines w:val="0"/>
        <w:spacing w:after="80" w:line="360" w:lineRule="auto"/>
        <w:rPr>
          <w:sz w:val="24"/>
          <w:szCs w:val="24"/>
        </w:rPr>
      </w:pPr>
      <w:bookmarkStart w:id="19" w:name="_heading=h.6hvrjei7bv3o" w:colFirst="0" w:colLast="0"/>
      <w:bookmarkEnd w:id="19"/>
      <w:r>
        <w:rPr>
          <w:sz w:val="24"/>
          <w:szCs w:val="24"/>
        </w:rPr>
        <w:t>6.1 United Kingdom Regulatory Framework</w:t>
      </w:r>
    </w:p>
    <w:p w14:paraId="74B24A25"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advisory, the United Kingdom has a pro-innovation, but decentralised regulatory climate on artificial intelligence. As opposed to a single encompassing law of AI, the regulation is fragmented between organizations like the Information Commissioner’s Office (ICO), Financial Conduct Authority (FCA), and Competition and Markets Authority (CMA) (</w:t>
      </w:r>
      <w:r>
        <w:rPr>
          <w:rFonts w:ascii="Times New Roman" w:eastAsia="Times New Roman" w:hAnsi="Times New Roman" w:cs="Times New Roman"/>
          <w:sz w:val="24"/>
          <w:szCs w:val="24"/>
          <w:highlight w:val="white"/>
        </w:rPr>
        <w:t>Jackson and Langenbucher, 2025</w:t>
      </w:r>
    </w:p>
    <w:p w14:paraId="76D36FAA"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UK's flexible regulatory approach provides Amazon with greater opportunities to innovate and deploy new AI technologies quickly. </w:t>
      </w:r>
    </w:p>
    <w:p w14:paraId="286FC12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orientation of the UK to UK GDPR and Data Protection Act 2018 puts a heavy emphasis on data governance (</w:t>
      </w:r>
      <w:r>
        <w:rPr>
          <w:rFonts w:ascii="Times New Roman" w:eastAsia="Times New Roman" w:hAnsi="Times New Roman" w:cs="Times New Roman"/>
          <w:sz w:val="24"/>
          <w:szCs w:val="24"/>
          <w:highlight w:val="white"/>
        </w:rPr>
        <w:t>Labadie and Legner, 2023)</w:t>
      </w:r>
      <w:r>
        <w:rPr>
          <w:rFonts w:ascii="Times New Roman" w:eastAsia="Times New Roman" w:hAnsi="Times New Roman" w:cs="Times New Roman"/>
          <w:sz w:val="24"/>
          <w:szCs w:val="24"/>
        </w:rPr>
        <w:t>. Organisations  must ensure that personal data processing is lawful, transparent, and secure. In the case of multinational clients, these frameworks are not a privilege, but rather a prerequisite to business within the UK market.</w:t>
      </w:r>
    </w:p>
    <w:p w14:paraId="62509F8C" w14:textId="77777777" w:rsidR="00FF7E78" w:rsidRDefault="002B2278">
      <w:pPr>
        <w:pStyle w:val="Heading2"/>
        <w:spacing w:line="360" w:lineRule="auto"/>
        <w:rPr>
          <w:sz w:val="24"/>
          <w:szCs w:val="24"/>
        </w:rPr>
      </w:pPr>
      <w:bookmarkStart w:id="20" w:name="_heading=h.kw0cmvgwnsk" w:colFirst="0" w:colLast="0"/>
      <w:bookmarkEnd w:id="20"/>
      <w:r>
        <w:rPr>
          <w:sz w:val="24"/>
          <w:szCs w:val="24"/>
        </w:rPr>
        <w:t>6.2 Comparative Analysis: European Union.</w:t>
      </w:r>
    </w:p>
    <w:p w14:paraId="4A059D2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European Union uses a highly structured and risk-based regulatory framework (</w:t>
      </w:r>
      <w:r>
        <w:rPr>
          <w:rFonts w:ascii="Times New Roman" w:eastAsia="Times New Roman" w:hAnsi="Times New Roman" w:cs="Times New Roman"/>
          <w:sz w:val="24"/>
          <w:szCs w:val="24"/>
          <w:highlight w:val="white"/>
        </w:rPr>
        <w:t>Gonçalves, 2020)</w:t>
      </w:r>
      <w:r>
        <w:rPr>
          <w:rFonts w:ascii="Times New Roman" w:eastAsia="Times New Roman" w:hAnsi="Times New Roman" w:cs="Times New Roman"/>
          <w:sz w:val="24"/>
          <w:szCs w:val="24"/>
        </w:rPr>
        <w:t>. They act specifically with the EU Artificial Intelligence Act. This framework categorizes AI systems according to the degree of risk and places stringent requirements on applications with high risk.</w:t>
      </w:r>
    </w:p>
    <w:p w14:paraId="546B5642"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could face higher compliance costs due to tighter transparency, risk assessment and documentation requirements in the EU AI Act.</w:t>
      </w:r>
    </w:p>
    <w:p w14:paraId="34D9017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split forms a strategic tension:</w:t>
      </w:r>
    </w:p>
    <w:p w14:paraId="0418E8E7" w14:textId="77777777" w:rsidR="00FF7E78" w:rsidRDefault="002B2278">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Innovation-led growth is supported in the UK.</w:t>
      </w:r>
    </w:p>
    <w:p w14:paraId="4AAB96C5" w14:textId="77777777" w:rsidR="00FF7E78" w:rsidRDefault="002B2278">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EU imposes controlled deployment of risk.</w:t>
      </w:r>
    </w:p>
    <w:p w14:paraId="33C3EDE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Clients should then assume a harmonised compliance approach as a way of preventing gaps in regulations.</w:t>
      </w:r>
    </w:p>
    <w:p w14:paraId="7E8A13FF" w14:textId="77777777" w:rsidR="00FF7E78" w:rsidRDefault="002B2278">
      <w:pPr>
        <w:pStyle w:val="Heading2"/>
        <w:spacing w:line="360" w:lineRule="auto"/>
        <w:rPr>
          <w:sz w:val="24"/>
          <w:szCs w:val="24"/>
        </w:rPr>
      </w:pPr>
      <w:bookmarkStart w:id="21" w:name="_heading=h.kjuchk9cz6bb" w:colFirst="0" w:colLast="0"/>
      <w:bookmarkEnd w:id="21"/>
      <w:r>
        <w:rPr>
          <w:sz w:val="24"/>
          <w:szCs w:val="24"/>
        </w:rPr>
        <w:t>6.3 Regulatory issues faced by Multinationals.</w:t>
      </w:r>
    </w:p>
    <w:p w14:paraId="122E2B7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global advisory perspective, three significant issues arise:</w:t>
      </w:r>
    </w:p>
    <w:p w14:paraId="1046BB51"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Regulatory fragmentation:</w:t>
      </w:r>
      <w:r>
        <w:rPr>
          <w:rFonts w:ascii="Times New Roman" w:eastAsia="Times New Roman" w:hAnsi="Times New Roman" w:cs="Times New Roman"/>
          <w:sz w:val="24"/>
          <w:szCs w:val="24"/>
        </w:rPr>
        <w:t xml:space="preserve"> Various jurisdictions have different standards, which must be accommodated on system levels (</w:t>
      </w:r>
      <w:r>
        <w:rPr>
          <w:rFonts w:ascii="Times New Roman" w:eastAsia="Times New Roman" w:hAnsi="Times New Roman" w:cs="Times New Roman"/>
          <w:sz w:val="24"/>
          <w:szCs w:val="24"/>
          <w:highlight w:val="white"/>
        </w:rPr>
        <w:t>Dong and Zhang, 2024.)</w:t>
      </w:r>
      <w:r>
        <w:rPr>
          <w:rFonts w:ascii="Times New Roman" w:eastAsia="Times New Roman" w:hAnsi="Times New Roman" w:cs="Times New Roman"/>
          <w:sz w:val="24"/>
          <w:szCs w:val="24"/>
        </w:rPr>
        <w:t xml:space="preserve">.Amazon should adopt a single global AI governance framework based on the highest international standards to minimise compliance risks and improve operational efficiency. </w:t>
      </w:r>
    </w:p>
    <w:p w14:paraId="048CDDA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Higher costs of compliance:</w:t>
      </w:r>
      <w:r>
        <w:rPr>
          <w:rFonts w:ascii="Times New Roman" w:eastAsia="Times New Roman" w:hAnsi="Times New Roman" w:cs="Times New Roman"/>
          <w:sz w:val="24"/>
          <w:szCs w:val="24"/>
        </w:rPr>
        <w:t xml:space="preserve"> Costs of legal expertise, audit systems, and governance structures are on the upswing (</w:t>
      </w:r>
      <w:r>
        <w:rPr>
          <w:rFonts w:ascii="Times New Roman" w:eastAsia="Times New Roman" w:hAnsi="Times New Roman" w:cs="Times New Roman"/>
          <w:sz w:val="24"/>
          <w:szCs w:val="24"/>
          <w:highlight w:val="white"/>
        </w:rPr>
        <w:t>Mökander, 2023)</w:t>
      </w:r>
      <w:r>
        <w:rPr>
          <w:rFonts w:ascii="Times New Roman" w:eastAsia="Times New Roman" w:hAnsi="Times New Roman" w:cs="Times New Roman"/>
          <w:sz w:val="24"/>
          <w:szCs w:val="24"/>
        </w:rPr>
        <w:t>.</w:t>
      </w:r>
    </w:p>
    <w:p w14:paraId="2B20379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Risk exposure to legal and reputational risks</w:t>
      </w:r>
      <w:r>
        <w:rPr>
          <w:rFonts w:ascii="Times New Roman" w:eastAsia="Times New Roman" w:hAnsi="Times New Roman" w:cs="Times New Roman"/>
          <w:sz w:val="24"/>
          <w:szCs w:val="24"/>
        </w:rPr>
        <w:t>: Non-compliance may result in the legal and reputational risks of litigation, fines, and reputational damages.</w:t>
      </w:r>
    </w:p>
    <w:p w14:paraId="0E019997" w14:textId="77777777" w:rsidR="00FF7E78" w:rsidRDefault="00FF7E78">
      <w:pPr>
        <w:spacing w:before="240" w:after="240" w:line="360" w:lineRule="auto"/>
        <w:jc w:val="both"/>
        <w:rPr>
          <w:rFonts w:ascii="Times New Roman" w:eastAsia="Times New Roman" w:hAnsi="Times New Roman" w:cs="Times New Roman"/>
          <w:sz w:val="24"/>
          <w:szCs w:val="24"/>
        </w:rPr>
      </w:pPr>
    </w:p>
    <w:p w14:paraId="6E6DE163" w14:textId="77777777" w:rsidR="00FF7E78" w:rsidRDefault="002B2278">
      <w:pPr>
        <w:pStyle w:val="Heading2"/>
        <w:spacing w:line="360" w:lineRule="auto"/>
        <w:rPr>
          <w:sz w:val="24"/>
          <w:szCs w:val="24"/>
        </w:rPr>
      </w:pPr>
      <w:bookmarkStart w:id="22" w:name="_heading=h.i26pbc318pfp" w:colFirst="0" w:colLast="0"/>
      <w:bookmarkEnd w:id="22"/>
      <w:r>
        <w:rPr>
          <w:sz w:val="24"/>
          <w:szCs w:val="24"/>
        </w:rPr>
        <w:t>6.4 Strategic Implications</w:t>
      </w:r>
    </w:p>
    <w:p w14:paraId="086C8143"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RFD Global customers, regulatory strategy needs to be repositioned away from reactive compliance towards proactive regulatory intelligence. Those organisations that foresee regulatory changes and incorporate compliance in the design of AI applications will have a first-mover advantage (</w:t>
      </w:r>
      <w:r>
        <w:rPr>
          <w:rFonts w:ascii="Times New Roman" w:eastAsia="Times New Roman" w:hAnsi="Times New Roman" w:cs="Times New Roman"/>
          <w:sz w:val="24"/>
          <w:szCs w:val="24"/>
          <w:highlight w:val="white"/>
        </w:rPr>
        <w:t>Suntsova, 2024)</w:t>
      </w:r>
      <w:r>
        <w:rPr>
          <w:rFonts w:ascii="Times New Roman" w:eastAsia="Times New Roman" w:hAnsi="Times New Roman" w:cs="Times New Roman"/>
          <w:sz w:val="24"/>
          <w:szCs w:val="24"/>
        </w:rPr>
        <w:t>.</w:t>
      </w:r>
    </w:p>
    <w:p w14:paraId="45A7A93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must have contingency plans in place for a cybersecurity breach, system failures, and sudden changes in regulations so that they are able to keep their business going. </w:t>
      </w:r>
    </w:p>
    <w:p w14:paraId="4C12FCC4" w14:textId="77777777" w:rsidR="00FF7E78" w:rsidRDefault="002B2278">
      <w:pPr>
        <w:pStyle w:val="Heading1"/>
        <w:keepNext w:val="0"/>
        <w:keepLines w:val="0"/>
        <w:spacing w:before="480"/>
        <w:rPr>
          <w:color w:val="000000"/>
        </w:rPr>
      </w:pPr>
      <w:bookmarkStart w:id="23" w:name="_heading=h.1pyi9dgpgdsq" w:colFirst="0" w:colLast="0"/>
      <w:bookmarkEnd w:id="23"/>
      <w:r>
        <w:rPr>
          <w:color w:val="000000"/>
        </w:rPr>
        <w:t xml:space="preserve">7. Maintaining Customer Trust and Corporate Reputation </w:t>
      </w:r>
    </w:p>
    <w:p w14:paraId="0F77D2F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multinational organisation, customer confidence is a very important unquantifiable asset, especially when it comes to the integration of AI (</w:t>
      </w:r>
      <w:r>
        <w:rPr>
          <w:rFonts w:ascii="Times New Roman" w:eastAsia="Times New Roman" w:hAnsi="Times New Roman" w:cs="Times New Roman"/>
          <w:sz w:val="24"/>
          <w:szCs w:val="24"/>
          <w:highlight w:val="white"/>
        </w:rPr>
        <w:t>Tatarchenko, 2025)</w:t>
      </w:r>
      <w:r>
        <w:rPr>
          <w:rFonts w:ascii="Times New Roman" w:eastAsia="Times New Roman" w:hAnsi="Times New Roman" w:cs="Times New Roman"/>
          <w:sz w:val="24"/>
          <w:szCs w:val="24"/>
        </w:rPr>
        <w:t>. With the growing involvement of the AI systems in the customer-interaction and decision-making process, the issues of data privacy, transparency, and fairness have gained the focus of the stakeholder expectations.</w:t>
      </w:r>
    </w:p>
    <w:p w14:paraId="02E5B09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lack of transparency of AI systems is one of the greatest risks in the view of a client advisor (</w:t>
      </w:r>
      <w:r>
        <w:rPr>
          <w:rFonts w:ascii="Times New Roman" w:eastAsia="Times New Roman" w:hAnsi="Times New Roman" w:cs="Times New Roman"/>
          <w:sz w:val="24"/>
          <w:szCs w:val="24"/>
          <w:highlight w:val="white"/>
        </w:rPr>
        <w:t>Sungkarungsri and Kiattisin, 2026)</w:t>
      </w:r>
      <w:r>
        <w:rPr>
          <w:rFonts w:ascii="Times New Roman" w:eastAsia="Times New Roman" w:hAnsi="Times New Roman" w:cs="Times New Roman"/>
          <w:sz w:val="24"/>
          <w:szCs w:val="24"/>
        </w:rPr>
        <w:t>. Trust may be lost quickly when customers are not aware of the decision-making process, including how decisions are made in pricing, recommendations, or approvals. This is also compounded by the high-profile cases of algorithmic bias and misuse of data that have increased scrutiny among the people.</w:t>
      </w:r>
    </w:p>
    <w:p w14:paraId="40B5512D"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curb such risks, organisations should consider a trust-based AI approach. This can be accomplished by introducing transparency to AI systems by using explainable models, where customers can see the logic behind automated decisions. Also, there must be effective communication of data use and consent procedures.</w:t>
      </w:r>
    </w:p>
    <w:p w14:paraId="06F7F28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data governance practices are also crucial. Compliance with the legislation related to data protection and the establishment of powerful cybersecurity measures will decrease the risk of breaches (</w:t>
      </w:r>
      <w:r>
        <w:rPr>
          <w:rFonts w:ascii="Times New Roman" w:eastAsia="Times New Roman" w:hAnsi="Times New Roman" w:cs="Times New Roman"/>
          <w:sz w:val="24"/>
          <w:szCs w:val="24"/>
          <w:highlight w:val="white"/>
        </w:rPr>
        <w:t>Folorunso</w:t>
      </w:r>
      <w:r>
        <w:rPr>
          <w:rFonts w:ascii="Times New Roman" w:eastAsia="Times New Roman" w:hAnsi="Times New Roman" w:cs="Times New Roman"/>
          <w:i/>
          <w:iCs/>
          <w:sz w:val="24"/>
          <w:szCs w:val="24"/>
          <w:highlight w:val="white"/>
        </w:rPr>
        <w:t xml:space="preserve"> 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w:t>
      </w:r>
    </w:p>
    <w:p w14:paraId="71202B5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Strategically, organisations who are focused on ethics in AI are thriving in competitive markets. Being proactive in terms of bias, being an inclusive organization, and being accountable will not only help to preserve reputation, but it will also contribute to customer loyalty over the long term.</w:t>
      </w:r>
    </w:p>
    <w:p w14:paraId="7A2A891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trust does not merely come as a by-product of compliance- that is a powerful strategic engine of sustainable growth.</w:t>
      </w:r>
    </w:p>
    <w:p w14:paraId="4CD9CF8F" w14:textId="77777777" w:rsidR="00FF7E78" w:rsidRDefault="00FF7E78">
      <w:pPr>
        <w:spacing w:before="240" w:after="240" w:line="360" w:lineRule="auto"/>
        <w:jc w:val="both"/>
        <w:rPr>
          <w:rFonts w:ascii="Times New Roman" w:eastAsia="Times New Roman" w:hAnsi="Times New Roman" w:cs="Times New Roman"/>
          <w:sz w:val="24"/>
          <w:szCs w:val="24"/>
        </w:rPr>
      </w:pPr>
    </w:p>
    <w:p w14:paraId="5AFC6E33" w14:textId="77777777" w:rsidR="00FF7E78" w:rsidRDefault="002B2278">
      <w:pPr>
        <w:pStyle w:val="Heading1"/>
        <w:spacing w:after="240"/>
        <w:rPr>
          <w:color w:val="000000"/>
        </w:rPr>
      </w:pPr>
      <w:bookmarkStart w:id="24" w:name="_heading=h.bkidrd408ks5" w:colFirst="0" w:colLast="0"/>
      <w:bookmarkEnd w:id="24"/>
      <w:r>
        <w:rPr>
          <w:color w:val="000000"/>
        </w:rPr>
        <w:t>8.Strategic Recommendations</w:t>
      </w:r>
    </w:p>
    <w:p w14:paraId="211C7EC9" w14:textId="77777777" w:rsidR="00FF7E78" w:rsidRDefault="002B2278">
      <w:pPr>
        <w:pStyle w:val="Heading2"/>
        <w:spacing w:line="360" w:lineRule="auto"/>
        <w:rPr>
          <w:sz w:val="24"/>
          <w:szCs w:val="24"/>
        </w:rPr>
      </w:pPr>
      <w:bookmarkStart w:id="25" w:name="_heading=h.cx5a17cszc30" w:colFirst="0" w:colLast="0"/>
      <w:bookmarkEnd w:id="25"/>
      <w:r>
        <w:rPr>
          <w:sz w:val="24"/>
          <w:szCs w:val="24"/>
        </w:rPr>
        <w:t>8.1 Governance and Leadership</w:t>
      </w:r>
    </w:p>
    <w:p w14:paraId="5D3899D8"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suggests having a centralised AI governance framework to have strategic oversight and accountability. This must involve the establishment of a special AI governance board that will comprise cross-functional technology, legal, compliance, and operations leaders.</w:t>
      </w:r>
    </w:p>
    <w:p w14:paraId="5F72CF7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importantly, the oversight of AI should be integrated into the executive-level, and there should be well-established accountability frameworks (</w:t>
      </w:r>
      <w:r>
        <w:rPr>
          <w:rFonts w:ascii="Times New Roman" w:eastAsia="Times New Roman" w:hAnsi="Times New Roman" w:cs="Times New Roman"/>
          <w:sz w:val="24"/>
          <w:szCs w:val="24"/>
          <w:highlight w:val="white"/>
        </w:rPr>
        <w:t>Frimpong and Botchey,  2026).</w:t>
      </w:r>
      <w:r>
        <w:rPr>
          <w:rFonts w:ascii="Times New Roman" w:eastAsia="Times New Roman" w:hAnsi="Times New Roman" w:cs="Times New Roman"/>
          <w:sz w:val="24"/>
          <w:szCs w:val="24"/>
          <w:highlight w:val="white"/>
        </w:rPr>
        <w:t xml:space="preserve">Amazon needs to create a top-down AI governance and ethical compliance team (Responsible AI Office) staffed by senior executives. </w:t>
      </w:r>
    </w:p>
    <w:p w14:paraId="528E7D9F" w14:textId="77777777" w:rsidR="00FF7E78" w:rsidRDefault="002B2278">
      <w:pPr>
        <w:pStyle w:val="Heading2"/>
        <w:spacing w:line="360" w:lineRule="auto"/>
        <w:rPr>
          <w:sz w:val="24"/>
          <w:szCs w:val="24"/>
        </w:rPr>
      </w:pPr>
      <w:bookmarkStart w:id="26" w:name="_heading=h.psszgwyi50gb" w:colFirst="0" w:colLast="0"/>
      <w:bookmarkEnd w:id="26"/>
      <w:r>
        <w:rPr>
          <w:sz w:val="24"/>
          <w:szCs w:val="24"/>
        </w:rPr>
        <w:t>8.2 Risk Management Enhancements</w:t>
      </w:r>
    </w:p>
    <w:p w14:paraId="3F7611B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AI risks are unique and dynamic, organisations should come up with specialised AI risk management frameworks that are incorporated into current enterprise risk management (ERM) systems (</w:t>
      </w:r>
      <w:r>
        <w:rPr>
          <w:rFonts w:ascii="Times New Roman" w:eastAsia="Times New Roman" w:hAnsi="Times New Roman" w:cs="Times New Roman"/>
          <w:sz w:val="24"/>
          <w:szCs w:val="24"/>
          <w:highlight w:val="white"/>
        </w:rPr>
        <w:t>McGee, 2024)</w:t>
      </w:r>
      <w:r>
        <w:rPr>
          <w:rFonts w:ascii="Times New Roman" w:eastAsia="Times New Roman" w:hAnsi="Times New Roman" w:cs="Times New Roman"/>
          <w:sz w:val="24"/>
          <w:szCs w:val="24"/>
        </w:rPr>
        <w:t>. These models should emphasize  the major risk areas, such as algorithmic bias, model drift, data breaches, and system failures.</w:t>
      </w:r>
    </w:p>
    <w:p w14:paraId="2F930C06" w14:textId="77777777" w:rsidR="00FF7E78" w:rsidRDefault="002B2278">
      <w:pPr>
        <w:spacing w:before="240" w:after="240" w:line="360" w:lineRule="auto"/>
        <w:ind w:right="6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AI risks should be monitored by an AI Risk Committee composed of technology, legal and compliance professionals across Amazon.</w:t>
      </w:r>
    </w:p>
    <w:p w14:paraId="37411AE5" w14:textId="77777777" w:rsidR="00FF7E78" w:rsidRDefault="00FF7E78">
      <w:pPr>
        <w:spacing w:before="240" w:after="240" w:line="360" w:lineRule="auto"/>
        <w:ind w:right="600"/>
        <w:jc w:val="both"/>
        <w:rPr>
          <w:rFonts w:ascii="Times New Roman" w:eastAsia="Times New Roman" w:hAnsi="Times New Roman" w:cs="Times New Roman"/>
          <w:color w:val="FF0000"/>
          <w:sz w:val="24"/>
          <w:szCs w:val="24"/>
        </w:rPr>
      </w:pPr>
    </w:p>
    <w:p w14:paraId="57B19F6D" w14:textId="77777777" w:rsidR="00FF7E78" w:rsidRDefault="00FF7E78">
      <w:pPr>
        <w:spacing w:before="240" w:after="240" w:line="360" w:lineRule="auto"/>
        <w:ind w:right="600"/>
        <w:jc w:val="both"/>
        <w:rPr>
          <w:rFonts w:ascii="Times New Roman" w:eastAsia="Times New Roman" w:hAnsi="Times New Roman" w:cs="Times New Roman"/>
          <w:color w:val="FF0000"/>
          <w:sz w:val="24"/>
          <w:szCs w:val="24"/>
        </w:rPr>
      </w:pPr>
    </w:p>
    <w:p w14:paraId="543E097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helps organisations to identify anomalies early, act proactively and reduce the possible disruptions. The integration of predictive risk assessment will make it possible to build resilience in more complex operating environments.</w:t>
      </w:r>
    </w:p>
    <w:p w14:paraId="6AFCFCA7" w14:textId="77777777" w:rsidR="00FF7E78" w:rsidRDefault="00FF7E78">
      <w:pPr>
        <w:spacing w:before="240" w:after="240" w:line="360" w:lineRule="auto"/>
        <w:jc w:val="both"/>
        <w:rPr>
          <w:rFonts w:ascii="Times New Roman" w:eastAsia="Times New Roman" w:hAnsi="Times New Roman" w:cs="Times New Roman"/>
          <w:sz w:val="24"/>
          <w:szCs w:val="24"/>
        </w:rPr>
      </w:pPr>
    </w:p>
    <w:p w14:paraId="06759340" w14:textId="77777777" w:rsidR="00FF7E78" w:rsidRDefault="002B2278">
      <w:pPr>
        <w:pStyle w:val="Heading2"/>
        <w:spacing w:line="360" w:lineRule="auto"/>
        <w:rPr>
          <w:sz w:val="24"/>
          <w:szCs w:val="24"/>
        </w:rPr>
      </w:pPr>
      <w:bookmarkStart w:id="27" w:name="_heading=h.vnna5ghkpxii" w:colFirst="0" w:colLast="0"/>
      <w:bookmarkEnd w:id="27"/>
      <w:r>
        <w:rPr>
          <w:sz w:val="24"/>
          <w:szCs w:val="24"/>
        </w:rPr>
        <w:t>8.3 Regulatory Compliance Strategy</w:t>
      </w:r>
    </w:p>
    <w:p w14:paraId="679EA60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disrupted global regulatory environment, organisations need to have a proactive approach to compliance that is integrated (</w:t>
      </w:r>
      <w:r>
        <w:rPr>
          <w:rFonts w:ascii="Times New Roman" w:eastAsia="Times New Roman" w:hAnsi="Times New Roman" w:cs="Times New Roman"/>
          <w:sz w:val="24"/>
          <w:szCs w:val="24"/>
          <w:highlight w:val="white"/>
        </w:rPr>
        <w:t>Apooyin, 2025)</w:t>
      </w:r>
      <w:r>
        <w:rPr>
          <w:rFonts w:ascii="Times New Roman" w:eastAsia="Times New Roman" w:hAnsi="Times New Roman" w:cs="Times New Roman"/>
          <w:sz w:val="24"/>
          <w:szCs w:val="24"/>
        </w:rPr>
        <w:t>. Clients are expected to adopt globally aligned compliance frameworks to respond to regulatory changes rather than reacting to them and ensuring that the best regulatory standards are met or even exceeded in various jurisdictions.</w:t>
      </w:r>
    </w:p>
    <w:p w14:paraId="4C54926B"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should have a consistent compliance audit and regulatory monitoring systems to adapt to evolving rules and regulations regarding AI. </w:t>
      </w:r>
    </w:p>
    <w:p w14:paraId="6381E2F8" w14:textId="77777777" w:rsidR="00FF7E78" w:rsidRDefault="00FF7E78">
      <w:pPr>
        <w:spacing w:before="240" w:after="240" w:line="360" w:lineRule="auto"/>
        <w:jc w:val="both"/>
        <w:rPr>
          <w:rFonts w:ascii="Times New Roman" w:eastAsia="Times New Roman" w:hAnsi="Times New Roman" w:cs="Times New Roman"/>
          <w:b/>
          <w:bCs/>
          <w:sz w:val="24"/>
          <w:szCs w:val="24"/>
        </w:rPr>
      </w:pPr>
    </w:p>
    <w:p w14:paraId="08ED249B" w14:textId="77777777" w:rsidR="00FF7E78" w:rsidRDefault="002B2278">
      <w:pPr>
        <w:pStyle w:val="Heading2"/>
        <w:spacing w:line="360" w:lineRule="auto"/>
        <w:rPr>
          <w:sz w:val="24"/>
          <w:szCs w:val="24"/>
        </w:rPr>
      </w:pPr>
      <w:bookmarkStart w:id="28" w:name="_heading=h.x3xcnr30x1bl" w:colFirst="0" w:colLast="0"/>
      <w:bookmarkEnd w:id="28"/>
      <w:r>
        <w:rPr>
          <w:sz w:val="24"/>
          <w:szCs w:val="24"/>
        </w:rPr>
        <w:t>8.4 Ethical AI Implementation</w:t>
      </w:r>
    </w:p>
    <w:p w14:paraId="0CA1FFFD"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consideration of ethics should be anchored in AI strategy (</w:t>
      </w:r>
      <w:r>
        <w:rPr>
          <w:rFonts w:ascii="Times New Roman" w:eastAsia="Times New Roman" w:hAnsi="Times New Roman" w:cs="Times New Roman"/>
          <w:sz w:val="24"/>
          <w:szCs w:val="24"/>
          <w:highlight w:val="white"/>
        </w:rPr>
        <w:t>Bleher and Braun, 2023)</w:t>
      </w:r>
      <w:r>
        <w:rPr>
          <w:rFonts w:ascii="Times New Roman" w:eastAsia="Times New Roman" w:hAnsi="Times New Roman" w:cs="Times New Roman"/>
          <w:sz w:val="24"/>
          <w:szCs w:val="24"/>
        </w:rPr>
        <w:t>. RFD Global suggests that thorough ethical AI frameworks should be created to inform the design and development and deployment of AI systems.</w:t>
      </w:r>
    </w:p>
    <w:p w14:paraId="3DE650C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should involve applying bias detection and mitigation methods, varied and representative data, and frequent fairness evaluations. Also, independent ethical audit mechanisms should be put in place by organisations to maintain accountability and transparency.</w:t>
      </w:r>
    </w:p>
    <w:p w14:paraId="47B66B5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taking the initiative to resolve ethical issues, organisations are able to build trust among stakeholders and minimise reputational risk, and also comply with new regulatory requirements.</w:t>
      </w:r>
    </w:p>
    <w:p w14:paraId="3C3FC7A9" w14:textId="77777777" w:rsidR="00FF7E78" w:rsidRDefault="00FF7E78">
      <w:pPr>
        <w:spacing w:before="240" w:after="240" w:line="360" w:lineRule="auto"/>
        <w:jc w:val="both"/>
        <w:rPr>
          <w:rFonts w:ascii="Times New Roman" w:eastAsia="Times New Roman" w:hAnsi="Times New Roman" w:cs="Times New Roman"/>
          <w:sz w:val="24"/>
          <w:szCs w:val="24"/>
        </w:rPr>
      </w:pPr>
    </w:p>
    <w:p w14:paraId="75DB71F0" w14:textId="77777777" w:rsidR="00FF7E78" w:rsidRDefault="002B2278">
      <w:pPr>
        <w:pStyle w:val="Heading2"/>
        <w:spacing w:line="360" w:lineRule="auto"/>
        <w:rPr>
          <w:sz w:val="24"/>
          <w:szCs w:val="24"/>
        </w:rPr>
      </w:pPr>
      <w:bookmarkStart w:id="29" w:name="_heading=h.7o51skqitgvo" w:colFirst="0" w:colLast="0"/>
      <w:bookmarkEnd w:id="29"/>
      <w:r>
        <w:rPr>
          <w:sz w:val="24"/>
          <w:szCs w:val="24"/>
        </w:rPr>
        <w:t xml:space="preserve">8.5. Implementation of Ethical AI </w:t>
      </w:r>
    </w:p>
    <w:p w14:paraId="7EAEF254"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a competitive edge in AI, strategic investment should be made in secure and scalable technological infrastructure (</w:t>
      </w:r>
      <w:r>
        <w:rPr>
          <w:rFonts w:ascii="Times New Roman" w:eastAsia="Times New Roman" w:hAnsi="Times New Roman" w:cs="Times New Roman"/>
          <w:sz w:val="24"/>
          <w:szCs w:val="24"/>
          <w:highlight w:val="white"/>
        </w:rPr>
        <w:t>Oye and Matthew, 2024)</w:t>
      </w:r>
      <w:r>
        <w:rPr>
          <w:rFonts w:ascii="Times New Roman" w:eastAsia="Times New Roman" w:hAnsi="Times New Roman" w:cs="Times New Roman"/>
          <w:sz w:val="24"/>
          <w:szCs w:val="24"/>
        </w:rPr>
        <w:t>. The organisations should focus on platforms that facilitate flexibility, interoperability, and data integrity. It ensures that they are able to adapt to the changing business landscape.</w:t>
      </w:r>
    </w:p>
    <w:p w14:paraId="1893812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recommendation RFD Global makes is the creation of strategic alliances and innovation communities. It helps to collaborate with technology suppliers, higher education institutions, and industry organizations. This type of partnership provides access to the latest research, speeds up the innovation process. It enhances organisational agility in a fast-evolving technological environment.</w:t>
      </w:r>
    </w:p>
    <w:p w14:paraId="6DCF23D0" w14:textId="77777777" w:rsidR="00FF7E78" w:rsidRDefault="002B2278">
      <w:pPr>
        <w:pStyle w:val="Heading2"/>
        <w:spacing w:line="360" w:lineRule="auto"/>
        <w:rPr>
          <w:sz w:val="24"/>
          <w:szCs w:val="24"/>
        </w:rPr>
      </w:pPr>
      <w:bookmarkStart w:id="30" w:name="_heading=h.9d1240q66ysf" w:colFirst="0" w:colLast="0"/>
      <w:bookmarkEnd w:id="30"/>
      <w:r>
        <w:rPr>
          <w:sz w:val="24"/>
          <w:szCs w:val="24"/>
        </w:rPr>
        <w:t>8.6 Workforce and Skills Development</w:t>
      </w:r>
    </w:p>
    <w:p w14:paraId="3E9DD08F"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ability is the key to the successful implementation of AI. Organisations need to invest in a holistic workforce, need to invest in AI literacy skills. It will help them to improve ethical decision-making (</w:t>
      </w:r>
      <w:r>
        <w:rPr>
          <w:rFonts w:ascii="Times New Roman" w:eastAsia="Times New Roman" w:hAnsi="Times New Roman" w:cs="Times New Roman"/>
          <w:sz w:val="24"/>
          <w:szCs w:val="24"/>
          <w:highlight w:val="white"/>
        </w:rPr>
        <w:t>Appiah, 2025)</w:t>
      </w:r>
      <w:r>
        <w:rPr>
          <w:rFonts w:ascii="Times New Roman" w:eastAsia="Times New Roman" w:hAnsi="Times New Roman" w:cs="Times New Roman"/>
          <w:sz w:val="24"/>
          <w:szCs w:val="24"/>
        </w:rPr>
        <w:t>.</w:t>
      </w:r>
    </w:p>
    <w:p w14:paraId="4756CA4D"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promoting the models of human-AI collaboration, organisations can experience the benefits of both technological systems and human judgement. This not only increases productivity but also makes sure that decisions that are of critical concern are subject to human attention.</w:t>
      </w:r>
    </w:p>
    <w:p w14:paraId="679BC955"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 culture of lifelong learning and innovation will put organisations in a position to effectively respond to future disruptive technology.</w:t>
      </w:r>
    </w:p>
    <w:p w14:paraId="5E87A828" w14:textId="77777777" w:rsidR="00FF7E78" w:rsidRDefault="002B2278">
      <w:pPr>
        <w:pStyle w:val="Heading1"/>
        <w:keepNext w:val="0"/>
        <w:keepLines w:val="0"/>
        <w:spacing w:before="480"/>
        <w:rPr>
          <w:color w:val="000000"/>
        </w:rPr>
      </w:pPr>
      <w:bookmarkStart w:id="31" w:name="_heading=h.xebqokvhcyoh" w:colFirst="0" w:colLast="0"/>
      <w:bookmarkEnd w:id="31"/>
      <w:r>
        <w:rPr>
          <w:color w:val="000000"/>
        </w:rPr>
        <w:t xml:space="preserve">9. Implementation Plan </w:t>
      </w:r>
    </w:p>
    <w:p w14:paraId="154ADE0D" w14:textId="77777777" w:rsidR="00FF7E78" w:rsidRDefault="002B2278">
      <w:pPr>
        <w:pStyle w:val="Heading2"/>
        <w:keepNext w:val="0"/>
        <w:keepLines w:val="0"/>
        <w:spacing w:after="80" w:line="360" w:lineRule="auto"/>
        <w:rPr>
          <w:sz w:val="24"/>
          <w:szCs w:val="24"/>
        </w:rPr>
      </w:pPr>
      <w:bookmarkStart w:id="32" w:name="_heading=h.stbe5hd4pzlg" w:colFirst="0" w:colLast="0"/>
      <w:bookmarkEnd w:id="32"/>
      <w:r>
        <w:rPr>
          <w:sz w:val="24"/>
          <w:szCs w:val="24"/>
        </w:rPr>
        <w:t>9.1 Phased Implementation Roadmap</w:t>
      </w:r>
    </w:p>
    <w:p w14:paraId="74355231" w14:textId="77777777" w:rsidR="00FF7E78" w:rsidRDefault="00FF7E78">
      <w:pPr>
        <w:spacing w:line="360" w:lineRule="auto"/>
        <w:jc w:val="both"/>
        <w:rPr>
          <w:rFonts w:ascii="Times New Roman" w:eastAsia="Times New Roman" w:hAnsi="Times New Roman" w:cs="Times New Roman"/>
          <w:sz w:val="24"/>
          <w:szCs w:val="24"/>
        </w:rPr>
      </w:pPr>
    </w:p>
    <w:tbl>
      <w:tblPr>
        <w:tblStyle w:val="a"/>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530"/>
        <w:gridCol w:w="2190"/>
        <w:gridCol w:w="1860"/>
        <w:gridCol w:w="1860"/>
      </w:tblGrid>
      <w:tr w:rsidR="00FF7E78" w14:paraId="03EED588" w14:textId="77777777">
        <w:trPr>
          <w:tblHeader/>
        </w:trPr>
        <w:tc>
          <w:tcPr>
            <w:tcW w:w="1860" w:type="dxa"/>
            <w:tcMar>
              <w:top w:w="100" w:type="dxa"/>
              <w:left w:w="100" w:type="dxa"/>
              <w:bottom w:w="100" w:type="dxa"/>
              <w:right w:w="100" w:type="dxa"/>
            </w:tcMar>
          </w:tcPr>
          <w:p w14:paraId="3C9F07DB"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w:t>
            </w:r>
          </w:p>
        </w:tc>
        <w:tc>
          <w:tcPr>
            <w:tcW w:w="1530" w:type="dxa"/>
            <w:tcMar>
              <w:top w:w="100" w:type="dxa"/>
              <w:left w:w="100" w:type="dxa"/>
              <w:bottom w:w="100" w:type="dxa"/>
              <w:right w:w="100" w:type="dxa"/>
            </w:tcMar>
          </w:tcPr>
          <w:p w14:paraId="3BFD1F2C"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Timeframe</w:t>
            </w:r>
          </w:p>
        </w:tc>
        <w:tc>
          <w:tcPr>
            <w:tcW w:w="2190" w:type="dxa"/>
            <w:tcMar>
              <w:top w:w="100" w:type="dxa"/>
              <w:left w:w="100" w:type="dxa"/>
              <w:bottom w:w="100" w:type="dxa"/>
              <w:right w:w="100" w:type="dxa"/>
            </w:tcMar>
          </w:tcPr>
          <w:p w14:paraId="78A1A0D0"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Activities</w:t>
            </w:r>
          </w:p>
        </w:tc>
        <w:tc>
          <w:tcPr>
            <w:tcW w:w="1860" w:type="dxa"/>
            <w:tcMar>
              <w:top w:w="100" w:type="dxa"/>
              <w:left w:w="100" w:type="dxa"/>
              <w:bottom w:w="100" w:type="dxa"/>
              <w:right w:w="100" w:type="dxa"/>
            </w:tcMar>
          </w:tcPr>
          <w:p w14:paraId="6BA356DA"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Objective</w:t>
            </w:r>
          </w:p>
        </w:tc>
        <w:tc>
          <w:tcPr>
            <w:tcW w:w="1860" w:type="dxa"/>
            <w:tcMar>
              <w:top w:w="100" w:type="dxa"/>
              <w:left w:w="100" w:type="dxa"/>
              <w:bottom w:w="100" w:type="dxa"/>
              <w:right w:w="100" w:type="dxa"/>
            </w:tcMar>
          </w:tcPr>
          <w:p w14:paraId="7447DCCF"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Expected Outcomes</w:t>
            </w:r>
          </w:p>
        </w:tc>
      </w:tr>
      <w:tr w:rsidR="00FF7E78" w14:paraId="29CB16A0" w14:textId="77777777">
        <w:tc>
          <w:tcPr>
            <w:tcW w:w="1860" w:type="dxa"/>
            <w:tcMar>
              <w:top w:w="100" w:type="dxa"/>
              <w:left w:w="100" w:type="dxa"/>
              <w:bottom w:w="100" w:type="dxa"/>
              <w:right w:w="100" w:type="dxa"/>
            </w:tcMar>
          </w:tcPr>
          <w:p w14:paraId="7C827E45"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Short-Term</w:t>
            </w:r>
          </w:p>
        </w:tc>
        <w:tc>
          <w:tcPr>
            <w:tcW w:w="1530" w:type="dxa"/>
            <w:tcMar>
              <w:top w:w="100" w:type="dxa"/>
              <w:left w:w="100" w:type="dxa"/>
              <w:bottom w:w="100" w:type="dxa"/>
              <w:right w:w="100" w:type="dxa"/>
            </w:tcMar>
          </w:tcPr>
          <w:p w14:paraId="3533224A"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 months</w:t>
            </w:r>
          </w:p>
        </w:tc>
        <w:tc>
          <w:tcPr>
            <w:tcW w:w="2190" w:type="dxa"/>
            <w:tcMar>
              <w:top w:w="100" w:type="dxa"/>
              <w:left w:w="100" w:type="dxa"/>
              <w:bottom w:w="100" w:type="dxa"/>
              <w:right w:w="100" w:type="dxa"/>
            </w:tcMar>
          </w:tcPr>
          <w:p w14:paraId="05B74914" w14:textId="77777777" w:rsidR="00FF7E78" w:rsidRDefault="002B227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Establish AI governance board </w:t>
            </w:r>
          </w:p>
          <w:p w14:paraId="637B2FB9" w14:textId="77777777" w:rsidR="00FF7E78" w:rsidRDefault="002B227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AI risk and compliance assessments</w:t>
            </w:r>
          </w:p>
          <w:p w14:paraId="07E2B389" w14:textId="77777777" w:rsidR="00FF7E78" w:rsidRDefault="002B227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Ensure alignment with UK GDPR and relevant regulations</w:t>
            </w:r>
          </w:p>
          <w:p w14:paraId="1F0E54C1" w14:textId="77777777" w:rsidR="00FF7E78" w:rsidRDefault="002B2278">
            <w:pPr>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initial ethical AI guidelines</w:t>
            </w:r>
          </w:p>
        </w:tc>
        <w:tc>
          <w:tcPr>
            <w:tcW w:w="1860" w:type="dxa"/>
            <w:tcMar>
              <w:top w:w="100" w:type="dxa"/>
              <w:left w:w="100" w:type="dxa"/>
              <w:bottom w:w="100" w:type="dxa"/>
              <w:right w:w="100" w:type="dxa"/>
            </w:tcMar>
          </w:tcPr>
          <w:p w14:paraId="03D63C9E"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 a strong foundation for AI governance and compliance</w:t>
            </w:r>
          </w:p>
        </w:tc>
        <w:tc>
          <w:tcPr>
            <w:tcW w:w="1860" w:type="dxa"/>
            <w:tcMar>
              <w:top w:w="100" w:type="dxa"/>
              <w:left w:w="100" w:type="dxa"/>
              <w:bottom w:w="100" w:type="dxa"/>
              <w:right w:w="100" w:type="dxa"/>
            </w:tcMar>
          </w:tcPr>
          <w:p w14:paraId="4CE03E55"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Clear accountability structures </w:t>
            </w:r>
          </w:p>
          <w:p w14:paraId="51C420EA"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Baseline regulatory compliance</w:t>
            </w:r>
          </w:p>
          <w:p w14:paraId="6C2F8945" w14:textId="77777777" w:rsidR="00FF7E78" w:rsidRDefault="00FF7E7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6B21B37"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Identification of key risks</w:t>
            </w:r>
          </w:p>
        </w:tc>
      </w:tr>
      <w:tr w:rsidR="00FF7E78" w14:paraId="50EBD662" w14:textId="77777777">
        <w:tc>
          <w:tcPr>
            <w:tcW w:w="1860" w:type="dxa"/>
            <w:tcMar>
              <w:top w:w="100" w:type="dxa"/>
              <w:left w:w="100" w:type="dxa"/>
              <w:bottom w:w="100" w:type="dxa"/>
              <w:right w:w="100" w:type="dxa"/>
            </w:tcMar>
          </w:tcPr>
          <w:p w14:paraId="6F2FC586"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Medium-Term</w:t>
            </w:r>
          </w:p>
        </w:tc>
        <w:tc>
          <w:tcPr>
            <w:tcW w:w="1530" w:type="dxa"/>
            <w:tcMar>
              <w:top w:w="100" w:type="dxa"/>
              <w:left w:w="100" w:type="dxa"/>
              <w:bottom w:w="100" w:type="dxa"/>
              <w:right w:w="100" w:type="dxa"/>
            </w:tcMar>
          </w:tcPr>
          <w:p w14:paraId="16B997E0"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years</w:t>
            </w:r>
          </w:p>
        </w:tc>
        <w:tc>
          <w:tcPr>
            <w:tcW w:w="2190" w:type="dxa"/>
            <w:tcMar>
              <w:top w:w="100" w:type="dxa"/>
              <w:left w:w="100" w:type="dxa"/>
              <w:bottom w:w="100" w:type="dxa"/>
              <w:right w:w="100" w:type="dxa"/>
            </w:tcMar>
          </w:tcPr>
          <w:p w14:paraId="690418F5" w14:textId="77777777" w:rsidR="00FF7E78" w:rsidRDefault="002B227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Integrate AI systems across core business functions </w:t>
            </w:r>
          </w:p>
          <w:p w14:paraId="5D3E4BC4" w14:textId="77777777" w:rsidR="00FF7E78" w:rsidRDefault="002B227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continuous monitoring tools and dashboards</w:t>
            </w:r>
          </w:p>
          <w:p w14:paraId="39ED7319" w14:textId="77777777" w:rsidR="00FF7E78" w:rsidRDefault="002B227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regular compliance audits</w:t>
            </w:r>
          </w:p>
          <w:p w14:paraId="65655834" w14:textId="77777777" w:rsidR="00FF7E78" w:rsidRDefault="002B2278">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data governance frameworks</w:t>
            </w:r>
          </w:p>
        </w:tc>
        <w:tc>
          <w:tcPr>
            <w:tcW w:w="1860" w:type="dxa"/>
            <w:tcMar>
              <w:top w:w="100" w:type="dxa"/>
              <w:left w:w="100" w:type="dxa"/>
              <w:bottom w:w="100" w:type="dxa"/>
              <w:right w:w="100" w:type="dxa"/>
            </w:tcMar>
          </w:tcPr>
          <w:p w14:paraId="7BF59FB9"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operational efficiency and risk control</w:t>
            </w:r>
          </w:p>
        </w:tc>
        <w:tc>
          <w:tcPr>
            <w:tcW w:w="1860" w:type="dxa"/>
            <w:tcMar>
              <w:top w:w="100" w:type="dxa"/>
              <w:left w:w="100" w:type="dxa"/>
              <w:bottom w:w="100" w:type="dxa"/>
              <w:right w:w="100" w:type="dxa"/>
            </w:tcMar>
          </w:tcPr>
          <w:p w14:paraId="18FD7E6F"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Improved AI performance and reliability </w:t>
            </w:r>
          </w:p>
          <w:p w14:paraId="4FE83653"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Reduced compliance risks</w:t>
            </w:r>
          </w:p>
          <w:p w14:paraId="1A78EB5E" w14:textId="77777777" w:rsidR="00FF7E78" w:rsidRDefault="00FF7E7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BEA2721"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Increased organisational capability</w:t>
            </w:r>
          </w:p>
        </w:tc>
      </w:tr>
      <w:tr w:rsidR="00FF7E78" w14:paraId="5126C9D3" w14:textId="77777777">
        <w:tc>
          <w:tcPr>
            <w:tcW w:w="1860" w:type="dxa"/>
            <w:tcMar>
              <w:top w:w="100" w:type="dxa"/>
              <w:left w:w="100" w:type="dxa"/>
              <w:bottom w:w="100" w:type="dxa"/>
              <w:right w:w="100" w:type="dxa"/>
            </w:tcMar>
          </w:tcPr>
          <w:p w14:paraId="028C4CB1"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Long-Term</w:t>
            </w:r>
          </w:p>
        </w:tc>
        <w:tc>
          <w:tcPr>
            <w:tcW w:w="1530" w:type="dxa"/>
            <w:tcMar>
              <w:top w:w="100" w:type="dxa"/>
              <w:left w:w="100" w:type="dxa"/>
              <w:bottom w:w="100" w:type="dxa"/>
              <w:right w:w="100" w:type="dxa"/>
            </w:tcMar>
          </w:tcPr>
          <w:p w14:paraId="5B66C2AB"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 years</w:t>
            </w:r>
          </w:p>
        </w:tc>
        <w:tc>
          <w:tcPr>
            <w:tcW w:w="2190" w:type="dxa"/>
            <w:tcMar>
              <w:top w:w="100" w:type="dxa"/>
              <w:left w:w="100" w:type="dxa"/>
              <w:bottom w:w="100" w:type="dxa"/>
              <w:right w:w="100" w:type="dxa"/>
            </w:tcMar>
          </w:tcPr>
          <w:p w14:paraId="104705F3" w14:textId="77777777" w:rsidR="00FF7E78" w:rsidRDefault="002B227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Achieve advanced AI maturity across operations </w:t>
            </w:r>
          </w:p>
          <w:p w14:paraId="0FBBEE02" w14:textId="77777777" w:rsidR="00FF7E78" w:rsidRDefault="002B227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predictive analytics for strategic decision-making</w:t>
            </w:r>
          </w:p>
          <w:p w14:paraId="37A67514" w14:textId="77777777" w:rsidR="00FF7E78" w:rsidRDefault="002B227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update compliance frameworks based on global regulations</w:t>
            </w:r>
          </w:p>
          <w:p w14:paraId="07E65C82" w14:textId="77777777" w:rsidR="00FF7E78" w:rsidRDefault="002B2278">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Foster innovation through partnerships and R&amp;D</w:t>
            </w:r>
          </w:p>
        </w:tc>
        <w:tc>
          <w:tcPr>
            <w:tcW w:w="1860" w:type="dxa"/>
            <w:tcMar>
              <w:top w:w="100" w:type="dxa"/>
              <w:left w:w="100" w:type="dxa"/>
              <w:bottom w:w="100" w:type="dxa"/>
              <w:right w:w="100" w:type="dxa"/>
            </w:tcMar>
          </w:tcPr>
          <w:p w14:paraId="2B778B58"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Drive innovation and long-term competitive advantage</w:t>
            </w:r>
          </w:p>
        </w:tc>
        <w:tc>
          <w:tcPr>
            <w:tcW w:w="1860" w:type="dxa"/>
            <w:tcMar>
              <w:top w:w="100" w:type="dxa"/>
              <w:left w:w="100" w:type="dxa"/>
              <w:bottom w:w="100" w:type="dxa"/>
              <w:right w:w="100" w:type="dxa"/>
            </w:tcMar>
          </w:tcPr>
          <w:p w14:paraId="24297794"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Scalable and resilient AI systems </w:t>
            </w:r>
          </w:p>
          <w:p w14:paraId="65DD1C9D"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Strong market positioning</w:t>
            </w:r>
          </w:p>
          <w:p w14:paraId="6E9FA78C" w14:textId="77777777" w:rsidR="00FF7E78" w:rsidRDefault="00FF7E78">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DEB9101"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Sustainable growth and innovation</w:t>
            </w:r>
          </w:p>
        </w:tc>
      </w:tr>
    </w:tbl>
    <w:p w14:paraId="5819843C" w14:textId="77777777" w:rsidR="00FF7E78" w:rsidRDefault="00FF7E78">
      <w:pPr>
        <w:spacing w:before="480" w:line="360" w:lineRule="auto"/>
        <w:jc w:val="both"/>
        <w:rPr>
          <w:rFonts w:ascii="Times New Roman" w:eastAsia="Times New Roman" w:hAnsi="Times New Roman" w:cs="Times New Roman"/>
          <w:sz w:val="24"/>
          <w:szCs w:val="24"/>
        </w:rPr>
      </w:pPr>
    </w:p>
    <w:p w14:paraId="65F2D0CE" w14:textId="77777777" w:rsidR="00FF7E78" w:rsidRDefault="002B2278">
      <w:pPr>
        <w:pStyle w:val="Heading2"/>
        <w:spacing w:line="360" w:lineRule="auto"/>
        <w:rPr>
          <w:sz w:val="24"/>
          <w:szCs w:val="24"/>
        </w:rPr>
      </w:pPr>
      <w:bookmarkStart w:id="33" w:name="_heading=h.z1s51j5o09zc" w:colFirst="0" w:colLast="0"/>
      <w:bookmarkEnd w:id="33"/>
      <w:r>
        <w:rPr>
          <w:sz w:val="24"/>
          <w:szCs w:val="24"/>
        </w:rPr>
        <w:t>9.2 Resource Allocation</w:t>
      </w:r>
    </w:p>
    <w:p w14:paraId="2F4154F7"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AI-based strategy implementation entails a strategic, well-organised allocation of the resources in technological, human and organisational terms (Sundaram, 2025). Allocation of resources is not only an operational requirement to multinational clients, but a major enabling factor of long term value creation and reduction of risks.</w:t>
      </w:r>
    </w:p>
    <w:p w14:paraId="7865514F"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AI infrastructure and cybersecurity systems must be heavily invested in in order to provide scalable and secure deployment (Abisoye and Akerele, 2022). These include cloud-based systems, data management, and advanced security architecture that may protect sensitive data and resilience of the system to cyber attacks. It is a strong infrastructure that will guarantee not only compliance but operation as well in case of an increasing regulatory focus on the problem of data protection.</w:t>
      </w:r>
    </w:p>
    <w:p w14:paraId="61ED2BC6" w14:textId="77777777" w:rsidR="00FF7E78" w:rsidRDefault="00FF7E78">
      <w:pPr>
        <w:spacing w:before="240" w:after="240" w:line="360" w:lineRule="auto"/>
        <w:jc w:val="both"/>
        <w:rPr>
          <w:rFonts w:ascii="Times New Roman" w:eastAsia="Times New Roman" w:hAnsi="Times New Roman" w:cs="Times New Roman"/>
          <w:sz w:val="24"/>
          <w:szCs w:val="24"/>
        </w:rPr>
      </w:pPr>
    </w:p>
    <w:p w14:paraId="62B5304E"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organisations need to focus on building human capital by recruiting specific employees and training them on a regular basis. It develops the capacity to analyze and interpret data, AI governance, and ethical decision-making. These  are essential components of successful implementation. The promotion of a culture of life-long learning will help staff members to keep abreast of the fast-changing technologies and assist in maintaining the sustainable human-AI cooperation.</w:t>
      </w:r>
    </w:p>
    <w:p w14:paraId="5C0B1752" w14:textId="77777777" w:rsidR="00FF7E78" w:rsidRDefault="002B2278">
      <w:pPr>
        <w:pStyle w:val="Heading2"/>
        <w:spacing w:line="360" w:lineRule="auto"/>
        <w:rPr>
          <w:sz w:val="24"/>
          <w:szCs w:val="24"/>
        </w:rPr>
      </w:pPr>
      <w:bookmarkStart w:id="34" w:name="_heading=h.kikfono796kj" w:colFirst="0" w:colLast="0"/>
      <w:bookmarkEnd w:id="34"/>
      <w:r>
        <w:rPr>
          <w:sz w:val="24"/>
          <w:szCs w:val="24"/>
        </w:rPr>
        <w:t>9.3 Key Performance Indicators (KPIs)</w:t>
      </w:r>
    </w:p>
    <w:p w14:paraId="308A8FB7"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must consider that a solid KPI and monitoring framework should be used in order to ensure a successful implementation and continuous performance monitoring as per the strategic objectives.</w:t>
      </w:r>
    </w:p>
    <w:p w14:paraId="4EB81AAC"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KPIs should be developed to measure the efficiency of the operations and the exposure to risk. It should come along with regulatory compliance and confidence among the stakeholders (Gbabo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 The other significant areas of performance are:</w:t>
      </w:r>
    </w:p>
    <w:p w14:paraId="07E4255C" w14:textId="77777777" w:rsidR="00FF7E78" w:rsidRDefault="002B227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Management Effectiveness:</w:t>
      </w:r>
    </w:p>
    <w:p w14:paraId="5679EAF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RFD Global must focus on system breakdowns, bias identification, and cybercrime to identify how well the organisation is able to mitigate the emerging threats.</w:t>
      </w:r>
    </w:p>
    <w:p w14:paraId="1E384746" w14:textId="77777777" w:rsidR="00FF7E78" w:rsidRDefault="002B227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Regulatory Compliance Performance</w:t>
      </w:r>
    </w:p>
    <w:p w14:paraId="701302B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outcomes of audits, compliance rates, and the amount of regulatory violations or fines, ensures that it complies with the UK and global regulatory standards (Turksen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245C5930"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Customer trust and reputation measures</w:t>
      </w:r>
      <w:r>
        <w:rPr>
          <w:rFonts w:ascii="Times New Roman" w:eastAsia="Times New Roman" w:hAnsi="Times New Roman" w:cs="Times New Roman"/>
          <w:sz w:val="24"/>
          <w:szCs w:val="24"/>
        </w:rPr>
        <w:t>:</w:t>
      </w:r>
    </w:p>
    <w:p w14:paraId="05D6422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Measuring the level of customer satisfaction, trust, and complaints on the basis of AI will help to evaluate the amount of confidence customers have in AI-based procedures (Dzreke, 2025).</w:t>
      </w:r>
    </w:p>
    <w:p w14:paraId="07B4C975" w14:textId="77777777" w:rsidR="00FF7E78" w:rsidRDefault="002B2278">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Operation Impact and Financial Impact:</w:t>
      </w:r>
    </w:p>
    <w:p w14:paraId="3DA14793"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Efficiency benefits, cost savings, and productivity increase because of implementing AI, and the return on investment (ROI) of AI projects are measured. </w:t>
      </w:r>
    </w:p>
    <w:p w14:paraId="6F43A379"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should consider a system of continuous monitoring, real-time dashboards and automated reports. This will enable the anticipatory identification of performance discontinuities and enable corrective response within a reasonable time frame.</w:t>
      </w:r>
    </w:p>
    <w:p w14:paraId="10E34754" w14:textId="77777777" w:rsidR="00FF7E78" w:rsidRDefault="00FF7E78">
      <w:pPr>
        <w:spacing w:before="240" w:after="240" w:line="360" w:lineRule="auto"/>
        <w:jc w:val="both"/>
        <w:rPr>
          <w:rFonts w:ascii="Times New Roman" w:eastAsia="Times New Roman" w:hAnsi="Times New Roman" w:cs="Times New Roman"/>
          <w:sz w:val="24"/>
          <w:szCs w:val="24"/>
        </w:rPr>
      </w:pPr>
    </w:p>
    <w:p w14:paraId="7A342A6B" w14:textId="77777777" w:rsidR="00FF7E78" w:rsidRDefault="002B2278">
      <w:pPr>
        <w:pStyle w:val="Heading2"/>
        <w:keepNext w:val="0"/>
        <w:keepLines w:val="0"/>
        <w:spacing w:after="80" w:line="360" w:lineRule="auto"/>
        <w:rPr>
          <w:sz w:val="24"/>
          <w:szCs w:val="24"/>
        </w:rPr>
      </w:pPr>
      <w:bookmarkStart w:id="35" w:name="_heading=h.1krkh4nfrtz" w:colFirst="0" w:colLast="0"/>
      <w:bookmarkEnd w:id="35"/>
      <w:r>
        <w:rPr>
          <w:sz w:val="24"/>
          <w:szCs w:val="24"/>
        </w:rPr>
        <w:t>9.4 Risk and Contingency Planning</w:t>
      </w:r>
    </w:p>
    <w:p w14:paraId="3E4C40F5" w14:textId="77777777" w:rsidR="00FF7E78" w:rsidRDefault="002B227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must have contingency plans in place for a cybersecurity breach, system failures, and sudden changes in regulations so that they are able to keep their business going. </w:t>
      </w:r>
    </w:p>
    <w:p w14:paraId="0E64DB09" w14:textId="77777777" w:rsidR="00FF7E78" w:rsidRDefault="00FF7E78">
      <w:pPr>
        <w:spacing w:line="360" w:lineRule="auto"/>
        <w:rPr>
          <w:rFonts w:ascii="Times New Roman" w:eastAsia="Times New Roman" w:hAnsi="Times New Roman" w:cs="Times New Roman"/>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F7E78" w14:paraId="7B33783F" w14:textId="77777777">
        <w:trPr>
          <w:tblHeader/>
        </w:trPr>
        <w:tc>
          <w:tcPr>
            <w:tcW w:w="2340" w:type="dxa"/>
            <w:tcMar>
              <w:top w:w="100" w:type="dxa"/>
              <w:left w:w="100" w:type="dxa"/>
              <w:bottom w:w="100" w:type="dxa"/>
              <w:right w:w="100" w:type="dxa"/>
            </w:tcMar>
          </w:tcPr>
          <w:p w14:paraId="4E33AE8D" w14:textId="77777777" w:rsidR="00FF7E78" w:rsidRDefault="002B2278">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Area</w:t>
            </w:r>
          </w:p>
        </w:tc>
        <w:tc>
          <w:tcPr>
            <w:tcW w:w="2340" w:type="dxa"/>
            <w:tcMar>
              <w:top w:w="100" w:type="dxa"/>
              <w:left w:w="100" w:type="dxa"/>
              <w:bottom w:w="100" w:type="dxa"/>
              <w:right w:w="100" w:type="dxa"/>
            </w:tcMar>
          </w:tcPr>
          <w:p w14:paraId="2FBC3F99" w14:textId="77777777" w:rsidR="00FF7E78" w:rsidRDefault="002B2278">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Potential Impact</w:t>
            </w:r>
          </w:p>
        </w:tc>
        <w:tc>
          <w:tcPr>
            <w:tcW w:w="2340" w:type="dxa"/>
            <w:tcMar>
              <w:top w:w="100" w:type="dxa"/>
              <w:left w:w="100" w:type="dxa"/>
              <w:bottom w:w="100" w:type="dxa"/>
              <w:right w:w="100" w:type="dxa"/>
            </w:tcMar>
          </w:tcPr>
          <w:p w14:paraId="63E0AB65" w14:textId="77777777" w:rsidR="00FF7E78" w:rsidRDefault="002B2278">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Contingency Measures</w:t>
            </w:r>
          </w:p>
        </w:tc>
        <w:tc>
          <w:tcPr>
            <w:tcW w:w="2340" w:type="dxa"/>
            <w:tcMar>
              <w:top w:w="100" w:type="dxa"/>
              <w:left w:w="100" w:type="dxa"/>
              <w:bottom w:w="100" w:type="dxa"/>
              <w:right w:w="100" w:type="dxa"/>
            </w:tcMar>
          </w:tcPr>
          <w:p w14:paraId="3D1C213A" w14:textId="77777777" w:rsidR="00FF7E78" w:rsidRDefault="002B2278">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Outcome</w:t>
            </w:r>
          </w:p>
        </w:tc>
      </w:tr>
      <w:tr w:rsidR="00FF7E78" w14:paraId="139A9C92" w14:textId="77777777">
        <w:tc>
          <w:tcPr>
            <w:tcW w:w="2340" w:type="dxa"/>
            <w:tcMar>
              <w:top w:w="100" w:type="dxa"/>
              <w:left w:w="100" w:type="dxa"/>
              <w:bottom w:w="100" w:type="dxa"/>
              <w:right w:w="100" w:type="dxa"/>
            </w:tcMar>
          </w:tcPr>
          <w:p w14:paraId="0099025A"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Regulatory Changes</w:t>
            </w:r>
          </w:p>
        </w:tc>
        <w:tc>
          <w:tcPr>
            <w:tcW w:w="2340" w:type="dxa"/>
            <w:tcMar>
              <w:top w:w="100" w:type="dxa"/>
              <w:left w:w="100" w:type="dxa"/>
              <w:bottom w:w="100" w:type="dxa"/>
              <w:right w:w="100" w:type="dxa"/>
            </w:tcMar>
          </w:tcPr>
          <w:p w14:paraId="08FBD4BF"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Non-compliance, legal penalties, operational disruption (</w:t>
            </w:r>
            <w:r>
              <w:rPr>
                <w:rFonts w:ascii="Times New Roman" w:eastAsia="Times New Roman" w:hAnsi="Times New Roman" w:cs="Times New Roman"/>
                <w:sz w:val="24"/>
                <w:szCs w:val="24"/>
                <w:highlight w:val="white"/>
              </w:rPr>
              <w:t xml:space="preserve">Noah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2025)</w:t>
            </w:r>
            <w:r>
              <w:rPr>
                <w:rFonts w:ascii="Times New Roman" w:eastAsia="Times New Roman" w:hAnsi="Times New Roman" w:cs="Times New Roman"/>
                <w:sz w:val="24"/>
                <w:szCs w:val="24"/>
              </w:rPr>
              <w:t xml:space="preserve"> </w:t>
            </w:r>
          </w:p>
        </w:tc>
        <w:tc>
          <w:tcPr>
            <w:tcW w:w="2340" w:type="dxa"/>
            <w:tcMar>
              <w:top w:w="100" w:type="dxa"/>
              <w:left w:w="100" w:type="dxa"/>
              <w:bottom w:w="100" w:type="dxa"/>
              <w:right w:w="100" w:type="dxa"/>
            </w:tcMar>
          </w:tcPr>
          <w:p w14:paraId="401D50A5" w14:textId="77777777" w:rsidR="00FF7E78" w:rsidRDefault="002B2278">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Continuous regulatory monitoring </w:t>
            </w:r>
          </w:p>
          <w:p w14:paraId="3FABA431" w14:textId="77777777" w:rsidR="00FF7E78" w:rsidRDefault="002B2278">
            <w:pPr>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compliance frameworks</w:t>
            </w:r>
          </w:p>
          <w:p w14:paraId="36C6D0A8" w14:textId="77777777" w:rsidR="00FF7E78" w:rsidRDefault="002B2278">
            <w:pPr>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policy updates and legal consultations</w:t>
            </w:r>
          </w:p>
        </w:tc>
        <w:tc>
          <w:tcPr>
            <w:tcW w:w="2340" w:type="dxa"/>
            <w:tcMar>
              <w:top w:w="100" w:type="dxa"/>
              <w:left w:w="100" w:type="dxa"/>
              <w:bottom w:w="100" w:type="dxa"/>
              <w:right w:w="100" w:type="dxa"/>
            </w:tcMar>
          </w:tcPr>
          <w:p w14:paraId="043F833E"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Ensures ongoing compliance and reduces legal exposure</w:t>
            </w:r>
          </w:p>
        </w:tc>
      </w:tr>
      <w:tr w:rsidR="00FF7E78" w14:paraId="46C89FA4" w14:textId="77777777">
        <w:tc>
          <w:tcPr>
            <w:tcW w:w="2340" w:type="dxa"/>
            <w:tcMar>
              <w:top w:w="100" w:type="dxa"/>
              <w:left w:w="100" w:type="dxa"/>
              <w:bottom w:w="100" w:type="dxa"/>
              <w:right w:w="100" w:type="dxa"/>
            </w:tcMar>
          </w:tcPr>
          <w:p w14:paraId="2D75459D"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Cybersecurity Breaches</w:t>
            </w:r>
          </w:p>
        </w:tc>
        <w:tc>
          <w:tcPr>
            <w:tcW w:w="2340" w:type="dxa"/>
            <w:tcMar>
              <w:top w:w="100" w:type="dxa"/>
              <w:left w:w="100" w:type="dxa"/>
              <w:bottom w:w="100" w:type="dxa"/>
              <w:right w:w="100" w:type="dxa"/>
            </w:tcMar>
          </w:tcPr>
          <w:p w14:paraId="06FC50D6"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loss, reputational damage, financial loss (</w:t>
            </w:r>
            <w:r>
              <w:rPr>
                <w:rFonts w:ascii="Times New Roman" w:eastAsia="Times New Roman" w:hAnsi="Times New Roman" w:cs="Times New Roman"/>
                <w:sz w:val="24"/>
                <w:szCs w:val="24"/>
                <w:highlight w:val="white"/>
              </w:rPr>
              <w:t>Liu and Babar,  2026)</w:t>
            </w:r>
          </w:p>
        </w:tc>
        <w:tc>
          <w:tcPr>
            <w:tcW w:w="2340" w:type="dxa"/>
            <w:tcMar>
              <w:top w:w="100" w:type="dxa"/>
              <w:left w:w="100" w:type="dxa"/>
              <w:bottom w:w="100" w:type="dxa"/>
              <w:right w:w="100" w:type="dxa"/>
            </w:tcMar>
          </w:tcPr>
          <w:p w14:paraId="18B5C915" w14:textId="77777777" w:rsidR="00FF7E78" w:rsidRDefault="002B2278">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Advanced cybersecurity systems </w:t>
            </w:r>
          </w:p>
          <w:p w14:paraId="10EFEBF8" w14:textId="77777777" w:rsidR="00FF7E78" w:rsidRDefault="002B2278">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Incident response plans</w:t>
            </w:r>
          </w:p>
          <w:p w14:paraId="5F3C4B8E" w14:textId="77777777" w:rsidR="00FF7E78" w:rsidRDefault="002B2278">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security audits and employee training</w:t>
            </w:r>
          </w:p>
        </w:tc>
        <w:tc>
          <w:tcPr>
            <w:tcW w:w="2340" w:type="dxa"/>
            <w:tcMar>
              <w:top w:w="100" w:type="dxa"/>
              <w:left w:w="100" w:type="dxa"/>
              <w:bottom w:w="100" w:type="dxa"/>
              <w:right w:w="100" w:type="dxa"/>
            </w:tcMar>
          </w:tcPr>
          <w:p w14:paraId="272B64D9"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Strengthens data protection and organisational resilience</w:t>
            </w:r>
          </w:p>
        </w:tc>
      </w:tr>
      <w:tr w:rsidR="00FF7E78" w14:paraId="7FFC570B" w14:textId="77777777">
        <w:tc>
          <w:tcPr>
            <w:tcW w:w="2340" w:type="dxa"/>
            <w:tcMar>
              <w:top w:w="100" w:type="dxa"/>
              <w:left w:w="100" w:type="dxa"/>
              <w:bottom w:w="100" w:type="dxa"/>
              <w:right w:w="100" w:type="dxa"/>
            </w:tcMar>
          </w:tcPr>
          <w:p w14:paraId="19A12302"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System Failures</w:t>
            </w:r>
          </w:p>
        </w:tc>
        <w:tc>
          <w:tcPr>
            <w:tcW w:w="2340" w:type="dxa"/>
            <w:tcMar>
              <w:top w:w="100" w:type="dxa"/>
              <w:left w:w="100" w:type="dxa"/>
              <w:bottom w:w="100" w:type="dxa"/>
              <w:right w:w="100" w:type="dxa"/>
            </w:tcMar>
          </w:tcPr>
          <w:p w14:paraId="55C8C1B1"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downtime, service disruption, loss of customer trust</w:t>
            </w:r>
          </w:p>
        </w:tc>
        <w:tc>
          <w:tcPr>
            <w:tcW w:w="2340" w:type="dxa"/>
            <w:tcMar>
              <w:top w:w="100" w:type="dxa"/>
              <w:left w:w="100" w:type="dxa"/>
              <w:bottom w:w="100" w:type="dxa"/>
              <w:right w:w="100" w:type="dxa"/>
            </w:tcMar>
          </w:tcPr>
          <w:p w14:paraId="11BB8576" w14:textId="77777777" w:rsidR="00FF7E78" w:rsidRDefault="002B2278">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Backup systems and redundancy planning </w:t>
            </w:r>
          </w:p>
          <w:p w14:paraId="61FBB165" w14:textId="77777777" w:rsidR="00FF7E78" w:rsidRDefault="002B2278">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Disaster recovery strategies</w:t>
            </w:r>
          </w:p>
          <w:p w14:paraId="0FD14C02" w14:textId="77777777" w:rsidR="00FF7E78" w:rsidRDefault="002B2278">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Real-time system monitoring</w:t>
            </w:r>
          </w:p>
        </w:tc>
        <w:tc>
          <w:tcPr>
            <w:tcW w:w="2340" w:type="dxa"/>
            <w:tcMar>
              <w:top w:w="100" w:type="dxa"/>
              <w:left w:w="100" w:type="dxa"/>
              <w:bottom w:w="100" w:type="dxa"/>
              <w:right w:w="100" w:type="dxa"/>
            </w:tcMar>
          </w:tcPr>
          <w:p w14:paraId="6B5D93CF" w14:textId="77777777" w:rsidR="00FF7E78" w:rsidRDefault="002B227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Maintains business continuity and service reliability</w:t>
            </w:r>
          </w:p>
        </w:tc>
      </w:tr>
    </w:tbl>
    <w:p w14:paraId="0EA441F3" w14:textId="77777777" w:rsidR="00FF7E78" w:rsidRDefault="00FF7E78">
      <w:pPr>
        <w:pStyle w:val="Heading1"/>
        <w:keepNext w:val="0"/>
        <w:keepLines w:val="0"/>
        <w:spacing w:before="480"/>
        <w:rPr>
          <w:color w:val="000000"/>
        </w:rPr>
      </w:pPr>
      <w:bookmarkStart w:id="36" w:name="_heading=h.5w9jlxtlld64" w:colFirst="0" w:colLast="0"/>
      <w:bookmarkEnd w:id="36"/>
    </w:p>
    <w:p w14:paraId="4E82D1FB" w14:textId="77777777" w:rsidR="00FF7E78" w:rsidRDefault="002B2278">
      <w:pPr>
        <w:pStyle w:val="Heading1"/>
        <w:keepNext w:val="0"/>
        <w:keepLines w:val="0"/>
        <w:spacing w:before="480"/>
        <w:rPr>
          <w:color w:val="000000"/>
        </w:rPr>
      </w:pPr>
      <w:bookmarkStart w:id="37" w:name="_heading=h.yqci03pjt6c" w:colFirst="0" w:colLast="0"/>
      <w:bookmarkEnd w:id="37"/>
      <w:r>
        <w:rPr>
          <w:color w:val="000000"/>
        </w:rPr>
        <w:t xml:space="preserve">10. Future Outlook and Strategic Resilience </w:t>
      </w:r>
    </w:p>
    <w:p w14:paraId="0BBE67B3"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future, AI regulation is likely to get more sophisticated, with more focus on accountability, transparency, and ethical regulation (</w:t>
      </w:r>
      <w:r>
        <w:rPr>
          <w:rFonts w:ascii="Times New Roman" w:eastAsia="Times New Roman" w:hAnsi="Times New Roman" w:cs="Times New Roman"/>
          <w:sz w:val="24"/>
          <w:szCs w:val="24"/>
          <w:highlight w:val="white"/>
        </w:rPr>
        <w:t xml:space="preserve">Kashefi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Governments and regulatory bodies are paying more attention to the disruptive potentials of AI in different sectors. This is bound to introduce more strict and intense regulatory frameworks. Namely, the rapid development of new technologies such as generative AI is raising the regulatory interest since AI systems are generating complex debates. It involves misinformation, intellectual property, data security, and societal impact.</w:t>
      </w:r>
    </w:p>
    <w:p w14:paraId="229CE584"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Generative AI will revolutionize Amazon's operations in customer service, logistics and cloud computing. But, more robust governance and accountability systems will be needed as the scrutiny of the regulators grows (</w:t>
      </w:r>
      <w:r>
        <w:rPr>
          <w:rFonts w:ascii="Times New Roman" w:eastAsia="Times New Roman" w:hAnsi="Times New Roman" w:cs="Times New Roman"/>
          <w:sz w:val="24"/>
          <w:szCs w:val="24"/>
          <w:highlight w:val="white"/>
        </w:rPr>
        <w:t>Sornprom, 2024)</w:t>
      </w:r>
      <w:r>
        <w:rPr>
          <w:rFonts w:ascii="Times New Roman" w:eastAsia="Times New Roman" w:hAnsi="Times New Roman" w:cs="Times New Roman"/>
          <w:sz w:val="24"/>
          <w:szCs w:val="24"/>
        </w:rPr>
        <w:t>. It will ease the compliance process, reduce repetition of efforts and enhance innovation due to a greater degree of clarity and uniformity (Jacob and Jacob, 2025). The ecosystems would also enable multinational firms to more easily scale AI solutions across jurisdictions.</w:t>
      </w:r>
    </w:p>
    <w:p w14:paraId="781DC839"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and more likely and challenging option is that the regulatory regimes remain partial where each country adopts a varied approach on AI regulation. This fragmentation can significantly undermine the operations, with organisations potentially needing to adapt their AI applications (Schiff, 2025). This may lead to more compliance costs, legal risks, and scale-related problems potentially impacting the ability of companies to scale optimally to take advantage of AI-based opportunities.</w:t>
      </w:r>
    </w:p>
    <w:p w14:paraId="299739A8" w14:textId="77777777" w:rsidR="00FF7E78" w:rsidRDefault="002B2278">
      <w:pPr>
        <w:spacing w:before="4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10.1 Limitations of Study</w:t>
      </w:r>
    </w:p>
    <w:p w14:paraId="298B9AC1"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constrained by the fact that the public record on Amazon's internal AI governance – risk management and decision-making processes – is limited. Therefore, confidential internal data were not used for all analysis and recommendations, and they were instead provided from other sources such as industry reports, or through the public release of company data. </w:t>
      </w:r>
    </w:p>
    <w:p w14:paraId="6BBCA4D8" w14:textId="77777777" w:rsidR="00FF7E78" w:rsidRDefault="002B2278">
      <w:pPr>
        <w:spacing w:before="4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Furthermore, AI is a rapidly changing field, and there are emerging technologies, laws, and ethical considerations in various countries. The findings and recommendations presented in this report may therefore be subject to future change due to the regulatory frameworks.</w:t>
      </w:r>
      <w:r>
        <w:rPr>
          <w:rFonts w:ascii="Times New Roman" w:eastAsia="Times New Roman" w:hAnsi="Times New Roman" w:cs="Times New Roman"/>
          <w:b/>
          <w:bCs/>
          <w:sz w:val="24"/>
          <w:szCs w:val="24"/>
        </w:rPr>
        <w:t xml:space="preserve"> </w:t>
      </w:r>
    </w:p>
    <w:p w14:paraId="3F0CDE4A" w14:textId="77777777" w:rsidR="00FF7E78" w:rsidRDefault="002B2278">
      <w:pPr>
        <w:pStyle w:val="Heading1"/>
        <w:spacing w:before="480"/>
        <w:rPr>
          <w:color w:val="000000"/>
        </w:rPr>
      </w:pPr>
      <w:bookmarkStart w:id="38" w:name="_heading=h.n2zmmrg0az97" w:colFirst="0" w:colLast="0"/>
      <w:bookmarkEnd w:id="38"/>
      <w:r>
        <w:rPr>
          <w:color w:val="000000"/>
        </w:rPr>
        <w:t xml:space="preserve">11.Conclusion </w:t>
      </w:r>
    </w:p>
    <w:p w14:paraId="6BB8A568"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states that use of artificial intelligence is both a transformational opportunity and a major risk to multinational companies. It can facilitate innovation, efficiency, and competitive advantage,also can hinder with its complex issues of regulation, ethics, and trust. </w:t>
      </w:r>
      <w:r>
        <w:rPr>
          <w:rFonts w:ascii="Times New Roman" w:eastAsia="Times New Roman" w:hAnsi="Times New Roman" w:cs="Times New Roman"/>
          <w:sz w:val="24"/>
          <w:szCs w:val="24"/>
        </w:rPr>
        <w:t>AI is a big opportunity as well as a risk for Amazon. The balance between innovation and good governance, ethics and compliance with regulation will be key to sustainable competitive advantage. RFD Global suggests a strategic vision that combines the actual governance, risk management, compliance, ethical considerations into the business operations. These recommendations can be implemented and made sustainable through a structured implementation plan.</w:t>
      </w:r>
    </w:p>
    <w:p w14:paraId="25AE6F88" w14:textId="77777777" w:rsidR="00FF7E78" w:rsidRDefault="002B2278">
      <w:pPr>
        <w:spacing w:before="4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organisations that are able to proactively deal with the risk associated with AI, whilst capitalising on its potential, will be in the best place to thrive in an ever more complex global business landscape. AI must not be regarded as a technological solution, but as a strategic asset that needs a knowledgeable, proactive leadership.</w:t>
      </w:r>
    </w:p>
    <w:p w14:paraId="2FF98BB3" w14:textId="77777777" w:rsidR="00FF7E78" w:rsidRDefault="002B2278">
      <w:pPr>
        <w:rPr>
          <w:rFonts w:ascii="Times New Roman" w:eastAsia="Times New Roman" w:hAnsi="Times New Roman" w:cs="Times New Roman"/>
          <w:b/>
          <w:bCs/>
          <w:sz w:val="24"/>
          <w:szCs w:val="24"/>
        </w:rPr>
      </w:pPr>
      <w:bookmarkStart w:id="39" w:name="_heading=h.j8mb5n9o7900" w:colFirst="0" w:colLast="0"/>
      <w:bookmarkEnd w:id="39"/>
      <w:r>
        <w:br w:type="page"/>
      </w:r>
    </w:p>
    <w:p w14:paraId="13711CF5" w14:textId="77777777" w:rsidR="00FF7E78" w:rsidRDefault="002B2278">
      <w:pPr>
        <w:pStyle w:val="Heading1"/>
        <w:spacing w:after="240"/>
        <w:rPr>
          <w:color w:val="000000"/>
        </w:rPr>
      </w:pPr>
      <w:r>
        <w:rPr>
          <w:color w:val="000000"/>
        </w:rPr>
        <w:t>References</w:t>
      </w:r>
    </w:p>
    <w:p w14:paraId="7570AF0E" w14:textId="77777777" w:rsidR="00FF7E78" w:rsidRDefault="00FF7E78">
      <w:pPr>
        <w:spacing w:line="360" w:lineRule="auto"/>
        <w:jc w:val="both"/>
        <w:rPr>
          <w:rFonts w:ascii="Times New Roman" w:eastAsia="Times New Roman" w:hAnsi="Times New Roman" w:cs="Times New Roman"/>
          <w:sz w:val="24"/>
          <w:szCs w:val="24"/>
        </w:rPr>
      </w:pPr>
    </w:p>
    <w:p w14:paraId="7EF893EF" w14:textId="77777777" w:rsidR="00FF7E78" w:rsidRDefault="00FF7E78">
      <w:pPr>
        <w:spacing w:line="360" w:lineRule="auto"/>
        <w:jc w:val="both"/>
        <w:rPr>
          <w:rFonts w:ascii="Times New Roman" w:eastAsia="Times New Roman" w:hAnsi="Times New Roman" w:cs="Times New Roman"/>
          <w:sz w:val="24"/>
          <w:szCs w:val="24"/>
          <w:highlight w:val="white"/>
        </w:rPr>
      </w:pPr>
    </w:p>
    <w:p w14:paraId="21502E96"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Abisoye, A. and Akerele, J.I., 2022. A practical framework for advancing cybersecurity, artificial intelligence and technological ecosystems to support regional economic development and innovation. </w:t>
      </w:r>
      <w:r>
        <w:rPr>
          <w:rFonts w:ascii="Times New Roman" w:eastAsia="Times New Roman" w:hAnsi="Times New Roman" w:cs="Times New Roman"/>
          <w:i/>
          <w:iCs/>
          <w:sz w:val="24"/>
          <w:szCs w:val="24"/>
          <w:highlight w:val="white"/>
        </w:rPr>
        <w:t>Int J Multidiscip Res Growth Eval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 xml:space="preserve">(1), pp.700-13. </w:t>
      </w:r>
    </w:p>
    <w:p w14:paraId="1C180696"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Acemoglu, D., 2025. The simple macroeconomics of AI. </w:t>
      </w:r>
      <w:r>
        <w:rPr>
          <w:rFonts w:ascii="Times New Roman" w:eastAsia="Times New Roman" w:hAnsi="Times New Roman" w:cs="Times New Roman"/>
          <w:i/>
          <w:iCs/>
          <w:sz w:val="24"/>
          <w:szCs w:val="24"/>
          <w:highlight w:val="white"/>
        </w:rPr>
        <w:t>Economic Policy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40</w:t>
      </w:r>
      <w:r>
        <w:rPr>
          <w:rFonts w:ascii="Times New Roman" w:eastAsia="Times New Roman" w:hAnsi="Times New Roman" w:cs="Times New Roman"/>
          <w:sz w:val="24"/>
          <w:szCs w:val="24"/>
          <w:highlight w:val="white"/>
        </w:rPr>
        <w:t>(121), pp.13-58.</w:t>
      </w:r>
    </w:p>
    <w:p w14:paraId="60C17704" w14:textId="77777777" w:rsidR="00FF7E78" w:rsidRDefault="002B2278">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Ahmed, M.Z., Singh, A., Paul, A., Ghosh, S. and Chaudhuri, A.K., 2022. Amazon product recommendation system. </w:t>
      </w:r>
      <w:r>
        <w:rPr>
          <w:rFonts w:ascii="Times New Roman" w:eastAsia="Times New Roman" w:hAnsi="Times New Roman" w:cs="Times New Roman"/>
          <w:i/>
          <w:iCs/>
          <w:sz w:val="24"/>
          <w:szCs w:val="24"/>
          <w:highlight w:val="white"/>
        </w:rPr>
        <w:t>International Journal of Advanced Research in Computer and Communication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(3).</w:t>
      </w:r>
      <w:r>
        <w:rPr>
          <w:rFonts w:ascii="Times New Roman" w:eastAsia="Times New Roman" w:hAnsi="Times New Roman" w:cs="Times New Roman"/>
          <w:sz w:val="24"/>
          <w:szCs w:val="24"/>
        </w:rPr>
        <w:t xml:space="preserve"> </w:t>
      </w:r>
    </w:p>
    <w:p w14:paraId="78FFBC13" w14:textId="77777777" w:rsidR="00FF7E78" w:rsidRDefault="002B22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Ahn, Y., 2025. </w:t>
      </w:r>
      <w:r>
        <w:rPr>
          <w:rFonts w:ascii="Times New Roman" w:eastAsia="Times New Roman" w:hAnsi="Times New Roman" w:cs="Times New Roman"/>
          <w:i/>
          <w:iCs/>
          <w:sz w:val="24"/>
          <w:szCs w:val="24"/>
          <w:highlight w:val="white"/>
        </w:rPr>
        <w:t>Countering Algorithmic Bias and Stereotypes With Human-Centric Interactive Systems and Data-Driven Approaches</w:t>
      </w:r>
      <w:r>
        <w:rPr>
          <w:rFonts w:ascii="Times New Roman" w:eastAsia="Times New Roman" w:hAnsi="Times New Roman" w:cs="Times New Roman"/>
          <w:sz w:val="24"/>
          <w:szCs w:val="24"/>
          <w:highlight w:val="white"/>
        </w:rPr>
        <w:t xml:space="preserve"> (Doctoral dissertation, University of Pittsburgh).</w:t>
      </w:r>
      <w:r>
        <w:rPr>
          <w:rFonts w:ascii="Times New Roman" w:eastAsia="Times New Roman" w:hAnsi="Times New Roman" w:cs="Times New Roman"/>
          <w:sz w:val="24"/>
          <w:szCs w:val="24"/>
        </w:rPr>
        <w:t xml:space="preserve"> </w:t>
      </w:r>
    </w:p>
    <w:p w14:paraId="05DF2D20"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Alabi, M., 2023. Data governance and quality: Ensuring data reliability and trustworthiness. </w:t>
      </w:r>
      <w:r>
        <w:rPr>
          <w:rFonts w:ascii="Times New Roman" w:eastAsia="Times New Roman" w:hAnsi="Times New Roman" w:cs="Times New Roman"/>
          <w:i/>
          <w:iCs/>
          <w:sz w:val="24"/>
          <w:szCs w:val="24"/>
          <w:highlight w:val="white"/>
        </w:rPr>
        <w:t>ResearchGate</w:t>
      </w:r>
      <w:r>
        <w:rPr>
          <w:rFonts w:ascii="Times New Roman" w:eastAsia="Times New Roman" w:hAnsi="Times New Roman" w:cs="Times New Roman"/>
          <w:sz w:val="24"/>
          <w:szCs w:val="24"/>
          <w:highlight w:val="white"/>
        </w:rPr>
        <w:t>.</w:t>
      </w:r>
    </w:p>
    <w:p w14:paraId="5DD2E0A4"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Aldoseri, A., Al-Khalifa, K.N. and Hamouda, A.M., 2024. AI-powered innovation in digital transformation: Key pillars and industry impact.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highlight w:val="white"/>
        </w:rPr>
        <w:t>(5), p.1790.</w:t>
      </w:r>
    </w:p>
    <w:p w14:paraId="7E00E05F"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Apooyin, A., 2025. Risk management and compliance in a globalized economy: Navigating regulatory challenges and strategic adaptations. </w:t>
      </w:r>
      <w:r>
        <w:rPr>
          <w:rFonts w:ascii="Times New Roman" w:eastAsia="Times New Roman" w:hAnsi="Times New Roman" w:cs="Times New Roman"/>
          <w:i/>
          <w:iCs/>
          <w:sz w:val="24"/>
          <w:szCs w:val="24"/>
          <w:highlight w:val="white"/>
        </w:rPr>
        <w:t>International Journal of Science and Research Archive</w:t>
      </w:r>
      <w:r>
        <w:rPr>
          <w:rFonts w:ascii="Times New Roman" w:eastAsia="Times New Roman" w:hAnsi="Times New Roman" w:cs="Times New Roman"/>
          <w:sz w:val="24"/>
          <w:szCs w:val="24"/>
          <w:highlight w:val="white"/>
        </w:rPr>
        <w:t xml:space="preserve">, </w:t>
      </w:r>
    </w:p>
    <w:p w14:paraId="02AC92D4"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Appiah, R.I., 2025. Corporate Strategies for Successful Workforce Upskilling and Reskilling in Response to AI Adoption-What Works, What Does not, and Why. </w:t>
      </w:r>
      <w:r>
        <w:rPr>
          <w:rFonts w:ascii="Times New Roman" w:eastAsia="Times New Roman" w:hAnsi="Times New Roman" w:cs="Times New Roman"/>
          <w:i/>
          <w:iCs/>
          <w:sz w:val="24"/>
          <w:szCs w:val="24"/>
          <w:highlight w:val="white"/>
        </w:rPr>
        <w:t>International Journal of Emerging Research in Engineering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(1), pp.91-99.</w:t>
      </w:r>
      <w:r>
        <w:rPr>
          <w:rFonts w:ascii="Times New Roman" w:eastAsia="Times New Roman" w:hAnsi="Times New Roman" w:cs="Times New Roman"/>
          <w:sz w:val="24"/>
          <w:szCs w:val="24"/>
        </w:rPr>
        <w:t xml:space="preserve"> </w:t>
      </w:r>
    </w:p>
    <w:p w14:paraId="31897B4D" w14:textId="77777777" w:rsidR="00FF7E78" w:rsidRDefault="002B2278">
      <w:pPr>
        <w:spacing w:line="360" w:lineRule="auto"/>
        <w:jc w:val="both"/>
        <w:rPr>
          <w:rFonts w:ascii="Times New Roman" w:eastAsia="Times New Roman" w:hAnsi="Times New Roman" w:cs="Times New Roman"/>
          <w:i/>
          <w:iCs/>
          <w:sz w:val="24"/>
          <w:szCs w:val="24"/>
          <w:highlight w:val="white"/>
        </w:rPr>
      </w:pPr>
      <w:r>
        <w:rPr>
          <w:rFonts w:ascii="Times New Roman" w:eastAsia="Times New Roman" w:hAnsi="Times New Roman" w:cs="Times New Roman"/>
          <w:sz w:val="24"/>
          <w:szCs w:val="24"/>
          <w:highlight w:val="white"/>
        </w:rPr>
        <w:t xml:space="preserve">Bleher, H. and Braun, M., 2023. Reflections on putting AI ethics into practice: How three AI ethics approaches conceptualize theory and practice. </w:t>
      </w:r>
      <w:r>
        <w:rPr>
          <w:rFonts w:ascii="Times New Roman" w:eastAsia="Times New Roman" w:hAnsi="Times New Roman" w:cs="Times New Roman"/>
          <w:i/>
          <w:iCs/>
          <w:sz w:val="24"/>
          <w:szCs w:val="24"/>
          <w:highlight w:val="white"/>
        </w:rPr>
        <w:t>Science and Engineering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29</w:t>
      </w:r>
      <w:r>
        <w:rPr>
          <w:rFonts w:ascii="Times New Roman" w:eastAsia="Times New Roman" w:hAnsi="Times New Roman" w:cs="Times New Roman"/>
          <w:sz w:val="24"/>
          <w:szCs w:val="24"/>
          <w:highlight w:val="white"/>
        </w:rPr>
        <w:t>(3), p.21.</w:t>
      </w:r>
      <w:r>
        <w:rPr>
          <w:rFonts w:ascii="Times New Roman" w:eastAsia="Times New Roman" w:hAnsi="Times New Roman" w:cs="Times New Roman"/>
          <w:i/>
          <w:iCs/>
          <w:sz w:val="24"/>
          <w:szCs w:val="24"/>
          <w:highlight w:val="white"/>
        </w:rPr>
        <w:t xml:space="preserve"> 15</w:t>
      </w:r>
      <w:r>
        <w:rPr>
          <w:rFonts w:ascii="Times New Roman" w:eastAsia="Times New Roman" w:hAnsi="Times New Roman" w:cs="Times New Roman"/>
          <w:sz w:val="24"/>
          <w:szCs w:val="24"/>
          <w:highlight w:val="white"/>
        </w:rPr>
        <w:t>(10.30574).</w:t>
      </w:r>
      <w:r>
        <w:rPr>
          <w:rFonts w:ascii="Times New Roman" w:eastAsia="Times New Roman" w:hAnsi="Times New Roman" w:cs="Times New Roman"/>
          <w:sz w:val="24"/>
          <w:szCs w:val="24"/>
        </w:rPr>
        <w:t xml:space="preserve"> </w:t>
      </w:r>
    </w:p>
    <w:p w14:paraId="024BF9DE"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Bolatbekkyzy, G., 2024. Legal issues of Cross-Border data transfer in the era of digital government. </w:t>
      </w:r>
      <w:r>
        <w:rPr>
          <w:rFonts w:ascii="Times New Roman" w:eastAsia="Times New Roman" w:hAnsi="Times New Roman" w:cs="Times New Roman"/>
          <w:i/>
          <w:iCs/>
          <w:sz w:val="24"/>
          <w:szCs w:val="24"/>
          <w:highlight w:val="white"/>
        </w:rPr>
        <w:t>Journal of Digital Technologies and Law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(2), pp.286-307.</w:t>
      </w:r>
    </w:p>
    <w:p w14:paraId="37BD694E"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Chinnaraju, A., 2025. Explainable AI (XAI) for trustworthy and transparent decision-making: A theoretical framework for AI interpretability. </w:t>
      </w:r>
      <w:r>
        <w:rPr>
          <w:rFonts w:ascii="Times New Roman" w:eastAsia="Times New Roman" w:hAnsi="Times New Roman" w:cs="Times New Roman"/>
          <w:i/>
          <w:iCs/>
          <w:sz w:val="24"/>
          <w:szCs w:val="24"/>
          <w:highlight w:val="white"/>
        </w:rPr>
        <w:t>World Journal of Advanced Engineering Technology and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(3), pp.170-207.</w:t>
      </w:r>
    </w:p>
    <w:p w14:paraId="787D9CE4"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Dong, B. and Zhang, Z., 2024. AI-driven framework for compliance risk assessment in cross-border payments: Multi-jurisdictional challenges and response strategies. </w:t>
      </w:r>
      <w:r>
        <w:rPr>
          <w:rFonts w:ascii="Times New Roman" w:eastAsia="Times New Roman" w:hAnsi="Times New Roman" w:cs="Times New Roman"/>
          <w:i/>
          <w:iCs/>
          <w:sz w:val="24"/>
          <w:szCs w:val="24"/>
          <w:highlight w:val="white"/>
        </w:rPr>
        <w:t>Spectrum of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rPr>
        <w:t xml:space="preserve"> </w:t>
      </w:r>
    </w:p>
    <w:p w14:paraId="05F8D995"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Dzreke, S.S., 2025. Preventing complaints before they happen: How AI-driven sentiment analysis enables proactive service recovery. </w:t>
      </w:r>
      <w:r>
        <w:rPr>
          <w:rFonts w:ascii="Times New Roman" w:eastAsia="Times New Roman" w:hAnsi="Times New Roman" w:cs="Times New Roman"/>
          <w:i/>
          <w:iCs/>
          <w:sz w:val="24"/>
          <w:szCs w:val="24"/>
          <w:highlight w:val="white"/>
        </w:rPr>
        <w:t>Advanced Research Journal</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36BFDB42"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Folorunso, A., Wada, I., Samuel, B. and Mohammed, V., 2024. Security compliance and its implication for cybersecurity. </w:t>
      </w:r>
      <w:r>
        <w:rPr>
          <w:rFonts w:ascii="Times New Roman" w:eastAsia="Times New Roman" w:hAnsi="Times New Roman" w:cs="Times New Roman"/>
          <w:i/>
          <w:iCs/>
          <w:sz w:val="24"/>
          <w:szCs w:val="24"/>
          <w:highlight w:val="white"/>
        </w:rPr>
        <w:t>World Journal of Advanced Research and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24</w:t>
      </w:r>
      <w:r>
        <w:rPr>
          <w:rFonts w:ascii="Times New Roman" w:eastAsia="Times New Roman" w:hAnsi="Times New Roman" w:cs="Times New Roman"/>
          <w:sz w:val="24"/>
          <w:szCs w:val="24"/>
          <w:highlight w:val="white"/>
        </w:rPr>
        <w:t>(01), pp.2105-2121.</w:t>
      </w:r>
      <w:r>
        <w:rPr>
          <w:rFonts w:ascii="Times New Roman" w:eastAsia="Times New Roman" w:hAnsi="Times New Roman" w:cs="Times New Roman"/>
          <w:sz w:val="24"/>
          <w:szCs w:val="24"/>
        </w:rPr>
        <w:t xml:space="preserve"> </w:t>
      </w:r>
    </w:p>
    <w:p w14:paraId="794B3A4E"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Frimpong, V. and Botchey, O.K., 2026. Where Are the AI Governance Roles? An Early-Stage Empirical Mapping of Presence, Absence, and Structure in Organisational AI Oversight. </w:t>
      </w:r>
      <w:r>
        <w:rPr>
          <w:rFonts w:ascii="Times New Roman" w:eastAsia="Times New Roman" w:hAnsi="Times New Roman" w:cs="Times New Roman"/>
          <w:i/>
          <w:iCs/>
          <w:sz w:val="24"/>
          <w:szCs w:val="24"/>
          <w:highlight w:val="white"/>
        </w:rPr>
        <w:t>Businesses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(2), p.18.</w:t>
      </w:r>
      <w:r>
        <w:rPr>
          <w:rFonts w:ascii="Times New Roman" w:eastAsia="Times New Roman" w:hAnsi="Times New Roman" w:cs="Times New Roman"/>
          <w:sz w:val="24"/>
          <w:szCs w:val="24"/>
        </w:rPr>
        <w:t xml:space="preserve"> </w:t>
      </w:r>
    </w:p>
    <w:p w14:paraId="5608BF8A"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Gbabo, E.Y., Okenwa, O.K. and Chima, P.E., 2022. Developing KPI-driven reporting frameworks for governance in regulated infrastructure environments. </w:t>
      </w:r>
      <w:r>
        <w:rPr>
          <w:rFonts w:ascii="Times New Roman" w:eastAsia="Times New Roman" w:hAnsi="Times New Roman" w:cs="Times New Roman"/>
          <w:i/>
          <w:iCs/>
          <w:sz w:val="24"/>
          <w:szCs w:val="24"/>
          <w:highlight w:val="white"/>
        </w:rPr>
        <w:t>International Journal of Multidisciplinary Research and Growth Evaluation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(2), pp.753-759.</w:t>
      </w:r>
      <w:r>
        <w:rPr>
          <w:rFonts w:ascii="Times New Roman" w:eastAsia="Times New Roman" w:hAnsi="Times New Roman" w:cs="Times New Roman"/>
          <w:sz w:val="24"/>
          <w:szCs w:val="24"/>
        </w:rPr>
        <w:t xml:space="preserve"> </w:t>
      </w:r>
    </w:p>
    <w:p w14:paraId="28A8FF0E"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Gonçalves, M.E., 2020. The risk-based approach under the new EU data protection regulation: a critical perspective. </w:t>
      </w:r>
      <w:r>
        <w:rPr>
          <w:rFonts w:ascii="Times New Roman" w:eastAsia="Times New Roman" w:hAnsi="Times New Roman" w:cs="Times New Roman"/>
          <w:i/>
          <w:iCs/>
          <w:sz w:val="24"/>
          <w:szCs w:val="24"/>
          <w:highlight w:val="white"/>
        </w:rPr>
        <w:t>Journal of Risk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w:t>
      </w:r>
      <w:r>
        <w:rPr>
          <w:rFonts w:ascii="Times New Roman" w:eastAsia="Times New Roman" w:hAnsi="Times New Roman" w:cs="Times New Roman"/>
          <w:sz w:val="24"/>
          <w:szCs w:val="24"/>
          <w:highlight w:val="white"/>
        </w:rPr>
        <w:t>(2), pp.139-152.</w:t>
      </w:r>
      <w:r>
        <w:rPr>
          <w:rFonts w:ascii="Times New Roman" w:eastAsia="Times New Roman" w:hAnsi="Times New Roman" w:cs="Times New Roman"/>
          <w:sz w:val="24"/>
          <w:szCs w:val="24"/>
        </w:rPr>
        <w:t xml:space="preserve"> </w:t>
      </w:r>
    </w:p>
    <w:p w14:paraId="764D8177"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Gregory, G., Li, Y. and Solanki, V., 2026. Executive insights in the age of AI and global disruption: Navigating change, technology, and strategy. </w:t>
      </w:r>
      <w:r>
        <w:rPr>
          <w:rFonts w:ascii="Times New Roman" w:eastAsia="Times New Roman" w:hAnsi="Times New Roman" w:cs="Times New Roman"/>
          <w:i/>
          <w:iCs/>
          <w:sz w:val="24"/>
          <w:szCs w:val="24"/>
          <w:highlight w:val="white"/>
        </w:rPr>
        <w:t>Journal of International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34</w:t>
      </w:r>
      <w:r>
        <w:rPr>
          <w:rFonts w:ascii="Times New Roman" w:eastAsia="Times New Roman" w:hAnsi="Times New Roman" w:cs="Times New Roman"/>
          <w:sz w:val="24"/>
          <w:szCs w:val="24"/>
          <w:highlight w:val="white"/>
        </w:rPr>
        <w:t>(1), pp.34-46.</w:t>
      </w:r>
    </w:p>
    <w:p w14:paraId="166CBA14"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Gudepu, B.K. and Eichler, R., 2024. The role of AI in enhancing data governance strategies. </w:t>
      </w:r>
      <w:r>
        <w:rPr>
          <w:rFonts w:ascii="Times New Roman" w:eastAsia="Times New Roman" w:hAnsi="Times New Roman" w:cs="Times New Roman"/>
          <w:i/>
          <w:iCs/>
          <w:sz w:val="24"/>
          <w:szCs w:val="24"/>
          <w:highlight w:val="white"/>
        </w:rPr>
        <w:t>International Journal of Acta Informatica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(1), pp.169-186.</w:t>
      </w:r>
    </w:p>
    <w:p w14:paraId="642B50E1"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H.E. and Langenbucher, K., 2025. The Regulation of Technological Innovation in Financial Services: A Comparative Approach with Respect to Digital Assets and Artificial Intelligence. </w:t>
      </w:r>
      <w:r>
        <w:rPr>
          <w:rFonts w:ascii="Times New Roman" w:eastAsia="Times New Roman" w:hAnsi="Times New Roman" w:cs="Times New Roman"/>
          <w:i/>
          <w:iCs/>
          <w:sz w:val="24"/>
          <w:szCs w:val="24"/>
          <w:highlight w:val="white"/>
        </w:rPr>
        <w:t>Law &amp; Contemp. Probs.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88</w:t>
      </w:r>
      <w:r>
        <w:rPr>
          <w:rFonts w:ascii="Times New Roman" w:eastAsia="Times New Roman" w:hAnsi="Times New Roman" w:cs="Times New Roman"/>
          <w:sz w:val="24"/>
          <w:szCs w:val="24"/>
          <w:highlight w:val="white"/>
        </w:rPr>
        <w:t>, p.77.</w:t>
      </w:r>
      <w:r>
        <w:rPr>
          <w:rFonts w:ascii="Times New Roman" w:eastAsia="Times New Roman" w:hAnsi="Times New Roman" w:cs="Times New Roman"/>
          <w:sz w:val="24"/>
          <w:szCs w:val="24"/>
        </w:rPr>
        <w:t xml:space="preserve"> </w:t>
      </w:r>
    </w:p>
    <w:p w14:paraId="6CCAA9BE"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Jacob, D.E. and Jacob, I.D., 2025. Toward a Harmonized Future: Regional Innovation Systems, Global Standards, and the Path to Sustainable Development. </w:t>
      </w:r>
      <w:r>
        <w:rPr>
          <w:rFonts w:ascii="Times New Roman" w:eastAsia="Times New Roman" w:hAnsi="Times New Roman" w:cs="Times New Roman"/>
          <w:i/>
          <w:iCs/>
          <w:sz w:val="24"/>
          <w:szCs w:val="24"/>
          <w:highlight w:val="white"/>
        </w:rPr>
        <w:t>Standards-related Regional Innovation and International Cooperation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pp.14-33.</w:t>
      </w:r>
      <w:r>
        <w:rPr>
          <w:rFonts w:ascii="Times New Roman" w:eastAsia="Times New Roman" w:hAnsi="Times New Roman" w:cs="Times New Roman"/>
          <w:sz w:val="24"/>
          <w:szCs w:val="24"/>
        </w:rPr>
        <w:t xml:space="preserve"> </w:t>
      </w:r>
    </w:p>
    <w:p w14:paraId="35DECE58"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Jonnala, A., 2024. Transforming customer experience with digital voice assistants. </w:t>
      </w:r>
      <w:r>
        <w:rPr>
          <w:rFonts w:ascii="Times New Roman" w:eastAsia="Times New Roman" w:hAnsi="Times New Roman" w:cs="Times New Roman"/>
          <w:i/>
          <w:iCs/>
          <w:sz w:val="24"/>
          <w:szCs w:val="24"/>
          <w:highlight w:val="white"/>
        </w:rPr>
        <w:t>Computer Science and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(3), pp.67-74.</w:t>
      </w:r>
    </w:p>
    <w:p w14:paraId="3F9EC43C"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Kashefi, P., Kashefi, Y. and Ghafouri Mirsaraei, A., 2024. Shaping the future of AI: balancing innovation and ethics in global regulation. </w:t>
      </w:r>
      <w:r>
        <w:rPr>
          <w:rFonts w:ascii="Times New Roman" w:eastAsia="Times New Roman" w:hAnsi="Times New Roman" w:cs="Times New Roman"/>
          <w:i/>
          <w:iCs/>
          <w:sz w:val="24"/>
          <w:szCs w:val="24"/>
          <w:highlight w:val="white"/>
        </w:rPr>
        <w:t>Uniform Law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29</w:t>
      </w:r>
      <w:r>
        <w:rPr>
          <w:rFonts w:ascii="Times New Roman" w:eastAsia="Times New Roman" w:hAnsi="Times New Roman" w:cs="Times New Roman"/>
          <w:sz w:val="24"/>
          <w:szCs w:val="24"/>
          <w:highlight w:val="white"/>
        </w:rPr>
        <w:t>(3), pp.524-548.</w:t>
      </w:r>
      <w:r>
        <w:rPr>
          <w:rFonts w:ascii="Times New Roman" w:eastAsia="Times New Roman" w:hAnsi="Times New Roman" w:cs="Times New Roman"/>
          <w:sz w:val="24"/>
          <w:szCs w:val="24"/>
        </w:rPr>
        <w:t xml:space="preserve"> </w:t>
      </w:r>
    </w:p>
    <w:p w14:paraId="48DB0976"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Kehinde, O., 2025. Leveraging data-driven decision-making for enhanced risk management and resource allocation in projects. </w:t>
      </w:r>
      <w:r>
        <w:rPr>
          <w:rFonts w:ascii="Times New Roman" w:eastAsia="Times New Roman" w:hAnsi="Times New Roman" w:cs="Times New Roman"/>
          <w:i/>
          <w:iCs/>
          <w:sz w:val="24"/>
          <w:szCs w:val="24"/>
          <w:highlight w:val="white"/>
        </w:rPr>
        <w:t>International Journal of Computer Applications Technology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(2), pp.1-17.</w:t>
      </w:r>
    </w:p>
    <w:p w14:paraId="1606E1A4"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Labadie, C. and Legner, C., 2023. Building data management capabilities to address data protection regulations: Learnings from EU-GDPR. </w:t>
      </w:r>
      <w:r>
        <w:rPr>
          <w:rFonts w:ascii="Times New Roman" w:eastAsia="Times New Roman" w:hAnsi="Times New Roman" w:cs="Times New Roman"/>
          <w:i/>
          <w:iCs/>
          <w:sz w:val="24"/>
          <w:szCs w:val="24"/>
          <w:highlight w:val="white"/>
        </w:rPr>
        <w:t>Journal of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38</w:t>
      </w:r>
      <w:r>
        <w:rPr>
          <w:rFonts w:ascii="Times New Roman" w:eastAsia="Times New Roman" w:hAnsi="Times New Roman" w:cs="Times New Roman"/>
          <w:sz w:val="24"/>
          <w:szCs w:val="24"/>
          <w:highlight w:val="white"/>
        </w:rPr>
        <w:t>(1), pp.16-44.</w:t>
      </w:r>
      <w:r>
        <w:rPr>
          <w:rFonts w:ascii="Times New Roman" w:eastAsia="Times New Roman" w:hAnsi="Times New Roman" w:cs="Times New Roman"/>
          <w:sz w:val="24"/>
          <w:szCs w:val="24"/>
        </w:rPr>
        <w:t xml:space="preserve"> </w:t>
      </w:r>
    </w:p>
    <w:p w14:paraId="210B0807"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Liu, C. and Babar, M.A., 2026. Corporate cybersecurity risk and data breaches: A systematic review of empirical research. </w:t>
      </w:r>
      <w:r>
        <w:rPr>
          <w:rFonts w:ascii="Times New Roman" w:eastAsia="Times New Roman" w:hAnsi="Times New Roman" w:cs="Times New Roman"/>
          <w:i/>
          <w:iCs/>
          <w:sz w:val="24"/>
          <w:szCs w:val="24"/>
          <w:highlight w:val="white"/>
        </w:rPr>
        <w:t>Australian 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51</w:t>
      </w:r>
      <w:r>
        <w:rPr>
          <w:rFonts w:ascii="Times New Roman" w:eastAsia="Times New Roman" w:hAnsi="Times New Roman" w:cs="Times New Roman"/>
          <w:sz w:val="24"/>
          <w:szCs w:val="24"/>
          <w:highlight w:val="white"/>
        </w:rPr>
        <w:t>(1), pp.62-92.</w:t>
      </w:r>
      <w:r>
        <w:rPr>
          <w:rFonts w:ascii="Times New Roman" w:eastAsia="Times New Roman" w:hAnsi="Times New Roman" w:cs="Times New Roman"/>
          <w:sz w:val="24"/>
          <w:szCs w:val="24"/>
        </w:rPr>
        <w:t xml:space="preserve"> </w:t>
      </w:r>
    </w:p>
    <w:p w14:paraId="3F3FB7E7"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McGee, F., 2024. Approaching emergent risks: An exploratory study into artificial intelligence risk management within financial organisations. </w:t>
      </w:r>
      <w:r>
        <w:rPr>
          <w:rFonts w:ascii="Times New Roman" w:eastAsia="Times New Roman" w:hAnsi="Times New Roman" w:cs="Times New Roman"/>
          <w:i/>
          <w:iCs/>
          <w:sz w:val="24"/>
          <w:szCs w:val="24"/>
          <w:highlight w:val="white"/>
        </w:rPr>
        <w:t>arXiv preprint arXiv:2404.05847</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0A7EFE13"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Mercurio, B. and Yu, R., 2022. </w:t>
      </w:r>
      <w:r>
        <w:rPr>
          <w:rFonts w:ascii="Times New Roman" w:eastAsia="Times New Roman" w:hAnsi="Times New Roman" w:cs="Times New Roman"/>
          <w:i/>
          <w:iCs/>
          <w:sz w:val="24"/>
          <w:szCs w:val="24"/>
          <w:highlight w:val="white"/>
        </w:rPr>
        <w:t>Regulating Cross-Border Data Flows: Issues, Challenges and Impact</w:t>
      </w:r>
      <w:r>
        <w:rPr>
          <w:rFonts w:ascii="Times New Roman" w:eastAsia="Times New Roman" w:hAnsi="Times New Roman" w:cs="Times New Roman"/>
          <w:sz w:val="24"/>
          <w:szCs w:val="24"/>
          <w:highlight w:val="white"/>
        </w:rPr>
        <w:t>. Anthem Press.</w:t>
      </w:r>
    </w:p>
    <w:p w14:paraId="44E5DA9F" w14:textId="77777777" w:rsidR="00FF7E78" w:rsidRDefault="002B227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highlight w:val="white"/>
        </w:rPr>
        <w:t xml:space="preserve">Min, A., 2023. ARTIFICIAL INTELLIGENCE AND BIAS: CHALLENGES, IMPLICATIONS, AND REMEDIES. </w:t>
      </w:r>
      <w:r>
        <w:rPr>
          <w:rFonts w:ascii="Times New Roman" w:eastAsia="Times New Roman" w:hAnsi="Times New Roman" w:cs="Times New Roman"/>
          <w:i/>
          <w:iCs/>
          <w:sz w:val="24"/>
          <w:szCs w:val="24"/>
          <w:highlight w:val="white"/>
        </w:rPr>
        <w:t>Journal of Social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(11).</w:t>
      </w:r>
    </w:p>
    <w:p w14:paraId="4100D6AF"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Mökander, J., 2023. Auditing of AI: Legal, ethical and technical approaches. </w:t>
      </w:r>
      <w:r>
        <w:rPr>
          <w:rFonts w:ascii="Times New Roman" w:eastAsia="Times New Roman" w:hAnsi="Times New Roman" w:cs="Times New Roman"/>
          <w:i/>
          <w:iCs/>
          <w:sz w:val="24"/>
          <w:szCs w:val="24"/>
          <w:highlight w:val="white"/>
        </w:rPr>
        <w:t>Digital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(3), p.49.</w:t>
      </w:r>
      <w:r>
        <w:rPr>
          <w:rFonts w:ascii="Times New Roman" w:eastAsia="Times New Roman" w:hAnsi="Times New Roman" w:cs="Times New Roman"/>
          <w:sz w:val="24"/>
          <w:szCs w:val="24"/>
        </w:rPr>
        <w:t xml:space="preserve"> </w:t>
      </w:r>
    </w:p>
    <w:p w14:paraId="5838D801"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Noah, A., Moon, L. and John, A., 2024. The consequences of non-compliance with data protection regulations on business analytics. </w:t>
      </w:r>
      <w:r>
        <w:rPr>
          <w:rFonts w:ascii="Times New Roman" w:eastAsia="Times New Roman" w:hAnsi="Times New Roman" w:cs="Times New Roman"/>
          <w:i/>
          <w:iCs/>
          <w:sz w:val="24"/>
          <w:szCs w:val="24"/>
          <w:highlight w:val="white"/>
        </w:rPr>
        <w:t>Business Analytics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(4), pp.233-245.</w:t>
      </w:r>
      <w:r>
        <w:rPr>
          <w:rFonts w:ascii="Times New Roman" w:eastAsia="Times New Roman" w:hAnsi="Times New Roman" w:cs="Times New Roman"/>
          <w:sz w:val="24"/>
          <w:szCs w:val="24"/>
        </w:rPr>
        <w:t xml:space="preserve"> </w:t>
      </w:r>
    </w:p>
    <w:p w14:paraId="17C395CD"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Nwoke, J., 2025. Harnessing predictive analytics, machine learning, and scenario modeling to enhance enterprise-wide strategic decision-making. </w:t>
      </w:r>
      <w:r>
        <w:rPr>
          <w:rFonts w:ascii="Times New Roman" w:eastAsia="Times New Roman" w:hAnsi="Times New Roman" w:cs="Times New Roman"/>
          <w:i/>
          <w:iCs/>
          <w:sz w:val="24"/>
          <w:szCs w:val="24"/>
          <w:highlight w:val="white"/>
        </w:rPr>
        <w:t>International Journal of Computer Applications Technology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(4), pp.123-136.</w:t>
      </w:r>
    </w:p>
    <w:p w14:paraId="4556A17B"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Oye, E. and Matthew, A., 2024. AI-Driven Cloud Evolution: Transforming Infrastructure for Future-Ready Solutions.</w:t>
      </w:r>
      <w:r>
        <w:rPr>
          <w:rFonts w:ascii="Times New Roman" w:eastAsia="Times New Roman" w:hAnsi="Times New Roman" w:cs="Times New Roman"/>
          <w:sz w:val="24"/>
          <w:szCs w:val="24"/>
        </w:rPr>
        <w:t xml:space="preserve"> </w:t>
      </w:r>
    </w:p>
    <w:p w14:paraId="277DB484" w14:textId="77777777" w:rsidR="00FF7E78" w:rsidRDefault="002B2278">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222222"/>
          <w:sz w:val="24"/>
          <w:szCs w:val="24"/>
          <w:highlight w:val="white"/>
        </w:rPr>
        <w:t xml:space="preserve">Rane, N., Choudhary, S. and Rane, J., 2024. Artificial intelligence driven approaches to strengthening Environmental, Social, and Governance (ESG) criteria in sustainable business practices: a review. </w:t>
      </w:r>
      <w:r>
        <w:rPr>
          <w:rFonts w:ascii="Times New Roman" w:eastAsia="Times New Roman" w:hAnsi="Times New Roman" w:cs="Times New Roman"/>
          <w:i/>
          <w:iCs/>
          <w:color w:val="222222"/>
          <w:sz w:val="24"/>
          <w:szCs w:val="24"/>
          <w:highlight w:val="white"/>
        </w:rPr>
        <w:t>Social, and Governance (ESG) criteria in sustainable business practices: a review (May 27, 2024)</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FF0000"/>
          <w:sz w:val="24"/>
          <w:szCs w:val="24"/>
        </w:rPr>
        <w:t xml:space="preserve"> </w:t>
      </w:r>
    </w:p>
    <w:p w14:paraId="1C82F4B6"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Ricciardi Celsi, L., 2023. The dilemma of rapid AI advancements: Striking a balance between innovation and regulation by pursuing risk-aware value creation. </w:t>
      </w:r>
      <w:r>
        <w:rPr>
          <w:rFonts w:ascii="Times New Roman" w:eastAsia="Times New Roman" w:hAnsi="Times New Roman" w:cs="Times New Roman"/>
          <w:i/>
          <w:iCs/>
          <w:sz w:val="24"/>
          <w:szCs w:val="24"/>
          <w:highlight w:val="white"/>
        </w:rPr>
        <w:t>Information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(12), p.645.</w:t>
      </w:r>
    </w:p>
    <w:p w14:paraId="66F2ABE7"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Sadiku, M.N., Ajayi, S.A. and Sadiku, J.O., 2026. Emerging Technologies in Logistics.</w:t>
      </w:r>
    </w:p>
    <w:p w14:paraId="06B9A931"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Saebah, N., 2025. AI-Based ESG Accounting: Transparency and Ethics Challenges in the Digital Era. </w:t>
      </w:r>
      <w:r>
        <w:rPr>
          <w:rFonts w:ascii="Times New Roman" w:eastAsia="Times New Roman" w:hAnsi="Times New Roman" w:cs="Times New Roman"/>
          <w:i/>
          <w:iCs/>
          <w:sz w:val="24"/>
          <w:szCs w:val="24"/>
          <w:highlight w:val="white"/>
        </w:rPr>
        <w:t>Accounting and Financial Analysis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(2), pp.33-38.</w:t>
      </w:r>
    </w:p>
    <w:p w14:paraId="1B9C8256"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S.K., 2024. Automating routine tasks to improve. </w:t>
      </w:r>
      <w:r>
        <w:rPr>
          <w:rFonts w:ascii="Times New Roman" w:eastAsia="Times New Roman" w:hAnsi="Times New Roman" w:cs="Times New Roman"/>
          <w:i/>
          <w:iCs/>
          <w:sz w:val="24"/>
          <w:szCs w:val="24"/>
          <w:highlight w:val="white"/>
        </w:rPr>
        <w:t>Improving entrepreneurial processes through advanced AI</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99</w:t>
      </w:r>
      <w:r>
        <w:rPr>
          <w:rFonts w:ascii="Times New Roman" w:eastAsia="Times New Roman" w:hAnsi="Times New Roman" w:cs="Times New Roman"/>
          <w:sz w:val="24"/>
          <w:szCs w:val="24"/>
          <w:highlight w:val="white"/>
        </w:rPr>
        <w:t>.</w:t>
      </w:r>
    </w:p>
    <w:p w14:paraId="5E40E64C"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Sornprom, N., 2024. Role of cloud computing &amp; artificial intelligence in the logistics &amp; supply chain industry. </w:t>
      </w:r>
      <w:r>
        <w:rPr>
          <w:rFonts w:ascii="Times New Roman" w:eastAsia="Times New Roman" w:hAnsi="Times New Roman" w:cs="Times New Roman"/>
          <w:i/>
          <w:iCs/>
          <w:color w:val="222222"/>
          <w:sz w:val="24"/>
          <w:szCs w:val="24"/>
          <w:highlight w:val="white"/>
        </w:rPr>
        <w:t>weather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(6).</w:t>
      </w:r>
      <w:r>
        <w:rPr>
          <w:rFonts w:ascii="Times New Roman" w:eastAsia="Times New Roman" w:hAnsi="Times New Roman" w:cs="Times New Roman"/>
          <w:sz w:val="24"/>
          <w:szCs w:val="24"/>
          <w:highlight w:val="white"/>
        </w:rPr>
        <w:t xml:space="preserve"> </w:t>
      </w:r>
    </w:p>
    <w:p w14:paraId="7ACFCF44"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Sundaram, S., 2025. Innovating for the Future: Sustainable Corporate Strategies for Workforce Upskilling and Reskilling. </w:t>
      </w:r>
      <w:r>
        <w:rPr>
          <w:rFonts w:ascii="Times New Roman" w:eastAsia="Times New Roman" w:hAnsi="Times New Roman" w:cs="Times New Roman"/>
          <w:i/>
          <w:iCs/>
          <w:sz w:val="24"/>
          <w:szCs w:val="24"/>
          <w:highlight w:val="white"/>
        </w:rPr>
        <w:t>International Journal of Research in Entrepreneurship &amp; Business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(3), pp.33-46</w:t>
      </w:r>
    </w:p>
    <w:p w14:paraId="114F65DB"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Sungkarungsri, P. and Kiattisin, S., 2026. When Advice Isn’t Trusted: Privacy, Transparency, and Accountability Risks Driving AI Mistrust and Consumer Resistance in Financial Advisory Services.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18</w:t>
      </w:r>
      <w:r>
        <w:rPr>
          <w:rFonts w:ascii="Times New Roman" w:eastAsia="Times New Roman" w:hAnsi="Times New Roman" w:cs="Times New Roman"/>
          <w:sz w:val="24"/>
          <w:szCs w:val="24"/>
          <w:highlight w:val="white"/>
        </w:rPr>
        <w:t>(3), p.1354.</w:t>
      </w:r>
      <w:r>
        <w:rPr>
          <w:rFonts w:ascii="Times New Roman" w:eastAsia="Times New Roman" w:hAnsi="Times New Roman" w:cs="Times New Roman"/>
          <w:sz w:val="24"/>
          <w:szCs w:val="24"/>
        </w:rPr>
        <w:t xml:space="preserve"> </w:t>
      </w:r>
    </w:p>
    <w:p w14:paraId="2E0349AB"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Suntsova, O., 2024. The Impact of “First-Mover Advantage” on Global Market Structure and Dynamics. </w:t>
      </w:r>
      <w:r>
        <w:rPr>
          <w:rFonts w:ascii="Times New Roman" w:eastAsia="Times New Roman" w:hAnsi="Times New Roman" w:cs="Times New Roman"/>
          <w:i/>
          <w:iCs/>
          <w:sz w:val="24"/>
          <w:szCs w:val="24"/>
          <w:highlight w:val="white"/>
        </w:rPr>
        <w:t>Available at SSRN 5125609</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4F2DE70F"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Tatarchenko, Y.M., 2025. Digital transformation of international business: the impact of artificial intelligence on the competitiveness of companies.</w:t>
      </w:r>
      <w:r>
        <w:rPr>
          <w:rFonts w:ascii="Times New Roman" w:eastAsia="Times New Roman" w:hAnsi="Times New Roman" w:cs="Times New Roman"/>
          <w:sz w:val="24"/>
          <w:szCs w:val="24"/>
        </w:rPr>
        <w:t xml:space="preserve"> </w:t>
      </w:r>
    </w:p>
    <w:p w14:paraId="2F05FE4C"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Tschider, C.A., 2020. Beyond the" black box". </w:t>
      </w:r>
      <w:r>
        <w:rPr>
          <w:rFonts w:ascii="Times New Roman" w:eastAsia="Times New Roman" w:hAnsi="Times New Roman" w:cs="Times New Roman"/>
          <w:i/>
          <w:iCs/>
          <w:sz w:val="24"/>
          <w:szCs w:val="24"/>
          <w:highlight w:val="white"/>
        </w:rPr>
        <w:t>Denv. L. Rev.</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98</w:t>
      </w:r>
      <w:r>
        <w:rPr>
          <w:rFonts w:ascii="Times New Roman" w:eastAsia="Times New Roman" w:hAnsi="Times New Roman" w:cs="Times New Roman"/>
          <w:sz w:val="24"/>
          <w:szCs w:val="24"/>
          <w:highlight w:val="white"/>
        </w:rPr>
        <w:t>, p.683.</w:t>
      </w:r>
    </w:p>
    <w:p w14:paraId="13F966E7" w14:textId="77777777" w:rsidR="00FF7E78" w:rsidRDefault="002B22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Turksen, U., Benson, V. and Adamyk, B., 2024. Legal implications of automated suspicious transaction monitoring: enhancing integrity of AI. </w:t>
      </w:r>
      <w:r>
        <w:rPr>
          <w:rFonts w:ascii="Times New Roman" w:eastAsia="Times New Roman" w:hAnsi="Times New Roman" w:cs="Times New Roman"/>
          <w:i/>
          <w:iCs/>
          <w:sz w:val="24"/>
          <w:szCs w:val="24"/>
          <w:highlight w:val="white"/>
        </w:rPr>
        <w:t>Journal of Banking Regulation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25</w:t>
      </w:r>
      <w:r>
        <w:rPr>
          <w:rFonts w:ascii="Times New Roman" w:eastAsia="Times New Roman" w:hAnsi="Times New Roman" w:cs="Times New Roman"/>
          <w:sz w:val="24"/>
          <w:szCs w:val="24"/>
          <w:highlight w:val="white"/>
        </w:rPr>
        <w:t>(4), pp.359-377.</w:t>
      </w:r>
      <w:r>
        <w:rPr>
          <w:rFonts w:ascii="Times New Roman" w:eastAsia="Times New Roman" w:hAnsi="Times New Roman" w:cs="Times New Roman"/>
          <w:sz w:val="24"/>
          <w:szCs w:val="24"/>
        </w:rPr>
        <w:t xml:space="preserve"> </w:t>
      </w:r>
    </w:p>
    <w:p w14:paraId="61ED75B8"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Will, I., 2025. Strategic Threat Intelligence for Business Continuity: Integrating AI-Driven Risk Scoring and Predictive Scenario Simulation.</w:t>
      </w:r>
    </w:p>
    <w:p w14:paraId="6DCA10D2" w14:textId="77777777" w:rsidR="00FF7E78" w:rsidRDefault="002B227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Zeb, S. and Lodhi, S.K., 2025. AI and cybersecurity in smart manufacturing: Protecting industrial systems. </w:t>
      </w:r>
      <w:r>
        <w:rPr>
          <w:rFonts w:ascii="Times New Roman" w:eastAsia="Times New Roman" w:hAnsi="Times New Roman" w:cs="Times New Roman"/>
          <w:i/>
          <w:iCs/>
          <w:sz w:val="24"/>
          <w:szCs w:val="24"/>
          <w:highlight w:val="white"/>
        </w:rPr>
        <w:t>American Journal of Artificial Intelligence and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(1), pp.1-23.</w:t>
      </w:r>
    </w:p>
    <w:sectPr w:rsidR="00FF7E78">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D1894F9" w14:textId="77777777" w:rsidR="002B2278" w:rsidRDefault="002B2278">
      <w:pPr>
        <w:spacing w:line="240" w:lineRule="auto"/>
      </w:pPr>
      <w:r>
        <w:separator/>
      </w:r>
    </w:p>
  </w:endnote>
  <w:endnote w:type="continuationSeparator" w:id="0">
    <w:p w14:paraId="1771330B" w14:textId="77777777" w:rsidR="002B2278" w:rsidRDefault="002B22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9176EC" w14:textId="3EA5194D" w:rsidR="00FF7E78" w:rsidRDefault="002B2278">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6523DE">
      <w:rPr>
        <w:noProof/>
        <w:color w:val="000000"/>
      </w:rPr>
      <w:t>2</w:t>
    </w:r>
    <w:r>
      <w:rPr>
        <w:color w:val="000000"/>
      </w:rPr>
      <w:fldChar w:fldCharType="end"/>
    </w:r>
    <w:r>
      <w:rPr>
        <w:color w:val="000000"/>
      </w:rPr>
      <w:t xml:space="preserve"> </w:t>
    </w:r>
  </w:p>
  <w:p w14:paraId="598BF49B" w14:textId="77777777" w:rsidR="00FF7E78" w:rsidRDefault="00FF7E78">
    <w:pPr>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DE670F" w14:textId="77777777" w:rsidR="002B2278" w:rsidRDefault="002B2278">
      <w:pPr>
        <w:spacing w:line="240" w:lineRule="auto"/>
      </w:pPr>
      <w:r>
        <w:separator/>
      </w:r>
    </w:p>
  </w:footnote>
  <w:footnote w:type="continuationSeparator" w:id="0">
    <w:p w14:paraId="5CB6D13B" w14:textId="77777777" w:rsidR="002B2278" w:rsidRDefault="002B22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4B61E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56123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1222C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B97E2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C96EF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F732F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95D3E4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095760">
    <w:abstractNumId w:val="5"/>
  </w:num>
  <w:num w:numId="2" w16cid:durableId="2118525263">
    <w:abstractNumId w:val="3"/>
  </w:num>
  <w:num w:numId="3" w16cid:durableId="517741205">
    <w:abstractNumId w:val="0"/>
  </w:num>
  <w:num w:numId="4" w16cid:durableId="1370108706">
    <w:abstractNumId w:val="6"/>
  </w:num>
  <w:num w:numId="5" w16cid:durableId="1682852677">
    <w:abstractNumId w:val="2"/>
  </w:num>
  <w:num w:numId="6" w16cid:durableId="177080539">
    <w:abstractNumId w:val="1"/>
  </w:num>
  <w:num w:numId="7" w16cid:durableId="95502122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E78"/>
    <w:rsid w:val="002B2278"/>
    <w:rsid w:val="003A7750"/>
    <w:rsid w:val="004A75FB"/>
    <w:rsid w:val="006523DE"/>
    <w:rsid w:val="00FF7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BD4FA5"/>
  <w15:docId w15:val="{8F9D01CA-24B1-E343-80DE-3C9B7F9D3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80" w:line="360" w:lineRule="auto"/>
      <w:jc w:val="both"/>
      <w:outlineLvl w:val="0"/>
    </w:pPr>
    <w:rPr>
      <w:rFonts w:ascii="Times New Roman" w:eastAsia="Times New Roman" w:hAnsi="Times New Roman" w:cs="Times New Roman"/>
      <w:b/>
      <w:bCs/>
      <w:color w:val="0B5394"/>
      <w:sz w:val="24"/>
      <w:szCs w:val="24"/>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ggLwWrk7ZglohZyv8I/lveMzkA==">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6915</Words>
  <Characters>39417</Characters>
  <Application>Microsoft Office Word</Application>
  <DocSecurity>0</DocSecurity>
  <Lines>328</Lines>
  <Paragraphs>92</Paragraphs>
  <ScaleCrop>false</ScaleCrop>
  <Company/>
  <LinksUpToDate>false</LinksUpToDate>
  <CharactersWithSpaces>46240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Liviu Topala (1905828)</cp:lastModifiedBy>
  <cp:revision>2</cp:revision>
  <dcterms:created xsi:type="dcterms:W3CDTF">2026-07-23T17:55:00Z</dcterms:created>
  <dcterms:modified xsi:type="dcterms:W3CDTF">2026-07-23T17:55:00Z</dcterms:modified>
</cp:coreProperties>
</file>