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6DB18" w14:textId="706547BF" w:rsidR="008779C4" w:rsidRDefault="008779C4" w:rsidP="008779C4">
      <w:pPr>
        <w:pStyle w:val="NormalWeb"/>
        <w:rPr>
          <w:rFonts w:ascii="Times" w:hAnsi="Times"/>
        </w:rPr>
      </w:pPr>
      <w:r w:rsidRPr="00BB33BA">
        <w:rPr>
          <w:rFonts w:ascii="Times" w:hAnsi="Times"/>
        </w:rPr>
        <w:t xml:space="preserve">Part 1: Critically review two theories that underpin our understanding of cognitive decline in old age. </w:t>
      </w:r>
    </w:p>
    <w:p w14:paraId="25758D0D" w14:textId="55A5E692" w:rsidR="00312589" w:rsidRDefault="00312589" w:rsidP="00312589">
      <w:pPr>
        <w:pStyle w:val="NormalWeb"/>
        <w:spacing w:line="360" w:lineRule="auto"/>
        <w:rPr>
          <w:rFonts w:ascii="Times" w:hAnsi="Times"/>
        </w:rPr>
      </w:pPr>
      <w:r>
        <w:rPr>
          <w:rFonts w:ascii="Times" w:hAnsi="Times"/>
        </w:rPr>
        <w:t xml:space="preserve">   It is apparent that the elderly population today is growing with numbers said to raise 56% over the next 15 years. Previous literature has also identified that these numbers will triple by the year 2025</w:t>
      </w:r>
      <w:r w:rsidR="00B55790">
        <w:rPr>
          <w:rFonts w:ascii="Times" w:hAnsi="Times"/>
        </w:rPr>
        <w:t>.</w:t>
      </w:r>
      <w:r w:rsidR="008854E3">
        <w:rPr>
          <w:rFonts w:ascii="Times" w:hAnsi="Times"/>
        </w:rPr>
        <w:t xml:space="preserve"> (</w:t>
      </w:r>
      <w:proofErr w:type="spellStart"/>
      <w:r w:rsidR="008854E3">
        <w:rPr>
          <w:rFonts w:ascii="Times" w:hAnsi="Times"/>
        </w:rPr>
        <w:t>Pais</w:t>
      </w:r>
      <w:proofErr w:type="spellEnd"/>
      <w:r w:rsidR="008854E3">
        <w:rPr>
          <w:rFonts w:ascii="Times" w:hAnsi="Times"/>
        </w:rPr>
        <w:t xml:space="preserve">, </w:t>
      </w:r>
      <w:proofErr w:type="spellStart"/>
      <w:r w:rsidR="008854E3">
        <w:rPr>
          <w:rFonts w:ascii="Times" w:hAnsi="Times"/>
        </w:rPr>
        <w:t>Ruano</w:t>
      </w:r>
      <w:proofErr w:type="spellEnd"/>
      <w:r w:rsidR="008854E3">
        <w:rPr>
          <w:rFonts w:ascii="Times" w:hAnsi="Times"/>
        </w:rPr>
        <w:t>, P. Carvalho &amp; Barros, 2020).</w:t>
      </w:r>
      <w:r w:rsidR="002219BE">
        <w:rPr>
          <w:rFonts w:ascii="Times" w:hAnsi="Times"/>
        </w:rPr>
        <w:t xml:space="preserve"> It</w:t>
      </w:r>
      <w:r>
        <w:rPr>
          <w:rFonts w:ascii="Times" w:hAnsi="Times"/>
        </w:rPr>
        <w:t xml:space="preserve"> is also clear that elders are more prone to diseases and disability with the inevitability of cognitive decline. Individuals may suffer as a consequence of age in many aspects. Some of these may include memory loss, learning difficulties, loss of independence</w:t>
      </w:r>
      <w:r w:rsidR="00B55790">
        <w:rPr>
          <w:rFonts w:ascii="Times" w:hAnsi="Times"/>
        </w:rPr>
        <w:t xml:space="preserve">, </w:t>
      </w:r>
      <w:r>
        <w:rPr>
          <w:rFonts w:ascii="Times" w:hAnsi="Times"/>
        </w:rPr>
        <w:t>dementia or strokes. Individuals who suffer from these</w:t>
      </w:r>
      <w:r w:rsidR="002219BE">
        <w:rPr>
          <w:rFonts w:ascii="Times" w:hAnsi="Times"/>
        </w:rPr>
        <w:t xml:space="preserve"> may</w:t>
      </w:r>
      <w:r>
        <w:rPr>
          <w:rFonts w:ascii="Times" w:hAnsi="Times"/>
        </w:rPr>
        <w:t xml:space="preserve"> also have a worse quality of life and could therefore develop mental illnesses such as depression or anxiety. (</w:t>
      </w:r>
      <w:proofErr w:type="spellStart"/>
      <w:r>
        <w:rPr>
          <w:rFonts w:ascii="Times" w:hAnsi="Times"/>
        </w:rPr>
        <w:t>Pais</w:t>
      </w:r>
      <w:proofErr w:type="spellEnd"/>
      <w:r>
        <w:rPr>
          <w:rFonts w:ascii="Times" w:hAnsi="Times"/>
        </w:rPr>
        <w:t xml:space="preserve">, </w:t>
      </w:r>
      <w:proofErr w:type="spellStart"/>
      <w:r>
        <w:rPr>
          <w:rFonts w:ascii="Times" w:hAnsi="Times"/>
        </w:rPr>
        <w:t>Ruano</w:t>
      </w:r>
      <w:proofErr w:type="spellEnd"/>
      <w:r>
        <w:rPr>
          <w:rFonts w:ascii="Times" w:hAnsi="Times"/>
        </w:rPr>
        <w:t>, P. Carvalho &amp; Barros, 2020).</w:t>
      </w:r>
    </w:p>
    <w:p w14:paraId="66D789C5" w14:textId="6C7BEE65" w:rsidR="009A175C" w:rsidRDefault="00312589" w:rsidP="008140B2">
      <w:pPr>
        <w:pStyle w:val="NormalWeb"/>
        <w:spacing w:line="360" w:lineRule="auto"/>
        <w:rPr>
          <w:rFonts w:ascii="Times" w:hAnsi="Times"/>
        </w:rPr>
      </w:pPr>
      <w:r>
        <w:rPr>
          <w:rFonts w:ascii="Times" w:hAnsi="Times"/>
        </w:rPr>
        <w:t xml:space="preserve">    Despite the fact that aging is inexorable, the goal for many is to age with a healthy cognitive functioning.  The ability to process speed and an individual’s sensory perception is modified due to age and cognitive decline. In addition, many have identified that there are several cognitive domains such as attention span, auditory alertness and hearing capabilities that are impacted due to worsened cognitive abilities. (</w:t>
      </w:r>
      <w:proofErr w:type="spellStart"/>
      <w:r>
        <w:rPr>
          <w:rFonts w:ascii="Times" w:hAnsi="Times"/>
        </w:rPr>
        <w:t>Murman</w:t>
      </w:r>
      <w:proofErr w:type="spellEnd"/>
      <w:r>
        <w:rPr>
          <w:rFonts w:ascii="Times" w:hAnsi="Times"/>
        </w:rPr>
        <w:t>, 2015).</w:t>
      </w:r>
      <w:r w:rsidR="009A175C">
        <w:rPr>
          <w:rFonts w:ascii="Times" w:hAnsi="Times"/>
        </w:rPr>
        <w:t xml:space="preserve"> People may be concerned due to the fact that cognitive impairments can be unnoticeable for years and the individual may not present any behavioural changes. This means that if the individual is diagnosed with dementia for example late on in the process, treatment and therapies may have no impact or offer any help at all for them (</w:t>
      </w:r>
      <w:proofErr w:type="spellStart"/>
      <w:r w:rsidR="009A175C">
        <w:rPr>
          <w:rFonts w:ascii="Times" w:hAnsi="Times"/>
        </w:rPr>
        <w:t>Peracino</w:t>
      </w:r>
      <w:proofErr w:type="spellEnd"/>
      <w:r w:rsidR="009A175C">
        <w:rPr>
          <w:rFonts w:ascii="Times" w:hAnsi="Times"/>
        </w:rPr>
        <w:t xml:space="preserve"> &amp; </w:t>
      </w:r>
      <w:proofErr w:type="spellStart"/>
      <w:r w:rsidR="009A175C">
        <w:rPr>
          <w:rFonts w:ascii="Times" w:hAnsi="Times"/>
        </w:rPr>
        <w:t>Pecorelli</w:t>
      </w:r>
      <w:proofErr w:type="spellEnd"/>
      <w:r w:rsidR="009A175C">
        <w:rPr>
          <w:rFonts w:ascii="Times" w:hAnsi="Times"/>
        </w:rPr>
        <w:t xml:space="preserve">, 2016). </w:t>
      </w:r>
      <w:r w:rsidR="008854E3">
        <w:rPr>
          <w:rFonts w:ascii="Times" w:hAnsi="Times"/>
        </w:rPr>
        <w:t xml:space="preserve">An extensive amount of prior research has emphasised that there are many pharmacologic and nonpharmacologic interventions available to assist individuals with the slowing of cognitive functions and ways to improve cognition if it has been damaged. Nonpharmacologic interventions include </w:t>
      </w:r>
      <w:r w:rsidR="007734D2">
        <w:rPr>
          <w:rFonts w:ascii="Times" w:hAnsi="Times"/>
        </w:rPr>
        <w:t xml:space="preserve">cognitive training and rehabilitation, </w:t>
      </w:r>
      <w:r w:rsidR="009A175C">
        <w:rPr>
          <w:rFonts w:ascii="Times" w:hAnsi="Times"/>
        </w:rPr>
        <w:t>keeping active and taking part in physical activity, assistance from</w:t>
      </w:r>
      <w:r w:rsidR="00B55790">
        <w:rPr>
          <w:rFonts w:ascii="Times" w:hAnsi="Times"/>
        </w:rPr>
        <w:t xml:space="preserve"> others</w:t>
      </w:r>
      <w:r w:rsidR="009A175C">
        <w:rPr>
          <w:rFonts w:ascii="Times" w:hAnsi="Times"/>
        </w:rPr>
        <w:t xml:space="preserve"> and psychoeducation. (Owens et al., 2020). </w:t>
      </w:r>
    </w:p>
    <w:p w14:paraId="66912A03" w14:textId="2E282895" w:rsidR="00254CCF" w:rsidRDefault="009A175C" w:rsidP="008140B2">
      <w:pPr>
        <w:pStyle w:val="NormalWeb"/>
        <w:spacing w:line="360" w:lineRule="auto"/>
        <w:rPr>
          <w:rFonts w:ascii="Times" w:hAnsi="Times"/>
        </w:rPr>
      </w:pPr>
      <w:r>
        <w:rPr>
          <w:rFonts w:ascii="Times" w:hAnsi="Times"/>
        </w:rPr>
        <w:t xml:space="preserve">   It is highly important to </w:t>
      </w:r>
      <w:r w:rsidR="001278D3">
        <w:rPr>
          <w:rFonts w:ascii="Times" w:hAnsi="Times"/>
        </w:rPr>
        <w:t>implement treatments which are beneficial for individuals who are suffering from issues related to cognitive decline</w:t>
      </w:r>
      <w:r w:rsidR="00101A1D">
        <w:rPr>
          <w:rFonts w:ascii="Times" w:hAnsi="Times"/>
        </w:rPr>
        <w:t xml:space="preserve">, this could possibly offer </w:t>
      </w:r>
      <w:r w:rsidR="00F67E8A">
        <w:rPr>
          <w:rFonts w:ascii="Times" w:hAnsi="Times"/>
        </w:rPr>
        <w:t>a greater quality of life for elderly people and a longer life span</w:t>
      </w:r>
      <w:r w:rsidR="001278D3">
        <w:rPr>
          <w:rFonts w:ascii="Times" w:hAnsi="Times"/>
        </w:rPr>
        <w:t xml:space="preserve">. </w:t>
      </w:r>
      <w:r w:rsidR="002219BE">
        <w:rPr>
          <w:rFonts w:ascii="Times" w:hAnsi="Times"/>
        </w:rPr>
        <w:t>Elderly people should be given the opportunity to receive support from professional services to ensure that they can continue to have their own independence and remain active. (</w:t>
      </w:r>
      <w:proofErr w:type="spellStart"/>
      <w:r w:rsidR="002219BE">
        <w:rPr>
          <w:rFonts w:ascii="Times" w:hAnsi="Times"/>
        </w:rPr>
        <w:t>Sanjuán</w:t>
      </w:r>
      <w:proofErr w:type="spellEnd"/>
      <w:r w:rsidR="002219BE">
        <w:rPr>
          <w:rFonts w:ascii="Times" w:hAnsi="Times"/>
        </w:rPr>
        <w:t xml:space="preserve">, Navarro &amp; Calero, 2020).  </w:t>
      </w:r>
    </w:p>
    <w:p w14:paraId="7B2DE81F" w14:textId="77777777" w:rsidR="00EB02F8" w:rsidRDefault="00EB02F8" w:rsidP="008140B2">
      <w:pPr>
        <w:pStyle w:val="NormalWeb"/>
        <w:spacing w:line="360" w:lineRule="auto"/>
        <w:rPr>
          <w:rFonts w:ascii="Times" w:hAnsi="Times"/>
          <w:sz w:val="28"/>
          <w:szCs w:val="28"/>
        </w:rPr>
      </w:pPr>
    </w:p>
    <w:p w14:paraId="069E07ED" w14:textId="77777777" w:rsidR="00D72353" w:rsidRDefault="00D72353" w:rsidP="008140B2">
      <w:pPr>
        <w:pStyle w:val="NormalWeb"/>
        <w:spacing w:line="360" w:lineRule="auto"/>
        <w:rPr>
          <w:rFonts w:ascii="Times" w:hAnsi="Times"/>
        </w:rPr>
      </w:pPr>
    </w:p>
    <w:p w14:paraId="6EF7DAF1" w14:textId="79B3ED28" w:rsidR="008779C4" w:rsidRPr="00D72353" w:rsidRDefault="008779C4" w:rsidP="008140B2">
      <w:pPr>
        <w:pStyle w:val="NormalWeb"/>
        <w:spacing w:line="360" w:lineRule="auto"/>
        <w:rPr>
          <w:rFonts w:ascii="Times" w:hAnsi="Times"/>
        </w:rPr>
      </w:pPr>
      <w:r w:rsidRPr="00D72353">
        <w:rPr>
          <w:rFonts w:ascii="Times" w:hAnsi="Times"/>
        </w:rPr>
        <w:lastRenderedPageBreak/>
        <w:t xml:space="preserve">Immunity theory </w:t>
      </w:r>
    </w:p>
    <w:p w14:paraId="103F23A1" w14:textId="5F159F55" w:rsidR="00AE2845" w:rsidRDefault="008140B2" w:rsidP="008140B2">
      <w:pPr>
        <w:pStyle w:val="NormalWeb"/>
        <w:spacing w:line="360" w:lineRule="auto"/>
        <w:rPr>
          <w:rFonts w:ascii="Times" w:hAnsi="Times"/>
        </w:rPr>
      </w:pPr>
      <w:r>
        <w:rPr>
          <w:rFonts w:ascii="Times" w:hAnsi="Times"/>
        </w:rPr>
        <w:t xml:space="preserve">   An important theory to consider when it comes to aging is the immunity theory</w:t>
      </w:r>
      <w:r w:rsidR="00101A1D">
        <w:rPr>
          <w:rFonts w:ascii="Times" w:hAnsi="Times"/>
        </w:rPr>
        <w:t xml:space="preserve">, especially </w:t>
      </w:r>
      <w:r w:rsidR="00247325">
        <w:rPr>
          <w:rFonts w:ascii="Times" w:hAnsi="Times"/>
        </w:rPr>
        <w:t xml:space="preserve">when </w:t>
      </w:r>
      <w:r w:rsidR="00101A1D">
        <w:rPr>
          <w:rFonts w:ascii="Times" w:hAnsi="Times"/>
        </w:rPr>
        <w:t>considering the increasing number of the elderly population worldwide</w:t>
      </w:r>
      <w:r>
        <w:rPr>
          <w:rFonts w:ascii="Times" w:hAnsi="Times"/>
        </w:rPr>
        <w:t>. Individuals are subject to change and physiological deterioration</w:t>
      </w:r>
      <w:r w:rsidR="006D4450">
        <w:rPr>
          <w:rFonts w:ascii="Times" w:hAnsi="Times"/>
        </w:rPr>
        <w:t xml:space="preserve">, which is </w:t>
      </w:r>
      <w:r w:rsidR="002219BE">
        <w:rPr>
          <w:rFonts w:ascii="Times" w:hAnsi="Times"/>
        </w:rPr>
        <w:t>referred</w:t>
      </w:r>
      <w:r w:rsidR="006D4450">
        <w:rPr>
          <w:rFonts w:ascii="Times" w:hAnsi="Times"/>
        </w:rPr>
        <w:t xml:space="preserve"> to as immunosenescence. </w:t>
      </w:r>
      <w:r>
        <w:rPr>
          <w:rFonts w:ascii="Times" w:hAnsi="Times"/>
        </w:rPr>
        <w:t xml:space="preserve">People who are aging will notice </w:t>
      </w:r>
      <w:r w:rsidR="00B55790">
        <w:rPr>
          <w:rFonts w:ascii="Times" w:hAnsi="Times"/>
        </w:rPr>
        <w:t xml:space="preserve">a </w:t>
      </w:r>
      <w:r>
        <w:rPr>
          <w:rFonts w:ascii="Times" w:hAnsi="Times"/>
        </w:rPr>
        <w:t>change in their immune response and may be subjected to immune dysfunctions. (</w:t>
      </w:r>
      <w:proofErr w:type="spellStart"/>
      <w:r>
        <w:rPr>
          <w:rFonts w:ascii="Times" w:hAnsi="Times"/>
        </w:rPr>
        <w:t>Fluop</w:t>
      </w:r>
      <w:proofErr w:type="spellEnd"/>
      <w:r>
        <w:rPr>
          <w:rFonts w:ascii="Times" w:hAnsi="Times"/>
        </w:rPr>
        <w:t xml:space="preserve">, Witkowski, Pawelec, Alan &amp; Larbi, 2014). </w:t>
      </w:r>
      <w:r w:rsidR="000D3089">
        <w:rPr>
          <w:rFonts w:ascii="Times" w:hAnsi="Times"/>
        </w:rPr>
        <w:t xml:space="preserve">With an aging population, comes several challenges that scientists face today as chronic diseases such as </w:t>
      </w:r>
      <w:r w:rsidR="003608AB">
        <w:rPr>
          <w:rFonts w:ascii="Times" w:hAnsi="Times"/>
        </w:rPr>
        <w:t>cancer, diabetes, dementia, cardiovascular diseases and many more</w:t>
      </w:r>
      <w:r w:rsidR="00E130B7">
        <w:rPr>
          <w:rFonts w:ascii="Times" w:hAnsi="Times"/>
        </w:rPr>
        <w:t xml:space="preserve"> diseases that may develop due to age</w:t>
      </w:r>
      <w:r w:rsidR="00BD7959">
        <w:rPr>
          <w:rFonts w:ascii="Times" w:hAnsi="Times"/>
        </w:rPr>
        <w:t>.</w:t>
      </w:r>
      <w:r w:rsidR="00E130B7">
        <w:rPr>
          <w:rFonts w:ascii="Times" w:hAnsi="Times"/>
        </w:rPr>
        <w:t xml:space="preserve"> </w:t>
      </w:r>
      <w:r w:rsidR="00BD7959">
        <w:rPr>
          <w:rFonts w:ascii="Times" w:hAnsi="Times"/>
        </w:rPr>
        <w:t xml:space="preserve">It is crucial that </w:t>
      </w:r>
      <w:r w:rsidR="00642C37">
        <w:rPr>
          <w:rFonts w:ascii="Times" w:hAnsi="Times"/>
        </w:rPr>
        <w:t xml:space="preserve">cellular and chemical processes that are point to aging are understood which will furthermore assist in better health of elderly people. </w:t>
      </w:r>
      <w:r w:rsidR="00E66F25">
        <w:rPr>
          <w:rFonts w:ascii="Times" w:hAnsi="Times"/>
        </w:rPr>
        <w:t xml:space="preserve">(Haynes, 2020).  </w:t>
      </w:r>
    </w:p>
    <w:p w14:paraId="3839FF90" w14:textId="580B1F6A" w:rsidR="008140B2" w:rsidRDefault="00AE2845" w:rsidP="008140B2">
      <w:pPr>
        <w:pStyle w:val="NormalWeb"/>
        <w:spacing w:line="360" w:lineRule="auto"/>
        <w:rPr>
          <w:rFonts w:ascii="Times" w:hAnsi="Times"/>
        </w:rPr>
      </w:pPr>
      <w:r>
        <w:rPr>
          <w:rFonts w:ascii="Times" w:hAnsi="Times"/>
        </w:rPr>
        <w:t xml:space="preserve">    </w:t>
      </w:r>
      <w:r w:rsidR="00642C37">
        <w:rPr>
          <w:rFonts w:ascii="Times" w:hAnsi="Times"/>
        </w:rPr>
        <w:t>Not only does aging mean that there is an increased risk of individual developing diseases, but it also means that there is fewer hope of effective</w:t>
      </w:r>
      <w:r w:rsidR="00B55790">
        <w:rPr>
          <w:rFonts w:ascii="Times" w:hAnsi="Times"/>
        </w:rPr>
        <w:t xml:space="preserve"> </w:t>
      </w:r>
      <w:r w:rsidR="00642C37">
        <w:rPr>
          <w:rFonts w:ascii="Times" w:hAnsi="Times"/>
        </w:rPr>
        <w:t xml:space="preserve">vaccinations. This emphasises that there could possibly be a less chance of people overcoming and illness as their immune systems may be </w:t>
      </w:r>
      <w:r w:rsidR="00B55790">
        <w:rPr>
          <w:rFonts w:ascii="Times" w:hAnsi="Times"/>
        </w:rPr>
        <w:t xml:space="preserve">too </w:t>
      </w:r>
      <w:r w:rsidR="00642C37">
        <w:rPr>
          <w:rFonts w:ascii="Times" w:hAnsi="Times"/>
        </w:rPr>
        <w:t>weak.</w:t>
      </w:r>
      <w:r w:rsidR="00E130B7">
        <w:rPr>
          <w:rFonts w:ascii="Times" w:hAnsi="Times"/>
        </w:rPr>
        <w:t xml:space="preserve"> (Haynes, 2020). </w:t>
      </w:r>
      <w:r w:rsidR="00813335">
        <w:rPr>
          <w:rFonts w:ascii="Times" w:hAnsi="Times"/>
        </w:rPr>
        <w:t xml:space="preserve"> In addition to this, elders who are susceptible to developing or catching various diseases or infections are also at a higher risk of facing other co-morbid complications, an obvious infection today being covid-19. (Haynes, 2020). </w:t>
      </w:r>
      <w:r>
        <w:rPr>
          <w:rFonts w:ascii="Times" w:hAnsi="Times"/>
        </w:rPr>
        <w:t xml:space="preserve">Although Covid-19 can be dangerous to an individual of any age, it is vital to protect the elderly by following measures such as isolation in order to protect them. A plethora of studies have concluded that there is a much higher risk for the elderly as they are more susceptible to illnesses. (Martins Van Jaarsveld, 2020). </w:t>
      </w:r>
    </w:p>
    <w:p w14:paraId="17D5D9F8" w14:textId="256AC71D" w:rsidR="00254CCF" w:rsidRPr="00BB33BA" w:rsidRDefault="006D4450" w:rsidP="00E10F73">
      <w:pPr>
        <w:pStyle w:val="NormalWeb"/>
        <w:spacing w:line="360" w:lineRule="auto"/>
        <w:rPr>
          <w:rFonts w:ascii="Times" w:hAnsi="Times"/>
        </w:rPr>
      </w:pPr>
      <w:r>
        <w:rPr>
          <w:rFonts w:ascii="Times" w:hAnsi="Times"/>
        </w:rPr>
        <w:t xml:space="preserve">    Studies have demonstrated that compromised immunity can affect the cognitive capability of elderly people. This is a result of infections and diseases affecting the brain and influencing cognition. (</w:t>
      </w:r>
      <w:proofErr w:type="spellStart"/>
      <w:r>
        <w:rPr>
          <w:rFonts w:ascii="Times" w:hAnsi="Times"/>
        </w:rPr>
        <w:t>Benros</w:t>
      </w:r>
      <w:proofErr w:type="spellEnd"/>
      <w:r>
        <w:rPr>
          <w:rFonts w:ascii="Times" w:hAnsi="Times"/>
        </w:rPr>
        <w:t xml:space="preserve"> et al., 2015). </w:t>
      </w:r>
      <w:r w:rsidR="00A913C9">
        <w:rPr>
          <w:rFonts w:ascii="Times" w:hAnsi="Times"/>
        </w:rPr>
        <w:t xml:space="preserve">Therefore, if elderly people are struggling with immunosenescence, it can impact </w:t>
      </w:r>
      <w:r w:rsidR="00E66F25">
        <w:rPr>
          <w:rFonts w:ascii="Times" w:hAnsi="Times"/>
        </w:rPr>
        <w:t>greatly</w:t>
      </w:r>
      <w:r w:rsidR="00A913C9">
        <w:rPr>
          <w:rFonts w:ascii="Times" w:hAnsi="Times"/>
        </w:rPr>
        <w:t xml:space="preserve"> on their cognition which will lead to cognitive decline. Tangestani Fard &amp; Stough’s (2019) study raises awareness on the importance of needing to conduct further research on this topic </w:t>
      </w:r>
      <w:r w:rsidR="003521B7">
        <w:rPr>
          <w:rFonts w:ascii="Times" w:hAnsi="Times"/>
        </w:rPr>
        <w:t xml:space="preserve">to help </w:t>
      </w:r>
      <w:r w:rsidR="00FB6060">
        <w:rPr>
          <w:rFonts w:ascii="Times" w:hAnsi="Times"/>
        </w:rPr>
        <w:t xml:space="preserve">develop interventions and strategies for elders with the aim of offering healthier, longer lives for elderly people. </w:t>
      </w:r>
      <w:r w:rsidR="00A913C9">
        <w:rPr>
          <w:rFonts w:ascii="Times" w:hAnsi="Times"/>
        </w:rPr>
        <w:t xml:space="preserve">(Tangestani Fard &amp; </w:t>
      </w:r>
      <w:proofErr w:type="spellStart"/>
      <w:r w:rsidR="00A913C9">
        <w:rPr>
          <w:rFonts w:ascii="Times" w:hAnsi="Times"/>
        </w:rPr>
        <w:t>Stough</w:t>
      </w:r>
      <w:proofErr w:type="spellEnd"/>
      <w:r w:rsidR="00A913C9">
        <w:rPr>
          <w:rFonts w:ascii="Times" w:hAnsi="Times"/>
        </w:rPr>
        <w:t>, 2019)</w:t>
      </w:r>
      <w:r w:rsidR="00FB6060">
        <w:rPr>
          <w:rFonts w:ascii="Times" w:hAnsi="Times"/>
        </w:rPr>
        <w:t>.</w:t>
      </w:r>
      <w:r w:rsidR="00101A1D">
        <w:rPr>
          <w:rFonts w:ascii="Times" w:hAnsi="Times"/>
        </w:rPr>
        <w:t xml:space="preserve">   </w:t>
      </w:r>
    </w:p>
    <w:p w14:paraId="4019D9D8" w14:textId="77777777" w:rsidR="00EB02F8" w:rsidRDefault="00EB02F8" w:rsidP="00E10F73">
      <w:pPr>
        <w:pStyle w:val="NormalWeb"/>
        <w:spacing w:line="360" w:lineRule="auto"/>
        <w:rPr>
          <w:rFonts w:ascii="Times" w:hAnsi="Times"/>
          <w:sz w:val="28"/>
          <w:szCs w:val="28"/>
        </w:rPr>
      </w:pPr>
    </w:p>
    <w:p w14:paraId="7F599842" w14:textId="77777777" w:rsidR="00EB02F8" w:rsidRDefault="00EB02F8" w:rsidP="00E10F73">
      <w:pPr>
        <w:pStyle w:val="NormalWeb"/>
        <w:spacing w:line="360" w:lineRule="auto"/>
        <w:rPr>
          <w:rFonts w:ascii="Times" w:hAnsi="Times"/>
          <w:sz w:val="28"/>
          <w:szCs w:val="28"/>
        </w:rPr>
      </w:pPr>
    </w:p>
    <w:p w14:paraId="45FD1F47" w14:textId="3AC7000C" w:rsidR="00AD2518" w:rsidRPr="00D72353" w:rsidRDefault="00AD2518" w:rsidP="00E10F73">
      <w:pPr>
        <w:pStyle w:val="NormalWeb"/>
        <w:spacing w:line="360" w:lineRule="auto"/>
        <w:rPr>
          <w:rFonts w:ascii="Times" w:hAnsi="Times"/>
        </w:rPr>
      </w:pPr>
      <w:r w:rsidRPr="00D72353">
        <w:rPr>
          <w:rFonts w:ascii="Times" w:hAnsi="Times"/>
        </w:rPr>
        <w:lastRenderedPageBreak/>
        <w:t xml:space="preserve">Disengagement theory </w:t>
      </w:r>
    </w:p>
    <w:p w14:paraId="30C0A269" w14:textId="38F74D10" w:rsidR="009D2D01" w:rsidRDefault="00E10F73" w:rsidP="00E10F73">
      <w:pPr>
        <w:pStyle w:val="NormalWeb"/>
        <w:spacing w:line="360" w:lineRule="auto"/>
        <w:rPr>
          <w:rFonts w:ascii="Times" w:hAnsi="Times"/>
        </w:rPr>
      </w:pPr>
      <w:r>
        <w:rPr>
          <w:rFonts w:ascii="Times" w:hAnsi="Times"/>
        </w:rPr>
        <w:t xml:space="preserve">   Another theory that helps us understand cognitive decline in older age is the disengagement theory. </w:t>
      </w:r>
      <w:r w:rsidR="009D2D01">
        <w:rPr>
          <w:rFonts w:ascii="Times" w:hAnsi="Times"/>
        </w:rPr>
        <w:t>As you grow older, individuals are expected to withdraw from society as their role in has come to an end, and therefore giv</w:t>
      </w:r>
      <w:r w:rsidR="00B55790">
        <w:rPr>
          <w:rFonts w:ascii="Times" w:hAnsi="Times"/>
        </w:rPr>
        <w:t>ing</w:t>
      </w:r>
      <w:r w:rsidR="009D2D01">
        <w:rPr>
          <w:rFonts w:ascii="Times" w:hAnsi="Times"/>
        </w:rPr>
        <w:t xml:space="preserve"> the younger generation a chance to have these opportunities in society. This means that a person may withdraw from society, withdraw psychologically and physically, in preparation for the end of their lives. </w:t>
      </w:r>
      <w:r w:rsidR="00300F5E">
        <w:rPr>
          <w:rFonts w:ascii="Times" w:hAnsi="Times"/>
        </w:rPr>
        <w:t xml:space="preserve">(Palmore, Branch &amp; Harris, 2005). </w:t>
      </w:r>
      <w:r w:rsidR="009D2D01">
        <w:rPr>
          <w:rFonts w:ascii="Times" w:hAnsi="Times"/>
        </w:rPr>
        <w:t xml:space="preserve">Throughout an individual’s lifetime, they will conform to several roles such as their position in the family, their work and friendship groups. This theory solely focuses on exiting these roles, and thus impacting cognition. </w:t>
      </w:r>
      <w:r w:rsidR="00300F5E">
        <w:rPr>
          <w:rFonts w:ascii="Times" w:hAnsi="Times"/>
        </w:rPr>
        <w:t>(Palmore, Branch &amp; Harris, 2005).</w:t>
      </w:r>
    </w:p>
    <w:p w14:paraId="7CAD860B" w14:textId="5E006556" w:rsidR="00E10F73" w:rsidRDefault="009D2D01" w:rsidP="00E10F73">
      <w:pPr>
        <w:pStyle w:val="NormalWeb"/>
        <w:spacing w:line="360" w:lineRule="auto"/>
        <w:rPr>
          <w:rFonts w:ascii="Times" w:hAnsi="Times"/>
        </w:rPr>
      </w:pPr>
      <w:r>
        <w:rPr>
          <w:rFonts w:ascii="Times" w:hAnsi="Times"/>
        </w:rPr>
        <w:t xml:space="preserve">    Elders may withdraw from many aspects of their lives such as their work life. It is evident that older people typically finish work and retire to allow younger people to come and </w:t>
      </w:r>
      <w:r w:rsidR="00E66F25">
        <w:rPr>
          <w:rFonts w:ascii="Times" w:hAnsi="Times"/>
        </w:rPr>
        <w:t xml:space="preserve">experience the job position. </w:t>
      </w:r>
      <w:r w:rsidR="00300F5E">
        <w:rPr>
          <w:rFonts w:ascii="Times" w:hAnsi="Times"/>
        </w:rPr>
        <w:t xml:space="preserve">(Palmore, Branch &amp; Harris, 2005). </w:t>
      </w:r>
      <w:r>
        <w:rPr>
          <w:rFonts w:ascii="Times" w:hAnsi="Times"/>
        </w:rPr>
        <w:t xml:space="preserve">If elderly people were to stay in these jobs it would </w:t>
      </w:r>
      <w:r w:rsidR="0061273D">
        <w:rPr>
          <w:rFonts w:ascii="Times" w:hAnsi="Times"/>
        </w:rPr>
        <w:t xml:space="preserve">restrict the chances of younger individuals moving up and through their jobs. Another would be their role in family life. </w:t>
      </w:r>
      <w:r>
        <w:rPr>
          <w:rFonts w:ascii="Times" w:hAnsi="Times"/>
        </w:rPr>
        <w:t xml:space="preserve"> </w:t>
      </w:r>
      <w:r w:rsidR="0061273D">
        <w:rPr>
          <w:rFonts w:ascii="Times" w:hAnsi="Times"/>
        </w:rPr>
        <w:t>Many would turn to family when they are retiring from their jobs and therefore have something to turn to in order to compensate for their job. Although many may do this, many could be widowed or lose friends as a result of age, leaving many isolated and withdrawn from positions in life. (Palmore, Branch &amp; Harris, 2005).</w:t>
      </w:r>
    </w:p>
    <w:p w14:paraId="12A226AC" w14:textId="2580DADF" w:rsidR="008779C4" w:rsidRDefault="00F513E9" w:rsidP="00EE6DBC">
      <w:pPr>
        <w:pStyle w:val="NormalWeb"/>
        <w:spacing w:line="360" w:lineRule="auto"/>
        <w:rPr>
          <w:rFonts w:ascii="Times" w:hAnsi="Times"/>
        </w:rPr>
      </w:pPr>
      <w:r>
        <w:rPr>
          <w:rFonts w:ascii="Times" w:hAnsi="Times"/>
        </w:rPr>
        <w:t xml:space="preserve">    </w:t>
      </w:r>
      <w:r w:rsidR="00EE6DBC">
        <w:rPr>
          <w:rFonts w:ascii="Times" w:hAnsi="Times"/>
        </w:rPr>
        <w:t xml:space="preserve">Your capability to retain information and your memory begins to decrease from the second half of your life. This is a worry and fear among older people. (Read, Comas-Herrera &amp; Grundy, 2019). </w:t>
      </w:r>
      <w:r w:rsidR="0046473A">
        <w:rPr>
          <w:rFonts w:ascii="Times" w:hAnsi="Times"/>
        </w:rPr>
        <w:t xml:space="preserve">People who engage in social activities during and after they retire are more likely to have </w:t>
      </w:r>
      <w:r w:rsidR="00B54CC5">
        <w:rPr>
          <w:rFonts w:ascii="Times" w:hAnsi="Times"/>
        </w:rPr>
        <w:t xml:space="preserve">less issues with cognitive decline as they age. It is recommended that individuals take part in social activities and keep active to try and replace other roles that they once had. Isolation and loneliness can lead to a faster cognitive decline, alongside depression, anxiety and poor quality of life. </w:t>
      </w:r>
      <w:r w:rsidR="00EE6DBC">
        <w:rPr>
          <w:rFonts w:ascii="Times" w:hAnsi="Times"/>
        </w:rPr>
        <w:t>Increasing social engagement</w:t>
      </w:r>
      <w:r w:rsidR="000A21F8">
        <w:rPr>
          <w:rFonts w:ascii="Times" w:hAnsi="Times"/>
        </w:rPr>
        <w:t xml:space="preserve"> could have a positive impact on many and could possibly prevent serious diseases such as dementia.</w:t>
      </w:r>
      <w:r w:rsidR="00EE6DBC">
        <w:rPr>
          <w:rFonts w:ascii="Times" w:hAnsi="Times"/>
        </w:rPr>
        <w:t xml:space="preserve"> </w:t>
      </w:r>
      <w:r w:rsidR="0046473A">
        <w:rPr>
          <w:rFonts w:ascii="Times" w:hAnsi="Times"/>
        </w:rPr>
        <w:t xml:space="preserve">(Zhou, Song, </w:t>
      </w:r>
      <w:proofErr w:type="spellStart"/>
      <w:r w:rsidR="0046473A">
        <w:rPr>
          <w:rFonts w:ascii="Times" w:hAnsi="Times"/>
        </w:rPr>
        <w:t>Jin</w:t>
      </w:r>
      <w:proofErr w:type="spellEnd"/>
      <w:r w:rsidR="0046473A">
        <w:rPr>
          <w:rFonts w:ascii="Times" w:hAnsi="Times"/>
        </w:rPr>
        <w:t xml:space="preserve"> &amp; Zheng, 2020)</w:t>
      </w:r>
      <w:r w:rsidR="004A61A7">
        <w:rPr>
          <w:rFonts w:ascii="Times" w:hAnsi="Times"/>
        </w:rPr>
        <w:t>.</w:t>
      </w:r>
      <w:r w:rsidR="00101A1D">
        <w:rPr>
          <w:rFonts w:ascii="Times" w:hAnsi="Times"/>
        </w:rPr>
        <w:t xml:space="preserve">    </w:t>
      </w:r>
    </w:p>
    <w:p w14:paraId="016708B5" w14:textId="1B5BE675" w:rsidR="00EB02F8" w:rsidRDefault="006F3431" w:rsidP="00EE6DBC">
      <w:pPr>
        <w:pStyle w:val="NormalWeb"/>
        <w:spacing w:line="360" w:lineRule="auto"/>
        <w:rPr>
          <w:rFonts w:ascii="Times" w:hAnsi="Times"/>
        </w:rPr>
      </w:pPr>
      <w:r>
        <w:rPr>
          <w:rFonts w:ascii="Times" w:hAnsi="Times"/>
        </w:rPr>
        <w:t xml:space="preserve">  </w:t>
      </w:r>
      <w:r w:rsidR="005B028A">
        <w:rPr>
          <w:rFonts w:ascii="Times" w:hAnsi="Times"/>
        </w:rPr>
        <w:t xml:space="preserve">Krueger et </w:t>
      </w:r>
      <w:proofErr w:type="spellStart"/>
      <w:r w:rsidR="005B028A">
        <w:rPr>
          <w:rFonts w:ascii="Times" w:hAnsi="Times"/>
        </w:rPr>
        <w:t>al’s</w:t>
      </w:r>
      <w:proofErr w:type="spellEnd"/>
      <w:r w:rsidR="005B028A">
        <w:rPr>
          <w:rFonts w:ascii="Times" w:hAnsi="Times"/>
        </w:rPr>
        <w:t xml:space="preserve"> (2009)</w:t>
      </w:r>
      <w:r>
        <w:rPr>
          <w:rFonts w:ascii="Times" w:hAnsi="Times"/>
        </w:rPr>
        <w:t xml:space="preserve"> study focuses on 800 elderly people who are socially engaged and their levels of cognitive functioning. This study, alongside many others have proven that individuals who engage in social activities are less likely to face impaired immune responses and are therefore less likely to </w:t>
      </w:r>
      <w:r w:rsidR="005B028A">
        <w:rPr>
          <w:rFonts w:ascii="Times" w:hAnsi="Times"/>
        </w:rPr>
        <w:t xml:space="preserve">develop diseases and infections. (Krueger et al., 2009). When </w:t>
      </w:r>
      <w:r w:rsidR="005B028A">
        <w:rPr>
          <w:rFonts w:ascii="Times" w:hAnsi="Times"/>
        </w:rPr>
        <w:lastRenderedPageBreak/>
        <w:t>an elderly person disengages from society, they can become lonely. This loneliness can cause distress from lack of activities or interactions with others. Seclusion from the outside world can often lead to</w:t>
      </w:r>
      <w:r w:rsidR="00706854">
        <w:rPr>
          <w:rFonts w:ascii="Times" w:hAnsi="Times"/>
        </w:rPr>
        <w:t xml:space="preserve"> cognitive decline,</w:t>
      </w:r>
      <w:r w:rsidR="005B028A">
        <w:rPr>
          <w:rFonts w:ascii="Times" w:hAnsi="Times"/>
        </w:rPr>
        <w:t xml:space="preserve"> dementia and depression. (Chow, Wong &amp; Choi, 2021).</w:t>
      </w:r>
    </w:p>
    <w:p w14:paraId="284FEEC1" w14:textId="575C0CE1" w:rsidR="008779C4" w:rsidRDefault="008779C4" w:rsidP="00EE6DBC">
      <w:pPr>
        <w:pStyle w:val="NormalWeb"/>
        <w:spacing w:line="360" w:lineRule="auto"/>
        <w:rPr>
          <w:rFonts w:ascii="Times" w:hAnsi="Times"/>
        </w:rPr>
      </w:pPr>
      <w:r w:rsidRPr="00BB33BA">
        <w:rPr>
          <w:rFonts w:ascii="Times" w:hAnsi="Times"/>
        </w:rPr>
        <w:t xml:space="preserve">Part 2: Choose one of the theories reviewed in part one and discuss how an individual could slow-down cognitive decline. </w:t>
      </w:r>
    </w:p>
    <w:p w14:paraId="4DA2A10E" w14:textId="253BA57C" w:rsidR="00EF6D7F" w:rsidRDefault="00EF6D7F" w:rsidP="00EE6DBC">
      <w:pPr>
        <w:pStyle w:val="NormalWeb"/>
        <w:spacing w:line="360" w:lineRule="auto"/>
        <w:rPr>
          <w:rFonts w:ascii="Times" w:hAnsi="Times"/>
        </w:rPr>
      </w:pPr>
      <w:r>
        <w:rPr>
          <w:rFonts w:ascii="Times" w:hAnsi="Times"/>
        </w:rPr>
        <w:t xml:space="preserve">   Immunity theory is a highly important factor when assessing cognitive decline in older people. </w:t>
      </w:r>
      <w:r w:rsidR="00F67E8A">
        <w:rPr>
          <w:rFonts w:ascii="Times" w:hAnsi="Times"/>
        </w:rPr>
        <w:t xml:space="preserve">There is a higher risk that an elderly individual may be susceptible to diseases and infections as a result of reduced efficacy of the immune system. </w:t>
      </w:r>
      <w:r w:rsidR="00E8323E">
        <w:rPr>
          <w:rFonts w:ascii="Times" w:hAnsi="Times"/>
        </w:rPr>
        <w:t xml:space="preserve">(Aiello et al., 2019). </w:t>
      </w:r>
      <w:r w:rsidR="00F67E8A">
        <w:rPr>
          <w:rFonts w:ascii="Times" w:hAnsi="Times"/>
        </w:rPr>
        <w:t xml:space="preserve">An individual’s abilities to </w:t>
      </w:r>
      <w:r w:rsidR="00362A2D">
        <w:rPr>
          <w:rFonts w:ascii="Times" w:hAnsi="Times"/>
        </w:rPr>
        <w:t>conduct</w:t>
      </w:r>
      <w:r w:rsidR="00F67E8A">
        <w:rPr>
          <w:rFonts w:ascii="Times" w:hAnsi="Times"/>
        </w:rPr>
        <w:t xml:space="preserve"> daily tasks become</w:t>
      </w:r>
      <w:r w:rsidR="00362A2D">
        <w:rPr>
          <w:rFonts w:ascii="Times" w:hAnsi="Times"/>
        </w:rPr>
        <w:t>s</w:t>
      </w:r>
      <w:r w:rsidR="00F67E8A">
        <w:rPr>
          <w:rFonts w:ascii="Times" w:hAnsi="Times"/>
        </w:rPr>
        <w:t xml:space="preserve"> compromised and their memory may decline as a consequence of aging. </w:t>
      </w:r>
      <w:r w:rsidR="00E8323E">
        <w:rPr>
          <w:rFonts w:ascii="Times" w:hAnsi="Times"/>
        </w:rPr>
        <w:t>There are several components such as exercise and activity, genetics</w:t>
      </w:r>
      <w:r w:rsidR="008459FA">
        <w:rPr>
          <w:rFonts w:ascii="Times" w:hAnsi="Times"/>
        </w:rPr>
        <w:t>,</w:t>
      </w:r>
      <w:r w:rsidR="00E8323E">
        <w:rPr>
          <w:rFonts w:ascii="Times" w:hAnsi="Times"/>
        </w:rPr>
        <w:t xml:space="preserve"> the sex of the individual and diet which can </w:t>
      </w:r>
      <w:r w:rsidR="00B55790">
        <w:rPr>
          <w:rFonts w:ascii="Times" w:hAnsi="Times"/>
        </w:rPr>
        <w:t xml:space="preserve">have an </w:t>
      </w:r>
      <w:r w:rsidR="00E8323E">
        <w:rPr>
          <w:rFonts w:ascii="Times" w:hAnsi="Times"/>
        </w:rPr>
        <w:t xml:space="preserve">impact </w:t>
      </w:r>
      <w:r w:rsidR="00B55790">
        <w:rPr>
          <w:rFonts w:ascii="Times" w:hAnsi="Times"/>
        </w:rPr>
        <w:t xml:space="preserve">on </w:t>
      </w:r>
      <w:r w:rsidR="00E8323E">
        <w:rPr>
          <w:rFonts w:ascii="Times" w:hAnsi="Times"/>
        </w:rPr>
        <w:t>immunosenescence, which is the process which helps us understand immune dysfunctions that happen with age. (Aiello et al., 2019).</w:t>
      </w:r>
    </w:p>
    <w:p w14:paraId="27897BF2" w14:textId="6F56BE68" w:rsidR="00C3592D" w:rsidRDefault="000F14F2" w:rsidP="00D72353">
      <w:pPr>
        <w:pStyle w:val="NormalWeb"/>
        <w:spacing w:line="360" w:lineRule="auto"/>
        <w:rPr>
          <w:rFonts w:ascii="Times" w:hAnsi="Times"/>
        </w:rPr>
      </w:pPr>
      <w:r>
        <w:rPr>
          <w:rFonts w:ascii="Times" w:hAnsi="Times"/>
        </w:rPr>
        <w:t xml:space="preserve">    </w:t>
      </w:r>
      <w:r w:rsidR="00450177">
        <w:rPr>
          <w:rFonts w:ascii="Times" w:hAnsi="Times"/>
        </w:rPr>
        <w:t xml:space="preserve">It is evident that as you grow older, individuals are also likely to obtain a condition which is known as inflammageing. </w:t>
      </w:r>
      <w:r w:rsidR="00A9128E">
        <w:rPr>
          <w:rFonts w:ascii="Times" w:hAnsi="Times"/>
        </w:rPr>
        <w:t>T</w:t>
      </w:r>
      <w:r w:rsidR="00950B62">
        <w:rPr>
          <w:rFonts w:ascii="Times" w:hAnsi="Times"/>
        </w:rPr>
        <w:t>here are markers in every person’s blood that illustrate inflammation. These hold a</w:t>
      </w:r>
      <w:r w:rsidR="007C2259">
        <w:rPr>
          <w:rFonts w:ascii="Times" w:hAnsi="Times"/>
        </w:rPr>
        <w:t xml:space="preserve"> higher risk of chronic morbidity and early death for many. (</w:t>
      </w:r>
      <w:proofErr w:type="spellStart"/>
      <w:r w:rsidR="007C2259">
        <w:rPr>
          <w:rFonts w:ascii="Times" w:hAnsi="Times"/>
        </w:rPr>
        <w:t>Ferrucci</w:t>
      </w:r>
      <w:proofErr w:type="spellEnd"/>
      <w:r w:rsidR="007C2259">
        <w:rPr>
          <w:rFonts w:ascii="Times" w:hAnsi="Times"/>
        </w:rPr>
        <w:t xml:space="preserve"> &amp; </w:t>
      </w:r>
      <w:proofErr w:type="spellStart"/>
      <w:r w:rsidR="007C2259">
        <w:rPr>
          <w:rFonts w:ascii="Times" w:hAnsi="Times"/>
        </w:rPr>
        <w:t>Fabbri</w:t>
      </w:r>
      <w:proofErr w:type="spellEnd"/>
      <w:r w:rsidR="007C2259">
        <w:rPr>
          <w:rFonts w:ascii="Times" w:hAnsi="Times"/>
        </w:rPr>
        <w:t xml:space="preserve">, 2018). </w:t>
      </w:r>
      <w:r>
        <w:rPr>
          <w:rFonts w:ascii="Times" w:hAnsi="Times"/>
        </w:rPr>
        <w:t xml:space="preserve">In order to possibly slow down cognitive decline as an older person, </w:t>
      </w:r>
      <w:r w:rsidR="00A9128E">
        <w:rPr>
          <w:rFonts w:ascii="Times" w:hAnsi="Times"/>
        </w:rPr>
        <w:t xml:space="preserve">a healthy lifestyle should be </w:t>
      </w:r>
      <w:r w:rsidR="00B55790">
        <w:rPr>
          <w:rFonts w:ascii="Times" w:hAnsi="Times"/>
        </w:rPr>
        <w:t xml:space="preserve">adopted and </w:t>
      </w:r>
      <w:r w:rsidR="00A9128E">
        <w:rPr>
          <w:rFonts w:ascii="Times" w:hAnsi="Times"/>
        </w:rPr>
        <w:t>maintained which should include regular physical activity and a healthy diet.</w:t>
      </w:r>
      <w:r w:rsidR="0036794D">
        <w:rPr>
          <w:rFonts w:ascii="Times" w:hAnsi="Times"/>
        </w:rPr>
        <w:t xml:space="preserve"> </w:t>
      </w:r>
      <w:r w:rsidR="00CC7665">
        <w:rPr>
          <w:rFonts w:ascii="Times" w:hAnsi="Times"/>
        </w:rPr>
        <w:t>Exercise has proved to have a positive impact on immunosenescence with studies emphasising that regular physical activity could mean that an individual will have less risk of defective immune aging.</w:t>
      </w:r>
      <w:r w:rsidR="00A9128E">
        <w:rPr>
          <w:rFonts w:ascii="Times" w:hAnsi="Times"/>
        </w:rPr>
        <w:t xml:space="preserve"> (</w:t>
      </w:r>
      <w:proofErr w:type="spellStart"/>
      <w:r w:rsidR="00A9128E">
        <w:rPr>
          <w:rFonts w:ascii="Times" w:hAnsi="Times"/>
        </w:rPr>
        <w:t>Weyh</w:t>
      </w:r>
      <w:proofErr w:type="spellEnd"/>
      <w:r w:rsidR="00A9128E">
        <w:rPr>
          <w:rFonts w:ascii="Times" w:hAnsi="Times"/>
        </w:rPr>
        <w:t xml:space="preserve">, </w:t>
      </w:r>
      <w:proofErr w:type="spellStart"/>
      <w:r w:rsidR="00A9128E">
        <w:rPr>
          <w:rFonts w:ascii="Times" w:hAnsi="Times"/>
        </w:rPr>
        <w:t>Krüger</w:t>
      </w:r>
      <w:proofErr w:type="spellEnd"/>
      <w:r w:rsidR="00A9128E">
        <w:rPr>
          <w:rFonts w:ascii="Times" w:hAnsi="Times"/>
        </w:rPr>
        <w:t xml:space="preserve"> &amp; Strasser, 2020).</w:t>
      </w:r>
      <w:r w:rsidR="00AC27C2">
        <w:rPr>
          <w:rFonts w:ascii="Times" w:hAnsi="Times"/>
        </w:rPr>
        <w:t xml:space="preserve"> Venkatraman &amp; Fernandes’s (1997) paper mentions a study that was conducted which involved healthy centenarians. This study concluded that it is possible to transform the immune system to secure </w:t>
      </w:r>
      <w:r w:rsidR="005D61CE">
        <w:rPr>
          <w:rFonts w:ascii="Times" w:hAnsi="Times"/>
        </w:rPr>
        <w:t xml:space="preserve">a greater quality and a healthy life with less chance of disease. This was a result of consistent participation in physical activity. The individuals who were partaking in exercise or some form of physical activity were experiencing increased levels of hormones released, which would slowly assist </w:t>
      </w:r>
      <w:r w:rsidR="008C3BBA">
        <w:rPr>
          <w:rFonts w:ascii="Times" w:hAnsi="Times"/>
        </w:rPr>
        <w:t>in counteracting cell death and returning to a healthy immune system. (Venkatraman &amp; Fernandes, 1997).</w:t>
      </w:r>
      <w:r w:rsidR="007D0F00">
        <w:rPr>
          <w:rFonts w:ascii="Times" w:hAnsi="Times"/>
        </w:rPr>
        <w:t xml:space="preserve"> </w:t>
      </w:r>
      <w:r w:rsidR="00B55790">
        <w:rPr>
          <w:rFonts w:ascii="Times" w:hAnsi="Times"/>
        </w:rPr>
        <w:t xml:space="preserve">Therefore, previous studies have concluded that it is vital for elderly people to take part in exercise and physical activity to ensure that they face less issues with immunosenescence and </w:t>
      </w:r>
      <w:r w:rsidR="004C0E2C">
        <w:rPr>
          <w:rFonts w:ascii="Times" w:hAnsi="Times"/>
        </w:rPr>
        <w:t>furthermore</w:t>
      </w:r>
      <w:r w:rsidR="00B55790">
        <w:rPr>
          <w:rFonts w:ascii="Times" w:hAnsi="Times"/>
        </w:rPr>
        <w:t xml:space="preserve"> cognitive decline.  </w:t>
      </w:r>
    </w:p>
    <w:p w14:paraId="2863B1C5" w14:textId="399963FF" w:rsidR="004C0E2C" w:rsidRDefault="004C0E2C" w:rsidP="00D72353">
      <w:pPr>
        <w:pStyle w:val="NormalWeb"/>
        <w:spacing w:line="360" w:lineRule="auto"/>
        <w:rPr>
          <w:rFonts w:ascii="Times" w:hAnsi="Times"/>
        </w:rPr>
      </w:pPr>
      <w:r>
        <w:rPr>
          <w:rFonts w:ascii="Times" w:hAnsi="Times"/>
        </w:rPr>
        <w:lastRenderedPageBreak/>
        <w:t xml:space="preserve">   Neural development can take place until an individual is near 30 years old. Neurons in the brain begin to lose function later on in life. This process occurs as a result of genetics and environmental factors. During this time, individuals should find strategies and interventions to lower the risk of cognitive decline. </w:t>
      </w:r>
      <w:r w:rsidR="00362A2D">
        <w:rPr>
          <w:rFonts w:ascii="Times" w:hAnsi="Times"/>
        </w:rPr>
        <w:t xml:space="preserve">(Flanagan et al., 2020). </w:t>
      </w:r>
      <w:r>
        <w:rPr>
          <w:rFonts w:ascii="Times" w:hAnsi="Times"/>
        </w:rPr>
        <w:t xml:space="preserve">Another intervention which has proved to be highly effective is the importance of good nutrition for healthy ageing. (Flanagan et al., 2020). </w:t>
      </w:r>
    </w:p>
    <w:p w14:paraId="673D438E" w14:textId="1851AB7F" w:rsidR="00480875" w:rsidRDefault="004C0E2C" w:rsidP="00D72353">
      <w:pPr>
        <w:pStyle w:val="NormalWeb"/>
        <w:spacing w:line="360" w:lineRule="auto"/>
        <w:rPr>
          <w:rFonts w:ascii="Times" w:hAnsi="Times"/>
        </w:rPr>
      </w:pPr>
      <w:r>
        <w:rPr>
          <w:rFonts w:ascii="Times" w:hAnsi="Times"/>
        </w:rPr>
        <w:t xml:space="preserve">    There are many different nutrients, including vitamins which are beneficial for an individual when considering cognition and can have a great impact on brain ageing. A higher intake of B vitamins has proved to be linked with an overall lower risk of Alzheimer’s disease and dementia. (Flanagan et al., 2020). Smith et al., (2010) VITACOG study included 270 participants who were 70 years old that displayed factors of cognitive impairment. Over the course of this two-year study, participants were given either a placebo, or a vitamin B tablet. The outcomes of this study highlighted the better outcomes for those who had taken the vitamin over this time. After exposure of 0.5 mg of B12, there was a 30% reduction in brain deterioration shown by MRI scans. (Smith et al., 2010). This further proves the importance of nutrition on brain health. </w:t>
      </w:r>
      <w:r w:rsidR="004E5370">
        <w:rPr>
          <w:rFonts w:ascii="Times" w:hAnsi="Times"/>
        </w:rPr>
        <w:t>Although extensive work needs to be conducted, many have also claimed that lacking vitamin D can also be linked to dementia. Therefore, consumption of vitamin D could also be beneficial for elderly people. (Flanagan et al., 2020).</w:t>
      </w:r>
      <w:r w:rsidR="00EE6EC1">
        <w:rPr>
          <w:rFonts w:ascii="Times" w:hAnsi="Times"/>
        </w:rPr>
        <w:t xml:space="preserve"> </w:t>
      </w:r>
      <w:r w:rsidR="00362A2D">
        <w:rPr>
          <w:rFonts w:ascii="Times" w:hAnsi="Times"/>
        </w:rPr>
        <w:t>In addition to vitamin B and D, studies have also shown that omega-3 fatty acids are also favourable for the use of lowering cognitive decline in elderly people. Extensive research has concluded that utilization of omega-3 fatty acids has helped those who are suffering from dementia and can be very helpful to those who consume it. (Flanagan et al., 2020). This shows that there are interventions and other multi-nutrient interventions available that could possibly help individuals slow down cognitive decline with age.</w:t>
      </w:r>
    </w:p>
    <w:p w14:paraId="102CD7FE" w14:textId="2110C50B" w:rsidR="00480875" w:rsidRDefault="00480875" w:rsidP="00D72353">
      <w:pPr>
        <w:pStyle w:val="NormalWeb"/>
        <w:spacing w:line="360" w:lineRule="auto"/>
        <w:rPr>
          <w:rFonts w:ascii="Times" w:hAnsi="Times"/>
        </w:rPr>
      </w:pPr>
      <w:r>
        <w:rPr>
          <w:rFonts w:ascii="Times" w:hAnsi="Times"/>
        </w:rPr>
        <w:t xml:space="preserve">   Having a healthy lifestyle which consists of regular exercise and a healthy diet has had a significant impact on cognitive decline in elderly people. This also has a positive effect on the immune system which is consequential for individuals who are ageing. The Mediterranean diet has certainly prevailed this with extensive work focusing on it in many studies. The intake of the nutrients used in diets like these extend brain health and also assist other conditions such as cancer and heart disease. (Flanagan et al., 2020). The Mediterranean diet consists of plants, fruit and vegetables, nuts, oils and cereals. Individuals who also follow this diet must consume a moderate amount of dairy products such as fermented cheese and </w:t>
      </w:r>
      <w:r>
        <w:rPr>
          <w:rFonts w:ascii="Times" w:hAnsi="Times"/>
        </w:rPr>
        <w:lastRenderedPageBreak/>
        <w:t xml:space="preserve">low amounts of wine, red meat and fish. This healthy diet helps slow cognitive </w:t>
      </w:r>
      <w:proofErr w:type="gramStart"/>
      <w:r>
        <w:rPr>
          <w:rFonts w:ascii="Times" w:hAnsi="Times"/>
        </w:rPr>
        <w:t>decline</w:t>
      </w:r>
      <w:proofErr w:type="gramEnd"/>
      <w:r>
        <w:rPr>
          <w:rFonts w:ascii="Times" w:hAnsi="Times"/>
        </w:rPr>
        <w:t xml:space="preserve"> and many have proved it to be resourceful. </w:t>
      </w:r>
      <w:r w:rsidR="00921014">
        <w:rPr>
          <w:rFonts w:ascii="Times" w:hAnsi="Times"/>
        </w:rPr>
        <w:t>(Flanagan et al., 2020).</w:t>
      </w:r>
    </w:p>
    <w:p w14:paraId="1B6403F3" w14:textId="54D1DA66" w:rsidR="00921014" w:rsidRDefault="00921014" w:rsidP="00D72353">
      <w:pPr>
        <w:pStyle w:val="NormalWeb"/>
        <w:spacing w:line="360" w:lineRule="auto"/>
        <w:rPr>
          <w:rFonts w:ascii="Times" w:hAnsi="Times"/>
        </w:rPr>
      </w:pPr>
      <w:r>
        <w:rPr>
          <w:rFonts w:ascii="Times" w:hAnsi="Times"/>
        </w:rPr>
        <w:t xml:space="preserve">   The immune system is typically extremely effective for the first 40 years of an individual’s life, but slowly starts to decline as the years go on. The immune system declines with age which can result in conditions such as dementia, but there are several interventions that are possible for individuals to perpetuate to prevent early and fast decline. </w:t>
      </w:r>
      <w:r w:rsidR="009A1586">
        <w:rPr>
          <w:rFonts w:ascii="Times" w:hAnsi="Times"/>
        </w:rPr>
        <w:t xml:space="preserve">(Tangestani Fard &amp; </w:t>
      </w:r>
      <w:proofErr w:type="spellStart"/>
      <w:r w:rsidR="009A1586">
        <w:rPr>
          <w:rFonts w:ascii="Times" w:hAnsi="Times"/>
        </w:rPr>
        <w:t>Stough</w:t>
      </w:r>
      <w:proofErr w:type="spellEnd"/>
      <w:r w:rsidR="009A1586">
        <w:rPr>
          <w:rFonts w:ascii="Times" w:hAnsi="Times"/>
        </w:rPr>
        <w:t xml:space="preserve">, 2019). </w:t>
      </w:r>
      <w:r>
        <w:rPr>
          <w:rFonts w:ascii="Times" w:hAnsi="Times"/>
        </w:rPr>
        <w:t xml:space="preserve">Consuming the correct nutrients and having a balanced diet, as well as maintaining fitness levels can contribute massively to cognitive decline. Not only does it offer a better quality of life, but it also promises successful, healthy brain ageing for elderly people. (Tangestani Fard &amp; </w:t>
      </w:r>
      <w:proofErr w:type="spellStart"/>
      <w:r>
        <w:rPr>
          <w:rFonts w:ascii="Times" w:hAnsi="Times"/>
        </w:rPr>
        <w:t>Stough</w:t>
      </w:r>
      <w:proofErr w:type="spellEnd"/>
      <w:r>
        <w:rPr>
          <w:rFonts w:ascii="Times" w:hAnsi="Times"/>
        </w:rPr>
        <w:t>, 2019).</w:t>
      </w:r>
      <w:r w:rsidR="009521BF">
        <w:rPr>
          <w:rFonts w:ascii="Times" w:hAnsi="Times"/>
        </w:rPr>
        <w:t xml:space="preserve"> An individual who is 80 years old typically has 10% less brain mass than when they were younger. Every decade after the age of 50, an individual’s brain mass declines from 2-3% which emphasises the need for interventions to protect them from further complications and conditions such as Alzheimer’s disease and dementia. (Tangestani Fard &amp; </w:t>
      </w:r>
      <w:proofErr w:type="spellStart"/>
      <w:r w:rsidR="009521BF">
        <w:rPr>
          <w:rFonts w:ascii="Times" w:hAnsi="Times"/>
        </w:rPr>
        <w:t>Stough</w:t>
      </w:r>
      <w:proofErr w:type="spellEnd"/>
      <w:r w:rsidR="009521BF">
        <w:rPr>
          <w:rFonts w:ascii="Times" w:hAnsi="Times"/>
        </w:rPr>
        <w:t xml:space="preserve">, 2019). Therefore, as many others have culminated in previous studies, focusing on strengthening the immune system by following specific diets or ensuring ingestion of specific nutrients, as well as physical activity, can have a positive effect on the ageing brain and furthermore could slow down cognitive decline. </w:t>
      </w:r>
      <w:r w:rsidR="00757B02">
        <w:rPr>
          <w:rFonts w:ascii="Times" w:hAnsi="Times"/>
        </w:rPr>
        <w:t xml:space="preserve">Further work needs to be conducted to offer other strategies to assist with immunosenescence and the slowing of cognitive decline. </w:t>
      </w:r>
    </w:p>
    <w:p w14:paraId="21DC77A4" w14:textId="77777777" w:rsidR="00D72353" w:rsidRPr="00D72353" w:rsidRDefault="00D72353" w:rsidP="00D72353">
      <w:pPr>
        <w:pStyle w:val="NormalWeb"/>
        <w:spacing w:line="360" w:lineRule="auto"/>
        <w:rPr>
          <w:rFonts w:ascii="Times" w:hAnsi="Times"/>
        </w:rPr>
      </w:pPr>
    </w:p>
    <w:p w14:paraId="275EE133" w14:textId="77777777" w:rsidR="004C0E2C" w:rsidRDefault="004C0E2C"/>
    <w:p w14:paraId="4D589F4C" w14:textId="77777777" w:rsidR="004C0E2C" w:rsidRDefault="004C0E2C"/>
    <w:p w14:paraId="5878A4D7" w14:textId="77777777" w:rsidR="004C0E2C" w:rsidRDefault="004C0E2C"/>
    <w:p w14:paraId="105E7585" w14:textId="77777777" w:rsidR="004C0E2C" w:rsidRDefault="004C0E2C"/>
    <w:p w14:paraId="2E5CE418" w14:textId="77777777" w:rsidR="004C0E2C" w:rsidRDefault="004C0E2C"/>
    <w:p w14:paraId="7581CDB1" w14:textId="77777777" w:rsidR="004C0E2C" w:rsidRDefault="004C0E2C"/>
    <w:p w14:paraId="5E80A22E" w14:textId="77777777" w:rsidR="004C0E2C" w:rsidRDefault="004C0E2C"/>
    <w:p w14:paraId="6B70E47B" w14:textId="77777777" w:rsidR="004C0E2C" w:rsidRDefault="004C0E2C"/>
    <w:p w14:paraId="70606AB9" w14:textId="77777777" w:rsidR="004C0E2C" w:rsidRDefault="004C0E2C"/>
    <w:p w14:paraId="02C92EB0" w14:textId="77777777" w:rsidR="004C0E2C" w:rsidRDefault="004C0E2C"/>
    <w:p w14:paraId="4E7054A8" w14:textId="77777777" w:rsidR="004C0E2C" w:rsidRDefault="004C0E2C"/>
    <w:p w14:paraId="4C1B6A10" w14:textId="77777777" w:rsidR="004C0E2C" w:rsidRDefault="004C0E2C"/>
    <w:p w14:paraId="4A5B981D" w14:textId="77777777" w:rsidR="004C0E2C" w:rsidRDefault="004C0E2C"/>
    <w:p w14:paraId="653F49AF" w14:textId="77777777" w:rsidR="004C0E2C" w:rsidRDefault="004C0E2C"/>
    <w:p w14:paraId="78CEF176" w14:textId="77777777" w:rsidR="004C0E2C" w:rsidRDefault="004C0E2C"/>
    <w:p w14:paraId="75D941CC" w14:textId="77777777" w:rsidR="004C0E2C" w:rsidRDefault="004C0E2C"/>
    <w:p w14:paraId="07536C89" w14:textId="614E329A" w:rsidR="009A1586" w:rsidRDefault="009A1586"/>
    <w:p w14:paraId="0FF83B9A" w14:textId="77777777" w:rsidR="00757B02" w:rsidRDefault="00757B02"/>
    <w:p w14:paraId="5259E436" w14:textId="77777777" w:rsidR="009A1586" w:rsidRDefault="009A1586"/>
    <w:p w14:paraId="2F062F93" w14:textId="77777777" w:rsidR="009A1586" w:rsidRDefault="009A1586"/>
    <w:p w14:paraId="6DAC74F9" w14:textId="5D94C2E8" w:rsidR="005A7028" w:rsidRDefault="005A7028">
      <w:r>
        <w:t>Ref</w:t>
      </w:r>
    </w:p>
    <w:p w14:paraId="6E2A4B35" w14:textId="67942C2F" w:rsidR="005A7028" w:rsidRDefault="005A7028"/>
    <w:p w14:paraId="4E8491E6" w14:textId="77777777" w:rsidR="005A7028" w:rsidRPr="005A7028" w:rsidRDefault="005A7028" w:rsidP="005A7028">
      <w:proofErr w:type="spellStart"/>
      <w:r w:rsidRPr="005A7028">
        <w:rPr>
          <w:rFonts w:ascii="Open Sans" w:hAnsi="Open Sans" w:cs="Open Sans"/>
          <w:color w:val="000000"/>
          <w:sz w:val="20"/>
          <w:szCs w:val="20"/>
          <w:shd w:val="clear" w:color="auto" w:fill="FFFFFF"/>
        </w:rPr>
        <w:t>Pais</w:t>
      </w:r>
      <w:proofErr w:type="spellEnd"/>
      <w:r w:rsidRPr="005A7028">
        <w:rPr>
          <w:rFonts w:ascii="Open Sans" w:hAnsi="Open Sans" w:cs="Open Sans"/>
          <w:color w:val="000000"/>
          <w:sz w:val="20"/>
          <w:szCs w:val="20"/>
          <w:shd w:val="clear" w:color="auto" w:fill="FFFFFF"/>
        </w:rPr>
        <w:t xml:space="preserve">, R., </w:t>
      </w:r>
      <w:proofErr w:type="spellStart"/>
      <w:r w:rsidRPr="005A7028">
        <w:rPr>
          <w:rFonts w:ascii="Open Sans" w:hAnsi="Open Sans" w:cs="Open Sans"/>
          <w:color w:val="000000"/>
          <w:sz w:val="20"/>
          <w:szCs w:val="20"/>
          <w:shd w:val="clear" w:color="auto" w:fill="FFFFFF"/>
        </w:rPr>
        <w:t>Ruano</w:t>
      </w:r>
      <w:proofErr w:type="spellEnd"/>
      <w:r w:rsidRPr="005A7028">
        <w:rPr>
          <w:rFonts w:ascii="Open Sans" w:hAnsi="Open Sans" w:cs="Open Sans"/>
          <w:color w:val="000000"/>
          <w:sz w:val="20"/>
          <w:szCs w:val="20"/>
          <w:shd w:val="clear" w:color="auto" w:fill="FFFFFF"/>
        </w:rPr>
        <w:t>, L., P. Carvalho, O., &amp; Barros, H. (2020). Global Cognitive Impairment Prevalence and Incidence in Community Dwelling Older Adults—A Systematic Review. </w:t>
      </w:r>
      <w:r w:rsidRPr="005A7028">
        <w:rPr>
          <w:rFonts w:ascii="Open Sans" w:hAnsi="Open Sans" w:cs="Open Sans"/>
          <w:i/>
          <w:iCs/>
          <w:color w:val="000000"/>
          <w:sz w:val="20"/>
          <w:szCs w:val="20"/>
        </w:rPr>
        <w:t>Geriatrics</w:t>
      </w:r>
      <w:r w:rsidRPr="005A7028">
        <w:rPr>
          <w:rFonts w:ascii="Open Sans" w:hAnsi="Open Sans" w:cs="Open Sans"/>
          <w:color w:val="000000"/>
          <w:sz w:val="20"/>
          <w:szCs w:val="20"/>
          <w:shd w:val="clear" w:color="auto" w:fill="FFFFFF"/>
        </w:rPr>
        <w:t>, </w:t>
      </w:r>
      <w:r w:rsidRPr="005A7028">
        <w:rPr>
          <w:rFonts w:ascii="Open Sans" w:hAnsi="Open Sans" w:cs="Open Sans"/>
          <w:i/>
          <w:iCs/>
          <w:color w:val="000000"/>
          <w:sz w:val="20"/>
          <w:szCs w:val="20"/>
        </w:rPr>
        <w:t>5</w:t>
      </w:r>
      <w:r w:rsidRPr="005A7028">
        <w:rPr>
          <w:rFonts w:ascii="Open Sans" w:hAnsi="Open Sans" w:cs="Open Sans"/>
          <w:color w:val="000000"/>
          <w:sz w:val="20"/>
          <w:szCs w:val="20"/>
          <w:shd w:val="clear" w:color="auto" w:fill="FFFFFF"/>
        </w:rPr>
        <w:t xml:space="preserve">(4), 84. </w:t>
      </w:r>
      <w:proofErr w:type="spellStart"/>
      <w:r w:rsidRPr="005A7028">
        <w:rPr>
          <w:rFonts w:ascii="Open Sans" w:hAnsi="Open Sans" w:cs="Open Sans"/>
          <w:color w:val="000000"/>
          <w:sz w:val="20"/>
          <w:szCs w:val="20"/>
          <w:shd w:val="clear" w:color="auto" w:fill="FFFFFF"/>
        </w:rPr>
        <w:t>doi</w:t>
      </w:r>
      <w:proofErr w:type="spellEnd"/>
      <w:r w:rsidRPr="005A7028">
        <w:rPr>
          <w:rFonts w:ascii="Open Sans" w:hAnsi="Open Sans" w:cs="Open Sans"/>
          <w:color w:val="000000"/>
          <w:sz w:val="20"/>
          <w:szCs w:val="20"/>
          <w:shd w:val="clear" w:color="auto" w:fill="FFFFFF"/>
        </w:rPr>
        <w:t>: 10.3390/geriatrics5040084</w:t>
      </w:r>
    </w:p>
    <w:p w14:paraId="3A6FF1B3" w14:textId="157FD89B" w:rsidR="005A7028" w:rsidRDefault="005A7028"/>
    <w:p w14:paraId="15C6A142" w14:textId="0F4C02D4" w:rsidR="00312589" w:rsidRDefault="00312589" w:rsidP="00312589">
      <w:pPr>
        <w:rPr>
          <w:rFonts w:ascii="Open Sans" w:hAnsi="Open Sans" w:cs="Open Sans"/>
          <w:color w:val="000000"/>
          <w:sz w:val="20"/>
          <w:szCs w:val="20"/>
          <w:shd w:val="clear" w:color="auto" w:fill="FFFFFF"/>
        </w:rPr>
      </w:pPr>
      <w:proofErr w:type="spellStart"/>
      <w:r w:rsidRPr="00312589">
        <w:rPr>
          <w:rFonts w:ascii="Open Sans" w:hAnsi="Open Sans" w:cs="Open Sans"/>
          <w:color w:val="000000"/>
          <w:sz w:val="20"/>
          <w:szCs w:val="20"/>
          <w:shd w:val="clear" w:color="auto" w:fill="FFFFFF"/>
        </w:rPr>
        <w:t>Murman</w:t>
      </w:r>
      <w:proofErr w:type="spellEnd"/>
      <w:r w:rsidRPr="00312589">
        <w:rPr>
          <w:rFonts w:ascii="Open Sans" w:hAnsi="Open Sans" w:cs="Open Sans"/>
          <w:color w:val="000000"/>
          <w:sz w:val="20"/>
          <w:szCs w:val="20"/>
          <w:shd w:val="clear" w:color="auto" w:fill="FFFFFF"/>
        </w:rPr>
        <w:t>, D. (2015). The Impact of Age on Cognition. </w:t>
      </w:r>
      <w:r w:rsidRPr="00312589">
        <w:rPr>
          <w:rFonts w:ascii="Open Sans" w:hAnsi="Open Sans" w:cs="Open Sans"/>
          <w:i/>
          <w:iCs/>
          <w:color w:val="000000"/>
          <w:sz w:val="20"/>
          <w:szCs w:val="20"/>
        </w:rPr>
        <w:t>Seminars In Hearing</w:t>
      </w:r>
      <w:r w:rsidRPr="00312589">
        <w:rPr>
          <w:rFonts w:ascii="Open Sans" w:hAnsi="Open Sans" w:cs="Open Sans"/>
          <w:color w:val="000000"/>
          <w:sz w:val="20"/>
          <w:szCs w:val="20"/>
          <w:shd w:val="clear" w:color="auto" w:fill="FFFFFF"/>
        </w:rPr>
        <w:t>, </w:t>
      </w:r>
      <w:r w:rsidRPr="00312589">
        <w:rPr>
          <w:rFonts w:ascii="Open Sans" w:hAnsi="Open Sans" w:cs="Open Sans"/>
          <w:i/>
          <w:iCs/>
          <w:color w:val="000000"/>
          <w:sz w:val="20"/>
          <w:szCs w:val="20"/>
        </w:rPr>
        <w:t>36</w:t>
      </w:r>
      <w:r w:rsidRPr="00312589">
        <w:rPr>
          <w:rFonts w:ascii="Open Sans" w:hAnsi="Open Sans" w:cs="Open Sans"/>
          <w:color w:val="000000"/>
          <w:sz w:val="20"/>
          <w:szCs w:val="20"/>
          <w:shd w:val="clear" w:color="auto" w:fill="FFFFFF"/>
        </w:rPr>
        <w:t xml:space="preserve">(03), 111-121. </w:t>
      </w:r>
      <w:proofErr w:type="spellStart"/>
      <w:r w:rsidRPr="00312589">
        <w:rPr>
          <w:rFonts w:ascii="Open Sans" w:hAnsi="Open Sans" w:cs="Open Sans"/>
          <w:color w:val="000000"/>
          <w:sz w:val="20"/>
          <w:szCs w:val="20"/>
          <w:shd w:val="clear" w:color="auto" w:fill="FFFFFF"/>
        </w:rPr>
        <w:t>doi</w:t>
      </w:r>
      <w:proofErr w:type="spellEnd"/>
      <w:r w:rsidRPr="00312589">
        <w:rPr>
          <w:rFonts w:ascii="Open Sans" w:hAnsi="Open Sans" w:cs="Open Sans"/>
          <w:color w:val="000000"/>
          <w:sz w:val="20"/>
          <w:szCs w:val="20"/>
          <w:shd w:val="clear" w:color="auto" w:fill="FFFFFF"/>
        </w:rPr>
        <w:t>: 10.1055/s-0035-1555115</w:t>
      </w:r>
    </w:p>
    <w:p w14:paraId="72153D0E" w14:textId="33D42B36" w:rsidR="009A175C" w:rsidRDefault="009A175C" w:rsidP="00312589">
      <w:pPr>
        <w:rPr>
          <w:rFonts w:ascii="Open Sans" w:hAnsi="Open Sans" w:cs="Open Sans"/>
          <w:color w:val="000000"/>
          <w:sz w:val="20"/>
          <w:szCs w:val="20"/>
          <w:shd w:val="clear" w:color="auto" w:fill="FFFFFF"/>
        </w:rPr>
      </w:pPr>
    </w:p>
    <w:p w14:paraId="32E97557" w14:textId="63EC2D0C" w:rsidR="009A175C" w:rsidRDefault="009A175C" w:rsidP="009A175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Owens, D., Davidson, K., </w:t>
      </w:r>
      <w:proofErr w:type="spellStart"/>
      <w:r>
        <w:rPr>
          <w:rFonts w:ascii="Open Sans" w:hAnsi="Open Sans" w:cs="Open Sans"/>
          <w:color w:val="000000"/>
          <w:sz w:val="20"/>
          <w:szCs w:val="20"/>
          <w:shd w:val="clear" w:color="auto" w:fill="FFFFFF"/>
        </w:rPr>
        <w:t>Krist</w:t>
      </w:r>
      <w:proofErr w:type="spell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A., B</w:t>
      </w:r>
      <w:proofErr w:type="spellEnd"/>
      <w:r>
        <w:rPr>
          <w:rFonts w:ascii="Open Sans" w:hAnsi="Open Sans" w:cs="Open Sans"/>
          <w:color w:val="000000"/>
          <w:sz w:val="20"/>
          <w:szCs w:val="20"/>
          <w:shd w:val="clear" w:color="auto" w:fill="FFFFFF"/>
        </w:rPr>
        <w:t xml:space="preserve">arry, M., Cabana, M., &amp; </w:t>
      </w:r>
      <w:proofErr w:type="spellStart"/>
      <w:r>
        <w:rPr>
          <w:rFonts w:ascii="Open Sans" w:hAnsi="Open Sans" w:cs="Open Sans"/>
          <w:color w:val="000000"/>
          <w:sz w:val="20"/>
          <w:szCs w:val="20"/>
          <w:shd w:val="clear" w:color="auto" w:fill="FFFFFF"/>
        </w:rPr>
        <w:t>Caughey</w:t>
      </w:r>
      <w:proofErr w:type="spellEnd"/>
      <w:r>
        <w:rPr>
          <w:rFonts w:ascii="Open Sans" w:hAnsi="Open Sans" w:cs="Open Sans"/>
          <w:color w:val="000000"/>
          <w:sz w:val="20"/>
          <w:szCs w:val="20"/>
          <w:shd w:val="clear" w:color="auto" w:fill="FFFFFF"/>
        </w:rPr>
        <w:t>, A. et al. (2020). Screening for Cognitive Impairment in Older Adults.</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JAMA</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323</w:t>
      </w:r>
      <w:r>
        <w:rPr>
          <w:rFonts w:ascii="Open Sans" w:hAnsi="Open Sans" w:cs="Open Sans"/>
          <w:color w:val="000000"/>
          <w:sz w:val="20"/>
          <w:szCs w:val="20"/>
          <w:shd w:val="clear" w:color="auto" w:fill="FFFFFF"/>
        </w:rPr>
        <w:t xml:space="preserve">(8), 757.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10.1001/jama.2020.0435</w:t>
      </w:r>
    </w:p>
    <w:p w14:paraId="76891C7E" w14:textId="051706A3" w:rsidR="009A175C" w:rsidRDefault="009A175C" w:rsidP="009A175C">
      <w:pPr>
        <w:rPr>
          <w:rFonts w:ascii="Open Sans" w:hAnsi="Open Sans" w:cs="Open Sans"/>
          <w:color w:val="000000"/>
          <w:sz w:val="20"/>
          <w:szCs w:val="20"/>
          <w:shd w:val="clear" w:color="auto" w:fill="FFFFFF"/>
        </w:rPr>
      </w:pPr>
    </w:p>
    <w:p w14:paraId="2B8556CF" w14:textId="77777777" w:rsidR="009A175C" w:rsidRDefault="009A175C" w:rsidP="009A175C">
      <w:proofErr w:type="spellStart"/>
      <w:r>
        <w:rPr>
          <w:rFonts w:ascii="Open Sans" w:hAnsi="Open Sans" w:cs="Open Sans"/>
          <w:color w:val="000000"/>
          <w:sz w:val="20"/>
          <w:szCs w:val="20"/>
          <w:shd w:val="clear" w:color="auto" w:fill="FFFFFF"/>
        </w:rPr>
        <w:t>Peracino</w:t>
      </w:r>
      <w:proofErr w:type="spellEnd"/>
      <w:r>
        <w:rPr>
          <w:rFonts w:ascii="Open Sans" w:hAnsi="Open Sans" w:cs="Open Sans"/>
          <w:color w:val="000000"/>
          <w:sz w:val="20"/>
          <w:szCs w:val="20"/>
          <w:shd w:val="clear" w:color="auto" w:fill="FFFFFF"/>
        </w:rPr>
        <w:t xml:space="preserve">, A., &amp; </w:t>
      </w:r>
      <w:proofErr w:type="spellStart"/>
      <w:r>
        <w:rPr>
          <w:rFonts w:ascii="Open Sans" w:hAnsi="Open Sans" w:cs="Open Sans"/>
          <w:color w:val="000000"/>
          <w:sz w:val="20"/>
          <w:szCs w:val="20"/>
          <w:shd w:val="clear" w:color="auto" w:fill="FFFFFF"/>
        </w:rPr>
        <w:t>Pecorelli</w:t>
      </w:r>
      <w:proofErr w:type="spellEnd"/>
      <w:r>
        <w:rPr>
          <w:rFonts w:ascii="Open Sans" w:hAnsi="Open Sans" w:cs="Open Sans"/>
          <w:color w:val="000000"/>
          <w:sz w:val="20"/>
          <w:szCs w:val="20"/>
          <w:shd w:val="clear" w:color="auto" w:fill="FFFFFF"/>
        </w:rPr>
        <w:t>, S. (2016). The Epidemiology of Cognitive Impairment in the Aging Population: Implications for Hearing Loss.</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Audiology And Neurotology</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21</w:t>
      </w:r>
      <w:r>
        <w:rPr>
          <w:rFonts w:ascii="Open Sans" w:hAnsi="Open Sans" w:cs="Open Sans"/>
          <w:color w:val="000000"/>
          <w:sz w:val="20"/>
          <w:szCs w:val="20"/>
          <w:shd w:val="clear" w:color="auto" w:fill="FFFFFF"/>
        </w:rPr>
        <w:t xml:space="preserve">(Suppl. 1), 3-9.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10.1159/000448346</w:t>
      </w:r>
    </w:p>
    <w:p w14:paraId="5F664E3D" w14:textId="73A0988E" w:rsidR="009A175C" w:rsidRDefault="009A175C" w:rsidP="009A175C"/>
    <w:p w14:paraId="66961D66" w14:textId="77777777" w:rsidR="008140B2" w:rsidRDefault="008140B2" w:rsidP="008140B2">
      <w:proofErr w:type="spellStart"/>
      <w:r>
        <w:rPr>
          <w:rFonts w:ascii="Open Sans" w:hAnsi="Open Sans" w:cs="Open Sans"/>
          <w:color w:val="000000"/>
          <w:sz w:val="20"/>
          <w:szCs w:val="20"/>
          <w:shd w:val="clear" w:color="auto" w:fill="FFFFFF"/>
        </w:rPr>
        <w:t>Fulop</w:t>
      </w:r>
      <w:proofErr w:type="spellEnd"/>
      <w:r>
        <w:rPr>
          <w:rFonts w:ascii="Open Sans" w:hAnsi="Open Sans" w:cs="Open Sans"/>
          <w:color w:val="000000"/>
          <w:sz w:val="20"/>
          <w:szCs w:val="20"/>
          <w:shd w:val="clear" w:color="auto" w:fill="FFFFFF"/>
        </w:rPr>
        <w:t>, T., Witkowski, J., Pawelec, G., Alan, C., &amp; Larbi, A. (2014). On the Immunological Theory of Aging.</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Aging</w:t>
      </w:r>
      <w:r>
        <w:rPr>
          <w:rFonts w:ascii="Open Sans" w:hAnsi="Open Sans" w:cs="Open Sans"/>
          <w:color w:val="000000"/>
          <w:sz w:val="20"/>
          <w:szCs w:val="20"/>
          <w:shd w:val="clear" w:color="auto" w:fill="FFFFFF"/>
        </w:rPr>
        <w:t xml:space="preserve">, 163-176.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10.1159/000358904</w:t>
      </w:r>
    </w:p>
    <w:p w14:paraId="73097E83" w14:textId="53028AD6" w:rsidR="008140B2" w:rsidRDefault="008140B2" w:rsidP="009A175C"/>
    <w:p w14:paraId="0B7883E5" w14:textId="77777777" w:rsidR="00E130B7" w:rsidRDefault="00E130B7" w:rsidP="00E130B7">
      <w:r>
        <w:rPr>
          <w:rFonts w:ascii="Open Sans" w:hAnsi="Open Sans" w:cs="Open Sans"/>
          <w:color w:val="000000"/>
          <w:sz w:val="20"/>
          <w:szCs w:val="20"/>
          <w:shd w:val="clear" w:color="auto" w:fill="FFFFFF"/>
        </w:rPr>
        <w:t>Haynes, L. (2020). Aging of the Immune System: Research Challenges to Enhance the Health Span of Older Adults.</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Frontiers In Aging</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w:t>
      </w:r>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10.3389/fragi.2020.602108</w:t>
      </w:r>
    </w:p>
    <w:p w14:paraId="23951946" w14:textId="7191546D" w:rsidR="00E130B7" w:rsidRDefault="00E130B7" w:rsidP="009A175C"/>
    <w:p w14:paraId="38D08A46" w14:textId="3C1081CC" w:rsidR="00AE2845" w:rsidRDefault="00AE2845" w:rsidP="00AE284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Martins Van Jaarsveld, G. (2020). The Effects of COVID-19 Among the Elderly Population: A Case for Closing the Digital Divide.</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Frontiers In Psychiatry</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11</w:t>
      </w:r>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10.3389/fpsyt.2020.577427</w:t>
      </w:r>
    </w:p>
    <w:p w14:paraId="605032EB" w14:textId="7FBE49F8" w:rsidR="006D4450" w:rsidRDefault="006D4450" w:rsidP="00AE2845">
      <w:pPr>
        <w:rPr>
          <w:rFonts w:ascii="Open Sans" w:hAnsi="Open Sans" w:cs="Open Sans"/>
          <w:color w:val="000000"/>
          <w:sz w:val="20"/>
          <w:szCs w:val="20"/>
          <w:shd w:val="clear" w:color="auto" w:fill="FFFFFF"/>
        </w:rPr>
      </w:pPr>
    </w:p>
    <w:p w14:paraId="55470798" w14:textId="77777777" w:rsidR="006D4450" w:rsidRDefault="006D4450" w:rsidP="006D4450">
      <w:proofErr w:type="spellStart"/>
      <w:r>
        <w:rPr>
          <w:rFonts w:ascii="Open Sans" w:hAnsi="Open Sans" w:cs="Open Sans"/>
          <w:color w:val="000000"/>
          <w:sz w:val="20"/>
          <w:szCs w:val="20"/>
          <w:shd w:val="clear" w:color="auto" w:fill="FFFFFF"/>
        </w:rPr>
        <w:t>Benros</w:t>
      </w:r>
      <w:proofErr w:type="spellEnd"/>
      <w:r>
        <w:rPr>
          <w:rFonts w:ascii="Open Sans" w:hAnsi="Open Sans" w:cs="Open Sans"/>
          <w:color w:val="000000"/>
          <w:sz w:val="20"/>
          <w:szCs w:val="20"/>
          <w:shd w:val="clear" w:color="auto" w:fill="FFFFFF"/>
        </w:rPr>
        <w:t xml:space="preserve">, M., </w:t>
      </w:r>
      <w:proofErr w:type="spellStart"/>
      <w:r>
        <w:rPr>
          <w:rFonts w:ascii="Open Sans" w:hAnsi="Open Sans" w:cs="Open Sans"/>
          <w:color w:val="000000"/>
          <w:sz w:val="20"/>
          <w:szCs w:val="20"/>
          <w:shd w:val="clear" w:color="auto" w:fill="FFFFFF"/>
        </w:rPr>
        <w:t>Sørensen</w:t>
      </w:r>
      <w:proofErr w:type="spellEnd"/>
      <w:r>
        <w:rPr>
          <w:rFonts w:ascii="Open Sans" w:hAnsi="Open Sans" w:cs="Open Sans"/>
          <w:color w:val="000000"/>
          <w:sz w:val="20"/>
          <w:szCs w:val="20"/>
          <w:shd w:val="clear" w:color="auto" w:fill="FFFFFF"/>
        </w:rPr>
        <w:t xml:space="preserve">, H., Nielsen, P., </w:t>
      </w:r>
      <w:proofErr w:type="spellStart"/>
      <w:r>
        <w:rPr>
          <w:rFonts w:ascii="Open Sans" w:hAnsi="Open Sans" w:cs="Open Sans"/>
          <w:color w:val="000000"/>
          <w:sz w:val="20"/>
          <w:szCs w:val="20"/>
          <w:shd w:val="clear" w:color="auto" w:fill="FFFFFF"/>
        </w:rPr>
        <w:t>Nordentoft</w:t>
      </w:r>
      <w:proofErr w:type="spellEnd"/>
      <w:r>
        <w:rPr>
          <w:rFonts w:ascii="Open Sans" w:hAnsi="Open Sans" w:cs="Open Sans"/>
          <w:color w:val="000000"/>
          <w:sz w:val="20"/>
          <w:szCs w:val="20"/>
          <w:shd w:val="clear" w:color="auto" w:fill="FFFFFF"/>
        </w:rPr>
        <w:t>, M., Mortensen, P., &amp; Petersen, L. (2015). The Association between Infections and General Cognitive Ability in Young Men – A Nationwide Study.</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PLOS ONE</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10</w:t>
      </w:r>
      <w:r>
        <w:rPr>
          <w:rFonts w:ascii="Open Sans" w:hAnsi="Open Sans" w:cs="Open Sans"/>
          <w:color w:val="000000"/>
          <w:sz w:val="20"/>
          <w:szCs w:val="20"/>
          <w:shd w:val="clear" w:color="auto" w:fill="FFFFFF"/>
        </w:rPr>
        <w:t xml:space="preserve">(5), e0124005.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10.1371/journal.pone.0124005</w:t>
      </w:r>
    </w:p>
    <w:p w14:paraId="42289ED0" w14:textId="14BCD227" w:rsidR="006D4450" w:rsidRDefault="006D4450" w:rsidP="00AE2845"/>
    <w:p w14:paraId="14F28BEA" w14:textId="3EBF6AF5" w:rsidR="00A913C9" w:rsidRDefault="00A913C9" w:rsidP="00A913C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Tangestani Fard, M., &amp; </w:t>
      </w:r>
      <w:proofErr w:type="spellStart"/>
      <w:r>
        <w:rPr>
          <w:rFonts w:ascii="Open Sans" w:hAnsi="Open Sans" w:cs="Open Sans"/>
          <w:color w:val="000000"/>
          <w:sz w:val="20"/>
          <w:szCs w:val="20"/>
          <w:shd w:val="clear" w:color="auto" w:fill="FFFFFF"/>
        </w:rPr>
        <w:t>Stough</w:t>
      </w:r>
      <w:proofErr w:type="spellEnd"/>
      <w:r>
        <w:rPr>
          <w:rFonts w:ascii="Open Sans" w:hAnsi="Open Sans" w:cs="Open Sans"/>
          <w:color w:val="000000"/>
          <w:sz w:val="20"/>
          <w:szCs w:val="20"/>
          <w:shd w:val="clear" w:color="auto" w:fill="FFFFFF"/>
        </w:rPr>
        <w:t>, C. (2019). A Review and Hypothesized Model of the Mechanisms That Underpin the Relationship Between Inflammation and Cognition in the Elderly.</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Frontiers In Aging Neuroscience</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11</w:t>
      </w:r>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10.3389/fnagi.2019.00056</w:t>
      </w:r>
    </w:p>
    <w:p w14:paraId="0ADB8995" w14:textId="272D500E" w:rsidR="0061273D" w:rsidRDefault="0061273D" w:rsidP="00A913C9">
      <w:pPr>
        <w:rPr>
          <w:rFonts w:ascii="Open Sans" w:hAnsi="Open Sans" w:cs="Open Sans"/>
          <w:color w:val="000000"/>
          <w:sz w:val="20"/>
          <w:szCs w:val="20"/>
          <w:shd w:val="clear" w:color="auto" w:fill="FFFFFF"/>
        </w:rPr>
      </w:pPr>
    </w:p>
    <w:p w14:paraId="41A2ACE0" w14:textId="77777777" w:rsidR="0061273D" w:rsidRDefault="0061273D" w:rsidP="0061273D">
      <w:r>
        <w:rPr>
          <w:rFonts w:ascii="Open Sans" w:hAnsi="Open Sans" w:cs="Open Sans"/>
          <w:color w:val="000000"/>
          <w:sz w:val="20"/>
          <w:szCs w:val="20"/>
          <w:shd w:val="clear" w:color="auto" w:fill="FFFFFF"/>
        </w:rPr>
        <w:t>Palmore, E., Branch, L., &amp; Harris, D. (2005).</w:t>
      </w:r>
      <w:r>
        <w:rPr>
          <w:rStyle w:val="apple-converted-space"/>
          <w:rFonts w:ascii="Open Sans" w:hAnsi="Open Sans" w:cs="Open Sans"/>
          <w:color w:val="000000"/>
          <w:sz w:val="20"/>
          <w:szCs w:val="20"/>
          <w:shd w:val="clear" w:color="auto" w:fill="FFFFFF"/>
        </w:rPr>
        <w:t> </w:t>
      </w:r>
      <w:proofErr w:type="spellStart"/>
      <w:r>
        <w:rPr>
          <w:rFonts w:ascii="Open Sans" w:hAnsi="Open Sans" w:cs="Open Sans"/>
          <w:i/>
          <w:iCs/>
          <w:color w:val="000000"/>
          <w:sz w:val="20"/>
          <w:szCs w:val="20"/>
        </w:rPr>
        <w:t>Encyclopedia</w:t>
      </w:r>
      <w:proofErr w:type="spellEnd"/>
      <w:r>
        <w:rPr>
          <w:rFonts w:ascii="Open Sans" w:hAnsi="Open Sans" w:cs="Open Sans"/>
          <w:i/>
          <w:iCs/>
          <w:color w:val="000000"/>
          <w:sz w:val="20"/>
          <w:szCs w:val="20"/>
        </w:rPr>
        <w:t xml:space="preserve"> of Ageism</w:t>
      </w:r>
      <w:r>
        <w:rPr>
          <w:rStyle w:val="apple-converted-space"/>
          <w:rFonts w:ascii="Open Sans" w:hAnsi="Open Sans" w:cs="Open Sans"/>
          <w:color w:val="000000"/>
          <w:sz w:val="20"/>
          <w:szCs w:val="20"/>
          <w:shd w:val="clear" w:color="auto" w:fill="FFFFFF"/>
        </w:rPr>
        <w:t> </w:t>
      </w:r>
      <w:r>
        <w:rPr>
          <w:rFonts w:ascii="Open Sans" w:hAnsi="Open Sans" w:cs="Open Sans"/>
          <w:color w:val="000000"/>
          <w:sz w:val="20"/>
          <w:szCs w:val="20"/>
          <w:shd w:val="clear" w:color="auto" w:fill="FFFFFF"/>
        </w:rPr>
        <w:t>(pp. 113-115). NY: The Haworth Pastoral Press.</w:t>
      </w:r>
    </w:p>
    <w:p w14:paraId="1064E974" w14:textId="77777777" w:rsidR="0061273D" w:rsidRPr="0061273D" w:rsidRDefault="0061273D" w:rsidP="00A913C9">
      <w:pPr>
        <w:rPr>
          <w:rFonts w:ascii="Open Sans" w:hAnsi="Open Sans" w:cs="Open Sans"/>
          <w:color w:val="000000"/>
          <w:sz w:val="20"/>
          <w:szCs w:val="20"/>
          <w:shd w:val="clear" w:color="auto" w:fill="FFFFFF"/>
        </w:rPr>
      </w:pPr>
    </w:p>
    <w:p w14:paraId="5525609D" w14:textId="77777777" w:rsidR="0046473A" w:rsidRDefault="0046473A" w:rsidP="0046473A">
      <w:r>
        <w:rPr>
          <w:rFonts w:ascii="Open Sans" w:hAnsi="Open Sans" w:cs="Open Sans"/>
          <w:color w:val="000000"/>
          <w:sz w:val="20"/>
          <w:szCs w:val="20"/>
          <w:shd w:val="clear" w:color="auto" w:fill="FFFFFF"/>
        </w:rPr>
        <w:t xml:space="preserve">Zhou, S., Song, S., </w:t>
      </w:r>
      <w:proofErr w:type="spellStart"/>
      <w:r>
        <w:rPr>
          <w:rFonts w:ascii="Open Sans" w:hAnsi="Open Sans" w:cs="Open Sans"/>
          <w:color w:val="000000"/>
          <w:sz w:val="20"/>
          <w:szCs w:val="20"/>
          <w:shd w:val="clear" w:color="auto" w:fill="FFFFFF"/>
        </w:rPr>
        <w:t>Jin</w:t>
      </w:r>
      <w:proofErr w:type="spellEnd"/>
      <w:r>
        <w:rPr>
          <w:rFonts w:ascii="Open Sans" w:hAnsi="Open Sans" w:cs="Open Sans"/>
          <w:color w:val="000000"/>
          <w:sz w:val="20"/>
          <w:szCs w:val="20"/>
          <w:shd w:val="clear" w:color="auto" w:fill="FFFFFF"/>
        </w:rPr>
        <w:t>, Y., &amp; Zheng, Z. (2020). Prospective association between social engagement and cognitive impairment among middle-aged and older adults: evidence from the China Health and Retirement Longitudinal Study.</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BMJ Open</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10</w:t>
      </w:r>
      <w:r>
        <w:rPr>
          <w:rFonts w:ascii="Open Sans" w:hAnsi="Open Sans" w:cs="Open Sans"/>
          <w:color w:val="000000"/>
          <w:sz w:val="20"/>
          <w:szCs w:val="20"/>
          <w:shd w:val="clear" w:color="auto" w:fill="FFFFFF"/>
        </w:rPr>
        <w:t xml:space="preserve">(11), e040936.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10.1136/bmjopen-2020-040936</w:t>
      </w:r>
    </w:p>
    <w:p w14:paraId="6F60BBFA" w14:textId="050B9F35" w:rsidR="00AE2845" w:rsidRDefault="00AE2845" w:rsidP="009A175C"/>
    <w:p w14:paraId="0E1172B0" w14:textId="71A4954C" w:rsidR="004A61A7" w:rsidRDefault="004A61A7" w:rsidP="004A61A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Read, S., Comas-Herrera, A., &amp; Grundy, E. (2019). Social Isolation and Memory Decline in Later-life.</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 xml:space="preserve">The Journals </w:t>
      </w:r>
      <w:proofErr w:type="gramStart"/>
      <w:r>
        <w:rPr>
          <w:rFonts w:ascii="Open Sans" w:hAnsi="Open Sans" w:cs="Open Sans"/>
          <w:i/>
          <w:iCs/>
          <w:color w:val="000000"/>
          <w:sz w:val="20"/>
          <w:szCs w:val="20"/>
        </w:rPr>
        <w:t>Of</w:t>
      </w:r>
      <w:proofErr w:type="gramEnd"/>
      <w:r>
        <w:rPr>
          <w:rFonts w:ascii="Open Sans" w:hAnsi="Open Sans" w:cs="Open Sans"/>
          <w:i/>
          <w:iCs/>
          <w:color w:val="000000"/>
          <w:sz w:val="20"/>
          <w:szCs w:val="20"/>
        </w:rPr>
        <w:t xml:space="preserve"> Gerontology: Series B</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75</w:t>
      </w:r>
      <w:r>
        <w:rPr>
          <w:rFonts w:ascii="Open Sans" w:hAnsi="Open Sans" w:cs="Open Sans"/>
          <w:color w:val="000000"/>
          <w:sz w:val="20"/>
          <w:szCs w:val="20"/>
          <w:shd w:val="clear" w:color="auto" w:fill="FFFFFF"/>
        </w:rPr>
        <w:t xml:space="preserve">(2), 367-376.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10.1093/</w:t>
      </w:r>
      <w:proofErr w:type="spellStart"/>
      <w:r>
        <w:rPr>
          <w:rFonts w:ascii="Open Sans" w:hAnsi="Open Sans" w:cs="Open Sans"/>
          <w:color w:val="000000"/>
          <w:sz w:val="20"/>
          <w:szCs w:val="20"/>
          <w:shd w:val="clear" w:color="auto" w:fill="FFFFFF"/>
        </w:rPr>
        <w:t>geronb</w:t>
      </w:r>
      <w:proofErr w:type="spellEnd"/>
      <w:r>
        <w:rPr>
          <w:rFonts w:ascii="Open Sans" w:hAnsi="Open Sans" w:cs="Open Sans"/>
          <w:color w:val="000000"/>
          <w:sz w:val="20"/>
          <w:szCs w:val="20"/>
          <w:shd w:val="clear" w:color="auto" w:fill="FFFFFF"/>
        </w:rPr>
        <w:t>/gbz152</w:t>
      </w:r>
    </w:p>
    <w:p w14:paraId="7D624615" w14:textId="77777777" w:rsidR="00D027BC" w:rsidRDefault="00D027BC" w:rsidP="00D027BC">
      <w:pPr>
        <w:rPr>
          <w:rFonts w:ascii="Open Sans" w:hAnsi="Open Sans" w:cs="Open Sans"/>
          <w:color w:val="000000"/>
          <w:sz w:val="20"/>
          <w:szCs w:val="20"/>
          <w:shd w:val="clear" w:color="auto" w:fill="FFFFFF"/>
        </w:rPr>
      </w:pPr>
    </w:p>
    <w:p w14:paraId="7B7D3562" w14:textId="675E47FA" w:rsidR="00D027BC" w:rsidRDefault="00D027BC" w:rsidP="00D027B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Aiello, A., </w:t>
      </w:r>
      <w:proofErr w:type="spellStart"/>
      <w:r>
        <w:rPr>
          <w:rFonts w:ascii="Open Sans" w:hAnsi="Open Sans" w:cs="Open Sans"/>
          <w:color w:val="000000"/>
          <w:sz w:val="20"/>
          <w:szCs w:val="20"/>
          <w:shd w:val="clear" w:color="auto" w:fill="FFFFFF"/>
        </w:rPr>
        <w:t>Farzaneh</w:t>
      </w:r>
      <w:proofErr w:type="spellEnd"/>
      <w:r>
        <w:rPr>
          <w:rFonts w:ascii="Open Sans" w:hAnsi="Open Sans" w:cs="Open Sans"/>
          <w:color w:val="000000"/>
          <w:sz w:val="20"/>
          <w:szCs w:val="20"/>
          <w:shd w:val="clear" w:color="auto" w:fill="FFFFFF"/>
        </w:rPr>
        <w:t xml:space="preserve">, F., </w:t>
      </w:r>
      <w:proofErr w:type="spellStart"/>
      <w:r>
        <w:rPr>
          <w:rFonts w:ascii="Open Sans" w:hAnsi="Open Sans" w:cs="Open Sans"/>
          <w:color w:val="000000"/>
          <w:sz w:val="20"/>
          <w:szCs w:val="20"/>
          <w:shd w:val="clear" w:color="auto" w:fill="FFFFFF"/>
        </w:rPr>
        <w:t>Candore</w:t>
      </w:r>
      <w:proofErr w:type="spellEnd"/>
      <w:r>
        <w:rPr>
          <w:rFonts w:ascii="Open Sans" w:hAnsi="Open Sans" w:cs="Open Sans"/>
          <w:color w:val="000000"/>
          <w:sz w:val="20"/>
          <w:szCs w:val="20"/>
          <w:shd w:val="clear" w:color="auto" w:fill="FFFFFF"/>
        </w:rPr>
        <w:t xml:space="preserve">, G., Caruso, C., </w:t>
      </w:r>
      <w:proofErr w:type="spellStart"/>
      <w:r>
        <w:rPr>
          <w:rFonts w:ascii="Open Sans" w:hAnsi="Open Sans" w:cs="Open Sans"/>
          <w:color w:val="000000"/>
          <w:sz w:val="20"/>
          <w:szCs w:val="20"/>
          <w:shd w:val="clear" w:color="auto" w:fill="FFFFFF"/>
        </w:rPr>
        <w:t>Davinelli</w:t>
      </w:r>
      <w:proofErr w:type="spellEnd"/>
      <w:r>
        <w:rPr>
          <w:rFonts w:ascii="Open Sans" w:hAnsi="Open Sans" w:cs="Open Sans"/>
          <w:color w:val="000000"/>
          <w:sz w:val="20"/>
          <w:szCs w:val="20"/>
          <w:shd w:val="clear" w:color="auto" w:fill="FFFFFF"/>
        </w:rPr>
        <w:t>, S., &amp; Gambino, C. et al. (2019). Immunosenescence and Its Hallmarks: How to Oppose Aging Strategically? A Review of Potential Options for Therapeutic Intervention.</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Frontiers In Immunology</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10</w:t>
      </w:r>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10.3389/fimmu.2019.02247</w:t>
      </w:r>
    </w:p>
    <w:p w14:paraId="26FC26C0" w14:textId="326760ED" w:rsidR="007C2259" w:rsidRDefault="007C2259" w:rsidP="00D027BC">
      <w:pPr>
        <w:rPr>
          <w:rFonts w:ascii="Open Sans" w:hAnsi="Open Sans" w:cs="Open Sans"/>
          <w:color w:val="000000"/>
          <w:sz w:val="20"/>
          <w:szCs w:val="20"/>
          <w:shd w:val="clear" w:color="auto" w:fill="FFFFFF"/>
        </w:rPr>
      </w:pPr>
    </w:p>
    <w:p w14:paraId="32B9648F" w14:textId="77777777" w:rsidR="007C2259" w:rsidRDefault="007C2259" w:rsidP="007C2259">
      <w:proofErr w:type="spellStart"/>
      <w:r>
        <w:rPr>
          <w:rFonts w:ascii="Open Sans" w:hAnsi="Open Sans" w:cs="Open Sans"/>
          <w:color w:val="000000"/>
          <w:sz w:val="20"/>
          <w:szCs w:val="20"/>
          <w:shd w:val="clear" w:color="auto" w:fill="FFFFFF"/>
        </w:rPr>
        <w:t>Ferrucci</w:t>
      </w:r>
      <w:proofErr w:type="spellEnd"/>
      <w:r>
        <w:rPr>
          <w:rFonts w:ascii="Open Sans" w:hAnsi="Open Sans" w:cs="Open Sans"/>
          <w:color w:val="000000"/>
          <w:sz w:val="20"/>
          <w:szCs w:val="20"/>
          <w:shd w:val="clear" w:color="auto" w:fill="FFFFFF"/>
        </w:rPr>
        <w:t xml:space="preserve">, L., &amp; </w:t>
      </w:r>
      <w:proofErr w:type="spellStart"/>
      <w:r>
        <w:rPr>
          <w:rFonts w:ascii="Open Sans" w:hAnsi="Open Sans" w:cs="Open Sans"/>
          <w:color w:val="000000"/>
          <w:sz w:val="20"/>
          <w:szCs w:val="20"/>
          <w:shd w:val="clear" w:color="auto" w:fill="FFFFFF"/>
        </w:rPr>
        <w:t>Fabbri</w:t>
      </w:r>
      <w:proofErr w:type="spellEnd"/>
      <w:r>
        <w:rPr>
          <w:rFonts w:ascii="Open Sans" w:hAnsi="Open Sans" w:cs="Open Sans"/>
          <w:color w:val="000000"/>
          <w:sz w:val="20"/>
          <w:szCs w:val="20"/>
          <w:shd w:val="clear" w:color="auto" w:fill="FFFFFF"/>
        </w:rPr>
        <w:t>, E. (2018). Inflammageing: chronic inflammation in ageing, cardiovascular disease, and frailty.</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Nature Reviews Cardiology</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15</w:t>
      </w:r>
      <w:r>
        <w:rPr>
          <w:rFonts w:ascii="Open Sans" w:hAnsi="Open Sans" w:cs="Open Sans"/>
          <w:color w:val="000000"/>
          <w:sz w:val="20"/>
          <w:szCs w:val="20"/>
          <w:shd w:val="clear" w:color="auto" w:fill="FFFFFF"/>
        </w:rPr>
        <w:t xml:space="preserve">(9), 505-522.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10.1038/s41569-018-0064-2</w:t>
      </w:r>
    </w:p>
    <w:p w14:paraId="42FE4162" w14:textId="663F1091" w:rsidR="007C2259" w:rsidRDefault="007C2259" w:rsidP="00D027BC"/>
    <w:p w14:paraId="45A15828" w14:textId="55A9B00C" w:rsidR="00A9128E" w:rsidRDefault="00A9128E" w:rsidP="00A9128E">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Weyh</w:t>
      </w:r>
      <w:proofErr w:type="spellEnd"/>
      <w:r>
        <w:rPr>
          <w:rFonts w:ascii="Open Sans" w:hAnsi="Open Sans" w:cs="Open Sans"/>
          <w:color w:val="000000"/>
          <w:sz w:val="20"/>
          <w:szCs w:val="20"/>
          <w:shd w:val="clear" w:color="auto" w:fill="FFFFFF"/>
        </w:rPr>
        <w:t xml:space="preserve">, C., </w:t>
      </w:r>
      <w:proofErr w:type="spellStart"/>
      <w:r>
        <w:rPr>
          <w:rFonts w:ascii="Open Sans" w:hAnsi="Open Sans" w:cs="Open Sans"/>
          <w:color w:val="000000"/>
          <w:sz w:val="20"/>
          <w:szCs w:val="20"/>
          <w:shd w:val="clear" w:color="auto" w:fill="FFFFFF"/>
        </w:rPr>
        <w:t>Krüger</w:t>
      </w:r>
      <w:proofErr w:type="spellEnd"/>
      <w:r>
        <w:rPr>
          <w:rFonts w:ascii="Open Sans" w:hAnsi="Open Sans" w:cs="Open Sans"/>
          <w:color w:val="000000"/>
          <w:sz w:val="20"/>
          <w:szCs w:val="20"/>
          <w:shd w:val="clear" w:color="auto" w:fill="FFFFFF"/>
        </w:rPr>
        <w:t>, K., &amp; Strasser, B. (2020). Physical Activity and Diet Shape the Immune System during Aging.</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Nutrients</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12</w:t>
      </w:r>
      <w:r>
        <w:rPr>
          <w:rFonts w:ascii="Open Sans" w:hAnsi="Open Sans" w:cs="Open Sans"/>
          <w:color w:val="000000"/>
          <w:sz w:val="20"/>
          <w:szCs w:val="20"/>
          <w:shd w:val="clear" w:color="auto" w:fill="FFFFFF"/>
        </w:rPr>
        <w:t xml:space="preserve">(3), 622.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10.3390/nu12030622</w:t>
      </w:r>
    </w:p>
    <w:p w14:paraId="69D3A6FB" w14:textId="77B9D73A" w:rsidR="002219BE" w:rsidRDefault="002219BE" w:rsidP="00A9128E">
      <w:pPr>
        <w:rPr>
          <w:rFonts w:ascii="Open Sans" w:hAnsi="Open Sans" w:cs="Open Sans"/>
          <w:color w:val="000000"/>
          <w:sz w:val="20"/>
          <w:szCs w:val="20"/>
          <w:shd w:val="clear" w:color="auto" w:fill="FFFFFF"/>
        </w:rPr>
      </w:pPr>
    </w:p>
    <w:p w14:paraId="0141981F" w14:textId="7DBD63F6" w:rsidR="002219BE" w:rsidRDefault="002219BE" w:rsidP="002219BE">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Sanjuán</w:t>
      </w:r>
      <w:proofErr w:type="spellEnd"/>
      <w:r>
        <w:rPr>
          <w:rFonts w:ascii="Open Sans" w:hAnsi="Open Sans" w:cs="Open Sans"/>
          <w:color w:val="000000"/>
          <w:sz w:val="20"/>
          <w:szCs w:val="20"/>
          <w:shd w:val="clear" w:color="auto" w:fill="FFFFFF"/>
        </w:rPr>
        <w:t>, M., Navarro, E., &amp; Calero, M. (2020). Effectiveness of Cognitive Interventions in Older Adults: A Review.</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 xml:space="preserve">European Journal </w:t>
      </w:r>
      <w:proofErr w:type="gramStart"/>
      <w:r>
        <w:rPr>
          <w:rFonts w:ascii="Open Sans" w:hAnsi="Open Sans" w:cs="Open Sans"/>
          <w:i/>
          <w:iCs/>
          <w:color w:val="000000"/>
          <w:sz w:val="20"/>
          <w:szCs w:val="20"/>
        </w:rPr>
        <w:t>Of</w:t>
      </w:r>
      <w:proofErr w:type="gramEnd"/>
      <w:r>
        <w:rPr>
          <w:rFonts w:ascii="Open Sans" w:hAnsi="Open Sans" w:cs="Open Sans"/>
          <w:i/>
          <w:iCs/>
          <w:color w:val="000000"/>
          <w:sz w:val="20"/>
          <w:szCs w:val="20"/>
        </w:rPr>
        <w:t xml:space="preserve"> Investigation In Health, Psychology And Education</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10</w:t>
      </w:r>
      <w:r>
        <w:rPr>
          <w:rFonts w:ascii="Open Sans" w:hAnsi="Open Sans" w:cs="Open Sans"/>
          <w:color w:val="000000"/>
          <w:sz w:val="20"/>
          <w:szCs w:val="20"/>
          <w:shd w:val="clear" w:color="auto" w:fill="FFFFFF"/>
        </w:rPr>
        <w:t xml:space="preserve">(3), 876-898.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10.3390/ejihpe10030063</w:t>
      </w:r>
    </w:p>
    <w:p w14:paraId="65B0CAE7" w14:textId="4A64E78B" w:rsidR="00AC27C2" w:rsidRDefault="00AC27C2" w:rsidP="002219BE">
      <w:pPr>
        <w:rPr>
          <w:rFonts w:ascii="Open Sans" w:hAnsi="Open Sans" w:cs="Open Sans"/>
          <w:color w:val="000000"/>
          <w:sz w:val="20"/>
          <w:szCs w:val="20"/>
          <w:shd w:val="clear" w:color="auto" w:fill="FFFFFF"/>
        </w:rPr>
      </w:pPr>
    </w:p>
    <w:p w14:paraId="60F76603" w14:textId="77777777" w:rsidR="00AC27C2" w:rsidRDefault="00AC27C2" w:rsidP="00AC27C2">
      <w:r>
        <w:rPr>
          <w:rFonts w:ascii="Open Sans" w:hAnsi="Open Sans" w:cs="Open Sans"/>
          <w:color w:val="000000"/>
          <w:sz w:val="20"/>
          <w:szCs w:val="20"/>
          <w:shd w:val="clear" w:color="auto" w:fill="FFFFFF"/>
        </w:rPr>
        <w:t>Venkatraman, J., &amp; Fernandes, G. (1997). Exercise, immunity and aging.</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 xml:space="preserve">Aging Clinical </w:t>
      </w:r>
      <w:proofErr w:type="gramStart"/>
      <w:r>
        <w:rPr>
          <w:rFonts w:ascii="Open Sans" w:hAnsi="Open Sans" w:cs="Open Sans"/>
          <w:i/>
          <w:iCs/>
          <w:color w:val="000000"/>
          <w:sz w:val="20"/>
          <w:szCs w:val="20"/>
        </w:rPr>
        <w:t>And</w:t>
      </w:r>
      <w:proofErr w:type="gramEnd"/>
      <w:r>
        <w:rPr>
          <w:rFonts w:ascii="Open Sans" w:hAnsi="Open Sans" w:cs="Open Sans"/>
          <w:i/>
          <w:iCs/>
          <w:color w:val="000000"/>
          <w:sz w:val="20"/>
          <w:szCs w:val="20"/>
        </w:rPr>
        <w:t xml:space="preserve"> Experimental Research</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9</w:t>
      </w:r>
      <w:r>
        <w:rPr>
          <w:rFonts w:ascii="Open Sans" w:hAnsi="Open Sans" w:cs="Open Sans"/>
          <w:color w:val="000000"/>
          <w:sz w:val="20"/>
          <w:szCs w:val="20"/>
          <w:shd w:val="clear" w:color="auto" w:fill="FFFFFF"/>
        </w:rPr>
        <w:t xml:space="preserve">(1-2), 42-56.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10.1007/bf03340127</w:t>
      </w:r>
    </w:p>
    <w:p w14:paraId="2F82C96D" w14:textId="77777777" w:rsidR="002219BE" w:rsidRDefault="002219BE" w:rsidP="00A9128E"/>
    <w:p w14:paraId="6A03B9A6" w14:textId="539FFCDC" w:rsidR="005B028A" w:rsidRDefault="005B028A" w:rsidP="005B028A">
      <w:pPr>
        <w:rPr>
          <w:rStyle w:val="selectable"/>
          <w:rFonts w:ascii="Open Sans" w:hAnsi="Open Sans" w:cs="Open Sans"/>
          <w:color w:val="000000"/>
          <w:sz w:val="20"/>
          <w:szCs w:val="20"/>
        </w:rPr>
      </w:pPr>
      <w:r>
        <w:rPr>
          <w:rStyle w:val="apple-converted-space"/>
          <w:rFonts w:ascii="Open Sans" w:hAnsi="Open Sans" w:cs="Open Sans"/>
          <w:b/>
          <w:bCs/>
          <w:color w:val="666666"/>
          <w:sz w:val="20"/>
          <w:szCs w:val="20"/>
        </w:rPr>
        <w:t> </w:t>
      </w:r>
      <w:r>
        <w:rPr>
          <w:rStyle w:val="selectable"/>
          <w:rFonts w:ascii="Open Sans" w:hAnsi="Open Sans" w:cs="Open Sans"/>
          <w:color w:val="000000"/>
          <w:sz w:val="20"/>
          <w:szCs w:val="20"/>
        </w:rPr>
        <w:t xml:space="preserve">Krueger, K., Wilson, R., </w:t>
      </w:r>
      <w:proofErr w:type="spellStart"/>
      <w:r>
        <w:rPr>
          <w:rStyle w:val="selectable"/>
          <w:rFonts w:ascii="Open Sans" w:hAnsi="Open Sans" w:cs="Open Sans"/>
          <w:color w:val="000000"/>
          <w:sz w:val="20"/>
          <w:szCs w:val="20"/>
        </w:rPr>
        <w:t>Kamenetsky</w:t>
      </w:r>
      <w:proofErr w:type="spellEnd"/>
      <w:r>
        <w:rPr>
          <w:rStyle w:val="selectable"/>
          <w:rFonts w:ascii="Open Sans" w:hAnsi="Open Sans" w:cs="Open Sans"/>
          <w:color w:val="000000"/>
          <w:sz w:val="20"/>
          <w:szCs w:val="20"/>
        </w:rPr>
        <w:t xml:space="preserve">, J., Barnes, L., </w:t>
      </w:r>
      <w:proofErr w:type="spellStart"/>
      <w:r>
        <w:rPr>
          <w:rStyle w:val="selectable"/>
          <w:rFonts w:ascii="Open Sans" w:hAnsi="Open Sans" w:cs="Open Sans"/>
          <w:color w:val="000000"/>
          <w:sz w:val="20"/>
          <w:szCs w:val="20"/>
        </w:rPr>
        <w:t>Bienias</w:t>
      </w:r>
      <w:proofErr w:type="spellEnd"/>
      <w:r>
        <w:rPr>
          <w:rStyle w:val="selectable"/>
          <w:rFonts w:ascii="Open Sans" w:hAnsi="Open Sans" w:cs="Open Sans"/>
          <w:color w:val="000000"/>
          <w:sz w:val="20"/>
          <w:szCs w:val="20"/>
        </w:rPr>
        <w:t>, J., &amp; Bennett, D. (2009). Social Engagement and Cognitive Function in Old Age.</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Experimental Aging Research</w:t>
      </w:r>
      <w:r>
        <w:rPr>
          <w:rStyle w:val="selectable"/>
          <w:rFonts w:ascii="Open Sans" w:hAnsi="Open Sans" w:cs="Open Sans"/>
          <w:color w:val="000000"/>
          <w:sz w:val="20"/>
          <w:szCs w:val="20"/>
        </w:rPr>
        <w:t>,</w:t>
      </w:r>
      <w:r>
        <w:rPr>
          <w:rStyle w:val="apple-converted-space"/>
          <w:rFonts w:ascii="Open Sans" w:hAnsi="Open Sans" w:cs="Open Sans"/>
          <w:color w:val="000000"/>
          <w:sz w:val="20"/>
          <w:szCs w:val="20"/>
        </w:rPr>
        <w:t> </w:t>
      </w:r>
      <w:r>
        <w:rPr>
          <w:rStyle w:val="selectable"/>
          <w:rFonts w:ascii="Open Sans" w:hAnsi="Open Sans" w:cs="Open Sans"/>
          <w:i/>
          <w:iCs/>
          <w:color w:val="000000"/>
          <w:sz w:val="20"/>
          <w:szCs w:val="20"/>
        </w:rPr>
        <w:t>35</w:t>
      </w:r>
      <w:r>
        <w:rPr>
          <w:rStyle w:val="selectable"/>
          <w:rFonts w:ascii="Open Sans" w:hAnsi="Open Sans" w:cs="Open Sans"/>
          <w:color w:val="000000"/>
          <w:sz w:val="20"/>
          <w:szCs w:val="20"/>
        </w:rPr>
        <w:t xml:space="preserve">(1), 45-60. </w:t>
      </w:r>
      <w:proofErr w:type="spellStart"/>
      <w:r>
        <w:rPr>
          <w:rStyle w:val="selectable"/>
          <w:rFonts w:ascii="Open Sans" w:hAnsi="Open Sans" w:cs="Open Sans"/>
          <w:color w:val="000000"/>
          <w:sz w:val="20"/>
          <w:szCs w:val="20"/>
        </w:rPr>
        <w:t>doi</w:t>
      </w:r>
      <w:proofErr w:type="spellEnd"/>
      <w:r>
        <w:rPr>
          <w:rStyle w:val="selectable"/>
          <w:rFonts w:ascii="Open Sans" w:hAnsi="Open Sans" w:cs="Open Sans"/>
          <w:color w:val="000000"/>
          <w:sz w:val="20"/>
          <w:szCs w:val="20"/>
        </w:rPr>
        <w:t>: 10.1080/03610730802545028</w:t>
      </w:r>
    </w:p>
    <w:p w14:paraId="3BB45D16" w14:textId="1163F4AE" w:rsidR="005B028A" w:rsidRDefault="005B028A" w:rsidP="005B028A">
      <w:pPr>
        <w:rPr>
          <w:rStyle w:val="selectable"/>
          <w:rFonts w:ascii="Open Sans" w:hAnsi="Open Sans" w:cs="Open Sans"/>
          <w:color w:val="000000"/>
          <w:sz w:val="20"/>
          <w:szCs w:val="20"/>
        </w:rPr>
      </w:pPr>
    </w:p>
    <w:p w14:paraId="041D2FE2" w14:textId="77777777" w:rsidR="005B028A" w:rsidRDefault="005B028A" w:rsidP="005B028A">
      <w:r>
        <w:rPr>
          <w:rFonts w:ascii="Open Sans" w:hAnsi="Open Sans" w:cs="Open Sans"/>
          <w:color w:val="000000"/>
          <w:sz w:val="20"/>
          <w:szCs w:val="20"/>
          <w:shd w:val="clear" w:color="auto" w:fill="FFFFFF"/>
        </w:rPr>
        <w:t>Chow, S., Wong, F., &amp; Choi, E. (2021). Loneliness in Old Age, the Related Factors, and Its Association with Demographics and Districts of Residence.</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 xml:space="preserve">International Journal </w:t>
      </w:r>
      <w:proofErr w:type="gramStart"/>
      <w:r>
        <w:rPr>
          <w:rFonts w:ascii="Open Sans" w:hAnsi="Open Sans" w:cs="Open Sans"/>
          <w:i/>
          <w:iCs/>
          <w:color w:val="000000"/>
          <w:sz w:val="20"/>
          <w:szCs w:val="20"/>
        </w:rPr>
        <w:t>Of</w:t>
      </w:r>
      <w:proofErr w:type="gramEnd"/>
      <w:r>
        <w:rPr>
          <w:rFonts w:ascii="Open Sans" w:hAnsi="Open Sans" w:cs="Open Sans"/>
          <w:i/>
          <w:iCs/>
          <w:color w:val="000000"/>
          <w:sz w:val="20"/>
          <w:szCs w:val="20"/>
        </w:rPr>
        <w:t xml:space="preserve"> Environmental Research And Public Health</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18</w:t>
      </w:r>
      <w:r>
        <w:rPr>
          <w:rFonts w:ascii="Open Sans" w:hAnsi="Open Sans" w:cs="Open Sans"/>
          <w:color w:val="000000"/>
          <w:sz w:val="20"/>
          <w:szCs w:val="20"/>
          <w:shd w:val="clear" w:color="auto" w:fill="FFFFFF"/>
        </w:rPr>
        <w:t xml:space="preserve">(17), 9398.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10.3390/ijerph18179398</w:t>
      </w:r>
    </w:p>
    <w:p w14:paraId="42AE68F7" w14:textId="40F55624" w:rsidR="005B028A" w:rsidRDefault="005B028A" w:rsidP="005B028A"/>
    <w:p w14:paraId="6BE4286B" w14:textId="08A7AF23" w:rsidR="004C0E2C" w:rsidRDefault="004C0E2C" w:rsidP="004C0E2C">
      <w:pPr>
        <w:rPr>
          <w:rFonts w:ascii="Open Sans" w:hAnsi="Open Sans" w:cs="Open Sans"/>
          <w:color w:val="000000"/>
          <w:sz w:val="20"/>
          <w:szCs w:val="20"/>
          <w:shd w:val="clear" w:color="auto" w:fill="FFFFFF"/>
        </w:rPr>
      </w:pPr>
      <w:r w:rsidRPr="004C0E2C">
        <w:rPr>
          <w:rFonts w:ascii="Open Sans" w:hAnsi="Open Sans" w:cs="Open Sans"/>
          <w:color w:val="000000"/>
          <w:sz w:val="20"/>
          <w:szCs w:val="20"/>
          <w:shd w:val="clear" w:color="auto" w:fill="FFFFFF"/>
        </w:rPr>
        <w:t xml:space="preserve">Flanagan, E., </w:t>
      </w:r>
      <w:proofErr w:type="spellStart"/>
      <w:r w:rsidRPr="004C0E2C">
        <w:rPr>
          <w:rFonts w:ascii="Open Sans" w:hAnsi="Open Sans" w:cs="Open Sans"/>
          <w:color w:val="000000"/>
          <w:sz w:val="20"/>
          <w:szCs w:val="20"/>
          <w:shd w:val="clear" w:color="auto" w:fill="FFFFFF"/>
        </w:rPr>
        <w:t>Lamport</w:t>
      </w:r>
      <w:proofErr w:type="spellEnd"/>
      <w:r w:rsidRPr="004C0E2C">
        <w:rPr>
          <w:rFonts w:ascii="Open Sans" w:hAnsi="Open Sans" w:cs="Open Sans"/>
          <w:color w:val="000000"/>
          <w:sz w:val="20"/>
          <w:szCs w:val="20"/>
          <w:shd w:val="clear" w:color="auto" w:fill="FFFFFF"/>
        </w:rPr>
        <w:t>, D., Brennan, L., Burnet, P., Calabrese, V., &amp; Cunnane, S. et al. (2020). Nutrition and the ageing brain: Moving towards clinical applications. </w:t>
      </w:r>
      <w:r w:rsidRPr="004C0E2C">
        <w:rPr>
          <w:rFonts w:ascii="Open Sans" w:hAnsi="Open Sans" w:cs="Open Sans"/>
          <w:i/>
          <w:iCs/>
          <w:color w:val="000000"/>
          <w:sz w:val="20"/>
          <w:szCs w:val="20"/>
        </w:rPr>
        <w:t>Ageing Research Reviews</w:t>
      </w:r>
      <w:r w:rsidRPr="004C0E2C">
        <w:rPr>
          <w:rFonts w:ascii="Open Sans" w:hAnsi="Open Sans" w:cs="Open Sans"/>
          <w:color w:val="000000"/>
          <w:sz w:val="20"/>
          <w:szCs w:val="20"/>
          <w:shd w:val="clear" w:color="auto" w:fill="FFFFFF"/>
        </w:rPr>
        <w:t>, </w:t>
      </w:r>
      <w:r w:rsidRPr="004C0E2C">
        <w:rPr>
          <w:rFonts w:ascii="Open Sans" w:hAnsi="Open Sans" w:cs="Open Sans"/>
          <w:i/>
          <w:iCs/>
          <w:color w:val="000000"/>
          <w:sz w:val="20"/>
          <w:szCs w:val="20"/>
        </w:rPr>
        <w:t>62</w:t>
      </w:r>
      <w:r w:rsidRPr="004C0E2C">
        <w:rPr>
          <w:rFonts w:ascii="Open Sans" w:hAnsi="Open Sans" w:cs="Open Sans"/>
          <w:color w:val="000000"/>
          <w:sz w:val="20"/>
          <w:szCs w:val="20"/>
          <w:shd w:val="clear" w:color="auto" w:fill="FFFFFF"/>
        </w:rPr>
        <w:t xml:space="preserve">, 101079. </w:t>
      </w:r>
      <w:proofErr w:type="spellStart"/>
      <w:r w:rsidRPr="004C0E2C">
        <w:rPr>
          <w:rFonts w:ascii="Open Sans" w:hAnsi="Open Sans" w:cs="Open Sans"/>
          <w:color w:val="000000"/>
          <w:sz w:val="20"/>
          <w:szCs w:val="20"/>
          <w:shd w:val="clear" w:color="auto" w:fill="FFFFFF"/>
        </w:rPr>
        <w:t>doi</w:t>
      </w:r>
      <w:proofErr w:type="spellEnd"/>
      <w:r w:rsidRPr="004C0E2C">
        <w:rPr>
          <w:rFonts w:ascii="Open Sans" w:hAnsi="Open Sans" w:cs="Open Sans"/>
          <w:color w:val="000000"/>
          <w:sz w:val="20"/>
          <w:szCs w:val="20"/>
          <w:shd w:val="clear" w:color="auto" w:fill="FFFFFF"/>
        </w:rPr>
        <w:t>: 10.1016/j.arr.2020.101079</w:t>
      </w:r>
    </w:p>
    <w:p w14:paraId="23F6777B" w14:textId="41527224" w:rsidR="004C0E2C" w:rsidRDefault="004C0E2C" w:rsidP="004C0E2C">
      <w:pPr>
        <w:rPr>
          <w:rFonts w:ascii="Open Sans" w:hAnsi="Open Sans" w:cs="Open Sans"/>
          <w:color w:val="000000"/>
          <w:sz w:val="20"/>
          <w:szCs w:val="20"/>
          <w:shd w:val="clear" w:color="auto" w:fill="FFFFFF"/>
        </w:rPr>
      </w:pPr>
    </w:p>
    <w:p w14:paraId="014E4A9B" w14:textId="748751D6" w:rsidR="004C0E2C" w:rsidRDefault="004C0E2C" w:rsidP="004C0E2C">
      <w:r>
        <w:rPr>
          <w:rFonts w:ascii="Open Sans" w:hAnsi="Open Sans" w:cs="Open Sans"/>
          <w:color w:val="000000"/>
          <w:sz w:val="20"/>
          <w:szCs w:val="20"/>
          <w:shd w:val="clear" w:color="auto" w:fill="FFFFFF"/>
        </w:rPr>
        <w:t xml:space="preserve">Smith, A., Smith, S., de Jager, C., Whitbread, P., Johnston, C., &amp; </w:t>
      </w:r>
      <w:proofErr w:type="spellStart"/>
      <w:r>
        <w:rPr>
          <w:rFonts w:ascii="Open Sans" w:hAnsi="Open Sans" w:cs="Open Sans"/>
          <w:color w:val="000000"/>
          <w:sz w:val="20"/>
          <w:szCs w:val="20"/>
          <w:shd w:val="clear" w:color="auto" w:fill="FFFFFF"/>
        </w:rPr>
        <w:t>Agacinski</w:t>
      </w:r>
      <w:proofErr w:type="spellEnd"/>
      <w:r>
        <w:rPr>
          <w:rFonts w:ascii="Open Sans" w:hAnsi="Open Sans" w:cs="Open Sans"/>
          <w:color w:val="000000"/>
          <w:sz w:val="20"/>
          <w:szCs w:val="20"/>
          <w:shd w:val="clear" w:color="auto" w:fill="FFFFFF"/>
        </w:rPr>
        <w:t>, G. et al. (2010). Homocysteine-Lowering by B Vitamins Slows the Rate of Accelerated Brain Atrophy in Mild Cognitive Impairment: A Randomized Controlled Trial.</w:t>
      </w:r>
      <w:r>
        <w:rPr>
          <w:rStyle w:val="apple-converted-space"/>
          <w:rFonts w:ascii="Open Sans" w:hAnsi="Open Sans" w:cs="Open Sans"/>
          <w:color w:val="000000"/>
          <w:sz w:val="20"/>
          <w:szCs w:val="20"/>
          <w:shd w:val="clear" w:color="auto" w:fill="FFFFFF"/>
        </w:rPr>
        <w:t> </w:t>
      </w:r>
      <w:proofErr w:type="spellStart"/>
      <w:r>
        <w:rPr>
          <w:rFonts w:ascii="Open Sans" w:hAnsi="Open Sans" w:cs="Open Sans"/>
          <w:i/>
          <w:iCs/>
          <w:color w:val="000000"/>
          <w:sz w:val="20"/>
          <w:szCs w:val="20"/>
        </w:rPr>
        <w:t>Plos</w:t>
      </w:r>
      <w:proofErr w:type="spellEnd"/>
      <w:r>
        <w:rPr>
          <w:rFonts w:ascii="Open Sans" w:hAnsi="Open Sans" w:cs="Open Sans"/>
          <w:i/>
          <w:iCs/>
          <w:color w:val="000000"/>
          <w:sz w:val="20"/>
          <w:szCs w:val="20"/>
        </w:rPr>
        <w:t xml:space="preserve"> ONE</w:t>
      </w:r>
      <w:r>
        <w:rPr>
          <w:rFonts w:ascii="Open Sans" w:hAnsi="Open Sans" w:cs="Open Sans"/>
          <w:color w:val="000000"/>
          <w:sz w:val="20"/>
          <w:szCs w:val="20"/>
          <w:shd w:val="clear" w:color="auto" w:fill="FFFFFF"/>
        </w:rPr>
        <w:t>,</w:t>
      </w:r>
      <w:r>
        <w:rPr>
          <w:rStyle w:val="apple-converted-space"/>
          <w:rFonts w:ascii="Open Sans" w:hAnsi="Open Sans" w:cs="Open Sans"/>
          <w:color w:val="000000"/>
          <w:sz w:val="20"/>
          <w:szCs w:val="20"/>
          <w:shd w:val="clear" w:color="auto" w:fill="FFFFFF"/>
        </w:rPr>
        <w:t> </w:t>
      </w:r>
      <w:r>
        <w:rPr>
          <w:rFonts w:ascii="Open Sans" w:hAnsi="Open Sans" w:cs="Open Sans"/>
          <w:i/>
          <w:iCs/>
          <w:color w:val="000000"/>
          <w:sz w:val="20"/>
          <w:szCs w:val="20"/>
        </w:rPr>
        <w:t>5</w:t>
      </w:r>
      <w:r>
        <w:rPr>
          <w:rFonts w:ascii="Open Sans" w:hAnsi="Open Sans" w:cs="Open Sans"/>
          <w:color w:val="000000"/>
          <w:sz w:val="20"/>
          <w:szCs w:val="20"/>
          <w:shd w:val="clear" w:color="auto" w:fill="FFFFFF"/>
        </w:rPr>
        <w:t xml:space="preserve">(9), e12244. </w:t>
      </w:r>
      <w:proofErr w:type="spellStart"/>
      <w:r>
        <w:rPr>
          <w:rFonts w:ascii="Open Sans" w:hAnsi="Open Sans" w:cs="Open Sans"/>
          <w:color w:val="000000"/>
          <w:sz w:val="20"/>
          <w:szCs w:val="20"/>
          <w:shd w:val="clear" w:color="auto" w:fill="FFFFFF"/>
        </w:rPr>
        <w:t>doi</w:t>
      </w:r>
      <w:proofErr w:type="spellEnd"/>
      <w:r>
        <w:rPr>
          <w:rFonts w:ascii="Open Sans" w:hAnsi="Open Sans" w:cs="Open Sans"/>
          <w:color w:val="000000"/>
          <w:sz w:val="20"/>
          <w:szCs w:val="20"/>
          <w:shd w:val="clear" w:color="auto" w:fill="FFFFFF"/>
        </w:rPr>
        <w:t xml:space="preserve">: </w:t>
      </w:r>
      <w:proofErr w:type="gramStart"/>
      <w:r>
        <w:rPr>
          <w:rFonts w:ascii="Open Sans" w:hAnsi="Open Sans" w:cs="Open Sans"/>
          <w:color w:val="000000"/>
          <w:sz w:val="20"/>
          <w:szCs w:val="20"/>
          <w:shd w:val="clear" w:color="auto" w:fill="FFFFFF"/>
        </w:rPr>
        <w:t>10.1371/journal.pone.0012244 .</w:t>
      </w:r>
      <w:proofErr w:type="gramEnd"/>
      <w:r>
        <w:rPr>
          <w:rFonts w:ascii="Open Sans" w:hAnsi="Open Sans" w:cs="Open Sans"/>
          <w:color w:val="000000"/>
          <w:sz w:val="20"/>
          <w:szCs w:val="20"/>
          <w:shd w:val="clear" w:color="auto" w:fill="FFFFFF"/>
        </w:rPr>
        <w:t xml:space="preserve"> (1)</w:t>
      </w:r>
    </w:p>
    <w:p w14:paraId="12F19B5C" w14:textId="77777777" w:rsidR="004C0E2C" w:rsidRPr="004C0E2C" w:rsidRDefault="004C0E2C" w:rsidP="004C0E2C"/>
    <w:p w14:paraId="1EF6761A" w14:textId="77777777" w:rsidR="004C0E2C" w:rsidRDefault="004C0E2C" w:rsidP="005B028A"/>
    <w:p w14:paraId="1C6B8317" w14:textId="77777777" w:rsidR="00A9128E" w:rsidRDefault="00A9128E" w:rsidP="00D027BC"/>
    <w:p w14:paraId="366E6320" w14:textId="77777777" w:rsidR="00D027BC" w:rsidRDefault="00D027BC" w:rsidP="004A61A7"/>
    <w:p w14:paraId="29E773F2" w14:textId="77777777" w:rsidR="004A61A7" w:rsidRDefault="004A61A7" w:rsidP="009A175C"/>
    <w:p w14:paraId="6D8A8A76" w14:textId="77777777" w:rsidR="009A175C" w:rsidRPr="00312589" w:rsidRDefault="009A175C" w:rsidP="00312589"/>
    <w:p w14:paraId="64A57C56" w14:textId="77777777" w:rsidR="00312589" w:rsidRDefault="00312589"/>
    <w:sectPr w:rsidR="00312589" w:rsidSect="005A59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C4"/>
    <w:rsid w:val="000A21F8"/>
    <w:rsid w:val="000D3089"/>
    <w:rsid w:val="000F14F2"/>
    <w:rsid w:val="00101A1D"/>
    <w:rsid w:val="001278D3"/>
    <w:rsid w:val="002219BE"/>
    <w:rsid w:val="00247325"/>
    <w:rsid w:val="00254CCF"/>
    <w:rsid w:val="002813C2"/>
    <w:rsid w:val="00300F5E"/>
    <w:rsid w:val="00312589"/>
    <w:rsid w:val="003521B7"/>
    <w:rsid w:val="003608AB"/>
    <w:rsid w:val="00362A2D"/>
    <w:rsid w:val="00364A23"/>
    <w:rsid w:val="0036794D"/>
    <w:rsid w:val="00450177"/>
    <w:rsid w:val="0046473A"/>
    <w:rsid w:val="00480875"/>
    <w:rsid w:val="004A61A7"/>
    <w:rsid w:val="004C0E2C"/>
    <w:rsid w:val="004E5370"/>
    <w:rsid w:val="005A59E3"/>
    <w:rsid w:val="005A7028"/>
    <w:rsid w:val="005B028A"/>
    <w:rsid w:val="005D61CE"/>
    <w:rsid w:val="0061273D"/>
    <w:rsid w:val="00642C37"/>
    <w:rsid w:val="00644FEB"/>
    <w:rsid w:val="006D4450"/>
    <w:rsid w:val="006E59AD"/>
    <w:rsid w:val="006F09A3"/>
    <w:rsid w:val="006F3431"/>
    <w:rsid w:val="00706854"/>
    <w:rsid w:val="00757B02"/>
    <w:rsid w:val="007669E9"/>
    <w:rsid w:val="007734D2"/>
    <w:rsid w:val="007C2259"/>
    <w:rsid w:val="007C2FF1"/>
    <w:rsid w:val="007D0F00"/>
    <w:rsid w:val="007E45DB"/>
    <w:rsid w:val="00813335"/>
    <w:rsid w:val="008140B2"/>
    <w:rsid w:val="008459FA"/>
    <w:rsid w:val="008779C4"/>
    <w:rsid w:val="008854E3"/>
    <w:rsid w:val="008C3BBA"/>
    <w:rsid w:val="00921014"/>
    <w:rsid w:val="00950B62"/>
    <w:rsid w:val="0095150D"/>
    <w:rsid w:val="009521BF"/>
    <w:rsid w:val="009A1586"/>
    <w:rsid w:val="009A175C"/>
    <w:rsid w:val="009D2D01"/>
    <w:rsid w:val="009F3903"/>
    <w:rsid w:val="00A063D6"/>
    <w:rsid w:val="00A9128E"/>
    <w:rsid w:val="00A913C9"/>
    <w:rsid w:val="00AC27C2"/>
    <w:rsid w:val="00AD2518"/>
    <w:rsid w:val="00AE2845"/>
    <w:rsid w:val="00B06C9A"/>
    <w:rsid w:val="00B54CC5"/>
    <w:rsid w:val="00B55790"/>
    <w:rsid w:val="00BB33BA"/>
    <w:rsid w:val="00BD7959"/>
    <w:rsid w:val="00C3592D"/>
    <w:rsid w:val="00CC7665"/>
    <w:rsid w:val="00D027BC"/>
    <w:rsid w:val="00D72353"/>
    <w:rsid w:val="00E10F73"/>
    <w:rsid w:val="00E130B7"/>
    <w:rsid w:val="00E66F25"/>
    <w:rsid w:val="00E8323E"/>
    <w:rsid w:val="00EB02F8"/>
    <w:rsid w:val="00EE6DBC"/>
    <w:rsid w:val="00EE6EC1"/>
    <w:rsid w:val="00EF6D7F"/>
    <w:rsid w:val="00F513E9"/>
    <w:rsid w:val="00F67E8A"/>
    <w:rsid w:val="00FB6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3AAC06"/>
  <w15:chartTrackingRefBased/>
  <w15:docId w15:val="{36CB5A80-9BE3-5F40-A262-B448CE82A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E2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79C4"/>
    <w:pPr>
      <w:spacing w:before="100" w:beforeAutospacing="1" w:after="100" w:afterAutospacing="1"/>
    </w:pPr>
  </w:style>
  <w:style w:type="character" w:customStyle="1" w:styleId="apple-converted-space">
    <w:name w:val="apple-converted-space"/>
    <w:basedOn w:val="DefaultParagraphFont"/>
    <w:rsid w:val="005A7028"/>
  </w:style>
  <w:style w:type="character" w:styleId="Hyperlink">
    <w:name w:val="Hyperlink"/>
    <w:basedOn w:val="DefaultParagraphFont"/>
    <w:uiPriority w:val="99"/>
    <w:semiHidden/>
    <w:unhideWhenUsed/>
    <w:rsid w:val="00D027BC"/>
    <w:rPr>
      <w:color w:val="0000FF"/>
      <w:u w:val="single"/>
    </w:rPr>
  </w:style>
  <w:style w:type="character" w:customStyle="1" w:styleId="selectable">
    <w:name w:val="selectable"/>
    <w:basedOn w:val="DefaultParagraphFont"/>
    <w:rsid w:val="005B0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36633">
      <w:bodyDiv w:val="1"/>
      <w:marLeft w:val="0"/>
      <w:marRight w:val="0"/>
      <w:marTop w:val="0"/>
      <w:marBottom w:val="0"/>
      <w:divBdr>
        <w:top w:val="none" w:sz="0" w:space="0" w:color="auto"/>
        <w:left w:val="none" w:sz="0" w:space="0" w:color="auto"/>
        <w:bottom w:val="none" w:sz="0" w:space="0" w:color="auto"/>
        <w:right w:val="none" w:sz="0" w:space="0" w:color="auto"/>
      </w:divBdr>
    </w:div>
    <w:div w:id="239141543">
      <w:bodyDiv w:val="1"/>
      <w:marLeft w:val="0"/>
      <w:marRight w:val="0"/>
      <w:marTop w:val="0"/>
      <w:marBottom w:val="0"/>
      <w:divBdr>
        <w:top w:val="none" w:sz="0" w:space="0" w:color="auto"/>
        <w:left w:val="none" w:sz="0" w:space="0" w:color="auto"/>
        <w:bottom w:val="none" w:sz="0" w:space="0" w:color="auto"/>
        <w:right w:val="none" w:sz="0" w:space="0" w:color="auto"/>
      </w:divBdr>
    </w:div>
    <w:div w:id="356011082">
      <w:bodyDiv w:val="1"/>
      <w:marLeft w:val="0"/>
      <w:marRight w:val="0"/>
      <w:marTop w:val="0"/>
      <w:marBottom w:val="0"/>
      <w:divBdr>
        <w:top w:val="none" w:sz="0" w:space="0" w:color="auto"/>
        <w:left w:val="none" w:sz="0" w:space="0" w:color="auto"/>
        <w:bottom w:val="none" w:sz="0" w:space="0" w:color="auto"/>
        <w:right w:val="none" w:sz="0" w:space="0" w:color="auto"/>
      </w:divBdr>
    </w:div>
    <w:div w:id="404038288">
      <w:bodyDiv w:val="1"/>
      <w:marLeft w:val="0"/>
      <w:marRight w:val="0"/>
      <w:marTop w:val="0"/>
      <w:marBottom w:val="0"/>
      <w:divBdr>
        <w:top w:val="none" w:sz="0" w:space="0" w:color="auto"/>
        <w:left w:val="none" w:sz="0" w:space="0" w:color="auto"/>
        <w:bottom w:val="none" w:sz="0" w:space="0" w:color="auto"/>
        <w:right w:val="none" w:sz="0" w:space="0" w:color="auto"/>
      </w:divBdr>
      <w:divsChild>
        <w:div w:id="2096127607">
          <w:marLeft w:val="0"/>
          <w:marRight w:val="0"/>
          <w:marTop w:val="0"/>
          <w:marBottom w:val="0"/>
          <w:divBdr>
            <w:top w:val="none" w:sz="0" w:space="0" w:color="auto"/>
            <w:left w:val="none" w:sz="0" w:space="0" w:color="auto"/>
            <w:bottom w:val="none" w:sz="0" w:space="0" w:color="auto"/>
            <w:right w:val="none" w:sz="0" w:space="0" w:color="auto"/>
          </w:divBdr>
          <w:divsChild>
            <w:div w:id="984699706">
              <w:marLeft w:val="0"/>
              <w:marRight w:val="0"/>
              <w:marTop w:val="0"/>
              <w:marBottom w:val="0"/>
              <w:divBdr>
                <w:top w:val="none" w:sz="0" w:space="0" w:color="auto"/>
                <w:left w:val="none" w:sz="0" w:space="0" w:color="auto"/>
                <w:bottom w:val="none" w:sz="0" w:space="0" w:color="auto"/>
                <w:right w:val="none" w:sz="0" w:space="0" w:color="auto"/>
              </w:divBdr>
              <w:divsChild>
                <w:div w:id="913128200">
                  <w:marLeft w:val="0"/>
                  <w:marRight w:val="0"/>
                  <w:marTop w:val="0"/>
                  <w:marBottom w:val="0"/>
                  <w:divBdr>
                    <w:top w:val="none" w:sz="0" w:space="0" w:color="auto"/>
                    <w:left w:val="none" w:sz="0" w:space="0" w:color="auto"/>
                    <w:bottom w:val="none" w:sz="0" w:space="0" w:color="auto"/>
                    <w:right w:val="none" w:sz="0" w:space="0" w:color="auto"/>
                  </w:divBdr>
                  <w:divsChild>
                    <w:div w:id="19269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67215">
      <w:bodyDiv w:val="1"/>
      <w:marLeft w:val="0"/>
      <w:marRight w:val="0"/>
      <w:marTop w:val="0"/>
      <w:marBottom w:val="0"/>
      <w:divBdr>
        <w:top w:val="none" w:sz="0" w:space="0" w:color="auto"/>
        <w:left w:val="none" w:sz="0" w:space="0" w:color="auto"/>
        <w:bottom w:val="none" w:sz="0" w:space="0" w:color="auto"/>
        <w:right w:val="none" w:sz="0" w:space="0" w:color="auto"/>
      </w:divBdr>
    </w:div>
    <w:div w:id="498542633">
      <w:bodyDiv w:val="1"/>
      <w:marLeft w:val="0"/>
      <w:marRight w:val="0"/>
      <w:marTop w:val="0"/>
      <w:marBottom w:val="0"/>
      <w:divBdr>
        <w:top w:val="none" w:sz="0" w:space="0" w:color="auto"/>
        <w:left w:val="none" w:sz="0" w:space="0" w:color="auto"/>
        <w:bottom w:val="none" w:sz="0" w:space="0" w:color="auto"/>
        <w:right w:val="none" w:sz="0" w:space="0" w:color="auto"/>
      </w:divBdr>
    </w:div>
    <w:div w:id="526410340">
      <w:bodyDiv w:val="1"/>
      <w:marLeft w:val="0"/>
      <w:marRight w:val="0"/>
      <w:marTop w:val="0"/>
      <w:marBottom w:val="0"/>
      <w:divBdr>
        <w:top w:val="none" w:sz="0" w:space="0" w:color="auto"/>
        <w:left w:val="none" w:sz="0" w:space="0" w:color="auto"/>
        <w:bottom w:val="none" w:sz="0" w:space="0" w:color="auto"/>
        <w:right w:val="none" w:sz="0" w:space="0" w:color="auto"/>
      </w:divBdr>
    </w:div>
    <w:div w:id="705561528">
      <w:bodyDiv w:val="1"/>
      <w:marLeft w:val="0"/>
      <w:marRight w:val="0"/>
      <w:marTop w:val="0"/>
      <w:marBottom w:val="0"/>
      <w:divBdr>
        <w:top w:val="none" w:sz="0" w:space="0" w:color="auto"/>
        <w:left w:val="none" w:sz="0" w:space="0" w:color="auto"/>
        <w:bottom w:val="none" w:sz="0" w:space="0" w:color="auto"/>
        <w:right w:val="none" w:sz="0" w:space="0" w:color="auto"/>
      </w:divBdr>
    </w:div>
    <w:div w:id="705563239">
      <w:bodyDiv w:val="1"/>
      <w:marLeft w:val="0"/>
      <w:marRight w:val="0"/>
      <w:marTop w:val="0"/>
      <w:marBottom w:val="0"/>
      <w:divBdr>
        <w:top w:val="none" w:sz="0" w:space="0" w:color="auto"/>
        <w:left w:val="none" w:sz="0" w:space="0" w:color="auto"/>
        <w:bottom w:val="none" w:sz="0" w:space="0" w:color="auto"/>
        <w:right w:val="none" w:sz="0" w:space="0" w:color="auto"/>
      </w:divBdr>
    </w:div>
    <w:div w:id="721560735">
      <w:bodyDiv w:val="1"/>
      <w:marLeft w:val="0"/>
      <w:marRight w:val="0"/>
      <w:marTop w:val="0"/>
      <w:marBottom w:val="0"/>
      <w:divBdr>
        <w:top w:val="none" w:sz="0" w:space="0" w:color="auto"/>
        <w:left w:val="none" w:sz="0" w:space="0" w:color="auto"/>
        <w:bottom w:val="none" w:sz="0" w:space="0" w:color="auto"/>
        <w:right w:val="none" w:sz="0" w:space="0" w:color="auto"/>
      </w:divBdr>
    </w:div>
    <w:div w:id="884951906">
      <w:bodyDiv w:val="1"/>
      <w:marLeft w:val="0"/>
      <w:marRight w:val="0"/>
      <w:marTop w:val="0"/>
      <w:marBottom w:val="0"/>
      <w:divBdr>
        <w:top w:val="none" w:sz="0" w:space="0" w:color="auto"/>
        <w:left w:val="none" w:sz="0" w:space="0" w:color="auto"/>
        <w:bottom w:val="none" w:sz="0" w:space="0" w:color="auto"/>
        <w:right w:val="none" w:sz="0" w:space="0" w:color="auto"/>
      </w:divBdr>
    </w:div>
    <w:div w:id="911349774">
      <w:bodyDiv w:val="1"/>
      <w:marLeft w:val="0"/>
      <w:marRight w:val="0"/>
      <w:marTop w:val="0"/>
      <w:marBottom w:val="0"/>
      <w:divBdr>
        <w:top w:val="none" w:sz="0" w:space="0" w:color="auto"/>
        <w:left w:val="none" w:sz="0" w:space="0" w:color="auto"/>
        <w:bottom w:val="none" w:sz="0" w:space="0" w:color="auto"/>
        <w:right w:val="none" w:sz="0" w:space="0" w:color="auto"/>
      </w:divBdr>
    </w:div>
    <w:div w:id="913007995">
      <w:bodyDiv w:val="1"/>
      <w:marLeft w:val="0"/>
      <w:marRight w:val="0"/>
      <w:marTop w:val="0"/>
      <w:marBottom w:val="0"/>
      <w:divBdr>
        <w:top w:val="none" w:sz="0" w:space="0" w:color="auto"/>
        <w:left w:val="none" w:sz="0" w:space="0" w:color="auto"/>
        <w:bottom w:val="none" w:sz="0" w:space="0" w:color="auto"/>
        <w:right w:val="none" w:sz="0" w:space="0" w:color="auto"/>
      </w:divBdr>
    </w:div>
    <w:div w:id="936136841">
      <w:bodyDiv w:val="1"/>
      <w:marLeft w:val="0"/>
      <w:marRight w:val="0"/>
      <w:marTop w:val="0"/>
      <w:marBottom w:val="0"/>
      <w:divBdr>
        <w:top w:val="none" w:sz="0" w:space="0" w:color="auto"/>
        <w:left w:val="none" w:sz="0" w:space="0" w:color="auto"/>
        <w:bottom w:val="none" w:sz="0" w:space="0" w:color="auto"/>
        <w:right w:val="none" w:sz="0" w:space="0" w:color="auto"/>
      </w:divBdr>
    </w:div>
    <w:div w:id="1062754816">
      <w:bodyDiv w:val="1"/>
      <w:marLeft w:val="0"/>
      <w:marRight w:val="0"/>
      <w:marTop w:val="0"/>
      <w:marBottom w:val="0"/>
      <w:divBdr>
        <w:top w:val="none" w:sz="0" w:space="0" w:color="auto"/>
        <w:left w:val="none" w:sz="0" w:space="0" w:color="auto"/>
        <w:bottom w:val="none" w:sz="0" w:space="0" w:color="auto"/>
        <w:right w:val="none" w:sz="0" w:space="0" w:color="auto"/>
      </w:divBdr>
    </w:div>
    <w:div w:id="1243829043">
      <w:bodyDiv w:val="1"/>
      <w:marLeft w:val="0"/>
      <w:marRight w:val="0"/>
      <w:marTop w:val="0"/>
      <w:marBottom w:val="0"/>
      <w:divBdr>
        <w:top w:val="none" w:sz="0" w:space="0" w:color="auto"/>
        <w:left w:val="none" w:sz="0" w:space="0" w:color="auto"/>
        <w:bottom w:val="none" w:sz="0" w:space="0" w:color="auto"/>
        <w:right w:val="none" w:sz="0" w:space="0" w:color="auto"/>
      </w:divBdr>
    </w:div>
    <w:div w:id="1299383878">
      <w:bodyDiv w:val="1"/>
      <w:marLeft w:val="0"/>
      <w:marRight w:val="0"/>
      <w:marTop w:val="0"/>
      <w:marBottom w:val="0"/>
      <w:divBdr>
        <w:top w:val="none" w:sz="0" w:space="0" w:color="auto"/>
        <w:left w:val="none" w:sz="0" w:space="0" w:color="auto"/>
        <w:bottom w:val="none" w:sz="0" w:space="0" w:color="auto"/>
        <w:right w:val="none" w:sz="0" w:space="0" w:color="auto"/>
      </w:divBdr>
    </w:div>
    <w:div w:id="1344623500">
      <w:bodyDiv w:val="1"/>
      <w:marLeft w:val="0"/>
      <w:marRight w:val="0"/>
      <w:marTop w:val="0"/>
      <w:marBottom w:val="0"/>
      <w:divBdr>
        <w:top w:val="none" w:sz="0" w:space="0" w:color="auto"/>
        <w:left w:val="none" w:sz="0" w:space="0" w:color="auto"/>
        <w:bottom w:val="none" w:sz="0" w:space="0" w:color="auto"/>
        <w:right w:val="none" w:sz="0" w:space="0" w:color="auto"/>
      </w:divBdr>
    </w:div>
    <w:div w:id="1595819553">
      <w:bodyDiv w:val="1"/>
      <w:marLeft w:val="0"/>
      <w:marRight w:val="0"/>
      <w:marTop w:val="0"/>
      <w:marBottom w:val="0"/>
      <w:divBdr>
        <w:top w:val="none" w:sz="0" w:space="0" w:color="auto"/>
        <w:left w:val="none" w:sz="0" w:space="0" w:color="auto"/>
        <w:bottom w:val="none" w:sz="0" w:space="0" w:color="auto"/>
        <w:right w:val="none" w:sz="0" w:space="0" w:color="auto"/>
      </w:divBdr>
    </w:div>
    <w:div w:id="1771584958">
      <w:bodyDiv w:val="1"/>
      <w:marLeft w:val="0"/>
      <w:marRight w:val="0"/>
      <w:marTop w:val="0"/>
      <w:marBottom w:val="0"/>
      <w:divBdr>
        <w:top w:val="none" w:sz="0" w:space="0" w:color="auto"/>
        <w:left w:val="none" w:sz="0" w:space="0" w:color="auto"/>
        <w:bottom w:val="none" w:sz="0" w:space="0" w:color="auto"/>
        <w:right w:val="none" w:sz="0" w:space="0" w:color="auto"/>
      </w:divBdr>
    </w:div>
    <w:div w:id="1898852337">
      <w:bodyDiv w:val="1"/>
      <w:marLeft w:val="0"/>
      <w:marRight w:val="0"/>
      <w:marTop w:val="0"/>
      <w:marBottom w:val="0"/>
      <w:divBdr>
        <w:top w:val="none" w:sz="0" w:space="0" w:color="auto"/>
        <w:left w:val="none" w:sz="0" w:space="0" w:color="auto"/>
        <w:bottom w:val="none" w:sz="0" w:space="0" w:color="auto"/>
        <w:right w:val="none" w:sz="0" w:space="0" w:color="auto"/>
      </w:divBdr>
    </w:div>
    <w:div w:id="1950703071">
      <w:bodyDiv w:val="1"/>
      <w:marLeft w:val="0"/>
      <w:marRight w:val="0"/>
      <w:marTop w:val="0"/>
      <w:marBottom w:val="0"/>
      <w:divBdr>
        <w:top w:val="none" w:sz="0" w:space="0" w:color="auto"/>
        <w:left w:val="none" w:sz="0" w:space="0" w:color="auto"/>
        <w:bottom w:val="none" w:sz="0" w:space="0" w:color="auto"/>
        <w:right w:val="none" w:sz="0" w:space="0" w:color="auto"/>
      </w:divBdr>
    </w:div>
    <w:div w:id="2077363344">
      <w:bodyDiv w:val="1"/>
      <w:marLeft w:val="0"/>
      <w:marRight w:val="0"/>
      <w:marTop w:val="0"/>
      <w:marBottom w:val="0"/>
      <w:divBdr>
        <w:top w:val="none" w:sz="0" w:space="0" w:color="auto"/>
        <w:left w:val="none" w:sz="0" w:space="0" w:color="auto"/>
        <w:bottom w:val="none" w:sz="0" w:space="0" w:color="auto"/>
        <w:right w:val="none" w:sz="0" w:space="0" w:color="auto"/>
      </w:divBdr>
    </w:div>
    <w:div w:id="209925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8</Pages>
  <Words>3132</Words>
  <Characters>15849</Characters>
  <Application>Microsoft Office Word</Application>
  <DocSecurity>0</DocSecurity>
  <Lines>720</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Gibbs (1903048)</dc:creator>
  <cp:keywords/>
  <dc:description/>
  <cp:lastModifiedBy>Elin Gibbs (1903048)</cp:lastModifiedBy>
  <cp:revision>12</cp:revision>
  <dcterms:created xsi:type="dcterms:W3CDTF">2021-12-06T15:16:00Z</dcterms:created>
  <dcterms:modified xsi:type="dcterms:W3CDTF">2022-01-07T15:34:00Z</dcterms:modified>
</cp:coreProperties>
</file>