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F609F" w14:textId="72C42528" w:rsidR="001627E4" w:rsidRDefault="00695BBD">
      <w:pPr>
        <w:rPr>
          <w:i/>
          <w:iCs/>
        </w:rPr>
      </w:pPr>
      <w:bookmarkStart w:id="0" w:name="_GoBack"/>
      <w:bookmarkEnd w:id="0"/>
      <w:r w:rsidRPr="00695BBD">
        <w:rPr>
          <w:i/>
          <w:iCs/>
        </w:rPr>
        <w:t>In up to 1000 words compare and contrast conceptions of the environment.</w:t>
      </w:r>
    </w:p>
    <w:p w14:paraId="5ECAA115" w14:textId="12F85BCE" w:rsidR="007902B6" w:rsidRDefault="007902B6">
      <w:r>
        <w:t>To begin comparing and contrasting conceptions of the environment, one must first understand what is meant in reference to these ‘</w:t>
      </w:r>
      <w:proofErr w:type="gramStart"/>
      <w:r>
        <w:t>conceptions’</w:t>
      </w:r>
      <w:proofErr w:type="gramEnd"/>
      <w:r>
        <w:t xml:space="preserve">. From my understanding, it is how a group of people live within and interact with the environment around them, and how that in turn influences their culture, politics, attitudes towards gender, cosmology and multiple other aspects. I will endeavour to answer this question by comparing and contrasting two tribe’s conceptions of the environment – the Yanomamo and the Nuer. The Yanomamo are </w:t>
      </w:r>
      <w:r w:rsidR="004E3598">
        <w:t>the indigenous people</w:t>
      </w:r>
      <w:r>
        <w:t xml:space="preserve"> found in</w:t>
      </w:r>
      <w:r w:rsidR="004E3598">
        <w:t xml:space="preserve"> the Amazonian rainforest</w:t>
      </w:r>
      <w:r>
        <w:t xml:space="preserve"> </w:t>
      </w:r>
      <w:r w:rsidR="004E3598">
        <w:t>on the Venezuelan-Brazilian border, while t</w:t>
      </w:r>
      <w:r>
        <w:t xml:space="preserve">he Nuer </w:t>
      </w:r>
      <w:r w:rsidR="004E3598">
        <w:t xml:space="preserve">people </w:t>
      </w:r>
      <w:r>
        <w:t xml:space="preserve">live by the open plains and swamps </w:t>
      </w:r>
      <w:r w:rsidR="004E3598">
        <w:t>on each side of the Nile and are concentrated mostly in South Sudan.</w:t>
      </w:r>
    </w:p>
    <w:p w14:paraId="67625406" w14:textId="78D9E222" w:rsidR="00FB63FA" w:rsidRDefault="00E26BD3" w:rsidP="00FB63FA">
      <w:r>
        <w:t xml:space="preserve">The Nuer’s conception of the environment is mainly through cattle – their herds make up their way of life, their food source, their wealth, their happiness, and more – it all stems from their cows and oxen. </w:t>
      </w:r>
      <w:r w:rsidR="00CD58E1">
        <w:t>The Nuer</w:t>
      </w:r>
      <w:r w:rsidR="0029571A">
        <w:t xml:space="preserve"> are pastoralists who move </w:t>
      </w:r>
      <w:r w:rsidR="00FB63FA">
        <w:t>depending on the season – they can either be sedentary for a time or nomadic.</w:t>
      </w:r>
      <w:r w:rsidR="00B765CE">
        <w:t xml:space="preserve"> </w:t>
      </w:r>
      <w:r w:rsidR="00B765CE" w:rsidRPr="00B765CE">
        <w:t xml:space="preserve">While the Nuer seem to hold a certain distain for hunting and gathering, they are made highly dependent on their environment in other ways. </w:t>
      </w:r>
      <w:r w:rsidR="00B765CE">
        <w:t>The Nuer move around to avoid floods and draught so they can provide for their cattle, but find that they increasingly have to take part in hort</w:t>
      </w:r>
      <w:r>
        <w:t>iculture to survive, despite being “very largely dependent on the milk of their herds” (Evans-</w:t>
      </w:r>
      <w:proofErr w:type="spellStart"/>
      <w:r>
        <w:t>Pritchards</w:t>
      </w:r>
      <w:proofErr w:type="spellEnd"/>
      <w:r>
        <w:t>, 1956).</w:t>
      </w:r>
      <w:r w:rsidR="00F37673">
        <w:t xml:space="preserve"> The Nuer are forced to become sedentary and move into villages on elevated ground, to keep cattle above the </w:t>
      </w:r>
      <w:proofErr w:type="spellStart"/>
      <w:r w:rsidR="00F37673">
        <w:t>floodline</w:t>
      </w:r>
      <w:proofErr w:type="spellEnd"/>
      <w:r w:rsidR="00F37673">
        <w:t>, for protection against floods and mosquitoes that spread disease to the cattle, by the lack of vegetation in an area and draughts often cause them to move out again. Their conception of the environment is closely linked with where they live and what they have to eat.</w:t>
      </w:r>
      <w:r w:rsidR="00813468">
        <w:t xml:space="preserve"> An issue the Nuer encounter is that “t</w:t>
      </w:r>
      <w:r w:rsidR="00813468" w:rsidRPr="00813468">
        <w:t>aking care of cattle for their milk involves straight dependence on water and vegetation which permits and compels a wandering life</w:t>
      </w:r>
      <w:r w:rsidR="00813468">
        <w:t xml:space="preserve">” </w:t>
      </w:r>
      <w:r w:rsidR="0029762F">
        <w:t>(</w:t>
      </w:r>
      <w:proofErr w:type="spellStart"/>
      <w:r w:rsidR="0029762F">
        <w:t>Attala</w:t>
      </w:r>
      <w:proofErr w:type="spellEnd"/>
      <w:r w:rsidR="0029762F">
        <w:t>, 2019</w:t>
      </w:r>
      <w:r w:rsidR="00813468">
        <w:t>), but they cannot always wander so they are often living between two extremes.</w:t>
      </w:r>
    </w:p>
    <w:p w14:paraId="5C4A9A1B" w14:textId="5FA54241" w:rsidR="0029762F" w:rsidRDefault="00DF4748" w:rsidP="0029762F">
      <w:r>
        <w:t xml:space="preserve">The Yanomamos conception of the environment differs somewhat, as they move around less frequently, instead choosing a sedentary lifestyle as horticulturalists where they have more permanent dwellings. The Yanomamo form villages, and only move every three years once their gardens have run out of the nutrients needed to grow crops. </w:t>
      </w:r>
      <w:r w:rsidR="00000047">
        <w:t xml:space="preserve"> Yanomamo use </w:t>
      </w:r>
      <w:r w:rsidR="00AC4893">
        <w:t>‘</w:t>
      </w:r>
      <w:proofErr w:type="spellStart"/>
      <w:r w:rsidR="00000047">
        <w:t>swidden</w:t>
      </w:r>
      <w:proofErr w:type="spellEnd"/>
      <w:r w:rsidR="00AC4893">
        <w:t>’</w:t>
      </w:r>
      <w:r w:rsidR="00000047">
        <w:t xml:space="preserve"> or slash and burn culture, to clear a small area of forest so they can plant new gardens</w:t>
      </w:r>
      <w:r w:rsidR="00AC4893">
        <w:t xml:space="preserve"> within the burned area. The ash aids in returning nutrients to the soil, and the Yanomamo also use crop rotation. However, the slash and burn culture clears the land quicker than it can recover, so they have to move around, while also keeping the forest out.</w:t>
      </w:r>
      <w:r w:rsidR="00371D0A">
        <w:t xml:space="preserve"> Therefore, the Yanomamo’s conception of the environment is more to do with protecting themselves from the forest by building large </w:t>
      </w:r>
      <w:proofErr w:type="spellStart"/>
      <w:r w:rsidR="00371D0A">
        <w:t>shabonos</w:t>
      </w:r>
      <w:proofErr w:type="spellEnd"/>
      <w:r w:rsidR="00371D0A">
        <w:t xml:space="preserve"> and creating their gardens close by.</w:t>
      </w:r>
    </w:p>
    <w:p w14:paraId="294819D7" w14:textId="0C601F59" w:rsidR="00A76243" w:rsidRDefault="00053F04" w:rsidP="00053F04">
      <w:r>
        <w:t xml:space="preserve">The cosmology, or belief system, of the Yanomami is heavily interlinked with </w:t>
      </w:r>
      <w:r w:rsidR="00762C28">
        <w:t xml:space="preserve">the environment surrounding them. The Yanomamo gain insight from the spirit world, </w:t>
      </w:r>
      <w:r w:rsidR="005A30C4">
        <w:t>through a hallucinogenic powder called ‘</w:t>
      </w:r>
      <w:proofErr w:type="spellStart"/>
      <w:r w:rsidR="005A30C4">
        <w:t>Ebene</w:t>
      </w:r>
      <w:proofErr w:type="spellEnd"/>
      <w:r w:rsidR="005A30C4">
        <w:t>’ which is sourced from a plant within the forest</w:t>
      </w:r>
      <w:r w:rsidR="008A01A8">
        <w:t>, and through this the spirits instruct the tribe what they should do (power</w:t>
      </w:r>
      <w:r w:rsidR="00CA34DA">
        <w:t>1</w:t>
      </w:r>
      <w:r w:rsidR="008A01A8">
        <w:t xml:space="preserve">point slides). </w:t>
      </w:r>
      <w:r w:rsidR="00D43BF9">
        <w:t xml:space="preserve"> </w:t>
      </w:r>
      <w:r w:rsidR="008B4F14">
        <w:t>The Yanomamo have many myths about Jaguars</w:t>
      </w:r>
      <w:r w:rsidR="00BE6521">
        <w:t>, which interestingly affects how they interact with the environment and what animals they choose to eat.</w:t>
      </w:r>
      <w:r w:rsidR="006223D6">
        <w:t xml:space="preserve"> For the Yanomamo, their world is divided into “</w:t>
      </w:r>
      <w:proofErr w:type="spellStart"/>
      <w:r w:rsidR="006223D6">
        <w:t>urihi</w:t>
      </w:r>
      <w:proofErr w:type="spellEnd"/>
      <w:r w:rsidR="006223D6">
        <w:t xml:space="preserve"> </w:t>
      </w:r>
      <w:proofErr w:type="spellStart"/>
      <w:r w:rsidR="006223D6">
        <w:t>t</w:t>
      </w:r>
      <w:r w:rsidR="00BA387C">
        <w:rPr>
          <w:rFonts w:cstheme="minorHAnsi"/>
        </w:rPr>
        <w:t>ä</w:t>
      </w:r>
      <w:proofErr w:type="spellEnd"/>
      <w:r w:rsidR="006223D6">
        <w:t xml:space="preserve"> </w:t>
      </w:r>
      <w:proofErr w:type="spellStart"/>
      <w:r w:rsidR="006223D6">
        <w:t>rim</w:t>
      </w:r>
      <w:r w:rsidR="00BA387C">
        <w:rPr>
          <w:rFonts w:cstheme="minorHAnsi"/>
        </w:rPr>
        <w:t>ö</w:t>
      </w:r>
      <w:proofErr w:type="spellEnd"/>
      <w:r w:rsidR="00BA387C">
        <w:rPr>
          <w:rFonts w:cstheme="minorHAnsi"/>
        </w:rPr>
        <w:t xml:space="preserve"> </w:t>
      </w:r>
      <w:r w:rsidR="006223D6">
        <w:t xml:space="preserve">(‘things of the forest’) and </w:t>
      </w:r>
      <w:proofErr w:type="spellStart"/>
      <w:r w:rsidR="006223D6">
        <w:t>yahi</w:t>
      </w:r>
      <w:proofErr w:type="spellEnd"/>
      <w:r w:rsidR="006223D6">
        <w:t xml:space="preserve"> </w:t>
      </w:r>
      <w:proofErr w:type="spellStart"/>
      <w:r w:rsidR="006223D6">
        <w:t>t</w:t>
      </w:r>
      <w:r w:rsidR="00BA387C">
        <w:rPr>
          <w:rFonts w:cstheme="minorHAnsi"/>
        </w:rPr>
        <w:t>ä</w:t>
      </w:r>
      <w:proofErr w:type="spellEnd"/>
      <w:r w:rsidR="006223D6">
        <w:t xml:space="preserve"> </w:t>
      </w:r>
      <w:proofErr w:type="spellStart"/>
      <w:r w:rsidR="006223D6">
        <w:t>rim</w:t>
      </w:r>
      <w:r w:rsidR="00BA387C">
        <w:rPr>
          <w:rFonts w:cstheme="minorHAnsi"/>
        </w:rPr>
        <w:t>ö</w:t>
      </w:r>
      <w:proofErr w:type="spellEnd"/>
      <w:r w:rsidR="006223D6">
        <w:t xml:space="preserve"> (‘things of the village’)”</w:t>
      </w:r>
      <w:r w:rsidR="00861121">
        <w:t xml:space="preserve"> – in essence nature and culture are thought to be separated, but Jaguars are considered almost human due to their hunting habits; they treat humans as if they are animals (</w:t>
      </w:r>
      <w:proofErr w:type="spellStart"/>
      <w:r w:rsidR="0029762F">
        <w:t>Attala</w:t>
      </w:r>
      <w:proofErr w:type="spellEnd"/>
      <w:r w:rsidR="0029762F">
        <w:t>, 2019</w:t>
      </w:r>
      <w:r w:rsidR="00861121">
        <w:t xml:space="preserve">). </w:t>
      </w:r>
      <w:r w:rsidR="00481424">
        <w:t xml:space="preserve">These Jaguar myths </w:t>
      </w:r>
      <w:r w:rsidR="002926DF">
        <w:t>s</w:t>
      </w:r>
      <w:r w:rsidR="00481424">
        <w:t xml:space="preserve">hine a light on the fear of cannibalism seen within the Yanomamo. Any animal who has been captured in the wild then becomes a part of the village, and so </w:t>
      </w:r>
      <w:r w:rsidR="002926DF">
        <w:t>becomes part of culture</w:t>
      </w:r>
      <w:r w:rsidR="00916D95">
        <w:t>; t</w:t>
      </w:r>
      <w:r w:rsidR="002926DF">
        <w:t>hey do not eat “moneys, birds and rodents”</w:t>
      </w:r>
      <w:r w:rsidR="00916D95">
        <w:t>, as “eating something ‘cultural’ and therefore ‘humanlike’” is akin to cannibalism.</w:t>
      </w:r>
      <w:r w:rsidR="00D43BF9">
        <w:t xml:space="preserve"> The way the Yanomamo </w:t>
      </w:r>
      <w:r w:rsidR="00D43BF9">
        <w:lastRenderedPageBreak/>
        <w:t>interact with and conceive their environment is altered as they must now consider different food sources and different ways of living due to their cosmology.</w:t>
      </w:r>
    </w:p>
    <w:p w14:paraId="41475F66" w14:textId="2836153D" w:rsidR="007B2E03" w:rsidRPr="00A76243" w:rsidRDefault="00A76243" w:rsidP="00A76243">
      <w:r>
        <w:t xml:space="preserve">The Nuer also believe in spirits, and they are contacted through their own conceptions of the environment. To establish contact with a ghost or spirit, one must rub ashes along the back of the cow or ox, and then one may </w:t>
      </w:r>
      <w:r w:rsidRPr="00A76243">
        <w:t xml:space="preserve">ask for assistance from the spirit or ghost associated with the </w:t>
      </w:r>
      <w:r>
        <w:t>chosen cattle (</w:t>
      </w:r>
      <w:proofErr w:type="spellStart"/>
      <w:r w:rsidR="0029762F">
        <w:t>Attala</w:t>
      </w:r>
      <w:proofErr w:type="spellEnd"/>
      <w:r w:rsidR="0029762F">
        <w:t>, 2019</w:t>
      </w:r>
      <w:r>
        <w:t>).</w:t>
      </w:r>
      <w:r w:rsidR="007B2E03">
        <w:t xml:space="preserve"> Cattle are even sacrificed to the spirits, and when we consider how important they are to the Nuer in terms of food, wealth and status – the ecological and economic function of milk plays a large part in this – we begin to understand the Nuer’s conception of the environment in terms of cosmology.</w:t>
      </w:r>
    </w:p>
    <w:p w14:paraId="0CE6E981" w14:textId="0716D4C8" w:rsidR="00C05A89" w:rsidRDefault="00CD58E1" w:rsidP="006026A9">
      <w:pPr>
        <w:tabs>
          <w:tab w:val="left" w:pos="3924"/>
        </w:tabs>
      </w:pPr>
      <w:r>
        <w:t xml:space="preserve">As Evans-Pritchard writes, the political institutions of the Nuer cannot be understood without taking into account the environment and modes of livelihood (1940). </w:t>
      </w:r>
      <w:r w:rsidR="0019728E">
        <w:t>There is a ‘lack of law’ within the Nuer people, as there are a number of tribes which contain</w:t>
      </w:r>
      <w:r w:rsidR="00FC7BC2">
        <w:t xml:space="preserve"> no semblance of what we would consider “common organisation or central administration”(</w:t>
      </w:r>
      <w:proofErr w:type="spellStart"/>
      <w:r w:rsidR="0029762F">
        <w:t>Attala</w:t>
      </w:r>
      <w:proofErr w:type="spellEnd"/>
      <w:r w:rsidR="0029762F">
        <w:t>, 2019</w:t>
      </w:r>
      <w:r w:rsidR="00FC7BC2">
        <w:t>)</w:t>
      </w:r>
      <w:r w:rsidR="00385331">
        <w:t xml:space="preserve"> But as previously mentioned, cows are considered a mark of prestige among the Nuer, and hold social value. This is relevant as the head of each household has full ownership and rights, and these in turn provide leadership and value – therefore the environment influences the structure of the tribe and how wealth and power is derived from.</w:t>
      </w:r>
      <w:r w:rsidR="0079177D">
        <w:t xml:space="preserve"> </w:t>
      </w:r>
      <w:r w:rsidR="00DC434B">
        <w:t>There is also the role of the Leopard skin ‘chief’</w:t>
      </w:r>
      <w:r w:rsidR="004A6173">
        <w:t xml:space="preserve">, who does not hold political authority, but does </w:t>
      </w:r>
      <w:r w:rsidR="001B7FCF">
        <w:t xml:space="preserve">have power within the community, </w:t>
      </w:r>
      <w:r w:rsidR="00B15D6C">
        <w:t>signified by the “leopard-skin over his right shoulder as a mark of his status” (Mair, 1976)</w:t>
      </w:r>
      <w:r w:rsidR="002243C1">
        <w:t xml:space="preserve">, which also links into the Nuer’s conception of the environment. </w:t>
      </w:r>
      <w:r w:rsidR="00565910">
        <w:t>However,</w:t>
      </w:r>
      <w:r w:rsidR="002243C1">
        <w:t xml:space="preserve"> in contrast to the Nuer,</w:t>
      </w:r>
      <w:r w:rsidR="00565910">
        <w:t xml:space="preserve"> the environment doesn’t </w:t>
      </w:r>
      <w:r w:rsidR="00AB046F">
        <w:t>play a role within the political systems and leadership of the Yanomamo</w:t>
      </w:r>
      <w:r w:rsidR="00565910">
        <w:t>, as political power within the tribes lies with those who are most charismatic and socially adept.</w:t>
      </w:r>
    </w:p>
    <w:p w14:paraId="0F51770F" w14:textId="0B7491F6" w:rsidR="00955C76" w:rsidRDefault="00CA34DA">
      <w:r>
        <w:t xml:space="preserve">Throughout this essay </w:t>
      </w:r>
      <w:r w:rsidR="00C05A89">
        <w:t>I have compared and contrasted different peoples’ conceptions of the environment</w:t>
      </w:r>
      <w:r>
        <w:t xml:space="preserve">, through more obvious </w:t>
      </w:r>
      <w:r w:rsidR="00466605">
        <w:t>ways s</w:t>
      </w:r>
      <w:r>
        <w:t>uch as how each tribe provides food for itself, but also looking into more unexpected conceptions of the environment such as cosmology</w:t>
      </w:r>
      <w:r w:rsidR="00466605">
        <w:t xml:space="preserve"> and myth. </w:t>
      </w:r>
      <w:r w:rsidR="00955C76">
        <w:t>How a tribe lives changes their conceptions of the environment, and between peoples</w:t>
      </w:r>
      <w:r w:rsidR="00DF4748">
        <w:t>’</w:t>
      </w:r>
      <w:r w:rsidR="00955C76">
        <w:t xml:space="preserve"> environmental </w:t>
      </w:r>
      <w:r w:rsidR="00DF4748">
        <w:t>conceptions</w:t>
      </w:r>
      <w:r w:rsidR="00955C76">
        <w:t xml:space="preserve"> will differ largely, even if they live in relatively similar environments or have similar lifestyle aspects. It is difficult to pin down one ‘correct’ conception of the environment or indeed if there should be one, but one thing that can be made certain is that environmental determinism must likely play a role in how each environment is conceived.</w:t>
      </w:r>
    </w:p>
    <w:p w14:paraId="6895F07A" w14:textId="77777777" w:rsidR="00DF4748" w:rsidRDefault="00DF4748" w:rsidP="00B57096"/>
    <w:p w14:paraId="4D680BDE" w14:textId="43672F7F" w:rsidR="00B57096" w:rsidRPr="00DF4748" w:rsidRDefault="00DF4748" w:rsidP="00B57096">
      <w:pPr>
        <w:rPr>
          <w:i/>
          <w:iCs/>
        </w:rPr>
      </w:pPr>
      <w:r w:rsidRPr="00DF4748">
        <w:rPr>
          <w:i/>
          <w:iCs/>
        </w:rPr>
        <w:t>Bibliography</w:t>
      </w:r>
    </w:p>
    <w:p w14:paraId="72EB2E96" w14:textId="3DEB5F46" w:rsidR="00DF4748" w:rsidRDefault="00E75800" w:rsidP="00B5709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Attala</w:t>
      </w:r>
      <w:proofErr w:type="spellEnd"/>
      <w:r>
        <w:rPr>
          <w:rFonts w:ascii="Open Sans" w:hAnsi="Open Sans" w:cs="Open Sans"/>
          <w:color w:val="000000"/>
          <w:sz w:val="20"/>
          <w:szCs w:val="20"/>
          <w:shd w:val="clear" w:color="auto" w:fill="FFFFFF"/>
        </w:rPr>
        <w:t>, L. (2019). </w:t>
      </w:r>
      <w:r>
        <w:rPr>
          <w:rFonts w:ascii="Open Sans" w:hAnsi="Open Sans" w:cs="Open Sans"/>
          <w:i/>
          <w:iCs/>
          <w:color w:val="000000"/>
          <w:sz w:val="20"/>
          <w:szCs w:val="20"/>
          <w:shd w:val="clear" w:color="auto" w:fill="FFFFFF"/>
        </w:rPr>
        <w:t>Environment in Classic Ethnographies</w:t>
      </w:r>
      <w:r>
        <w:rPr>
          <w:rFonts w:ascii="Open Sans" w:hAnsi="Open Sans" w:cs="Open Sans"/>
          <w:color w:val="000000"/>
          <w:sz w:val="20"/>
          <w:szCs w:val="20"/>
          <w:shd w:val="clear" w:color="auto" w:fill="FFFFFF"/>
        </w:rPr>
        <w:t>.</w:t>
      </w:r>
    </w:p>
    <w:p w14:paraId="09B2D8C6" w14:textId="08B8F1CB" w:rsidR="00E75800" w:rsidRDefault="00E75800" w:rsidP="00B5709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Chagnon</w:t>
      </w:r>
      <w:proofErr w:type="spellEnd"/>
      <w:r>
        <w:rPr>
          <w:rFonts w:ascii="Open Sans" w:hAnsi="Open Sans" w:cs="Open Sans"/>
          <w:color w:val="000000"/>
          <w:sz w:val="20"/>
          <w:szCs w:val="20"/>
          <w:shd w:val="clear" w:color="auto" w:fill="FFFFFF"/>
        </w:rPr>
        <w:t>, N. (1992). </w:t>
      </w:r>
      <w:r>
        <w:rPr>
          <w:rFonts w:ascii="Open Sans" w:hAnsi="Open Sans" w:cs="Open Sans"/>
          <w:i/>
          <w:iCs/>
          <w:color w:val="000000"/>
          <w:sz w:val="20"/>
          <w:szCs w:val="20"/>
          <w:shd w:val="clear" w:color="auto" w:fill="FFFFFF"/>
        </w:rPr>
        <w:t>Yanomamo</w:t>
      </w:r>
      <w:r>
        <w:rPr>
          <w:rFonts w:ascii="Open Sans" w:hAnsi="Open Sans" w:cs="Open Sans"/>
          <w:color w:val="000000"/>
          <w:sz w:val="20"/>
          <w:szCs w:val="20"/>
          <w:shd w:val="clear" w:color="auto" w:fill="FFFFFF"/>
        </w:rPr>
        <w:t>. 4th ed. Santa Barbara: University of California Press, p.105.</w:t>
      </w:r>
    </w:p>
    <w:p w14:paraId="4096E6DC" w14:textId="6743569C" w:rsidR="00E75800" w:rsidRDefault="00E75800" w:rsidP="00B5709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Evans-Pritchard, E. (1956). </w:t>
      </w:r>
      <w:r>
        <w:rPr>
          <w:rFonts w:ascii="Open Sans" w:hAnsi="Open Sans" w:cs="Open Sans"/>
          <w:i/>
          <w:iCs/>
          <w:color w:val="000000"/>
          <w:sz w:val="20"/>
          <w:szCs w:val="20"/>
          <w:shd w:val="clear" w:color="auto" w:fill="FFFFFF"/>
        </w:rPr>
        <w:t>Nuer religion, by E.E. Evans-Pritchard, ..</w:t>
      </w:r>
      <w:r>
        <w:rPr>
          <w:rFonts w:ascii="Open Sans" w:hAnsi="Open Sans" w:cs="Open Sans"/>
          <w:color w:val="000000"/>
          <w:sz w:val="20"/>
          <w:szCs w:val="20"/>
          <w:shd w:val="clear" w:color="auto" w:fill="FFFFFF"/>
        </w:rPr>
        <w:t>. Oxford: Clarendon Press, p.248.</w:t>
      </w:r>
    </w:p>
    <w:p w14:paraId="1D5E7BA9" w14:textId="5DEEAA44" w:rsidR="00C37557" w:rsidRDefault="00C37557" w:rsidP="00B5709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Evans-Pritchard, E. (1940). </w:t>
      </w:r>
      <w:r>
        <w:rPr>
          <w:rFonts w:ascii="Open Sans" w:hAnsi="Open Sans" w:cs="Open Sans"/>
          <w:i/>
          <w:iCs/>
          <w:color w:val="000000"/>
          <w:sz w:val="20"/>
          <w:szCs w:val="20"/>
          <w:shd w:val="clear" w:color="auto" w:fill="FFFFFF"/>
        </w:rPr>
        <w:t>The Nuer, a description of the modes of livelihood and political institutions of a Nilotic people</w:t>
      </w:r>
      <w:r>
        <w:rPr>
          <w:rFonts w:ascii="Open Sans" w:hAnsi="Open Sans" w:cs="Open Sans"/>
          <w:color w:val="000000"/>
          <w:sz w:val="20"/>
          <w:szCs w:val="20"/>
          <w:shd w:val="clear" w:color="auto" w:fill="FFFFFF"/>
        </w:rPr>
        <w:t>. Oxford: Clarendon Press.</w:t>
      </w:r>
    </w:p>
    <w:p w14:paraId="2806CA72" w14:textId="0E66EFF7" w:rsidR="00C37557" w:rsidRPr="00695BBD" w:rsidRDefault="00C37557" w:rsidP="00B57096">
      <w:r>
        <w:rPr>
          <w:rFonts w:ascii="Open Sans" w:hAnsi="Open Sans" w:cs="Open Sans"/>
          <w:color w:val="000000"/>
          <w:sz w:val="20"/>
          <w:szCs w:val="20"/>
          <w:shd w:val="clear" w:color="auto" w:fill="FFFFFF"/>
        </w:rPr>
        <w:t>Mair, L. (1976). </w:t>
      </w:r>
      <w:r>
        <w:rPr>
          <w:rFonts w:ascii="Open Sans" w:hAnsi="Open Sans" w:cs="Open Sans"/>
          <w:i/>
          <w:iCs/>
          <w:color w:val="000000"/>
          <w:sz w:val="20"/>
          <w:szCs w:val="20"/>
          <w:shd w:val="clear" w:color="auto" w:fill="FFFFFF"/>
        </w:rPr>
        <w:t>African Societies</w:t>
      </w:r>
      <w:r>
        <w:rPr>
          <w:rFonts w:ascii="Open Sans" w:hAnsi="Open Sans" w:cs="Open Sans"/>
          <w:color w:val="000000"/>
          <w:sz w:val="20"/>
          <w:szCs w:val="20"/>
          <w:shd w:val="clear" w:color="auto" w:fill="FFFFFF"/>
        </w:rPr>
        <w:t>. Cambridge: Cambridge University Press, p.131.</w:t>
      </w:r>
    </w:p>
    <w:sectPr w:rsidR="00C37557" w:rsidRPr="00695B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BBD"/>
    <w:rsid w:val="00000047"/>
    <w:rsid w:val="00053F04"/>
    <w:rsid w:val="000833A9"/>
    <w:rsid w:val="000B5E87"/>
    <w:rsid w:val="001627E4"/>
    <w:rsid w:val="0019728E"/>
    <w:rsid w:val="001B7FCF"/>
    <w:rsid w:val="002243C1"/>
    <w:rsid w:val="00271559"/>
    <w:rsid w:val="002926DF"/>
    <w:rsid w:val="0029571A"/>
    <w:rsid w:val="0029762F"/>
    <w:rsid w:val="00371D0A"/>
    <w:rsid w:val="00385331"/>
    <w:rsid w:val="00466605"/>
    <w:rsid w:val="00467D51"/>
    <w:rsid w:val="00481424"/>
    <w:rsid w:val="004967D5"/>
    <w:rsid w:val="004A6173"/>
    <w:rsid w:val="004E3598"/>
    <w:rsid w:val="00565910"/>
    <w:rsid w:val="005A30C4"/>
    <w:rsid w:val="006026A9"/>
    <w:rsid w:val="006223D6"/>
    <w:rsid w:val="006929E7"/>
    <w:rsid w:val="00695BBD"/>
    <w:rsid w:val="00762C28"/>
    <w:rsid w:val="007902B6"/>
    <w:rsid w:val="0079177D"/>
    <w:rsid w:val="007B0295"/>
    <w:rsid w:val="007B2E03"/>
    <w:rsid w:val="007E4F45"/>
    <w:rsid w:val="007F48B7"/>
    <w:rsid w:val="00813468"/>
    <w:rsid w:val="00861121"/>
    <w:rsid w:val="0088062B"/>
    <w:rsid w:val="008A01A8"/>
    <w:rsid w:val="008B4F14"/>
    <w:rsid w:val="00916D95"/>
    <w:rsid w:val="00955C76"/>
    <w:rsid w:val="00A76243"/>
    <w:rsid w:val="00A856DE"/>
    <w:rsid w:val="00A94BF3"/>
    <w:rsid w:val="00AB046F"/>
    <w:rsid w:val="00AC4893"/>
    <w:rsid w:val="00B03BF0"/>
    <w:rsid w:val="00B15D6C"/>
    <w:rsid w:val="00B56157"/>
    <w:rsid w:val="00B57096"/>
    <w:rsid w:val="00B765CE"/>
    <w:rsid w:val="00B8428A"/>
    <w:rsid w:val="00BA387C"/>
    <w:rsid w:val="00BC3F2E"/>
    <w:rsid w:val="00BE6521"/>
    <w:rsid w:val="00C05A89"/>
    <w:rsid w:val="00C37557"/>
    <w:rsid w:val="00C530F4"/>
    <w:rsid w:val="00CA34DA"/>
    <w:rsid w:val="00CB6C92"/>
    <w:rsid w:val="00CD58E1"/>
    <w:rsid w:val="00D43BF9"/>
    <w:rsid w:val="00DC434B"/>
    <w:rsid w:val="00DF4748"/>
    <w:rsid w:val="00E04934"/>
    <w:rsid w:val="00E1200D"/>
    <w:rsid w:val="00E26BD3"/>
    <w:rsid w:val="00E57D70"/>
    <w:rsid w:val="00E75800"/>
    <w:rsid w:val="00E93108"/>
    <w:rsid w:val="00F37673"/>
    <w:rsid w:val="00F677AA"/>
    <w:rsid w:val="00FB63FA"/>
    <w:rsid w:val="00FC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EE687"/>
  <w15:chartTrackingRefBased/>
  <w15:docId w15:val="{9BCA806B-DA5C-49F9-94E5-93E368685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1113</Words>
  <Characters>6349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2</cp:revision>
  <dcterms:created xsi:type="dcterms:W3CDTF">2019-11-08T21:12:00Z</dcterms:created>
  <dcterms:modified xsi:type="dcterms:W3CDTF">2019-11-08T21:12:00Z</dcterms:modified>
</cp:coreProperties>
</file>