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1FC7C" w14:textId="2161F157" w:rsidR="00F03FD4" w:rsidRPr="005A0D54" w:rsidRDefault="005A0D54" w:rsidP="005A0D54">
      <w:pPr>
        <w:jc w:val="center"/>
        <w:rPr>
          <w:b/>
          <w:sz w:val="56"/>
          <w:szCs w:val="56"/>
          <w:lang w:val="en-GB"/>
        </w:rPr>
      </w:pPr>
      <w:r w:rsidRPr="005A34AF">
        <w:rPr>
          <w:rFonts w:cs="Times New Roman"/>
          <w:b/>
          <w:bCs/>
          <w:sz w:val="56"/>
          <w:szCs w:val="56"/>
        </w:rPr>
        <w:t>University of Wales Trinity Saint David</w:t>
      </w:r>
    </w:p>
    <w:p w14:paraId="2AC65D72" w14:textId="77777777" w:rsidR="00F03FD4" w:rsidRDefault="00F03FD4" w:rsidP="005A0D54">
      <w:pPr>
        <w:spacing w:line="259" w:lineRule="auto"/>
        <w:rPr>
          <w:rFonts w:ascii="Arial" w:hAnsi="Arial" w:cs="Arial"/>
          <w:b/>
          <w:bCs/>
          <w:sz w:val="40"/>
          <w:szCs w:val="40"/>
        </w:rPr>
      </w:pPr>
    </w:p>
    <w:p w14:paraId="6B1BF0A4" w14:textId="6B9769E5" w:rsidR="00F03FD4" w:rsidRDefault="00AE08F7" w:rsidP="00F03FD4">
      <w:pPr>
        <w:spacing w:line="259" w:lineRule="auto"/>
        <w:jc w:val="center"/>
        <w:rPr>
          <w:rFonts w:ascii="Arial" w:hAnsi="Arial" w:cs="Arial"/>
          <w:b/>
          <w:bCs/>
          <w:sz w:val="40"/>
          <w:szCs w:val="40"/>
        </w:rPr>
      </w:pPr>
      <w:r w:rsidRPr="00F03FD4">
        <w:rPr>
          <w:rFonts w:ascii="Arial" w:hAnsi="Arial" w:cs="Arial"/>
          <w:b/>
          <w:bCs/>
          <w:sz w:val="40"/>
          <w:szCs w:val="40"/>
        </w:rPr>
        <w:t xml:space="preserve">Module Code: </w:t>
      </w:r>
      <w:r w:rsidR="00F96B36" w:rsidRPr="00F03FD4">
        <w:rPr>
          <w:rFonts w:ascii="Arial" w:hAnsi="Arial" w:cs="Arial"/>
          <w:b/>
          <w:bCs/>
          <w:sz w:val="40"/>
          <w:szCs w:val="40"/>
        </w:rPr>
        <w:t>LCBB6002</w:t>
      </w:r>
    </w:p>
    <w:p w14:paraId="02556E0D" w14:textId="77777777" w:rsidR="00F03FD4" w:rsidRDefault="00F03FD4" w:rsidP="005A0D54">
      <w:pPr>
        <w:spacing w:line="259" w:lineRule="auto"/>
        <w:rPr>
          <w:rFonts w:ascii="Arial" w:hAnsi="Arial" w:cs="Arial"/>
          <w:b/>
          <w:bCs/>
          <w:sz w:val="40"/>
          <w:szCs w:val="40"/>
        </w:rPr>
      </w:pPr>
    </w:p>
    <w:p w14:paraId="12DE9E87" w14:textId="77777777" w:rsidR="00F03FD4" w:rsidRDefault="00F03FD4" w:rsidP="00F03FD4">
      <w:pPr>
        <w:spacing w:line="259" w:lineRule="auto"/>
        <w:jc w:val="center"/>
        <w:rPr>
          <w:rFonts w:ascii="Arial" w:hAnsi="Arial" w:cs="Arial"/>
          <w:b/>
          <w:bCs/>
          <w:sz w:val="40"/>
          <w:szCs w:val="40"/>
        </w:rPr>
      </w:pPr>
    </w:p>
    <w:p w14:paraId="1605CC69" w14:textId="226B8BCB" w:rsidR="00F96B36" w:rsidRPr="00F03FD4" w:rsidRDefault="00AE08F7" w:rsidP="00F03FD4">
      <w:pPr>
        <w:spacing w:line="259" w:lineRule="auto"/>
        <w:jc w:val="center"/>
        <w:rPr>
          <w:rFonts w:ascii="Arial" w:hAnsi="Arial" w:cs="Arial"/>
          <w:b/>
          <w:bCs/>
          <w:sz w:val="40"/>
          <w:szCs w:val="40"/>
        </w:rPr>
      </w:pPr>
      <w:r w:rsidRPr="00F03FD4">
        <w:rPr>
          <w:rFonts w:ascii="Arial" w:hAnsi="Arial" w:cs="Arial"/>
          <w:b/>
          <w:bCs/>
          <w:sz w:val="40"/>
          <w:szCs w:val="40"/>
        </w:rPr>
        <w:br/>
        <w:t>Module Title:</w:t>
      </w:r>
      <w:r w:rsidR="00F96B36" w:rsidRPr="00F03FD4">
        <w:rPr>
          <w:rFonts w:ascii="Arial" w:hAnsi="Arial" w:cs="Arial"/>
          <w:b/>
          <w:bCs/>
          <w:sz w:val="40"/>
          <w:szCs w:val="40"/>
        </w:rPr>
        <w:t xml:space="preserve"> International Financial Management</w:t>
      </w:r>
    </w:p>
    <w:p w14:paraId="747514E9" w14:textId="77777777" w:rsidR="00F96B36" w:rsidRPr="007123DC" w:rsidRDefault="00F96B36">
      <w:pPr>
        <w:spacing w:line="259" w:lineRule="auto"/>
        <w:jc w:val="left"/>
        <w:rPr>
          <w:rFonts w:ascii="Arial" w:hAnsi="Arial" w:cs="Arial"/>
        </w:rPr>
      </w:pPr>
    </w:p>
    <w:p w14:paraId="446A8810" w14:textId="77777777" w:rsidR="00A90FCD" w:rsidRDefault="00A90FCD" w:rsidP="00A90FCD">
      <w:pPr>
        <w:spacing w:after="200" w:line="480" w:lineRule="auto"/>
        <w:ind w:left="57"/>
        <w:jc w:val="center"/>
        <w:rPr>
          <w:rFonts w:cs="Times New Roman"/>
          <w:b/>
          <w:bCs/>
          <w:sz w:val="32"/>
          <w:szCs w:val="32"/>
        </w:rPr>
      </w:pPr>
    </w:p>
    <w:p w14:paraId="0F1A76EE" w14:textId="4961B506" w:rsidR="00A90FCD" w:rsidRPr="00DD442A" w:rsidRDefault="00A90FCD" w:rsidP="00A90FCD">
      <w:pPr>
        <w:spacing w:after="200" w:line="480" w:lineRule="auto"/>
        <w:ind w:left="57"/>
        <w:jc w:val="center"/>
        <w:rPr>
          <w:rFonts w:cs="Times New Roman"/>
          <w:b/>
          <w:bCs/>
          <w:sz w:val="32"/>
          <w:szCs w:val="32"/>
        </w:rPr>
      </w:pPr>
      <w:r w:rsidRPr="001123E0">
        <w:rPr>
          <w:rFonts w:cs="Times New Roman"/>
          <w:b/>
          <w:bCs/>
          <w:sz w:val="32"/>
          <w:szCs w:val="32"/>
        </w:rPr>
        <w:t>Student Name:</w:t>
      </w:r>
    </w:p>
    <w:p w14:paraId="055140D0" w14:textId="77777777" w:rsidR="00A90FCD" w:rsidRDefault="00A90FCD" w:rsidP="00A90FCD">
      <w:pPr>
        <w:spacing w:after="200" w:line="480" w:lineRule="auto"/>
        <w:ind w:left="57"/>
        <w:jc w:val="center"/>
        <w:rPr>
          <w:rFonts w:cs="Times New Roman"/>
          <w:sz w:val="32"/>
          <w:szCs w:val="32"/>
        </w:rPr>
      </w:pPr>
      <w:r w:rsidRPr="00AB0393">
        <w:rPr>
          <w:rFonts w:cs="Times New Roman"/>
          <w:sz w:val="32"/>
          <w:szCs w:val="32"/>
        </w:rPr>
        <w:t xml:space="preserve">Stanislav </w:t>
      </w:r>
      <w:proofErr w:type="gramStart"/>
      <w:r w:rsidRPr="00AB0393">
        <w:rPr>
          <w:rFonts w:cs="Times New Roman"/>
          <w:sz w:val="32"/>
          <w:szCs w:val="32"/>
        </w:rPr>
        <w:t>Danailov(</w:t>
      </w:r>
      <w:proofErr w:type="gramEnd"/>
      <w:r w:rsidRPr="00AB0393">
        <w:rPr>
          <w:rFonts w:cs="Times New Roman"/>
          <w:sz w:val="32"/>
          <w:szCs w:val="32"/>
        </w:rPr>
        <w:t>2112418)</w:t>
      </w:r>
    </w:p>
    <w:p w14:paraId="159808C9" w14:textId="12906583" w:rsidR="002A559F" w:rsidRPr="00AB0393" w:rsidRDefault="002A559F" w:rsidP="00A90FCD">
      <w:pPr>
        <w:spacing w:after="200" w:line="480" w:lineRule="auto"/>
        <w:ind w:left="57"/>
        <w:jc w:val="center"/>
        <w:rPr>
          <w:rFonts w:cs="Times New Roman"/>
          <w:sz w:val="32"/>
          <w:szCs w:val="32"/>
        </w:rPr>
      </w:pPr>
      <w:r>
        <w:rPr>
          <w:rFonts w:cs="Times New Roman"/>
          <w:sz w:val="32"/>
          <w:szCs w:val="32"/>
        </w:rPr>
        <w:t>Date:01.01.2024</w:t>
      </w:r>
    </w:p>
    <w:p w14:paraId="5F630F22" w14:textId="1448E005" w:rsidR="007B46B6" w:rsidRPr="007123DC" w:rsidRDefault="007B46B6">
      <w:pPr>
        <w:spacing w:line="259" w:lineRule="auto"/>
        <w:jc w:val="left"/>
        <w:rPr>
          <w:rFonts w:ascii="Arial" w:hAnsi="Arial" w:cs="Arial"/>
        </w:rPr>
      </w:pPr>
      <w:r w:rsidRPr="007123DC">
        <w:rPr>
          <w:rFonts w:ascii="Arial" w:hAnsi="Arial" w:cs="Arial"/>
        </w:rPr>
        <w:br w:type="page"/>
      </w:r>
    </w:p>
    <w:sdt>
      <w:sdtPr>
        <w:rPr>
          <w:rFonts w:ascii="Arial" w:eastAsiaTheme="minorHAnsi" w:hAnsi="Arial" w:cs="Arial"/>
          <w:color w:val="auto"/>
          <w:kern w:val="2"/>
          <w:sz w:val="24"/>
          <w:szCs w:val="22"/>
          <w:lang w:val="en-US" w:eastAsia="en-US"/>
          <w14:ligatures w14:val="standardContextual"/>
        </w:rPr>
        <w:id w:val="594907574"/>
        <w:docPartObj>
          <w:docPartGallery w:val="Table of Contents"/>
          <w:docPartUnique/>
        </w:docPartObj>
      </w:sdtPr>
      <w:sdtEndPr>
        <w:rPr>
          <w:b/>
          <w:bCs/>
        </w:rPr>
      </w:sdtEndPr>
      <w:sdtContent>
        <w:p w14:paraId="5C0DBB9E" w14:textId="6F4052F1" w:rsidR="007B46B6" w:rsidRPr="007123DC" w:rsidRDefault="007B46B6">
          <w:pPr>
            <w:pStyle w:val="TOCHeading"/>
            <w:rPr>
              <w:rFonts w:ascii="Arial" w:hAnsi="Arial" w:cs="Arial"/>
            </w:rPr>
          </w:pPr>
          <w:r w:rsidRPr="007123DC">
            <w:rPr>
              <w:rFonts w:ascii="Arial" w:hAnsi="Arial" w:cs="Arial"/>
            </w:rPr>
            <w:t>Contents</w:t>
          </w:r>
        </w:p>
        <w:p w14:paraId="58070070" w14:textId="41D8CE31" w:rsidR="00F96B36" w:rsidRPr="007123DC" w:rsidRDefault="007B46B6">
          <w:pPr>
            <w:pStyle w:val="TOC1"/>
            <w:tabs>
              <w:tab w:val="right" w:leader="dot" w:pos="9350"/>
            </w:tabs>
            <w:rPr>
              <w:rFonts w:ascii="Arial" w:eastAsiaTheme="minorEastAsia" w:hAnsi="Arial" w:cs="Arial"/>
              <w:noProof/>
              <w:kern w:val="0"/>
              <w:sz w:val="22"/>
              <w:lang w:val="en-GB" w:eastAsia="en-GB"/>
              <w14:ligatures w14:val="none"/>
            </w:rPr>
          </w:pPr>
          <w:r w:rsidRPr="007123DC">
            <w:rPr>
              <w:rFonts w:ascii="Arial" w:hAnsi="Arial" w:cs="Arial"/>
            </w:rPr>
            <w:fldChar w:fldCharType="begin"/>
          </w:r>
          <w:r w:rsidRPr="007123DC">
            <w:rPr>
              <w:rFonts w:ascii="Arial" w:hAnsi="Arial" w:cs="Arial"/>
            </w:rPr>
            <w:instrText xml:space="preserve"> TOC \o "1-3" \h \z \u </w:instrText>
          </w:r>
          <w:r w:rsidRPr="007123DC">
            <w:rPr>
              <w:rFonts w:ascii="Arial" w:hAnsi="Arial" w:cs="Arial"/>
            </w:rPr>
            <w:fldChar w:fldCharType="separate"/>
          </w:r>
          <w:hyperlink w:anchor="_Toc154952027" w:history="1">
            <w:r w:rsidR="00F96B36" w:rsidRPr="007123DC">
              <w:rPr>
                <w:rStyle w:val="Hyperlink"/>
                <w:rFonts w:ascii="Arial" w:hAnsi="Arial" w:cs="Arial"/>
                <w:noProof/>
              </w:rPr>
              <w:t>Introduction</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_Toc154952027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3</w:t>
            </w:r>
            <w:r w:rsidR="00F96B36" w:rsidRPr="007123DC">
              <w:rPr>
                <w:rFonts w:ascii="Arial" w:hAnsi="Arial" w:cs="Arial"/>
                <w:noProof/>
                <w:webHidden/>
              </w:rPr>
              <w:fldChar w:fldCharType="end"/>
            </w:r>
          </w:hyperlink>
        </w:p>
        <w:p w14:paraId="1FA8BBEE" w14:textId="7D989B88" w:rsidR="00F96B36" w:rsidRPr="007123DC" w:rsidRDefault="002A559F">
          <w:pPr>
            <w:pStyle w:val="TOC1"/>
            <w:tabs>
              <w:tab w:val="right" w:leader="dot" w:pos="9350"/>
            </w:tabs>
            <w:rPr>
              <w:rFonts w:ascii="Arial" w:eastAsiaTheme="minorEastAsia" w:hAnsi="Arial" w:cs="Arial"/>
              <w:noProof/>
              <w:kern w:val="0"/>
              <w:sz w:val="22"/>
              <w:lang w:val="en-GB" w:eastAsia="en-GB"/>
              <w14:ligatures w14:val="none"/>
            </w:rPr>
          </w:pPr>
          <w:hyperlink w:anchor="_Toc154952028" w:history="1">
            <w:r w:rsidR="00F96B36" w:rsidRPr="007123DC">
              <w:rPr>
                <w:rStyle w:val="Hyperlink"/>
                <w:rFonts w:ascii="Arial" w:hAnsi="Arial" w:cs="Arial"/>
                <w:noProof/>
              </w:rPr>
              <w:t>Theoretical Framework of International Financial Management</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_Toc154952028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3</w:t>
            </w:r>
            <w:r w:rsidR="00F96B36" w:rsidRPr="007123DC">
              <w:rPr>
                <w:rFonts w:ascii="Arial" w:hAnsi="Arial" w:cs="Arial"/>
                <w:noProof/>
                <w:webHidden/>
              </w:rPr>
              <w:fldChar w:fldCharType="end"/>
            </w:r>
          </w:hyperlink>
        </w:p>
        <w:p w14:paraId="273E5AE0" w14:textId="17B1DEDF" w:rsidR="00F96B36" w:rsidRPr="007123DC" w:rsidRDefault="002A559F">
          <w:pPr>
            <w:pStyle w:val="TOC1"/>
            <w:tabs>
              <w:tab w:val="right" w:leader="dot" w:pos="9350"/>
            </w:tabs>
            <w:rPr>
              <w:rFonts w:ascii="Arial" w:eastAsiaTheme="minorEastAsia" w:hAnsi="Arial" w:cs="Arial"/>
              <w:noProof/>
              <w:kern w:val="0"/>
              <w:sz w:val="22"/>
              <w:lang w:val="en-GB" w:eastAsia="en-GB"/>
              <w14:ligatures w14:val="none"/>
            </w:rPr>
          </w:pPr>
          <w:hyperlink w:anchor="_Toc154952029" w:history="1">
            <w:r w:rsidR="00F96B36" w:rsidRPr="007123DC">
              <w:rPr>
                <w:rStyle w:val="Hyperlink"/>
                <w:rFonts w:ascii="Arial" w:hAnsi="Arial" w:cs="Arial"/>
                <w:noProof/>
              </w:rPr>
              <w:t>Foreign Exchange Risks in Multinational Organisations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_Toc154952029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4</w:t>
            </w:r>
            <w:r w:rsidR="00F96B36" w:rsidRPr="007123DC">
              <w:rPr>
                <w:rFonts w:ascii="Arial" w:hAnsi="Arial" w:cs="Arial"/>
                <w:noProof/>
                <w:webHidden/>
              </w:rPr>
              <w:fldChar w:fldCharType="end"/>
            </w:r>
          </w:hyperlink>
        </w:p>
        <w:p w14:paraId="1E310CCF" w14:textId="11E1F7C9" w:rsidR="00F96B36" w:rsidRPr="007123DC" w:rsidRDefault="002A559F">
          <w:pPr>
            <w:pStyle w:val="TOC1"/>
            <w:tabs>
              <w:tab w:val="right" w:leader="dot" w:pos="9350"/>
            </w:tabs>
            <w:rPr>
              <w:rFonts w:ascii="Arial" w:eastAsiaTheme="minorEastAsia" w:hAnsi="Arial" w:cs="Arial"/>
              <w:noProof/>
              <w:kern w:val="0"/>
              <w:sz w:val="22"/>
              <w:lang w:val="en-GB" w:eastAsia="en-GB"/>
              <w14:ligatures w14:val="none"/>
            </w:rPr>
          </w:pPr>
          <w:hyperlink w:anchor="_Toc154952030" w:history="1">
            <w:r w:rsidR="00F96B36" w:rsidRPr="007123DC">
              <w:rPr>
                <w:rStyle w:val="Hyperlink"/>
                <w:rFonts w:ascii="Arial" w:hAnsi="Arial" w:cs="Arial"/>
                <w:noProof/>
              </w:rPr>
              <w:t>Strategies Adopted by Multinational Corporations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_Toc154952030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5</w:t>
            </w:r>
            <w:r w:rsidR="00F96B36" w:rsidRPr="007123DC">
              <w:rPr>
                <w:rFonts w:ascii="Arial" w:hAnsi="Arial" w:cs="Arial"/>
                <w:noProof/>
                <w:webHidden/>
              </w:rPr>
              <w:fldChar w:fldCharType="end"/>
            </w:r>
          </w:hyperlink>
        </w:p>
        <w:p w14:paraId="5AC514F9" w14:textId="317DE4C2"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31" w:history="1">
            <w:r w:rsidR="00F96B36" w:rsidRPr="007123DC">
              <w:rPr>
                <w:rStyle w:val="Hyperlink"/>
                <w:rFonts w:ascii="Arial" w:hAnsi="Arial" w:cs="Arial"/>
                <w:noProof/>
              </w:rPr>
              <w:t>Hedging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_Toc154952031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5</w:t>
            </w:r>
            <w:r w:rsidR="00F96B36" w:rsidRPr="007123DC">
              <w:rPr>
                <w:rFonts w:ascii="Arial" w:hAnsi="Arial" w:cs="Arial"/>
                <w:noProof/>
                <w:webHidden/>
              </w:rPr>
              <w:fldChar w:fldCharType="end"/>
            </w:r>
          </w:hyperlink>
        </w:p>
        <w:p w14:paraId="55C28200" w14:textId="7DA36C73"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32" w:history="1">
            <w:r w:rsidR="00F96B36" w:rsidRPr="007123DC">
              <w:rPr>
                <w:rStyle w:val="Hyperlink"/>
                <w:rFonts w:ascii="Arial" w:hAnsi="Arial" w:cs="Arial"/>
                <w:noProof/>
              </w:rPr>
              <w:t>Diversification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_Toc154952032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6</w:t>
            </w:r>
            <w:r w:rsidR="00F96B36" w:rsidRPr="007123DC">
              <w:rPr>
                <w:rFonts w:ascii="Arial" w:hAnsi="Arial" w:cs="Arial"/>
                <w:noProof/>
                <w:webHidden/>
              </w:rPr>
              <w:fldChar w:fldCharType="end"/>
            </w:r>
          </w:hyperlink>
        </w:p>
        <w:p w14:paraId="22022945" w14:textId="6D3BEA5C"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33" w:history="1">
            <w:r w:rsidR="00F96B36" w:rsidRPr="007123DC">
              <w:rPr>
                <w:rStyle w:val="Hyperlink"/>
                <w:rFonts w:ascii="Arial" w:hAnsi="Arial" w:cs="Arial"/>
                <w:noProof/>
              </w:rPr>
              <w:t>Operational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_Toc154952033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6</w:t>
            </w:r>
            <w:r w:rsidR="00F96B36" w:rsidRPr="007123DC">
              <w:rPr>
                <w:rFonts w:ascii="Arial" w:hAnsi="Arial" w:cs="Arial"/>
                <w:noProof/>
                <w:webHidden/>
              </w:rPr>
              <w:fldChar w:fldCharType="end"/>
            </w:r>
          </w:hyperlink>
        </w:p>
        <w:p w14:paraId="47F60BCA" w14:textId="2DE10CFA"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34" w:history="1">
            <w:r w:rsidR="00F96B36" w:rsidRPr="007123DC">
              <w:rPr>
                <w:rStyle w:val="Hyperlink"/>
                <w:rFonts w:ascii="Arial" w:hAnsi="Arial" w:cs="Arial"/>
                <w:noProof/>
              </w:rPr>
              <w:t>Financial Engineering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_Toc154952034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6</w:t>
            </w:r>
            <w:r w:rsidR="00F96B36" w:rsidRPr="007123DC">
              <w:rPr>
                <w:rFonts w:ascii="Arial" w:hAnsi="Arial" w:cs="Arial"/>
                <w:noProof/>
                <w:webHidden/>
              </w:rPr>
              <w:fldChar w:fldCharType="end"/>
            </w:r>
          </w:hyperlink>
        </w:p>
        <w:p w14:paraId="452F2869" w14:textId="1F3F4F65" w:rsidR="00F96B36" w:rsidRPr="007123DC" w:rsidRDefault="002A559F">
          <w:pPr>
            <w:pStyle w:val="TOC1"/>
            <w:tabs>
              <w:tab w:val="right" w:leader="dot" w:pos="9350"/>
            </w:tabs>
            <w:rPr>
              <w:rFonts w:ascii="Arial" w:eastAsiaTheme="minorEastAsia" w:hAnsi="Arial" w:cs="Arial"/>
              <w:noProof/>
              <w:kern w:val="0"/>
              <w:sz w:val="22"/>
              <w:lang w:val="en-GB" w:eastAsia="en-GB"/>
              <w14:ligatures w14:val="none"/>
            </w:rPr>
          </w:pPr>
          <w:hyperlink w:anchor="_Toc154952035" w:history="1">
            <w:r w:rsidR="00F96B36" w:rsidRPr="007123DC">
              <w:rPr>
                <w:rStyle w:val="Hyperlink"/>
                <w:rFonts w:ascii="Arial" w:hAnsi="Arial" w:cs="Arial"/>
                <w:noProof/>
              </w:rPr>
              <w:t>Empirical Evidence and Case Studies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_Toc154952035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7</w:t>
            </w:r>
            <w:r w:rsidR="00F96B36" w:rsidRPr="007123DC">
              <w:rPr>
                <w:rFonts w:ascii="Arial" w:hAnsi="Arial" w:cs="Arial"/>
                <w:noProof/>
                <w:webHidden/>
              </w:rPr>
              <w:fldChar w:fldCharType="end"/>
            </w:r>
          </w:hyperlink>
        </w:p>
        <w:p w14:paraId="3D2E30CB" w14:textId="2D412226"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36" w:history="1">
            <w:r w:rsidR="00F96B36" w:rsidRPr="007123DC">
              <w:rPr>
                <w:rStyle w:val="Hyperlink"/>
                <w:rFonts w:ascii="Arial" w:hAnsi="Arial" w:cs="Arial"/>
                <w:noProof/>
              </w:rPr>
              <w:t>Successful and Unsuccessful Implementation of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_Toc154952036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7</w:t>
            </w:r>
            <w:r w:rsidR="00F96B36" w:rsidRPr="007123DC">
              <w:rPr>
                <w:rFonts w:ascii="Arial" w:hAnsi="Arial" w:cs="Arial"/>
                <w:noProof/>
                <w:webHidden/>
              </w:rPr>
              <w:fldChar w:fldCharType="end"/>
            </w:r>
          </w:hyperlink>
        </w:p>
        <w:p w14:paraId="30129DC2" w14:textId="3F47612B" w:rsidR="00F96B36" w:rsidRPr="007123DC" w:rsidRDefault="002A559F">
          <w:pPr>
            <w:pStyle w:val="TOC3"/>
            <w:tabs>
              <w:tab w:val="right" w:leader="dot" w:pos="9350"/>
            </w:tabs>
            <w:rPr>
              <w:rFonts w:ascii="Arial" w:eastAsiaTheme="minorEastAsia" w:hAnsi="Arial" w:cs="Arial"/>
              <w:noProof/>
              <w:kern w:val="0"/>
              <w:sz w:val="22"/>
              <w:lang w:val="en-GB" w:eastAsia="en-GB"/>
              <w14:ligatures w14:val="none"/>
            </w:rPr>
          </w:pPr>
          <w:hyperlink w:anchor="_Toc154952037" w:history="1">
            <w:r w:rsidR="00F96B36" w:rsidRPr="007123DC">
              <w:rPr>
                <w:rStyle w:val="Hyperlink"/>
                <w:rFonts w:ascii="Arial" w:hAnsi="Arial" w:cs="Arial"/>
                <w:noProof/>
              </w:rPr>
              <w:t>Successful Implementation</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_Toc154952037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7</w:t>
            </w:r>
            <w:r w:rsidR="00F96B36" w:rsidRPr="007123DC">
              <w:rPr>
                <w:rFonts w:ascii="Arial" w:hAnsi="Arial" w:cs="Arial"/>
                <w:noProof/>
                <w:webHidden/>
              </w:rPr>
              <w:fldChar w:fldCharType="end"/>
            </w:r>
          </w:hyperlink>
        </w:p>
        <w:p w14:paraId="553AF64A" w14:textId="198D58AE" w:rsidR="00F96B36" w:rsidRPr="007123DC" w:rsidRDefault="002A559F">
          <w:pPr>
            <w:pStyle w:val="TOC3"/>
            <w:tabs>
              <w:tab w:val="right" w:leader="dot" w:pos="9350"/>
            </w:tabs>
            <w:rPr>
              <w:rFonts w:ascii="Arial" w:eastAsiaTheme="minorEastAsia" w:hAnsi="Arial" w:cs="Arial"/>
              <w:noProof/>
              <w:kern w:val="0"/>
              <w:sz w:val="22"/>
              <w:lang w:val="en-GB" w:eastAsia="en-GB"/>
              <w14:ligatures w14:val="none"/>
            </w:rPr>
          </w:pPr>
          <w:hyperlink w:anchor="_Toc154952038" w:history="1">
            <w:r w:rsidR="00F96B36" w:rsidRPr="007123DC">
              <w:rPr>
                <w:rStyle w:val="Hyperlink"/>
                <w:rFonts w:ascii="Arial" w:hAnsi="Arial" w:cs="Arial"/>
                <w:noProof/>
              </w:rPr>
              <w:t>Unsuccessful Implementation</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_Toc154952038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7</w:t>
            </w:r>
            <w:r w:rsidR="00F96B36" w:rsidRPr="007123DC">
              <w:rPr>
                <w:rFonts w:ascii="Arial" w:hAnsi="Arial" w:cs="Arial"/>
                <w:noProof/>
                <w:webHidden/>
              </w:rPr>
              <w:fldChar w:fldCharType="end"/>
            </w:r>
          </w:hyperlink>
        </w:p>
        <w:p w14:paraId="5207546A" w14:textId="550AF203" w:rsidR="00F96B36" w:rsidRPr="007123DC" w:rsidRDefault="002A559F">
          <w:pPr>
            <w:pStyle w:val="TOC1"/>
            <w:tabs>
              <w:tab w:val="right" w:leader="dot" w:pos="9350"/>
            </w:tabs>
            <w:rPr>
              <w:rFonts w:ascii="Arial" w:eastAsiaTheme="minorEastAsia" w:hAnsi="Arial" w:cs="Arial"/>
              <w:noProof/>
              <w:kern w:val="0"/>
              <w:sz w:val="22"/>
              <w:lang w:val="en-GB" w:eastAsia="en-GB"/>
              <w14:ligatures w14:val="none"/>
            </w:rPr>
          </w:pPr>
          <w:hyperlink w:anchor="_Toc154952039" w:history="1">
            <w:r w:rsidR="00F96B36" w:rsidRPr="007123DC">
              <w:rPr>
                <w:rStyle w:val="Hyperlink"/>
                <w:rFonts w:ascii="Arial" w:hAnsi="Arial" w:cs="Arial"/>
                <w:noProof/>
              </w:rPr>
              <w:t>Critical Evaluation of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_Toc154952039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8</w:t>
            </w:r>
            <w:r w:rsidR="00F96B36" w:rsidRPr="007123DC">
              <w:rPr>
                <w:rFonts w:ascii="Arial" w:hAnsi="Arial" w:cs="Arial"/>
                <w:noProof/>
                <w:webHidden/>
              </w:rPr>
              <w:fldChar w:fldCharType="end"/>
            </w:r>
          </w:hyperlink>
        </w:p>
        <w:p w14:paraId="7E3E570C" w14:textId="6AE898F9"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40" w:history="1">
            <w:r w:rsidR="00F96B36" w:rsidRPr="007123DC">
              <w:rPr>
                <w:rStyle w:val="Hyperlink"/>
                <w:rFonts w:ascii="Arial" w:hAnsi="Arial" w:cs="Arial"/>
                <w:noProof/>
              </w:rPr>
              <w:t>Identifying Challenges and Limitations Of Each Strategy</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_Toc154952040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8</w:t>
            </w:r>
            <w:r w:rsidR="00F96B36" w:rsidRPr="007123DC">
              <w:rPr>
                <w:rFonts w:ascii="Arial" w:hAnsi="Arial" w:cs="Arial"/>
                <w:noProof/>
                <w:webHidden/>
              </w:rPr>
              <w:fldChar w:fldCharType="end"/>
            </w:r>
          </w:hyperlink>
        </w:p>
        <w:p w14:paraId="389E60D2" w14:textId="15F66F31" w:rsidR="00F96B36" w:rsidRPr="007123DC" w:rsidRDefault="002A559F">
          <w:pPr>
            <w:pStyle w:val="TOC3"/>
            <w:tabs>
              <w:tab w:val="right" w:leader="dot" w:pos="9350"/>
            </w:tabs>
            <w:rPr>
              <w:rFonts w:ascii="Arial" w:eastAsiaTheme="minorEastAsia" w:hAnsi="Arial" w:cs="Arial"/>
              <w:noProof/>
              <w:kern w:val="0"/>
              <w:sz w:val="22"/>
              <w:lang w:val="en-GB" w:eastAsia="en-GB"/>
              <w14:ligatures w14:val="none"/>
            </w:rPr>
          </w:pPr>
          <w:hyperlink w:anchor="_Toc154952041" w:history="1">
            <w:r w:rsidR="00F96B36" w:rsidRPr="007123DC">
              <w:rPr>
                <w:rStyle w:val="Hyperlink"/>
                <w:rFonts w:ascii="Arial" w:hAnsi="Arial" w:cs="Arial"/>
                <w:noProof/>
              </w:rPr>
              <w:t>Hedging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_Toc154952041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8</w:t>
            </w:r>
            <w:r w:rsidR="00F96B36" w:rsidRPr="007123DC">
              <w:rPr>
                <w:rFonts w:ascii="Arial" w:hAnsi="Arial" w:cs="Arial"/>
                <w:noProof/>
                <w:webHidden/>
              </w:rPr>
              <w:fldChar w:fldCharType="end"/>
            </w:r>
          </w:hyperlink>
        </w:p>
        <w:p w14:paraId="2EF51CB3" w14:textId="4B93EB9C" w:rsidR="00F96B36" w:rsidRPr="007123DC" w:rsidRDefault="002A559F">
          <w:pPr>
            <w:pStyle w:val="TOC3"/>
            <w:tabs>
              <w:tab w:val="right" w:leader="dot" w:pos="9350"/>
            </w:tabs>
            <w:rPr>
              <w:rFonts w:ascii="Arial" w:eastAsiaTheme="minorEastAsia" w:hAnsi="Arial" w:cs="Arial"/>
              <w:noProof/>
              <w:kern w:val="0"/>
              <w:sz w:val="22"/>
              <w:lang w:val="en-GB" w:eastAsia="en-GB"/>
              <w14:ligatures w14:val="none"/>
            </w:rPr>
          </w:pPr>
          <w:hyperlink w:anchor="_Toc154952042" w:history="1">
            <w:r w:rsidR="00F96B36" w:rsidRPr="007123DC">
              <w:rPr>
                <w:rStyle w:val="Hyperlink"/>
                <w:rFonts w:ascii="Arial" w:hAnsi="Arial" w:cs="Arial"/>
                <w:noProof/>
              </w:rPr>
              <w:t>Diversification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_Toc154952042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8</w:t>
            </w:r>
            <w:r w:rsidR="00F96B36" w:rsidRPr="007123DC">
              <w:rPr>
                <w:rFonts w:ascii="Arial" w:hAnsi="Arial" w:cs="Arial"/>
                <w:noProof/>
                <w:webHidden/>
              </w:rPr>
              <w:fldChar w:fldCharType="end"/>
            </w:r>
          </w:hyperlink>
        </w:p>
        <w:p w14:paraId="0C5AD2A7" w14:textId="14C6A42F" w:rsidR="00F96B36" w:rsidRPr="007123DC" w:rsidRDefault="002A559F">
          <w:pPr>
            <w:pStyle w:val="TOC3"/>
            <w:tabs>
              <w:tab w:val="right" w:leader="dot" w:pos="9350"/>
            </w:tabs>
            <w:rPr>
              <w:rFonts w:ascii="Arial" w:eastAsiaTheme="minorEastAsia" w:hAnsi="Arial" w:cs="Arial"/>
              <w:noProof/>
              <w:kern w:val="0"/>
              <w:sz w:val="22"/>
              <w:lang w:val="en-GB" w:eastAsia="en-GB"/>
              <w14:ligatures w14:val="none"/>
            </w:rPr>
          </w:pPr>
          <w:hyperlink w:anchor="_Toc154952043" w:history="1">
            <w:r w:rsidR="00F96B36" w:rsidRPr="007123DC">
              <w:rPr>
                <w:rStyle w:val="Hyperlink"/>
                <w:rFonts w:ascii="Arial" w:hAnsi="Arial" w:cs="Arial"/>
                <w:noProof/>
              </w:rPr>
              <w:t>Operational Strategies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_Toc154952043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9</w:t>
            </w:r>
            <w:r w:rsidR="00F96B36" w:rsidRPr="007123DC">
              <w:rPr>
                <w:rFonts w:ascii="Arial" w:hAnsi="Arial" w:cs="Arial"/>
                <w:noProof/>
                <w:webHidden/>
              </w:rPr>
              <w:fldChar w:fldCharType="end"/>
            </w:r>
          </w:hyperlink>
        </w:p>
        <w:p w14:paraId="134FF90F" w14:textId="5A7CAFDE" w:rsidR="00F96B36" w:rsidRPr="007123DC" w:rsidRDefault="002A559F">
          <w:pPr>
            <w:pStyle w:val="TOC2"/>
            <w:tabs>
              <w:tab w:val="right" w:leader="dot" w:pos="9350"/>
            </w:tabs>
            <w:rPr>
              <w:rFonts w:ascii="Arial" w:eastAsiaTheme="minorEastAsia" w:hAnsi="Arial" w:cs="Arial"/>
              <w:noProof/>
              <w:kern w:val="0"/>
              <w:sz w:val="22"/>
              <w:lang w:val="en-GB" w:eastAsia="en-GB"/>
              <w14:ligatures w14:val="none"/>
            </w:rPr>
          </w:pPr>
          <w:hyperlink w:anchor="_Toc154952044" w:history="1">
            <w:r w:rsidR="00F96B36" w:rsidRPr="007123DC">
              <w:rPr>
                <w:rStyle w:val="Hyperlink"/>
                <w:rFonts w:ascii="Arial" w:hAnsi="Arial" w:cs="Arial"/>
                <w:noProof/>
              </w:rPr>
              <w:t>Recommendations</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_Toc154952044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9</w:t>
            </w:r>
            <w:r w:rsidR="00F96B36" w:rsidRPr="007123DC">
              <w:rPr>
                <w:rFonts w:ascii="Arial" w:hAnsi="Arial" w:cs="Arial"/>
                <w:noProof/>
                <w:webHidden/>
              </w:rPr>
              <w:fldChar w:fldCharType="end"/>
            </w:r>
          </w:hyperlink>
        </w:p>
        <w:p w14:paraId="7E126440" w14:textId="061AB2BD" w:rsidR="00F96B36" w:rsidRPr="007123DC" w:rsidRDefault="002A559F">
          <w:pPr>
            <w:pStyle w:val="TOC1"/>
            <w:tabs>
              <w:tab w:val="right" w:leader="dot" w:pos="9350"/>
            </w:tabs>
            <w:rPr>
              <w:rFonts w:ascii="Arial" w:eastAsiaTheme="minorEastAsia" w:hAnsi="Arial" w:cs="Arial"/>
              <w:noProof/>
              <w:kern w:val="0"/>
              <w:sz w:val="22"/>
              <w:lang w:val="en-GB" w:eastAsia="en-GB"/>
              <w14:ligatures w14:val="none"/>
            </w:rPr>
          </w:pPr>
          <w:hyperlink w:anchor="_Toc154952045" w:history="1">
            <w:r w:rsidR="00F96B36" w:rsidRPr="007123DC">
              <w:rPr>
                <w:rStyle w:val="Hyperlink"/>
                <w:rFonts w:ascii="Arial" w:hAnsi="Arial" w:cs="Arial"/>
                <w:noProof/>
              </w:rPr>
              <w:t>Conclusion</w:t>
            </w:r>
            <w:r w:rsidR="00F96B36" w:rsidRPr="007123DC">
              <w:rPr>
                <w:rFonts w:ascii="Arial" w:hAnsi="Arial" w:cs="Arial"/>
                <w:noProof/>
                <w:webHidden/>
              </w:rPr>
              <w:tab/>
            </w:r>
            <w:r w:rsidR="00F96B36" w:rsidRPr="007123DC">
              <w:rPr>
                <w:rFonts w:ascii="Arial" w:hAnsi="Arial" w:cs="Arial"/>
                <w:noProof/>
                <w:webHidden/>
              </w:rPr>
              <w:fldChar w:fldCharType="begin"/>
            </w:r>
            <w:r w:rsidR="00F96B36" w:rsidRPr="007123DC">
              <w:rPr>
                <w:rFonts w:ascii="Arial" w:hAnsi="Arial" w:cs="Arial"/>
                <w:noProof/>
                <w:webHidden/>
              </w:rPr>
              <w:instrText xml:space="preserve"> PAGEREF _Toc154952045 \h </w:instrText>
            </w:r>
            <w:r w:rsidR="00F96B36" w:rsidRPr="007123DC">
              <w:rPr>
                <w:rFonts w:ascii="Arial" w:hAnsi="Arial" w:cs="Arial"/>
                <w:noProof/>
                <w:webHidden/>
              </w:rPr>
            </w:r>
            <w:r w:rsidR="00F96B36" w:rsidRPr="007123DC">
              <w:rPr>
                <w:rFonts w:ascii="Arial" w:hAnsi="Arial" w:cs="Arial"/>
                <w:noProof/>
                <w:webHidden/>
              </w:rPr>
              <w:fldChar w:fldCharType="separate"/>
            </w:r>
            <w:r w:rsidR="00F96B36" w:rsidRPr="007123DC">
              <w:rPr>
                <w:rFonts w:ascii="Arial" w:hAnsi="Arial" w:cs="Arial"/>
                <w:noProof/>
                <w:webHidden/>
              </w:rPr>
              <w:t>10</w:t>
            </w:r>
            <w:r w:rsidR="00F96B36" w:rsidRPr="007123DC">
              <w:rPr>
                <w:rFonts w:ascii="Arial" w:hAnsi="Arial" w:cs="Arial"/>
                <w:noProof/>
                <w:webHidden/>
              </w:rPr>
              <w:fldChar w:fldCharType="end"/>
            </w:r>
          </w:hyperlink>
        </w:p>
        <w:p w14:paraId="15E38B12" w14:textId="229CE71C" w:rsidR="007B46B6" w:rsidRPr="007123DC" w:rsidRDefault="007B46B6">
          <w:pPr>
            <w:rPr>
              <w:rFonts w:ascii="Arial" w:hAnsi="Arial" w:cs="Arial"/>
            </w:rPr>
          </w:pPr>
          <w:r w:rsidRPr="007123DC">
            <w:rPr>
              <w:rFonts w:ascii="Arial" w:hAnsi="Arial" w:cs="Arial"/>
              <w:b/>
              <w:bCs/>
            </w:rPr>
            <w:fldChar w:fldCharType="end"/>
          </w:r>
        </w:p>
      </w:sdtContent>
    </w:sdt>
    <w:p w14:paraId="306085E8" w14:textId="1E7DE912" w:rsidR="007B46B6" w:rsidRPr="007123DC" w:rsidRDefault="007B46B6">
      <w:pPr>
        <w:spacing w:line="259" w:lineRule="auto"/>
        <w:jc w:val="left"/>
        <w:rPr>
          <w:rFonts w:ascii="Arial" w:eastAsiaTheme="majorEastAsia" w:hAnsi="Arial" w:cs="Arial"/>
          <w:b/>
          <w:color w:val="0F4761" w:themeColor="accent1" w:themeShade="BF"/>
          <w:sz w:val="32"/>
          <w:szCs w:val="24"/>
          <w:shd w:val="clear" w:color="auto" w:fill="FFFFFF"/>
        </w:rPr>
      </w:pPr>
      <w:r w:rsidRPr="007123DC">
        <w:rPr>
          <w:rFonts w:ascii="Arial" w:hAnsi="Arial" w:cs="Arial"/>
        </w:rPr>
        <w:br w:type="page"/>
      </w:r>
    </w:p>
    <w:p w14:paraId="178A7C90" w14:textId="655CB389" w:rsidR="00D45E0F" w:rsidRPr="007123DC" w:rsidRDefault="00D45E0F" w:rsidP="00711AD7">
      <w:pPr>
        <w:pStyle w:val="Heading1"/>
        <w:spacing w:line="480" w:lineRule="auto"/>
        <w:rPr>
          <w:rFonts w:ascii="Arial" w:hAnsi="Arial"/>
        </w:rPr>
      </w:pPr>
      <w:bookmarkStart w:id="0" w:name="_Toc154952027"/>
      <w:r w:rsidRPr="007123DC">
        <w:rPr>
          <w:rFonts w:ascii="Arial" w:hAnsi="Arial"/>
        </w:rPr>
        <w:lastRenderedPageBreak/>
        <w:t>Introduction</w:t>
      </w:r>
      <w:bookmarkEnd w:id="0"/>
    </w:p>
    <w:p w14:paraId="2BCA5593" w14:textId="358D35EA" w:rsidR="007215D4" w:rsidRPr="007123DC" w:rsidRDefault="007215D4" w:rsidP="00711AD7">
      <w:pPr>
        <w:spacing w:line="480" w:lineRule="auto"/>
        <w:rPr>
          <w:rFonts w:ascii="Arial" w:hAnsi="Arial" w:cs="Arial"/>
        </w:rPr>
      </w:pPr>
      <w:r w:rsidRPr="007123DC">
        <w:rPr>
          <w:rFonts w:ascii="Arial" w:hAnsi="Arial" w:cs="Arial"/>
        </w:rPr>
        <w:t>International financial management focuses on global financial management. It analyses the financial decisions of MNCs in many nations. IFM optimi</w:t>
      </w:r>
      <w:r w:rsidR="008230ED" w:rsidRPr="007123DC">
        <w:rPr>
          <w:rFonts w:ascii="Arial" w:hAnsi="Arial" w:cs="Arial"/>
        </w:rPr>
        <w:t>z</w:t>
      </w:r>
      <w:r w:rsidRPr="007123DC">
        <w:rPr>
          <w:rFonts w:ascii="Arial" w:hAnsi="Arial" w:cs="Arial"/>
        </w:rPr>
        <w:t xml:space="preserve">es cross-border financial transactions by managing risk, international investment, and foreign exchange. Due to varied economic situations and currencies, international firms must constantly manage foreign exchange risks. Currency changes can affect a company's income, expenses, and bottom line. Unless multinational firms manage these risks, stability, shareholder value, and global competitiveness are </w:t>
      </w:r>
      <w:r w:rsidR="008230ED" w:rsidRPr="007123DC">
        <w:rPr>
          <w:rFonts w:ascii="Arial" w:hAnsi="Arial" w:cs="Arial"/>
        </w:rPr>
        <w:t>in</w:t>
      </w:r>
      <w:r w:rsidRPr="007123DC">
        <w:rPr>
          <w:rFonts w:ascii="Arial" w:hAnsi="Arial" w:cs="Arial"/>
        </w:rPr>
        <w:t xml:space="preserve"> danger. This article on multinational firms focuses on foreign exchange risk management. Currency risks are inherent when MNCs invest, trade, and finance globally. This study examines multinational business risk-reduction measures. These tactics can help politicians, investors, and management navigate the complex international financial system.</w:t>
      </w:r>
      <w:r w:rsidR="005D5E71">
        <w:rPr>
          <w:rFonts w:ascii="Arial" w:hAnsi="Arial" w:cs="Arial"/>
        </w:rPr>
        <w:t xml:space="preserve"> M</w:t>
      </w:r>
      <w:r w:rsidRPr="007123DC">
        <w:rPr>
          <w:rFonts w:ascii="Arial" w:hAnsi="Arial" w:cs="Arial"/>
        </w:rPr>
        <w:t>ultinational compan</w:t>
      </w:r>
      <w:r w:rsidR="008230ED" w:rsidRPr="007123DC">
        <w:rPr>
          <w:rFonts w:ascii="Arial" w:hAnsi="Arial" w:cs="Arial"/>
        </w:rPr>
        <w:t>y'</w:t>
      </w:r>
      <w:r w:rsidRPr="007123DC">
        <w:rPr>
          <w:rFonts w:ascii="Arial" w:hAnsi="Arial" w:cs="Arial"/>
        </w:rPr>
        <w:t>s (MNCs) strateg</w:t>
      </w:r>
      <w:r w:rsidR="00A059BF" w:rsidRPr="007123DC">
        <w:rPr>
          <w:rFonts w:ascii="Arial" w:hAnsi="Arial" w:cs="Arial"/>
        </w:rPr>
        <w:t>ies</w:t>
      </w:r>
      <w:r w:rsidRPr="007123DC">
        <w:rPr>
          <w:rFonts w:ascii="Arial" w:hAnsi="Arial" w:cs="Arial"/>
        </w:rPr>
        <w:t>, their pros and cons, and their implementation</w:t>
      </w:r>
      <w:r w:rsidR="005D5E71">
        <w:rPr>
          <w:rFonts w:ascii="Arial" w:hAnsi="Arial" w:cs="Arial"/>
        </w:rPr>
        <w:t xml:space="preserve"> will be studied in this report</w:t>
      </w:r>
      <w:r w:rsidRPr="007123DC">
        <w:rPr>
          <w:rFonts w:ascii="Arial" w:hAnsi="Arial" w:cs="Arial"/>
        </w:rPr>
        <w:t>.</w:t>
      </w:r>
    </w:p>
    <w:p w14:paraId="32D8275B" w14:textId="09D4A177" w:rsidR="00D45E0F" w:rsidRPr="007123DC" w:rsidRDefault="00D45E0F" w:rsidP="00711AD7">
      <w:pPr>
        <w:pStyle w:val="Heading1"/>
        <w:spacing w:line="480" w:lineRule="auto"/>
        <w:rPr>
          <w:rFonts w:ascii="Arial" w:hAnsi="Arial"/>
        </w:rPr>
      </w:pPr>
      <w:bookmarkStart w:id="1" w:name="_Toc154952028"/>
      <w:r w:rsidRPr="007123DC">
        <w:rPr>
          <w:rFonts w:ascii="Arial" w:hAnsi="Arial"/>
        </w:rPr>
        <w:t>Theoretical Framework of International Financial Management</w:t>
      </w:r>
      <w:bookmarkEnd w:id="1"/>
    </w:p>
    <w:p w14:paraId="30202993" w14:textId="7AE81081" w:rsidR="0038249F" w:rsidRPr="007123DC" w:rsidRDefault="007215D4" w:rsidP="00711AD7">
      <w:pPr>
        <w:spacing w:line="480" w:lineRule="auto"/>
        <w:rPr>
          <w:rFonts w:ascii="Arial" w:hAnsi="Arial" w:cs="Arial"/>
        </w:rPr>
      </w:pPr>
      <w:r w:rsidRPr="007123DC">
        <w:rPr>
          <w:rFonts w:ascii="Arial" w:hAnsi="Arial" w:cs="Arial"/>
        </w:rPr>
        <w:t>Many global financial management theories influence multinational firms' decision-making. The Mundell-Fleming, Efficient Market, and International Fisher Effect Hypotheses matter most. The models show how global markets, money circulation, and exchange rates work</w:t>
      </w:r>
      <w:r w:rsidR="00967229" w:rsidRPr="007123DC">
        <w:rPr>
          <w:rFonts w:ascii="Arial" w:hAnsi="Arial" w:cs="Arial"/>
        </w:rPr>
        <w:t xml:space="preserve"> (Madura, 2018)</w:t>
      </w:r>
      <w:r w:rsidRPr="007123DC">
        <w:rPr>
          <w:rFonts w:ascii="Arial" w:hAnsi="Arial" w:cs="Arial"/>
        </w:rPr>
        <w:t xml:space="preserve">. Multinational firms need theoretical frameworks to identify and reduce foreign currency risks. Global enterprises can predict currency prices using the Mundell-Fleming model. This makes sense as monetary and fiscal policies affect currency rates. The International Fisher Effect helps predict nominal interest rate and exchange rate differences. The Efficient Market Hypothesis, which guides many </w:t>
      </w:r>
      <w:r w:rsidRPr="007123DC">
        <w:rPr>
          <w:rFonts w:ascii="Arial" w:hAnsi="Arial" w:cs="Arial"/>
        </w:rPr>
        <w:lastRenderedPageBreak/>
        <w:t>multinational firms' decision-making, states that exchange rates consider all important information</w:t>
      </w:r>
      <w:r w:rsidR="00967229" w:rsidRPr="007123DC">
        <w:rPr>
          <w:rFonts w:ascii="Arial" w:hAnsi="Arial" w:cs="Arial"/>
        </w:rPr>
        <w:t xml:space="preserve"> (Adam and Ofori, 2017)</w:t>
      </w:r>
      <w:r w:rsidRPr="007123DC">
        <w:rPr>
          <w:rFonts w:ascii="Arial" w:hAnsi="Arial" w:cs="Arial"/>
        </w:rPr>
        <w:t>.</w:t>
      </w:r>
    </w:p>
    <w:p w14:paraId="6A7C95EF" w14:textId="185FBF46" w:rsidR="0038249F" w:rsidRPr="007123DC" w:rsidRDefault="0038249F" w:rsidP="00711AD7">
      <w:pPr>
        <w:spacing w:line="480" w:lineRule="auto"/>
        <w:rPr>
          <w:rFonts w:ascii="Arial" w:hAnsi="Arial" w:cs="Arial"/>
        </w:rPr>
      </w:pPr>
      <w:r w:rsidRPr="007123DC">
        <w:rPr>
          <w:rFonts w:ascii="Arial" w:hAnsi="Arial" w:cs="Arial"/>
        </w:rPr>
        <w:t>Despite their validity, these hypotheses are limited. Real-world markets and reasons may be erroneous. Currency rates are affected by market frictions, transaction costs, and government regulations</w:t>
      </w:r>
      <w:r w:rsidR="00967229" w:rsidRPr="007123DC">
        <w:rPr>
          <w:rFonts w:ascii="Arial" w:hAnsi="Arial" w:cs="Arial"/>
        </w:rPr>
        <w:t xml:space="preserve"> (Eun, Resnick and Chuluun, 2021)</w:t>
      </w:r>
      <w:r w:rsidRPr="007123DC">
        <w:rPr>
          <w:rFonts w:ascii="Arial" w:hAnsi="Arial" w:cs="Arial"/>
        </w:rPr>
        <w:t>. The expanding complexity of the global financial system may overwhelm present models. Currency fluctuations can occur swiftly in response to economic and geopolitical shocks. These theoretical frameworks should be adopted by many multinationals. Financial derivatives can hedge, diversify, and control currency exchange rate risks. To execute theoretical frameworks, real-world knowledge and risk management skills</w:t>
      </w:r>
      <w:r w:rsidR="00B25048" w:rsidRPr="007123DC">
        <w:rPr>
          <w:rFonts w:ascii="Arial" w:hAnsi="Arial" w:cs="Arial"/>
        </w:rPr>
        <w:t xml:space="preserve"> are needed.</w:t>
      </w:r>
    </w:p>
    <w:p w14:paraId="73B63078" w14:textId="5EEED3CF" w:rsidR="00D45E0F" w:rsidRPr="007123DC" w:rsidRDefault="00D45E0F" w:rsidP="00711AD7">
      <w:pPr>
        <w:pStyle w:val="Heading1"/>
        <w:spacing w:line="480" w:lineRule="auto"/>
        <w:rPr>
          <w:rFonts w:ascii="Arial" w:hAnsi="Arial"/>
        </w:rPr>
      </w:pPr>
      <w:bookmarkStart w:id="2" w:name="_Toc154952029"/>
      <w:r w:rsidRPr="007123DC">
        <w:rPr>
          <w:rFonts w:ascii="Arial" w:hAnsi="Arial"/>
        </w:rPr>
        <w:t>Foreign Exchange Risks</w:t>
      </w:r>
      <w:r w:rsidR="001913FD" w:rsidRPr="007123DC">
        <w:rPr>
          <w:rFonts w:ascii="Arial" w:hAnsi="Arial"/>
        </w:rPr>
        <w:t xml:space="preserve"> in Multinational </w:t>
      </w:r>
      <w:proofErr w:type="spellStart"/>
      <w:r w:rsidR="001913FD" w:rsidRPr="007123DC">
        <w:rPr>
          <w:rFonts w:ascii="Arial" w:hAnsi="Arial"/>
        </w:rPr>
        <w:t>Organisations</w:t>
      </w:r>
      <w:bookmarkEnd w:id="2"/>
      <w:proofErr w:type="spellEnd"/>
    </w:p>
    <w:p w14:paraId="1448252C" w14:textId="7C17FC2A" w:rsidR="00793608" w:rsidRPr="007123DC" w:rsidRDefault="00793608" w:rsidP="00711AD7">
      <w:pPr>
        <w:spacing w:line="480" w:lineRule="auto"/>
        <w:rPr>
          <w:rFonts w:ascii="Arial" w:hAnsi="Arial" w:cs="Arial"/>
        </w:rPr>
      </w:pPr>
      <w:r w:rsidRPr="007123DC">
        <w:rPr>
          <w:rFonts w:ascii="Arial" w:hAnsi="Arial" w:cs="Arial"/>
        </w:rPr>
        <w:t>Many multinational</w:t>
      </w:r>
      <w:r w:rsidR="001913FD" w:rsidRPr="007123DC">
        <w:rPr>
          <w:rFonts w:ascii="Arial" w:hAnsi="Arial" w:cs="Arial"/>
        </w:rPr>
        <w:t xml:space="preserve"> </w:t>
      </w:r>
      <w:proofErr w:type="spellStart"/>
      <w:r w:rsidR="001913FD" w:rsidRPr="007123DC">
        <w:rPr>
          <w:rFonts w:ascii="Arial" w:hAnsi="Arial" w:cs="Arial"/>
        </w:rPr>
        <w:t>organisations</w:t>
      </w:r>
      <w:proofErr w:type="spellEnd"/>
      <w:r w:rsidRPr="007123DC">
        <w:rPr>
          <w:rFonts w:ascii="Arial" w:hAnsi="Arial" w:cs="Arial"/>
        </w:rPr>
        <w:t xml:space="preserve"> struggle with foreign currencies. Exchange rate volatility increases the risk of financial loss in foreign currency transactions. Translation risks</w:t>
      </w:r>
      <w:r w:rsidR="00106D62">
        <w:rPr>
          <w:rFonts w:ascii="Arial" w:hAnsi="Arial" w:cs="Arial"/>
        </w:rPr>
        <w:t xml:space="preserve"> also</w:t>
      </w:r>
      <w:r w:rsidRPr="007123DC">
        <w:rPr>
          <w:rFonts w:ascii="Arial" w:hAnsi="Arial" w:cs="Arial"/>
        </w:rPr>
        <w:t xml:space="preserve"> exist when translating foreign subsidiary financial statements into the reporting currency. Exchange rate swings affect cash flows and market positioning, creating economic risk</w:t>
      </w:r>
      <w:r w:rsidR="00967229" w:rsidRPr="007123DC">
        <w:rPr>
          <w:rFonts w:ascii="Arial" w:hAnsi="Arial" w:cs="Arial"/>
        </w:rPr>
        <w:t xml:space="preserve"> (Shapiro and </w:t>
      </w:r>
      <w:proofErr w:type="spellStart"/>
      <w:r w:rsidR="00967229" w:rsidRPr="007123DC">
        <w:rPr>
          <w:rFonts w:ascii="Arial" w:hAnsi="Arial" w:cs="Arial"/>
        </w:rPr>
        <w:t>Hanouna</w:t>
      </w:r>
      <w:proofErr w:type="spellEnd"/>
      <w:r w:rsidR="00967229" w:rsidRPr="007123DC">
        <w:rPr>
          <w:rFonts w:ascii="Arial" w:hAnsi="Arial" w:cs="Arial"/>
        </w:rPr>
        <w:t>, 2019)</w:t>
      </w:r>
      <w:r w:rsidRPr="007123DC">
        <w:rPr>
          <w:rFonts w:ascii="Arial" w:hAnsi="Arial" w:cs="Arial"/>
        </w:rPr>
        <w:t xml:space="preserve">. Unfavorable exchange rates affect income and transaction risk. </w:t>
      </w:r>
      <w:r w:rsidR="00106D62">
        <w:rPr>
          <w:rFonts w:ascii="Arial" w:hAnsi="Arial" w:cs="Arial"/>
        </w:rPr>
        <w:t>Besides, the p</w:t>
      </w:r>
      <w:r w:rsidRPr="007123DC">
        <w:rPr>
          <w:rFonts w:ascii="Arial" w:hAnsi="Arial" w:cs="Arial"/>
        </w:rPr>
        <w:t>rofitability</w:t>
      </w:r>
      <w:r w:rsidR="00106D62">
        <w:rPr>
          <w:rFonts w:ascii="Arial" w:hAnsi="Arial" w:cs="Arial"/>
        </w:rPr>
        <w:t xml:space="preserve"> of the </w:t>
      </w:r>
      <w:proofErr w:type="spellStart"/>
      <w:r w:rsidR="00106D62">
        <w:rPr>
          <w:rFonts w:ascii="Arial" w:hAnsi="Arial" w:cs="Arial"/>
        </w:rPr>
        <w:t>organisations</w:t>
      </w:r>
      <w:proofErr w:type="spellEnd"/>
      <w:r w:rsidRPr="007123DC">
        <w:rPr>
          <w:rFonts w:ascii="Arial" w:hAnsi="Arial" w:cs="Arial"/>
        </w:rPr>
        <w:t xml:space="preserve"> is affected by </w:t>
      </w:r>
      <w:r w:rsidR="00897B24" w:rsidRPr="007123DC">
        <w:rPr>
          <w:rFonts w:ascii="Arial" w:hAnsi="Arial" w:cs="Arial"/>
        </w:rPr>
        <w:t xml:space="preserve">transaction </w:t>
      </w:r>
      <w:r w:rsidRPr="007123DC">
        <w:rPr>
          <w:rFonts w:ascii="Arial" w:hAnsi="Arial" w:cs="Arial"/>
        </w:rPr>
        <w:t>risk. Macroeconomic risk can reduce profitability and competitiveness when revenues and expenses are in different currencies</w:t>
      </w:r>
      <w:r w:rsidR="00967229" w:rsidRPr="007123DC">
        <w:rPr>
          <w:rFonts w:ascii="Arial" w:hAnsi="Arial" w:cs="Arial"/>
        </w:rPr>
        <w:t xml:space="preserve"> (Daniels, Radebaugh and Sullivan, 2019)</w:t>
      </w:r>
      <w:r w:rsidRPr="007123DC">
        <w:rPr>
          <w:rFonts w:ascii="Arial" w:hAnsi="Arial" w:cs="Arial"/>
        </w:rPr>
        <w:t xml:space="preserve">. </w:t>
      </w:r>
      <w:r w:rsidR="00106D62">
        <w:rPr>
          <w:rFonts w:ascii="Arial" w:hAnsi="Arial" w:cs="Arial"/>
        </w:rPr>
        <w:t>As a whole, these c</w:t>
      </w:r>
      <w:r w:rsidRPr="007123DC">
        <w:rPr>
          <w:rFonts w:ascii="Arial" w:hAnsi="Arial" w:cs="Arial"/>
        </w:rPr>
        <w:t>umulative effects may affect shareholder value and strategic decision-making.</w:t>
      </w:r>
    </w:p>
    <w:p w14:paraId="3AF19BCE" w14:textId="2733BB45" w:rsidR="00E61EDC" w:rsidRPr="007123DC" w:rsidRDefault="00EA02F1" w:rsidP="00711AD7">
      <w:pPr>
        <w:spacing w:line="480" w:lineRule="auto"/>
        <w:rPr>
          <w:rFonts w:ascii="Arial" w:hAnsi="Arial" w:cs="Arial"/>
        </w:rPr>
      </w:pPr>
      <w:r>
        <w:rPr>
          <w:rFonts w:ascii="Arial" w:hAnsi="Arial" w:cs="Arial"/>
        </w:rPr>
        <w:lastRenderedPageBreak/>
        <w:t>T</w:t>
      </w:r>
      <w:r w:rsidR="00793608" w:rsidRPr="007123DC">
        <w:rPr>
          <w:rFonts w:ascii="Arial" w:hAnsi="Arial" w:cs="Arial"/>
        </w:rPr>
        <w:t>oyota</w:t>
      </w:r>
      <w:r w:rsidR="00A70634">
        <w:rPr>
          <w:rFonts w:ascii="Arial" w:hAnsi="Arial" w:cs="Arial"/>
        </w:rPr>
        <w:t xml:space="preserve"> company is utilized an</w:t>
      </w:r>
      <w:r>
        <w:rPr>
          <w:rFonts w:ascii="Arial" w:hAnsi="Arial" w:cs="Arial"/>
        </w:rPr>
        <w:t xml:space="preserve"> example</w:t>
      </w:r>
      <w:r w:rsidR="00793608" w:rsidRPr="007123DC">
        <w:rPr>
          <w:rFonts w:ascii="Arial" w:hAnsi="Arial" w:cs="Arial"/>
        </w:rPr>
        <w:t>. Toyota suffered from the increasing Japanese yen globally. Export competition dropped,</w:t>
      </w:r>
      <w:r w:rsidR="00747995">
        <w:rPr>
          <w:rFonts w:ascii="Arial" w:hAnsi="Arial" w:cs="Arial"/>
        </w:rPr>
        <w:t xml:space="preserve"> which resulted in</w:t>
      </w:r>
      <w:r w:rsidR="00793608" w:rsidRPr="007123DC">
        <w:rPr>
          <w:rFonts w:ascii="Arial" w:hAnsi="Arial" w:cs="Arial"/>
        </w:rPr>
        <w:t xml:space="preserve"> lowering firm profitability. Toyota used financial derivatives and regional production modifications to reduce risk. International enterprises' currency volatility increased due to the European sovereign financial crisis. Currency swings would have increased losses and risks for a U.S. company with large Eurozone operations. Global enterprises have obvious foreign exchange risk management concerns. Geopolitical tensions and currency volatility are crucial to risk management. Effective multinational firms manage foreign exchange risks through strategic planning, operational changes, and financial measures.</w:t>
      </w:r>
    </w:p>
    <w:p w14:paraId="7BC7EAEC" w14:textId="6832B3FF" w:rsidR="00917F28" w:rsidRPr="007123DC" w:rsidRDefault="00917F28" w:rsidP="00711AD7">
      <w:pPr>
        <w:pStyle w:val="Heading1"/>
        <w:spacing w:line="480" w:lineRule="auto"/>
        <w:rPr>
          <w:rFonts w:ascii="Arial" w:hAnsi="Arial"/>
        </w:rPr>
      </w:pPr>
      <w:bookmarkStart w:id="3" w:name="_Toc154952030"/>
      <w:r w:rsidRPr="007123DC">
        <w:rPr>
          <w:rFonts w:ascii="Arial" w:hAnsi="Arial"/>
        </w:rPr>
        <w:t>Strategies Adopted by Multinational Corporations</w:t>
      </w:r>
      <w:bookmarkEnd w:id="3"/>
    </w:p>
    <w:p w14:paraId="3CA05B80" w14:textId="77777777" w:rsidR="003913ED" w:rsidRPr="007123DC" w:rsidRDefault="003913ED" w:rsidP="001913FD">
      <w:pPr>
        <w:pStyle w:val="Heading2"/>
      </w:pPr>
      <w:bookmarkStart w:id="4" w:name="_Toc154952031"/>
      <w:r w:rsidRPr="007123DC">
        <w:t>Hedging Strategies</w:t>
      </w:r>
      <w:bookmarkEnd w:id="4"/>
    </w:p>
    <w:p w14:paraId="6EE30E45" w14:textId="77FC1760" w:rsidR="003913ED" w:rsidRPr="007123DC" w:rsidRDefault="003913ED" w:rsidP="00711AD7">
      <w:pPr>
        <w:pStyle w:val="ListParagraph"/>
        <w:numPr>
          <w:ilvl w:val="0"/>
          <w:numId w:val="19"/>
        </w:numPr>
        <w:spacing w:line="480" w:lineRule="auto"/>
        <w:rPr>
          <w:rFonts w:ascii="Arial" w:hAnsi="Arial" w:cs="Arial"/>
        </w:rPr>
      </w:pPr>
      <w:r w:rsidRPr="007123DC">
        <w:rPr>
          <w:rFonts w:ascii="Arial" w:hAnsi="Arial" w:cs="Arial"/>
          <w:b/>
          <w:bCs/>
        </w:rPr>
        <w:t>Forward contracts:</w:t>
      </w:r>
      <w:r w:rsidRPr="007123DC">
        <w:rPr>
          <w:rFonts w:ascii="Arial" w:hAnsi="Arial" w:cs="Arial"/>
        </w:rPr>
        <w:t xml:space="preserve"> For less risk in transactions and to make sure they have cash flow, MNCs can lock in exchange rates. MNCs can stop changes in the exchange rate by setting a buy or sell rate</w:t>
      </w:r>
      <w:r w:rsidR="000071D0" w:rsidRPr="007123DC">
        <w:rPr>
          <w:rFonts w:ascii="Arial" w:hAnsi="Arial" w:cs="Arial"/>
        </w:rPr>
        <w:t xml:space="preserve"> (Bekaert and Hodrick, 2018)</w:t>
      </w:r>
      <w:r w:rsidRPr="007123DC">
        <w:rPr>
          <w:rFonts w:ascii="Arial" w:hAnsi="Arial" w:cs="Arial"/>
        </w:rPr>
        <w:t>.</w:t>
      </w:r>
    </w:p>
    <w:p w14:paraId="17A765EE" w14:textId="74ED3672" w:rsidR="003913ED" w:rsidRPr="007123DC" w:rsidRDefault="003913ED" w:rsidP="00711AD7">
      <w:pPr>
        <w:pStyle w:val="ListParagraph"/>
        <w:numPr>
          <w:ilvl w:val="0"/>
          <w:numId w:val="19"/>
        </w:numPr>
        <w:spacing w:line="480" w:lineRule="auto"/>
        <w:rPr>
          <w:rFonts w:ascii="Arial" w:hAnsi="Arial" w:cs="Arial"/>
        </w:rPr>
      </w:pPr>
      <w:r w:rsidRPr="007123DC">
        <w:rPr>
          <w:rFonts w:ascii="Arial" w:hAnsi="Arial" w:cs="Arial"/>
          <w:b/>
          <w:bCs/>
        </w:rPr>
        <w:t>Options Contracts:</w:t>
      </w:r>
      <w:r w:rsidRPr="007123DC">
        <w:rPr>
          <w:rFonts w:ascii="Arial" w:hAnsi="Arial" w:cs="Arial"/>
        </w:rPr>
        <w:t> Choice contracts give</w:t>
      </w:r>
      <w:r w:rsidR="00B25048" w:rsidRPr="007123DC">
        <w:rPr>
          <w:rFonts w:ascii="Arial" w:hAnsi="Arial" w:cs="Arial"/>
        </w:rPr>
        <w:t xml:space="preserve">s </w:t>
      </w:r>
      <w:r w:rsidRPr="007123DC">
        <w:rPr>
          <w:rFonts w:ascii="Arial" w:hAnsi="Arial" w:cs="Arial"/>
        </w:rPr>
        <w:t>the chance to buy or sell currencies at a certain price, but not the duty to do so. Options let MNCs make money from changes in the value of the dollar while reducing risk. When markets are unsure, this helps.</w:t>
      </w:r>
    </w:p>
    <w:p w14:paraId="0BFE0E7E" w14:textId="57CB1807" w:rsidR="003913ED" w:rsidRPr="007123DC" w:rsidRDefault="003913ED" w:rsidP="00711AD7">
      <w:pPr>
        <w:pStyle w:val="ListParagraph"/>
        <w:numPr>
          <w:ilvl w:val="0"/>
          <w:numId w:val="19"/>
        </w:numPr>
        <w:spacing w:line="480" w:lineRule="auto"/>
        <w:rPr>
          <w:rFonts w:ascii="Arial" w:hAnsi="Arial" w:cs="Arial"/>
        </w:rPr>
      </w:pPr>
      <w:r w:rsidRPr="007123DC">
        <w:rPr>
          <w:rFonts w:ascii="Arial" w:hAnsi="Arial" w:cs="Arial"/>
          <w:b/>
          <w:bCs/>
        </w:rPr>
        <w:t>Money Market Instruments:</w:t>
      </w:r>
      <w:r w:rsidRPr="007123DC">
        <w:rPr>
          <w:rFonts w:ascii="Arial" w:hAnsi="Arial" w:cs="Arial"/>
        </w:rPr>
        <w:t xml:space="preserve"> Futures and currency swaps are two money market instruments that MNCs can use to protect themselves against short-term currency risks. These products offer working capital that is liquid and flexible, as well as transaction risk control.</w:t>
      </w:r>
    </w:p>
    <w:p w14:paraId="2C7E9FA3" w14:textId="77777777" w:rsidR="003913ED" w:rsidRPr="007123DC" w:rsidRDefault="003913ED" w:rsidP="001913FD">
      <w:pPr>
        <w:pStyle w:val="Heading2"/>
      </w:pPr>
      <w:bookmarkStart w:id="5" w:name="_Toc154952032"/>
      <w:r w:rsidRPr="007123DC">
        <w:lastRenderedPageBreak/>
        <w:t>Diversification Strategies</w:t>
      </w:r>
      <w:bookmarkEnd w:id="5"/>
    </w:p>
    <w:p w14:paraId="10BEFBF8" w14:textId="6E590249" w:rsidR="003913ED" w:rsidRPr="007123DC" w:rsidRDefault="003913ED" w:rsidP="00711AD7">
      <w:pPr>
        <w:pStyle w:val="ListParagraph"/>
        <w:numPr>
          <w:ilvl w:val="0"/>
          <w:numId w:val="17"/>
        </w:numPr>
        <w:spacing w:line="480" w:lineRule="auto"/>
        <w:rPr>
          <w:rFonts w:ascii="Arial" w:hAnsi="Arial" w:cs="Arial"/>
        </w:rPr>
      </w:pPr>
      <w:r w:rsidRPr="007123DC">
        <w:rPr>
          <w:rFonts w:ascii="Arial" w:hAnsi="Arial" w:cs="Arial"/>
          <w:b/>
          <w:bCs/>
        </w:rPr>
        <w:t>Geographic Diversification:</w:t>
      </w:r>
      <w:r w:rsidRPr="007123DC">
        <w:rPr>
          <w:rFonts w:ascii="Arial" w:hAnsi="Arial" w:cs="Arial"/>
        </w:rPr>
        <w:t xml:space="preserve"> Large companies that do business in more than one area are better able to handle market downturns. This approach helps businesses make more money and weather economic downturns in their regions.</w:t>
      </w:r>
    </w:p>
    <w:p w14:paraId="09D52513" w14:textId="699D5EE3" w:rsidR="003913ED" w:rsidRPr="007123DC" w:rsidRDefault="003913ED" w:rsidP="00711AD7">
      <w:pPr>
        <w:pStyle w:val="ListParagraph"/>
        <w:numPr>
          <w:ilvl w:val="0"/>
          <w:numId w:val="17"/>
        </w:numPr>
        <w:spacing w:line="480" w:lineRule="auto"/>
        <w:rPr>
          <w:rFonts w:ascii="Arial" w:hAnsi="Arial" w:cs="Arial"/>
        </w:rPr>
      </w:pPr>
      <w:r w:rsidRPr="007123DC">
        <w:rPr>
          <w:rFonts w:ascii="Arial" w:hAnsi="Arial" w:cs="Arial"/>
          <w:b/>
          <w:bCs/>
        </w:rPr>
        <w:t>Currency Diversification:</w:t>
      </w:r>
      <w:r w:rsidRPr="007123DC">
        <w:rPr>
          <w:rFonts w:ascii="Arial" w:hAnsi="Arial" w:cs="Arial"/>
        </w:rPr>
        <w:t xml:space="preserve"> Multinational companies may be able to make up for weak currencies with wins in other currencies. This plan manages economic risk and translation like a portfolio of investments.</w:t>
      </w:r>
    </w:p>
    <w:p w14:paraId="50FC046C" w14:textId="77777777" w:rsidR="003913ED" w:rsidRPr="007123DC" w:rsidRDefault="003913ED" w:rsidP="001913FD">
      <w:pPr>
        <w:pStyle w:val="Heading2"/>
      </w:pPr>
      <w:bookmarkStart w:id="6" w:name="_Toc154952033"/>
      <w:r w:rsidRPr="007123DC">
        <w:t>Operational Strategies</w:t>
      </w:r>
      <w:bookmarkEnd w:id="6"/>
    </w:p>
    <w:p w14:paraId="6F4277C0" w14:textId="70D63E7B" w:rsidR="003913ED" w:rsidRPr="007123DC" w:rsidRDefault="003913ED" w:rsidP="00711AD7">
      <w:pPr>
        <w:pStyle w:val="ListParagraph"/>
        <w:numPr>
          <w:ilvl w:val="0"/>
          <w:numId w:val="15"/>
        </w:numPr>
        <w:spacing w:line="480" w:lineRule="auto"/>
        <w:rPr>
          <w:rFonts w:ascii="Arial" w:hAnsi="Arial" w:cs="Arial"/>
        </w:rPr>
      </w:pPr>
      <w:r w:rsidRPr="007123DC">
        <w:rPr>
          <w:rFonts w:ascii="Arial" w:hAnsi="Arial" w:cs="Arial"/>
          <w:b/>
          <w:bCs/>
        </w:rPr>
        <w:t xml:space="preserve">Natural Hedging: </w:t>
      </w:r>
      <w:r w:rsidRPr="007123DC">
        <w:rPr>
          <w:rFonts w:ascii="Arial" w:hAnsi="Arial" w:cs="Arial"/>
        </w:rPr>
        <w:t>The fact that a business makes and spends money in more than one currency acts as a hedge. Businesses that make euros but spend dollars naturally protect themselves from changes in the value of the euro against the dollar.</w:t>
      </w:r>
    </w:p>
    <w:p w14:paraId="63F8FCC1" w14:textId="2E2306CD" w:rsidR="003913ED" w:rsidRPr="007123DC" w:rsidRDefault="001913FD" w:rsidP="00711AD7">
      <w:pPr>
        <w:pStyle w:val="ListParagraph"/>
        <w:numPr>
          <w:ilvl w:val="0"/>
          <w:numId w:val="15"/>
        </w:numPr>
        <w:spacing w:line="480" w:lineRule="auto"/>
        <w:rPr>
          <w:rFonts w:ascii="Arial" w:hAnsi="Arial" w:cs="Arial"/>
        </w:rPr>
      </w:pPr>
      <w:r w:rsidRPr="007123DC">
        <w:rPr>
          <w:rFonts w:ascii="Arial" w:hAnsi="Arial" w:cs="Arial"/>
          <w:b/>
          <w:bCs/>
        </w:rPr>
        <w:t>I</w:t>
      </w:r>
      <w:r w:rsidR="003913ED" w:rsidRPr="007123DC">
        <w:rPr>
          <w:rFonts w:ascii="Arial" w:hAnsi="Arial" w:cs="Arial"/>
          <w:b/>
          <w:bCs/>
        </w:rPr>
        <w:t>nvoice Currency Selection: </w:t>
      </w:r>
      <w:r w:rsidR="003913ED" w:rsidRPr="007123DC">
        <w:rPr>
          <w:rFonts w:ascii="Arial" w:hAnsi="Arial" w:cs="Arial"/>
        </w:rPr>
        <w:t xml:space="preserve">Multinational companies can </w:t>
      </w:r>
      <w:r w:rsidR="008230ED" w:rsidRPr="007123DC">
        <w:rPr>
          <w:rFonts w:ascii="Arial" w:hAnsi="Arial" w:cs="Arial"/>
        </w:rPr>
        <w:t>smartly pick the invoice currencies</w:t>
      </w:r>
      <w:r w:rsidR="003913ED" w:rsidRPr="007123DC">
        <w:rPr>
          <w:rFonts w:ascii="Arial" w:hAnsi="Arial" w:cs="Arial"/>
        </w:rPr>
        <w:t>. Matching the currency used for billing with the amount of money the company makes or spends can lower transaction and economic risk.</w:t>
      </w:r>
    </w:p>
    <w:p w14:paraId="04B22673" w14:textId="11AF3B82" w:rsidR="003913ED" w:rsidRPr="007123DC" w:rsidRDefault="003913ED" w:rsidP="001913FD">
      <w:pPr>
        <w:pStyle w:val="Heading2"/>
      </w:pPr>
      <w:bookmarkStart w:id="7" w:name="_Toc154952034"/>
      <w:r w:rsidRPr="007123DC">
        <w:t>Financial Engineering Strategies</w:t>
      </w:r>
      <w:bookmarkEnd w:id="7"/>
    </w:p>
    <w:p w14:paraId="4179BEE7" w14:textId="1186945D" w:rsidR="003913ED" w:rsidRPr="007123DC" w:rsidRDefault="003913ED" w:rsidP="00711AD7">
      <w:pPr>
        <w:pStyle w:val="ListParagraph"/>
        <w:numPr>
          <w:ilvl w:val="0"/>
          <w:numId w:val="13"/>
        </w:numPr>
        <w:spacing w:line="480" w:lineRule="auto"/>
        <w:rPr>
          <w:rFonts w:ascii="Arial" w:hAnsi="Arial" w:cs="Arial"/>
        </w:rPr>
      </w:pPr>
      <w:r w:rsidRPr="007123DC">
        <w:rPr>
          <w:rFonts w:ascii="Arial" w:hAnsi="Arial" w:cs="Arial"/>
          <w:b/>
          <w:bCs/>
        </w:rPr>
        <w:t xml:space="preserve">Structured Financial Products: </w:t>
      </w:r>
      <w:r w:rsidRPr="007123DC">
        <w:rPr>
          <w:rFonts w:ascii="Arial" w:hAnsi="Arial" w:cs="Arial"/>
        </w:rPr>
        <w:t>MNCs can change the terms of financial goods to fit different risk levels. Structured goods based on derivatives may be able to handle complex risk situations.</w:t>
      </w:r>
    </w:p>
    <w:p w14:paraId="2088000B" w14:textId="64EBF089" w:rsidR="003913ED" w:rsidRPr="007123DC" w:rsidRDefault="003913ED" w:rsidP="00711AD7">
      <w:pPr>
        <w:pStyle w:val="ListParagraph"/>
        <w:numPr>
          <w:ilvl w:val="0"/>
          <w:numId w:val="13"/>
        </w:numPr>
        <w:spacing w:line="480" w:lineRule="auto"/>
        <w:rPr>
          <w:rFonts w:ascii="Arial" w:hAnsi="Arial" w:cs="Arial"/>
        </w:rPr>
      </w:pPr>
      <w:r w:rsidRPr="007123DC">
        <w:rPr>
          <w:rFonts w:ascii="Arial" w:hAnsi="Arial" w:cs="Arial"/>
          <w:b/>
          <w:bCs/>
        </w:rPr>
        <w:t>Risk-Sharing Agreements:</w:t>
      </w:r>
      <w:r w:rsidRPr="007123DC">
        <w:rPr>
          <w:rFonts w:ascii="Arial" w:hAnsi="Arial" w:cs="Arial"/>
        </w:rPr>
        <w:t xml:space="preserve"> Customers, suppliers, and financial institutions work together to handle foreign exchange risk.</w:t>
      </w:r>
    </w:p>
    <w:p w14:paraId="0A9886C7" w14:textId="013D2651" w:rsidR="00917F28" w:rsidRPr="007123DC" w:rsidRDefault="00917F28" w:rsidP="00711AD7">
      <w:pPr>
        <w:pStyle w:val="Heading1"/>
        <w:spacing w:line="480" w:lineRule="auto"/>
        <w:rPr>
          <w:rFonts w:ascii="Arial" w:hAnsi="Arial"/>
        </w:rPr>
      </w:pPr>
      <w:bookmarkStart w:id="8" w:name="_Toc154952035"/>
      <w:r w:rsidRPr="007123DC">
        <w:rPr>
          <w:rFonts w:ascii="Arial" w:hAnsi="Arial"/>
        </w:rPr>
        <w:lastRenderedPageBreak/>
        <w:t>Empirical Evidence and Case Studies</w:t>
      </w:r>
      <w:bookmarkEnd w:id="8"/>
    </w:p>
    <w:p w14:paraId="1B6E8C0E" w14:textId="6AC97020" w:rsidR="00771D16" w:rsidRPr="007123DC" w:rsidRDefault="00771D16" w:rsidP="00711AD7">
      <w:pPr>
        <w:spacing w:line="480" w:lineRule="auto"/>
        <w:rPr>
          <w:rFonts w:ascii="Arial" w:hAnsi="Arial" w:cs="Arial"/>
        </w:rPr>
      </w:pPr>
      <w:r w:rsidRPr="007123DC">
        <w:rPr>
          <w:rFonts w:ascii="Arial" w:hAnsi="Arial" w:cs="Arial"/>
        </w:rPr>
        <w:t xml:space="preserve">MNC foreign exchange risk management solutions have been tested in many empirical studies. Hedging and diversification techniques have repeatedly </w:t>
      </w:r>
      <w:r w:rsidR="008230ED" w:rsidRPr="007123DC">
        <w:rPr>
          <w:rFonts w:ascii="Arial" w:hAnsi="Arial" w:cs="Arial"/>
        </w:rPr>
        <w:t xml:space="preserve">been </w:t>
      </w:r>
      <w:r w:rsidRPr="007123DC">
        <w:rPr>
          <w:rFonts w:ascii="Arial" w:hAnsi="Arial" w:cs="Arial"/>
        </w:rPr>
        <w:t>shown to reduce risk better than a single approach</w:t>
      </w:r>
      <w:r w:rsidR="000071D0" w:rsidRPr="007123DC">
        <w:rPr>
          <w:rFonts w:ascii="Arial" w:hAnsi="Arial" w:cs="Arial"/>
        </w:rPr>
        <w:t xml:space="preserve"> (</w:t>
      </w:r>
      <w:proofErr w:type="spellStart"/>
      <w:r w:rsidR="000071D0" w:rsidRPr="007123DC">
        <w:rPr>
          <w:rFonts w:ascii="Arial" w:hAnsi="Arial" w:cs="Arial"/>
        </w:rPr>
        <w:t>Jankensgård</w:t>
      </w:r>
      <w:proofErr w:type="spellEnd"/>
      <w:r w:rsidR="000071D0" w:rsidRPr="007123DC">
        <w:rPr>
          <w:rFonts w:ascii="Arial" w:hAnsi="Arial" w:cs="Arial"/>
        </w:rPr>
        <w:t xml:space="preserve">, </w:t>
      </w:r>
      <w:proofErr w:type="spellStart"/>
      <w:r w:rsidR="000071D0" w:rsidRPr="007123DC">
        <w:rPr>
          <w:rFonts w:ascii="Arial" w:hAnsi="Arial" w:cs="Arial"/>
        </w:rPr>
        <w:t>Alviniussen</w:t>
      </w:r>
      <w:proofErr w:type="spellEnd"/>
      <w:r w:rsidR="000071D0" w:rsidRPr="007123DC">
        <w:rPr>
          <w:rFonts w:ascii="Arial" w:hAnsi="Arial" w:cs="Arial"/>
        </w:rPr>
        <w:t xml:space="preserve"> and </w:t>
      </w:r>
      <w:proofErr w:type="spellStart"/>
      <w:r w:rsidR="000071D0" w:rsidRPr="007123DC">
        <w:rPr>
          <w:rFonts w:ascii="Arial" w:hAnsi="Arial" w:cs="Arial"/>
        </w:rPr>
        <w:t>Oxelheim</w:t>
      </w:r>
      <w:proofErr w:type="spellEnd"/>
      <w:r w:rsidR="000071D0" w:rsidRPr="007123DC">
        <w:rPr>
          <w:rFonts w:ascii="Arial" w:hAnsi="Arial" w:cs="Arial"/>
        </w:rPr>
        <w:t>, 2020)</w:t>
      </w:r>
      <w:r w:rsidRPr="007123DC">
        <w:rPr>
          <w:rFonts w:ascii="Arial" w:hAnsi="Arial" w:cs="Arial"/>
        </w:rPr>
        <w:t>. Studies demonstrate that enterprises using forward contracts and currency diversity perform better risk-adjusted. Timing and flexibility of strategy implementation are also important. Dynamic hedging techniques that allow enterprises to adapt to market changes are often highlighted by empirical research.</w:t>
      </w:r>
    </w:p>
    <w:p w14:paraId="4A9A25BA" w14:textId="32A58203" w:rsidR="00917F28" w:rsidRPr="007123DC" w:rsidRDefault="00917F28" w:rsidP="001913FD">
      <w:pPr>
        <w:pStyle w:val="Heading2"/>
      </w:pPr>
      <w:bookmarkStart w:id="9" w:name="_Toc154952036"/>
      <w:r w:rsidRPr="007123DC">
        <w:t xml:space="preserve">Successful and Unsuccessful Implementation </w:t>
      </w:r>
      <w:r w:rsidR="00AB1DC6" w:rsidRPr="007123DC">
        <w:t>of</w:t>
      </w:r>
      <w:r w:rsidRPr="007123DC">
        <w:t xml:space="preserve"> Strategies</w:t>
      </w:r>
      <w:bookmarkEnd w:id="9"/>
    </w:p>
    <w:p w14:paraId="531D737D" w14:textId="77777777" w:rsidR="00771D16" w:rsidRPr="007123DC" w:rsidRDefault="00771D16" w:rsidP="00711AD7">
      <w:pPr>
        <w:pStyle w:val="Heading3"/>
        <w:spacing w:line="480" w:lineRule="auto"/>
        <w:rPr>
          <w:rFonts w:cs="Arial"/>
        </w:rPr>
      </w:pPr>
      <w:bookmarkStart w:id="10" w:name="_Toc154952037"/>
      <w:r w:rsidRPr="007123DC">
        <w:rPr>
          <w:rFonts w:cs="Arial"/>
        </w:rPr>
        <w:t>Successful Implementation</w:t>
      </w:r>
      <w:bookmarkEnd w:id="10"/>
    </w:p>
    <w:p w14:paraId="2BE461F2" w14:textId="09D540DE" w:rsidR="00771D16" w:rsidRPr="007123DC" w:rsidRDefault="00771D16" w:rsidP="00711AD7">
      <w:pPr>
        <w:spacing w:line="480" w:lineRule="auto"/>
        <w:rPr>
          <w:rFonts w:ascii="Arial" w:hAnsi="Arial" w:cs="Arial"/>
        </w:rPr>
      </w:pPr>
      <w:r w:rsidRPr="007123DC">
        <w:rPr>
          <w:rFonts w:ascii="Arial" w:hAnsi="Arial" w:cs="Arial"/>
        </w:rPr>
        <w:t xml:space="preserve">Nestle's success is one </w:t>
      </w:r>
      <w:r w:rsidR="00B244B6">
        <w:rPr>
          <w:rFonts w:ascii="Arial" w:hAnsi="Arial" w:cs="Arial"/>
        </w:rPr>
        <w:t>to be remembered here</w:t>
      </w:r>
      <w:r w:rsidRPr="007123DC">
        <w:rPr>
          <w:rFonts w:ascii="Arial" w:hAnsi="Arial" w:cs="Arial"/>
        </w:rPr>
        <w:t>. Nestlé established a thorough risk management plan to control currency exposure owing to its global activities. The corporation hedged revenues and costs in the same currency by forward contracts, options, and natural hedging. Nestlé managed tumultuous currency markets with this strategy.</w:t>
      </w:r>
    </w:p>
    <w:p w14:paraId="738E4B17" w14:textId="77777777" w:rsidR="00771D16" w:rsidRPr="007123DC" w:rsidRDefault="00771D16" w:rsidP="00711AD7">
      <w:pPr>
        <w:pStyle w:val="Heading3"/>
        <w:spacing w:line="480" w:lineRule="auto"/>
        <w:rPr>
          <w:rFonts w:cs="Arial"/>
        </w:rPr>
      </w:pPr>
      <w:bookmarkStart w:id="11" w:name="_Toc154952038"/>
      <w:r w:rsidRPr="007123DC">
        <w:rPr>
          <w:rFonts w:cs="Arial"/>
        </w:rPr>
        <w:t>Unsuccessful Implementation</w:t>
      </w:r>
      <w:bookmarkEnd w:id="11"/>
    </w:p>
    <w:p w14:paraId="2ED24E8B" w14:textId="34094893" w:rsidR="00BB5BF9" w:rsidRPr="007123DC" w:rsidRDefault="00BB5BF9" w:rsidP="00711AD7">
      <w:pPr>
        <w:spacing w:line="480" w:lineRule="auto"/>
        <w:rPr>
          <w:rFonts w:ascii="Arial" w:hAnsi="Arial" w:cs="Arial"/>
        </w:rPr>
      </w:pPr>
      <w:r w:rsidRPr="007123DC">
        <w:rPr>
          <w:rFonts w:ascii="Arial" w:hAnsi="Arial" w:cs="Arial"/>
        </w:rPr>
        <w:t xml:space="preserve">Volkswagen made poor risk management decisions in the early 2000s. Volkswagen decreased its yen risk considerably using currency options. The yen's quick fall cost the corporation money on options. Thus, </w:t>
      </w:r>
      <w:r w:rsidR="003650D4" w:rsidRPr="007123DC">
        <w:rPr>
          <w:rFonts w:ascii="Arial" w:hAnsi="Arial" w:cs="Arial"/>
        </w:rPr>
        <w:t>one</w:t>
      </w:r>
      <w:r w:rsidRPr="007123DC">
        <w:rPr>
          <w:rFonts w:ascii="Arial" w:hAnsi="Arial" w:cs="Arial"/>
        </w:rPr>
        <w:t xml:space="preserve"> must understand the risks of hedging instruments.</w:t>
      </w:r>
    </w:p>
    <w:p w14:paraId="571F8159" w14:textId="730751B8" w:rsidR="003650D4" w:rsidRPr="007123DC" w:rsidRDefault="003650D4" w:rsidP="00711AD7">
      <w:pPr>
        <w:spacing w:line="480" w:lineRule="auto"/>
        <w:rPr>
          <w:rFonts w:ascii="Arial" w:hAnsi="Arial" w:cs="Arial"/>
        </w:rPr>
      </w:pPr>
      <w:r w:rsidRPr="007123DC">
        <w:rPr>
          <w:rFonts w:ascii="Arial" w:hAnsi="Arial" w:cs="Arial"/>
        </w:rPr>
        <w:t xml:space="preserve">Experiences are very important in life as they teach valuable lessons. To run a business smoothly, adaptability and variety are very important as </w:t>
      </w:r>
      <w:r w:rsidR="008230ED" w:rsidRPr="007123DC">
        <w:rPr>
          <w:rFonts w:ascii="Arial" w:hAnsi="Arial" w:cs="Arial"/>
        </w:rPr>
        <w:t xml:space="preserve">the </w:t>
      </w:r>
      <w:r w:rsidRPr="007123DC">
        <w:rPr>
          <w:rFonts w:ascii="Arial" w:hAnsi="Arial" w:cs="Arial"/>
        </w:rPr>
        <w:t xml:space="preserve">business could grow too </w:t>
      </w:r>
      <w:r w:rsidRPr="007123DC">
        <w:rPr>
          <w:rFonts w:ascii="Arial" w:hAnsi="Arial" w:cs="Arial"/>
        </w:rPr>
        <w:lastRenderedPageBreak/>
        <w:t>dependent on one technique. Then, strategies must be made depending on market changes. MNCs should always analyze the risk and alter their strategies to respond to changing economic conditions. Therefore, by adapting to changes and learning from various experiences, a company can thrive in the market.</w:t>
      </w:r>
    </w:p>
    <w:p w14:paraId="1FC99479" w14:textId="3143E572" w:rsidR="00917F28" w:rsidRPr="007123DC" w:rsidRDefault="00917F28" w:rsidP="00711AD7">
      <w:pPr>
        <w:pStyle w:val="Heading1"/>
        <w:spacing w:line="480" w:lineRule="auto"/>
        <w:rPr>
          <w:rFonts w:ascii="Arial" w:hAnsi="Arial"/>
        </w:rPr>
      </w:pPr>
      <w:bookmarkStart w:id="12" w:name="_Toc154952039"/>
      <w:r w:rsidRPr="007123DC">
        <w:rPr>
          <w:rFonts w:ascii="Arial" w:hAnsi="Arial"/>
        </w:rPr>
        <w:t>Critical Evaluation of Strategies</w:t>
      </w:r>
      <w:bookmarkEnd w:id="12"/>
    </w:p>
    <w:p w14:paraId="3237A6A6" w14:textId="1488B5A8" w:rsidR="003650D4" w:rsidRPr="007123DC" w:rsidRDefault="003650D4" w:rsidP="00711AD7">
      <w:pPr>
        <w:spacing w:line="480" w:lineRule="auto"/>
        <w:rPr>
          <w:rFonts w:ascii="Arial" w:hAnsi="Arial" w:cs="Arial"/>
        </w:rPr>
      </w:pPr>
      <w:r w:rsidRPr="007123DC">
        <w:rPr>
          <w:rFonts w:ascii="Arial" w:hAnsi="Arial" w:cs="Arial"/>
        </w:rPr>
        <w:t>The comparison shows that several factors impact the effectiveness of foreign exchange risk management strategies. Hedging with options and forward contracts reduces transaction risk. They risk financial losses if market movements don't match their expectations. Diversifying investments across countries and currencies can minimi</w:t>
      </w:r>
      <w:r w:rsidR="008230ED" w:rsidRPr="007123DC">
        <w:rPr>
          <w:rFonts w:ascii="Arial" w:hAnsi="Arial" w:cs="Arial"/>
        </w:rPr>
        <w:t>z</w:t>
      </w:r>
      <w:r w:rsidRPr="007123DC">
        <w:rPr>
          <w:rFonts w:ascii="Arial" w:hAnsi="Arial" w:cs="Arial"/>
        </w:rPr>
        <w:t xml:space="preserve">e risk, but it won't </w:t>
      </w:r>
      <w:r w:rsidR="00B25048" w:rsidRPr="007123DC">
        <w:rPr>
          <w:rFonts w:ascii="Arial" w:hAnsi="Arial" w:cs="Arial"/>
        </w:rPr>
        <w:t xml:space="preserve">provide a </w:t>
      </w:r>
      <w:r w:rsidRPr="007123DC">
        <w:rPr>
          <w:rFonts w:ascii="Arial" w:hAnsi="Arial" w:cs="Arial"/>
        </w:rPr>
        <w:t>shield from global economic shocks. Revenue and costs must be synchronized in many currencies for operational methods like natural hedging to work.</w:t>
      </w:r>
    </w:p>
    <w:p w14:paraId="46497A1C" w14:textId="1C7D1F1D" w:rsidR="00917F28" w:rsidRPr="007123DC" w:rsidRDefault="00917F28" w:rsidP="001913FD">
      <w:pPr>
        <w:pStyle w:val="Heading2"/>
      </w:pPr>
      <w:bookmarkStart w:id="13" w:name="_Toc154952040"/>
      <w:r w:rsidRPr="007123DC">
        <w:t xml:space="preserve">Identifying Challenges and Limitations </w:t>
      </w:r>
      <w:proofErr w:type="gramStart"/>
      <w:r w:rsidRPr="007123DC">
        <w:t>Of</w:t>
      </w:r>
      <w:proofErr w:type="gramEnd"/>
      <w:r w:rsidRPr="007123DC">
        <w:t xml:space="preserve"> Each Strategy</w:t>
      </w:r>
      <w:bookmarkEnd w:id="13"/>
    </w:p>
    <w:p w14:paraId="628A3E3C" w14:textId="11341592" w:rsidR="00BB5BF9" w:rsidRPr="007123DC" w:rsidRDefault="00BB5BF9" w:rsidP="00C043E9">
      <w:pPr>
        <w:pStyle w:val="Heading3"/>
        <w:rPr>
          <w:rFonts w:cs="Arial"/>
        </w:rPr>
      </w:pPr>
      <w:bookmarkStart w:id="14" w:name="_Toc154952041"/>
      <w:r w:rsidRPr="007123DC">
        <w:rPr>
          <w:rFonts w:cs="Arial"/>
        </w:rPr>
        <w:t>Hedging Strategies</w:t>
      </w:r>
      <w:bookmarkEnd w:id="14"/>
      <w:r w:rsidRPr="007123DC">
        <w:rPr>
          <w:rFonts w:cs="Arial"/>
        </w:rPr>
        <w:t xml:space="preserve"> </w:t>
      </w:r>
    </w:p>
    <w:p w14:paraId="2CDB5E56" w14:textId="52D6B20B" w:rsidR="00BB5BF9" w:rsidRPr="007123DC" w:rsidRDefault="00BB5BF9" w:rsidP="00711AD7">
      <w:pPr>
        <w:pStyle w:val="ListParagraph"/>
        <w:numPr>
          <w:ilvl w:val="0"/>
          <w:numId w:val="25"/>
        </w:numPr>
        <w:spacing w:line="480" w:lineRule="auto"/>
        <w:rPr>
          <w:rFonts w:ascii="Arial" w:hAnsi="Arial" w:cs="Arial"/>
        </w:rPr>
      </w:pPr>
      <w:r w:rsidRPr="007123DC">
        <w:rPr>
          <w:rFonts w:ascii="Arial" w:hAnsi="Arial" w:cs="Arial"/>
          <w:b/>
          <w:bCs/>
        </w:rPr>
        <w:t>Challenges</w:t>
      </w:r>
      <w:r w:rsidRPr="007123DC">
        <w:rPr>
          <w:rFonts w:ascii="Arial" w:hAnsi="Arial" w:cs="Arial"/>
        </w:rPr>
        <w:t>: Forecasting</w:t>
      </w:r>
      <w:r w:rsidR="003650D4" w:rsidRPr="007123DC">
        <w:rPr>
          <w:rFonts w:ascii="Arial" w:hAnsi="Arial" w:cs="Arial"/>
        </w:rPr>
        <w:t xml:space="preserve"> the</w:t>
      </w:r>
      <w:r w:rsidRPr="007123DC">
        <w:rPr>
          <w:rFonts w:ascii="Arial" w:hAnsi="Arial" w:cs="Arial"/>
        </w:rPr>
        <w:t xml:space="preserve"> currency rates and market timing is </w:t>
      </w:r>
      <w:r w:rsidR="003650D4" w:rsidRPr="007123DC">
        <w:rPr>
          <w:rFonts w:ascii="Arial" w:hAnsi="Arial" w:cs="Arial"/>
        </w:rPr>
        <w:t xml:space="preserve">a </w:t>
      </w:r>
      <w:r w:rsidRPr="007123DC">
        <w:rPr>
          <w:rFonts w:ascii="Arial" w:hAnsi="Arial" w:cs="Arial"/>
        </w:rPr>
        <w:t>difficult</w:t>
      </w:r>
      <w:r w:rsidR="003650D4" w:rsidRPr="007123DC">
        <w:rPr>
          <w:rFonts w:ascii="Arial" w:hAnsi="Arial" w:cs="Arial"/>
        </w:rPr>
        <w:t xml:space="preserve"> thing to do</w:t>
      </w:r>
      <w:r w:rsidRPr="007123DC">
        <w:rPr>
          <w:rFonts w:ascii="Arial" w:hAnsi="Arial" w:cs="Arial"/>
        </w:rPr>
        <w:t>. If a company hedge</w:t>
      </w:r>
      <w:r w:rsidR="008230ED" w:rsidRPr="007123DC">
        <w:rPr>
          <w:rFonts w:ascii="Arial" w:hAnsi="Arial" w:cs="Arial"/>
        </w:rPr>
        <w:t>s</w:t>
      </w:r>
      <w:r w:rsidRPr="007123DC">
        <w:rPr>
          <w:rFonts w:ascii="Arial" w:hAnsi="Arial" w:cs="Arial"/>
        </w:rPr>
        <w:t>, they risk missing out on currency gains</w:t>
      </w:r>
      <w:r w:rsidR="000071D0" w:rsidRPr="007123DC">
        <w:rPr>
          <w:rFonts w:ascii="Arial" w:hAnsi="Arial" w:cs="Arial"/>
        </w:rPr>
        <w:t xml:space="preserve"> (Pike et al., 2018)</w:t>
      </w:r>
      <w:r w:rsidRPr="007123DC">
        <w:rPr>
          <w:rFonts w:ascii="Arial" w:hAnsi="Arial" w:cs="Arial"/>
        </w:rPr>
        <w:t>.</w:t>
      </w:r>
    </w:p>
    <w:p w14:paraId="76BED451" w14:textId="6B8290C2" w:rsidR="00BB5BF9" w:rsidRPr="007123DC" w:rsidRDefault="00BB5BF9" w:rsidP="00711AD7">
      <w:pPr>
        <w:pStyle w:val="ListParagraph"/>
        <w:numPr>
          <w:ilvl w:val="0"/>
          <w:numId w:val="25"/>
        </w:numPr>
        <w:spacing w:line="480" w:lineRule="auto"/>
        <w:rPr>
          <w:rFonts w:ascii="Arial" w:hAnsi="Arial" w:cs="Arial"/>
        </w:rPr>
      </w:pPr>
      <w:r w:rsidRPr="007123DC">
        <w:rPr>
          <w:rFonts w:ascii="Arial" w:hAnsi="Arial" w:cs="Arial"/>
          <w:b/>
          <w:bCs/>
        </w:rPr>
        <w:t>Limitations</w:t>
      </w:r>
      <w:r w:rsidRPr="007123DC">
        <w:rPr>
          <w:rFonts w:ascii="Arial" w:hAnsi="Arial" w:cs="Arial"/>
        </w:rPr>
        <w:t>: Overreliance on derivatives can lead to counterparty risk and hedge position expenses, which can hurt short-term profitability</w:t>
      </w:r>
      <w:r w:rsidR="003650D4" w:rsidRPr="007123DC">
        <w:rPr>
          <w:rFonts w:ascii="Arial" w:hAnsi="Arial" w:cs="Arial"/>
        </w:rPr>
        <w:t xml:space="preserve"> for the company.</w:t>
      </w:r>
    </w:p>
    <w:p w14:paraId="6499167B" w14:textId="3B248292" w:rsidR="00BB5BF9" w:rsidRPr="007123DC" w:rsidRDefault="00BB5BF9" w:rsidP="00C043E9">
      <w:pPr>
        <w:pStyle w:val="Heading3"/>
        <w:rPr>
          <w:rFonts w:cs="Arial"/>
        </w:rPr>
      </w:pPr>
      <w:bookmarkStart w:id="15" w:name="_Toc154952042"/>
      <w:r w:rsidRPr="007123DC">
        <w:rPr>
          <w:rFonts w:cs="Arial"/>
        </w:rPr>
        <w:t>Diversification Strategies</w:t>
      </w:r>
      <w:bookmarkEnd w:id="15"/>
    </w:p>
    <w:p w14:paraId="11E427C8" w14:textId="50B6E206" w:rsidR="00BB5BF9" w:rsidRPr="007123DC" w:rsidRDefault="00BB5BF9" w:rsidP="00711AD7">
      <w:pPr>
        <w:pStyle w:val="ListParagraph"/>
        <w:numPr>
          <w:ilvl w:val="0"/>
          <w:numId w:val="24"/>
        </w:numPr>
        <w:spacing w:line="480" w:lineRule="auto"/>
        <w:rPr>
          <w:rFonts w:ascii="Arial" w:hAnsi="Arial" w:cs="Arial"/>
        </w:rPr>
      </w:pPr>
      <w:r w:rsidRPr="007123DC">
        <w:rPr>
          <w:rFonts w:ascii="Arial" w:hAnsi="Arial" w:cs="Arial"/>
          <w:b/>
          <w:bCs/>
        </w:rPr>
        <w:t>Challenges</w:t>
      </w:r>
      <w:r w:rsidRPr="007123DC">
        <w:rPr>
          <w:rFonts w:ascii="Arial" w:hAnsi="Arial" w:cs="Arial"/>
        </w:rPr>
        <w:t>: Operating in multiple regions may not guard against all hazards. Diversity assumes currencies will always move together, which may be wrong.</w:t>
      </w:r>
    </w:p>
    <w:p w14:paraId="78D6DCF9" w14:textId="17CF9ECA" w:rsidR="00BB5BF9" w:rsidRPr="007123DC" w:rsidRDefault="00BB5BF9" w:rsidP="00711AD7">
      <w:pPr>
        <w:pStyle w:val="ListParagraph"/>
        <w:numPr>
          <w:ilvl w:val="0"/>
          <w:numId w:val="24"/>
        </w:numPr>
        <w:spacing w:line="480" w:lineRule="auto"/>
        <w:rPr>
          <w:rFonts w:ascii="Arial" w:hAnsi="Arial" w:cs="Arial"/>
        </w:rPr>
      </w:pPr>
      <w:r w:rsidRPr="007123DC">
        <w:rPr>
          <w:rFonts w:ascii="Arial" w:hAnsi="Arial" w:cs="Arial"/>
          <w:b/>
          <w:bCs/>
        </w:rPr>
        <w:lastRenderedPageBreak/>
        <w:t>Limitations</w:t>
      </w:r>
      <w:r w:rsidRPr="007123DC">
        <w:rPr>
          <w:rFonts w:ascii="Arial" w:hAnsi="Arial" w:cs="Arial"/>
        </w:rPr>
        <w:t>: Diversification requires flexibility and resources. In a recession, market-currency correlations may limit this method</w:t>
      </w:r>
      <w:r w:rsidR="000071D0" w:rsidRPr="007123DC">
        <w:rPr>
          <w:rFonts w:ascii="Arial" w:hAnsi="Arial" w:cs="Arial"/>
        </w:rPr>
        <w:t xml:space="preserve"> (Somanathan, Nageswaran and Gupta, 2018)</w:t>
      </w:r>
      <w:r w:rsidRPr="007123DC">
        <w:rPr>
          <w:rFonts w:ascii="Arial" w:hAnsi="Arial" w:cs="Arial"/>
        </w:rPr>
        <w:t>.</w:t>
      </w:r>
    </w:p>
    <w:p w14:paraId="0B19153E" w14:textId="02B1F52F" w:rsidR="00BB5BF9" w:rsidRPr="007123DC" w:rsidRDefault="00BB5BF9" w:rsidP="00C043E9">
      <w:pPr>
        <w:pStyle w:val="Heading3"/>
        <w:rPr>
          <w:rFonts w:cs="Arial"/>
        </w:rPr>
      </w:pPr>
      <w:bookmarkStart w:id="16" w:name="_Toc154952043"/>
      <w:r w:rsidRPr="007123DC">
        <w:rPr>
          <w:rFonts w:cs="Arial"/>
        </w:rPr>
        <w:t>Operational Strategies</w:t>
      </w:r>
      <w:bookmarkEnd w:id="16"/>
      <w:r w:rsidRPr="007123DC">
        <w:rPr>
          <w:rFonts w:cs="Arial"/>
        </w:rPr>
        <w:t xml:space="preserve"> </w:t>
      </w:r>
    </w:p>
    <w:p w14:paraId="65E83AEF" w14:textId="16934815" w:rsidR="00BB5BF9" w:rsidRPr="007123DC" w:rsidRDefault="00BB5BF9" w:rsidP="00711AD7">
      <w:pPr>
        <w:pStyle w:val="ListParagraph"/>
        <w:numPr>
          <w:ilvl w:val="0"/>
          <w:numId w:val="20"/>
        </w:numPr>
        <w:spacing w:line="480" w:lineRule="auto"/>
        <w:rPr>
          <w:rFonts w:ascii="Arial" w:hAnsi="Arial" w:cs="Arial"/>
        </w:rPr>
      </w:pPr>
      <w:r w:rsidRPr="007123DC">
        <w:rPr>
          <w:rFonts w:ascii="Arial" w:hAnsi="Arial" w:cs="Arial"/>
          <w:b/>
          <w:bCs/>
        </w:rPr>
        <w:t>Challenges</w:t>
      </w:r>
      <w:r w:rsidRPr="007123DC">
        <w:rPr>
          <w:rFonts w:ascii="Arial" w:hAnsi="Arial" w:cs="Arial"/>
        </w:rPr>
        <w:t>: Natural hedging needs planning and may not be possible for many organi</w:t>
      </w:r>
      <w:r w:rsidR="003650D4" w:rsidRPr="007123DC">
        <w:rPr>
          <w:rFonts w:ascii="Arial" w:hAnsi="Arial" w:cs="Arial"/>
        </w:rPr>
        <w:t>z</w:t>
      </w:r>
      <w:r w:rsidRPr="007123DC">
        <w:rPr>
          <w:rFonts w:ascii="Arial" w:hAnsi="Arial" w:cs="Arial"/>
        </w:rPr>
        <w:t>ations. Negotiating customer invoice currencies may affect competitiveness.</w:t>
      </w:r>
    </w:p>
    <w:p w14:paraId="5C01EA6D" w14:textId="09FD6C5D" w:rsidR="00BB5BF9" w:rsidRPr="007123DC" w:rsidRDefault="00BB5BF9" w:rsidP="00711AD7">
      <w:pPr>
        <w:pStyle w:val="ListParagraph"/>
        <w:numPr>
          <w:ilvl w:val="0"/>
          <w:numId w:val="20"/>
        </w:numPr>
        <w:spacing w:line="480" w:lineRule="auto"/>
        <w:rPr>
          <w:rFonts w:ascii="Arial" w:hAnsi="Arial" w:cs="Arial"/>
        </w:rPr>
      </w:pPr>
      <w:r w:rsidRPr="007123DC">
        <w:rPr>
          <w:rFonts w:ascii="Arial" w:hAnsi="Arial" w:cs="Arial"/>
          <w:b/>
          <w:bCs/>
        </w:rPr>
        <w:t>Limitations</w:t>
      </w:r>
      <w:r w:rsidRPr="007123DC">
        <w:rPr>
          <w:rFonts w:ascii="Arial" w:hAnsi="Arial" w:cs="Arial"/>
        </w:rPr>
        <w:t>: Operational and market factors affect currency revenue-cost alignment.</w:t>
      </w:r>
    </w:p>
    <w:p w14:paraId="48090FDE" w14:textId="007F672B" w:rsidR="00917F28" w:rsidRPr="007123DC" w:rsidRDefault="00917F28" w:rsidP="001913FD">
      <w:pPr>
        <w:pStyle w:val="Heading2"/>
      </w:pPr>
      <w:bookmarkStart w:id="17" w:name="_Toc154952044"/>
      <w:r w:rsidRPr="007123DC">
        <w:t>Recommendations</w:t>
      </w:r>
      <w:bookmarkEnd w:id="17"/>
      <w:r w:rsidRPr="007123DC">
        <w:t xml:space="preserve"> </w:t>
      </w:r>
    </w:p>
    <w:p w14:paraId="6414DE0E" w14:textId="0AF43E90" w:rsidR="00B61BF8" w:rsidRPr="007123DC" w:rsidRDefault="00BB5BF9" w:rsidP="00B61BF8">
      <w:pPr>
        <w:pStyle w:val="ListParagraph"/>
        <w:numPr>
          <w:ilvl w:val="0"/>
          <w:numId w:val="26"/>
        </w:numPr>
        <w:spacing w:line="480" w:lineRule="auto"/>
        <w:rPr>
          <w:rFonts w:ascii="Arial" w:hAnsi="Arial" w:cs="Arial"/>
        </w:rPr>
      </w:pPr>
      <w:r w:rsidRPr="007123DC">
        <w:rPr>
          <w:rFonts w:ascii="Arial" w:hAnsi="Arial" w:cs="Arial"/>
        </w:rPr>
        <w:t>Companies must match their tactics to their risk tolerance, business state, and market conditions. It's crucial to monitor economic changes and respond accordingly</w:t>
      </w:r>
      <w:r w:rsidR="000071D0" w:rsidRPr="007123DC">
        <w:rPr>
          <w:rFonts w:ascii="Arial" w:hAnsi="Arial" w:cs="Arial"/>
        </w:rPr>
        <w:t xml:space="preserve"> (Fraser, Quail and Simkins, 2021)</w:t>
      </w:r>
      <w:r w:rsidRPr="007123DC">
        <w:rPr>
          <w:rFonts w:ascii="Arial" w:hAnsi="Arial" w:cs="Arial"/>
        </w:rPr>
        <w:t xml:space="preserve">. </w:t>
      </w:r>
    </w:p>
    <w:p w14:paraId="4AEE72ED" w14:textId="77777777" w:rsidR="00B61BF8" w:rsidRPr="007123DC" w:rsidRDefault="00BB5BF9" w:rsidP="00B61BF8">
      <w:pPr>
        <w:pStyle w:val="ListParagraph"/>
        <w:numPr>
          <w:ilvl w:val="0"/>
          <w:numId w:val="26"/>
        </w:numPr>
        <w:spacing w:line="480" w:lineRule="auto"/>
        <w:rPr>
          <w:rFonts w:ascii="Arial" w:hAnsi="Arial" w:cs="Arial"/>
        </w:rPr>
      </w:pPr>
      <w:r w:rsidRPr="007123DC">
        <w:rPr>
          <w:rFonts w:ascii="Arial" w:hAnsi="Arial" w:cs="Arial"/>
        </w:rPr>
        <w:t xml:space="preserve">Cooperation and communication between departments can improve risk management. </w:t>
      </w:r>
    </w:p>
    <w:p w14:paraId="6D9E4C14" w14:textId="77777777" w:rsidR="00B61BF8" w:rsidRPr="007123DC" w:rsidRDefault="00BB5BF9" w:rsidP="00B61BF8">
      <w:pPr>
        <w:pStyle w:val="ListParagraph"/>
        <w:numPr>
          <w:ilvl w:val="0"/>
          <w:numId w:val="26"/>
        </w:numPr>
        <w:spacing w:line="480" w:lineRule="auto"/>
        <w:rPr>
          <w:rFonts w:ascii="Arial" w:hAnsi="Arial" w:cs="Arial"/>
        </w:rPr>
      </w:pPr>
      <w:r w:rsidRPr="007123DC">
        <w:rPr>
          <w:rFonts w:ascii="Arial" w:hAnsi="Arial" w:cs="Arial"/>
        </w:rPr>
        <w:t>Businesses should make decisions using data analytics, develop comprehensive risk management systems, and regularly analy</w:t>
      </w:r>
      <w:r w:rsidR="008230ED" w:rsidRPr="007123DC">
        <w:rPr>
          <w:rFonts w:ascii="Arial" w:hAnsi="Arial" w:cs="Arial"/>
        </w:rPr>
        <w:t>z</w:t>
      </w:r>
      <w:r w:rsidRPr="007123DC">
        <w:rPr>
          <w:rFonts w:ascii="Arial" w:hAnsi="Arial" w:cs="Arial"/>
        </w:rPr>
        <w:t xml:space="preserve">e and test ways to uncover weaknesses. </w:t>
      </w:r>
    </w:p>
    <w:p w14:paraId="1944178C" w14:textId="6EE40DBE" w:rsidR="00BB5BF9" w:rsidRPr="007123DC" w:rsidRDefault="00B61BF8" w:rsidP="00B61BF8">
      <w:pPr>
        <w:pStyle w:val="ListParagraph"/>
        <w:numPr>
          <w:ilvl w:val="0"/>
          <w:numId w:val="26"/>
        </w:numPr>
        <w:spacing w:line="480" w:lineRule="auto"/>
        <w:rPr>
          <w:rFonts w:ascii="Arial" w:hAnsi="Arial" w:cs="Arial"/>
        </w:rPr>
      </w:pPr>
      <w:r w:rsidRPr="007123DC">
        <w:rPr>
          <w:rFonts w:ascii="Arial" w:hAnsi="Arial" w:cs="Arial"/>
        </w:rPr>
        <w:t>M</w:t>
      </w:r>
      <w:r w:rsidR="00BB5BF9" w:rsidRPr="007123DC">
        <w:rPr>
          <w:rFonts w:ascii="Arial" w:hAnsi="Arial" w:cs="Arial"/>
        </w:rPr>
        <w:t>ultinational firms can improve their foreign exchange risk management by developing internal expertise and staying abreast of market trends and financial instruments.</w:t>
      </w:r>
    </w:p>
    <w:p w14:paraId="3E34A153" w14:textId="77777777" w:rsidR="00B61BF8" w:rsidRPr="007123DC" w:rsidRDefault="00B61BF8">
      <w:pPr>
        <w:spacing w:line="259" w:lineRule="auto"/>
        <w:jc w:val="left"/>
        <w:rPr>
          <w:rFonts w:ascii="Arial" w:eastAsiaTheme="majorEastAsia" w:hAnsi="Arial" w:cs="Arial"/>
          <w:b/>
          <w:color w:val="0F4761" w:themeColor="accent1" w:themeShade="BF"/>
          <w:sz w:val="32"/>
          <w:szCs w:val="24"/>
          <w:shd w:val="clear" w:color="auto" w:fill="FFFFFF"/>
        </w:rPr>
      </w:pPr>
      <w:r w:rsidRPr="007123DC">
        <w:rPr>
          <w:rFonts w:ascii="Arial" w:hAnsi="Arial" w:cs="Arial"/>
        </w:rPr>
        <w:br w:type="page"/>
      </w:r>
    </w:p>
    <w:p w14:paraId="3DDE912F" w14:textId="3DF013CE" w:rsidR="00917F28" w:rsidRPr="007123DC" w:rsidRDefault="00917F28" w:rsidP="00711AD7">
      <w:pPr>
        <w:pStyle w:val="Heading1"/>
        <w:spacing w:line="480" w:lineRule="auto"/>
        <w:rPr>
          <w:rFonts w:ascii="Arial" w:hAnsi="Arial"/>
        </w:rPr>
      </w:pPr>
      <w:bookmarkStart w:id="18" w:name="_Toc154952045"/>
      <w:r w:rsidRPr="007123DC">
        <w:rPr>
          <w:rFonts w:ascii="Arial" w:hAnsi="Arial"/>
        </w:rPr>
        <w:lastRenderedPageBreak/>
        <w:t>Conclusion</w:t>
      </w:r>
      <w:bookmarkEnd w:id="18"/>
    </w:p>
    <w:p w14:paraId="13431076" w14:textId="1C91BEBD" w:rsidR="00AB1DC6" w:rsidRPr="007123DC" w:rsidRDefault="00A059BF" w:rsidP="00711AD7">
      <w:pPr>
        <w:spacing w:line="480" w:lineRule="auto"/>
        <w:rPr>
          <w:rFonts w:ascii="Arial" w:hAnsi="Arial" w:cs="Arial"/>
        </w:rPr>
      </w:pPr>
      <w:r w:rsidRPr="007123DC">
        <w:rPr>
          <w:rFonts w:ascii="Arial" w:hAnsi="Arial" w:cs="Arial"/>
        </w:rPr>
        <w:t xml:space="preserve">International Financial Management (IFM) is </w:t>
      </w:r>
      <w:proofErr w:type="gramStart"/>
      <w:r w:rsidRPr="007123DC">
        <w:rPr>
          <w:rFonts w:ascii="Arial" w:hAnsi="Arial" w:cs="Arial"/>
        </w:rPr>
        <w:t>difficult,</w:t>
      </w:r>
      <w:proofErr w:type="gramEnd"/>
      <w:r w:rsidRPr="007123DC">
        <w:rPr>
          <w:rFonts w:ascii="Arial" w:hAnsi="Arial" w:cs="Arial"/>
        </w:rPr>
        <w:t xml:space="preserve"> thus multinationals need a broad strategy. Foreign exchange swings require flexible risk management. The report indicates diversification, hedging, and operations reduce foreign exchange risks. Efficient Market Hypothesis and Mundell-Fleming model provide valuable insights, but their inability to reflect real-world complexities requires practical implementations. Case studies and practical evidence propose a dynamic risk-minimization technique. Volkswagen's blunders show the necessity of hedging instrument risks, while Nestlé's complete risk management approach </w:t>
      </w:r>
      <w:proofErr w:type="spellStart"/>
      <w:r w:rsidRPr="007123DC">
        <w:rPr>
          <w:rFonts w:ascii="Arial" w:hAnsi="Arial" w:cs="Arial"/>
        </w:rPr>
        <w:t>emphasises</w:t>
      </w:r>
      <w:proofErr w:type="spellEnd"/>
      <w:r w:rsidRPr="007123DC">
        <w:rPr>
          <w:rFonts w:ascii="Arial" w:hAnsi="Arial" w:cs="Arial"/>
        </w:rPr>
        <w:t xml:space="preserve"> a well-rounded strategy. Each strategy has</w:t>
      </w:r>
      <w:r w:rsidR="00005514" w:rsidRPr="007123DC">
        <w:rPr>
          <w:rFonts w:ascii="Arial" w:hAnsi="Arial" w:cs="Arial"/>
        </w:rPr>
        <w:t xml:space="preserve"> its own</w:t>
      </w:r>
      <w:r w:rsidRPr="007123DC">
        <w:rPr>
          <w:rFonts w:ascii="Arial" w:hAnsi="Arial" w:cs="Arial"/>
        </w:rPr>
        <w:t xml:space="preserve"> drawbacks. Hedging requires precise market projections, and diversity may not protect against global shocks. Though advantageous, operational measures may not be practicable for many firms. Market awareness, data analytics, and strong risk management are needed. AI, sustainable finance, and financial technology may affect IFM trends</w:t>
      </w:r>
      <w:r w:rsidR="00B27674">
        <w:rPr>
          <w:rFonts w:ascii="Arial" w:hAnsi="Arial" w:cs="Arial"/>
        </w:rPr>
        <w:t xml:space="preserve"> too</w:t>
      </w:r>
      <w:r w:rsidRPr="007123DC">
        <w:rPr>
          <w:rFonts w:ascii="Arial" w:hAnsi="Arial" w:cs="Arial"/>
        </w:rPr>
        <w:t>. To win in global finance, multinationals must produce internal knowledge, adapt, and adopt changing tactics. MNCs may manage foreign exchange risks and increase global competitiveness by understanding theoretical frameworks, real-world experiences, and ongoing development.</w:t>
      </w:r>
    </w:p>
    <w:p w14:paraId="0E8DE7FB" w14:textId="77777777" w:rsidR="00E1608F" w:rsidRPr="007123DC" w:rsidRDefault="00E1608F" w:rsidP="00711AD7">
      <w:pPr>
        <w:spacing w:line="480" w:lineRule="auto"/>
        <w:rPr>
          <w:rFonts w:ascii="Arial" w:hAnsi="Arial" w:cs="Arial"/>
        </w:rPr>
      </w:pPr>
    </w:p>
    <w:p w14:paraId="01700F79" w14:textId="430E38B3" w:rsidR="00E1608F" w:rsidRPr="007123DC" w:rsidRDefault="00E1608F">
      <w:pPr>
        <w:spacing w:line="259" w:lineRule="auto"/>
        <w:jc w:val="left"/>
        <w:rPr>
          <w:rFonts w:ascii="Arial" w:hAnsi="Arial" w:cs="Arial"/>
        </w:rPr>
      </w:pPr>
      <w:r w:rsidRPr="007123DC">
        <w:rPr>
          <w:rFonts w:ascii="Arial" w:hAnsi="Arial" w:cs="Arial"/>
        </w:rPr>
        <w:br w:type="page"/>
      </w:r>
    </w:p>
    <w:p w14:paraId="13A1F729" w14:textId="68FE7FEE" w:rsidR="00E1608F" w:rsidRPr="007123DC" w:rsidRDefault="00E1608F" w:rsidP="00E1608F">
      <w:pPr>
        <w:pStyle w:val="Heading1"/>
        <w:rPr>
          <w:rFonts w:ascii="Arial" w:hAnsi="Arial"/>
        </w:rPr>
      </w:pPr>
      <w:r w:rsidRPr="007123DC">
        <w:rPr>
          <w:rFonts w:ascii="Arial" w:hAnsi="Arial"/>
        </w:rPr>
        <w:lastRenderedPageBreak/>
        <w:t>References</w:t>
      </w:r>
    </w:p>
    <w:p w14:paraId="5FEED780" w14:textId="77777777" w:rsidR="00E1608F" w:rsidRPr="007123DC" w:rsidRDefault="00E1608F" w:rsidP="00E1608F">
      <w:pPr>
        <w:rPr>
          <w:rFonts w:ascii="Arial" w:hAnsi="Arial" w:cs="Arial"/>
        </w:rPr>
      </w:pPr>
      <w:r w:rsidRPr="007123DC">
        <w:rPr>
          <w:rFonts w:ascii="Arial" w:hAnsi="Arial" w:cs="Arial"/>
        </w:rPr>
        <w:t xml:space="preserve">Adam, A. and Ofori, D. (2017). Validity of International Fisher Effect in the West African Monetary Zone. </w:t>
      </w:r>
      <w:r w:rsidRPr="007123DC">
        <w:rPr>
          <w:rFonts w:ascii="Arial" w:hAnsi="Arial" w:cs="Arial"/>
          <w:i/>
          <w:iCs/>
        </w:rPr>
        <w:t>Journal of Economic Cooperation and Development</w:t>
      </w:r>
      <w:r w:rsidRPr="007123DC">
        <w:rPr>
          <w:rFonts w:ascii="Arial" w:hAnsi="Arial" w:cs="Arial"/>
        </w:rPr>
        <w:t>, 38, pp.121–144.</w:t>
      </w:r>
    </w:p>
    <w:p w14:paraId="68CE2489" w14:textId="77777777" w:rsidR="00E1608F" w:rsidRPr="007123DC" w:rsidRDefault="00E1608F" w:rsidP="00E1608F">
      <w:pPr>
        <w:rPr>
          <w:rFonts w:ascii="Arial" w:hAnsi="Arial" w:cs="Arial"/>
        </w:rPr>
      </w:pPr>
      <w:r w:rsidRPr="007123DC">
        <w:rPr>
          <w:rFonts w:ascii="Arial" w:hAnsi="Arial" w:cs="Arial"/>
        </w:rPr>
        <w:t xml:space="preserve">Bekaert, G. and Hodrick, R.J. (2018). </w:t>
      </w:r>
      <w:r w:rsidRPr="007123DC">
        <w:rPr>
          <w:rFonts w:ascii="Arial" w:hAnsi="Arial" w:cs="Arial"/>
          <w:i/>
          <w:iCs/>
        </w:rPr>
        <w:t>International Financial Management</w:t>
      </w:r>
      <w:r w:rsidRPr="007123DC">
        <w:rPr>
          <w:rFonts w:ascii="Arial" w:hAnsi="Arial" w:cs="Arial"/>
        </w:rPr>
        <w:t>. 2nd ed. Cambridge, United Kingdom: Cambridge University Press.</w:t>
      </w:r>
    </w:p>
    <w:p w14:paraId="475C9035" w14:textId="77777777" w:rsidR="00E1608F" w:rsidRPr="007123DC" w:rsidRDefault="00E1608F" w:rsidP="00E1608F">
      <w:pPr>
        <w:rPr>
          <w:rFonts w:ascii="Arial" w:hAnsi="Arial" w:cs="Arial"/>
        </w:rPr>
      </w:pPr>
      <w:r w:rsidRPr="007123DC">
        <w:rPr>
          <w:rFonts w:ascii="Arial" w:hAnsi="Arial" w:cs="Arial"/>
        </w:rPr>
        <w:t xml:space="preserve">Daniels, J.D., Radebaugh, L.H. and Sullivan, D.P. (2019). </w:t>
      </w:r>
      <w:r w:rsidRPr="007123DC">
        <w:rPr>
          <w:rFonts w:ascii="Arial" w:hAnsi="Arial" w:cs="Arial"/>
          <w:i/>
          <w:iCs/>
        </w:rPr>
        <w:t>International Business: Environments and Operations</w:t>
      </w:r>
      <w:r w:rsidRPr="007123DC">
        <w:rPr>
          <w:rFonts w:ascii="Arial" w:hAnsi="Arial" w:cs="Arial"/>
        </w:rPr>
        <w:t xml:space="preserve">. </w:t>
      </w:r>
      <w:r w:rsidRPr="007123DC">
        <w:rPr>
          <w:rFonts w:ascii="Arial" w:hAnsi="Arial" w:cs="Arial"/>
          <w:i/>
          <w:iCs/>
        </w:rPr>
        <w:t>thuvienso.hoasen.edu.vn</w:t>
      </w:r>
      <w:r w:rsidRPr="007123DC">
        <w:rPr>
          <w:rFonts w:ascii="Arial" w:hAnsi="Arial" w:cs="Arial"/>
        </w:rPr>
        <w:t>. Pearson.</w:t>
      </w:r>
    </w:p>
    <w:p w14:paraId="4515256F" w14:textId="77777777" w:rsidR="00E1608F" w:rsidRPr="007123DC" w:rsidRDefault="00E1608F" w:rsidP="00E1608F">
      <w:pPr>
        <w:rPr>
          <w:rFonts w:ascii="Arial" w:hAnsi="Arial" w:cs="Arial"/>
        </w:rPr>
      </w:pPr>
      <w:r w:rsidRPr="007123DC">
        <w:rPr>
          <w:rFonts w:ascii="Arial" w:hAnsi="Arial" w:cs="Arial"/>
        </w:rPr>
        <w:t xml:space="preserve">Eun, C.S., Resnick, B.G. and Chuluun, T. (2021). </w:t>
      </w:r>
      <w:r w:rsidRPr="007123DC">
        <w:rPr>
          <w:rFonts w:ascii="Arial" w:hAnsi="Arial" w:cs="Arial"/>
          <w:i/>
          <w:iCs/>
        </w:rPr>
        <w:t>International Financial Management</w:t>
      </w:r>
      <w:r w:rsidRPr="007123DC">
        <w:rPr>
          <w:rFonts w:ascii="Arial" w:hAnsi="Arial" w:cs="Arial"/>
        </w:rPr>
        <w:t xml:space="preserve">. [online] </w:t>
      </w:r>
      <w:r w:rsidRPr="007123DC">
        <w:rPr>
          <w:rFonts w:ascii="Arial" w:hAnsi="Arial" w:cs="Arial"/>
          <w:i/>
          <w:iCs/>
        </w:rPr>
        <w:t>thuvienso.hoasen.edu.vn</w:t>
      </w:r>
      <w:r w:rsidRPr="007123DC">
        <w:rPr>
          <w:rFonts w:ascii="Arial" w:hAnsi="Arial" w:cs="Arial"/>
        </w:rPr>
        <w:t>. McGraw-Hill. Available at: https://thuvienso.hoasen.edu.vn/handle/123456789/12533.</w:t>
      </w:r>
    </w:p>
    <w:p w14:paraId="5749E78B" w14:textId="77777777" w:rsidR="00E1608F" w:rsidRPr="007123DC" w:rsidRDefault="00E1608F" w:rsidP="00E1608F">
      <w:pPr>
        <w:rPr>
          <w:rFonts w:ascii="Arial" w:hAnsi="Arial" w:cs="Arial"/>
        </w:rPr>
      </w:pPr>
      <w:r w:rsidRPr="007123DC">
        <w:rPr>
          <w:rFonts w:ascii="Arial" w:hAnsi="Arial" w:cs="Arial"/>
        </w:rPr>
        <w:t xml:space="preserve">Fraser, J.R.S., Quail, R. and Simkins, B. (2021). </w:t>
      </w:r>
      <w:r w:rsidRPr="007123DC">
        <w:rPr>
          <w:rFonts w:ascii="Arial" w:hAnsi="Arial" w:cs="Arial"/>
          <w:i/>
          <w:iCs/>
        </w:rPr>
        <w:t>Enterprise Risk Management: Today’s Leading Research and Best Practices for Tomorrow’s Executives</w:t>
      </w:r>
      <w:r w:rsidRPr="007123DC">
        <w:rPr>
          <w:rFonts w:ascii="Arial" w:hAnsi="Arial" w:cs="Arial"/>
        </w:rPr>
        <w:t xml:space="preserve">. </w:t>
      </w:r>
      <w:r w:rsidRPr="007123DC">
        <w:rPr>
          <w:rFonts w:ascii="Arial" w:hAnsi="Arial" w:cs="Arial"/>
          <w:i/>
          <w:iCs/>
        </w:rPr>
        <w:t>Google Books</w:t>
      </w:r>
      <w:r w:rsidRPr="007123DC">
        <w:rPr>
          <w:rFonts w:ascii="Arial" w:hAnsi="Arial" w:cs="Arial"/>
        </w:rPr>
        <w:t>. John Wiley &amp; Sons.</w:t>
      </w:r>
    </w:p>
    <w:p w14:paraId="49449FA1" w14:textId="77777777" w:rsidR="00E1608F" w:rsidRPr="007123DC" w:rsidRDefault="00E1608F" w:rsidP="00E1608F">
      <w:pPr>
        <w:rPr>
          <w:rFonts w:ascii="Arial" w:hAnsi="Arial" w:cs="Arial"/>
        </w:rPr>
      </w:pPr>
      <w:proofErr w:type="spellStart"/>
      <w:r w:rsidRPr="007123DC">
        <w:rPr>
          <w:rFonts w:ascii="Arial" w:hAnsi="Arial" w:cs="Arial"/>
        </w:rPr>
        <w:t>JankensgårdH</w:t>
      </w:r>
      <w:proofErr w:type="spellEnd"/>
      <w:r w:rsidRPr="007123DC">
        <w:rPr>
          <w:rFonts w:ascii="Arial" w:hAnsi="Arial" w:cs="Arial"/>
        </w:rPr>
        <w:t xml:space="preserve">., </w:t>
      </w:r>
      <w:proofErr w:type="spellStart"/>
      <w:r w:rsidRPr="007123DC">
        <w:rPr>
          <w:rFonts w:ascii="Arial" w:hAnsi="Arial" w:cs="Arial"/>
        </w:rPr>
        <w:t>Alviniussen</w:t>
      </w:r>
      <w:proofErr w:type="spellEnd"/>
      <w:r w:rsidRPr="007123DC">
        <w:rPr>
          <w:rFonts w:ascii="Arial" w:hAnsi="Arial" w:cs="Arial"/>
        </w:rPr>
        <w:t xml:space="preserve">, A. and </w:t>
      </w:r>
      <w:proofErr w:type="spellStart"/>
      <w:r w:rsidRPr="007123DC">
        <w:rPr>
          <w:rFonts w:ascii="Arial" w:hAnsi="Arial" w:cs="Arial"/>
        </w:rPr>
        <w:t>Oxelheim</w:t>
      </w:r>
      <w:proofErr w:type="spellEnd"/>
      <w:r w:rsidRPr="007123DC">
        <w:rPr>
          <w:rFonts w:ascii="Arial" w:hAnsi="Arial" w:cs="Arial"/>
        </w:rPr>
        <w:t xml:space="preserve">, L. (2020). </w:t>
      </w:r>
      <w:r w:rsidRPr="007123DC">
        <w:rPr>
          <w:rFonts w:ascii="Arial" w:hAnsi="Arial" w:cs="Arial"/>
          <w:i/>
          <w:iCs/>
        </w:rPr>
        <w:t>Corporate Foreign Exchange Risk Management</w:t>
      </w:r>
      <w:r w:rsidRPr="007123DC">
        <w:rPr>
          <w:rFonts w:ascii="Arial" w:hAnsi="Arial" w:cs="Arial"/>
        </w:rPr>
        <w:t>. Hoboken, New Jersey: John Wiley &amp; Sons, Inc.</w:t>
      </w:r>
    </w:p>
    <w:p w14:paraId="68ACBF0C" w14:textId="77777777" w:rsidR="00E1608F" w:rsidRPr="007123DC" w:rsidRDefault="00E1608F" w:rsidP="00E1608F">
      <w:pPr>
        <w:rPr>
          <w:rFonts w:ascii="Arial" w:hAnsi="Arial" w:cs="Arial"/>
        </w:rPr>
      </w:pPr>
      <w:r w:rsidRPr="007123DC">
        <w:rPr>
          <w:rFonts w:ascii="Arial" w:hAnsi="Arial" w:cs="Arial"/>
        </w:rPr>
        <w:t xml:space="preserve">Madura, J. (2018). </w:t>
      </w:r>
      <w:r w:rsidRPr="007123DC">
        <w:rPr>
          <w:rFonts w:ascii="Arial" w:hAnsi="Arial" w:cs="Arial"/>
          <w:i/>
          <w:iCs/>
        </w:rPr>
        <w:t>International Financial Management</w:t>
      </w:r>
      <w:r w:rsidRPr="007123DC">
        <w:rPr>
          <w:rFonts w:ascii="Arial" w:hAnsi="Arial" w:cs="Arial"/>
        </w:rPr>
        <w:t>. 13th ed. South Melbourne, Australia: Cengage Learning Australia.</w:t>
      </w:r>
    </w:p>
    <w:p w14:paraId="462A2E37" w14:textId="77777777" w:rsidR="00E1608F" w:rsidRPr="007123DC" w:rsidRDefault="00E1608F" w:rsidP="00E1608F">
      <w:pPr>
        <w:rPr>
          <w:rFonts w:ascii="Arial" w:hAnsi="Arial" w:cs="Arial"/>
        </w:rPr>
      </w:pPr>
      <w:r w:rsidRPr="007123DC">
        <w:rPr>
          <w:rFonts w:ascii="Arial" w:hAnsi="Arial" w:cs="Arial"/>
        </w:rPr>
        <w:t xml:space="preserve">Pike, R., Neale, B., Linsley, P. and Akbar, S. (2018). </w:t>
      </w:r>
      <w:r w:rsidRPr="007123DC">
        <w:rPr>
          <w:rFonts w:ascii="Arial" w:hAnsi="Arial" w:cs="Arial"/>
          <w:i/>
          <w:iCs/>
        </w:rPr>
        <w:t>Corporate Finance and Investment</w:t>
      </w:r>
      <w:r w:rsidRPr="007123DC">
        <w:rPr>
          <w:rFonts w:ascii="Arial" w:hAnsi="Arial" w:cs="Arial"/>
        </w:rPr>
        <w:t>. Pearson UK.</w:t>
      </w:r>
    </w:p>
    <w:p w14:paraId="5B3BBB50" w14:textId="77777777" w:rsidR="00E1608F" w:rsidRPr="007123DC" w:rsidRDefault="00E1608F" w:rsidP="00E1608F">
      <w:pPr>
        <w:rPr>
          <w:rFonts w:ascii="Arial" w:hAnsi="Arial" w:cs="Arial"/>
        </w:rPr>
      </w:pPr>
      <w:r w:rsidRPr="007123DC">
        <w:rPr>
          <w:rFonts w:ascii="Arial" w:hAnsi="Arial" w:cs="Arial"/>
        </w:rPr>
        <w:t xml:space="preserve">Shapiro, A.C. and </w:t>
      </w:r>
      <w:proofErr w:type="spellStart"/>
      <w:r w:rsidRPr="007123DC">
        <w:rPr>
          <w:rFonts w:ascii="Arial" w:hAnsi="Arial" w:cs="Arial"/>
        </w:rPr>
        <w:t>Hanouna</w:t>
      </w:r>
      <w:proofErr w:type="spellEnd"/>
      <w:r w:rsidRPr="007123DC">
        <w:rPr>
          <w:rFonts w:ascii="Arial" w:hAnsi="Arial" w:cs="Arial"/>
        </w:rPr>
        <w:t xml:space="preserve">, P. (2019). </w:t>
      </w:r>
      <w:r w:rsidRPr="007123DC">
        <w:rPr>
          <w:rFonts w:ascii="Arial" w:hAnsi="Arial" w:cs="Arial"/>
          <w:i/>
          <w:iCs/>
        </w:rPr>
        <w:t>Multinational Financial Management</w:t>
      </w:r>
      <w:r w:rsidRPr="007123DC">
        <w:rPr>
          <w:rFonts w:ascii="Arial" w:hAnsi="Arial" w:cs="Arial"/>
        </w:rPr>
        <w:t xml:space="preserve">. </w:t>
      </w:r>
      <w:r w:rsidRPr="007123DC">
        <w:rPr>
          <w:rFonts w:ascii="Arial" w:hAnsi="Arial" w:cs="Arial"/>
          <w:i/>
          <w:iCs/>
        </w:rPr>
        <w:t>Google Books</w:t>
      </w:r>
      <w:r w:rsidRPr="007123DC">
        <w:rPr>
          <w:rFonts w:ascii="Arial" w:hAnsi="Arial" w:cs="Arial"/>
        </w:rPr>
        <w:t>. John Wiley &amp; Sons.</w:t>
      </w:r>
    </w:p>
    <w:p w14:paraId="1D8DC2E8" w14:textId="77777777" w:rsidR="00E1608F" w:rsidRPr="007123DC" w:rsidRDefault="00E1608F" w:rsidP="00E1608F">
      <w:pPr>
        <w:rPr>
          <w:rFonts w:ascii="Arial" w:hAnsi="Arial" w:cs="Arial"/>
        </w:rPr>
      </w:pPr>
      <w:r w:rsidRPr="007123DC">
        <w:rPr>
          <w:rFonts w:ascii="Arial" w:hAnsi="Arial" w:cs="Arial"/>
        </w:rPr>
        <w:t xml:space="preserve">Somanathan, T.V., Nageswaran, V.A. and Gupta, H. (2018). </w:t>
      </w:r>
      <w:r w:rsidRPr="007123DC">
        <w:rPr>
          <w:rFonts w:ascii="Arial" w:hAnsi="Arial" w:cs="Arial"/>
          <w:i/>
          <w:iCs/>
        </w:rPr>
        <w:t>Derivatives</w:t>
      </w:r>
      <w:r w:rsidRPr="007123DC">
        <w:rPr>
          <w:rFonts w:ascii="Arial" w:hAnsi="Arial" w:cs="Arial"/>
        </w:rPr>
        <w:t xml:space="preserve">. Cambridge New York, Ny Melbourne New </w:t>
      </w:r>
      <w:proofErr w:type="spellStart"/>
      <w:r w:rsidRPr="007123DC">
        <w:rPr>
          <w:rFonts w:ascii="Arial" w:hAnsi="Arial" w:cs="Arial"/>
        </w:rPr>
        <w:t>Dehli</w:t>
      </w:r>
      <w:proofErr w:type="spellEnd"/>
      <w:r w:rsidRPr="007123DC">
        <w:rPr>
          <w:rFonts w:ascii="Arial" w:hAnsi="Arial" w:cs="Arial"/>
        </w:rPr>
        <w:t xml:space="preserve"> Singapore Cambridge University Press.</w:t>
      </w:r>
    </w:p>
    <w:p w14:paraId="450645F6" w14:textId="77777777" w:rsidR="00E1608F" w:rsidRPr="007123DC" w:rsidRDefault="00E1608F" w:rsidP="00E1608F">
      <w:pPr>
        <w:rPr>
          <w:rFonts w:ascii="Arial" w:hAnsi="Arial" w:cs="Arial"/>
        </w:rPr>
      </w:pPr>
    </w:p>
    <w:sectPr w:rsidR="00E1608F" w:rsidRPr="007123D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1672F" w14:textId="77777777" w:rsidR="001257C0" w:rsidRDefault="001257C0" w:rsidP="007B46B6">
      <w:pPr>
        <w:spacing w:after="0" w:line="240" w:lineRule="auto"/>
      </w:pPr>
      <w:r>
        <w:separator/>
      </w:r>
    </w:p>
  </w:endnote>
  <w:endnote w:type="continuationSeparator" w:id="0">
    <w:p w14:paraId="40255675" w14:textId="77777777" w:rsidR="001257C0" w:rsidRDefault="001257C0" w:rsidP="007B4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646263"/>
      <w:docPartObj>
        <w:docPartGallery w:val="Page Numbers (Bottom of Page)"/>
        <w:docPartUnique/>
      </w:docPartObj>
    </w:sdtPr>
    <w:sdtEndPr>
      <w:rPr>
        <w:noProof/>
      </w:rPr>
    </w:sdtEndPr>
    <w:sdtContent>
      <w:p w14:paraId="7E91B198" w14:textId="447273AC" w:rsidR="007B46B6" w:rsidRDefault="007B46B6">
        <w:pPr>
          <w:pStyle w:val="Footer"/>
        </w:pPr>
        <w:r>
          <w:fldChar w:fldCharType="begin"/>
        </w:r>
        <w:r>
          <w:instrText xml:space="preserve"> PAGE   \* MERGEFORMAT </w:instrText>
        </w:r>
        <w:r>
          <w:fldChar w:fldCharType="separate"/>
        </w:r>
        <w:r>
          <w:rPr>
            <w:noProof/>
          </w:rPr>
          <w:t>2</w:t>
        </w:r>
        <w:r>
          <w:rPr>
            <w:noProof/>
          </w:rPr>
          <w:fldChar w:fldCharType="end"/>
        </w:r>
      </w:p>
    </w:sdtContent>
  </w:sdt>
  <w:p w14:paraId="5BD1561B" w14:textId="77777777" w:rsidR="007B46B6" w:rsidRDefault="007B4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E251E" w14:textId="77777777" w:rsidR="001257C0" w:rsidRDefault="001257C0" w:rsidP="007B46B6">
      <w:pPr>
        <w:spacing w:after="0" w:line="240" w:lineRule="auto"/>
      </w:pPr>
      <w:r>
        <w:separator/>
      </w:r>
    </w:p>
  </w:footnote>
  <w:footnote w:type="continuationSeparator" w:id="0">
    <w:p w14:paraId="22EF6A92" w14:textId="77777777" w:rsidR="001257C0" w:rsidRDefault="001257C0" w:rsidP="007B4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4612"/>
    <w:multiLevelType w:val="hybridMultilevel"/>
    <w:tmpl w:val="AAE21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708C3"/>
    <w:multiLevelType w:val="hybridMultilevel"/>
    <w:tmpl w:val="A4189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D34897"/>
    <w:multiLevelType w:val="hybridMultilevel"/>
    <w:tmpl w:val="ED1E1BD2"/>
    <w:lvl w:ilvl="0" w:tplc="0409000F">
      <w:start w:val="1"/>
      <w:numFmt w:val="decimal"/>
      <w:lvlText w:val="%1."/>
      <w:lvlJc w:val="left"/>
      <w:pPr>
        <w:ind w:left="720" w:hanging="360"/>
      </w:pPr>
      <w:rPr>
        <w:rFonts w:hint="default"/>
      </w:rPr>
    </w:lvl>
    <w:lvl w:ilvl="1" w:tplc="97E6B8CA">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03388"/>
    <w:multiLevelType w:val="hybridMultilevel"/>
    <w:tmpl w:val="36D87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66D48"/>
    <w:multiLevelType w:val="hybridMultilevel"/>
    <w:tmpl w:val="7242A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069EB"/>
    <w:multiLevelType w:val="hybridMultilevel"/>
    <w:tmpl w:val="6D42E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C1BAE"/>
    <w:multiLevelType w:val="hybridMultilevel"/>
    <w:tmpl w:val="144AC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AF454C"/>
    <w:multiLevelType w:val="hybridMultilevel"/>
    <w:tmpl w:val="6BF4D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433B70"/>
    <w:multiLevelType w:val="hybridMultilevel"/>
    <w:tmpl w:val="2D2A1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47E58"/>
    <w:multiLevelType w:val="hybridMultilevel"/>
    <w:tmpl w:val="AD18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7B32DC"/>
    <w:multiLevelType w:val="hybridMultilevel"/>
    <w:tmpl w:val="D03AC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9B7A8A"/>
    <w:multiLevelType w:val="hybridMultilevel"/>
    <w:tmpl w:val="AC388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5A716D"/>
    <w:multiLevelType w:val="hybridMultilevel"/>
    <w:tmpl w:val="83C6D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495B69"/>
    <w:multiLevelType w:val="hybridMultilevel"/>
    <w:tmpl w:val="0890B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D74243"/>
    <w:multiLevelType w:val="hybridMultilevel"/>
    <w:tmpl w:val="16B80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D2015D"/>
    <w:multiLevelType w:val="hybridMultilevel"/>
    <w:tmpl w:val="02C0D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D66F00"/>
    <w:multiLevelType w:val="hybridMultilevel"/>
    <w:tmpl w:val="5A968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3935CB"/>
    <w:multiLevelType w:val="hybridMultilevel"/>
    <w:tmpl w:val="C9125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1B4E6D"/>
    <w:multiLevelType w:val="hybridMultilevel"/>
    <w:tmpl w:val="DF207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7675A9"/>
    <w:multiLevelType w:val="hybridMultilevel"/>
    <w:tmpl w:val="3D14B2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C442F8E"/>
    <w:multiLevelType w:val="hybridMultilevel"/>
    <w:tmpl w:val="2EB4F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F9555B"/>
    <w:multiLevelType w:val="hybridMultilevel"/>
    <w:tmpl w:val="AFC21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1C465F"/>
    <w:multiLevelType w:val="hybridMultilevel"/>
    <w:tmpl w:val="C4C427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79493488"/>
    <w:multiLevelType w:val="hybridMultilevel"/>
    <w:tmpl w:val="13087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CF56D5"/>
    <w:multiLevelType w:val="hybridMultilevel"/>
    <w:tmpl w:val="C90AF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2C2A28"/>
    <w:multiLevelType w:val="hybridMultilevel"/>
    <w:tmpl w:val="ECE81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1981460">
    <w:abstractNumId w:val="3"/>
  </w:num>
  <w:num w:numId="2" w16cid:durableId="2072728981">
    <w:abstractNumId w:val="7"/>
  </w:num>
  <w:num w:numId="3" w16cid:durableId="1195658959">
    <w:abstractNumId w:val="6"/>
  </w:num>
  <w:num w:numId="4" w16cid:durableId="1156994922">
    <w:abstractNumId w:val="14"/>
  </w:num>
  <w:num w:numId="5" w16cid:durableId="319115785">
    <w:abstractNumId w:val="18"/>
  </w:num>
  <w:num w:numId="6" w16cid:durableId="1772894985">
    <w:abstractNumId w:val="24"/>
  </w:num>
  <w:num w:numId="7" w16cid:durableId="333076124">
    <w:abstractNumId w:val="25"/>
  </w:num>
  <w:num w:numId="8" w16cid:durableId="2116096235">
    <w:abstractNumId w:val="10"/>
  </w:num>
  <w:num w:numId="9" w16cid:durableId="675572124">
    <w:abstractNumId w:val="16"/>
  </w:num>
  <w:num w:numId="10" w16cid:durableId="929391854">
    <w:abstractNumId w:val="20"/>
  </w:num>
  <w:num w:numId="11" w16cid:durableId="1642346724">
    <w:abstractNumId w:val="9"/>
  </w:num>
  <w:num w:numId="12" w16cid:durableId="1754929107">
    <w:abstractNumId w:val="5"/>
  </w:num>
  <w:num w:numId="13" w16cid:durableId="702826044">
    <w:abstractNumId w:val="8"/>
  </w:num>
  <w:num w:numId="14" w16cid:durableId="1566141617">
    <w:abstractNumId w:val="21"/>
  </w:num>
  <w:num w:numId="15" w16cid:durableId="1144467818">
    <w:abstractNumId w:val="2"/>
  </w:num>
  <w:num w:numId="16" w16cid:durableId="724986626">
    <w:abstractNumId w:val="11"/>
  </w:num>
  <w:num w:numId="17" w16cid:durableId="127281864">
    <w:abstractNumId w:val="17"/>
  </w:num>
  <w:num w:numId="18" w16cid:durableId="1509443940">
    <w:abstractNumId w:val="13"/>
  </w:num>
  <w:num w:numId="19" w16cid:durableId="71242006">
    <w:abstractNumId w:val="15"/>
  </w:num>
  <w:num w:numId="20" w16cid:durableId="1337228851">
    <w:abstractNumId w:val="0"/>
  </w:num>
  <w:num w:numId="21" w16cid:durableId="251863532">
    <w:abstractNumId w:val="4"/>
  </w:num>
  <w:num w:numId="22" w16cid:durableId="926184413">
    <w:abstractNumId w:val="22"/>
  </w:num>
  <w:num w:numId="23" w16cid:durableId="1099062507">
    <w:abstractNumId w:val="19"/>
  </w:num>
  <w:num w:numId="24" w16cid:durableId="1999577797">
    <w:abstractNumId w:val="1"/>
  </w:num>
  <w:num w:numId="25" w16cid:durableId="1971473291">
    <w:abstractNumId w:val="12"/>
  </w:num>
  <w:num w:numId="26" w16cid:durableId="18036940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1MDS3MDGxMDAwMTBU0lEKTi0uzszPAykwrAUA2RaKKSwAAAA="/>
  </w:docVars>
  <w:rsids>
    <w:rsidRoot w:val="00D45E0F"/>
    <w:rsid w:val="00005514"/>
    <w:rsid w:val="000071D0"/>
    <w:rsid w:val="00033279"/>
    <w:rsid w:val="00106D62"/>
    <w:rsid w:val="001257C0"/>
    <w:rsid w:val="00140E88"/>
    <w:rsid w:val="001913FD"/>
    <w:rsid w:val="00205424"/>
    <w:rsid w:val="002A559F"/>
    <w:rsid w:val="003650D4"/>
    <w:rsid w:val="0038249F"/>
    <w:rsid w:val="003913ED"/>
    <w:rsid w:val="004B5A0B"/>
    <w:rsid w:val="004F7220"/>
    <w:rsid w:val="00560E81"/>
    <w:rsid w:val="005619C6"/>
    <w:rsid w:val="005A0D54"/>
    <w:rsid w:val="005D5E71"/>
    <w:rsid w:val="00634AD1"/>
    <w:rsid w:val="00654C21"/>
    <w:rsid w:val="006D4962"/>
    <w:rsid w:val="0070724D"/>
    <w:rsid w:val="00711AD7"/>
    <w:rsid w:val="007123DC"/>
    <w:rsid w:val="007215D4"/>
    <w:rsid w:val="00747995"/>
    <w:rsid w:val="00771D16"/>
    <w:rsid w:val="00793608"/>
    <w:rsid w:val="007B46B6"/>
    <w:rsid w:val="00811952"/>
    <w:rsid w:val="008230ED"/>
    <w:rsid w:val="00897B24"/>
    <w:rsid w:val="008C4C72"/>
    <w:rsid w:val="00917F28"/>
    <w:rsid w:val="00967229"/>
    <w:rsid w:val="00A059BF"/>
    <w:rsid w:val="00A70634"/>
    <w:rsid w:val="00A90FCD"/>
    <w:rsid w:val="00AB1DC6"/>
    <w:rsid w:val="00AE08F7"/>
    <w:rsid w:val="00B244B6"/>
    <w:rsid w:val="00B25048"/>
    <w:rsid w:val="00B27674"/>
    <w:rsid w:val="00B61BF8"/>
    <w:rsid w:val="00BB5BF9"/>
    <w:rsid w:val="00C043E9"/>
    <w:rsid w:val="00C32E72"/>
    <w:rsid w:val="00C725F2"/>
    <w:rsid w:val="00CE59CB"/>
    <w:rsid w:val="00CF2D10"/>
    <w:rsid w:val="00D45E0F"/>
    <w:rsid w:val="00DC6506"/>
    <w:rsid w:val="00E1608F"/>
    <w:rsid w:val="00E61EDC"/>
    <w:rsid w:val="00E96DD3"/>
    <w:rsid w:val="00EA02F1"/>
    <w:rsid w:val="00EA621D"/>
    <w:rsid w:val="00F03FD4"/>
    <w:rsid w:val="00F96B36"/>
    <w:rsid w:val="00FD73F5"/>
    <w:rsid w:val="00FE133D"/>
    <w:rsid w:val="00FE654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665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24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E654E"/>
    <w:pPr>
      <w:keepNext/>
      <w:keepLines/>
      <w:spacing w:before="240" w:after="0"/>
      <w:outlineLvl w:val="0"/>
    </w:pPr>
    <w:rPr>
      <w:rFonts w:eastAsiaTheme="majorEastAsia" w:cs="Arial"/>
      <w:b/>
      <w:color w:val="0F4761" w:themeColor="accent1" w:themeShade="BF"/>
      <w:sz w:val="32"/>
      <w:szCs w:val="24"/>
      <w:shd w:val="clear" w:color="auto" w:fill="FFFFFF"/>
    </w:rPr>
  </w:style>
  <w:style w:type="paragraph" w:styleId="Heading2">
    <w:name w:val="heading 2"/>
    <w:basedOn w:val="Normal"/>
    <w:next w:val="Normal"/>
    <w:link w:val="Heading2Char"/>
    <w:autoRedefine/>
    <w:uiPriority w:val="9"/>
    <w:unhideWhenUsed/>
    <w:qFormat/>
    <w:rsid w:val="001913FD"/>
    <w:pPr>
      <w:keepNext/>
      <w:keepLines/>
      <w:spacing w:before="40" w:after="0"/>
      <w:outlineLvl w:val="1"/>
    </w:pPr>
    <w:rPr>
      <w:rFonts w:ascii="Arial" w:eastAsiaTheme="majorEastAsia" w:hAnsi="Arial" w:cs="Arial"/>
      <w:b/>
      <w:color w:val="0F4761" w:themeColor="accent1" w:themeShade="BF"/>
      <w:sz w:val="28"/>
      <w:szCs w:val="26"/>
    </w:rPr>
  </w:style>
  <w:style w:type="paragraph" w:styleId="Heading3">
    <w:name w:val="heading 3"/>
    <w:basedOn w:val="Normal"/>
    <w:next w:val="Normal"/>
    <w:link w:val="Heading3Char"/>
    <w:autoRedefine/>
    <w:uiPriority w:val="9"/>
    <w:unhideWhenUsed/>
    <w:qFormat/>
    <w:rsid w:val="00AE08F7"/>
    <w:pPr>
      <w:keepNext/>
      <w:keepLines/>
      <w:spacing w:before="40" w:after="0"/>
      <w:outlineLvl w:val="2"/>
    </w:pPr>
    <w:rPr>
      <w:rFonts w:ascii="Arial" w:eastAsiaTheme="majorEastAsia" w:hAnsi="Arial" w:cstheme="majorBidi"/>
      <w:b/>
      <w:color w:val="0A2F40" w:themeColor="accent1" w:themeShade="7F"/>
      <w:szCs w:val="24"/>
    </w:rPr>
  </w:style>
  <w:style w:type="paragraph" w:styleId="Heading4">
    <w:name w:val="heading 4"/>
    <w:basedOn w:val="Normal"/>
    <w:next w:val="Normal"/>
    <w:link w:val="Heading4Char"/>
    <w:uiPriority w:val="9"/>
    <w:semiHidden/>
    <w:unhideWhenUsed/>
    <w:qFormat/>
    <w:rsid w:val="00D45E0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45E0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45E0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5E0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5E0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5E0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E"/>
    <w:rPr>
      <w:rFonts w:ascii="Times New Roman" w:eastAsiaTheme="majorEastAsia" w:hAnsi="Times New Roman" w:cs="Arial"/>
      <w:b/>
      <w:color w:val="0F4761" w:themeColor="accent1" w:themeShade="BF"/>
      <w:sz w:val="32"/>
      <w:szCs w:val="24"/>
    </w:rPr>
  </w:style>
  <w:style w:type="character" w:customStyle="1" w:styleId="Heading2Char">
    <w:name w:val="Heading 2 Char"/>
    <w:basedOn w:val="DefaultParagraphFont"/>
    <w:link w:val="Heading2"/>
    <w:uiPriority w:val="9"/>
    <w:rsid w:val="001913FD"/>
    <w:rPr>
      <w:rFonts w:ascii="Arial" w:eastAsiaTheme="majorEastAsia" w:hAnsi="Arial" w:cs="Arial"/>
      <w:b/>
      <w:color w:val="0F4761" w:themeColor="accent1" w:themeShade="BF"/>
      <w:sz w:val="28"/>
      <w:szCs w:val="26"/>
    </w:rPr>
  </w:style>
  <w:style w:type="character" w:customStyle="1" w:styleId="Heading3Char">
    <w:name w:val="Heading 3 Char"/>
    <w:basedOn w:val="DefaultParagraphFont"/>
    <w:link w:val="Heading3"/>
    <w:uiPriority w:val="9"/>
    <w:rsid w:val="00AE08F7"/>
    <w:rPr>
      <w:rFonts w:ascii="Arial" w:eastAsiaTheme="majorEastAsia" w:hAnsi="Arial" w:cstheme="majorBidi"/>
      <w:b/>
      <w:color w:val="0A2F40" w:themeColor="accent1" w:themeShade="7F"/>
      <w:sz w:val="24"/>
      <w:szCs w:val="24"/>
    </w:rPr>
  </w:style>
  <w:style w:type="character" w:customStyle="1" w:styleId="Heading4Char">
    <w:name w:val="Heading 4 Char"/>
    <w:basedOn w:val="DefaultParagraphFont"/>
    <w:link w:val="Heading4"/>
    <w:uiPriority w:val="9"/>
    <w:semiHidden/>
    <w:rsid w:val="00D45E0F"/>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D45E0F"/>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D45E0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45E0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45E0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45E0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D45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E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E0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E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E0F"/>
    <w:pPr>
      <w:spacing w:before="160"/>
      <w:jc w:val="center"/>
    </w:pPr>
    <w:rPr>
      <w:i/>
      <w:iCs/>
      <w:color w:val="404040" w:themeColor="text1" w:themeTint="BF"/>
    </w:rPr>
  </w:style>
  <w:style w:type="character" w:customStyle="1" w:styleId="QuoteChar">
    <w:name w:val="Quote Char"/>
    <w:basedOn w:val="DefaultParagraphFont"/>
    <w:link w:val="Quote"/>
    <w:uiPriority w:val="29"/>
    <w:rsid w:val="00D45E0F"/>
    <w:rPr>
      <w:rFonts w:ascii="Times New Roman" w:hAnsi="Times New Roman"/>
      <w:i/>
      <w:iCs/>
      <w:color w:val="404040" w:themeColor="text1" w:themeTint="BF"/>
      <w:sz w:val="24"/>
    </w:rPr>
  </w:style>
  <w:style w:type="paragraph" w:styleId="ListParagraph">
    <w:name w:val="List Paragraph"/>
    <w:basedOn w:val="Normal"/>
    <w:uiPriority w:val="34"/>
    <w:qFormat/>
    <w:rsid w:val="00D45E0F"/>
    <w:pPr>
      <w:ind w:left="720"/>
      <w:contextualSpacing/>
    </w:pPr>
  </w:style>
  <w:style w:type="character" w:styleId="IntenseEmphasis">
    <w:name w:val="Intense Emphasis"/>
    <w:basedOn w:val="DefaultParagraphFont"/>
    <w:uiPriority w:val="21"/>
    <w:qFormat/>
    <w:rsid w:val="00D45E0F"/>
    <w:rPr>
      <w:i/>
      <w:iCs/>
      <w:color w:val="0F4761" w:themeColor="accent1" w:themeShade="BF"/>
    </w:rPr>
  </w:style>
  <w:style w:type="paragraph" w:styleId="IntenseQuote">
    <w:name w:val="Intense Quote"/>
    <w:basedOn w:val="Normal"/>
    <w:next w:val="Normal"/>
    <w:link w:val="IntenseQuoteChar"/>
    <w:uiPriority w:val="30"/>
    <w:qFormat/>
    <w:rsid w:val="00D45E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E0F"/>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D45E0F"/>
    <w:rPr>
      <w:b/>
      <w:bCs/>
      <w:smallCaps/>
      <w:color w:val="0F4761" w:themeColor="accent1" w:themeShade="BF"/>
      <w:spacing w:val="5"/>
    </w:rPr>
  </w:style>
  <w:style w:type="paragraph" w:styleId="Header">
    <w:name w:val="header"/>
    <w:basedOn w:val="Normal"/>
    <w:link w:val="HeaderChar"/>
    <w:uiPriority w:val="99"/>
    <w:unhideWhenUsed/>
    <w:rsid w:val="007B4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6B6"/>
    <w:rPr>
      <w:rFonts w:ascii="Times New Roman" w:hAnsi="Times New Roman"/>
      <w:sz w:val="24"/>
    </w:rPr>
  </w:style>
  <w:style w:type="paragraph" w:styleId="Footer">
    <w:name w:val="footer"/>
    <w:basedOn w:val="Normal"/>
    <w:link w:val="FooterChar"/>
    <w:uiPriority w:val="99"/>
    <w:unhideWhenUsed/>
    <w:rsid w:val="007B46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6B6"/>
    <w:rPr>
      <w:rFonts w:ascii="Times New Roman" w:hAnsi="Times New Roman"/>
      <w:sz w:val="24"/>
    </w:rPr>
  </w:style>
  <w:style w:type="paragraph" w:styleId="TOCHeading">
    <w:name w:val="TOC Heading"/>
    <w:basedOn w:val="Heading1"/>
    <w:next w:val="Normal"/>
    <w:uiPriority w:val="39"/>
    <w:unhideWhenUsed/>
    <w:qFormat/>
    <w:rsid w:val="007B46B6"/>
    <w:pPr>
      <w:spacing w:line="259" w:lineRule="auto"/>
      <w:jc w:val="left"/>
      <w:outlineLvl w:val="9"/>
    </w:pPr>
    <w:rPr>
      <w:rFonts w:asciiTheme="majorHAnsi" w:hAnsiTheme="majorHAnsi" w:cstheme="majorBidi"/>
      <w:b w:val="0"/>
      <w:kern w:val="0"/>
      <w:szCs w:val="32"/>
      <w:shd w:val="clear" w:color="auto" w:fill="auto"/>
      <w:lang w:val="en-GB" w:eastAsia="en-GB"/>
      <w14:ligatures w14:val="none"/>
    </w:rPr>
  </w:style>
  <w:style w:type="paragraph" w:styleId="TOC1">
    <w:name w:val="toc 1"/>
    <w:basedOn w:val="Normal"/>
    <w:next w:val="Normal"/>
    <w:autoRedefine/>
    <w:uiPriority w:val="39"/>
    <w:unhideWhenUsed/>
    <w:rsid w:val="007B46B6"/>
    <w:pPr>
      <w:spacing w:after="100"/>
    </w:pPr>
  </w:style>
  <w:style w:type="paragraph" w:styleId="TOC2">
    <w:name w:val="toc 2"/>
    <w:basedOn w:val="Normal"/>
    <w:next w:val="Normal"/>
    <w:autoRedefine/>
    <w:uiPriority w:val="39"/>
    <w:unhideWhenUsed/>
    <w:rsid w:val="007B46B6"/>
    <w:pPr>
      <w:spacing w:after="100"/>
      <w:ind w:left="240"/>
    </w:pPr>
  </w:style>
  <w:style w:type="paragraph" w:styleId="TOC3">
    <w:name w:val="toc 3"/>
    <w:basedOn w:val="Normal"/>
    <w:next w:val="Normal"/>
    <w:autoRedefine/>
    <w:uiPriority w:val="39"/>
    <w:unhideWhenUsed/>
    <w:rsid w:val="007B46B6"/>
    <w:pPr>
      <w:spacing w:after="100"/>
      <w:ind w:left="480"/>
    </w:pPr>
  </w:style>
  <w:style w:type="character" w:styleId="Hyperlink">
    <w:name w:val="Hyperlink"/>
    <w:basedOn w:val="DefaultParagraphFont"/>
    <w:uiPriority w:val="99"/>
    <w:unhideWhenUsed/>
    <w:rsid w:val="007B46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278799">
      <w:bodyDiv w:val="1"/>
      <w:marLeft w:val="0"/>
      <w:marRight w:val="0"/>
      <w:marTop w:val="0"/>
      <w:marBottom w:val="0"/>
      <w:divBdr>
        <w:top w:val="none" w:sz="0" w:space="0" w:color="auto"/>
        <w:left w:val="none" w:sz="0" w:space="0" w:color="auto"/>
        <w:bottom w:val="none" w:sz="0" w:space="0" w:color="auto"/>
        <w:right w:val="none" w:sz="0" w:space="0" w:color="auto"/>
      </w:divBdr>
    </w:div>
    <w:div w:id="1215003251">
      <w:bodyDiv w:val="1"/>
      <w:marLeft w:val="0"/>
      <w:marRight w:val="0"/>
      <w:marTop w:val="0"/>
      <w:marBottom w:val="0"/>
      <w:divBdr>
        <w:top w:val="none" w:sz="0" w:space="0" w:color="auto"/>
        <w:left w:val="none" w:sz="0" w:space="0" w:color="auto"/>
        <w:bottom w:val="none" w:sz="0" w:space="0" w:color="auto"/>
        <w:right w:val="none" w:sz="0" w:space="0" w:color="auto"/>
      </w:divBdr>
      <w:divsChild>
        <w:div w:id="1558737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9FFE22-5058-43C4-9066-B728D9D75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1853</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15031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2023-12-31T18:22:00Z</dcterms:created>
  <dcterms:modified xsi:type="dcterms:W3CDTF">2024-01-01T15:27:00Z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08e91c4e2686be9ea4e5280b3c4e77eba5946f4cfe2dd192dbbea6fd30d8fd26</vt:lpwstr>
  </property>
</Properties>
</file>