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4885C" w14:textId="77777777" w:rsidR="00530E16" w:rsidRPr="00B16875" w:rsidRDefault="004468F8" w:rsidP="00B16875">
      <w:pPr>
        <w:pBdr>
          <w:top w:val="nil"/>
          <w:left w:val="nil"/>
          <w:bottom w:val="nil"/>
          <w:right w:val="nil"/>
          <w:between w:val="nil"/>
        </w:pBdr>
        <w:spacing w:after="0" w:line="276" w:lineRule="auto"/>
        <w:rPr>
          <w:rFonts w:ascii="Arial" w:eastAsia="Arial" w:hAnsi="Arial" w:cs="Arial"/>
          <w:sz w:val="22"/>
          <w:szCs w:val="22"/>
        </w:rPr>
      </w:pPr>
      <w:r w:rsidRPr="00B16875">
        <w:rPr>
          <w:rFonts w:ascii="Arial" w:eastAsia="Arial" w:hAnsi="Arial" w:cs="Arial"/>
          <w:noProof/>
          <w:sz w:val="22"/>
          <w:szCs w:val="22"/>
        </w:rPr>
        <mc:AlternateContent>
          <mc:Choice Requires="wpg">
            <w:drawing>
              <wp:anchor distT="0" distB="0" distL="114300" distR="114300" simplePos="0" relativeHeight="251658240" behindDoc="1" locked="0" layoutInCell="1" allowOverlap="1" wp14:anchorId="645E3E53" wp14:editId="0E89E1D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393A2B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36E4BF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45E3E5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393A2B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36E4BF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B16875">
        <w:rPr>
          <w:rFonts w:ascii="Arial" w:eastAsia="Arial" w:hAnsi="Arial" w:cs="Arial"/>
          <w:noProof/>
          <w:sz w:val="22"/>
          <w:szCs w:val="22"/>
        </w:rPr>
        <mc:AlternateContent>
          <mc:Choice Requires="wps">
            <w:drawing>
              <wp:anchor distT="0" distB="0" distL="114300" distR="114300" simplePos="0" relativeHeight="251659264" behindDoc="0" locked="0" layoutInCell="1" hidden="0" allowOverlap="1" wp14:anchorId="5AA9362A" wp14:editId="288FD34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AA9362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90250A" w14:textId="77777777" w:rsidR="00530E16" w:rsidRPr="00B16875" w:rsidRDefault="004468F8" w:rsidP="00B16875">
      <w:pPr>
        <w:spacing w:line="276" w:lineRule="auto"/>
        <w:rPr>
          <w:rFonts w:ascii="Arial" w:eastAsia="Arial" w:hAnsi="Arial" w:cs="Arial"/>
          <w:sz w:val="22"/>
          <w:szCs w:val="22"/>
        </w:rPr>
      </w:pPr>
      <w:r w:rsidRPr="00B16875">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0A94BD2" wp14:editId="69CE88E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0B6EE50" w14:textId="77777777" w:rsidR="00530E16" w:rsidRDefault="004468F8">
                            <w:pPr>
                              <w:spacing w:after="0" w:line="240" w:lineRule="auto"/>
                              <w:textDirection w:val="btLr"/>
                            </w:pPr>
                            <w:r>
                              <w:rPr>
                                <w:rFonts w:ascii="Play" w:eastAsia="Play" w:hAnsi="Play" w:cs="Play"/>
                                <w:color w:val="262626"/>
                                <w:sz w:val="72"/>
                              </w:rPr>
                              <w:t>Individual Report</w:t>
                            </w:r>
                          </w:p>
                          <w:p w14:paraId="04E11FCC" w14:textId="77777777" w:rsidR="00530E16" w:rsidRDefault="004468F8">
                            <w:pPr>
                              <w:spacing w:before="120" w:line="277" w:lineRule="auto"/>
                              <w:textDirection w:val="btLr"/>
                            </w:pPr>
                            <w:r>
                              <w:rPr>
                                <w:color w:val="404040"/>
                                <w:sz w:val="36"/>
                              </w:rPr>
                              <w:t>Module Name: Digital Skills and Research Methods</w:t>
                            </w:r>
                          </w:p>
                          <w:p w14:paraId="4B8D9972" w14:textId="77777777" w:rsidR="00530E16" w:rsidRDefault="004468F8">
                            <w:pPr>
                              <w:spacing w:before="120" w:line="277" w:lineRule="auto"/>
                              <w:textDirection w:val="btLr"/>
                            </w:pPr>
                            <w:r>
                              <w:rPr>
                                <w:color w:val="404040"/>
                                <w:sz w:val="36"/>
                              </w:rPr>
                              <w:t>Module Code: LCHS 4007</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1B5CC7E7" w14:textId="77777777" w:rsidR="00B16875" w:rsidRDefault="004468F8" w:rsidP="00B16875">
                            <w:pPr>
                              <w:widowControl w:val="0"/>
                              <w:autoSpaceDE w:val="0"/>
                              <w:autoSpaceDN w:val="0"/>
                              <w:adjustRightInd w:val="0"/>
                              <w:spacing w:after="0" w:line="416" w:lineRule="auto"/>
                              <w:rPr>
                                <w:rFonts w:ascii="Arial" w:hAnsi="Arial" w:cs="Arial"/>
                              </w:rPr>
                            </w:pPr>
                            <w:r>
                              <w:rPr>
                                <w:color w:val="404040"/>
                                <w:sz w:val="36"/>
                              </w:rPr>
                              <w:t xml:space="preserve">Lecturer’s Name: </w:t>
                            </w:r>
                            <w:r w:rsidR="00B16875">
                              <w:rPr>
                                <w:rFonts w:ascii="Arial" w:hAnsi="Arial" w:cs="Arial"/>
                                <w:b/>
                                <w:bCs/>
                                <w:color w:val="000000"/>
                                <w:sz w:val="22"/>
                                <w:szCs w:val="22"/>
                              </w:rPr>
                              <w:t xml:space="preserve">Kwame </w:t>
                            </w:r>
                            <w:proofErr w:type="spellStart"/>
                            <w:r w:rsidR="00B16875">
                              <w:rPr>
                                <w:rFonts w:ascii="Arial" w:hAnsi="Arial" w:cs="Arial"/>
                                <w:b/>
                                <w:bCs/>
                                <w:color w:val="000000"/>
                                <w:sz w:val="22"/>
                                <w:szCs w:val="22"/>
                              </w:rPr>
                              <w:t>Assa</w:t>
                            </w:r>
                            <w:proofErr w:type="spellEnd"/>
                            <w:r w:rsidR="00B16875">
                              <w:rPr>
                                <w:rFonts w:ascii="Arial" w:hAnsi="Arial" w:cs="Arial"/>
                                <w:b/>
                                <w:bCs/>
                                <w:color w:val="000000"/>
                                <w:sz w:val="22"/>
                                <w:szCs w:val="22"/>
                              </w:rPr>
                              <w:t>-Agyei</w:t>
                            </w: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30A94BD2"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00B6EE50" w14:textId="77777777" w:rsidR="00530E16" w:rsidRDefault="004468F8">
                      <w:pPr>
                        <w:spacing w:after="0" w:line="240" w:lineRule="auto"/>
                        <w:textDirection w:val="btLr"/>
                      </w:pPr>
                      <w:r>
                        <w:rPr>
                          <w:rFonts w:ascii="Play" w:eastAsia="Play" w:hAnsi="Play" w:cs="Play"/>
                          <w:color w:val="262626"/>
                          <w:sz w:val="72"/>
                        </w:rPr>
                        <w:t>Individual Report</w:t>
                      </w:r>
                    </w:p>
                    <w:p w14:paraId="04E11FCC" w14:textId="77777777" w:rsidR="00530E16" w:rsidRDefault="004468F8">
                      <w:pPr>
                        <w:spacing w:before="120" w:line="277" w:lineRule="auto"/>
                        <w:textDirection w:val="btLr"/>
                      </w:pPr>
                      <w:r>
                        <w:rPr>
                          <w:color w:val="404040"/>
                          <w:sz w:val="36"/>
                        </w:rPr>
                        <w:t>Module Name: Digital Skills and Research Methods</w:t>
                      </w:r>
                    </w:p>
                    <w:p w14:paraId="4B8D9972" w14:textId="77777777" w:rsidR="00530E16" w:rsidRDefault="004468F8">
                      <w:pPr>
                        <w:spacing w:before="120" w:line="277" w:lineRule="auto"/>
                        <w:textDirection w:val="btLr"/>
                      </w:pPr>
                      <w:r>
                        <w:rPr>
                          <w:color w:val="404040"/>
                          <w:sz w:val="36"/>
                        </w:rPr>
                        <w:t>Module Code: LCHS 4007</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1B5CC7E7" w14:textId="77777777" w:rsidR="00B16875" w:rsidRDefault="004468F8" w:rsidP="00B16875">
                      <w:pPr>
                        <w:widowControl w:val="0"/>
                        <w:autoSpaceDE w:val="0"/>
                        <w:autoSpaceDN w:val="0"/>
                        <w:adjustRightInd w:val="0"/>
                        <w:spacing w:after="0" w:line="416" w:lineRule="auto"/>
                        <w:rPr>
                          <w:rFonts w:ascii="Arial" w:hAnsi="Arial" w:cs="Arial"/>
                        </w:rPr>
                      </w:pPr>
                      <w:r>
                        <w:rPr>
                          <w:color w:val="404040"/>
                          <w:sz w:val="36"/>
                        </w:rPr>
                        <w:t xml:space="preserve">Lecturer’s Name: </w:t>
                      </w:r>
                      <w:r w:rsidR="00B16875">
                        <w:rPr>
                          <w:rFonts w:ascii="Arial" w:hAnsi="Arial" w:cs="Arial"/>
                          <w:b/>
                          <w:bCs/>
                          <w:color w:val="000000"/>
                          <w:sz w:val="22"/>
                          <w:szCs w:val="22"/>
                        </w:rPr>
                        <w:t xml:space="preserve">Kwame </w:t>
                      </w:r>
                      <w:proofErr w:type="spellStart"/>
                      <w:r w:rsidR="00B16875">
                        <w:rPr>
                          <w:rFonts w:ascii="Arial" w:hAnsi="Arial" w:cs="Arial"/>
                          <w:b/>
                          <w:bCs/>
                          <w:color w:val="000000"/>
                          <w:sz w:val="22"/>
                          <w:szCs w:val="22"/>
                        </w:rPr>
                        <w:t>Assa</w:t>
                      </w:r>
                      <w:proofErr w:type="spellEnd"/>
                      <w:r w:rsidR="00B16875">
                        <w:rPr>
                          <w:rFonts w:ascii="Arial" w:hAnsi="Arial" w:cs="Arial"/>
                          <w:b/>
                          <w:bCs/>
                          <w:color w:val="000000"/>
                          <w:sz w:val="22"/>
                          <w:szCs w:val="22"/>
                        </w:rPr>
                        <w:t>-Agyei</w:t>
                      </w: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v:textbox>
                <w10:wrap anchorx="page" anchory="page"/>
              </v:rect>
            </w:pict>
          </mc:Fallback>
        </mc:AlternateContent>
      </w:r>
      <w:r w:rsidRPr="00B16875">
        <w:rPr>
          <w:rFonts w:ascii="Arial" w:hAnsi="Arial" w:cs="Arial"/>
          <w:sz w:val="22"/>
          <w:szCs w:val="22"/>
        </w:rPr>
        <w:br w:type="page"/>
      </w:r>
    </w:p>
    <w:p w14:paraId="79E9AE98" w14:textId="77777777" w:rsidR="00530E16" w:rsidRPr="00B16875" w:rsidRDefault="00530E16" w:rsidP="00B16875">
      <w:pPr>
        <w:spacing w:line="276" w:lineRule="auto"/>
        <w:rPr>
          <w:rFonts w:ascii="Arial" w:eastAsia="Arial" w:hAnsi="Arial" w:cs="Arial"/>
          <w:sz w:val="22"/>
          <w:szCs w:val="22"/>
        </w:rPr>
      </w:pPr>
    </w:p>
    <w:p w14:paraId="14DC05BE" w14:textId="77777777" w:rsidR="00530E16" w:rsidRPr="00B16875" w:rsidRDefault="004468F8" w:rsidP="00B16875">
      <w:pPr>
        <w:keepNext/>
        <w:keepLines/>
        <w:pBdr>
          <w:top w:val="nil"/>
          <w:left w:val="nil"/>
          <w:bottom w:val="nil"/>
          <w:right w:val="nil"/>
          <w:between w:val="nil"/>
        </w:pBdr>
        <w:spacing w:before="240" w:after="0" w:line="276" w:lineRule="auto"/>
        <w:rPr>
          <w:rFonts w:ascii="Arial" w:eastAsia="Play" w:hAnsi="Arial" w:cs="Arial"/>
          <w:sz w:val="22"/>
          <w:szCs w:val="22"/>
        </w:rPr>
      </w:pPr>
      <w:r w:rsidRPr="00B16875">
        <w:rPr>
          <w:rFonts w:ascii="Arial" w:eastAsia="Play" w:hAnsi="Arial" w:cs="Arial"/>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57D4FBB3" w14:textId="68B1BF84" w:rsidR="00432D05" w:rsidRPr="00B16875" w:rsidRDefault="004468F8" w:rsidP="00B16875">
          <w:pPr>
            <w:pStyle w:val="TOC1"/>
            <w:tabs>
              <w:tab w:val="right" w:leader="dot" w:pos="9016"/>
            </w:tabs>
            <w:spacing w:line="276" w:lineRule="auto"/>
            <w:rPr>
              <w:rFonts w:ascii="Arial" w:eastAsiaTheme="minorEastAsia" w:hAnsi="Arial" w:cs="Arial"/>
              <w:noProof/>
              <w:sz w:val="22"/>
              <w:szCs w:val="22"/>
            </w:rPr>
          </w:pPr>
          <w:r w:rsidRPr="00B16875">
            <w:rPr>
              <w:rFonts w:ascii="Arial" w:hAnsi="Arial" w:cs="Arial"/>
              <w:sz w:val="22"/>
              <w:szCs w:val="22"/>
            </w:rPr>
            <w:fldChar w:fldCharType="begin"/>
          </w:r>
          <w:r w:rsidRPr="00B16875">
            <w:rPr>
              <w:rFonts w:ascii="Arial" w:hAnsi="Arial" w:cs="Arial"/>
              <w:sz w:val="22"/>
              <w:szCs w:val="22"/>
            </w:rPr>
            <w:instrText xml:space="preserve"> TOC \h \u \z \t "Heading 1,1,Heading 2,2,Heading 3,3,"</w:instrText>
          </w:r>
          <w:r w:rsidRPr="00B16875">
            <w:rPr>
              <w:rFonts w:ascii="Arial" w:hAnsi="Arial" w:cs="Arial"/>
              <w:sz w:val="22"/>
              <w:szCs w:val="22"/>
            </w:rPr>
            <w:fldChar w:fldCharType="separate"/>
          </w:r>
          <w:hyperlink w:anchor="_Toc225024735" w:history="1">
            <w:r w:rsidR="00432D05" w:rsidRPr="00B16875">
              <w:rPr>
                <w:rStyle w:val="Hyperlink"/>
                <w:rFonts w:ascii="Arial" w:eastAsia="Arial" w:hAnsi="Arial" w:cs="Arial"/>
                <w:noProof/>
                <w:color w:val="auto"/>
                <w:sz w:val="22"/>
                <w:szCs w:val="22"/>
              </w:rPr>
              <w:t>Introduction</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_Toc225024735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2</w:t>
            </w:r>
            <w:r w:rsidR="00432D05" w:rsidRPr="00B16875">
              <w:rPr>
                <w:rFonts w:ascii="Arial" w:hAnsi="Arial" w:cs="Arial"/>
                <w:noProof/>
                <w:webHidden/>
                <w:sz w:val="22"/>
                <w:szCs w:val="22"/>
              </w:rPr>
              <w:fldChar w:fldCharType="end"/>
            </w:r>
          </w:hyperlink>
        </w:p>
        <w:p w14:paraId="20C8EC47" w14:textId="0D55DEEA"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36" w:history="1">
            <w:r w:rsidR="00432D05" w:rsidRPr="00B16875">
              <w:rPr>
                <w:rStyle w:val="Hyperlink"/>
                <w:rFonts w:ascii="Arial" w:eastAsia="Arial" w:hAnsi="Arial" w:cs="Arial"/>
                <w:noProof/>
                <w:color w:val="auto"/>
                <w:sz w:val="22"/>
                <w:szCs w:val="22"/>
              </w:rPr>
              <w:t>Task 1 – Selection of a Research Topic</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_Toc225024736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2</w:t>
            </w:r>
            <w:r w:rsidR="00432D05" w:rsidRPr="00B16875">
              <w:rPr>
                <w:rFonts w:ascii="Arial" w:hAnsi="Arial" w:cs="Arial"/>
                <w:noProof/>
                <w:webHidden/>
                <w:sz w:val="22"/>
                <w:szCs w:val="22"/>
              </w:rPr>
              <w:fldChar w:fldCharType="end"/>
            </w:r>
          </w:hyperlink>
        </w:p>
        <w:p w14:paraId="571D28FF" w14:textId="7C2D7563"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37" w:history="1">
            <w:r w:rsidR="00432D05" w:rsidRPr="00B16875">
              <w:rPr>
                <w:rStyle w:val="Hyperlink"/>
                <w:rFonts w:ascii="Arial" w:eastAsia="Arial" w:hAnsi="Arial" w:cs="Arial"/>
                <w:noProof/>
                <w:color w:val="auto"/>
                <w:sz w:val="22"/>
                <w:szCs w:val="22"/>
              </w:rPr>
              <w:t>1.1 The Issue and Why It Matters</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_Toc225024737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2</w:t>
            </w:r>
            <w:r w:rsidR="00432D05" w:rsidRPr="00B16875">
              <w:rPr>
                <w:rFonts w:ascii="Arial" w:hAnsi="Arial" w:cs="Arial"/>
                <w:noProof/>
                <w:webHidden/>
                <w:sz w:val="22"/>
                <w:szCs w:val="22"/>
              </w:rPr>
              <w:fldChar w:fldCharType="end"/>
            </w:r>
          </w:hyperlink>
        </w:p>
        <w:p w14:paraId="14BAAA3D" w14:textId="6753252F"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38" w:history="1">
            <w:r w:rsidR="00432D05" w:rsidRPr="00B16875">
              <w:rPr>
                <w:rStyle w:val="Hyperlink"/>
                <w:rFonts w:ascii="Arial" w:eastAsia="Arial" w:hAnsi="Arial" w:cs="Arial"/>
                <w:noProof/>
                <w:color w:val="auto"/>
                <w:sz w:val="22"/>
                <w:szCs w:val="22"/>
              </w:rPr>
              <w:t>1.2 Personal Reflection – Why I Chose This Topic</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_Toc225024738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3</w:t>
            </w:r>
            <w:r w:rsidR="00432D05" w:rsidRPr="00B16875">
              <w:rPr>
                <w:rFonts w:ascii="Arial" w:hAnsi="Arial" w:cs="Arial"/>
                <w:noProof/>
                <w:webHidden/>
                <w:sz w:val="22"/>
                <w:szCs w:val="22"/>
              </w:rPr>
              <w:fldChar w:fldCharType="end"/>
            </w:r>
          </w:hyperlink>
        </w:p>
        <w:p w14:paraId="58219357" w14:textId="28FB1C23"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39" w:history="1">
            <w:r w:rsidR="00432D05" w:rsidRPr="00B16875">
              <w:rPr>
                <w:rStyle w:val="Hyperlink"/>
                <w:rFonts w:ascii="Arial" w:eastAsia="Arial" w:hAnsi="Arial" w:cs="Arial"/>
                <w:noProof/>
                <w:color w:val="auto"/>
                <w:sz w:val="22"/>
                <w:szCs w:val="22"/>
              </w:rPr>
              <w:t>Task 2 – Evaluating Information Sources</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_Toc225024739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3</w:t>
            </w:r>
            <w:r w:rsidR="00432D05" w:rsidRPr="00B16875">
              <w:rPr>
                <w:rFonts w:ascii="Arial" w:hAnsi="Arial" w:cs="Arial"/>
                <w:noProof/>
                <w:webHidden/>
                <w:sz w:val="22"/>
                <w:szCs w:val="22"/>
              </w:rPr>
              <w:fldChar w:fldCharType="end"/>
            </w:r>
          </w:hyperlink>
        </w:p>
        <w:p w14:paraId="1B1E5EC1" w14:textId="06FE6AD7"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0" w:history="1">
            <w:r w:rsidR="00432D05" w:rsidRPr="00B16875">
              <w:rPr>
                <w:rStyle w:val="Hyperlink"/>
                <w:rFonts w:ascii="Arial" w:eastAsia="Arial" w:hAnsi="Arial" w:cs="Arial"/>
                <w:noProof/>
                <w:color w:val="auto"/>
                <w:sz w:val="22"/>
                <w:szCs w:val="22"/>
              </w:rPr>
              <w:t>2.1 Source 1</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_Toc225024740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3</w:t>
            </w:r>
            <w:r w:rsidR="00432D05" w:rsidRPr="00B16875">
              <w:rPr>
                <w:rFonts w:ascii="Arial" w:hAnsi="Arial" w:cs="Arial"/>
                <w:noProof/>
                <w:webHidden/>
                <w:sz w:val="22"/>
                <w:szCs w:val="22"/>
              </w:rPr>
              <w:fldChar w:fldCharType="end"/>
            </w:r>
          </w:hyperlink>
        </w:p>
        <w:p w14:paraId="7725C609" w14:textId="5729A13A"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1" w:history="1">
            <w:r w:rsidR="00432D05" w:rsidRPr="00B16875">
              <w:rPr>
                <w:rStyle w:val="Hyperlink"/>
                <w:rFonts w:ascii="Arial" w:eastAsia="Arial" w:hAnsi="Arial" w:cs="Arial"/>
                <w:noProof/>
                <w:color w:val="auto"/>
                <w:sz w:val="22"/>
                <w:szCs w:val="22"/>
              </w:rPr>
              <w:t>2.2 Source 2</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_Toc225024741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3</w:t>
            </w:r>
            <w:r w:rsidR="00432D05" w:rsidRPr="00B16875">
              <w:rPr>
                <w:rFonts w:ascii="Arial" w:hAnsi="Arial" w:cs="Arial"/>
                <w:noProof/>
                <w:webHidden/>
                <w:sz w:val="22"/>
                <w:szCs w:val="22"/>
              </w:rPr>
              <w:fldChar w:fldCharType="end"/>
            </w:r>
          </w:hyperlink>
        </w:p>
        <w:p w14:paraId="7F2B42BF" w14:textId="518531BA"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2" w:history="1">
            <w:r w:rsidR="00432D05" w:rsidRPr="00B16875">
              <w:rPr>
                <w:rStyle w:val="Hyperlink"/>
                <w:rFonts w:ascii="Arial" w:eastAsia="Arial" w:hAnsi="Arial" w:cs="Arial"/>
                <w:noProof/>
                <w:color w:val="auto"/>
                <w:sz w:val="22"/>
                <w:szCs w:val="22"/>
              </w:rPr>
              <w:t>2.3 Source 3</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_Toc225024742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3</w:t>
            </w:r>
            <w:r w:rsidR="00432D05" w:rsidRPr="00B16875">
              <w:rPr>
                <w:rFonts w:ascii="Arial" w:hAnsi="Arial" w:cs="Arial"/>
                <w:noProof/>
                <w:webHidden/>
                <w:sz w:val="22"/>
                <w:szCs w:val="22"/>
              </w:rPr>
              <w:fldChar w:fldCharType="end"/>
            </w:r>
          </w:hyperlink>
        </w:p>
        <w:p w14:paraId="39ACA6C7" w14:textId="4269E047"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3" w:history="1">
            <w:r w:rsidR="00432D05" w:rsidRPr="00B16875">
              <w:rPr>
                <w:rStyle w:val="Hyperlink"/>
                <w:rFonts w:ascii="Arial" w:eastAsia="Arial" w:hAnsi="Arial" w:cs="Arial"/>
                <w:noProof/>
                <w:color w:val="auto"/>
                <w:sz w:val="22"/>
                <w:szCs w:val="22"/>
              </w:rPr>
              <w:t>2.4 Gaps in Current Research</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_Toc225024743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4</w:t>
            </w:r>
            <w:r w:rsidR="00432D05" w:rsidRPr="00B16875">
              <w:rPr>
                <w:rFonts w:ascii="Arial" w:hAnsi="Arial" w:cs="Arial"/>
                <w:noProof/>
                <w:webHidden/>
                <w:sz w:val="22"/>
                <w:szCs w:val="22"/>
              </w:rPr>
              <w:fldChar w:fldCharType="end"/>
            </w:r>
          </w:hyperlink>
        </w:p>
        <w:p w14:paraId="2F86F0D8" w14:textId="69FE5AD2"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44" w:history="1">
            <w:r w:rsidR="00432D05" w:rsidRPr="00B16875">
              <w:rPr>
                <w:rStyle w:val="Hyperlink"/>
                <w:rFonts w:ascii="Arial" w:eastAsia="Arial" w:hAnsi="Arial" w:cs="Arial"/>
                <w:noProof/>
                <w:color w:val="auto"/>
                <w:sz w:val="22"/>
                <w:szCs w:val="22"/>
              </w:rPr>
              <w:t>Task 3 – Research Methodologies</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_Toc225024744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66D24C0F" w14:textId="2A71A8EE"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5" w:history="1">
            <w:r w:rsidR="00432D05" w:rsidRPr="00B16875">
              <w:rPr>
                <w:rStyle w:val="Hyperlink"/>
                <w:rFonts w:ascii="Arial" w:eastAsia="Arial" w:hAnsi="Arial" w:cs="Arial"/>
                <w:noProof/>
                <w:color w:val="auto"/>
                <w:sz w:val="22"/>
                <w:szCs w:val="22"/>
              </w:rPr>
              <w:t>3.1 Definitions and Examples</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_Toc225024745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2CBCC121" w14:textId="72742EF9"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6" w:history="1">
            <w:r w:rsidR="00432D05" w:rsidRPr="00B16875">
              <w:rPr>
                <w:rStyle w:val="Hyperlink"/>
                <w:rFonts w:ascii="Arial" w:eastAsia="Arial" w:hAnsi="Arial" w:cs="Arial"/>
                <w:noProof/>
                <w:color w:val="auto"/>
                <w:sz w:val="22"/>
                <w:szCs w:val="22"/>
              </w:rPr>
              <w:t>3.2 Chosen Methodology and Justification</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_Toc225024746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6049D51F" w14:textId="50BBAA9E"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47" w:history="1">
            <w:r w:rsidR="00432D05" w:rsidRPr="00B16875">
              <w:rPr>
                <w:rStyle w:val="Hyperlink"/>
                <w:rFonts w:ascii="Arial" w:eastAsia="Arial" w:hAnsi="Arial" w:cs="Arial"/>
                <w:noProof/>
                <w:color w:val="auto"/>
                <w:sz w:val="22"/>
                <w:szCs w:val="22"/>
              </w:rPr>
              <w:t>Task 4 – Data Collection</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_Toc225024747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0B81E0B4" w14:textId="57ADC8C2"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8" w:history="1">
            <w:r w:rsidR="00432D05" w:rsidRPr="00B16875">
              <w:rPr>
                <w:rStyle w:val="Hyperlink"/>
                <w:rFonts w:ascii="Arial" w:eastAsia="Arial" w:hAnsi="Arial" w:cs="Arial"/>
                <w:noProof/>
                <w:color w:val="auto"/>
                <w:sz w:val="22"/>
                <w:szCs w:val="22"/>
              </w:rPr>
              <w:t>4.1 Primary vs Secondary Data</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_Toc225024748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10961616" w14:textId="2981625C"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49" w:history="1">
            <w:r w:rsidR="00432D05" w:rsidRPr="00B16875">
              <w:rPr>
                <w:rStyle w:val="Hyperlink"/>
                <w:rFonts w:ascii="Arial" w:eastAsia="Arial" w:hAnsi="Arial" w:cs="Arial"/>
                <w:noProof/>
                <w:color w:val="auto"/>
                <w:sz w:val="22"/>
                <w:szCs w:val="22"/>
              </w:rPr>
              <w:t>4.2 Chosen Data Type and Justification</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_Toc225024749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5</w:t>
            </w:r>
            <w:r w:rsidR="00432D05" w:rsidRPr="00B16875">
              <w:rPr>
                <w:rFonts w:ascii="Arial" w:hAnsi="Arial" w:cs="Arial"/>
                <w:noProof/>
                <w:webHidden/>
                <w:sz w:val="22"/>
                <w:szCs w:val="22"/>
              </w:rPr>
              <w:fldChar w:fldCharType="end"/>
            </w:r>
          </w:hyperlink>
        </w:p>
        <w:p w14:paraId="68DA0269" w14:textId="4A4E90CA" w:rsidR="00432D05" w:rsidRPr="00B16875" w:rsidRDefault="00F909C8" w:rsidP="00B16875">
          <w:pPr>
            <w:pStyle w:val="TOC2"/>
            <w:tabs>
              <w:tab w:val="right" w:leader="dot" w:pos="9016"/>
            </w:tabs>
            <w:spacing w:line="276" w:lineRule="auto"/>
            <w:rPr>
              <w:rFonts w:ascii="Arial" w:eastAsiaTheme="minorEastAsia" w:hAnsi="Arial" w:cs="Arial"/>
              <w:noProof/>
              <w:sz w:val="22"/>
              <w:szCs w:val="22"/>
            </w:rPr>
          </w:pPr>
          <w:hyperlink w:anchor="_Toc225024750" w:history="1">
            <w:r w:rsidR="00432D05" w:rsidRPr="00B16875">
              <w:rPr>
                <w:rStyle w:val="Hyperlink"/>
                <w:rFonts w:ascii="Arial" w:eastAsia="Arial" w:hAnsi="Arial" w:cs="Arial"/>
                <w:noProof/>
                <w:color w:val="auto"/>
                <w:sz w:val="22"/>
                <w:szCs w:val="22"/>
              </w:rPr>
              <w:t>4.3 Advantages and Challenges</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_Toc225024750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6</w:t>
            </w:r>
            <w:r w:rsidR="00432D05" w:rsidRPr="00B16875">
              <w:rPr>
                <w:rFonts w:ascii="Arial" w:hAnsi="Arial" w:cs="Arial"/>
                <w:noProof/>
                <w:webHidden/>
                <w:sz w:val="22"/>
                <w:szCs w:val="22"/>
              </w:rPr>
              <w:fldChar w:fldCharType="end"/>
            </w:r>
          </w:hyperlink>
        </w:p>
        <w:p w14:paraId="0E9B6DBC" w14:textId="0A8F013B"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51" w:history="1">
            <w:r w:rsidR="00432D05" w:rsidRPr="00B16875">
              <w:rPr>
                <w:rStyle w:val="Hyperlink"/>
                <w:rFonts w:ascii="Arial" w:eastAsia="Arial" w:hAnsi="Arial" w:cs="Arial"/>
                <w:noProof/>
                <w:color w:val="auto"/>
                <w:sz w:val="22"/>
                <w:szCs w:val="22"/>
              </w:rPr>
              <w:t>Conclusion</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_Toc225024751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6</w:t>
            </w:r>
            <w:r w:rsidR="00432D05" w:rsidRPr="00B16875">
              <w:rPr>
                <w:rFonts w:ascii="Arial" w:hAnsi="Arial" w:cs="Arial"/>
                <w:noProof/>
                <w:webHidden/>
                <w:sz w:val="22"/>
                <w:szCs w:val="22"/>
              </w:rPr>
              <w:fldChar w:fldCharType="end"/>
            </w:r>
          </w:hyperlink>
        </w:p>
        <w:p w14:paraId="7BCD74DF" w14:textId="338AFCBE" w:rsidR="00432D05" w:rsidRPr="00B16875" w:rsidRDefault="00F909C8" w:rsidP="00B16875">
          <w:pPr>
            <w:pStyle w:val="TOC1"/>
            <w:tabs>
              <w:tab w:val="right" w:leader="dot" w:pos="9016"/>
            </w:tabs>
            <w:spacing w:line="276" w:lineRule="auto"/>
            <w:rPr>
              <w:rFonts w:ascii="Arial" w:eastAsiaTheme="minorEastAsia" w:hAnsi="Arial" w:cs="Arial"/>
              <w:noProof/>
              <w:sz w:val="22"/>
              <w:szCs w:val="22"/>
            </w:rPr>
          </w:pPr>
          <w:hyperlink w:anchor="_Toc225024752" w:history="1">
            <w:r w:rsidR="00432D05" w:rsidRPr="00B16875">
              <w:rPr>
                <w:rStyle w:val="Hyperlink"/>
                <w:rFonts w:ascii="Arial" w:eastAsia="Arial" w:hAnsi="Arial" w:cs="Arial"/>
                <w:noProof/>
                <w:color w:val="auto"/>
                <w:sz w:val="22"/>
                <w:szCs w:val="22"/>
              </w:rPr>
              <w:t>Reference List</w:t>
            </w:r>
            <w:r w:rsidR="00432D05" w:rsidRPr="00B16875">
              <w:rPr>
                <w:rFonts w:ascii="Arial" w:hAnsi="Arial" w:cs="Arial"/>
                <w:noProof/>
                <w:webHidden/>
                <w:sz w:val="22"/>
                <w:szCs w:val="22"/>
              </w:rPr>
              <w:tab/>
            </w:r>
            <w:r w:rsidR="00432D05" w:rsidRPr="00B16875">
              <w:rPr>
                <w:rFonts w:ascii="Arial" w:hAnsi="Arial" w:cs="Arial"/>
                <w:noProof/>
                <w:webHidden/>
                <w:sz w:val="22"/>
                <w:szCs w:val="22"/>
              </w:rPr>
              <w:fldChar w:fldCharType="begin"/>
            </w:r>
            <w:r w:rsidR="00432D05" w:rsidRPr="00B16875">
              <w:rPr>
                <w:rFonts w:ascii="Arial" w:hAnsi="Arial" w:cs="Arial"/>
                <w:noProof/>
                <w:webHidden/>
                <w:sz w:val="22"/>
                <w:szCs w:val="22"/>
              </w:rPr>
              <w:instrText xml:space="preserve"> PAGEREF _Toc225024752 \h </w:instrText>
            </w:r>
            <w:r w:rsidR="00432D05" w:rsidRPr="00B16875">
              <w:rPr>
                <w:rFonts w:ascii="Arial" w:hAnsi="Arial" w:cs="Arial"/>
                <w:noProof/>
                <w:webHidden/>
                <w:sz w:val="22"/>
                <w:szCs w:val="22"/>
              </w:rPr>
            </w:r>
            <w:r w:rsidR="00432D05" w:rsidRPr="00B16875">
              <w:rPr>
                <w:rFonts w:ascii="Arial" w:hAnsi="Arial" w:cs="Arial"/>
                <w:noProof/>
                <w:webHidden/>
                <w:sz w:val="22"/>
                <w:szCs w:val="22"/>
              </w:rPr>
              <w:fldChar w:fldCharType="separate"/>
            </w:r>
            <w:r w:rsidR="00B16875">
              <w:rPr>
                <w:rFonts w:ascii="Arial" w:hAnsi="Arial" w:cs="Arial"/>
                <w:noProof/>
                <w:webHidden/>
                <w:sz w:val="22"/>
                <w:szCs w:val="22"/>
              </w:rPr>
              <w:t>6</w:t>
            </w:r>
            <w:r w:rsidR="00432D05" w:rsidRPr="00B16875">
              <w:rPr>
                <w:rFonts w:ascii="Arial" w:hAnsi="Arial" w:cs="Arial"/>
                <w:noProof/>
                <w:webHidden/>
                <w:sz w:val="22"/>
                <w:szCs w:val="22"/>
              </w:rPr>
              <w:fldChar w:fldCharType="end"/>
            </w:r>
          </w:hyperlink>
        </w:p>
        <w:p w14:paraId="14099C54" w14:textId="77777777" w:rsidR="00530E16" w:rsidRPr="00B16875" w:rsidRDefault="004468F8" w:rsidP="00B16875">
          <w:pPr>
            <w:spacing w:line="276" w:lineRule="auto"/>
            <w:rPr>
              <w:rFonts w:ascii="Arial" w:hAnsi="Arial" w:cs="Arial"/>
              <w:sz w:val="22"/>
              <w:szCs w:val="22"/>
            </w:rPr>
          </w:pPr>
          <w:r w:rsidRPr="00B16875">
            <w:rPr>
              <w:rFonts w:ascii="Arial" w:hAnsi="Arial" w:cs="Arial"/>
              <w:sz w:val="22"/>
              <w:szCs w:val="22"/>
            </w:rPr>
            <w:fldChar w:fldCharType="end"/>
          </w:r>
        </w:p>
      </w:sdtContent>
    </w:sdt>
    <w:p w14:paraId="4FBF0C2B" w14:textId="77777777" w:rsidR="00530E16" w:rsidRPr="00B16875" w:rsidRDefault="00530E16" w:rsidP="00B16875">
      <w:pPr>
        <w:spacing w:line="276" w:lineRule="auto"/>
        <w:rPr>
          <w:rFonts w:ascii="Arial" w:eastAsia="Arial" w:hAnsi="Arial" w:cs="Arial"/>
          <w:sz w:val="22"/>
          <w:szCs w:val="22"/>
        </w:rPr>
      </w:pPr>
    </w:p>
    <w:p w14:paraId="6F42BCAA" w14:textId="77777777" w:rsidR="00530E16" w:rsidRPr="00B16875" w:rsidRDefault="00530E16" w:rsidP="00B16875">
      <w:pPr>
        <w:spacing w:line="276" w:lineRule="auto"/>
        <w:rPr>
          <w:rFonts w:ascii="Arial" w:eastAsia="Arial" w:hAnsi="Arial" w:cs="Arial"/>
          <w:sz w:val="22"/>
          <w:szCs w:val="22"/>
        </w:rPr>
      </w:pPr>
    </w:p>
    <w:p w14:paraId="6E4CA6F0" w14:textId="77777777" w:rsidR="00530E16" w:rsidRPr="00B16875" w:rsidRDefault="00530E16" w:rsidP="00B16875">
      <w:pPr>
        <w:spacing w:line="276" w:lineRule="auto"/>
        <w:rPr>
          <w:rFonts w:ascii="Arial" w:eastAsia="Arial" w:hAnsi="Arial" w:cs="Arial"/>
          <w:sz w:val="22"/>
          <w:szCs w:val="22"/>
        </w:rPr>
      </w:pPr>
    </w:p>
    <w:p w14:paraId="0DAD35A9" w14:textId="77777777" w:rsidR="00530E16" w:rsidRPr="00B16875" w:rsidRDefault="00530E16" w:rsidP="00B16875">
      <w:pPr>
        <w:spacing w:line="276" w:lineRule="auto"/>
        <w:rPr>
          <w:rFonts w:ascii="Arial" w:eastAsia="Arial" w:hAnsi="Arial" w:cs="Arial"/>
          <w:sz w:val="22"/>
          <w:szCs w:val="22"/>
        </w:rPr>
      </w:pPr>
    </w:p>
    <w:p w14:paraId="48F03A3C" w14:textId="77777777" w:rsidR="00530E16" w:rsidRPr="00B16875" w:rsidRDefault="00530E16" w:rsidP="00B16875">
      <w:pPr>
        <w:spacing w:line="276" w:lineRule="auto"/>
        <w:rPr>
          <w:rFonts w:ascii="Arial" w:eastAsia="Arial" w:hAnsi="Arial" w:cs="Arial"/>
          <w:sz w:val="22"/>
          <w:szCs w:val="22"/>
        </w:rPr>
      </w:pPr>
    </w:p>
    <w:p w14:paraId="42F6DF39" w14:textId="77777777" w:rsidR="00530E16" w:rsidRPr="00B16875" w:rsidRDefault="00530E16" w:rsidP="00B16875">
      <w:pPr>
        <w:spacing w:line="276" w:lineRule="auto"/>
        <w:rPr>
          <w:rFonts w:ascii="Arial" w:eastAsia="Arial" w:hAnsi="Arial" w:cs="Arial"/>
          <w:sz w:val="22"/>
          <w:szCs w:val="22"/>
        </w:rPr>
      </w:pPr>
    </w:p>
    <w:p w14:paraId="13DE55DE" w14:textId="77777777" w:rsidR="00530E16" w:rsidRPr="00B16875" w:rsidRDefault="00530E16" w:rsidP="00B16875">
      <w:pPr>
        <w:spacing w:line="276" w:lineRule="auto"/>
        <w:rPr>
          <w:rFonts w:ascii="Arial" w:eastAsia="Arial" w:hAnsi="Arial" w:cs="Arial"/>
          <w:sz w:val="22"/>
          <w:szCs w:val="22"/>
        </w:rPr>
      </w:pPr>
    </w:p>
    <w:p w14:paraId="5390D60D" w14:textId="77777777" w:rsidR="00530E16" w:rsidRPr="00B16875" w:rsidRDefault="00530E16" w:rsidP="00B16875">
      <w:pPr>
        <w:spacing w:line="276" w:lineRule="auto"/>
        <w:rPr>
          <w:rFonts w:ascii="Arial" w:eastAsia="Arial" w:hAnsi="Arial" w:cs="Arial"/>
          <w:sz w:val="22"/>
          <w:szCs w:val="22"/>
        </w:rPr>
      </w:pPr>
    </w:p>
    <w:p w14:paraId="76709799" w14:textId="77777777" w:rsidR="00530E16" w:rsidRPr="00B16875" w:rsidRDefault="00530E16" w:rsidP="00B16875">
      <w:pPr>
        <w:spacing w:line="276" w:lineRule="auto"/>
        <w:rPr>
          <w:rFonts w:ascii="Arial" w:eastAsia="Arial" w:hAnsi="Arial" w:cs="Arial"/>
          <w:sz w:val="22"/>
          <w:szCs w:val="22"/>
        </w:rPr>
      </w:pPr>
    </w:p>
    <w:p w14:paraId="5874B17B" w14:textId="77777777" w:rsidR="002A1842" w:rsidRPr="00B16875" w:rsidRDefault="002A1842" w:rsidP="00B16875">
      <w:pPr>
        <w:spacing w:line="276" w:lineRule="auto"/>
        <w:rPr>
          <w:rFonts w:ascii="Arial" w:eastAsia="Arial" w:hAnsi="Arial" w:cs="Arial"/>
          <w:sz w:val="22"/>
          <w:szCs w:val="22"/>
        </w:rPr>
        <w:sectPr w:rsidR="002A1842" w:rsidRPr="00B16875">
          <w:footerReference w:type="default" r:id="rId9"/>
          <w:pgSz w:w="11906" w:h="16838"/>
          <w:pgMar w:top="1440" w:right="1440" w:bottom="1440" w:left="1440" w:header="708" w:footer="708" w:gutter="0"/>
          <w:pgNumType w:start="0"/>
          <w:cols w:space="720"/>
          <w:titlePg/>
        </w:sectPr>
      </w:pPr>
    </w:p>
    <w:p w14:paraId="0FC9A0EA" w14:textId="77777777" w:rsidR="00530E16" w:rsidRPr="00B16875" w:rsidRDefault="00530E16" w:rsidP="00B16875">
      <w:pPr>
        <w:spacing w:line="276" w:lineRule="auto"/>
        <w:rPr>
          <w:rFonts w:ascii="Arial" w:eastAsia="Arial" w:hAnsi="Arial" w:cs="Arial"/>
          <w:sz w:val="22"/>
          <w:szCs w:val="22"/>
        </w:rPr>
      </w:pPr>
    </w:p>
    <w:p w14:paraId="452EF3B2"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0" w:name="_Toc225024735"/>
      <w:r w:rsidRPr="00B16875">
        <w:rPr>
          <w:rFonts w:ascii="Arial" w:eastAsia="Arial" w:hAnsi="Arial" w:cs="Arial"/>
          <w:b/>
          <w:bCs/>
          <w:color w:val="auto"/>
          <w:sz w:val="22"/>
          <w:szCs w:val="22"/>
        </w:rPr>
        <w:lastRenderedPageBreak/>
        <w:t>Introduction</w:t>
      </w:r>
      <w:bookmarkEnd w:id="0"/>
      <w:r w:rsidRPr="00B16875">
        <w:rPr>
          <w:rFonts w:ascii="Arial" w:eastAsia="Arial" w:hAnsi="Arial" w:cs="Arial"/>
          <w:b/>
          <w:bCs/>
          <w:color w:val="auto"/>
          <w:sz w:val="22"/>
          <w:szCs w:val="22"/>
        </w:rPr>
        <w:t xml:space="preserve">  </w:t>
      </w:r>
    </w:p>
    <w:p w14:paraId="7DE32002"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Staff burnout has become one of the most important workforce issues in the National Health Service (NHS). Burnout is commonly understood as a state of emotional exhaustion, depersonalisation and reduced professional accomplishment caused by chronic workplace stress. In the NHS, it matters because it affects not only staff wellbeing but also patient safety, quality of care, sickness absence and retention. The issue is especially serious in a system that is already dealing with vacancies, rising demand and long waiting lists. This report focuses on staff burnout in the NHS and explains why it is an important topic for research in the UK health and social care sector. It evaluates key information sources, applies critical analysis to the current evidence, and proposes an appropriate methodology and data collection strategy for a future small-scale study. (NHS Staff Survey, 2025; NHS England, 2023) </w:t>
      </w:r>
    </w:p>
    <w:p w14:paraId="12502B30" w14:textId="77777777" w:rsidR="00575E73" w:rsidRPr="00B16875" w:rsidRDefault="00575E73" w:rsidP="00B16875">
      <w:pPr>
        <w:spacing w:line="276" w:lineRule="auto"/>
        <w:rPr>
          <w:rFonts w:ascii="Arial" w:eastAsia="Arial" w:hAnsi="Arial" w:cs="Arial"/>
          <w:sz w:val="22"/>
          <w:szCs w:val="22"/>
        </w:rPr>
      </w:pPr>
    </w:p>
    <w:p w14:paraId="289583D7"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1" w:name="_Toc225024736"/>
      <w:r w:rsidRPr="00B16875">
        <w:rPr>
          <w:rFonts w:ascii="Arial" w:eastAsia="Arial" w:hAnsi="Arial" w:cs="Arial"/>
          <w:b/>
          <w:bCs/>
          <w:color w:val="auto"/>
          <w:sz w:val="22"/>
          <w:szCs w:val="22"/>
        </w:rPr>
        <w:t>Task 1 – Selection of a Research Topic</w:t>
      </w:r>
      <w:bookmarkEnd w:id="1"/>
      <w:r w:rsidRPr="00B16875">
        <w:rPr>
          <w:rFonts w:ascii="Arial" w:eastAsia="Arial" w:hAnsi="Arial" w:cs="Arial"/>
          <w:b/>
          <w:bCs/>
          <w:color w:val="auto"/>
          <w:sz w:val="22"/>
          <w:szCs w:val="22"/>
        </w:rPr>
        <w:t xml:space="preserve"> </w:t>
      </w:r>
    </w:p>
    <w:p w14:paraId="0AEF99D0" w14:textId="77777777" w:rsidR="00575E73" w:rsidRPr="00B16875" w:rsidRDefault="00575E73" w:rsidP="00B16875">
      <w:pPr>
        <w:pStyle w:val="Heading2"/>
        <w:spacing w:line="276" w:lineRule="auto"/>
        <w:rPr>
          <w:rFonts w:ascii="Arial" w:eastAsia="Arial" w:hAnsi="Arial" w:cs="Arial"/>
          <w:b/>
          <w:bCs/>
          <w:color w:val="auto"/>
          <w:sz w:val="22"/>
          <w:szCs w:val="22"/>
        </w:rPr>
      </w:pPr>
      <w:bookmarkStart w:id="2" w:name="_Toc225024737"/>
      <w:r w:rsidRPr="00B16875">
        <w:rPr>
          <w:rFonts w:ascii="Arial" w:eastAsia="Arial" w:hAnsi="Arial" w:cs="Arial"/>
          <w:b/>
          <w:bCs/>
          <w:color w:val="auto"/>
          <w:sz w:val="22"/>
          <w:szCs w:val="22"/>
        </w:rPr>
        <w:t>1.1 The Issue and Why It Matters</w:t>
      </w:r>
      <w:bookmarkEnd w:id="2"/>
    </w:p>
    <w:p w14:paraId="61BD2D3E"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Staff burnout in the NHS is a current and significant problem because it affects both the workforce and the people who depend on NHS services. The 2024 NHS Staff Survey shows that burnout remains a national concern, with the survey’s burnout sub-score only slightly improved and still indicating that many staff frequently experience exhaustion and emotional strain. The same evidence base also shows wider stress-related pressures across the service. The King’s Fund argues that burnout remains “endemic” and links it to work-related stress, insufficient staffing and conflicting job demands. This suggests that burnout is not just an individual weakness; it is strongly shaped by organisational conditions such as workload, staffing levels and leadership culture. (NHS Staff Survey, 2025; The King’s Fund, 2025a) </w:t>
      </w:r>
    </w:p>
    <w:p w14:paraId="317D8528" w14:textId="7FE119BC"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The topic matters because burnout has direct consequences for recruitment, retention and patient care. NHS England’s Long Term Workforce Plan states that staffing shortages already affect patient experience, service capacity and productivity, while the plan’s “retain” strand explicitly links workforce sustainability to better culture, flexibility and wellbeing support. Although NHS England reported in 2025 that leaver rates had fallen compared with 2022, over one in ten hospital and community staff still left in the year to September 2024, showing that retention remains fragile. Burnout therefore matters not only as a wellbeing issue but also as a strategic workforce issue for the whole health system. (NHS England, 2023; NHS England, 2025a) </w:t>
      </w:r>
    </w:p>
    <w:p w14:paraId="376A1D02" w14:textId="3D7B6BAB"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Another reason this topic matters is its likely effect on care quality. West et al. (2022) found that supportive leadership, staff influence over decisions and lower work pressure were linked to better patient satisfaction in NHS trusts. In other words, protecting staff from burnout is not separate from delivering safe, compassionate care; it is part of it. That makes burnout a suitable and highly relevant topic for research in health and social care. (West et al., 2022)</w:t>
      </w:r>
    </w:p>
    <w:p w14:paraId="46174F5E" w14:textId="77777777" w:rsidR="00575E73" w:rsidRPr="00B16875" w:rsidRDefault="00575E73" w:rsidP="00B16875">
      <w:pPr>
        <w:spacing w:line="276" w:lineRule="auto"/>
        <w:rPr>
          <w:rFonts w:ascii="Arial" w:eastAsia="Arial" w:hAnsi="Arial" w:cs="Arial"/>
          <w:sz w:val="22"/>
          <w:szCs w:val="22"/>
        </w:rPr>
      </w:pPr>
    </w:p>
    <w:p w14:paraId="074CA9BC" w14:textId="77777777" w:rsidR="00575E73" w:rsidRPr="00B16875" w:rsidRDefault="00575E73" w:rsidP="00B16875">
      <w:pPr>
        <w:pStyle w:val="Heading2"/>
        <w:spacing w:line="276" w:lineRule="auto"/>
        <w:rPr>
          <w:rFonts w:ascii="Arial" w:eastAsia="Arial" w:hAnsi="Arial" w:cs="Arial"/>
          <w:b/>
          <w:bCs/>
          <w:color w:val="auto"/>
          <w:sz w:val="22"/>
          <w:szCs w:val="22"/>
        </w:rPr>
      </w:pPr>
      <w:bookmarkStart w:id="3" w:name="_Toc225024738"/>
      <w:r w:rsidRPr="00B16875">
        <w:rPr>
          <w:rFonts w:ascii="Arial" w:eastAsia="Arial" w:hAnsi="Arial" w:cs="Arial"/>
          <w:b/>
          <w:bCs/>
          <w:color w:val="auto"/>
          <w:sz w:val="22"/>
          <w:szCs w:val="22"/>
        </w:rPr>
        <w:lastRenderedPageBreak/>
        <w:t>1.2 Personal Reflection – Why I Chose This Topic</w:t>
      </w:r>
      <w:bookmarkEnd w:id="3"/>
    </w:p>
    <w:p w14:paraId="7E00EEF8"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I chose staff burnout in the NHS because it is a practical, current and socially important issue. It interests me because health and social care services depend heavily on the wellbeing, motivation and resilience of staff. If the workforce is exhausted, patient care will inevitably suffer. I also chose this topic because it connects strongly to professional development. Understanding burnout can help future practitioners and managers think more critically about leadership, staffing, communication and supportive workplaces.</w:t>
      </w:r>
    </w:p>
    <w:p w14:paraId="04DCA95E"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This topic also interests me because it allows research methods to be applied to a real-world problem. It is not only about describing stress; it is about identifying why burnout happens and what organisations can do to reduce it. That makes it useful for developing research, analytical and professional skills. In addition, because the NHS is such a central institution in UK health and social care, researching burnout in this setting has wide relevance for policy and practice. (NHS Employers, 2025; NHS England, 2023)</w:t>
      </w:r>
    </w:p>
    <w:p w14:paraId="355D44CB" w14:textId="77777777" w:rsidR="00575E73" w:rsidRPr="00B16875" w:rsidRDefault="00575E73" w:rsidP="00B16875">
      <w:pPr>
        <w:spacing w:line="276" w:lineRule="auto"/>
        <w:rPr>
          <w:rFonts w:ascii="Arial" w:eastAsia="Arial" w:hAnsi="Arial" w:cs="Arial"/>
          <w:sz w:val="22"/>
          <w:szCs w:val="22"/>
        </w:rPr>
      </w:pPr>
    </w:p>
    <w:p w14:paraId="5624E19B"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4" w:name="_Toc225024739"/>
      <w:r w:rsidRPr="00B16875">
        <w:rPr>
          <w:rFonts w:ascii="Arial" w:eastAsia="Arial" w:hAnsi="Arial" w:cs="Arial"/>
          <w:b/>
          <w:bCs/>
          <w:color w:val="auto"/>
          <w:sz w:val="22"/>
          <w:szCs w:val="22"/>
        </w:rPr>
        <w:t>Task 2 – Evaluating Information Sources</w:t>
      </w:r>
      <w:bookmarkEnd w:id="4"/>
      <w:r w:rsidRPr="00B16875">
        <w:rPr>
          <w:rFonts w:ascii="Arial" w:eastAsia="Arial" w:hAnsi="Arial" w:cs="Arial"/>
          <w:b/>
          <w:bCs/>
          <w:color w:val="auto"/>
          <w:sz w:val="22"/>
          <w:szCs w:val="22"/>
        </w:rPr>
        <w:t xml:space="preserve">  </w:t>
      </w:r>
    </w:p>
    <w:p w14:paraId="5FEFEA8C" w14:textId="77777777" w:rsidR="00575E73" w:rsidRPr="00B16875" w:rsidRDefault="00575E73" w:rsidP="00B16875">
      <w:pPr>
        <w:pStyle w:val="Heading2"/>
        <w:spacing w:line="276" w:lineRule="auto"/>
        <w:rPr>
          <w:rFonts w:ascii="Arial" w:eastAsia="Arial" w:hAnsi="Arial" w:cs="Arial"/>
          <w:b/>
          <w:bCs/>
          <w:color w:val="auto"/>
          <w:sz w:val="22"/>
          <w:szCs w:val="22"/>
        </w:rPr>
      </w:pPr>
      <w:bookmarkStart w:id="5" w:name="_Toc225024740"/>
      <w:r w:rsidRPr="00B16875">
        <w:rPr>
          <w:rFonts w:ascii="Arial" w:eastAsia="Arial" w:hAnsi="Arial" w:cs="Arial"/>
          <w:b/>
          <w:bCs/>
          <w:color w:val="auto"/>
          <w:sz w:val="22"/>
          <w:szCs w:val="22"/>
        </w:rPr>
        <w:t>2.1 Source 1</w:t>
      </w:r>
      <w:bookmarkEnd w:id="5"/>
    </w:p>
    <w:p w14:paraId="309074E9" w14:textId="77777777" w:rsidR="00B16875" w:rsidRPr="00B16875" w:rsidRDefault="00B16875" w:rsidP="00B16875">
      <w:pPr>
        <w:pStyle w:val="NormalWeb"/>
        <w:spacing w:line="276" w:lineRule="auto"/>
        <w:rPr>
          <w:rFonts w:ascii="Arial" w:hAnsi="Arial" w:cs="Arial"/>
          <w:sz w:val="22"/>
          <w:szCs w:val="22"/>
        </w:rPr>
      </w:pPr>
      <w:r w:rsidRPr="002B7AAF">
        <w:rPr>
          <w:rFonts w:ascii="Arial" w:hAnsi="Arial" w:cs="Arial"/>
          <w:sz w:val="22"/>
          <w:szCs w:val="22"/>
        </w:rPr>
        <w:t xml:space="preserve">A key source for this topic is the </w:t>
      </w:r>
      <w:r w:rsidRPr="002B7AAF">
        <w:rPr>
          <w:rStyle w:val="Strong"/>
          <w:rFonts w:ascii="Arial" w:eastAsiaTheme="majorEastAsia" w:hAnsi="Arial" w:cs="Arial"/>
          <w:b w:val="0"/>
          <w:bCs w:val="0"/>
          <w:sz w:val="22"/>
          <w:szCs w:val="22"/>
        </w:rPr>
        <w:t>NHS Staff Survey 2024 National Results Briefing</w:t>
      </w:r>
      <w:r w:rsidRPr="002B7AAF">
        <w:rPr>
          <w:rFonts w:ascii="Arial" w:hAnsi="Arial" w:cs="Arial"/>
          <w:sz w:val="22"/>
          <w:szCs w:val="22"/>
        </w:rPr>
        <w:t>. This is a highly credible source because it is a large national workforce survey conducted on behalf of NHS England and reported through official channels. Its main strength is scale: it captures staff experiences across NHS organisations and therefore provides strong descriptive</w:t>
      </w:r>
      <w:r w:rsidRPr="00B16875">
        <w:rPr>
          <w:rFonts w:ascii="Arial" w:hAnsi="Arial" w:cs="Arial"/>
          <w:sz w:val="22"/>
          <w:szCs w:val="22"/>
        </w:rPr>
        <w:t xml:space="preserve"> evidence of current workforce conditions. It is especially useful because it includes a burnout sub-score and related indicators about wellbeing, support and workplace experience. For this topic, the survey is valuable because it demonstrates that burnout is not an isolated problem affecting only a few departments; it is a system-wide issue. (NHS Staff Survey, 2025; GOV.UK, 2025) </w:t>
      </w:r>
    </w:p>
    <w:p w14:paraId="30E1EA83"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Critically, however, this source also has limitations. It is excellent for showing patterns and trends, but it cannot fully explain why staff feel burnt out or how burnout is experienced in different professional groups. Survey findings are also self-reported, so they reflect perception rather than direct clinical measurement. Even so, for a report on NHS burnout, this remains one of the strongest sources because it provides current, official and nationally relevant evidence. (NHS Staff Survey, 2025)</w:t>
      </w:r>
    </w:p>
    <w:p w14:paraId="19A23615" w14:textId="77777777" w:rsidR="00575E73" w:rsidRPr="00B16875" w:rsidRDefault="00575E73" w:rsidP="00B16875">
      <w:pPr>
        <w:spacing w:line="276" w:lineRule="auto"/>
        <w:rPr>
          <w:rFonts w:ascii="Arial" w:eastAsia="Arial" w:hAnsi="Arial" w:cs="Arial"/>
          <w:sz w:val="22"/>
          <w:szCs w:val="22"/>
        </w:rPr>
      </w:pPr>
    </w:p>
    <w:p w14:paraId="7F018ACF" w14:textId="77777777" w:rsidR="00575E73" w:rsidRPr="00B16875" w:rsidRDefault="00575E73" w:rsidP="00B16875">
      <w:pPr>
        <w:pStyle w:val="Heading2"/>
        <w:spacing w:line="276" w:lineRule="auto"/>
        <w:rPr>
          <w:rFonts w:ascii="Arial" w:eastAsia="Arial" w:hAnsi="Arial" w:cs="Arial"/>
          <w:b/>
          <w:bCs/>
          <w:color w:val="auto"/>
          <w:sz w:val="22"/>
          <w:szCs w:val="22"/>
        </w:rPr>
      </w:pPr>
      <w:bookmarkStart w:id="6" w:name="_Toc225024741"/>
      <w:r w:rsidRPr="00B16875">
        <w:rPr>
          <w:rFonts w:ascii="Arial" w:eastAsia="Arial" w:hAnsi="Arial" w:cs="Arial"/>
          <w:b/>
          <w:bCs/>
          <w:color w:val="auto"/>
          <w:sz w:val="22"/>
          <w:szCs w:val="22"/>
        </w:rPr>
        <w:t>2.2 Source 2</w:t>
      </w:r>
      <w:bookmarkEnd w:id="6"/>
    </w:p>
    <w:p w14:paraId="0B12AF3D" w14:textId="77777777" w:rsidR="00B16875" w:rsidRPr="00B16875" w:rsidRDefault="00B16875" w:rsidP="00B16875">
      <w:pPr>
        <w:pStyle w:val="NormalWeb"/>
        <w:spacing w:line="276" w:lineRule="auto"/>
        <w:rPr>
          <w:rFonts w:ascii="Arial" w:hAnsi="Arial" w:cs="Arial"/>
          <w:sz w:val="22"/>
          <w:szCs w:val="22"/>
        </w:rPr>
      </w:pPr>
      <w:bookmarkStart w:id="7" w:name="_Toc225024742"/>
      <w:r w:rsidRPr="00B16875">
        <w:rPr>
          <w:rFonts w:ascii="Arial" w:hAnsi="Arial" w:cs="Arial"/>
          <w:sz w:val="22"/>
          <w:szCs w:val="22"/>
        </w:rPr>
        <w:t xml:space="preserve">The second important source is </w:t>
      </w:r>
      <w:r w:rsidRPr="002B7AAF">
        <w:rPr>
          <w:rStyle w:val="Strong"/>
          <w:rFonts w:ascii="Arial" w:eastAsiaTheme="majorEastAsia" w:hAnsi="Arial" w:cs="Arial"/>
          <w:b w:val="0"/>
          <w:bCs w:val="0"/>
          <w:sz w:val="22"/>
          <w:szCs w:val="22"/>
        </w:rPr>
        <w:t>West et al. (2022)</w:t>
      </w:r>
      <w:r w:rsidRPr="002B7AAF">
        <w:rPr>
          <w:rFonts w:ascii="Arial" w:hAnsi="Arial" w:cs="Arial"/>
          <w:b/>
          <w:bCs/>
          <w:sz w:val="22"/>
          <w:szCs w:val="22"/>
        </w:rPr>
        <w:t>,</w:t>
      </w:r>
      <w:r w:rsidRPr="00B16875">
        <w:rPr>
          <w:rFonts w:ascii="Arial" w:hAnsi="Arial" w:cs="Arial"/>
          <w:sz w:val="22"/>
          <w:szCs w:val="22"/>
        </w:rPr>
        <w:t xml:space="preserve"> a peer-reviewed article in </w:t>
      </w:r>
      <w:r w:rsidRPr="00B16875">
        <w:rPr>
          <w:rStyle w:val="Emphasis"/>
          <w:rFonts w:ascii="Arial" w:eastAsiaTheme="majorEastAsia" w:hAnsi="Arial" w:cs="Arial"/>
          <w:i w:val="0"/>
          <w:iCs w:val="0"/>
          <w:sz w:val="22"/>
          <w:szCs w:val="22"/>
        </w:rPr>
        <w:t>BMJ Open</w:t>
      </w:r>
      <w:r w:rsidRPr="00B16875">
        <w:rPr>
          <w:rFonts w:ascii="Arial" w:hAnsi="Arial" w:cs="Arial"/>
          <w:sz w:val="22"/>
          <w:szCs w:val="22"/>
        </w:rPr>
        <w:t xml:space="preserve"> titled </w:t>
      </w:r>
      <w:proofErr w:type="gramStart"/>
      <w:r w:rsidRPr="00B16875">
        <w:rPr>
          <w:rStyle w:val="Emphasis"/>
          <w:rFonts w:ascii="Arial" w:eastAsiaTheme="majorEastAsia" w:hAnsi="Arial" w:cs="Arial"/>
          <w:i w:val="0"/>
          <w:iCs w:val="0"/>
          <w:sz w:val="22"/>
          <w:szCs w:val="22"/>
        </w:rPr>
        <w:t>The</w:t>
      </w:r>
      <w:proofErr w:type="gramEnd"/>
      <w:r w:rsidRPr="00B16875">
        <w:rPr>
          <w:rStyle w:val="Emphasis"/>
          <w:rFonts w:ascii="Arial" w:eastAsiaTheme="majorEastAsia" w:hAnsi="Arial" w:cs="Arial"/>
          <w:i w:val="0"/>
          <w:iCs w:val="0"/>
          <w:sz w:val="22"/>
          <w:szCs w:val="22"/>
        </w:rPr>
        <w:t xml:space="preserve"> relationship between leader support, staff influence over decision making, work pressure and patient satisfaction: a cross-sectional analysis of NHS datasets in England</w:t>
      </w:r>
      <w:r w:rsidRPr="00B16875">
        <w:rPr>
          <w:rFonts w:ascii="Arial" w:hAnsi="Arial" w:cs="Arial"/>
          <w:sz w:val="22"/>
          <w:szCs w:val="22"/>
        </w:rPr>
        <w:t xml:space="preserve">. This source is credible because </w:t>
      </w:r>
      <w:r w:rsidRPr="00B16875">
        <w:rPr>
          <w:rStyle w:val="Emphasis"/>
          <w:rFonts w:ascii="Arial" w:eastAsiaTheme="majorEastAsia" w:hAnsi="Arial" w:cs="Arial"/>
          <w:i w:val="0"/>
          <w:iCs w:val="0"/>
          <w:sz w:val="22"/>
          <w:szCs w:val="22"/>
        </w:rPr>
        <w:t>BMJ Open</w:t>
      </w:r>
      <w:r w:rsidRPr="00B16875">
        <w:rPr>
          <w:rFonts w:ascii="Arial" w:hAnsi="Arial" w:cs="Arial"/>
          <w:sz w:val="22"/>
          <w:szCs w:val="22"/>
        </w:rPr>
        <w:t xml:space="preserve"> is a respected academic journal and the article uses large NHS datasets. It is useful because it shows that staff experience is connected to patient outcomes. The study found that leader support was associated with greater staff </w:t>
      </w:r>
      <w:r w:rsidRPr="00B16875">
        <w:rPr>
          <w:rFonts w:ascii="Arial" w:hAnsi="Arial" w:cs="Arial"/>
          <w:sz w:val="22"/>
          <w:szCs w:val="22"/>
        </w:rPr>
        <w:lastRenderedPageBreak/>
        <w:t xml:space="preserve">influence over decisions, lower work pressure and better patient satisfaction. This supports the argument that burnout should be studied as an organisational and quality-of-care issue, not only a personal mental health issue. (West et al., 2022) </w:t>
      </w:r>
    </w:p>
    <w:p w14:paraId="66D969E2"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Its limitation is that it uses a cross-sectional design, which means causation cannot be proven with certainty. Some of the data are also older than the post-pandemic context. Nevertheless, the article remains highly valuable because its analytical approach is stronger than simple descriptive reporting. It helps explain mechanisms, especially the role of leadership and work pressure, and therefore strengthens the critical discussion in this report. (West et al., 2022) </w:t>
      </w:r>
    </w:p>
    <w:p w14:paraId="1DD8F48D" w14:textId="77777777" w:rsidR="00575E73" w:rsidRPr="00B16875" w:rsidRDefault="00432D05" w:rsidP="00B16875">
      <w:pPr>
        <w:pStyle w:val="Heading2"/>
        <w:spacing w:line="276" w:lineRule="auto"/>
        <w:rPr>
          <w:rFonts w:ascii="Arial" w:eastAsia="Arial" w:hAnsi="Arial" w:cs="Arial"/>
          <w:b/>
          <w:bCs/>
          <w:color w:val="auto"/>
          <w:sz w:val="22"/>
          <w:szCs w:val="22"/>
        </w:rPr>
      </w:pPr>
      <w:r w:rsidRPr="00B16875">
        <w:rPr>
          <w:rFonts w:ascii="Arial" w:eastAsia="Arial" w:hAnsi="Arial" w:cs="Arial"/>
          <w:b/>
          <w:bCs/>
          <w:color w:val="auto"/>
          <w:sz w:val="22"/>
          <w:szCs w:val="22"/>
        </w:rPr>
        <w:t>2.3 Source</w:t>
      </w:r>
      <w:r w:rsidR="00575E73" w:rsidRPr="00B16875">
        <w:rPr>
          <w:rFonts w:ascii="Arial" w:eastAsia="Arial" w:hAnsi="Arial" w:cs="Arial"/>
          <w:b/>
          <w:bCs/>
          <w:color w:val="auto"/>
          <w:sz w:val="22"/>
          <w:szCs w:val="22"/>
        </w:rPr>
        <w:t xml:space="preserve"> 3</w:t>
      </w:r>
      <w:bookmarkEnd w:id="7"/>
    </w:p>
    <w:p w14:paraId="09278B00"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A third strong source is </w:t>
      </w:r>
      <w:r w:rsidRPr="007E18E2">
        <w:rPr>
          <w:rStyle w:val="Strong"/>
          <w:rFonts w:ascii="Arial" w:eastAsiaTheme="majorEastAsia" w:hAnsi="Arial" w:cs="Arial"/>
          <w:b w:val="0"/>
          <w:bCs w:val="0"/>
          <w:sz w:val="22"/>
          <w:szCs w:val="22"/>
        </w:rPr>
        <w:t>Collett, Emad and Gupta (2025)</w:t>
      </w:r>
      <w:r w:rsidRPr="007E18E2">
        <w:rPr>
          <w:rFonts w:ascii="Arial" w:hAnsi="Arial" w:cs="Arial"/>
          <w:b/>
          <w:bCs/>
          <w:sz w:val="22"/>
          <w:szCs w:val="22"/>
        </w:rPr>
        <w:t>,</w:t>
      </w:r>
      <w:r w:rsidRPr="00B16875">
        <w:rPr>
          <w:rFonts w:ascii="Arial" w:hAnsi="Arial" w:cs="Arial"/>
          <w:sz w:val="22"/>
          <w:szCs w:val="22"/>
        </w:rPr>
        <w:t xml:space="preserve"> a UK-based cohort study published in </w:t>
      </w:r>
      <w:r w:rsidRPr="00B16875">
        <w:rPr>
          <w:rStyle w:val="Emphasis"/>
          <w:rFonts w:ascii="Arial" w:eastAsiaTheme="majorEastAsia" w:hAnsi="Arial" w:cs="Arial"/>
          <w:i w:val="0"/>
          <w:iCs w:val="0"/>
          <w:sz w:val="22"/>
          <w:szCs w:val="22"/>
        </w:rPr>
        <w:t>Clinical Medicine</w:t>
      </w:r>
      <w:r w:rsidRPr="00B16875">
        <w:rPr>
          <w:rFonts w:ascii="Arial" w:hAnsi="Arial" w:cs="Arial"/>
          <w:sz w:val="22"/>
          <w:szCs w:val="22"/>
        </w:rPr>
        <w:t xml:space="preserve">. This study is especially useful because it examines the relationship between specific workplace support factors and burnout among UK healthcare professionals. It found that collegial support, visible leadership and managerial concern for staff welfare were associated with lower burnout and better wellbeing. This source is valuable because it moves the discussion forward from “burnout exists” to “which workplace supports may reduce it”. That makes it directly relevant to practice and policy. (Collett, Emad and Gupta, 2025) </w:t>
      </w:r>
    </w:p>
    <w:p w14:paraId="4D0C29C9"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Critically, the study is more focused than the national staff survey, but it is also less representative because it is based on a cohort of 400 UK healthcare professionals rather than the full NHS workforce. In addition, it includes healthcare professionals more broadly, not only NHS employees. Even so, it offers stronger insight into potential protective factors and is therefore very useful for building a research proposal about burnout in the NHS. (Collett, Emad and Gupta, 2025)</w:t>
      </w:r>
    </w:p>
    <w:p w14:paraId="057208AD" w14:textId="77777777" w:rsidR="00575E73" w:rsidRPr="00B16875" w:rsidRDefault="00575E73" w:rsidP="00B16875">
      <w:pPr>
        <w:spacing w:line="276" w:lineRule="auto"/>
        <w:rPr>
          <w:rFonts w:ascii="Arial" w:eastAsia="Arial" w:hAnsi="Arial" w:cs="Arial"/>
          <w:sz w:val="22"/>
          <w:szCs w:val="22"/>
        </w:rPr>
      </w:pPr>
    </w:p>
    <w:p w14:paraId="02C38C4C"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8" w:name="_Toc225024743"/>
      <w:r w:rsidRPr="00B16875">
        <w:rPr>
          <w:rFonts w:ascii="Arial" w:eastAsia="Arial" w:hAnsi="Arial" w:cs="Arial"/>
          <w:b/>
          <w:bCs/>
          <w:color w:val="auto"/>
          <w:sz w:val="22"/>
          <w:szCs w:val="22"/>
        </w:rPr>
        <w:t xml:space="preserve">2.4 </w:t>
      </w:r>
      <w:r w:rsidR="00575E73" w:rsidRPr="00B16875">
        <w:rPr>
          <w:rFonts w:ascii="Arial" w:eastAsia="Arial" w:hAnsi="Arial" w:cs="Arial"/>
          <w:b/>
          <w:bCs/>
          <w:color w:val="auto"/>
          <w:sz w:val="22"/>
          <w:szCs w:val="22"/>
        </w:rPr>
        <w:t>Gaps in Current Research</w:t>
      </w:r>
      <w:bookmarkEnd w:id="8"/>
    </w:p>
    <w:p w14:paraId="15B56EF9" w14:textId="3DE45A3A" w:rsidR="00575E73" w:rsidRPr="00B16875" w:rsidRDefault="00B16875" w:rsidP="00B16875">
      <w:pPr>
        <w:spacing w:line="276" w:lineRule="auto"/>
        <w:rPr>
          <w:rFonts w:ascii="Arial" w:eastAsia="Arial" w:hAnsi="Arial" w:cs="Arial"/>
          <w:sz w:val="22"/>
          <w:szCs w:val="22"/>
        </w:rPr>
      </w:pPr>
      <w:r w:rsidRPr="00B16875">
        <w:rPr>
          <w:rFonts w:ascii="Arial" w:hAnsi="Arial" w:cs="Arial"/>
          <w:sz w:val="22"/>
          <w:szCs w:val="22"/>
        </w:rPr>
        <w:t xml:space="preserve">There are several gaps in current research. First, there is still a lot of descriptive evidence but less in-depth qualitative evidence about how burnout is experienced in everyday NHS work. </w:t>
      </w:r>
      <w:proofErr w:type="spellStart"/>
      <w:r w:rsidRPr="00B16875">
        <w:rPr>
          <w:rFonts w:ascii="Arial" w:hAnsi="Arial" w:cs="Arial"/>
          <w:sz w:val="22"/>
          <w:szCs w:val="22"/>
        </w:rPr>
        <w:t>Swancott</w:t>
      </w:r>
      <w:proofErr w:type="spellEnd"/>
      <w:r w:rsidRPr="00B16875">
        <w:rPr>
          <w:rFonts w:ascii="Arial" w:hAnsi="Arial" w:cs="Arial"/>
          <w:sz w:val="22"/>
          <w:szCs w:val="22"/>
        </w:rPr>
        <w:t xml:space="preserve"> et al. (2024) found that workforce wellbeing research often relies on surveys and lacks deeper qualitative exploration. </w:t>
      </w:r>
      <w:r w:rsidR="002B7AAF">
        <w:rPr>
          <w:rFonts w:ascii="Arial" w:hAnsi="Arial" w:cs="Arial"/>
          <w:sz w:val="22"/>
          <w:szCs w:val="22"/>
        </w:rPr>
        <w:t>M</w:t>
      </w:r>
      <w:r w:rsidRPr="00B16875">
        <w:rPr>
          <w:rFonts w:ascii="Arial" w:hAnsi="Arial" w:cs="Arial"/>
          <w:sz w:val="22"/>
          <w:szCs w:val="22"/>
        </w:rPr>
        <w:t xml:space="preserve">uch of the literature discusses burnout broadly across healthcare, which can make it difficult to understand differences between NHS staff groups, settings or regions. </w:t>
      </w:r>
      <w:r w:rsidR="002B7AAF">
        <w:rPr>
          <w:rFonts w:ascii="Arial" w:hAnsi="Arial" w:cs="Arial"/>
          <w:sz w:val="22"/>
          <w:szCs w:val="22"/>
        </w:rPr>
        <w:t>W</w:t>
      </w:r>
      <w:r w:rsidRPr="00B16875">
        <w:rPr>
          <w:rFonts w:ascii="Arial" w:hAnsi="Arial" w:cs="Arial"/>
          <w:sz w:val="22"/>
          <w:szCs w:val="22"/>
        </w:rPr>
        <w:t xml:space="preserve">hile interventions are often recommended, the evidence for which interventions work best in specific NHS contexts is still developing. </w:t>
      </w:r>
      <w:proofErr w:type="spellStart"/>
      <w:r w:rsidRPr="00B16875">
        <w:rPr>
          <w:rFonts w:ascii="Arial" w:hAnsi="Arial" w:cs="Arial"/>
          <w:sz w:val="22"/>
          <w:szCs w:val="22"/>
        </w:rPr>
        <w:t>Razai</w:t>
      </w:r>
      <w:proofErr w:type="spellEnd"/>
      <w:r w:rsidRPr="00B16875">
        <w:rPr>
          <w:rFonts w:ascii="Arial" w:hAnsi="Arial" w:cs="Arial"/>
          <w:sz w:val="22"/>
          <w:szCs w:val="22"/>
        </w:rPr>
        <w:t xml:space="preserve">, </w:t>
      </w:r>
      <w:proofErr w:type="spellStart"/>
      <w:r w:rsidRPr="00B16875">
        <w:rPr>
          <w:rFonts w:ascii="Arial" w:hAnsi="Arial" w:cs="Arial"/>
          <w:sz w:val="22"/>
          <w:szCs w:val="22"/>
        </w:rPr>
        <w:t>Kooner</w:t>
      </w:r>
      <w:proofErr w:type="spellEnd"/>
      <w:r w:rsidRPr="00B16875">
        <w:rPr>
          <w:rFonts w:ascii="Arial" w:hAnsi="Arial" w:cs="Arial"/>
          <w:sz w:val="22"/>
          <w:szCs w:val="22"/>
        </w:rPr>
        <w:t xml:space="preserve"> and Majeed (2023) note that individual-level strategies such as mindfulness may help, but they are not substitutes for organisational action such as safer staffing and manageable workloads. These gaps justify further research, especially small-scale studies that combine lived experience with organisational analysis. (</w:t>
      </w:r>
      <w:proofErr w:type="spellStart"/>
      <w:r w:rsidRPr="00B16875">
        <w:rPr>
          <w:rFonts w:ascii="Arial" w:hAnsi="Arial" w:cs="Arial"/>
          <w:sz w:val="22"/>
          <w:szCs w:val="22"/>
        </w:rPr>
        <w:t>Swancott</w:t>
      </w:r>
      <w:proofErr w:type="spellEnd"/>
      <w:r w:rsidRPr="00B16875">
        <w:rPr>
          <w:rFonts w:ascii="Arial" w:hAnsi="Arial" w:cs="Arial"/>
          <w:sz w:val="22"/>
          <w:szCs w:val="22"/>
        </w:rPr>
        <w:t xml:space="preserve"> et al., 2024; </w:t>
      </w:r>
      <w:proofErr w:type="spellStart"/>
      <w:r w:rsidRPr="00B16875">
        <w:rPr>
          <w:rFonts w:ascii="Arial" w:hAnsi="Arial" w:cs="Arial"/>
          <w:sz w:val="22"/>
          <w:szCs w:val="22"/>
        </w:rPr>
        <w:t>Razai</w:t>
      </w:r>
      <w:proofErr w:type="spellEnd"/>
      <w:r w:rsidRPr="00B16875">
        <w:rPr>
          <w:rFonts w:ascii="Arial" w:hAnsi="Arial" w:cs="Arial"/>
          <w:sz w:val="22"/>
          <w:szCs w:val="22"/>
        </w:rPr>
        <w:t xml:space="preserve">, </w:t>
      </w:r>
      <w:proofErr w:type="spellStart"/>
      <w:r w:rsidRPr="00B16875">
        <w:rPr>
          <w:rFonts w:ascii="Arial" w:hAnsi="Arial" w:cs="Arial"/>
          <w:sz w:val="22"/>
          <w:szCs w:val="22"/>
        </w:rPr>
        <w:t>Kooner</w:t>
      </w:r>
      <w:proofErr w:type="spellEnd"/>
      <w:r w:rsidRPr="00B16875">
        <w:rPr>
          <w:rFonts w:ascii="Arial" w:hAnsi="Arial" w:cs="Arial"/>
          <w:sz w:val="22"/>
          <w:szCs w:val="22"/>
        </w:rPr>
        <w:t xml:space="preserve"> and Majeed, 2023)</w:t>
      </w:r>
    </w:p>
    <w:p w14:paraId="6C6F0E50"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9" w:name="_Toc225024744"/>
      <w:r w:rsidRPr="00B16875">
        <w:rPr>
          <w:rFonts w:ascii="Arial" w:eastAsia="Arial" w:hAnsi="Arial" w:cs="Arial"/>
          <w:b/>
          <w:bCs/>
          <w:color w:val="auto"/>
          <w:sz w:val="22"/>
          <w:szCs w:val="22"/>
        </w:rPr>
        <w:lastRenderedPageBreak/>
        <w:t>Task 3 – Research Methodologies</w:t>
      </w:r>
      <w:bookmarkEnd w:id="9"/>
      <w:r w:rsidRPr="00B16875">
        <w:rPr>
          <w:rFonts w:ascii="Arial" w:eastAsia="Arial" w:hAnsi="Arial" w:cs="Arial"/>
          <w:b/>
          <w:bCs/>
          <w:color w:val="auto"/>
          <w:sz w:val="22"/>
          <w:szCs w:val="22"/>
        </w:rPr>
        <w:t xml:space="preserve">  </w:t>
      </w:r>
    </w:p>
    <w:p w14:paraId="7B84F451"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10" w:name="_Toc225024745"/>
      <w:r w:rsidRPr="00B16875">
        <w:rPr>
          <w:rFonts w:ascii="Arial" w:eastAsia="Arial" w:hAnsi="Arial" w:cs="Arial"/>
          <w:b/>
          <w:bCs/>
          <w:color w:val="auto"/>
          <w:sz w:val="22"/>
          <w:szCs w:val="22"/>
        </w:rPr>
        <w:t xml:space="preserve">3.1 </w:t>
      </w:r>
      <w:r w:rsidR="00575E73" w:rsidRPr="00B16875">
        <w:rPr>
          <w:rFonts w:ascii="Arial" w:eastAsia="Arial" w:hAnsi="Arial" w:cs="Arial"/>
          <w:b/>
          <w:bCs/>
          <w:color w:val="auto"/>
          <w:sz w:val="22"/>
          <w:szCs w:val="22"/>
        </w:rPr>
        <w:t>Definitions and Examples</w:t>
      </w:r>
      <w:bookmarkEnd w:id="10"/>
    </w:p>
    <w:p w14:paraId="57588ABA"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Quantitative research uses numerical data to measure patterns, frequencies and relationships. In health and social care, an example would be a questionnaire measuring how many NHS staff report emotional exhaustion. Qualitative research uses non-numerical data such as interviews or focus groups to explore meaning, experiences and perceptions. An example would be interviewing nurses about how staff shortages affect their wellbeing. Mixed-methods research combines both approaches, for example using a survey first and then interviews to explain the survey results in more depth. (</w:t>
      </w:r>
      <w:proofErr w:type="spellStart"/>
      <w:r w:rsidRPr="00B16875">
        <w:rPr>
          <w:rFonts w:ascii="Arial" w:hAnsi="Arial" w:cs="Arial"/>
          <w:sz w:val="22"/>
          <w:szCs w:val="22"/>
        </w:rPr>
        <w:t>Swancott</w:t>
      </w:r>
      <w:proofErr w:type="spellEnd"/>
      <w:r w:rsidRPr="00B16875">
        <w:rPr>
          <w:rFonts w:ascii="Arial" w:hAnsi="Arial" w:cs="Arial"/>
          <w:sz w:val="22"/>
          <w:szCs w:val="22"/>
        </w:rPr>
        <w:t xml:space="preserve"> et al., 2024; Collett, Emad and Gupta, 2025) </w:t>
      </w:r>
    </w:p>
    <w:p w14:paraId="52520BD6" w14:textId="77777777" w:rsidR="00575E73" w:rsidRPr="00B16875" w:rsidRDefault="00575E73" w:rsidP="00B16875">
      <w:pPr>
        <w:spacing w:line="276" w:lineRule="auto"/>
        <w:rPr>
          <w:rFonts w:ascii="Arial" w:eastAsia="Arial" w:hAnsi="Arial" w:cs="Arial"/>
          <w:sz w:val="22"/>
          <w:szCs w:val="22"/>
        </w:rPr>
      </w:pPr>
    </w:p>
    <w:p w14:paraId="309CFC1E"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11" w:name="_Toc225024746"/>
      <w:r w:rsidRPr="00B16875">
        <w:rPr>
          <w:rFonts w:ascii="Arial" w:eastAsia="Arial" w:hAnsi="Arial" w:cs="Arial"/>
          <w:b/>
          <w:bCs/>
          <w:color w:val="auto"/>
          <w:sz w:val="22"/>
          <w:szCs w:val="22"/>
        </w:rPr>
        <w:t xml:space="preserve">3.2 </w:t>
      </w:r>
      <w:r w:rsidR="00575E73" w:rsidRPr="00B16875">
        <w:rPr>
          <w:rFonts w:ascii="Arial" w:eastAsia="Arial" w:hAnsi="Arial" w:cs="Arial"/>
          <w:b/>
          <w:bCs/>
          <w:color w:val="auto"/>
          <w:sz w:val="22"/>
          <w:szCs w:val="22"/>
        </w:rPr>
        <w:t>Chosen Methodology and Justification</w:t>
      </w:r>
      <w:bookmarkEnd w:id="11"/>
    </w:p>
    <w:p w14:paraId="600DACBA" w14:textId="75733771"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For this topic, I would choose a </w:t>
      </w:r>
      <w:r w:rsidRPr="007E18E2">
        <w:rPr>
          <w:rStyle w:val="Strong"/>
          <w:rFonts w:ascii="Arial" w:eastAsiaTheme="majorEastAsia" w:hAnsi="Arial" w:cs="Arial"/>
          <w:b w:val="0"/>
          <w:bCs w:val="0"/>
          <w:sz w:val="22"/>
          <w:szCs w:val="22"/>
        </w:rPr>
        <w:t>qualitative methodology</w:t>
      </w:r>
      <w:r w:rsidRPr="00B16875">
        <w:rPr>
          <w:rFonts w:ascii="Arial" w:hAnsi="Arial" w:cs="Arial"/>
          <w:sz w:val="22"/>
          <w:szCs w:val="22"/>
        </w:rPr>
        <w:t>. This is because burnout in the NHS is not only about how many staff are affected; it is also about how they experience workload, leadership, emotional pressure and organisational support. This choice is supported by the fact that existing literature is strong on surveys but weaker on in-depth qualitative evidence. A qualitative study could therefore address a genuine research gap. I would still acknowledge that quantitative evidence remains useful for showing prevalence and trends, so qualitative research should complement, not replace, national survey data. (</w:t>
      </w:r>
      <w:proofErr w:type="spellStart"/>
      <w:r w:rsidRPr="00B16875">
        <w:rPr>
          <w:rFonts w:ascii="Arial" w:hAnsi="Arial" w:cs="Arial"/>
          <w:sz w:val="22"/>
          <w:szCs w:val="22"/>
        </w:rPr>
        <w:t>Swancott</w:t>
      </w:r>
      <w:proofErr w:type="spellEnd"/>
      <w:r w:rsidRPr="00B16875">
        <w:rPr>
          <w:rFonts w:ascii="Arial" w:hAnsi="Arial" w:cs="Arial"/>
          <w:sz w:val="22"/>
          <w:szCs w:val="22"/>
        </w:rPr>
        <w:t xml:space="preserve"> et al., 2024; NHS Staff Survey, 2025)</w:t>
      </w:r>
    </w:p>
    <w:p w14:paraId="391287F5" w14:textId="77777777" w:rsidR="00575E73" w:rsidRPr="00B16875" w:rsidRDefault="00575E73" w:rsidP="00B16875">
      <w:pPr>
        <w:spacing w:line="276" w:lineRule="auto"/>
        <w:rPr>
          <w:rFonts w:ascii="Arial" w:eastAsia="Arial" w:hAnsi="Arial" w:cs="Arial"/>
          <w:sz w:val="22"/>
          <w:szCs w:val="22"/>
        </w:rPr>
      </w:pPr>
    </w:p>
    <w:p w14:paraId="16F6A1B1"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12" w:name="_Toc225024747"/>
      <w:r w:rsidRPr="00B16875">
        <w:rPr>
          <w:rFonts w:ascii="Arial" w:eastAsia="Arial" w:hAnsi="Arial" w:cs="Arial"/>
          <w:b/>
          <w:bCs/>
          <w:color w:val="auto"/>
          <w:sz w:val="22"/>
          <w:szCs w:val="22"/>
        </w:rPr>
        <w:t>Task 4 – Data Collection</w:t>
      </w:r>
      <w:bookmarkEnd w:id="12"/>
      <w:r w:rsidRPr="00B16875">
        <w:rPr>
          <w:rFonts w:ascii="Arial" w:eastAsia="Arial" w:hAnsi="Arial" w:cs="Arial"/>
          <w:b/>
          <w:bCs/>
          <w:color w:val="auto"/>
          <w:sz w:val="22"/>
          <w:szCs w:val="22"/>
        </w:rPr>
        <w:t xml:space="preserve">  </w:t>
      </w:r>
    </w:p>
    <w:p w14:paraId="0EA5B50E"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13" w:name="_Toc225024748"/>
      <w:r w:rsidRPr="00B16875">
        <w:rPr>
          <w:rFonts w:ascii="Arial" w:eastAsia="Arial" w:hAnsi="Arial" w:cs="Arial"/>
          <w:b/>
          <w:bCs/>
          <w:color w:val="auto"/>
          <w:sz w:val="22"/>
          <w:szCs w:val="22"/>
        </w:rPr>
        <w:t xml:space="preserve">4.1 </w:t>
      </w:r>
      <w:r w:rsidR="00575E73" w:rsidRPr="00B16875">
        <w:rPr>
          <w:rFonts w:ascii="Arial" w:eastAsia="Arial" w:hAnsi="Arial" w:cs="Arial"/>
          <w:b/>
          <w:bCs/>
          <w:color w:val="auto"/>
          <w:sz w:val="22"/>
          <w:szCs w:val="22"/>
        </w:rPr>
        <w:t>Primary vs Secondary Data</w:t>
      </w:r>
      <w:bookmarkEnd w:id="13"/>
    </w:p>
    <w:p w14:paraId="0C4226CA"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Primary data are data collected directly by the researcher for a specific study, such as interviews, observations or questionnaires. Secondary data are data that already exist, such as published articles, official reports or national surveys. Both are useful in health and social care research, but they serve different purposes. Secondary data are efficient and helpful for understanding the wider context, while primary data are valuable when the researcher wants direct, focused insight into a specific question. (NHS Staff Survey, 2025; ONS, 2025) </w:t>
      </w:r>
    </w:p>
    <w:p w14:paraId="445F10D3" w14:textId="77777777" w:rsidR="00575E73" w:rsidRPr="00B16875" w:rsidRDefault="00575E73" w:rsidP="00B16875">
      <w:pPr>
        <w:spacing w:line="276" w:lineRule="auto"/>
        <w:rPr>
          <w:rFonts w:ascii="Arial" w:eastAsia="Arial" w:hAnsi="Arial" w:cs="Arial"/>
          <w:sz w:val="22"/>
          <w:szCs w:val="22"/>
        </w:rPr>
      </w:pPr>
    </w:p>
    <w:p w14:paraId="0E153EAE"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14" w:name="_Toc225024749"/>
      <w:r w:rsidRPr="00B16875">
        <w:rPr>
          <w:rFonts w:ascii="Arial" w:eastAsia="Arial" w:hAnsi="Arial" w:cs="Arial"/>
          <w:b/>
          <w:bCs/>
          <w:color w:val="auto"/>
          <w:sz w:val="22"/>
          <w:szCs w:val="22"/>
        </w:rPr>
        <w:t xml:space="preserve">4.2 </w:t>
      </w:r>
      <w:r w:rsidR="00575E73" w:rsidRPr="00B16875">
        <w:rPr>
          <w:rFonts w:ascii="Arial" w:eastAsia="Arial" w:hAnsi="Arial" w:cs="Arial"/>
          <w:b/>
          <w:bCs/>
          <w:color w:val="auto"/>
          <w:sz w:val="22"/>
          <w:szCs w:val="22"/>
        </w:rPr>
        <w:t>Chosen Data Type and Justification</w:t>
      </w:r>
      <w:bookmarkEnd w:id="14"/>
    </w:p>
    <w:p w14:paraId="7EE083A0"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For this proposed study, I would use </w:t>
      </w:r>
      <w:r w:rsidRPr="007E18E2">
        <w:rPr>
          <w:rStyle w:val="Strong"/>
          <w:rFonts w:ascii="Arial" w:eastAsiaTheme="majorEastAsia" w:hAnsi="Arial" w:cs="Arial"/>
          <w:b w:val="0"/>
          <w:bCs w:val="0"/>
          <w:sz w:val="22"/>
          <w:szCs w:val="22"/>
        </w:rPr>
        <w:t>primary data</w:t>
      </w:r>
      <w:r w:rsidRPr="00B16875">
        <w:rPr>
          <w:rFonts w:ascii="Arial" w:hAnsi="Arial" w:cs="Arial"/>
          <w:sz w:val="22"/>
          <w:szCs w:val="22"/>
        </w:rPr>
        <w:t xml:space="preserve">, collected through semi-structured interviews with NHS staff. This choice fits the qualitative methodology because interviews would allow participants to explain the causes and effects of burnout in their own words. They could discuss workload, leadership, staffing levels, emotional demands and coping strategies. Primary interview data would also make the study more original, because it would </w:t>
      </w:r>
      <w:r w:rsidRPr="00B16875">
        <w:rPr>
          <w:rFonts w:ascii="Arial" w:hAnsi="Arial" w:cs="Arial"/>
          <w:sz w:val="22"/>
          <w:szCs w:val="22"/>
        </w:rPr>
        <w:lastRenderedPageBreak/>
        <w:t>not simply repeat what official surveys already show. (</w:t>
      </w:r>
      <w:proofErr w:type="spellStart"/>
      <w:r w:rsidRPr="00B16875">
        <w:rPr>
          <w:rFonts w:ascii="Arial" w:hAnsi="Arial" w:cs="Arial"/>
          <w:sz w:val="22"/>
          <w:szCs w:val="22"/>
        </w:rPr>
        <w:t>Darbyshire</w:t>
      </w:r>
      <w:proofErr w:type="spellEnd"/>
      <w:r w:rsidRPr="00B16875">
        <w:rPr>
          <w:rFonts w:ascii="Arial" w:hAnsi="Arial" w:cs="Arial"/>
          <w:sz w:val="22"/>
          <w:szCs w:val="22"/>
        </w:rPr>
        <w:t xml:space="preserve"> et al., 2024; </w:t>
      </w:r>
      <w:proofErr w:type="spellStart"/>
      <w:r w:rsidRPr="00B16875">
        <w:rPr>
          <w:rFonts w:ascii="Arial" w:hAnsi="Arial" w:cs="Arial"/>
          <w:sz w:val="22"/>
          <w:szCs w:val="22"/>
        </w:rPr>
        <w:t>Swancott</w:t>
      </w:r>
      <w:proofErr w:type="spellEnd"/>
      <w:r w:rsidRPr="00B16875">
        <w:rPr>
          <w:rFonts w:ascii="Arial" w:hAnsi="Arial" w:cs="Arial"/>
          <w:sz w:val="22"/>
          <w:szCs w:val="22"/>
        </w:rPr>
        <w:t xml:space="preserve"> et al., 2024) </w:t>
      </w:r>
    </w:p>
    <w:p w14:paraId="35070B80" w14:textId="77777777" w:rsidR="00575E73" w:rsidRPr="00B16875" w:rsidRDefault="00575E73" w:rsidP="00B16875">
      <w:pPr>
        <w:spacing w:line="276" w:lineRule="auto"/>
        <w:rPr>
          <w:rFonts w:ascii="Arial" w:eastAsia="Arial" w:hAnsi="Arial" w:cs="Arial"/>
          <w:sz w:val="22"/>
          <w:szCs w:val="22"/>
        </w:rPr>
      </w:pPr>
    </w:p>
    <w:p w14:paraId="6A50FA39" w14:textId="77777777" w:rsidR="00575E73" w:rsidRPr="00B16875" w:rsidRDefault="00432D05" w:rsidP="00B16875">
      <w:pPr>
        <w:pStyle w:val="Heading2"/>
        <w:spacing w:line="276" w:lineRule="auto"/>
        <w:rPr>
          <w:rFonts w:ascii="Arial" w:eastAsia="Arial" w:hAnsi="Arial" w:cs="Arial"/>
          <w:b/>
          <w:bCs/>
          <w:color w:val="auto"/>
          <w:sz w:val="22"/>
          <w:szCs w:val="22"/>
        </w:rPr>
      </w:pPr>
      <w:bookmarkStart w:id="15" w:name="_Toc225024750"/>
      <w:r w:rsidRPr="00B16875">
        <w:rPr>
          <w:rFonts w:ascii="Arial" w:eastAsia="Arial" w:hAnsi="Arial" w:cs="Arial"/>
          <w:b/>
          <w:bCs/>
          <w:color w:val="auto"/>
          <w:sz w:val="22"/>
          <w:szCs w:val="22"/>
        </w:rPr>
        <w:t xml:space="preserve">4.3 </w:t>
      </w:r>
      <w:r w:rsidR="00575E73" w:rsidRPr="00B16875">
        <w:rPr>
          <w:rFonts w:ascii="Arial" w:eastAsia="Arial" w:hAnsi="Arial" w:cs="Arial"/>
          <w:b/>
          <w:bCs/>
          <w:color w:val="auto"/>
          <w:sz w:val="22"/>
          <w:szCs w:val="22"/>
        </w:rPr>
        <w:t>Advantages and Challenges</w:t>
      </w:r>
      <w:bookmarkEnd w:id="15"/>
    </w:p>
    <w:p w14:paraId="170884D1" w14:textId="3656733A" w:rsidR="00575E73"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First, interviews produce rich, detailed data that can reveal issues hidden behind statistics. Second, they are well suited to exploring complex workplace experiences such as burnout, moral pressure and feelings about leadership support. However, there are also challenges. Interviews take time to arrange, conduct and analyse. They may also involve ethical issues, because participants could feel uncomfortable discussing stress, exhaustion or negative workplace experiences. Another limitation is that small interview samples cannot be generalised to the whole NHS. </w:t>
      </w:r>
    </w:p>
    <w:p w14:paraId="3CDC143A"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16" w:name="_Toc225024751"/>
      <w:r w:rsidRPr="00B16875">
        <w:rPr>
          <w:rFonts w:ascii="Arial" w:eastAsia="Arial" w:hAnsi="Arial" w:cs="Arial"/>
          <w:b/>
          <w:bCs/>
          <w:color w:val="auto"/>
          <w:sz w:val="22"/>
          <w:szCs w:val="22"/>
        </w:rPr>
        <w:t>Conclusion</w:t>
      </w:r>
      <w:bookmarkEnd w:id="16"/>
      <w:r w:rsidRPr="00B16875">
        <w:rPr>
          <w:rFonts w:ascii="Arial" w:eastAsia="Arial" w:hAnsi="Arial" w:cs="Arial"/>
          <w:b/>
          <w:bCs/>
          <w:color w:val="auto"/>
          <w:sz w:val="22"/>
          <w:szCs w:val="22"/>
        </w:rPr>
        <w:t xml:space="preserve">  </w:t>
      </w:r>
    </w:p>
    <w:p w14:paraId="61EEBB33" w14:textId="30B4368C" w:rsidR="00575E73" w:rsidRPr="00B16875" w:rsidRDefault="00B16875" w:rsidP="00B16875">
      <w:pPr>
        <w:spacing w:line="276" w:lineRule="auto"/>
        <w:rPr>
          <w:rFonts w:ascii="Arial" w:eastAsia="Arial" w:hAnsi="Arial" w:cs="Arial"/>
          <w:sz w:val="22"/>
          <w:szCs w:val="22"/>
        </w:rPr>
      </w:pPr>
      <w:r w:rsidRPr="00B16875">
        <w:rPr>
          <w:rFonts w:ascii="Arial" w:hAnsi="Arial" w:cs="Arial"/>
          <w:sz w:val="22"/>
          <w:szCs w:val="22"/>
        </w:rPr>
        <w:t xml:space="preserve">In conclusion, staff burnout in the NHS is a highly relevant research topic because it affects staff wellbeing, retention, service capacity and patient care. The evidence shows that burnout is shaped by organisational factors such as staffing shortages, work pressure, leadership and workplace support. Critical evaluation of the literature shows that official surveys provide strong national evidence, while peer-reviewed studies help explain mechanisms and possible solutions. A qualitative methodology using primary interview data would be the most suitable approach for a future study because it would explore staff experiences in greater depth and address gaps in current research. </w:t>
      </w:r>
    </w:p>
    <w:p w14:paraId="1E908AE4" w14:textId="77777777" w:rsidR="00575E73" w:rsidRPr="00B16875" w:rsidRDefault="00575E73" w:rsidP="00B16875">
      <w:pPr>
        <w:pStyle w:val="Heading1"/>
        <w:spacing w:line="276" w:lineRule="auto"/>
        <w:rPr>
          <w:rFonts w:ascii="Arial" w:eastAsia="Arial" w:hAnsi="Arial" w:cs="Arial"/>
          <w:b/>
          <w:bCs/>
          <w:color w:val="auto"/>
          <w:sz w:val="22"/>
          <w:szCs w:val="22"/>
        </w:rPr>
      </w:pPr>
      <w:bookmarkStart w:id="17" w:name="_Toc225024752"/>
      <w:r w:rsidRPr="00B16875">
        <w:rPr>
          <w:rFonts w:ascii="Arial" w:eastAsia="Arial" w:hAnsi="Arial" w:cs="Arial"/>
          <w:b/>
          <w:bCs/>
          <w:color w:val="auto"/>
          <w:sz w:val="22"/>
          <w:szCs w:val="22"/>
        </w:rPr>
        <w:t>Reference List</w:t>
      </w:r>
      <w:bookmarkEnd w:id="17"/>
    </w:p>
    <w:p w14:paraId="2E401804"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Collett, G., Emad, A. and Gupta, A.K. (2025) ‘The impact of workplace support components on the mental health and burnout of UK-based healthcare professionals: Insights from the </w:t>
      </w:r>
      <w:proofErr w:type="spellStart"/>
      <w:r w:rsidRPr="00B16875">
        <w:rPr>
          <w:rFonts w:ascii="Arial" w:hAnsi="Arial" w:cs="Arial"/>
          <w:sz w:val="22"/>
          <w:szCs w:val="22"/>
        </w:rPr>
        <w:t>CoPE</w:t>
      </w:r>
      <w:proofErr w:type="spellEnd"/>
      <w:r w:rsidRPr="00B16875">
        <w:rPr>
          <w:rFonts w:ascii="Arial" w:hAnsi="Arial" w:cs="Arial"/>
          <w:sz w:val="22"/>
          <w:szCs w:val="22"/>
        </w:rPr>
        <w:t xml:space="preserve">-HCP cohort study’, </w:t>
      </w:r>
      <w:r w:rsidRPr="00B16875">
        <w:rPr>
          <w:rStyle w:val="Emphasis"/>
          <w:rFonts w:ascii="Arial" w:eastAsiaTheme="majorEastAsia" w:hAnsi="Arial" w:cs="Arial"/>
          <w:i w:val="0"/>
          <w:iCs w:val="0"/>
          <w:sz w:val="22"/>
          <w:szCs w:val="22"/>
        </w:rPr>
        <w:t>Clinical Medicine</w:t>
      </w:r>
      <w:r w:rsidRPr="00B16875">
        <w:rPr>
          <w:rFonts w:ascii="Arial" w:hAnsi="Arial" w:cs="Arial"/>
          <w:sz w:val="22"/>
          <w:szCs w:val="22"/>
        </w:rPr>
        <w:t>, 25(4), p. 100324.</w:t>
      </w:r>
    </w:p>
    <w:p w14:paraId="6BE62991" w14:textId="77777777" w:rsidR="00B16875" w:rsidRPr="00B16875" w:rsidRDefault="00B16875" w:rsidP="00B16875">
      <w:pPr>
        <w:pStyle w:val="NormalWeb"/>
        <w:spacing w:line="276" w:lineRule="auto"/>
        <w:rPr>
          <w:rFonts w:ascii="Arial" w:hAnsi="Arial" w:cs="Arial"/>
          <w:sz w:val="22"/>
          <w:szCs w:val="22"/>
        </w:rPr>
      </w:pPr>
      <w:proofErr w:type="spellStart"/>
      <w:r w:rsidRPr="00B16875">
        <w:rPr>
          <w:rFonts w:ascii="Arial" w:hAnsi="Arial" w:cs="Arial"/>
          <w:sz w:val="22"/>
          <w:szCs w:val="22"/>
        </w:rPr>
        <w:t>Darbyshire</w:t>
      </w:r>
      <w:proofErr w:type="spellEnd"/>
      <w:r w:rsidRPr="00B16875">
        <w:rPr>
          <w:rFonts w:ascii="Arial" w:hAnsi="Arial" w:cs="Arial"/>
          <w:sz w:val="22"/>
          <w:szCs w:val="22"/>
        </w:rPr>
        <w:t xml:space="preserve">, D., Brewster, L., </w:t>
      </w:r>
      <w:proofErr w:type="spellStart"/>
      <w:r w:rsidRPr="00B16875">
        <w:rPr>
          <w:rFonts w:ascii="Arial" w:hAnsi="Arial" w:cs="Arial"/>
          <w:sz w:val="22"/>
          <w:szCs w:val="22"/>
        </w:rPr>
        <w:t>Isba</w:t>
      </w:r>
      <w:proofErr w:type="spellEnd"/>
      <w:r w:rsidRPr="00B16875">
        <w:rPr>
          <w:rFonts w:ascii="Arial" w:hAnsi="Arial" w:cs="Arial"/>
          <w:sz w:val="22"/>
          <w:szCs w:val="22"/>
        </w:rPr>
        <w:t xml:space="preserve">, R., Body, R. and Goodwin, D. (2024) ‘Retaining doctors in emergency medicine: an ethnographic study of emergency departments in England’, </w:t>
      </w:r>
      <w:r w:rsidRPr="00B16875">
        <w:rPr>
          <w:rStyle w:val="Emphasis"/>
          <w:rFonts w:ascii="Arial" w:eastAsiaTheme="majorEastAsia" w:hAnsi="Arial" w:cs="Arial"/>
          <w:i w:val="0"/>
          <w:iCs w:val="0"/>
          <w:sz w:val="22"/>
          <w:szCs w:val="22"/>
        </w:rPr>
        <w:t>BMJ Open</w:t>
      </w:r>
      <w:r w:rsidRPr="00B16875">
        <w:rPr>
          <w:rFonts w:ascii="Arial" w:hAnsi="Arial" w:cs="Arial"/>
          <w:sz w:val="22"/>
          <w:szCs w:val="22"/>
        </w:rPr>
        <w:t>, 14(9), e086733.</w:t>
      </w:r>
    </w:p>
    <w:p w14:paraId="77D590E4"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GOV.UK (2025) </w:t>
      </w:r>
      <w:r w:rsidRPr="00B16875">
        <w:rPr>
          <w:rStyle w:val="Emphasis"/>
          <w:rFonts w:ascii="Arial" w:eastAsiaTheme="majorEastAsia" w:hAnsi="Arial" w:cs="Arial"/>
          <w:i w:val="0"/>
          <w:iCs w:val="0"/>
          <w:sz w:val="22"/>
          <w:szCs w:val="22"/>
        </w:rPr>
        <w:t>2024 National NHS Staff Survey Results</w:t>
      </w:r>
      <w:r w:rsidRPr="00B16875">
        <w:rPr>
          <w:rFonts w:ascii="Arial" w:hAnsi="Arial" w:cs="Arial"/>
          <w:sz w:val="22"/>
          <w:szCs w:val="22"/>
        </w:rPr>
        <w:t>. Available through official government publication pages.</w:t>
      </w:r>
    </w:p>
    <w:p w14:paraId="57246659"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NHS Employers (2025) </w:t>
      </w:r>
      <w:r w:rsidRPr="00B16875">
        <w:rPr>
          <w:rStyle w:val="Emphasis"/>
          <w:rFonts w:ascii="Arial" w:eastAsiaTheme="majorEastAsia" w:hAnsi="Arial" w:cs="Arial"/>
          <w:i w:val="0"/>
          <w:iCs w:val="0"/>
          <w:sz w:val="22"/>
          <w:szCs w:val="22"/>
        </w:rPr>
        <w:t>Beating burnout in the NHS</w:t>
      </w:r>
      <w:r w:rsidRPr="00B16875">
        <w:rPr>
          <w:rFonts w:ascii="Arial" w:hAnsi="Arial" w:cs="Arial"/>
          <w:sz w:val="22"/>
          <w:szCs w:val="22"/>
        </w:rPr>
        <w:t>.</w:t>
      </w:r>
    </w:p>
    <w:p w14:paraId="2A775759"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NHS England (2023) </w:t>
      </w:r>
      <w:r w:rsidRPr="00B16875">
        <w:rPr>
          <w:rStyle w:val="Emphasis"/>
          <w:rFonts w:ascii="Arial" w:eastAsiaTheme="majorEastAsia" w:hAnsi="Arial" w:cs="Arial"/>
          <w:i w:val="0"/>
          <w:iCs w:val="0"/>
          <w:sz w:val="22"/>
          <w:szCs w:val="22"/>
        </w:rPr>
        <w:t>NHS Long Term Workforce Plan</w:t>
      </w:r>
      <w:r w:rsidRPr="00B16875">
        <w:rPr>
          <w:rFonts w:ascii="Arial" w:hAnsi="Arial" w:cs="Arial"/>
          <w:sz w:val="22"/>
          <w:szCs w:val="22"/>
        </w:rPr>
        <w:t>.</w:t>
      </w:r>
    </w:p>
    <w:p w14:paraId="3F5EC434"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NHS England (2025a) </w:t>
      </w:r>
      <w:r w:rsidRPr="00B16875">
        <w:rPr>
          <w:rStyle w:val="Emphasis"/>
          <w:rFonts w:ascii="Arial" w:eastAsiaTheme="majorEastAsia" w:hAnsi="Arial" w:cs="Arial"/>
          <w:i w:val="0"/>
          <w:iCs w:val="0"/>
          <w:sz w:val="22"/>
          <w:szCs w:val="22"/>
        </w:rPr>
        <w:t>Staff leaving the NHS among lowest in over a decade</w:t>
      </w:r>
      <w:r w:rsidRPr="00B16875">
        <w:rPr>
          <w:rFonts w:ascii="Arial" w:hAnsi="Arial" w:cs="Arial"/>
          <w:sz w:val="22"/>
          <w:szCs w:val="22"/>
        </w:rPr>
        <w:t>.</w:t>
      </w:r>
    </w:p>
    <w:p w14:paraId="3199D4AF"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NHS Staff Survey (2025) </w:t>
      </w:r>
      <w:r w:rsidRPr="00B16875">
        <w:rPr>
          <w:rStyle w:val="Emphasis"/>
          <w:rFonts w:ascii="Arial" w:eastAsiaTheme="majorEastAsia" w:hAnsi="Arial" w:cs="Arial"/>
          <w:i w:val="0"/>
          <w:iCs w:val="0"/>
          <w:sz w:val="22"/>
          <w:szCs w:val="22"/>
        </w:rPr>
        <w:t>NHS Staff Survey 2024 National Results Briefing</w:t>
      </w:r>
      <w:r w:rsidRPr="00B16875">
        <w:rPr>
          <w:rFonts w:ascii="Arial" w:hAnsi="Arial" w:cs="Arial"/>
          <w:sz w:val="22"/>
          <w:szCs w:val="22"/>
        </w:rPr>
        <w:t>.</w:t>
      </w:r>
    </w:p>
    <w:p w14:paraId="75811696"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Office for National Statistics (2025) </w:t>
      </w:r>
      <w:r w:rsidRPr="00B16875">
        <w:rPr>
          <w:rStyle w:val="Emphasis"/>
          <w:rFonts w:ascii="Arial" w:eastAsiaTheme="majorEastAsia" w:hAnsi="Arial" w:cs="Arial"/>
          <w:i w:val="0"/>
          <w:iCs w:val="0"/>
          <w:sz w:val="22"/>
          <w:szCs w:val="22"/>
        </w:rPr>
        <w:t>Sickness absence in the UK labour market: 2023 and 2024</w:t>
      </w:r>
      <w:r w:rsidRPr="00B16875">
        <w:rPr>
          <w:rFonts w:ascii="Arial" w:hAnsi="Arial" w:cs="Arial"/>
          <w:sz w:val="22"/>
          <w:szCs w:val="22"/>
        </w:rPr>
        <w:t>.</w:t>
      </w:r>
    </w:p>
    <w:p w14:paraId="744C7099" w14:textId="77777777" w:rsidR="00B16875" w:rsidRPr="00B16875" w:rsidRDefault="00B16875" w:rsidP="00B16875">
      <w:pPr>
        <w:pStyle w:val="NormalWeb"/>
        <w:spacing w:line="276" w:lineRule="auto"/>
        <w:rPr>
          <w:rFonts w:ascii="Arial" w:hAnsi="Arial" w:cs="Arial"/>
          <w:sz w:val="22"/>
          <w:szCs w:val="22"/>
        </w:rPr>
      </w:pPr>
      <w:proofErr w:type="spellStart"/>
      <w:r w:rsidRPr="00B16875">
        <w:rPr>
          <w:rFonts w:ascii="Arial" w:hAnsi="Arial" w:cs="Arial"/>
          <w:sz w:val="22"/>
          <w:szCs w:val="22"/>
        </w:rPr>
        <w:lastRenderedPageBreak/>
        <w:t>Razai</w:t>
      </w:r>
      <w:proofErr w:type="spellEnd"/>
      <w:r w:rsidRPr="00B16875">
        <w:rPr>
          <w:rFonts w:ascii="Arial" w:hAnsi="Arial" w:cs="Arial"/>
          <w:sz w:val="22"/>
          <w:szCs w:val="22"/>
        </w:rPr>
        <w:t xml:space="preserve">, M.S., </w:t>
      </w:r>
      <w:proofErr w:type="spellStart"/>
      <w:r w:rsidRPr="00B16875">
        <w:rPr>
          <w:rFonts w:ascii="Arial" w:hAnsi="Arial" w:cs="Arial"/>
          <w:sz w:val="22"/>
          <w:szCs w:val="22"/>
        </w:rPr>
        <w:t>Kooner</w:t>
      </w:r>
      <w:proofErr w:type="spellEnd"/>
      <w:r w:rsidRPr="00B16875">
        <w:rPr>
          <w:rFonts w:ascii="Arial" w:hAnsi="Arial" w:cs="Arial"/>
          <w:sz w:val="22"/>
          <w:szCs w:val="22"/>
        </w:rPr>
        <w:t xml:space="preserve">, P. and Majeed, A. (2023) ‘Strategies and interventions to improve healthcare professionals’ well-being and reduce burnout’, </w:t>
      </w:r>
      <w:r w:rsidRPr="00B16875">
        <w:rPr>
          <w:rStyle w:val="Emphasis"/>
          <w:rFonts w:ascii="Arial" w:eastAsiaTheme="majorEastAsia" w:hAnsi="Arial" w:cs="Arial"/>
          <w:i w:val="0"/>
          <w:iCs w:val="0"/>
          <w:sz w:val="22"/>
          <w:szCs w:val="22"/>
        </w:rPr>
        <w:t>Journal of Primary Care &amp; Community Health</w:t>
      </w:r>
      <w:r w:rsidRPr="00B16875">
        <w:rPr>
          <w:rFonts w:ascii="Arial" w:hAnsi="Arial" w:cs="Arial"/>
          <w:sz w:val="22"/>
          <w:szCs w:val="22"/>
        </w:rPr>
        <w:t>, 14, 21501319231178641.</w:t>
      </w:r>
    </w:p>
    <w:p w14:paraId="3388A461" w14:textId="77777777" w:rsidR="00B16875" w:rsidRPr="00B16875" w:rsidRDefault="00B16875" w:rsidP="00B16875">
      <w:pPr>
        <w:pStyle w:val="NormalWeb"/>
        <w:spacing w:line="276" w:lineRule="auto"/>
        <w:rPr>
          <w:rFonts w:ascii="Arial" w:hAnsi="Arial" w:cs="Arial"/>
          <w:sz w:val="22"/>
          <w:szCs w:val="22"/>
        </w:rPr>
      </w:pPr>
      <w:proofErr w:type="spellStart"/>
      <w:r w:rsidRPr="00B16875">
        <w:rPr>
          <w:rFonts w:ascii="Arial" w:hAnsi="Arial" w:cs="Arial"/>
          <w:sz w:val="22"/>
          <w:szCs w:val="22"/>
        </w:rPr>
        <w:t>Swancott</w:t>
      </w:r>
      <w:proofErr w:type="spellEnd"/>
      <w:r w:rsidRPr="00B16875">
        <w:rPr>
          <w:rFonts w:ascii="Arial" w:hAnsi="Arial" w:cs="Arial"/>
          <w:sz w:val="22"/>
          <w:szCs w:val="22"/>
        </w:rPr>
        <w:t xml:space="preserve">, L., Armstrong, N., Roland, D., Walters, H.L. and Kirk, K. (2024) ‘Emergency department workforces’ experiences and perceptions of well-being from an international perspective: a scoping review’, </w:t>
      </w:r>
      <w:r w:rsidRPr="00B16875">
        <w:rPr>
          <w:rStyle w:val="Emphasis"/>
          <w:rFonts w:ascii="Arial" w:eastAsiaTheme="majorEastAsia" w:hAnsi="Arial" w:cs="Arial"/>
          <w:i w:val="0"/>
          <w:iCs w:val="0"/>
          <w:sz w:val="22"/>
          <w:szCs w:val="22"/>
        </w:rPr>
        <w:t>BMJ Open</w:t>
      </w:r>
      <w:r w:rsidRPr="00B16875">
        <w:rPr>
          <w:rFonts w:ascii="Arial" w:hAnsi="Arial" w:cs="Arial"/>
          <w:sz w:val="22"/>
          <w:szCs w:val="22"/>
        </w:rPr>
        <w:t>, 14(7), e087485.</w:t>
      </w:r>
    </w:p>
    <w:p w14:paraId="1C16EE63" w14:textId="77777777" w:rsidR="00B16875" w:rsidRPr="00B16875" w:rsidRDefault="00B16875" w:rsidP="00B16875">
      <w:pPr>
        <w:pStyle w:val="NormalWeb"/>
        <w:spacing w:line="276" w:lineRule="auto"/>
        <w:rPr>
          <w:rFonts w:ascii="Arial" w:hAnsi="Arial" w:cs="Arial"/>
          <w:sz w:val="22"/>
          <w:szCs w:val="22"/>
        </w:rPr>
      </w:pPr>
      <w:r w:rsidRPr="00B16875">
        <w:rPr>
          <w:rFonts w:ascii="Arial" w:hAnsi="Arial" w:cs="Arial"/>
          <w:sz w:val="22"/>
          <w:szCs w:val="22"/>
        </w:rPr>
        <w:t xml:space="preserve">West, T.H.R., Daher, P., Dawson, J.F., </w:t>
      </w:r>
      <w:proofErr w:type="spellStart"/>
      <w:r w:rsidRPr="00B16875">
        <w:rPr>
          <w:rFonts w:ascii="Arial" w:hAnsi="Arial" w:cs="Arial"/>
          <w:sz w:val="22"/>
          <w:szCs w:val="22"/>
        </w:rPr>
        <w:t>Lyubovnikova</w:t>
      </w:r>
      <w:proofErr w:type="spellEnd"/>
      <w:r w:rsidRPr="00B16875">
        <w:rPr>
          <w:rFonts w:ascii="Arial" w:hAnsi="Arial" w:cs="Arial"/>
          <w:sz w:val="22"/>
          <w:szCs w:val="22"/>
        </w:rPr>
        <w:t xml:space="preserve">, J., Buttigieg, S.C. and West, M.A. (2022) ‘The relationship between leader support, staff influence over decision making, work pressure and patient satisfaction: a cross-sectional analysis of NHS datasets in England’, </w:t>
      </w:r>
      <w:r w:rsidRPr="00B16875">
        <w:rPr>
          <w:rStyle w:val="Emphasis"/>
          <w:rFonts w:ascii="Arial" w:eastAsiaTheme="majorEastAsia" w:hAnsi="Arial" w:cs="Arial"/>
          <w:i w:val="0"/>
          <w:iCs w:val="0"/>
          <w:sz w:val="22"/>
          <w:szCs w:val="22"/>
        </w:rPr>
        <w:t>BMJ Open</w:t>
      </w:r>
      <w:r w:rsidRPr="00B16875">
        <w:rPr>
          <w:rFonts w:ascii="Arial" w:hAnsi="Arial" w:cs="Arial"/>
          <w:sz w:val="22"/>
          <w:szCs w:val="22"/>
        </w:rPr>
        <w:t>, 12(2), e052778.</w:t>
      </w:r>
    </w:p>
    <w:p w14:paraId="1D79CA9A" w14:textId="295B4A5A" w:rsidR="00530E16" w:rsidRPr="00B16875" w:rsidRDefault="00530E16" w:rsidP="00B16875">
      <w:pPr>
        <w:spacing w:line="276" w:lineRule="auto"/>
        <w:rPr>
          <w:rFonts w:ascii="Arial" w:eastAsia="Arial" w:hAnsi="Arial" w:cs="Arial"/>
          <w:sz w:val="22"/>
          <w:szCs w:val="22"/>
        </w:rPr>
      </w:pPr>
    </w:p>
    <w:sectPr w:rsidR="00530E16" w:rsidRPr="00B16875"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7507E" w14:textId="77777777" w:rsidR="00F909C8" w:rsidRDefault="00F909C8" w:rsidP="002A1842">
      <w:pPr>
        <w:spacing w:after="0" w:line="240" w:lineRule="auto"/>
      </w:pPr>
      <w:r>
        <w:separator/>
      </w:r>
    </w:p>
  </w:endnote>
  <w:endnote w:type="continuationSeparator" w:id="0">
    <w:p w14:paraId="1D7E3E0C" w14:textId="77777777" w:rsidR="00F909C8" w:rsidRDefault="00F909C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02F2F43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D8F2E8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1A4707F9"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209909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0837C" w14:textId="77777777" w:rsidR="00F909C8" w:rsidRDefault="00F909C8" w:rsidP="002A1842">
      <w:pPr>
        <w:spacing w:after="0" w:line="240" w:lineRule="auto"/>
      </w:pPr>
      <w:r>
        <w:separator/>
      </w:r>
    </w:p>
  </w:footnote>
  <w:footnote w:type="continuationSeparator" w:id="0">
    <w:p w14:paraId="7568B0A2" w14:textId="77777777" w:rsidR="00F909C8" w:rsidRDefault="00F909C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0AF6"/>
    <w:rsid w:val="002A1842"/>
    <w:rsid w:val="002B7AAF"/>
    <w:rsid w:val="00432D05"/>
    <w:rsid w:val="004468F8"/>
    <w:rsid w:val="00530E16"/>
    <w:rsid w:val="00575E73"/>
    <w:rsid w:val="00722EFE"/>
    <w:rsid w:val="007637E9"/>
    <w:rsid w:val="007E18E2"/>
    <w:rsid w:val="008E7834"/>
    <w:rsid w:val="009F60D1"/>
    <w:rsid w:val="00A75B15"/>
    <w:rsid w:val="00AE06EA"/>
    <w:rsid w:val="00B16875"/>
    <w:rsid w:val="00B65ED6"/>
    <w:rsid w:val="00BA0043"/>
    <w:rsid w:val="00CF650B"/>
    <w:rsid w:val="00D62A9C"/>
    <w:rsid w:val="00DB181C"/>
    <w:rsid w:val="00EA04EC"/>
    <w:rsid w:val="00F618F2"/>
    <w:rsid w:val="00F9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3BA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B16875"/>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78907">
      <w:bodyDiv w:val="1"/>
      <w:marLeft w:val="0"/>
      <w:marRight w:val="0"/>
      <w:marTop w:val="0"/>
      <w:marBottom w:val="0"/>
      <w:divBdr>
        <w:top w:val="none" w:sz="0" w:space="0" w:color="auto"/>
        <w:left w:val="none" w:sz="0" w:space="0" w:color="auto"/>
        <w:bottom w:val="none" w:sz="0" w:space="0" w:color="auto"/>
        <w:right w:val="none" w:sz="0" w:space="0" w:color="auto"/>
      </w:divBdr>
    </w:div>
    <w:div w:id="157230215">
      <w:bodyDiv w:val="1"/>
      <w:marLeft w:val="0"/>
      <w:marRight w:val="0"/>
      <w:marTop w:val="0"/>
      <w:marBottom w:val="0"/>
      <w:divBdr>
        <w:top w:val="none" w:sz="0" w:space="0" w:color="auto"/>
        <w:left w:val="none" w:sz="0" w:space="0" w:color="auto"/>
        <w:bottom w:val="none" w:sz="0" w:space="0" w:color="auto"/>
        <w:right w:val="none" w:sz="0" w:space="0" w:color="auto"/>
      </w:divBdr>
    </w:div>
    <w:div w:id="638146265">
      <w:bodyDiv w:val="1"/>
      <w:marLeft w:val="0"/>
      <w:marRight w:val="0"/>
      <w:marTop w:val="0"/>
      <w:marBottom w:val="0"/>
      <w:divBdr>
        <w:top w:val="none" w:sz="0" w:space="0" w:color="auto"/>
        <w:left w:val="none" w:sz="0" w:space="0" w:color="auto"/>
        <w:bottom w:val="none" w:sz="0" w:space="0" w:color="auto"/>
        <w:right w:val="none" w:sz="0" w:space="0" w:color="auto"/>
      </w:divBdr>
    </w:div>
    <w:div w:id="648482146">
      <w:bodyDiv w:val="1"/>
      <w:marLeft w:val="0"/>
      <w:marRight w:val="0"/>
      <w:marTop w:val="0"/>
      <w:marBottom w:val="0"/>
      <w:divBdr>
        <w:top w:val="none" w:sz="0" w:space="0" w:color="auto"/>
        <w:left w:val="none" w:sz="0" w:space="0" w:color="auto"/>
        <w:bottom w:val="none" w:sz="0" w:space="0" w:color="auto"/>
        <w:right w:val="none" w:sz="0" w:space="0" w:color="auto"/>
      </w:divBdr>
    </w:div>
    <w:div w:id="660236905">
      <w:bodyDiv w:val="1"/>
      <w:marLeft w:val="0"/>
      <w:marRight w:val="0"/>
      <w:marTop w:val="0"/>
      <w:marBottom w:val="0"/>
      <w:divBdr>
        <w:top w:val="none" w:sz="0" w:space="0" w:color="auto"/>
        <w:left w:val="none" w:sz="0" w:space="0" w:color="auto"/>
        <w:bottom w:val="none" w:sz="0" w:space="0" w:color="auto"/>
        <w:right w:val="none" w:sz="0" w:space="0" w:color="auto"/>
      </w:divBdr>
    </w:div>
    <w:div w:id="780151541">
      <w:bodyDiv w:val="1"/>
      <w:marLeft w:val="0"/>
      <w:marRight w:val="0"/>
      <w:marTop w:val="0"/>
      <w:marBottom w:val="0"/>
      <w:divBdr>
        <w:top w:val="none" w:sz="0" w:space="0" w:color="auto"/>
        <w:left w:val="none" w:sz="0" w:space="0" w:color="auto"/>
        <w:bottom w:val="none" w:sz="0" w:space="0" w:color="auto"/>
        <w:right w:val="none" w:sz="0" w:space="0" w:color="auto"/>
      </w:divBdr>
    </w:div>
    <w:div w:id="1059746740">
      <w:bodyDiv w:val="1"/>
      <w:marLeft w:val="0"/>
      <w:marRight w:val="0"/>
      <w:marTop w:val="0"/>
      <w:marBottom w:val="0"/>
      <w:divBdr>
        <w:top w:val="none" w:sz="0" w:space="0" w:color="auto"/>
        <w:left w:val="none" w:sz="0" w:space="0" w:color="auto"/>
        <w:bottom w:val="none" w:sz="0" w:space="0" w:color="auto"/>
        <w:right w:val="none" w:sz="0" w:space="0" w:color="auto"/>
      </w:divBdr>
    </w:div>
    <w:div w:id="1323003354">
      <w:bodyDiv w:val="1"/>
      <w:marLeft w:val="0"/>
      <w:marRight w:val="0"/>
      <w:marTop w:val="0"/>
      <w:marBottom w:val="0"/>
      <w:divBdr>
        <w:top w:val="none" w:sz="0" w:space="0" w:color="auto"/>
        <w:left w:val="none" w:sz="0" w:space="0" w:color="auto"/>
        <w:bottom w:val="none" w:sz="0" w:space="0" w:color="auto"/>
        <w:right w:val="none" w:sz="0" w:space="0" w:color="auto"/>
      </w:divBdr>
    </w:div>
    <w:div w:id="1352488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balan bianca</cp:lastModifiedBy>
  <cp:revision>2</cp:revision>
  <dcterms:created xsi:type="dcterms:W3CDTF">2026-03-30T17:33:00Z</dcterms:created>
  <dcterms:modified xsi:type="dcterms:W3CDTF">2026-03-30T17:33:00Z</dcterms:modified>
</cp:coreProperties>
</file>