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54ECEE4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690DF8">
              <w:rPr>
                <w:b/>
                <w:color w:val="auto"/>
                <w:sz w:val="32"/>
              </w:rPr>
              <w:t>: Catlin Elizabeth Powell</w:t>
            </w:r>
          </w:p>
          <w:p w14:paraId="44290483" w14:textId="77777777" w:rsidR="00FF6BE0" w:rsidRDefault="00FF6BE0" w:rsidP="00340E9A">
            <w:pPr>
              <w:overflowPunct/>
              <w:autoSpaceDE/>
              <w:autoSpaceDN/>
              <w:adjustRightInd/>
              <w:ind w:right="237"/>
              <w:textAlignment w:val="auto"/>
              <w:rPr>
                <w:b/>
                <w:color w:val="auto"/>
                <w:sz w:val="32"/>
              </w:rPr>
            </w:pPr>
          </w:p>
          <w:p w14:paraId="07F4F00E" w14:textId="6303CB22"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275349">
              <w:rPr>
                <w:b/>
                <w:color w:val="auto"/>
                <w:sz w:val="32"/>
              </w:rPr>
              <w:t xml:space="preserve"> </w:t>
            </w:r>
            <w:r w:rsidR="00275349" w:rsidRPr="00275349">
              <w:rPr>
                <w:b/>
                <w:color w:val="auto"/>
                <w:sz w:val="32"/>
              </w:rPr>
              <w:t>2016650</w:t>
            </w:r>
          </w:p>
          <w:p w14:paraId="4A4B1989" w14:textId="25F0D46C" w:rsidR="005A1BA3" w:rsidRDefault="005A1BA3" w:rsidP="00340E9A">
            <w:pPr>
              <w:overflowPunct/>
              <w:autoSpaceDE/>
              <w:autoSpaceDN/>
              <w:adjustRightInd/>
              <w:ind w:right="237"/>
              <w:textAlignment w:val="auto"/>
              <w:rPr>
                <w:b/>
                <w:color w:val="auto"/>
                <w:sz w:val="32"/>
              </w:rPr>
            </w:pP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lastRenderedPageBreak/>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862BE7"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61825E14" w14:textId="484D9EDD" w:rsidR="00AA666E" w:rsidRDefault="00025650" w:rsidP="00340E9A">
      <w:pPr>
        <w:ind w:right="237"/>
        <w:jc w:val="both"/>
        <w:rPr>
          <w:b/>
          <w:sz w:val="24"/>
          <w:szCs w:val="24"/>
        </w:rPr>
      </w:pPr>
      <w:r w:rsidRPr="00025650">
        <w:rPr>
          <w:b/>
          <w:sz w:val="24"/>
          <w:szCs w:val="24"/>
        </w:rPr>
        <w:t>ANSWER:</w:t>
      </w:r>
    </w:p>
    <w:p w14:paraId="64D453B5" w14:textId="1824D3CF" w:rsidR="00690DF8" w:rsidRDefault="00690DF8" w:rsidP="00340E9A">
      <w:pPr>
        <w:ind w:right="237"/>
        <w:jc w:val="both"/>
        <w:rPr>
          <w:b/>
          <w:sz w:val="24"/>
          <w:szCs w:val="24"/>
        </w:rPr>
      </w:pPr>
    </w:p>
    <w:p w14:paraId="7996C11A" w14:textId="77777777" w:rsidR="00B16ACF" w:rsidRPr="00B16ACF" w:rsidRDefault="00B16ACF" w:rsidP="00B16ACF">
      <w:pPr>
        <w:ind w:right="237"/>
        <w:jc w:val="both"/>
        <w:rPr>
          <w:sz w:val="24"/>
          <w:szCs w:val="24"/>
        </w:rPr>
      </w:pPr>
      <w:r w:rsidRPr="00B16ACF">
        <w:rPr>
          <w:sz w:val="24"/>
          <w:szCs w:val="24"/>
        </w:rPr>
        <w:t xml:space="preserve">Throughout my tutorship, I have adapted to various changes and challenges. The first change was working with my new team, after working with the same group of colleagues for six months I now had to adapt working with a new team of colleagues. I did this by making an appointment with my tutor to attend the station a week before I started. I felt this would help, as it would produce less pressure on myself before I started my first day operational and could take my time by locating the station and car parking. When meeting my team for the first time I “practice active listening and model best behaviour, while using small talk, to start building relationships with your new team members.” (Mind Tools, n.d.) I also asked open questions to my tutor about what to expect during my tutorship, this created a good first impression and conversation between my tutor and myself. After applying these skills, I felt this was good team building as the team instantly made me feel at ease to minimise stress during my tutorship. </w:t>
      </w:r>
    </w:p>
    <w:p w14:paraId="277AF96F" w14:textId="77777777" w:rsidR="00B16ACF" w:rsidRPr="00B16ACF" w:rsidRDefault="00B16ACF" w:rsidP="00B16ACF">
      <w:pPr>
        <w:ind w:right="237"/>
        <w:jc w:val="both"/>
        <w:rPr>
          <w:sz w:val="24"/>
          <w:szCs w:val="24"/>
        </w:rPr>
      </w:pPr>
    </w:p>
    <w:p w14:paraId="33BFDBE2" w14:textId="77777777" w:rsidR="00B16ACF" w:rsidRPr="00B16ACF" w:rsidRDefault="00B16ACF" w:rsidP="00B16ACF">
      <w:pPr>
        <w:ind w:right="237"/>
        <w:jc w:val="both"/>
        <w:rPr>
          <w:sz w:val="24"/>
          <w:szCs w:val="24"/>
        </w:rPr>
      </w:pPr>
      <w:r w:rsidRPr="00B16ACF">
        <w:rPr>
          <w:sz w:val="24"/>
          <w:szCs w:val="24"/>
        </w:rPr>
        <w:t xml:space="preserve">After around two weeks of working my new shift pattern my body was faced with various challenges from working unsocial hours. The first challenge I felt my body faced was my sleep pattern from working night shifts, as my body was not used to this I felt that this led to a lack of concentration and  fatigue, leading to feeling weak. Studies show that ‘adults need between 7 and 9 hours of sleep to function at their best. If you sleep for under that amount, you will incur “sleep debt.” The only way to pay back sleep debt is to catch up on sleep you have missed, and this has to occur as soon as possible after it is incurred” (Medical News Today, n.d.). I combated this possible sleep debt during my tutorship by setting aside a block of 7-9 hours to dedicate to sleep and making the bedroom quiet, dark and at a comfortable temperature; this improved my energy levels and made me more resilient. I also found that change in my diet whilst working unsocial hours resulted in weight gain. Research has repeatedly confirmed that night shift workers are heavier than day shift workers. A 2003 study performed by a team of researchers at the Universities of Bari and Foggia in Italy found that Italian factory workers on evening and night shifts gained more weight and had higher blood pressure than their peers on day </w:t>
      </w:r>
      <w:r w:rsidRPr="00B16ACF">
        <w:rPr>
          <w:sz w:val="24"/>
          <w:szCs w:val="24"/>
        </w:rPr>
        <w:lastRenderedPageBreak/>
        <w:t xml:space="preserve">shifts (SF Gate.com , 2018).  I targeted this by having a sufficient meal at correct times and taking small portions of healthy snacks such as nuts, fruit and drinking plenty of water. This improved my weight and saw a visible result weight loss reducing any possible stress I may have felt at the weight gain. </w:t>
      </w:r>
    </w:p>
    <w:p w14:paraId="62634EA8" w14:textId="77777777" w:rsidR="00B16ACF" w:rsidRPr="00B16ACF" w:rsidRDefault="00B16ACF" w:rsidP="00B16ACF">
      <w:pPr>
        <w:ind w:right="237"/>
        <w:jc w:val="both"/>
        <w:rPr>
          <w:sz w:val="24"/>
          <w:szCs w:val="24"/>
        </w:rPr>
      </w:pPr>
    </w:p>
    <w:p w14:paraId="616003F9" w14:textId="11844403" w:rsidR="00FF7784" w:rsidRDefault="00B16ACF" w:rsidP="00B16ACF">
      <w:pPr>
        <w:ind w:right="237"/>
        <w:jc w:val="both"/>
        <w:rPr>
          <w:sz w:val="24"/>
          <w:szCs w:val="24"/>
        </w:rPr>
      </w:pPr>
      <w:r w:rsidRPr="00B16ACF">
        <w:rPr>
          <w:sz w:val="24"/>
          <w:szCs w:val="24"/>
        </w:rPr>
        <w:t>Adapting to the role of a constable, it was time to put all my training from the past six months into practise. My first set of shifts operational I had to adapt quickly to my workload as it was intense and fast paced. I found myself attending calls of different natures and enforcing the law, this is something I had never been exposed to and did lead to some stress as I was held responsible for the outcome of the incident. I found this overwhelming and challenging as I wanted to make correct and efficient decisions. I overcame this by having regular reflective discussions with my tutor looking back on the nature of the day’s events and any challenges I came across, for example seeing deceased bodies at sudden death incidents. Police officers can face stress from a variety of different places and from daily responsibilities including ‘poor management, inadequate equipment, excessive overtime, frequent rotating shifts and family/relationship problems’ (Police 1.com, 2017) . To overcome this during my tutorship I used the previously mentioned strategies such as reflection, regular conversations, time management, conversing with my team as well as seeking support from management. This support came through my tutor, supervisor as well as from family and friends. This in turn developed my resilience towards the work I was undertaking and helped me combat any stress I encountered.</w:t>
      </w:r>
    </w:p>
    <w:p w14:paraId="1A31D5FF" w14:textId="5935D819" w:rsidR="002851BA" w:rsidRDefault="002851BA" w:rsidP="00B16ACF">
      <w:pPr>
        <w:ind w:right="237"/>
        <w:jc w:val="both"/>
        <w:rPr>
          <w:sz w:val="24"/>
          <w:szCs w:val="24"/>
        </w:rPr>
      </w:pPr>
    </w:p>
    <w:p w14:paraId="01B026BB" w14:textId="60CA3F99" w:rsidR="002851BA" w:rsidRPr="002851BA" w:rsidRDefault="002851BA" w:rsidP="00B16ACF">
      <w:pPr>
        <w:ind w:right="237"/>
        <w:jc w:val="both"/>
        <w:rPr>
          <w:b/>
          <w:sz w:val="24"/>
          <w:szCs w:val="24"/>
        </w:rPr>
      </w:pPr>
      <w:r w:rsidRPr="002851BA">
        <w:rPr>
          <w:b/>
          <w:sz w:val="24"/>
          <w:szCs w:val="24"/>
        </w:rPr>
        <w:t>Word Count = 699</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690DF8">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5E868A48" w14:textId="3839B7F2" w:rsidR="00450C83" w:rsidRDefault="00450C83" w:rsidP="00340E9A">
      <w:pPr>
        <w:ind w:right="237"/>
        <w:jc w:val="both"/>
        <w:rPr>
          <w:b/>
          <w:sz w:val="24"/>
          <w:szCs w:val="24"/>
        </w:rPr>
      </w:pPr>
      <w:r w:rsidRPr="00450C83">
        <w:rPr>
          <w:b/>
          <w:sz w:val="24"/>
          <w:szCs w:val="24"/>
        </w:rPr>
        <w:t>ANSWER:</w:t>
      </w:r>
    </w:p>
    <w:p w14:paraId="6F67673D" w14:textId="1DF74C09" w:rsidR="00690DF8" w:rsidRDefault="00690DF8" w:rsidP="00340E9A">
      <w:pPr>
        <w:ind w:right="237"/>
        <w:jc w:val="both"/>
      </w:pPr>
    </w:p>
    <w:p w14:paraId="0EF7DB05" w14:textId="77777777" w:rsidR="00B16ACF" w:rsidRPr="00B16ACF" w:rsidRDefault="00B16ACF" w:rsidP="00B16ACF">
      <w:pPr>
        <w:ind w:right="237"/>
        <w:jc w:val="both"/>
        <w:rPr>
          <w:sz w:val="24"/>
          <w:szCs w:val="24"/>
        </w:rPr>
      </w:pPr>
      <w:r w:rsidRPr="00B16ACF">
        <w:rPr>
          <w:sz w:val="24"/>
          <w:szCs w:val="24"/>
        </w:rPr>
        <w:t xml:space="preserve">This incident relates to a vulnerable male offender and involved application of safeguarding, Code of Practice, various communication skills, decision making and public protection. Firstly, we received a call on the police issued radio during the day in regards to a suicidal male aged 28; the call was received from the male’s mother. She had stated that herself and her son had had a verbal altercation at the home address, following which the male left the address stating to his mother that he was going to kill himself. The call was made 20 minutes after he had left the address so myself and another officer decided that the first thing to do was an area search. The mother had passed onto officers a contact number for the male’s Support Officer. I then phoned the Support Officer to gather more information about the male and his background and was informed that he was classes as extremely vulnerable and </w:t>
      </w:r>
      <w:r w:rsidRPr="00B16ACF">
        <w:rPr>
          <w:sz w:val="24"/>
          <w:szCs w:val="24"/>
        </w:rPr>
        <w:lastRenderedPageBreak/>
        <w:t xml:space="preserve">suffers from severe learning difficulties including Autism Spectrum Disorder and ADHD with violent tendencies. Research shows evidently that many people with ADHD are quick to get angry and feel emotions intensely and can have trouble managing them ( Understood.org, n.d.). The Support Officer also informed me that the male appears to sometimes hide his learning difficulties well and appear sociable which would give false indication to anyone he came into contact with but is volatile and can lash out. After gathering this information and assessing the situation using the National Decision Making Model (NDM) I had come to the decision that the male and the indicating factors of his vulnerabilities made him a high risk missing person. Shortly after conducting a search of the area I had managed to get in contact with the male via the number that his mother had provided. He answered the phone and stated his location to me which was in the local town centre. Myself and another officer made our way to the area via immediate response and located the male in the local bus station where there was a high volume of public presence.  We approached the male who appeared visibly frightened by the police presence and enquired about his wellbeing. We also reassured him of why we were there as we were concerned for his welfare after his previous comments to his mother. The male said he was fine but was going to catch a bus to meet his girlfriend. At this point it became clear that what the Support Officer had informed us about the male was evident as he appeared quite infantile in his language and childlike in his behaviour. Due to ongoing safeguarding concerns, I decided that the male was still a risk to himself due to the suicidal comments made previously so escorted him to the van making sure to ask him how he was feeling mentally. He then stated that “he was half and half” suicidal. I decided to ring the Support Worker at this point for further guidance and he stated that the male was awaiting assessment from the Mental Health Team. After conferring with my colleague we made the decision to place him back home with his family as his father is used to managing his behaviours and would administer his medication and keep a close watch on the male. The reasons for this decision were that firstly the male refused to be taken to hospital for assessment. The male was also not under Section 136 of the Mental Health Act 1983 which means he had enough mental capacity and did not need to be sectioned. He was then monitored and returned home to await his mental health assessment the following day. </w:t>
      </w:r>
    </w:p>
    <w:p w14:paraId="559A0FA1" w14:textId="77777777" w:rsidR="00B16ACF" w:rsidRPr="00B16ACF" w:rsidRDefault="00B16ACF" w:rsidP="00B16ACF">
      <w:pPr>
        <w:ind w:right="237"/>
        <w:jc w:val="both"/>
        <w:rPr>
          <w:sz w:val="24"/>
          <w:szCs w:val="24"/>
        </w:rPr>
      </w:pPr>
      <w:r w:rsidRPr="00B16ACF">
        <w:rPr>
          <w:sz w:val="24"/>
          <w:szCs w:val="24"/>
        </w:rPr>
        <w:t xml:space="preserve">Reviewing the situation and the male’s vulnerability I had to clearly adapt my use of communication skills throughout the incident. In terms of verbal communication, I changed my tone of voice to appear calming and non-threatening for the male as he seemed afraid and intimated of the police presence. Tone of voice is important to build trust as when speaking to a member of the public they identify a tone of voice as also identifying a personality (Pixus, n.d.). Furthermore, I had to constantly reassure the male and negotiate with him to come with us to the van as he associated the police van with arrest and appeared afraid and shaken. This was somewhat due to his learning difficulties but mostly linked to his offending background. During background checks on my way to the incident it had been made apparent that the male had recently come out of prison due to domestic related incidents and had been imprisoned for an assault on an ex-partner. He also had previous tendencies to prey on vulnerable women through social media and often arranged to meet them often jumping to conclusions about these women and, due to his learning difficulties, would exaggerate these relationships. The male also had two restraining orders from two different females. ‘A restraining order is a court order </w:t>
      </w:r>
      <w:r w:rsidRPr="00B16ACF">
        <w:rPr>
          <w:sz w:val="24"/>
          <w:szCs w:val="24"/>
        </w:rPr>
        <w:lastRenderedPageBreak/>
        <w:t xml:space="preserve">which prohibits the abuser from contact, attending place of work or home address and the breaching of this is a criminal offence’ (Rights of Women, 2014). As the male had started, once questioned, that he was going to visit a girlfriend this made me immediately concerned of the intentions of this relationship and what could possibly happen. I had also contacted the female ‘girlfriend’ and ascertained that she only thought of him as a friend and was also vulnerable herself; therefore adding more concern to the situation. </w:t>
      </w:r>
    </w:p>
    <w:p w14:paraId="125671E7" w14:textId="77777777" w:rsidR="00B16ACF" w:rsidRPr="00B16ACF" w:rsidRDefault="00B16ACF" w:rsidP="00B16ACF">
      <w:pPr>
        <w:ind w:right="237"/>
        <w:jc w:val="both"/>
        <w:rPr>
          <w:sz w:val="24"/>
          <w:szCs w:val="24"/>
        </w:rPr>
      </w:pPr>
      <w:r w:rsidRPr="00B16ACF">
        <w:rPr>
          <w:sz w:val="24"/>
          <w:szCs w:val="24"/>
        </w:rPr>
        <w:t>When it came to safeguarding, I had to safeguard the male, the male’s family, the female ‘girlfriend’ as well as considering the risk to the public. Firstly, with regards to the male he posed an immediate threat to himself and the public and therefore I made sure he was left in a safe environment where he could be monitored and as previously explained he was not taken to hospital. I also notified his Support Worker as previously mentioned and had also reassured his family that they should immediately contact 999 if he attempted to leave the property on his own again. I then submitted a Vulnerable Person Public Protection Notice (PPN) which is a document that summarises the vulnerabilities of victims and goes to the Public Protection Unit (PPU) which uses the information to assess risk (Justice Inspecorates.gov.uk, 2015). I summarised that the male was in need of further support from Mental Health Services but also that the family needed support with regards to his increasing irrational behaviour. Secondly, the female ‘girlfriend’ also needed safeguarding from the male as he was showing signs of previous offending behaviour which the female did not welcome. I conferred with the Domestic Abuse Unit and discussed with them options for the female as there had been no offences disclosed, I looked at Clare’s Law. Clare’s Law is a “domestic violence disclosure scheme. It is named after Clare Wood who was murdered in 2009 by her ex-boyfriend who had a history of violence” (Cambridgeshire Constabulary, n.d.).  The scheme allows you to ask the police about the information they hold on a person in relation to domestic abuse offences and convictions and therefore the Domestic Abuse Team has explained this to the female. Lastly with regards to the protection of the public interest there were various elements to how I safeguarded including the rapid response to locate the male and making sure that there was a sufficient amount of officers during the incident to manage his threat to the public.</w:t>
      </w:r>
    </w:p>
    <w:p w14:paraId="332CB70F" w14:textId="195C594D" w:rsidR="00B16ACF" w:rsidRPr="00B16ACF" w:rsidRDefault="00B16ACF" w:rsidP="00B16ACF">
      <w:pPr>
        <w:ind w:right="237"/>
        <w:jc w:val="both"/>
        <w:rPr>
          <w:sz w:val="24"/>
          <w:szCs w:val="24"/>
        </w:rPr>
      </w:pPr>
      <w:r w:rsidRPr="00B16ACF">
        <w:rPr>
          <w:sz w:val="24"/>
          <w:szCs w:val="24"/>
        </w:rPr>
        <w:t>Overall during the incident as per the role of a police constable my number one priority was to preserve life. At all times I complied with the Code of Practice and the Human Rights Act 1998 to ensure that ethically I was compliant and that the male and all other parties concerned were adequately treated and overall risk was reduced.</w:t>
      </w:r>
    </w:p>
    <w:p w14:paraId="6A73DBDF" w14:textId="77777777" w:rsidR="00AA666E" w:rsidRPr="00B16ACF"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35951D15" w:rsidR="00AA666E" w:rsidRPr="002851BA" w:rsidRDefault="002851BA" w:rsidP="00340E9A">
      <w:pPr>
        <w:ind w:right="237"/>
        <w:jc w:val="both"/>
        <w:rPr>
          <w:b/>
          <w:sz w:val="24"/>
          <w:szCs w:val="24"/>
        </w:rPr>
      </w:pPr>
      <w:r w:rsidRPr="002851BA">
        <w:rPr>
          <w:b/>
          <w:sz w:val="24"/>
          <w:szCs w:val="24"/>
        </w:rPr>
        <w:t>Word Count = 1313</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3F1CD231" w:rsidR="00711A70" w:rsidRDefault="00711A70" w:rsidP="00340E9A">
      <w:pPr>
        <w:ind w:right="237"/>
        <w:jc w:val="both"/>
        <w:rPr>
          <w:b/>
          <w:sz w:val="24"/>
          <w:szCs w:val="24"/>
        </w:rPr>
      </w:pPr>
      <w:r w:rsidRPr="00450C83">
        <w:rPr>
          <w:b/>
          <w:sz w:val="24"/>
          <w:szCs w:val="24"/>
        </w:rPr>
        <w:t>ANSWER:</w:t>
      </w:r>
    </w:p>
    <w:p w14:paraId="4FB87EF0" w14:textId="614785A6" w:rsidR="00690DF8" w:rsidRPr="003B2CD2" w:rsidRDefault="00690DF8" w:rsidP="00340E9A">
      <w:pPr>
        <w:ind w:right="237"/>
        <w:jc w:val="both"/>
        <w:rPr>
          <w:b/>
          <w:sz w:val="24"/>
          <w:szCs w:val="24"/>
        </w:rPr>
      </w:pPr>
    </w:p>
    <w:p w14:paraId="523367A0" w14:textId="77777777" w:rsidR="003B2CD2" w:rsidRPr="003B2CD2" w:rsidRDefault="003B2CD2" w:rsidP="003B2CD2">
      <w:pPr>
        <w:rPr>
          <w:sz w:val="24"/>
          <w:szCs w:val="24"/>
        </w:rPr>
      </w:pPr>
      <w:r w:rsidRPr="003B2CD2">
        <w:rPr>
          <w:sz w:val="24"/>
          <w:szCs w:val="24"/>
        </w:rPr>
        <w:t>This incident relates to Section 1 (S1) Criminal Damage Act 1971 and Section 5 (S5) Protection from Harassment Act 1997. I attended a call in relation to an ongoing disturbance between a female and her ex-partner at her home address. The male currently had a restraining order not to contact or attend the female’s home address. Once my colleague and I arrived at the address the male had already made off from the area. The female had stated that the male had attended the address and caused damage to her vehicle that was parked on the driveway. The female had added that he had been verbally abusive to her. My colleague and myself conducted an area search for the male and located him a street away from the female’s home address. When locating the male I could see that he was disabled and in use of a wheelchair. I made sure that my use of force was necessary and ethical. The male was arrested for Criminal Damage and Breach of Restraining Order, the necessity for this arrest was prompt and effective investigation and prevent loss or damage to property. The male was conveyed to custody where his detention was authorised.</w:t>
      </w:r>
    </w:p>
    <w:p w14:paraId="191B4F27" w14:textId="77777777" w:rsidR="003B2CD2" w:rsidRPr="003B2CD2" w:rsidRDefault="003B2CD2" w:rsidP="003B2CD2">
      <w:pPr>
        <w:rPr>
          <w:sz w:val="24"/>
          <w:szCs w:val="24"/>
        </w:rPr>
      </w:pPr>
    </w:p>
    <w:p w14:paraId="47B83F78" w14:textId="77777777" w:rsidR="003B2CD2" w:rsidRPr="003B2CD2" w:rsidRDefault="003B2CD2" w:rsidP="003B2CD2">
      <w:pPr>
        <w:rPr>
          <w:sz w:val="24"/>
          <w:szCs w:val="24"/>
        </w:rPr>
      </w:pPr>
      <w:r w:rsidRPr="003B2CD2">
        <w:rPr>
          <w:sz w:val="24"/>
          <w:szCs w:val="24"/>
        </w:rPr>
        <w:t xml:space="preserve">After the male’s detention was authorised I started to gather evidence and conduct my investigation. I made my way back to the female’s address as I had golden hour </w:t>
      </w:r>
      <w:r w:rsidRPr="003B2CD2">
        <w:rPr>
          <w:sz w:val="24"/>
          <w:szCs w:val="24"/>
        </w:rPr>
        <w:lastRenderedPageBreak/>
        <w:t>opportunities available. ‘The Golden hour is a term for the period immediately following the commission of an offence where material is abundant and readily available to police’ (Harper Shaw.co.uk, 2019). I had taken a witness statement from the female who had provided me with a full account of the incident and wished to make a formal complaint against the male. I took photographs of the damage caused to the vehicle, I did this using my police issued mobile phone and uploaded the photos onto Evidence.Com. I conducted house-to-house enquiries from the neighbour; the neighbour next door to the female had said that they had seen what happened and had clear CCTV footage of the incident. I obtained the CCTV footage from the neighbour who also provided me with a witness statement and was willing to attend court if needed. The CCTV footage had shown the male causing damage to the vehicle using his prosthetic leg. All evidence gathered was sufficient to now interview the male.</w:t>
      </w:r>
    </w:p>
    <w:p w14:paraId="0267B032" w14:textId="77777777" w:rsidR="003B2CD2" w:rsidRPr="003B2CD2" w:rsidRDefault="003B2CD2" w:rsidP="003B2CD2">
      <w:pPr>
        <w:rPr>
          <w:sz w:val="24"/>
          <w:szCs w:val="24"/>
        </w:rPr>
      </w:pPr>
    </w:p>
    <w:p w14:paraId="5EDF1A38" w14:textId="77777777" w:rsidR="003B2CD2" w:rsidRPr="003B2CD2" w:rsidRDefault="003B2CD2" w:rsidP="003B2CD2">
      <w:pPr>
        <w:rPr>
          <w:sz w:val="24"/>
          <w:szCs w:val="24"/>
        </w:rPr>
      </w:pPr>
      <w:r w:rsidRPr="003B2CD2">
        <w:rPr>
          <w:sz w:val="24"/>
          <w:szCs w:val="24"/>
        </w:rPr>
        <w:t xml:space="preserve">As the male was not intoxicated at this time, he was medically fit for interview as soon as possible. I used the PEACE model to conduct my interview. I started with the planning and preparation of my interview; I had gathered two witness statements and CCTV footage of the incident that had evidenced that the male had committed the offence. I had prewritten questions that I was going to ask in my interview. I had wrote questions like “DID YOU HAVE ANY PUPOSE TO BE AT THAT LOCATION?” and “DID YOU INTEND YO CAUSE DAMAGE TO THE VEHICLE?” Using questions like this would establish the points to prove for two offences that had been committed. I had also prepared still photos from the CCTV of the male causing damage which I then produced ad my exhibits. The male was entitled to free and independent legal advice to which the male had agreed to have. When a person is taken to the police station they have the right to private consultation with a solicitor free and independently under PACE code C3.1 (Hewitt’s Solicitors, n.d.).  I had provided the solicitor with a disclosure document of any relevance to his client that would be asked in interview. This document included a summary of the incident, exhibits and interview objectives. On the solicitor’s arrival I escorted him to the interview room where he could brief his client in relation to the interview. When it was time to start the interview I had explained to the male that this interview was being visually recorded. I engaged with the male by introducing myself and everyone else present in the room, explained the reason why this interview was taking place and a routine of what the interview entailed. This was explained through a prepared interview memo card so that all relevant information was provided, it was also important that the male understood the process and that I could answer any questions he had. I then moved on to questioning the male I used the cone system to structure my questioning technique. I did this by firstly starting using opening questions such as “TELL ME ABOUT WHAT HAPPENED” followed by probing questions like “WHY WERE YOU AT THE LOCATION” and finally closed questions such as “I PUT TO YOU THAT THE CCTV FOOTAGE SHOWS THAT YOU WERE AT THE LOCATION”. The male answered “NO COMMENT” throughout the interview and was exercising his right to silence under Section 34 Criminal Justice and Public Order Act 1994, the male did however identify that he was the male in the CCTV footage, which made clear to me that he had committed both offences. I continued my questioning and concluded the interview. The male was charged and remanded and the following morning had attended court where he was recalled back to prison. </w:t>
      </w:r>
    </w:p>
    <w:p w14:paraId="2FFDCF0F" w14:textId="77777777" w:rsidR="003B2CD2" w:rsidRPr="003B2CD2" w:rsidRDefault="003B2CD2" w:rsidP="003B2CD2">
      <w:pPr>
        <w:rPr>
          <w:sz w:val="24"/>
          <w:szCs w:val="24"/>
        </w:rPr>
      </w:pPr>
    </w:p>
    <w:p w14:paraId="36FD2E78" w14:textId="77777777" w:rsidR="003B2CD2" w:rsidRPr="003B2CD2" w:rsidRDefault="003B2CD2" w:rsidP="003B2CD2">
      <w:pPr>
        <w:rPr>
          <w:sz w:val="24"/>
          <w:szCs w:val="24"/>
        </w:rPr>
      </w:pPr>
      <w:r w:rsidRPr="003B2CD2">
        <w:rPr>
          <w:sz w:val="24"/>
          <w:szCs w:val="24"/>
        </w:rPr>
        <w:lastRenderedPageBreak/>
        <w:t xml:space="preserve">When evaluating my performance in the interview process I reflected on that I had gathered sufficient evidence to proceed with the investigation. I made sure that I had gathered as much information from the victim to obtain the background of the relationship and if there were any other offences to be disclosed. This was effective as the female had given a positive witness statement and thorough account of the incident. When conducting the CCTV enquiries I made sure that the CCTV captured the incident and that I could identify that the male in the footage was the defendant, This would give clear indication that the male in question had committed the offense. Whilst interviewing the male I had prepared questions that had identified the points to prove of the offences that he had been arrested for. As the male had answered “NO COMMENT” I used probing questions which would allow multiple answers and subjective responses and surfaces more inquiry and probes into the matter being discussed (Mind Fool.com, 2021). I also had stated to the male as he continued to answer “NO COMMENT” “I understand you are exercising your right of not answering my questions, however I will need to continue asking my questions as there may be some you want to answer”. On reflection this is effective as you are giving the defendant ample opportunity to still answer questions. </w:t>
      </w:r>
    </w:p>
    <w:p w14:paraId="29EC7807" w14:textId="77777777" w:rsidR="003B2CD2" w:rsidRPr="003B2CD2" w:rsidRDefault="003B2CD2" w:rsidP="003B2CD2">
      <w:pPr>
        <w:rPr>
          <w:sz w:val="24"/>
          <w:szCs w:val="24"/>
        </w:rPr>
      </w:pPr>
    </w:p>
    <w:p w14:paraId="51DBF531" w14:textId="1A1A0933" w:rsidR="00690DF8" w:rsidRDefault="003B2CD2" w:rsidP="003B2CD2">
      <w:pPr>
        <w:rPr>
          <w:sz w:val="24"/>
          <w:szCs w:val="24"/>
        </w:rPr>
      </w:pPr>
      <w:r w:rsidRPr="003B2CD2">
        <w:rPr>
          <w:sz w:val="24"/>
          <w:szCs w:val="24"/>
        </w:rPr>
        <w:t>When reflecting my performance I looked at how I assisted the male with his vulnerabilities. As the male was disabled and in use of a wheelchair I decided to alter the amount of use of force as the male was compliant and had been searched by a male officer under Section 1 of the Police and Criminal Evidence Act 1984 and posed no threat to himself or officers. When taking the male into interview I made sure that the interview room was on ground floor and had wheelchair accesses to assist the male with his disability.</w:t>
      </w:r>
    </w:p>
    <w:p w14:paraId="73DF9C2D" w14:textId="64F4F710" w:rsidR="002851BA" w:rsidRDefault="002851BA" w:rsidP="003B2CD2">
      <w:pPr>
        <w:rPr>
          <w:sz w:val="24"/>
          <w:szCs w:val="24"/>
        </w:rPr>
      </w:pPr>
    </w:p>
    <w:p w14:paraId="24B70E70" w14:textId="5F3D98B5" w:rsidR="002851BA" w:rsidRPr="002851BA" w:rsidRDefault="002851BA" w:rsidP="003B2CD2">
      <w:pPr>
        <w:rPr>
          <w:b/>
          <w:sz w:val="24"/>
          <w:szCs w:val="24"/>
        </w:rPr>
      </w:pPr>
      <w:r w:rsidRPr="002851BA">
        <w:rPr>
          <w:b/>
          <w:sz w:val="24"/>
          <w:szCs w:val="24"/>
        </w:rPr>
        <w:t>Word Count = 1190</w:t>
      </w:r>
    </w:p>
    <w:p w14:paraId="0FDF200D" w14:textId="77777777" w:rsidR="00690DF8" w:rsidRPr="00450C83" w:rsidRDefault="00690DF8"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A146A3A" w:rsidR="00025650" w:rsidRDefault="00025650" w:rsidP="00340E9A">
      <w:pPr>
        <w:ind w:right="237"/>
        <w:jc w:val="both"/>
        <w:rPr>
          <w:sz w:val="24"/>
          <w:szCs w:val="24"/>
        </w:rPr>
      </w:pPr>
    </w:p>
    <w:p w14:paraId="66136D8A" w14:textId="77777777" w:rsidR="003B2CD2" w:rsidRPr="003B2CD2" w:rsidRDefault="003B2CD2" w:rsidP="003B2CD2">
      <w:pPr>
        <w:ind w:right="237"/>
        <w:jc w:val="both"/>
        <w:rPr>
          <w:sz w:val="24"/>
          <w:szCs w:val="24"/>
        </w:rPr>
      </w:pPr>
      <w:r w:rsidRPr="003B2CD2">
        <w:rPr>
          <w:sz w:val="24"/>
          <w:szCs w:val="24"/>
        </w:rPr>
        <w:t>This incident relates to an ongoing neighbour dispute that involved neighbours having an countless verbal altercation over a boundary wall that resulted in the victim being alarmed and distressed.</w:t>
      </w:r>
    </w:p>
    <w:p w14:paraId="125E2180" w14:textId="77777777" w:rsidR="003B2CD2" w:rsidRPr="003B2CD2" w:rsidRDefault="003B2CD2" w:rsidP="003B2CD2">
      <w:pPr>
        <w:ind w:right="237"/>
        <w:jc w:val="both"/>
        <w:rPr>
          <w:sz w:val="24"/>
          <w:szCs w:val="24"/>
        </w:rPr>
      </w:pPr>
    </w:p>
    <w:p w14:paraId="4037E139" w14:textId="77777777" w:rsidR="003B2CD2" w:rsidRPr="003B2CD2" w:rsidRDefault="003B2CD2" w:rsidP="003B2CD2">
      <w:pPr>
        <w:ind w:right="237"/>
        <w:jc w:val="both"/>
        <w:rPr>
          <w:sz w:val="24"/>
          <w:szCs w:val="24"/>
        </w:rPr>
      </w:pPr>
      <w:r w:rsidRPr="003B2CD2">
        <w:rPr>
          <w:sz w:val="24"/>
          <w:szCs w:val="24"/>
        </w:rPr>
        <w:t xml:space="preserve">Whilst on mobile patrol in company with another officer, I received a call on my police issued radio in regards to an ongoing disturbance involving an elderly female and a male. Information was passed over by the elderly female who had reported that her </w:t>
      </w:r>
      <w:r w:rsidRPr="003B2CD2">
        <w:rPr>
          <w:sz w:val="24"/>
          <w:szCs w:val="24"/>
        </w:rPr>
        <w:lastRenderedPageBreak/>
        <w:t>neighbour had gone into her garden and started knocking down her fence. The female had stated further that she had challenged the male in relation to the male who was on her property and has started building a fence over her boundary wall. When the female had confronted the male, the male has become verbally aggressive towards the female causing her to be distressed. My colleague and myself made our way by police vehicle via immediate response. On our arrival I had attended the female’s address who was clearly very upset and shaken by the events. When asking the female what had happened, the female had said that she was in her kitchen that looked over the back of the property and could see her neighbour who was over her side of the fence and started pulling it down and throwing timber of her garden. When she had then confronted the male stating that this is her property and had no right to be on her side of the boundary the male has then become irate and started shouting at the female “ITS MY LAND AND MY PROPERTY!” the female said she has instantly felt alarmed by this and phoned the police. I asked further question in relation to the female stating that this was an ongoing issue, she had said that there has been many issues with this neighbour involving vandalism, littering and intimidation. In relation to this the female had informed me that she had taken legal action in regards to the land as she had been living at this address for twenty five years and that it was he land. I had conducted a person check on my police issued mobile phone and could see that the female had reported incidents involving the neighbour numerous times. The female had then informed me that other neighbours were having issues with this male and the disrespect he shows his community. The female escorted me up to her garden where the incident had taken place and showed me all the rubble that had been thrown over as the male had been building a garage. I then asked the female what action would she like to be taken, The female had asked for police to give strong words of advice due to the matter being dealt with civilly by solicitors. The female furthered that how this was affecting her and due to her age this was affecting her health. I then attended the male’s address to be greeted by a male who was showing difficult behaviour. I had informed the male why police were called and present and the male quickly became hostile towards police attendance. The male had stated that the land and fence were his property and that the female had no right to challenge him. I had explained to the male that in relation to ascertaining who’s land was who’s that this was a civil matter and that he would have to seek legal advice, I furthered explained to him that his behaviour however was unacceptable and that he had caused the female to feel intimidated and alarmed by his actions. The male was somewhat apologetic and had said that she is also causing issues. The male’s house was not well presented and I could clearly see that there was a waste issue. Due to the female only wanting words of advice given I felt it was appropriate to also issue the male with a Anti-Social Behaviour referral. The male was dealt with accordingly and had been given a warning due to his behaviour. On my departure I conducted house to house enquires that had evidenced the ongoing issues the community were having with this male and the issues her presented.</w:t>
      </w:r>
    </w:p>
    <w:p w14:paraId="3AC82A9D" w14:textId="77777777" w:rsidR="003B2CD2" w:rsidRPr="003B2CD2" w:rsidRDefault="003B2CD2" w:rsidP="003B2CD2">
      <w:pPr>
        <w:ind w:right="237"/>
        <w:jc w:val="both"/>
        <w:rPr>
          <w:sz w:val="24"/>
          <w:szCs w:val="24"/>
        </w:rPr>
      </w:pPr>
    </w:p>
    <w:p w14:paraId="2C1799E2" w14:textId="77777777" w:rsidR="003B2CD2" w:rsidRPr="003B2CD2" w:rsidRDefault="003B2CD2" w:rsidP="003B2CD2">
      <w:pPr>
        <w:ind w:right="237"/>
        <w:jc w:val="both"/>
        <w:rPr>
          <w:sz w:val="24"/>
          <w:szCs w:val="24"/>
        </w:rPr>
      </w:pPr>
      <w:r w:rsidRPr="003B2CD2">
        <w:rPr>
          <w:sz w:val="24"/>
          <w:szCs w:val="24"/>
        </w:rPr>
        <w:t xml:space="preserve">When dealing with this incident I had to consider how this was affecting the victim and community and what would be the best police action to take. Due to the victim being persistently targeted by the subject’s way of living, I could see that the female had made more than three reports to the police in the last twelve months in relation </w:t>
      </w:r>
      <w:r w:rsidRPr="003B2CD2">
        <w:rPr>
          <w:sz w:val="24"/>
          <w:szCs w:val="24"/>
        </w:rPr>
        <w:lastRenderedPageBreak/>
        <w:t xml:space="preserve">to the male where she had been identified as the victim. This had made the female a repeat victim of Anti-Social Behaviour. This allows for a series of linked or recurring events that have happened prior to the victim contacting the police to be taken into account as part of a pattern of anti-social behaviour.  It also means that we can consider victims as repeat victims if they have previously sent their complaints to partner agencies rather than the police (Bedfordshire Police, n.d.). I considered how this was effecting the victim and how it had made her feel so using partner agencies the female had consented to being referred to Victim Focus. Victim Focus is a local service run by the national and independent charity, Victim Support. They provide help and support to anyone in South Wales affected by crime (Swansea Council, 2019) This would be effective for the female has she would have further support. As there was still animosity between the subject and the victim it was important to identify this and consider options that would have a positive outcome, I offered the victim mediation with the subject. Mediation is where someone independent of both you and the person who you feel is being anti-social towards you comes to listen to both of you and seek to resolve the problem (ASB Help.com, n.d.) This had a positive outcome due to both parties agreeing to this. When supporting the community it was important to engage with the neighbours and identify the issues that they were also having, when collecting data from speaking to the neighbours they had stated that the issues were mainly rubbish being left out the front of the property and noise. As it was clearly evidenced that there was a waste issue external and internal of the property, before this issue got even worse I considered my options. Due to the property being council, I decided to get in contact to see if they could work with us to assist with the waste as this was an ongoing issue. Working with the council was effective as they had dealt with the subject previously in relation to this incident and could provide further support and assistance. We did this by engaging with the subject and identifying the root cause of why the house and garden were cluttered with waste. This was a sensitive subject with the male as he could not see that his way of living was effecting his community. I explained to the male that the rubbish, loud noise and disregard to the female’s boundary wall effecting her and making her feel intimidated. The housing officer from the council also worked with me on this by furthering that if the male continued with this lifestyle and behaviour it could lead to his eviction from the property. The subject was alarmed by this and said that he understood the seriousness of his behaviour and also agreed to mediation with the victim. I also had tasked the local Neighbourhood Policing Team to assist with further high visibility patrols in the area. It was important to update the victim with police action that had been taken to show that we had taken a proactive approach. </w:t>
      </w:r>
    </w:p>
    <w:p w14:paraId="20774C91" w14:textId="77777777" w:rsidR="003B2CD2" w:rsidRPr="003B2CD2" w:rsidRDefault="003B2CD2" w:rsidP="003B2CD2">
      <w:pPr>
        <w:ind w:right="237"/>
        <w:jc w:val="both"/>
        <w:rPr>
          <w:sz w:val="24"/>
          <w:szCs w:val="24"/>
        </w:rPr>
      </w:pPr>
    </w:p>
    <w:p w14:paraId="1BC12BDF" w14:textId="77777777" w:rsidR="003B2CD2" w:rsidRPr="003B2CD2" w:rsidRDefault="003B2CD2" w:rsidP="003B2CD2">
      <w:pPr>
        <w:ind w:right="237"/>
        <w:jc w:val="both"/>
        <w:rPr>
          <w:sz w:val="24"/>
          <w:szCs w:val="24"/>
        </w:rPr>
      </w:pPr>
      <w:r w:rsidRPr="003B2CD2">
        <w:rPr>
          <w:sz w:val="24"/>
          <w:szCs w:val="24"/>
        </w:rPr>
        <w:t>It was important to engage policing values as I had to remain impartial dealing with this incident. This value links to the principles of fairness and objectivity from the Code of Ethics. As a police service, we must show impartiality throughout all our dealings with colleagues, partners and members of the public. This is achieved by being unprejudiced, fair and objective. We consider different sides of a situation and ensure that each side is given equal consideration (College of Policing, n.d.) This was applied by when making decisions that I acted with fairness and integrity. I showed both parties the same respect and courtesy by listening to both point of views and remaining professional at all times.</w:t>
      </w:r>
    </w:p>
    <w:p w14:paraId="5CBCD1A4" w14:textId="77777777" w:rsidR="003B2CD2" w:rsidRPr="003B2CD2" w:rsidRDefault="003B2CD2" w:rsidP="003B2CD2">
      <w:pPr>
        <w:ind w:right="237"/>
        <w:jc w:val="both"/>
        <w:rPr>
          <w:sz w:val="24"/>
          <w:szCs w:val="24"/>
        </w:rPr>
      </w:pPr>
    </w:p>
    <w:p w14:paraId="55E8513B" w14:textId="0CA222C2" w:rsidR="00025650" w:rsidRDefault="003B2CD2" w:rsidP="003B2CD2">
      <w:pPr>
        <w:ind w:right="237"/>
        <w:jc w:val="both"/>
        <w:rPr>
          <w:sz w:val="24"/>
          <w:szCs w:val="24"/>
        </w:rPr>
      </w:pPr>
      <w:r w:rsidRPr="003B2CD2">
        <w:rPr>
          <w:sz w:val="24"/>
          <w:szCs w:val="24"/>
        </w:rPr>
        <w:lastRenderedPageBreak/>
        <w:t>My responsibilities during this incident was to problem solve by identifying the problem, develop a plan and implement it. I did this my using the problem analysis triangle; this identifies the basic elements that facilitate or impede crime in order to guide how crime is examined and ultimately addressed (SAGE Publications, 2021). This helped me to identify the victim, location and offender. The problem to the victim was that the subject had made her feel distressed by his disregard to the females boundary wall and leaving waste from the broken fence on her side of the property. The issued furthered to the community and victim was the males disrespect to his neighbours by his household waste left around the property that was causing smell and social tension. When developing a solution I utilised partnership policing by working with other agencies to assist with reducing the anti-social behaviour that was causing the victim alarm and distress. I used the council as they could assist with the waist issue and remove all debris that was causing the problem. The neighbourhood policing team was also utilised by assisting with the mediation of both parties and continuing to engage with the community. I utilised these agencies to gain a proactive approach to the problem.</w:t>
      </w:r>
    </w:p>
    <w:p w14:paraId="431C1277" w14:textId="69CDAEBC" w:rsidR="002851BA" w:rsidRDefault="002851BA" w:rsidP="003B2CD2">
      <w:pPr>
        <w:ind w:right="237"/>
        <w:jc w:val="both"/>
        <w:rPr>
          <w:sz w:val="24"/>
          <w:szCs w:val="24"/>
        </w:rPr>
      </w:pPr>
    </w:p>
    <w:p w14:paraId="12B54B46" w14:textId="3A23D407" w:rsidR="002851BA" w:rsidRPr="002851BA" w:rsidRDefault="002851BA" w:rsidP="003B2CD2">
      <w:pPr>
        <w:ind w:right="237"/>
        <w:jc w:val="both"/>
        <w:rPr>
          <w:b/>
          <w:sz w:val="24"/>
          <w:szCs w:val="24"/>
        </w:rPr>
      </w:pPr>
      <w:r>
        <w:rPr>
          <w:b/>
          <w:sz w:val="24"/>
          <w:szCs w:val="24"/>
        </w:rPr>
        <w:t>Word Count</w:t>
      </w:r>
      <w:r w:rsidRPr="002851BA">
        <w:rPr>
          <w:b/>
          <w:sz w:val="24"/>
          <w:szCs w:val="24"/>
        </w:rPr>
        <w:t xml:space="preserve"> = 1622</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690DF8">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5848403C" w:rsidP="5848403C">
      <w:pPr>
        <w:keepNext/>
        <w:spacing w:before="240" w:after="60"/>
        <w:ind w:right="237"/>
        <w:jc w:val="both"/>
        <w:rPr>
          <w:b/>
          <w:bCs/>
          <w:sz w:val="24"/>
          <w:szCs w:val="24"/>
        </w:rPr>
      </w:pPr>
      <w:r w:rsidRPr="5848403C">
        <w:rPr>
          <w:b/>
          <w:bCs/>
          <w:sz w:val="24"/>
          <w:szCs w:val="24"/>
        </w:rPr>
        <w:lastRenderedPageBreak/>
        <w:t>Bibliography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61A3A2D2" w:rsidR="00390074" w:rsidRDefault="00390074" w:rsidP="5848403C">
      <w:pPr>
        <w:ind w:right="237"/>
        <w:jc w:val="both"/>
        <w:rPr>
          <w:b/>
          <w:bCs/>
          <w:sz w:val="24"/>
          <w:szCs w:val="24"/>
        </w:rPr>
      </w:pPr>
    </w:p>
    <w:p w14:paraId="78F5FDA6" w14:textId="77777777" w:rsidR="003B2CD2" w:rsidRDefault="003B2CD2" w:rsidP="003B2CD2">
      <w:pPr>
        <w:keepNext/>
        <w:numPr>
          <w:ilvl w:val="0"/>
          <w:numId w:val="5"/>
        </w:numPr>
        <w:spacing w:before="240" w:after="60"/>
        <w:contextualSpacing/>
        <w:jc w:val="both"/>
        <w:rPr>
          <w:sz w:val="21"/>
          <w:szCs w:val="21"/>
        </w:rPr>
      </w:pPr>
      <w:r>
        <w:rPr>
          <w:sz w:val="21"/>
          <w:szCs w:val="21"/>
        </w:rPr>
        <w:t xml:space="preserve">ASB Help.co.uk (n.d.) </w:t>
      </w:r>
      <w:r>
        <w:rPr>
          <w:i/>
          <w:sz w:val="21"/>
          <w:szCs w:val="21"/>
        </w:rPr>
        <w:t xml:space="preserve">Mediation. </w:t>
      </w:r>
      <w:r>
        <w:rPr>
          <w:sz w:val="21"/>
          <w:szCs w:val="21"/>
        </w:rPr>
        <w:t xml:space="preserve">Available at: </w:t>
      </w:r>
      <w:hyperlink r:id="rId26" w:history="1">
        <w:r w:rsidRPr="00663434">
          <w:rPr>
            <w:rStyle w:val="Hyperlink"/>
            <w:sz w:val="21"/>
            <w:szCs w:val="21"/>
          </w:rPr>
          <w:t>https://asbhelp.co.uk/mediation-for-practitioners/</w:t>
        </w:r>
      </w:hyperlink>
      <w:r>
        <w:rPr>
          <w:sz w:val="21"/>
          <w:szCs w:val="21"/>
        </w:rPr>
        <w:t xml:space="preserve"> [Accessed: 15 June 2021]. </w:t>
      </w:r>
    </w:p>
    <w:p w14:paraId="1010C6F6" w14:textId="77777777" w:rsidR="003B2CD2" w:rsidRDefault="003B2CD2" w:rsidP="003B2CD2">
      <w:pPr>
        <w:keepNext/>
        <w:numPr>
          <w:ilvl w:val="0"/>
          <w:numId w:val="5"/>
        </w:numPr>
        <w:spacing w:before="240" w:after="60"/>
        <w:contextualSpacing/>
        <w:jc w:val="both"/>
        <w:rPr>
          <w:sz w:val="21"/>
          <w:szCs w:val="21"/>
        </w:rPr>
      </w:pPr>
      <w:r>
        <w:rPr>
          <w:sz w:val="21"/>
          <w:szCs w:val="21"/>
        </w:rPr>
        <w:t>Bedfordshire Police (n.d.</w:t>
      </w:r>
      <w:r w:rsidRPr="00B20411">
        <w:rPr>
          <w:sz w:val="21"/>
          <w:szCs w:val="21"/>
        </w:rPr>
        <w:t xml:space="preserve">) </w:t>
      </w:r>
      <w:r>
        <w:rPr>
          <w:i/>
          <w:sz w:val="21"/>
          <w:szCs w:val="21"/>
        </w:rPr>
        <w:t>Repeat victims.</w:t>
      </w:r>
      <w:r w:rsidRPr="00B20411">
        <w:rPr>
          <w:sz w:val="21"/>
          <w:szCs w:val="21"/>
        </w:rPr>
        <w:t xml:space="preserve"> Available at:</w:t>
      </w:r>
      <w:r w:rsidRPr="00B20411">
        <w:t xml:space="preserve"> </w:t>
      </w:r>
      <w:hyperlink r:id="rId27" w:anchor="a902dada" w:history="1">
        <w:r w:rsidRPr="00663434">
          <w:rPr>
            <w:rStyle w:val="Hyperlink"/>
          </w:rPr>
          <w:t>https://www.bedfordshire.police.uk/information-and-services/Advice/Anti-social-behaviour/Repeat-victims#a902dada</w:t>
        </w:r>
      </w:hyperlink>
      <w:r>
        <w:t xml:space="preserve"> </w:t>
      </w:r>
      <w:r>
        <w:rPr>
          <w:sz w:val="21"/>
          <w:szCs w:val="21"/>
        </w:rPr>
        <w:t xml:space="preserve"> [Accessed: 14 June</w:t>
      </w:r>
      <w:r w:rsidRPr="00B20411">
        <w:rPr>
          <w:sz w:val="21"/>
          <w:szCs w:val="21"/>
        </w:rPr>
        <w:t xml:space="preserve"> 2021].  </w:t>
      </w:r>
    </w:p>
    <w:p w14:paraId="5C12C75F" w14:textId="77777777" w:rsidR="00432D05" w:rsidRDefault="003B2CD2" w:rsidP="003B2CD2">
      <w:pPr>
        <w:keepNext/>
        <w:numPr>
          <w:ilvl w:val="0"/>
          <w:numId w:val="5"/>
        </w:numPr>
        <w:spacing w:before="240" w:after="60"/>
        <w:contextualSpacing/>
        <w:jc w:val="both"/>
        <w:rPr>
          <w:sz w:val="21"/>
          <w:szCs w:val="21"/>
        </w:rPr>
      </w:pPr>
      <w:r>
        <w:rPr>
          <w:sz w:val="21"/>
          <w:szCs w:val="21"/>
        </w:rPr>
        <w:t xml:space="preserve">College of Policing (n.d.) </w:t>
      </w:r>
      <w:r>
        <w:rPr>
          <w:i/>
          <w:sz w:val="21"/>
          <w:szCs w:val="21"/>
        </w:rPr>
        <w:t xml:space="preserve">Impartiality. </w:t>
      </w:r>
      <w:r>
        <w:rPr>
          <w:sz w:val="21"/>
          <w:szCs w:val="21"/>
        </w:rPr>
        <w:t xml:space="preserve">Available at: </w:t>
      </w:r>
      <w:hyperlink r:id="rId28" w:anchor=":~:text=%20Impartiality.%20This%20value%20links%20to%20the%20principles,ensure%20that%20each%20side%20is%20given%20equal%20consideration" w:history="1">
        <w:r w:rsidRPr="00663434">
          <w:rPr>
            <w:rStyle w:val="Hyperlink"/>
            <w:sz w:val="21"/>
            <w:szCs w:val="21"/>
          </w:rPr>
          <w:t>https://profdev.college.police.uk/competency-values/impartiality/#:~:text=%20Impartiality.%20This%20value%20links%20to%20the%20principles,ensure%20that%20each%20side%20is%20given%20equal%20consideration</w:t>
        </w:r>
      </w:hyperlink>
      <w:r w:rsidRPr="00113D63">
        <w:rPr>
          <w:sz w:val="21"/>
          <w:szCs w:val="21"/>
        </w:rPr>
        <w:t>.</w:t>
      </w:r>
      <w:r>
        <w:rPr>
          <w:sz w:val="21"/>
          <w:szCs w:val="21"/>
        </w:rPr>
        <w:t xml:space="preserve"> [Accessed: 14 June 2021].</w:t>
      </w:r>
    </w:p>
    <w:p w14:paraId="6EAD965E" w14:textId="3C5C108E" w:rsidR="003B2CD2" w:rsidRPr="00432D05" w:rsidRDefault="003B2CD2" w:rsidP="00432D05">
      <w:pPr>
        <w:numPr>
          <w:ilvl w:val="0"/>
          <w:numId w:val="6"/>
        </w:numPr>
        <w:rPr>
          <w:sz w:val="21"/>
          <w:szCs w:val="21"/>
        </w:rPr>
      </w:pPr>
      <w:r>
        <w:rPr>
          <w:sz w:val="21"/>
          <w:szCs w:val="21"/>
        </w:rPr>
        <w:t xml:space="preserve"> </w:t>
      </w:r>
      <w:r w:rsidR="00432D05" w:rsidRPr="00432D05">
        <w:rPr>
          <w:sz w:val="21"/>
          <w:szCs w:val="21"/>
        </w:rPr>
        <w:t xml:space="preserve">Cambridgeshire Constabulary (n.d.) </w:t>
      </w:r>
      <w:r w:rsidR="00432D05" w:rsidRPr="00432D05">
        <w:rPr>
          <w:i/>
          <w:sz w:val="21"/>
          <w:szCs w:val="21"/>
        </w:rPr>
        <w:t>Clare’s Law- domestic violence disclosure</w:t>
      </w:r>
      <w:r w:rsidR="00432D05" w:rsidRPr="00432D05">
        <w:rPr>
          <w:sz w:val="21"/>
          <w:szCs w:val="21"/>
        </w:rPr>
        <w:t xml:space="preserve">. Available at: </w:t>
      </w:r>
      <w:hyperlink r:id="rId29" w:history="1">
        <w:r w:rsidR="00432D05" w:rsidRPr="00432D05">
          <w:rPr>
            <w:rStyle w:val="Hyperlink"/>
            <w:sz w:val="21"/>
            <w:szCs w:val="21"/>
          </w:rPr>
          <w:t>https://www.cambs.police.uk/information-and-services/Domestic-abuse/Clares-law</w:t>
        </w:r>
      </w:hyperlink>
      <w:r w:rsidR="00432D05" w:rsidRPr="00432D05">
        <w:rPr>
          <w:sz w:val="21"/>
          <w:szCs w:val="21"/>
        </w:rPr>
        <w:t xml:space="preserve"> [Accessed: 3 June 2021]. </w:t>
      </w:r>
    </w:p>
    <w:p w14:paraId="4DF1DB8B" w14:textId="6C8CFFC0" w:rsidR="003B2CD2" w:rsidRPr="003B2CD2" w:rsidRDefault="003B2CD2" w:rsidP="003B2CD2">
      <w:pPr>
        <w:keepNext/>
        <w:numPr>
          <w:ilvl w:val="0"/>
          <w:numId w:val="5"/>
        </w:numPr>
        <w:spacing w:before="240" w:after="60"/>
        <w:contextualSpacing/>
        <w:jc w:val="both"/>
        <w:rPr>
          <w:sz w:val="21"/>
          <w:szCs w:val="21"/>
        </w:rPr>
      </w:pPr>
      <w:r w:rsidRPr="003B2CD2">
        <w:rPr>
          <w:sz w:val="21"/>
          <w:szCs w:val="21"/>
        </w:rPr>
        <w:t xml:space="preserve">Gov.uk (n.d.) Criminal Damage Act 1971. Available at: </w:t>
      </w:r>
      <w:hyperlink r:id="rId30" w:history="1">
        <w:r w:rsidRPr="00663434">
          <w:rPr>
            <w:rStyle w:val="Hyperlink"/>
            <w:sz w:val="21"/>
            <w:szCs w:val="21"/>
          </w:rPr>
          <w:t>https://www.legislation.gov.uk/ukpga/1971/48/contents</w:t>
        </w:r>
      </w:hyperlink>
      <w:r>
        <w:rPr>
          <w:sz w:val="21"/>
          <w:szCs w:val="21"/>
        </w:rPr>
        <w:t xml:space="preserve">  </w:t>
      </w:r>
      <w:r w:rsidRPr="003B2CD2">
        <w:rPr>
          <w:sz w:val="21"/>
          <w:szCs w:val="21"/>
        </w:rPr>
        <w:t xml:space="preserve">  [Accessed: 10 June 2021]. </w:t>
      </w:r>
    </w:p>
    <w:p w14:paraId="52804520" w14:textId="26A6FCB8" w:rsidR="003B2CD2" w:rsidRPr="003B2CD2" w:rsidRDefault="003B2CD2" w:rsidP="003B2CD2">
      <w:pPr>
        <w:keepNext/>
        <w:numPr>
          <w:ilvl w:val="0"/>
          <w:numId w:val="5"/>
        </w:numPr>
        <w:spacing w:before="240" w:after="60"/>
        <w:contextualSpacing/>
        <w:jc w:val="both"/>
        <w:rPr>
          <w:sz w:val="21"/>
          <w:szCs w:val="21"/>
        </w:rPr>
      </w:pPr>
      <w:r w:rsidRPr="003B2CD2">
        <w:rPr>
          <w:sz w:val="21"/>
          <w:szCs w:val="21"/>
        </w:rPr>
        <w:t xml:space="preserve">Gov.uk (n.d.) Criminal Justice and Public Order Act 1994 . Available at: </w:t>
      </w:r>
      <w:hyperlink r:id="rId31" w:history="1">
        <w:r w:rsidRPr="00663434">
          <w:rPr>
            <w:rStyle w:val="Hyperlink"/>
            <w:sz w:val="21"/>
            <w:szCs w:val="21"/>
          </w:rPr>
          <w:t>https://www.legislation.gov.uk/ukpga/1994/33/contents</w:t>
        </w:r>
      </w:hyperlink>
      <w:r>
        <w:rPr>
          <w:sz w:val="21"/>
          <w:szCs w:val="21"/>
        </w:rPr>
        <w:t xml:space="preserve"> </w:t>
      </w:r>
      <w:r w:rsidRPr="003B2CD2">
        <w:rPr>
          <w:sz w:val="21"/>
          <w:szCs w:val="21"/>
        </w:rPr>
        <w:t xml:space="preserve"> [Accessed: 10 June 2021]. </w:t>
      </w:r>
    </w:p>
    <w:p w14:paraId="1DE8D077" w14:textId="34F9288B" w:rsidR="003B2CD2" w:rsidRPr="003B2CD2" w:rsidRDefault="003B2CD2" w:rsidP="003B2CD2">
      <w:pPr>
        <w:keepNext/>
        <w:numPr>
          <w:ilvl w:val="0"/>
          <w:numId w:val="5"/>
        </w:numPr>
        <w:spacing w:before="240" w:after="60"/>
        <w:contextualSpacing/>
        <w:jc w:val="both"/>
        <w:rPr>
          <w:sz w:val="21"/>
          <w:szCs w:val="21"/>
        </w:rPr>
      </w:pPr>
      <w:r w:rsidRPr="003B2CD2">
        <w:rPr>
          <w:sz w:val="21"/>
          <w:szCs w:val="21"/>
        </w:rPr>
        <w:t xml:space="preserve">Gov.uk (n.d.) Police and Criminal Evidence Act 1984 (PACE) Code of Practice. Available at: </w:t>
      </w:r>
      <w:hyperlink r:id="rId32" w:history="1">
        <w:r w:rsidRPr="00663434">
          <w:rPr>
            <w:rStyle w:val="Hyperlink"/>
            <w:sz w:val="21"/>
            <w:szCs w:val="21"/>
          </w:rPr>
          <w:t>https://www.gov.uk/guidance/police-and-criminal-evidence-act-1984-pace-codes-of-practice</w:t>
        </w:r>
      </w:hyperlink>
      <w:r>
        <w:rPr>
          <w:sz w:val="21"/>
          <w:szCs w:val="21"/>
        </w:rPr>
        <w:t xml:space="preserve"> </w:t>
      </w:r>
      <w:r w:rsidRPr="003B2CD2">
        <w:rPr>
          <w:sz w:val="21"/>
          <w:szCs w:val="21"/>
        </w:rPr>
        <w:t xml:space="preserve">  [Accessed: 10 June 2021].</w:t>
      </w:r>
    </w:p>
    <w:p w14:paraId="61109C7F" w14:textId="6DA67D9E" w:rsidR="003B2CD2" w:rsidRDefault="003B2CD2" w:rsidP="003B2CD2">
      <w:pPr>
        <w:keepNext/>
        <w:numPr>
          <w:ilvl w:val="0"/>
          <w:numId w:val="5"/>
        </w:numPr>
        <w:spacing w:before="240" w:after="60"/>
        <w:contextualSpacing/>
        <w:jc w:val="both"/>
        <w:rPr>
          <w:sz w:val="21"/>
          <w:szCs w:val="21"/>
        </w:rPr>
      </w:pPr>
      <w:r w:rsidRPr="003B2CD2">
        <w:rPr>
          <w:sz w:val="21"/>
          <w:szCs w:val="21"/>
        </w:rPr>
        <w:t xml:space="preserve">Gov.uk (n.d.) Protection from Harassment Act. Available at: </w:t>
      </w:r>
      <w:hyperlink r:id="rId33" w:history="1">
        <w:r w:rsidRPr="00663434">
          <w:rPr>
            <w:rStyle w:val="Hyperlink"/>
            <w:sz w:val="21"/>
            <w:szCs w:val="21"/>
          </w:rPr>
          <w:t>https://www.legislation.gov.uk/ukpga/1997/40/contents</w:t>
        </w:r>
      </w:hyperlink>
      <w:r>
        <w:rPr>
          <w:sz w:val="21"/>
          <w:szCs w:val="21"/>
        </w:rPr>
        <w:t xml:space="preserve"> </w:t>
      </w:r>
      <w:r w:rsidRPr="003B2CD2">
        <w:rPr>
          <w:sz w:val="21"/>
          <w:szCs w:val="21"/>
        </w:rPr>
        <w:t xml:space="preserve">  [Accessed: 10 June 2021]. </w:t>
      </w:r>
    </w:p>
    <w:p w14:paraId="0E8F2F28" w14:textId="5ACAB915" w:rsidR="00432D05" w:rsidRDefault="003B2CD2" w:rsidP="00432D05">
      <w:pPr>
        <w:keepNext/>
        <w:spacing w:before="240" w:after="60"/>
        <w:ind w:left="720"/>
        <w:contextualSpacing/>
        <w:jc w:val="both"/>
        <w:rPr>
          <w:sz w:val="21"/>
          <w:szCs w:val="21"/>
        </w:rPr>
      </w:pPr>
      <w:r w:rsidRPr="003B2CD2">
        <w:rPr>
          <w:sz w:val="21"/>
          <w:szCs w:val="21"/>
        </w:rPr>
        <w:t xml:space="preserve">Harper Shaw.co.uk (2019) </w:t>
      </w:r>
      <w:r w:rsidRPr="003B2CD2">
        <w:rPr>
          <w:i/>
          <w:sz w:val="21"/>
          <w:szCs w:val="21"/>
        </w:rPr>
        <w:t>Back to Basics: Golden Hour principles in serious collision investigation</w:t>
      </w:r>
      <w:r w:rsidRPr="003B2CD2">
        <w:rPr>
          <w:sz w:val="21"/>
          <w:szCs w:val="21"/>
        </w:rPr>
        <w:t xml:space="preserve">. Available at: </w:t>
      </w:r>
      <w:hyperlink r:id="rId34" w:anchor=":~:text=The%20Golden%20Hour%20is%20a%20term%20for%20the,the%20material%20that%20will%20be%20admissible%20in%20court" w:history="1">
        <w:r w:rsidRPr="003B2CD2">
          <w:rPr>
            <w:rStyle w:val="Hyperlink"/>
            <w:sz w:val="21"/>
            <w:szCs w:val="21"/>
          </w:rPr>
          <w:t>https://harpershaw.co.uk/back-to-basics-golden-hour-principles-in-serious-collision-</w:t>
        </w:r>
        <w:r w:rsidRPr="003B2CD2">
          <w:rPr>
            <w:rStyle w:val="Hyperlink"/>
            <w:sz w:val="21"/>
            <w:szCs w:val="21"/>
          </w:rPr>
          <w:lastRenderedPageBreak/>
          <w:t>investigation/#:~:text=The%20Golden%20Hour%20is%20a%20term%20for%20the,the%20material%20that%20will%20be%20admissible%20in%20court</w:t>
        </w:r>
      </w:hyperlink>
      <w:r w:rsidR="00432D05">
        <w:rPr>
          <w:sz w:val="21"/>
          <w:szCs w:val="21"/>
        </w:rPr>
        <w:t xml:space="preserve"> </w:t>
      </w:r>
    </w:p>
    <w:p w14:paraId="2E2B4567" w14:textId="77777777" w:rsidR="00A16668" w:rsidRDefault="00A16668" w:rsidP="00432D05">
      <w:pPr>
        <w:keepNext/>
        <w:spacing w:before="240" w:after="60"/>
        <w:ind w:left="720"/>
        <w:contextualSpacing/>
        <w:jc w:val="both"/>
        <w:rPr>
          <w:sz w:val="21"/>
          <w:szCs w:val="21"/>
        </w:rPr>
      </w:pPr>
    </w:p>
    <w:p w14:paraId="065D2F36" w14:textId="182BE2B2" w:rsidR="00432D05" w:rsidRDefault="00432D05" w:rsidP="00432D05">
      <w:pPr>
        <w:keepNext/>
        <w:numPr>
          <w:ilvl w:val="0"/>
          <w:numId w:val="6"/>
        </w:numPr>
        <w:spacing w:before="240" w:after="60"/>
        <w:contextualSpacing/>
        <w:jc w:val="both"/>
        <w:rPr>
          <w:sz w:val="21"/>
          <w:szCs w:val="21"/>
        </w:rPr>
      </w:pPr>
      <w:r w:rsidRPr="00432D05">
        <w:rPr>
          <w:sz w:val="21"/>
          <w:szCs w:val="21"/>
        </w:rPr>
        <w:t xml:space="preserve">Justice Inspectorates.gov.uk (2015) </w:t>
      </w:r>
      <w:r w:rsidRPr="00432D05">
        <w:rPr>
          <w:i/>
          <w:sz w:val="21"/>
          <w:szCs w:val="21"/>
        </w:rPr>
        <w:t>PEEL: Police effectiveness.</w:t>
      </w:r>
      <w:r w:rsidRPr="00432D05">
        <w:rPr>
          <w:sz w:val="21"/>
          <w:szCs w:val="21"/>
        </w:rPr>
        <w:t xml:space="preserve"> Available at: </w:t>
      </w:r>
      <w:hyperlink r:id="rId35" w:history="1">
        <w:r w:rsidRPr="00432D05">
          <w:rPr>
            <w:rStyle w:val="Hyperlink"/>
            <w:sz w:val="21"/>
            <w:szCs w:val="21"/>
          </w:rPr>
          <w:t>https://www.justiceinspectorates.gov.uk/hmicfrs/wp-content/uploads/police-effectiveness-vulnerability-2015-south-wales.pdf</w:t>
        </w:r>
      </w:hyperlink>
      <w:r w:rsidRPr="00432D05">
        <w:rPr>
          <w:sz w:val="21"/>
          <w:szCs w:val="21"/>
        </w:rPr>
        <w:t xml:space="preserve"> [Accessed: 3 June 2021]. </w:t>
      </w:r>
    </w:p>
    <w:p w14:paraId="52361BAF" w14:textId="7482510C" w:rsidR="00A16668" w:rsidRDefault="00A16668" w:rsidP="00A16668">
      <w:pPr>
        <w:pStyle w:val="ListParagraph"/>
        <w:keepNext/>
        <w:numPr>
          <w:ilvl w:val="0"/>
          <w:numId w:val="6"/>
        </w:numPr>
        <w:spacing w:before="240" w:after="60"/>
        <w:jc w:val="both"/>
        <w:rPr>
          <w:sz w:val="21"/>
          <w:szCs w:val="21"/>
        </w:rPr>
      </w:pPr>
      <w:r w:rsidRPr="00A16668">
        <w:rPr>
          <w:sz w:val="21"/>
          <w:szCs w:val="21"/>
        </w:rPr>
        <w:t xml:space="preserve">Medical News Today (n.d.) Five ways to deal with night shifts. Available at: </w:t>
      </w:r>
      <w:hyperlink r:id="rId36" w:anchor="Lucid-dreams-and-sleep-disturbances" w:history="1">
        <w:r w:rsidRPr="00A16668">
          <w:rPr>
            <w:rStyle w:val="Hyperlink"/>
            <w:sz w:val="21"/>
            <w:szCs w:val="21"/>
          </w:rPr>
          <w:t>https://www.medicalnewstoday.com/articles/326496#Lucid-dreams-and-sleep-disturbances</w:t>
        </w:r>
      </w:hyperlink>
      <w:r w:rsidRPr="00A16668">
        <w:rPr>
          <w:sz w:val="21"/>
          <w:szCs w:val="21"/>
        </w:rPr>
        <w:t xml:space="preserve"> [Accessed: 24 May 2021].</w:t>
      </w:r>
    </w:p>
    <w:p w14:paraId="466C3D3C" w14:textId="77777777" w:rsidR="00A16668" w:rsidRPr="00A16668" w:rsidRDefault="00A16668" w:rsidP="00A16668">
      <w:pPr>
        <w:pStyle w:val="ListParagraph"/>
        <w:keepNext/>
        <w:spacing w:before="240" w:after="60"/>
        <w:jc w:val="both"/>
        <w:rPr>
          <w:sz w:val="21"/>
          <w:szCs w:val="21"/>
        </w:rPr>
      </w:pPr>
    </w:p>
    <w:p w14:paraId="66A4951D" w14:textId="10EEF728" w:rsidR="00A16668" w:rsidRPr="00A16668" w:rsidRDefault="00A16668" w:rsidP="00A16668">
      <w:pPr>
        <w:pStyle w:val="ListParagraph"/>
        <w:keepNext/>
        <w:numPr>
          <w:ilvl w:val="0"/>
          <w:numId w:val="6"/>
        </w:numPr>
        <w:spacing w:before="240" w:after="60"/>
        <w:jc w:val="both"/>
        <w:rPr>
          <w:sz w:val="21"/>
          <w:szCs w:val="21"/>
        </w:rPr>
      </w:pPr>
      <w:r w:rsidRPr="00A16668">
        <w:rPr>
          <w:sz w:val="21"/>
          <w:szCs w:val="21"/>
        </w:rPr>
        <w:t xml:space="preserve">Mind Tools (n.d.) Meeting your new team. Available at: </w:t>
      </w:r>
      <w:hyperlink r:id="rId37" w:history="1">
        <w:r w:rsidRPr="00A16668">
          <w:rPr>
            <w:rStyle w:val="Hyperlink"/>
            <w:sz w:val="21"/>
            <w:szCs w:val="21"/>
          </w:rPr>
          <w:t>https://www.mindtools.com/pages/article/meet-your-new-team.htm</w:t>
        </w:r>
      </w:hyperlink>
      <w:r w:rsidRPr="00A16668">
        <w:rPr>
          <w:sz w:val="21"/>
          <w:szCs w:val="21"/>
        </w:rPr>
        <w:t xml:space="preserve"> [Accessed: 24 May 2021].</w:t>
      </w:r>
    </w:p>
    <w:p w14:paraId="309CA8F5" w14:textId="20235425" w:rsidR="00A16668" w:rsidRPr="00A16668" w:rsidRDefault="00A16668" w:rsidP="00A16668">
      <w:pPr>
        <w:pStyle w:val="ListParagraph"/>
        <w:keepNext/>
        <w:numPr>
          <w:ilvl w:val="0"/>
          <w:numId w:val="6"/>
        </w:numPr>
        <w:spacing w:before="240" w:after="60"/>
        <w:jc w:val="both"/>
        <w:rPr>
          <w:sz w:val="21"/>
          <w:szCs w:val="21"/>
        </w:rPr>
      </w:pPr>
      <w:r w:rsidRPr="00A16668">
        <w:rPr>
          <w:sz w:val="21"/>
          <w:szCs w:val="21"/>
        </w:rPr>
        <w:t xml:space="preserve">Pixus (n.d.) The importance of tone of voice and why you should get it right. Available at: </w:t>
      </w:r>
      <w:hyperlink r:id="rId38" w:history="1">
        <w:r w:rsidRPr="00A16668">
          <w:rPr>
            <w:rStyle w:val="Hyperlink"/>
            <w:sz w:val="21"/>
            <w:szCs w:val="21"/>
          </w:rPr>
          <w:t>https://www.pixus.uk/the-importance-of-tone-of-voice-and-why-you-should-get-it-right/</w:t>
        </w:r>
      </w:hyperlink>
      <w:r w:rsidRPr="00A16668">
        <w:rPr>
          <w:sz w:val="21"/>
          <w:szCs w:val="21"/>
        </w:rPr>
        <w:t xml:space="preserve"> [Accessed: 3 June 2021].  </w:t>
      </w:r>
    </w:p>
    <w:p w14:paraId="065FC625" w14:textId="7165AA78" w:rsidR="00A16668" w:rsidRPr="00A16668" w:rsidRDefault="00A16668" w:rsidP="00A16668">
      <w:pPr>
        <w:keepNext/>
        <w:numPr>
          <w:ilvl w:val="0"/>
          <w:numId w:val="5"/>
        </w:numPr>
        <w:spacing w:before="240" w:after="60"/>
        <w:contextualSpacing/>
        <w:jc w:val="both"/>
        <w:rPr>
          <w:sz w:val="21"/>
          <w:szCs w:val="21"/>
        </w:rPr>
      </w:pPr>
      <w:r w:rsidRPr="00A16668">
        <w:rPr>
          <w:sz w:val="21"/>
          <w:szCs w:val="21"/>
        </w:rPr>
        <w:t xml:space="preserve">Police1.com (2017) </w:t>
      </w:r>
      <w:r w:rsidRPr="00A16668">
        <w:rPr>
          <w:i/>
          <w:sz w:val="21"/>
          <w:szCs w:val="21"/>
        </w:rPr>
        <w:t>How police officers can reduce and manage stress</w:t>
      </w:r>
      <w:r w:rsidRPr="00A16668">
        <w:rPr>
          <w:sz w:val="21"/>
          <w:szCs w:val="21"/>
        </w:rPr>
        <w:t xml:space="preserve">. Available at: </w:t>
      </w:r>
      <w:hyperlink r:id="rId39" w:history="1">
        <w:r w:rsidRPr="00A16668">
          <w:rPr>
            <w:rStyle w:val="Hyperlink"/>
            <w:sz w:val="21"/>
            <w:szCs w:val="21"/>
          </w:rPr>
          <w:t>https://www.police1.com/stress/articles/how-police-can-reduce-and-manage-stress-AThewNlseDwMYCcB/</w:t>
        </w:r>
      </w:hyperlink>
      <w:r w:rsidRPr="00A16668">
        <w:rPr>
          <w:sz w:val="21"/>
          <w:szCs w:val="21"/>
        </w:rPr>
        <w:t xml:space="preserve"> [Accessed: 25 May 2021]. </w:t>
      </w:r>
    </w:p>
    <w:p w14:paraId="2600F376" w14:textId="38C09518" w:rsidR="00A16668" w:rsidRPr="00A16668" w:rsidRDefault="00A16668" w:rsidP="00A16668">
      <w:pPr>
        <w:pStyle w:val="ListParagraph"/>
        <w:keepNext/>
        <w:numPr>
          <w:ilvl w:val="0"/>
          <w:numId w:val="5"/>
        </w:numPr>
        <w:spacing w:before="240" w:after="60"/>
        <w:jc w:val="both"/>
        <w:rPr>
          <w:sz w:val="21"/>
          <w:szCs w:val="21"/>
        </w:rPr>
      </w:pPr>
      <w:r w:rsidRPr="00A16668">
        <w:rPr>
          <w:sz w:val="21"/>
          <w:szCs w:val="21"/>
        </w:rPr>
        <w:t xml:space="preserve">Rights of Women.org (2014) Harassment and the law. Available at: </w:t>
      </w:r>
      <w:hyperlink r:id="rId40" w:history="1">
        <w:r w:rsidRPr="00A16668">
          <w:rPr>
            <w:rStyle w:val="Hyperlink"/>
            <w:sz w:val="21"/>
            <w:szCs w:val="21"/>
          </w:rPr>
          <w:t>https://rightsofwomen.org.uk/get-information/violence-against-women-and-international-law/harassment-and-the-law/</w:t>
        </w:r>
      </w:hyperlink>
      <w:r w:rsidRPr="00A16668">
        <w:rPr>
          <w:sz w:val="21"/>
          <w:szCs w:val="21"/>
        </w:rPr>
        <w:t xml:space="preserve"> [Accessed: 4 June 2021].</w:t>
      </w:r>
    </w:p>
    <w:p w14:paraId="70387E22" w14:textId="2472EFAD" w:rsidR="003B2CD2" w:rsidRDefault="003B2CD2" w:rsidP="003B2CD2">
      <w:pPr>
        <w:keepNext/>
        <w:numPr>
          <w:ilvl w:val="0"/>
          <w:numId w:val="5"/>
        </w:numPr>
        <w:spacing w:before="240" w:after="60"/>
        <w:contextualSpacing/>
        <w:jc w:val="both"/>
        <w:rPr>
          <w:sz w:val="21"/>
          <w:szCs w:val="21"/>
        </w:rPr>
      </w:pPr>
      <w:r>
        <w:rPr>
          <w:sz w:val="21"/>
          <w:szCs w:val="21"/>
        </w:rPr>
        <w:t xml:space="preserve">Swansea Council (2019) </w:t>
      </w:r>
      <w:r>
        <w:rPr>
          <w:i/>
          <w:sz w:val="21"/>
          <w:szCs w:val="21"/>
        </w:rPr>
        <w:t>South Wales Victim Focus</w:t>
      </w:r>
      <w:r>
        <w:rPr>
          <w:sz w:val="21"/>
          <w:szCs w:val="21"/>
        </w:rPr>
        <w:t xml:space="preserve">. Available at: </w:t>
      </w:r>
      <w:hyperlink r:id="rId41" w:history="1">
        <w:r w:rsidRPr="00663434">
          <w:rPr>
            <w:rStyle w:val="Hyperlink"/>
            <w:sz w:val="21"/>
            <w:szCs w:val="21"/>
          </w:rPr>
          <w:t>https://www.swansea.gov.uk/victimfocus</w:t>
        </w:r>
      </w:hyperlink>
      <w:r>
        <w:rPr>
          <w:sz w:val="21"/>
          <w:szCs w:val="21"/>
        </w:rPr>
        <w:t xml:space="preserve"> [Accessed: 14 June 2021]. </w:t>
      </w:r>
    </w:p>
    <w:p w14:paraId="68619497" w14:textId="684A54D8" w:rsidR="00A16668" w:rsidRDefault="00A16668" w:rsidP="00A16668">
      <w:pPr>
        <w:pStyle w:val="ListParagraph"/>
        <w:keepNext/>
        <w:numPr>
          <w:ilvl w:val="0"/>
          <w:numId w:val="5"/>
        </w:numPr>
        <w:spacing w:before="240" w:after="60"/>
        <w:jc w:val="both"/>
        <w:rPr>
          <w:sz w:val="21"/>
          <w:szCs w:val="21"/>
        </w:rPr>
      </w:pPr>
      <w:r w:rsidRPr="00A16668">
        <w:rPr>
          <w:sz w:val="21"/>
          <w:szCs w:val="21"/>
        </w:rPr>
        <w:t xml:space="preserve">SF Gate (2018) The Best Diet for Working Night Shifts. Available at: </w:t>
      </w:r>
      <w:hyperlink r:id="rId42" w:history="1">
        <w:r w:rsidRPr="00A16668">
          <w:rPr>
            <w:rStyle w:val="Hyperlink"/>
            <w:sz w:val="21"/>
            <w:szCs w:val="21"/>
          </w:rPr>
          <w:t>https://healthyeating.sfgate.com/diet-working-night-shifts-2169.html</w:t>
        </w:r>
      </w:hyperlink>
      <w:r w:rsidRPr="00A16668">
        <w:rPr>
          <w:sz w:val="21"/>
          <w:szCs w:val="21"/>
        </w:rPr>
        <w:t xml:space="preserve"> [Accessed: 25 May 2021].</w:t>
      </w:r>
    </w:p>
    <w:p w14:paraId="06A5D783" w14:textId="77777777" w:rsidR="00A16668" w:rsidRPr="00A16668" w:rsidRDefault="00A16668" w:rsidP="00A16668">
      <w:pPr>
        <w:pStyle w:val="ListParagraph"/>
        <w:keepNext/>
        <w:spacing w:before="240" w:after="60"/>
        <w:jc w:val="both"/>
        <w:rPr>
          <w:sz w:val="21"/>
          <w:szCs w:val="21"/>
        </w:rPr>
      </w:pPr>
    </w:p>
    <w:p w14:paraId="737C1848" w14:textId="6BBD3E3E" w:rsidR="00A16668" w:rsidRDefault="00A16668" w:rsidP="00A16668">
      <w:pPr>
        <w:pStyle w:val="ListParagraph"/>
        <w:keepNext/>
        <w:numPr>
          <w:ilvl w:val="0"/>
          <w:numId w:val="5"/>
        </w:numPr>
        <w:spacing w:before="240" w:after="60"/>
        <w:jc w:val="both"/>
        <w:rPr>
          <w:sz w:val="21"/>
          <w:szCs w:val="21"/>
        </w:rPr>
      </w:pPr>
      <w:r w:rsidRPr="00A16668">
        <w:rPr>
          <w:sz w:val="21"/>
          <w:szCs w:val="21"/>
        </w:rPr>
        <w:t xml:space="preserve">Sage Publications (2019) Problem Analysis Triangle. Available at: </w:t>
      </w:r>
      <w:hyperlink r:id="rId43" w:history="1">
        <w:r w:rsidRPr="00A16668">
          <w:rPr>
            <w:rStyle w:val="Hyperlink"/>
            <w:sz w:val="21"/>
            <w:szCs w:val="21"/>
          </w:rPr>
          <w:t>https://sk.sagepub.com/reference/encyclopedia-of-community-policing-and-problem-solving/i3007.xml</w:t>
        </w:r>
      </w:hyperlink>
      <w:r w:rsidRPr="00A16668">
        <w:rPr>
          <w:sz w:val="21"/>
          <w:szCs w:val="21"/>
        </w:rPr>
        <w:t xml:space="preserve"> [Accessed: 14 June 2021].</w:t>
      </w:r>
    </w:p>
    <w:p w14:paraId="5609C975" w14:textId="77777777" w:rsidR="00A16668" w:rsidRPr="00A16668" w:rsidRDefault="00A16668" w:rsidP="00A16668">
      <w:pPr>
        <w:pStyle w:val="ListParagraph"/>
        <w:keepNext/>
        <w:spacing w:before="240" w:after="60"/>
        <w:jc w:val="both"/>
        <w:rPr>
          <w:sz w:val="21"/>
          <w:szCs w:val="21"/>
        </w:rPr>
      </w:pPr>
    </w:p>
    <w:p w14:paraId="2E080575" w14:textId="368DE178" w:rsidR="00A16668" w:rsidRPr="00A16668" w:rsidRDefault="00A16668" w:rsidP="00A16668">
      <w:pPr>
        <w:pStyle w:val="ListParagraph"/>
        <w:numPr>
          <w:ilvl w:val="0"/>
          <w:numId w:val="5"/>
        </w:numPr>
        <w:rPr>
          <w:sz w:val="21"/>
          <w:szCs w:val="21"/>
        </w:rPr>
      </w:pPr>
      <w:r w:rsidRPr="00A16668">
        <w:rPr>
          <w:sz w:val="21"/>
          <w:szCs w:val="21"/>
        </w:rPr>
        <w:t xml:space="preserve">Understood.org (n.d.) ADHD and Aggression. Available at: </w:t>
      </w:r>
      <w:hyperlink r:id="rId44" w:history="1">
        <w:r w:rsidRPr="00663434">
          <w:rPr>
            <w:rStyle w:val="Hyperlink"/>
            <w:sz w:val="21"/>
            <w:szCs w:val="21"/>
          </w:rPr>
          <w:t>https://www.app.college.police.uk/app-content/operations/operational-planning/core-principles/</w:t>
        </w:r>
      </w:hyperlink>
      <w:r>
        <w:rPr>
          <w:sz w:val="21"/>
          <w:szCs w:val="21"/>
        </w:rPr>
        <w:t xml:space="preserve"> </w:t>
      </w:r>
      <w:r w:rsidRPr="00A16668">
        <w:rPr>
          <w:sz w:val="21"/>
          <w:szCs w:val="21"/>
        </w:rPr>
        <w:t xml:space="preserve">[Accessed: 3 June 2021].  </w:t>
      </w:r>
    </w:p>
    <w:p w14:paraId="4955CF1E" w14:textId="77777777" w:rsidR="00A16668" w:rsidRDefault="00A16668" w:rsidP="00A16668">
      <w:pPr>
        <w:keepNext/>
        <w:spacing w:before="240" w:after="60"/>
        <w:ind w:left="720"/>
        <w:contextualSpacing/>
        <w:jc w:val="both"/>
        <w:rPr>
          <w:sz w:val="21"/>
          <w:szCs w:val="21"/>
        </w:rPr>
      </w:pPr>
    </w:p>
    <w:p w14:paraId="5DAA3112" w14:textId="77777777" w:rsidR="003B2CD2" w:rsidRPr="00270EEB" w:rsidRDefault="003B2CD2" w:rsidP="5848403C">
      <w:pPr>
        <w:ind w:right="237"/>
        <w:jc w:val="both"/>
        <w:rPr>
          <w:b/>
          <w:bCs/>
          <w:sz w:val="24"/>
          <w:szCs w:val="24"/>
        </w:rPr>
      </w:pP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001CA843" w:rsidR="5848403C" w:rsidRDefault="00690DF8" w:rsidP="5848403C">
      <w:pPr>
        <w:jc w:val="both"/>
        <w:rPr>
          <w:rFonts w:eastAsia="Arial"/>
          <w:color w:val="000000" w:themeColor="text1"/>
          <w:sz w:val="24"/>
          <w:szCs w:val="24"/>
        </w:rPr>
      </w:pPr>
      <w:r>
        <w:rPr>
          <w:rFonts w:eastAsia="Arial"/>
          <w:color w:val="000000" w:themeColor="text1"/>
          <w:sz w:val="24"/>
          <w:szCs w:val="24"/>
        </w:rPr>
        <w:t>Signed: Catlin Elizabeth Powell</w:t>
      </w:r>
    </w:p>
    <w:p w14:paraId="5473B39D" w14:textId="25489F28" w:rsidR="5848403C" w:rsidRDefault="5848403C" w:rsidP="5848403C">
      <w:pPr>
        <w:jc w:val="both"/>
        <w:rPr>
          <w:rFonts w:eastAsia="Arial"/>
          <w:color w:val="000000" w:themeColor="text1"/>
          <w:sz w:val="24"/>
          <w:szCs w:val="24"/>
        </w:rPr>
      </w:pPr>
    </w:p>
    <w:p w14:paraId="4EC5D203" w14:textId="7AFBD13A" w:rsidR="5848403C" w:rsidRDefault="00690DF8" w:rsidP="5848403C">
      <w:pPr>
        <w:jc w:val="both"/>
        <w:rPr>
          <w:rFonts w:eastAsia="Arial"/>
          <w:color w:val="000000" w:themeColor="text1"/>
          <w:sz w:val="24"/>
          <w:szCs w:val="24"/>
        </w:rPr>
      </w:pPr>
      <w:r>
        <w:rPr>
          <w:rFonts w:eastAsia="Arial"/>
          <w:color w:val="000000" w:themeColor="text1"/>
          <w:sz w:val="24"/>
          <w:szCs w:val="24"/>
        </w:rPr>
        <w:t>Date: 13/06/2021</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690DF8">
          <w:headerReference w:type="even" r:id="rId45"/>
          <w:headerReference w:type="default" r:id="rId46"/>
          <w:footerReference w:type="even" r:id="rId47"/>
          <w:footerReference w:type="default" r:id="rId48"/>
          <w:headerReference w:type="first" r:id="rId49"/>
          <w:footerReference w:type="first" r:id="rId50"/>
          <w:pgSz w:w="11906" w:h="16838" w:code="9"/>
          <w:pgMar w:top="1440" w:right="1440" w:bottom="1440" w:left="1440" w:header="720" w:footer="720" w:gutter="0"/>
          <w:cols w:space="720"/>
          <w:titlePg/>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4269B671" w:rsidR="5848403C" w:rsidRDefault="00862BE7" w:rsidP="5848403C">
      <w:pPr>
        <w:jc w:val="both"/>
        <w:rPr>
          <w:rFonts w:eastAsia="Arial"/>
          <w:color w:val="000000" w:themeColor="text1"/>
          <w:sz w:val="24"/>
          <w:szCs w:val="24"/>
        </w:rPr>
      </w:pPr>
      <w:r>
        <w:rPr>
          <w:rFonts w:eastAsia="Arial"/>
          <w:color w:val="000000" w:themeColor="text1"/>
          <w:sz w:val="24"/>
          <w:szCs w:val="24"/>
        </w:rPr>
        <w:t xml:space="preserve">Signed:  Catlin Elizabeth Powell </w:t>
      </w:r>
    </w:p>
    <w:p w14:paraId="3EC01EFA" w14:textId="0F1AEED0" w:rsidR="5848403C" w:rsidRDefault="5848403C" w:rsidP="5848403C">
      <w:pPr>
        <w:jc w:val="both"/>
        <w:rPr>
          <w:rFonts w:eastAsia="Arial"/>
          <w:color w:val="000000" w:themeColor="text1"/>
          <w:sz w:val="24"/>
          <w:szCs w:val="24"/>
        </w:rPr>
      </w:pPr>
    </w:p>
    <w:p w14:paraId="6058463E" w14:textId="4C58E30D" w:rsidR="5848403C" w:rsidRDefault="00862BE7" w:rsidP="5848403C">
      <w:pPr>
        <w:jc w:val="both"/>
        <w:rPr>
          <w:rFonts w:eastAsia="Arial"/>
          <w:color w:val="000000" w:themeColor="text1"/>
          <w:sz w:val="24"/>
          <w:szCs w:val="24"/>
        </w:rPr>
      </w:pPr>
      <w:r>
        <w:rPr>
          <w:rFonts w:eastAsia="Arial"/>
          <w:color w:val="000000" w:themeColor="text1"/>
          <w:sz w:val="24"/>
          <w:szCs w:val="24"/>
        </w:rPr>
        <w:t>Date: 14/06/2021</w:t>
      </w:r>
      <w:bookmarkStart w:id="18" w:name="_GoBack"/>
      <w:bookmarkEnd w:id="18"/>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27337B24" w:rsidR="5848403C" w:rsidRDefault="00862BE7" w:rsidP="5848403C">
      <w:pPr>
        <w:jc w:val="both"/>
        <w:rPr>
          <w:rFonts w:eastAsia="Arial"/>
          <w:color w:val="000000" w:themeColor="text1"/>
          <w:sz w:val="24"/>
          <w:szCs w:val="24"/>
        </w:rPr>
      </w:pPr>
      <w:r>
        <w:rPr>
          <w:noProof/>
        </w:rPr>
        <w:drawing>
          <wp:inline distT="0" distB="0" distL="0" distR="0" wp14:anchorId="7D07E96B" wp14:editId="3392A9CE">
            <wp:extent cx="3258820" cy="857250"/>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51"/>
                    <a:srcRect l="5983" t="68144" r="75848" b="20221"/>
                    <a:stretch/>
                  </pic:blipFill>
                  <pic:spPr bwMode="auto">
                    <a:xfrm>
                      <a:off x="0" y="0"/>
                      <a:ext cx="3258820" cy="857250"/>
                    </a:xfrm>
                    <a:prstGeom prst="rect">
                      <a:avLst/>
                    </a:prstGeom>
                    <a:ln>
                      <a:noFill/>
                    </a:ln>
                    <a:extLst>
                      <a:ext uri="{53640926-AAD7-44D8-BBD7-CCE9431645EC}">
                        <a14:shadowObscured xmlns:a14="http://schemas.microsoft.com/office/drawing/2010/main"/>
                      </a:ext>
                    </a:extLst>
                  </pic:spPr>
                </pic:pic>
              </a:graphicData>
            </a:graphic>
          </wp:inline>
        </w:drawing>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690DF8">
      <w:headerReference w:type="even" r:id="rId52"/>
      <w:headerReference w:type="default" r:id="rId53"/>
      <w:footerReference w:type="even" r:id="rId54"/>
      <w:footerReference w:type="default" r:id="rId55"/>
      <w:headerReference w:type="first" r:id="rId56"/>
      <w:footerReference w:type="first" r:id="rId5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8B7CF9" w14:textId="77777777" w:rsidR="00115B2E" w:rsidRDefault="00115B2E">
      <w:r>
        <w:separator/>
      </w:r>
    </w:p>
  </w:endnote>
  <w:endnote w:type="continuationSeparator" w:id="0">
    <w:p w14:paraId="2FD44551" w14:textId="77777777" w:rsidR="00115B2E" w:rsidRDefault="00115B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23FB06" w14:textId="0469416C" w:rsidR="00115B2E" w:rsidRDefault="00862BE7" w:rsidP="00862BE7">
    <w:pPr>
      <w:pStyle w:val="Footer"/>
      <w:rPr>
        <w:sz w:val="17"/>
      </w:rPr>
    </w:pPr>
    <w:bookmarkStart w:id="2" w:name="TITUS1FooterEvenPages"/>
    <w:r>
      <w:rPr>
        <w:sz w:val="17"/>
      </w:rPr>
      <w:t> </w:t>
    </w:r>
  </w:p>
  <w:bookmarkEnd w:id="2"/>
  <w:p w14:paraId="03F47DFB" w14:textId="77777777" w:rsidR="00115B2E" w:rsidRDefault="00115B2E" w:rsidP="002851BA">
    <w:pPr>
      <w:pStyle w:val="Footer"/>
      <w:rPr>
        <w:sz w:val="17"/>
      </w:rPr>
    </w:pPr>
  </w:p>
  <w:p w14:paraId="7D61DE75" w14:textId="62203D90" w:rsidR="00115B2E" w:rsidRDefault="00115B2E" w:rsidP="002851BA">
    <w:pPr>
      <w:pStyle w:val="Footer"/>
      <w:jc w:val="right"/>
    </w:pPr>
    <w:r>
      <w:fldChar w:fldCharType="begin"/>
    </w:r>
    <w:r>
      <w:instrText xml:space="preserve"> PAGE   \* MERGEFORMAT </w:instrText>
    </w:r>
    <w:r>
      <w:fldChar w:fldCharType="separate"/>
    </w:r>
    <w:r w:rsidR="00862BE7">
      <w:rPr>
        <w:noProof/>
      </w:rPr>
      <w:t>6</w:t>
    </w:r>
    <w:r>
      <w:rPr>
        <w:noProof/>
      </w:rPr>
      <w:fldChar w:fldCharType="end"/>
    </w:r>
  </w:p>
  <w:p w14:paraId="2EA02112" w14:textId="77777777" w:rsidR="00115B2E" w:rsidRPr="00BB5EAA" w:rsidRDefault="00115B2E" w:rsidP="002851BA">
    <w:pPr>
      <w:pStyle w:val="Footer"/>
      <w:ind w:right="360"/>
      <w:jc w:val="center"/>
    </w:pPr>
  </w:p>
  <w:p w14:paraId="50217F0A" w14:textId="77777777" w:rsidR="00115B2E" w:rsidRDefault="00115B2E" w:rsidP="002851BA">
    <w:pPr>
      <w:pStyle w:val="Header"/>
    </w:pPr>
  </w:p>
  <w:p w14:paraId="5F85F276" w14:textId="77777777" w:rsidR="00115B2E" w:rsidRDefault="00115B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1361CF" w14:textId="29254C54" w:rsidR="00115B2E" w:rsidRDefault="00862BE7" w:rsidP="00862BE7">
    <w:pPr>
      <w:pStyle w:val="Footer"/>
      <w:rPr>
        <w:sz w:val="17"/>
      </w:rPr>
    </w:pPr>
    <w:bookmarkStart w:id="3" w:name="TITUS1FooterPrimary"/>
    <w:r>
      <w:rPr>
        <w:sz w:val="17"/>
      </w:rPr>
      <w:t> </w:t>
    </w:r>
  </w:p>
  <w:bookmarkEnd w:id="3"/>
  <w:p w14:paraId="50521BFA" w14:textId="148755CD" w:rsidR="00115B2E" w:rsidRDefault="00115B2E">
    <w:pPr>
      <w:pStyle w:val="Footer"/>
      <w:jc w:val="right"/>
    </w:pPr>
    <w:r>
      <w:fldChar w:fldCharType="begin"/>
    </w:r>
    <w:r>
      <w:instrText xml:space="preserve"> PAGE   \* MERGEFORMAT </w:instrText>
    </w:r>
    <w:r>
      <w:fldChar w:fldCharType="separate"/>
    </w:r>
    <w:r w:rsidR="00862BE7">
      <w:rPr>
        <w:noProof/>
      </w:rPr>
      <w:t>7</w:t>
    </w:r>
    <w:r>
      <w:rPr>
        <w:noProof/>
      </w:rPr>
      <w:fldChar w:fldCharType="end"/>
    </w:r>
  </w:p>
  <w:p w14:paraId="790812FF" w14:textId="77777777" w:rsidR="00115B2E" w:rsidRPr="00BB5EAA" w:rsidRDefault="00115B2E" w:rsidP="004C2D3A">
    <w:pPr>
      <w:pStyle w:val="Footer"/>
      <w:ind w:right="360"/>
      <w:jc w:val="center"/>
    </w:pPr>
  </w:p>
  <w:p w14:paraId="1BF46BF9" w14:textId="77777777" w:rsidR="00115B2E" w:rsidRDefault="00115B2E" w:rsidP="00690DF8">
    <w:pPr>
      <w:pStyle w:val="Head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9C97C4" w14:textId="3202B1C3" w:rsidR="00115B2E" w:rsidRDefault="00862BE7" w:rsidP="00862BE7">
    <w:pPr>
      <w:pStyle w:val="Footer"/>
      <w:rPr>
        <w:sz w:val="17"/>
      </w:rPr>
    </w:pPr>
    <w:bookmarkStart w:id="5" w:name="TITUS1FooterFirstPage"/>
    <w:r>
      <w:rPr>
        <w:sz w:val="17"/>
      </w:rPr>
      <w:t> </w:t>
    </w:r>
  </w:p>
  <w:bookmarkEnd w:id="5"/>
  <w:p w14:paraId="2349D493" w14:textId="3CA2880E" w:rsidR="00115B2E" w:rsidRDefault="00115B2E" w:rsidP="00690DF8">
    <w:pPr>
      <w:pStyle w:val="Footer"/>
      <w:jc w:val="right"/>
    </w:pPr>
    <w:r>
      <w:fldChar w:fldCharType="begin"/>
    </w:r>
    <w:r>
      <w:instrText xml:space="preserve"> PAGE   \* MERGEFORMAT </w:instrText>
    </w:r>
    <w:r>
      <w:fldChar w:fldCharType="separate"/>
    </w:r>
    <w:r w:rsidR="00862BE7">
      <w:rPr>
        <w:noProof/>
      </w:rPr>
      <w:t>1</w:t>
    </w:r>
    <w:r>
      <w:rPr>
        <w:noProof/>
      </w:rPr>
      <w:fldChar w:fldCharType="end"/>
    </w:r>
  </w:p>
  <w:p w14:paraId="626CD67B" w14:textId="77777777" w:rsidR="00115B2E" w:rsidRPr="00BB5EAA" w:rsidRDefault="00115B2E" w:rsidP="00690DF8">
    <w:pPr>
      <w:pStyle w:val="Footer"/>
      <w:ind w:right="360"/>
      <w:jc w:val="center"/>
    </w:pPr>
  </w:p>
  <w:p w14:paraId="046D06AD" w14:textId="77777777" w:rsidR="00115B2E" w:rsidRDefault="00115B2E" w:rsidP="00690DF8">
    <w:pPr>
      <w:pStyle w:val="Header"/>
    </w:pPr>
  </w:p>
  <w:p w14:paraId="1A13B865" w14:textId="77777777" w:rsidR="00115B2E" w:rsidRDefault="00115B2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B83E5F" w14:textId="5A3B146E" w:rsidR="00115B2E" w:rsidRDefault="00862BE7" w:rsidP="00862BE7">
    <w:pPr>
      <w:pStyle w:val="Footer"/>
      <w:rPr>
        <w:sz w:val="17"/>
      </w:rPr>
    </w:pPr>
    <w:bookmarkStart w:id="8" w:name="TITUS2FooterEvenPages"/>
    <w:r>
      <w:rPr>
        <w:sz w:val="17"/>
      </w:rPr>
      <w:t> </w:t>
    </w:r>
  </w:p>
  <w:bookmarkEnd w:id="8"/>
  <w:p w14:paraId="602CD9AC" w14:textId="77777777" w:rsidR="00115B2E" w:rsidRDefault="00115B2E" w:rsidP="00690DF8">
    <w:pPr>
      <w:pStyle w:val="Footer"/>
      <w:jc w:val="right"/>
    </w:pPr>
  </w:p>
  <w:p w14:paraId="283D8E7E" w14:textId="6C82DCB7" w:rsidR="00115B2E" w:rsidRDefault="00115B2E" w:rsidP="00690DF8">
    <w:pPr>
      <w:pStyle w:val="Footer"/>
      <w:jc w:val="right"/>
    </w:pPr>
    <w:r>
      <w:fldChar w:fldCharType="begin"/>
    </w:r>
    <w:r>
      <w:instrText xml:space="preserve"> PAGE   \* MERGEFORMAT </w:instrText>
    </w:r>
    <w:r>
      <w:fldChar w:fldCharType="separate"/>
    </w:r>
    <w:r w:rsidR="00862BE7">
      <w:rPr>
        <w:noProof/>
      </w:rPr>
      <w:t>18</w:t>
    </w:r>
    <w:r>
      <w:rPr>
        <w:noProof/>
      </w:rPr>
      <w:fldChar w:fldCharType="end"/>
    </w:r>
  </w:p>
  <w:p w14:paraId="5C90324B" w14:textId="77777777" w:rsidR="00115B2E" w:rsidRPr="00BB5EAA" w:rsidRDefault="00115B2E" w:rsidP="00690DF8">
    <w:pPr>
      <w:pStyle w:val="Footer"/>
      <w:ind w:right="360"/>
      <w:jc w:val="center"/>
    </w:pPr>
  </w:p>
  <w:p w14:paraId="22E63BC4" w14:textId="77777777" w:rsidR="00115B2E" w:rsidRDefault="00115B2E" w:rsidP="00690DF8">
    <w:pPr>
      <w:pStyle w:val="Header"/>
    </w:pPr>
  </w:p>
  <w:p w14:paraId="122B5A17" w14:textId="77777777" w:rsidR="00115B2E" w:rsidRDefault="00115B2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179851" w14:textId="7BAF8B8B" w:rsidR="00115B2E" w:rsidRDefault="00862BE7" w:rsidP="00862BE7">
    <w:pPr>
      <w:pStyle w:val="Footer"/>
      <w:rPr>
        <w:sz w:val="17"/>
      </w:rPr>
    </w:pPr>
    <w:bookmarkStart w:id="9" w:name="TITUS2FooterPrimary"/>
    <w:r>
      <w:rPr>
        <w:sz w:val="17"/>
      </w:rPr>
      <w:t> </w:t>
    </w:r>
  </w:p>
  <w:bookmarkEnd w:id="9"/>
  <w:p w14:paraId="2A0BDB17" w14:textId="77777777" w:rsidR="00115B2E" w:rsidRDefault="00115B2E">
    <w:pPr>
      <w:pStyle w:val="Footer"/>
      <w:jc w:val="right"/>
    </w:pPr>
  </w:p>
  <w:p w14:paraId="273B381D" w14:textId="2AC06635" w:rsidR="00115B2E" w:rsidRDefault="00115B2E">
    <w:pPr>
      <w:pStyle w:val="Footer"/>
      <w:jc w:val="right"/>
    </w:pPr>
    <w:r>
      <w:fldChar w:fldCharType="begin"/>
    </w:r>
    <w:r>
      <w:instrText xml:space="preserve"> PAGE   \* MERGEFORMAT </w:instrText>
    </w:r>
    <w:r>
      <w:fldChar w:fldCharType="separate"/>
    </w:r>
    <w:r w:rsidR="00862BE7">
      <w:rPr>
        <w:noProof/>
      </w:rPr>
      <w:t>17</w:t>
    </w:r>
    <w:r>
      <w:rPr>
        <w:noProof/>
      </w:rPr>
      <w:fldChar w:fldCharType="end"/>
    </w:r>
  </w:p>
  <w:p w14:paraId="25E47E76" w14:textId="77777777" w:rsidR="00115B2E" w:rsidRPr="00BB5EAA" w:rsidRDefault="00115B2E" w:rsidP="004C2D3A">
    <w:pPr>
      <w:pStyle w:val="Footer"/>
      <w:ind w:right="360"/>
      <w:jc w:val="center"/>
    </w:pPr>
  </w:p>
  <w:p w14:paraId="49D44B1C" w14:textId="77777777" w:rsidR="00115B2E" w:rsidRDefault="00115B2E" w:rsidP="00690DF8">
    <w:pPr>
      <w:pStyle w:val="Head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173453" w14:textId="09DE5F89" w:rsidR="00115B2E" w:rsidRDefault="00862BE7" w:rsidP="00862BE7">
    <w:pPr>
      <w:pStyle w:val="Footer"/>
      <w:rPr>
        <w:sz w:val="17"/>
      </w:rPr>
    </w:pPr>
    <w:bookmarkStart w:id="11" w:name="TITUS2FooterFirstPage"/>
    <w:r>
      <w:rPr>
        <w:sz w:val="17"/>
      </w:rPr>
      <w:t> </w:t>
    </w:r>
  </w:p>
  <w:bookmarkEnd w:id="11"/>
  <w:p w14:paraId="3F714798" w14:textId="77777777" w:rsidR="00115B2E" w:rsidRDefault="00115B2E" w:rsidP="00690DF8">
    <w:pPr>
      <w:pStyle w:val="Footer"/>
      <w:jc w:val="right"/>
    </w:pPr>
  </w:p>
  <w:p w14:paraId="7F3F454A" w14:textId="09BA6497" w:rsidR="00115B2E" w:rsidRDefault="00115B2E" w:rsidP="00690DF8">
    <w:pPr>
      <w:pStyle w:val="Footer"/>
      <w:jc w:val="right"/>
    </w:pPr>
    <w:r>
      <w:fldChar w:fldCharType="begin"/>
    </w:r>
    <w:r>
      <w:instrText xml:space="preserve"> PAGE   \* MERGEFORMAT </w:instrText>
    </w:r>
    <w:r>
      <w:fldChar w:fldCharType="separate"/>
    </w:r>
    <w:r w:rsidR="00862BE7">
      <w:rPr>
        <w:noProof/>
      </w:rPr>
      <w:t>8</w:t>
    </w:r>
    <w:r>
      <w:rPr>
        <w:noProof/>
      </w:rPr>
      <w:fldChar w:fldCharType="end"/>
    </w:r>
  </w:p>
  <w:p w14:paraId="395232E0" w14:textId="77777777" w:rsidR="00115B2E" w:rsidRPr="00BB5EAA" w:rsidRDefault="00115B2E" w:rsidP="00690DF8">
    <w:pPr>
      <w:pStyle w:val="Footer"/>
      <w:ind w:right="360"/>
      <w:jc w:val="center"/>
    </w:pPr>
  </w:p>
  <w:p w14:paraId="2176931E" w14:textId="77777777" w:rsidR="00115B2E" w:rsidRDefault="00115B2E" w:rsidP="00690DF8">
    <w:pPr>
      <w:pStyle w:val="Header"/>
    </w:pPr>
  </w:p>
  <w:p w14:paraId="1D3ADFAB" w14:textId="77777777" w:rsidR="00115B2E" w:rsidRDefault="00115B2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BE280A" w14:textId="767AFA2F" w:rsidR="00115B2E" w:rsidRDefault="00862BE7" w:rsidP="00862BE7">
    <w:pPr>
      <w:pStyle w:val="Footer"/>
      <w:rPr>
        <w:sz w:val="17"/>
      </w:rPr>
    </w:pPr>
    <w:bookmarkStart w:id="14" w:name="TITUS3FooterEvenPages"/>
    <w:r>
      <w:rPr>
        <w:sz w:val="17"/>
      </w:rPr>
      <w:t> </w:t>
    </w:r>
  </w:p>
  <w:bookmarkEnd w:id="14"/>
  <w:p w14:paraId="450B9028" w14:textId="77777777" w:rsidR="00115B2E" w:rsidRDefault="00115B2E" w:rsidP="00690DF8">
    <w:pPr>
      <w:pStyle w:val="Footer"/>
      <w:jc w:val="right"/>
    </w:pPr>
  </w:p>
  <w:p w14:paraId="4D12F2EE" w14:textId="6BB68DF5" w:rsidR="00115B2E" w:rsidRDefault="00115B2E" w:rsidP="00690DF8">
    <w:pPr>
      <w:pStyle w:val="Footer"/>
      <w:jc w:val="right"/>
    </w:pPr>
    <w:r>
      <w:fldChar w:fldCharType="begin"/>
    </w:r>
    <w:r>
      <w:instrText xml:space="preserve"> PAGE   \* MERGEFORMAT </w:instrText>
    </w:r>
    <w:r>
      <w:fldChar w:fldCharType="separate"/>
    </w:r>
    <w:r w:rsidR="00862BE7">
      <w:rPr>
        <w:noProof/>
      </w:rPr>
      <w:t>20</w:t>
    </w:r>
    <w:r>
      <w:rPr>
        <w:noProof/>
      </w:rPr>
      <w:fldChar w:fldCharType="end"/>
    </w:r>
  </w:p>
  <w:p w14:paraId="6AFE727E" w14:textId="77777777" w:rsidR="00115B2E" w:rsidRPr="00BB5EAA" w:rsidRDefault="00115B2E" w:rsidP="00690DF8">
    <w:pPr>
      <w:pStyle w:val="Footer"/>
      <w:ind w:right="360"/>
      <w:jc w:val="center"/>
    </w:pPr>
  </w:p>
  <w:p w14:paraId="3E7B4A67" w14:textId="77777777" w:rsidR="00115B2E" w:rsidRDefault="00115B2E" w:rsidP="00690DF8">
    <w:pPr>
      <w:pStyle w:val="Header"/>
    </w:pPr>
  </w:p>
  <w:p w14:paraId="1AE22A5C" w14:textId="77777777" w:rsidR="00115B2E" w:rsidRDefault="00115B2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A3EF71" w14:textId="44A50F3E" w:rsidR="00115B2E" w:rsidRDefault="00862BE7" w:rsidP="00862BE7">
    <w:pPr>
      <w:pStyle w:val="Footer"/>
      <w:rPr>
        <w:sz w:val="17"/>
      </w:rPr>
    </w:pPr>
    <w:bookmarkStart w:id="15" w:name="TITUS3FooterPrimary"/>
    <w:r>
      <w:rPr>
        <w:sz w:val="17"/>
      </w:rPr>
      <w:t> </w:t>
    </w:r>
  </w:p>
  <w:bookmarkEnd w:id="15"/>
  <w:p w14:paraId="3636330B" w14:textId="77777777" w:rsidR="00115B2E" w:rsidRDefault="00115B2E">
    <w:pPr>
      <w:pStyle w:val="Footer"/>
      <w:jc w:val="right"/>
    </w:pPr>
  </w:p>
  <w:p w14:paraId="3625808B" w14:textId="61060FC0" w:rsidR="00115B2E" w:rsidRDefault="00115B2E">
    <w:pPr>
      <w:pStyle w:val="Footer"/>
      <w:jc w:val="right"/>
    </w:pPr>
    <w:r>
      <w:fldChar w:fldCharType="begin"/>
    </w:r>
    <w:r>
      <w:instrText xml:space="preserve"> PAGE   \* MERGEFORMAT </w:instrText>
    </w:r>
    <w:r>
      <w:fldChar w:fldCharType="separate"/>
    </w:r>
    <w:r w:rsidR="00862BE7">
      <w:rPr>
        <w:noProof/>
      </w:rPr>
      <w:t>21</w:t>
    </w:r>
    <w:r>
      <w:rPr>
        <w:noProof/>
      </w:rPr>
      <w:fldChar w:fldCharType="end"/>
    </w:r>
  </w:p>
  <w:p w14:paraId="57C11AB4" w14:textId="77777777" w:rsidR="00115B2E" w:rsidRPr="00BB5EAA" w:rsidRDefault="00115B2E" w:rsidP="004C2D3A">
    <w:pPr>
      <w:pStyle w:val="Footer"/>
      <w:ind w:right="360"/>
      <w:jc w:val="center"/>
    </w:pPr>
  </w:p>
  <w:p w14:paraId="262A4CCD" w14:textId="77777777" w:rsidR="00115B2E" w:rsidRDefault="00115B2E" w:rsidP="00690DF8">
    <w:pPr>
      <w:pStyle w:val="Head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0D5F5B" w14:textId="7F1AD418" w:rsidR="00115B2E" w:rsidRDefault="00862BE7" w:rsidP="00862BE7">
    <w:pPr>
      <w:pStyle w:val="Footer"/>
      <w:rPr>
        <w:sz w:val="17"/>
      </w:rPr>
    </w:pPr>
    <w:bookmarkStart w:id="17" w:name="TITUS3FooterFirstPage"/>
    <w:r>
      <w:rPr>
        <w:sz w:val="17"/>
      </w:rPr>
      <w:t> </w:t>
    </w:r>
  </w:p>
  <w:bookmarkEnd w:id="17"/>
  <w:p w14:paraId="6AEF071F" w14:textId="77777777" w:rsidR="00115B2E" w:rsidRDefault="00115B2E" w:rsidP="00690DF8">
    <w:pPr>
      <w:pStyle w:val="Footer"/>
      <w:jc w:val="right"/>
    </w:pPr>
  </w:p>
  <w:p w14:paraId="4F0FF901" w14:textId="45C4D6D4" w:rsidR="00115B2E" w:rsidRDefault="00115B2E" w:rsidP="00690DF8">
    <w:pPr>
      <w:pStyle w:val="Footer"/>
      <w:jc w:val="right"/>
    </w:pPr>
    <w:r>
      <w:fldChar w:fldCharType="begin"/>
    </w:r>
    <w:r>
      <w:instrText xml:space="preserve"> PAGE   \* MERGEFORMAT </w:instrText>
    </w:r>
    <w:r>
      <w:fldChar w:fldCharType="separate"/>
    </w:r>
    <w:r w:rsidR="00862BE7">
      <w:rPr>
        <w:noProof/>
      </w:rPr>
      <w:t>19</w:t>
    </w:r>
    <w:r>
      <w:rPr>
        <w:noProof/>
      </w:rPr>
      <w:fldChar w:fldCharType="end"/>
    </w:r>
  </w:p>
  <w:p w14:paraId="32D07820" w14:textId="77777777" w:rsidR="00115B2E" w:rsidRPr="00BB5EAA" w:rsidRDefault="00115B2E" w:rsidP="00690DF8">
    <w:pPr>
      <w:pStyle w:val="Footer"/>
      <w:ind w:right="360"/>
      <w:jc w:val="center"/>
    </w:pPr>
  </w:p>
  <w:p w14:paraId="029D3886" w14:textId="77777777" w:rsidR="00115B2E" w:rsidRDefault="00115B2E" w:rsidP="00690DF8">
    <w:pPr>
      <w:pStyle w:val="Header"/>
    </w:pPr>
  </w:p>
  <w:p w14:paraId="21E893F6" w14:textId="77777777" w:rsidR="00115B2E" w:rsidRDefault="00115B2E">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7D0013" w14:textId="54661152" w:rsidR="00115B2E" w:rsidRDefault="00862BE7" w:rsidP="00862BE7">
    <w:pPr>
      <w:pStyle w:val="Footer"/>
      <w:rPr>
        <w:sz w:val="17"/>
      </w:rPr>
    </w:pPr>
    <w:bookmarkStart w:id="21" w:name="TITUS4FooterEvenPages"/>
    <w:r>
      <w:rPr>
        <w:sz w:val="17"/>
      </w:rPr>
      <w:t> </w:t>
    </w:r>
  </w:p>
  <w:bookmarkEnd w:id="21"/>
  <w:p w14:paraId="6E8D03F3" w14:textId="77777777" w:rsidR="00115B2E" w:rsidRDefault="00115B2E" w:rsidP="00690DF8">
    <w:pPr>
      <w:pStyle w:val="Footer"/>
      <w:jc w:val="right"/>
    </w:pPr>
  </w:p>
  <w:p w14:paraId="17789BE4" w14:textId="77777777" w:rsidR="00115B2E" w:rsidRDefault="00115B2E" w:rsidP="00690DF8">
    <w:pPr>
      <w:pStyle w:val="Footer"/>
      <w:jc w:val="right"/>
    </w:pPr>
    <w:r>
      <w:fldChar w:fldCharType="begin"/>
    </w:r>
    <w:r>
      <w:instrText xml:space="preserve"> PAGE   \* MERGEFORMAT </w:instrText>
    </w:r>
    <w:r>
      <w:fldChar w:fldCharType="separate"/>
    </w:r>
    <w:r>
      <w:rPr>
        <w:noProof/>
      </w:rPr>
      <w:t>16</w:t>
    </w:r>
    <w:r>
      <w:rPr>
        <w:noProof/>
      </w:rPr>
      <w:fldChar w:fldCharType="end"/>
    </w:r>
  </w:p>
  <w:p w14:paraId="09013C25" w14:textId="77777777" w:rsidR="00115B2E" w:rsidRPr="00BB5EAA" w:rsidRDefault="00115B2E" w:rsidP="00690DF8">
    <w:pPr>
      <w:pStyle w:val="Footer"/>
      <w:ind w:right="360"/>
      <w:jc w:val="center"/>
    </w:pPr>
  </w:p>
  <w:p w14:paraId="0F6D0168" w14:textId="77777777" w:rsidR="00115B2E" w:rsidRDefault="00115B2E" w:rsidP="00690DF8">
    <w:pPr>
      <w:pStyle w:val="Header"/>
    </w:pPr>
  </w:p>
  <w:p w14:paraId="63DB9B77" w14:textId="77777777" w:rsidR="00115B2E" w:rsidRDefault="00115B2E">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F8A5CA" w14:textId="3443FA9F" w:rsidR="00115B2E" w:rsidRDefault="00862BE7" w:rsidP="00862BE7">
    <w:pPr>
      <w:pStyle w:val="Footer"/>
      <w:rPr>
        <w:sz w:val="17"/>
      </w:rPr>
    </w:pPr>
    <w:bookmarkStart w:id="22" w:name="TITUS4FooterPrimary"/>
    <w:r>
      <w:rPr>
        <w:sz w:val="17"/>
      </w:rPr>
      <w:t> </w:t>
    </w:r>
  </w:p>
  <w:bookmarkEnd w:id="22"/>
  <w:p w14:paraId="0D3151F3" w14:textId="77777777" w:rsidR="00115B2E" w:rsidRDefault="00115B2E">
    <w:pPr>
      <w:pStyle w:val="Footer"/>
      <w:jc w:val="right"/>
    </w:pPr>
  </w:p>
  <w:p w14:paraId="2AFCFC5E" w14:textId="77777777" w:rsidR="00115B2E" w:rsidRDefault="00115B2E">
    <w:pPr>
      <w:pStyle w:val="Footer"/>
      <w:jc w:val="right"/>
    </w:pPr>
    <w:r>
      <w:fldChar w:fldCharType="begin"/>
    </w:r>
    <w:r>
      <w:instrText xml:space="preserve"> PAGE   \* MERGEFORMAT </w:instrText>
    </w:r>
    <w:r>
      <w:fldChar w:fldCharType="separate"/>
    </w:r>
    <w:r>
      <w:rPr>
        <w:noProof/>
      </w:rPr>
      <w:t>16</w:t>
    </w:r>
    <w:r>
      <w:rPr>
        <w:noProof/>
      </w:rPr>
      <w:fldChar w:fldCharType="end"/>
    </w:r>
  </w:p>
  <w:p w14:paraId="466A6EA6" w14:textId="77777777" w:rsidR="00115B2E" w:rsidRPr="00BB5EAA" w:rsidRDefault="00115B2E" w:rsidP="004C2D3A">
    <w:pPr>
      <w:pStyle w:val="Footer"/>
      <w:ind w:right="360"/>
      <w:jc w:val="center"/>
    </w:pPr>
  </w:p>
  <w:p w14:paraId="7C23C199" w14:textId="77777777" w:rsidR="00115B2E" w:rsidRDefault="00115B2E" w:rsidP="00690DF8">
    <w:pPr>
      <w:pStyle w:val="Head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B21547" w14:textId="65D8518E" w:rsidR="00115B2E" w:rsidRDefault="00862BE7" w:rsidP="00862BE7">
    <w:pPr>
      <w:pStyle w:val="Footer"/>
      <w:rPr>
        <w:sz w:val="17"/>
      </w:rPr>
    </w:pPr>
    <w:bookmarkStart w:id="24" w:name="TITUS4FooterFirstPage"/>
    <w:r>
      <w:rPr>
        <w:sz w:val="17"/>
      </w:rPr>
      <w:t> </w:t>
    </w:r>
  </w:p>
  <w:bookmarkEnd w:id="24"/>
  <w:p w14:paraId="73E8BE05" w14:textId="77777777" w:rsidR="00115B2E" w:rsidRDefault="00115B2E" w:rsidP="00690DF8">
    <w:pPr>
      <w:pStyle w:val="Footer"/>
      <w:jc w:val="right"/>
    </w:pPr>
  </w:p>
  <w:p w14:paraId="30E70B01" w14:textId="2B07A55F" w:rsidR="00115B2E" w:rsidRDefault="00115B2E" w:rsidP="00690DF8">
    <w:pPr>
      <w:pStyle w:val="Footer"/>
      <w:jc w:val="right"/>
    </w:pPr>
    <w:r>
      <w:fldChar w:fldCharType="begin"/>
    </w:r>
    <w:r>
      <w:instrText xml:space="preserve"> PAGE   \* MERGEFORMAT </w:instrText>
    </w:r>
    <w:r>
      <w:fldChar w:fldCharType="separate"/>
    </w:r>
    <w:r w:rsidR="00862BE7">
      <w:rPr>
        <w:noProof/>
      </w:rPr>
      <w:t>22</w:t>
    </w:r>
    <w:r>
      <w:rPr>
        <w:noProof/>
      </w:rPr>
      <w:fldChar w:fldCharType="end"/>
    </w:r>
  </w:p>
  <w:p w14:paraId="2A9DE069" w14:textId="77777777" w:rsidR="00115B2E" w:rsidRPr="00BB5EAA" w:rsidRDefault="00115B2E" w:rsidP="00690DF8">
    <w:pPr>
      <w:pStyle w:val="Footer"/>
      <w:ind w:right="360"/>
      <w:jc w:val="center"/>
    </w:pPr>
  </w:p>
  <w:p w14:paraId="05B6D4B8" w14:textId="77777777" w:rsidR="00115B2E" w:rsidRDefault="00115B2E" w:rsidP="00690DF8">
    <w:pPr>
      <w:pStyle w:val="Header"/>
    </w:pPr>
  </w:p>
  <w:p w14:paraId="1B34FC78" w14:textId="77777777" w:rsidR="00115B2E" w:rsidRDefault="00115B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9ECF1D" w14:textId="77777777" w:rsidR="00115B2E" w:rsidRDefault="00115B2E">
      <w:r>
        <w:separator/>
      </w:r>
    </w:p>
  </w:footnote>
  <w:footnote w:type="continuationSeparator" w:id="0">
    <w:p w14:paraId="458DDD75" w14:textId="77777777" w:rsidR="00115B2E" w:rsidRDefault="00115B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A8D595" w14:textId="17767DB6" w:rsidR="00115B2E" w:rsidRDefault="00862BE7" w:rsidP="00862BE7">
    <w:pPr>
      <w:pStyle w:val="Header"/>
      <w:rPr>
        <w:sz w:val="17"/>
      </w:rPr>
    </w:pPr>
    <w:bookmarkStart w:id="0" w:name="TITUS1HeaderEvenPages"/>
    <w:r>
      <w:rPr>
        <w:sz w:val="17"/>
      </w:rPr>
      <w:t> </w:t>
    </w:r>
  </w:p>
  <w:bookmarkEnd w:id="0"/>
  <w:p w14:paraId="36E6CEBF" w14:textId="77777777" w:rsidR="00115B2E" w:rsidRDefault="00115B2E" w:rsidP="002851BA">
    <w:pPr>
      <w:pStyle w:val="Header"/>
    </w:pPr>
  </w:p>
  <w:p w14:paraId="2282DBD0" w14:textId="77777777" w:rsidR="00115B2E" w:rsidRDefault="00115B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4BA3DE" w14:textId="4A142D70" w:rsidR="00115B2E" w:rsidRDefault="00862BE7" w:rsidP="00862BE7">
    <w:pPr>
      <w:pStyle w:val="Header"/>
      <w:rPr>
        <w:sz w:val="17"/>
      </w:rPr>
    </w:pPr>
    <w:bookmarkStart w:id="1" w:name="TITUS1HeaderPrimary"/>
    <w:r>
      <w:rPr>
        <w:sz w:val="17"/>
      </w:rPr>
      <w:t> </w:t>
    </w:r>
  </w:p>
  <w:bookmarkEnd w:id="1"/>
  <w:p w14:paraId="623D689A" w14:textId="77777777" w:rsidR="00115B2E" w:rsidRDefault="00115B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52B294" w14:textId="35C4B071" w:rsidR="00115B2E" w:rsidRDefault="00862BE7" w:rsidP="00862BE7">
    <w:pPr>
      <w:pStyle w:val="Header"/>
      <w:rPr>
        <w:sz w:val="17"/>
      </w:rPr>
    </w:pPr>
    <w:bookmarkStart w:id="4" w:name="TITUS1HeaderFirstPage"/>
    <w:r>
      <w:rPr>
        <w:sz w:val="17"/>
      </w:rPr>
      <w:t> </w:t>
    </w:r>
  </w:p>
  <w:bookmarkEnd w:id="4"/>
  <w:p w14:paraId="22189B59" w14:textId="77777777" w:rsidR="00115B2E" w:rsidRDefault="00115B2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CBC1A3" w14:textId="740BE110" w:rsidR="00115B2E" w:rsidRDefault="00862BE7" w:rsidP="00862BE7">
    <w:pPr>
      <w:pStyle w:val="Header"/>
      <w:rPr>
        <w:sz w:val="17"/>
      </w:rPr>
    </w:pPr>
    <w:bookmarkStart w:id="6" w:name="TITUS2HeaderEvenPages"/>
    <w:r>
      <w:rPr>
        <w:sz w:val="17"/>
      </w:rPr>
      <w:t> </w:t>
    </w:r>
  </w:p>
  <w:bookmarkEnd w:id="6"/>
  <w:p w14:paraId="52CD8945" w14:textId="77777777" w:rsidR="00115B2E" w:rsidRDefault="00115B2E" w:rsidP="00690DF8">
    <w:pPr>
      <w:pStyle w:val="Header"/>
    </w:pPr>
  </w:p>
  <w:p w14:paraId="6FD59CF3" w14:textId="77777777" w:rsidR="00115B2E" w:rsidRDefault="00115B2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307B39" w14:textId="71E1B84D" w:rsidR="00115B2E" w:rsidRDefault="00862BE7" w:rsidP="00862BE7">
    <w:pPr>
      <w:pStyle w:val="Header"/>
      <w:rPr>
        <w:sz w:val="17"/>
      </w:rPr>
    </w:pPr>
    <w:bookmarkStart w:id="7" w:name="TITUS2HeaderPrimary"/>
    <w:r>
      <w:rPr>
        <w:sz w:val="17"/>
      </w:rPr>
      <w:t> </w:t>
    </w:r>
  </w:p>
  <w:bookmarkEnd w:id="7"/>
  <w:p w14:paraId="11A2188B" w14:textId="77777777" w:rsidR="00115B2E" w:rsidRDefault="00115B2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D7AB3B" w14:textId="51569948" w:rsidR="00115B2E" w:rsidRDefault="00862BE7" w:rsidP="00862BE7">
    <w:pPr>
      <w:pStyle w:val="Header"/>
      <w:rPr>
        <w:sz w:val="17"/>
      </w:rPr>
    </w:pPr>
    <w:bookmarkStart w:id="10" w:name="TITUS2HeaderFirstPage"/>
    <w:r>
      <w:rPr>
        <w:sz w:val="17"/>
      </w:rPr>
      <w:t> </w:t>
    </w:r>
  </w:p>
  <w:bookmarkEnd w:id="10"/>
  <w:p w14:paraId="5D1C0D1F" w14:textId="77777777" w:rsidR="00115B2E" w:rsidRDefault="00115B2E" w:rsidP="00690DF8">
    <w:pPr>
      <w:pStyle w:val="Header"/>
    </w:pPr>
  </w:p>
  <w:p w14:paraId="098E0E32" w14:textId="77777777" w:rsidR="00115B2E" w:rsidRDefault="00115B2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0A8A9B" w14:textId="1844E353" w:rsidR="00115B2E" w:rsidRDefault="00862BE7" w:rsidP="00862BE7">
    <w:pPr>
      <w:pStyle w:val="Header"/>
      <w:rPr>
        <w:sz w:val="17"/>
      </w:rPr>
    </w:pPr>
    <w:bookmarkStart w:id="12" w:name="TITUS3HeaderEvenPages"/>
    <w:r>
      <w:rPr>
        <w:sz w:val="17"/>
      </w:rPr>
      <w:t> </w:t>
    </w:r>
  </w:p>
  <w:bookmarkEnd w:id="12"/>
  <w:p w14:paraId="50494701" w14:textId="77777777" w:rsidR="00115B2E" w:rsidRDefault="00115B2E" w:rsidP="00690DF8">
    <w:pPr>
      <w:pStyle w:val="Header"/>
    </w:pPr>
  </w:p>
  <w:p w14:paraId="3474497B" w14:textId="77777777" w:rsidR="00115B2E" w:rsidRDefault="00115B2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06FCC8" w14:textId="1E98290F" w:rsidR="00115B2E" w:rsidRDefault="00862BE7" w:rsidP="00862BE7">
    <w:pPr>
      <w:pStyle w:val="Header"/>
      <w:rPr>
        <w:sz w:val="17"/>
      </w:rPr>
    </w:pPr>
    <w:bookmarkStart w:id="13" w:name="TITUS3HeaderPrimary"/>
    <w:r>
      <w:rPr>
        <w:sz w:val="17"/>
      </w:rPr>
      <w:t> </w:t>
    </w:r>
  </w:p>
  <w:bookmarkEnd w:id="13"/>
  <w:p w14:paraId="5EAC301D" w14:textId="77777777" w:rsidR="00115B2E" w:rsidRDefault="00115B2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C31E9E" w14:textId="2382B8F7" w:rsidR="00115B2E" w:rsidRDefault="00862BE7" w:rsidP="00862BE7">
    <w:pPr>
      <w:pStyle w:val="Header"/>
      <w:rPr>
        <w:sz w:val="17"/>
      </w:rPr>
    </w:pPr>
    <w:bookmarkStart w:id="16" w:name="TITUS3HeaderFirstPage"/>
    <w:r>
      <w:rPr>
        <w:sz w:val="17"/>
      </w:rPr>
      <w:t> </w:t>
    </w:r>
  </w:p>
  <w:bookmarkEnd w:id="16"/>
  <w:p w14:paraId="7C19F505" w14:textId="77777777" w:rsidR="00115B2E" w:rsidRDefault="00115B2E" w:rsidP="00690DF8">
    <w:pPr>
      <w:pStyle w:val="Header"/>
    </w:pPr>
  </w:p>
  <w:p w14:paraId="43B65653" w14:textId="77777777" w:rsidR="00115B2E" w:rsidRDefault="00115B2E">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9B03A7" w14:textId="3715DE34" w:rsidR="00115B2E" w:rsidRDefault="00862BE7" w:rsidP="00862BE7">
    <w:pPr>
      <w:pStyle w:val="Header"/>
      <w:rPr>
        <w:sz w:val="17"/>
      </w:rPr>
    </w:pPr>
    <w:bookmarkStart w:id="19" w:name="TITUS4HeaderEvenPages"/>
    <w:r>
      <w:rPr>
        <w:sz w:val="17"/>
      </w:rPr>
      <w:t> </w:t>
    </w:r>
  </w:p>
  <w:bookmarkEnd w:id="19"/>
  <w:p w14:paraId="34AB4071" w14:textId="77777777" w:rsidR="00115B2E" w:rsidRDefault="00115B2E" w:rsidP="00690DF8">
    <w:pPr>
      <w:pStyle w:val="Header"/>
    </w:pPr>
  </w:p>
  <w:p w14:paraId="19E7DFAF" w14:textId="77777777" w:rsidR="00115B2E" w:rsidRDefault="00115B2E">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4EB4D8" w14:textId="17FA6926" w:rsidR="00115B2E" w:rsidRDefault="00862BE7" w:rsidP="00862BE7">
    <w:pPr>
      <w:pStyle w:val="Header"/>
      <w:rPr>
        <w:sz w:val="17"/>
      </w:rPr>
    </w:pPr>
    <w:bookmarkStart w:id="20" w:name="TITUS4HeaderPrimary"/>
    <w:r>
      <w:rPr>
        <w:sz w:val="17"/>
      </w:rPr>
      <w:t> </w:t>
    </w:r>
  </w:p>
  <w:bookmarkEnd w:id="20"/>
  <w:p w14:paraId="23461EA7" w14:textId="77777777" w:rsidR="00115B2E" w:rsidRDefault="00115B2E">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78907D" w14:textId="3A276269" w:rsidR="00115B2E" w:rsidRDefault="00862BE7" w:rsidP="00862BE7">
    <w:pPr>
      <w:pStyle w:val="Header"/>
      <w:rPr>
        <w:sz w:val="17"/>
      </w:rPr>
    </w:pPr>
    <w:bookmarkStart w:id="23" w:name="TITUS4HeaderFirstPage"/>
    <w:r>
      <w:rPr>
        <w:sz w:val="17"/>
      </w:rPr>
      <w:t> </w:t>
    </w:r>
  </w:p>
  <w:bookmarkEnd w:id="23"/>
  <w:p w14:paraId="65555350" w14:textId="77777777" w:rsidR="00115B2E" w:rsidRDefault="00115B2E" w:rsidP="00690DF8">
    <w:pPr>
      <w:pStyle w:val="Header"/>
    </w:pPr>
  </w:p>
  <w:p w14:paraId="7B719525" w14:textId="77777777" w:rsidR="00115B2E" w:rsidRDefault="00115B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271998"/>
    <w:multiLevelType w:val="hybridMultilevel"/>
    <w:tmpl w:val="89AABCF2"/>
    <w:lvl w:ilvl="0" w:tplc="08090001">
      <w:start w:val="1"/>
      <w:numFmt w:val="bullet"/>
      <w:lvlText w:val=""/>
      <w:lvlJc w:val="left"/>
      <w:pPr>
        <w:ind w:left="720" w:hanging="360"/>
      </w:pPr>
      <w:rPr>
        <w:rFonts w:ascii="Symbol" w:hAnsi="Symbol" w:hint="default"/>
      </w:rPr>
    </w:lvl>
    <w:lvl w:ilvl="1" w:tplc="91D62D2A">
      <w:start w:val="2018"/>
      <w:numFmt w:val="bullet"/>
      <w:lvlText w:val="•"/>
      <w:lvlJc w:val="left"/>
      <w:pPr>
        <w:ind w:left="1800" w:hanging="72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2"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4" w15:restartNumberingAfterBreak="0">
    <w:nsid w:val="4F054BB9"/>
    <w:multiLevelType w:val="hybridMultilevel"/>
    <w:tmpl w:val="64B62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5"/>
  </w:num>
  <w:num w:numId="4">
    <w:abstractNumId w:val="2"/>
  </w:num>
  <w:num w:numId="5">
    <w:abstractNumId w:val="0"/>
  </w:num>
  <w:num w:numId="6">
    <w:abstractNumId w:val="4"/>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3"/>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15B2E"/>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5349"/>
    <w:rsid w:val="002761F4"/>
    <w:rsid w:val="002775E1"/>
    <w:rsid w:val="00277979"/>
    <w:rsid w:val="002808EB"/>
    <w:rsid w:val="0028095D"/>
    <w:rsid w:val="002851BA"/>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2CD2"/>
    <w:rsid w:val="003C19F1"/>
    <w:rsid w:val="003C4186"/>
    <w:rsid w:val="003C458C"/>
    <w:rsid w:val="003C6185"/>
    <w:rsid w:val="003D0D2D"/>
    <w:rsid w:val="003D4710"/>
    <w:rsid w:val="003E16D7"/>
    <w:rsid w:val="003E197E"/>
    <w:rsid w:val="004046F0"/>
    <w:rsid w:val="0040668F"/>
    <w:rsid w:val="00412677"/>
    <w:rsid w:val="00417925"/>
    <w:rsid w:val="00432D0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713"/>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53BD"/>
    <w:rsid w:val="00601C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0DF8"/>
    <w:rsid w:val="00696F65"/>
    <w:rsid w:val="006A7A6D"/>
    <w:rsid w:val="006B5E67"/>
    <w:rsid w:val="006C2EB5"/>
    <w:rsid w:val="006D18A3"/>
    <w:rsid w:val="006D5970"/>
    <w:rsid w:val="006E481E"/>
    <w:rsid w:val="006E795F"/>
    <w:rsid w:val="006F408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2BE7"/>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91FDA"/>
    <w:rsid w:val="009927A1"/>
    <w:rsid w:val="0099774D"/>
    <w:rsid w:val="009A5F3B"/>
    <w:rsid w:val="009B0B61"/>
    <w:rsid w:val="009B28C0"/>
    <w:rsid w:val="009B7136"/>
    <w:rsid w:val="009B7806"/>
    <w:rsid w:val="009C3AC2"/>
    <w:rsid w:val="009D0C83"/>
    <w:rsid w:val="009D4365"/>
    <w:rsid w:val="009D4E3B"/>
    <w:rsid w:val="009D7BC9"/>
    <w:rsid w:val="009E1982"/>
    <w:rsid w:val="009E4D2C"/>
    <w:rsid w:val="009F0978"/>
    <w:rsid w:val="009F3AEC"/>
    <w:rsid w:val="00A00081"/>
    <w:rsid w:val="00A015F7"/>
    <w:rsid w:val="00A10D56"/>
    <w:rsid w:val="00A12AAE"/>
    <w:rsid w:val="00A16668"/>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6ACF"/>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11C62"/>
    <w:rsid w:val="00D2169B"/>
    <w:rsid w:val="00D22C8F"/>
    <w:rsid w:val="00D33491"/>
    <w:rsid w:val="00D44F8E"/>
    <w:rsid w:val="00D44FD0"/>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6399"/>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8D12EC7"/>
    <w:rsid w:val="3E1912F6"/>
    <w:rsid w:val="4096612A"/>
    <w:rsid w:val="41BEF5E3"/>
    <w:rsid w:val="44BCD504"/>
    <w:rsid w:val="45692679"/>
    <w:rsid w:val="4E216C8D"/>
    <w:rsid w:val="4FFD4A64"/>
    <w:rsid w:val="50BF2D26"/>
    <w:rsid w:val="51AF3244"/>
    <w:rsid w:val="54A54F70"/>
    <w:rsid w:val="55EFB594"/>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asbhelp.co.uk/mediation-for-practitioners/" TargetMode="External"/><Relationship Id="rId39" Type="http://schemas.openxmlformats.org/officeDocument/2006/relationships/hyperlink" Target="https://www.police1.com/stress/articles/how-police-can-reduce-and-manage-stress-AThewNlseDwMYCcB/" TargetMode="External"/><Relationship Id="rId21" Type="http://schemas.openxmlformats.org/officeDocument/2006/relationships/header" Target="header5.xml"/><Relationship Id="rId34" Type="http://schemas.openxmlformats.org/officeDocument/2006/relationships/hyperlink" Target="https://harpershaw.co.uk/back-to-basics-golden-hour-principles-in-serious-collision-investigation/" TargetMode="External"/><Relationship Id="rId42" Type="http://schemas.openxmlformats.org/officeDocument/2006/relationships/hyperlink" Target="https://healthyeating.sfgate.com/diet-working-night-shifts-2169.html" TargetMode="External"/><Relationship Id="rId47" Type="http://schemas.openxmlformats.org/officeDocument/2006/relationships/footer" Target="footer7.xml"/><Relationship Id="rId50" Type="http://schemas.openxmlformats.org/officeDocument/2006/relationships/footer" Target="footer9.xml"/><Relationship Id="rId55" Type="http://schemas.openxmlformats.org/officeDocument/2006/relationships/footer" Target="footer1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legislation.gov.uk/ukpga/1997/40/contents" TargetMode="External"/><Relationship Id="rId38" Type="http://schemas.openxmlformats.org/officeDocument/2006/relationships/hyperlink" Target="https://www.pixus.uk/the-importance-of-tone-of-voice-and-why-you-should-get-it-right/" TargetMode="External"/><Relationship Id="rId46" Type="http://schemas.openxmlformats.org/officeDocument/2006/relationships/header" Target="header8.xml"/><Relationship Id="rId59"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cambs.police.uk/information-and-services/Domestic-abuse/Clares-law" TargetMode="External"/><Relationship Id="rId41" Type="http://schemas.openxmlformats.org/officeDocument/2006/relationships/hyperlink" Target="https://www.swansea.gov.uk/victimfocus" TargetMode="External"/><Relationship Id="rId54" Type="http://schemas.openxmlformats.org/officeDocument/2006/relationships/footer" Target="footer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gov.uk/guidance/police-and-criminal-evidence-act-1984-pace-codes-of-practice" TargetMode="External"/><Relationship Id="rId37" Type="http://schemas.openxmlformats.org/officeDocument/2006/relationships/hyperlink" Target="https://www.mindtools.com/pages/article/meet-your-new-team.htm" TargetMode="External"/><Relationship Id="rId40" Type="http://schemas.openxmlformats.org/officeDocument/2006/relationships/hyperlink" Target="https://rightsofwomen.org.uk/get-information/violence-against-women-and-international-law/harassment-and-the-law/" TargetMode="External"/><Relationship Id="rId45" Type="http://schemas.openxmlformats.org/officeDocument/2006/relationships/header" Target="header7.xml"/><Relationship Id="rId53" Type="http://schemas.openxmlformats.org/officeDocument/2006/relationships/header" Target="header11.xml"/><Relationship Id="rId58"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profdev.college.police.uk/competency-values/impartiality/" TargetMode="External"/><Relationship Id="rId36" Type="http://schemas.openxmlformats.org/officeDocument/2006/relationships/hyperlink" Target="https://www.medicalnewstoday.com/articles/326496" TargetMode="External"/><Relationship Id="rId49" Type="http://schemas.openxmlformats.org/officeDocument/2006/relationships/header" Target="header9.xml"/><Relationship Id="rId57" Type="http://schemas.openxmlformats.org/officeDocument/2006/relationships/footer" Target="foot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legislation.gov.uk/ukpga/1994/33/contents" TargetMode="External"/><Relationship Id="rId44" Type="http://schemas.openxmlformats.org/officeDocument/2006/relationships/hyperlink" Target="https://www.app.college.police.uk/app-content/operations/operational-planning/core-principles/" TargetMode="External"/><Relationship Id="rId52" Type="http://schemas.openxmlformats.org/officeDocument/2006/relationships/header" Target="head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bedfordshire.police.uk/information-and-services/Advice/Anti-social-behaviour/Repeat-victims" TargetMode="External"/><Relationship Id="rId30" Type="http://schemas.openxmlformats.org/officeDocument/2006/relationships/hyperlink" Target="https://www.legislation.gov.uk/ukpga/1971/48/contents" TargetMode="External"/><Relationship Id="rId35" Type="http://schemas.openxmlformats.org/officeDocument/2006/relationships/hyperlink" Target="https://www.justiceinspectorates.gov.uk/hmicfrs/wp-content/uploads/police-effectiveness-vulnerability-2015-south-wales.pdf" TargetMode="External"/><Relationship Id="rId43" Type="http://schemas.openxmlformats.org/officeDocument/2006/relationships/hyperlink" Target="https://sk.sagepub.com/reference/encyclopedia-of-community-policing-and-problem-solving/i3007.xml" TargetMode="External"/><Relationship Id="rId48" Type="http://schemas.openxmlformats.org/officeDocument/2006/relationships/footer" Target="footer8.xml"/><Relationship Id="rId56" Type="http://schemas.openxmlformats.org/officeDocument/2006/relationships/header" Target="header12.xml"/><Relationship Id="rId8" Type="http://schemas.openxmlformats.org/officeDocument/2006/relationships/webSettings" Target="webSettings.xml"/><Relationship Id="rId51" Type="http://schemas.openxmlformats.org/officeDocument/2006/relationships/image" Target="media/image2.png"/><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2.xml><?xml version="1.0" encoding="utf-8"?>
<ds:datastoreItem xmlns:ds="http://schemas.openxmlformats.org/officeDocument/2006/customXml" ds:itemID="{0EE4CF55-A4C9-48B9-9928-4B592A115C4E}">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1ecf5648-3750-43f5-867d-bfaa16e6e17e"/>
    <ds:schemaRef ds:uri="http://www.w3.org/XML/1998/namespace"/>
  </ds:schemaRefs>
</ds:datastoreItem>
</file>

<file path=customXml/itemProps3.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4FAA303-0FDE-45B0-8CC5-F02DE676AB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22</Pages>
  <Words>6802</Words>
  <Characters>39361</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Powell,Catlin SWP6773</cp:lastModifiedBy>
  <cp:revision>4</cp:revision>
  <cp:lastPrinted>2021-06-14T10:41:00Z</cp:lastPrinted>
  <dcterms:created xsi:type="dcterms:W3CDTF">2021-06-13T21:40:00Z</dcterms:created>
  <dcterms:modified xsi:type="dcterms:W3CDTF">2021-06-14T16:05:00Z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7dc97a31-5b40-4a25-af14-42adfda72dd4</vt:lpwstr>
  </property>
  <property fmtid="{D5CDD505-2E9C-101B-9397-08002B2CF9AE}" pid="4" name="Classification">
    <vt:lpwstr>OFFICIAL</vt:lpwstr>
  </property>
  <property fmtid="{D5CDD505-2E9C-101B-9397-08002B2CF9AE}" pid="5" name="Visibility">
    <vt:lpwstr>NOT VISIBLE</vt:lpwstr>
  </property>
</Properties>
</file>