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986385C" w14:paraId="43F30528" wp14:textId="462BF65C">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4986385C" w:rsidR="4986385C">
        <w:rPr>
          <w:rFonts w:ascii="Calibri" w:hAnsi="Calibri" w:eastAsia="Calibri" w:cs="Calibri"/>
          <w:b w:val="1"/>
          <w:bCs w:val="1"/>
          <w:i w:val="0"/>
          <w:iCs w:val="0"/>
          <w:caps w:val="0"/>
          <w:smallCaps w:val="0"/>
          <w:noProof w:val="0"/>
          <w:color w:val="000000" w:themeColor="text1" w:themeTint="FF" w:themeShade="FF"/>
          <w:sz w:val="22"/>
          <w:szCs w:val="22"/>
          <w:lang w:val="en-GB"/>
        </w:rPr>
        <w:t>A Critical Comparison of Two JSTOR Papers</w:t>
      </w:r>
    </w:p>
    <w:p xmlns:wp14="http://schemas.microsoft.com/office/word/2010/wordml" w:rsidP="5C942105" w14:paraId="163F0C03" wp14:textId="425818C5">
      <w:pPr>
        <w:pStyle w:val="Normal"/>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C942105" w14:paraId="313BFC08" wp14:textId="2109599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5C942105" w:rsidR="5C942105">
        <w:rPr>
          <w:rFonts w:ascii="Calibri" w:hAnsi="Calibri" w:eastAsia="Calibri" w:cs="Calibri"/>
          <w:b w:val="1"/>
          <w:bCs w:val="1"/>
          <w:i w:val="0"/>
          <w:iCs w:val="0"/>
          <w:caps w:val="0"/>
          <w:smallCaps w:val="0"/>
          <w:noProof w:val="0"/>
          <w:color w:val="000000" w:themeColor="text1" w:themeTint="FF" w:themeShade="FF"/>
          <w:sz w:val="22"/>
          <w:szCs w:val="22"/>
          <w:lang w:val="en-GB"/>
        </w:rPr>
        <w:t>Introduction</w:t>
      </w:r>
    </w:p>
    <w:p xmlns:wp14="http://schemas.microsoft.com/office/word/2010/wordml" w:rsidP="4986385C" w14:paraId="38F62E2E" wp14:textId="2665F936">
      <w:pPr>
        <w:pStyle w:val="Normal"/>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This essay will critically compare and contrast two JSTOR papers. Duane, W. Hamacher., and Ray P. Norris, ‘Bridging the Gap’ through Australian Cultural Astronomy,’</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18822"/>
      </w:r>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David W. </w:t>
      </w:r>
      <w:proofErr w:type="spellStart"/>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Pankenier</w:t>
      </w:r>
      <w:proofErr w:type="spellEnd"/>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 'The Cosmic Center in Early China and Its Archaic Resonances.’</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footnoteReference w:id="3023"/>
      </w:r>
      <w:r w:rsidRPr="4986385C" w:rsidR="4986385C">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 xml:space="preserve"> </w:t>
      </w:r>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enable the reader to critically engage with this essay it is helpful to know the authors background and previous work within this field.  </w:t>
      </w:r>
    </w:p>
    <w:p xmlns:wp14="http://schemas.microsoft.com/office/word/2010/wordml" w:rsidP="4986385C" w14:paraId="21A55946" wp14:textId="10E49496">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first text was written by Professor Duane W. Hamacher and Professor Ray P. Norris, which was published in 2011 and examined Aboriginal Australian astronomical culture, </w:t>
      </w:r>
      <w:proofErr w:type="spellStart"/>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archaeoastronomy</w:t>
      </w:r>
      <w:proofErr w:type="spellEnd"/>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ethnoastronomy and involved research of written records from the 19</w:t>
      </w:r>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century through to the date of this paper.</w:t>
      </w:r>
      <w:r w:rsidRPr="4986385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footnoteReference w:id="2145"/>
      </w:r>
      <w:r w:rsidRPr="4986385C" w:rsidR="4986385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Also, important to mention is that, </w:t>
      </w:r>
      <w:r w:rsidRPr="4986385C" w:rsidR="49863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Hamacher and Norris’ paper was</w:t>
      </w:r>
      <w:r w:rsidRPr="4986385C" w:rsidR="4986385C">
        <w:rPr>
          <w:rFonts w:ascii="Calibri" w:hAnsi="Calibri" w:eastAsia="Calibri" w:cs="Calibri" w:asciiTheme="minorAscii" w:hAnsiTheme="minorAscii" w:eastAsiaTheme="minorAscii" w:cstheme="minorAscii"/>
          <w:sz w:val="22"/>
          <w:szCs w:val="22"/>
        </w:rPr>
        <w:t xml:space="preserve"> published by Cambridge University and the Proceedings of the International Astronomical Union (IAU) in Oxford IX: International Symposium on </w:t>
      </w:r>
      <w:proofErr w:type="spellStart"/>
      <w:r w:rsidRPr="4986385C" w:rsidR="4986385C">
        <w:rPr>
          <w:rFonts w:ascii="Calibri" w:hAnsi="Calibri" w:eastAsia="Calibri" w:cs="Calibri" w:asciiTheme="minorAscii" w:hAnsiTheme="minorAscii" w:eastAsiaTheme="minorAscii" w:cstheme="minorAscii"/>
          <w:sz w:val="22"/>
          <w:szCs w:val="22"/>
        </w:rPr>
        <w:t>Archaeoastronomy</w:t>
      </w:r>
      <w:proofErr w:type="spellEnd"/>
      <w:r w:rsidRPr="4986385C" w:rsidR="4986385C">
        <w:rPr>
          <w:rFonts w:ascii="Calibri" w:hAnsi="Calibri" w:eastAsia="Calibri" w:cs="Calibri" w:asciiTheme="minorAscii" w:hAnsiTheme="minorAscii" w:eastAsiaTheme="minorAscii" w:cstheme="minorAscii"/>
          <w:sz w:val="22"/>
          <w:szCs w:val="22"/>
        </w:rPr>
        <w:t>. Volume 7 – January 2011.</w:t>
      </w:r>
      <w:r w:rsidRPr="4986385C">
        <w:rPr>
          <w:rStyle w:val="FootnoteReference"/>
          <w:rFonts w:ascii="Calibri" w:hAnsi="Calibri" w:eastAsia="Calibri" w:cs="Calibri" w:asciiTheme="minorAscii" w:hAnsiTheme="minorAscii" w:eastAsiaTheme="minorAscii" w:cstheme="minorAscii"/>
          <w:sz w:val="22"/>
          <w:szCs w:val="22"/>
        </w:rPr>
        <w:footnoteReference w:id="6613"/>
      </w:r>
      <w:r w:rsidRPr="4986385C" w:rsidR="4986385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It is also worth noting that this paper was also edited by a well-known Astronomer, Archaeologist – Clive L. N. Ruggles, whom worked closely with Norris throughout his time at the University of Manchester.</w:t>
      </w:r>
      <w:r w:rsidRPr="4986385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footnoteReference w:id="32732"/>
      </w:r>
    </w:p>
    <w:p xmlns:wp14="http://schemas.microsoft.com/office/word/2010/wordml" w:rsidP="4986385C" w14:paraId="2D64AB94" wp14:textId="0CF57A35">
      <w:pPr>
        <w:pStyle w:val="Normal"/>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Hamacher personal biography states he is a Missouri (USA) born astronomer and Associate Professor at the University of Melbourne, Australia. His </w:t>
      </w:r>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GB"/>
        </w:rPr>
        <w:t>multidisciplinary research focuses on Cultural Astronomy in Australia, Dark Sky studies, astronomical heritage, and the history and philosophy of science.</w:t>
      </w:r>
      <w:r w:rsidRPr="4986385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GB"/>
        </w:rPr>
        <w:footnoteReference w:id="7764"/>
      </w:r>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After completing his Bachelor’s degree in physics, he moved to Australia in where he completed his Master's degree in astrophysics at the University of New South Wales (UNSW), before going on to complete his PhD in Cultural Astronomy at Macquire University.</w:t>
      </w:r>
      <w:r w:rsidRPr="4986385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footnoteReference w:id="5189"/>
      </w:r>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Norris is an English astrophysicist born in (1953), spending his early years at Cambridge University, whilst earing his honours degree in Theoretical Physics, and later earning his PhD in Radioastronomy from the of University Manchester.</w:t>
      </w:r>
      <w:r w:rsidRPr="4986385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footnoteReference w:id="4689"/>
      </w:r>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He moved to Australia in 1983 to conduct research with the Commonwealth Scientific and Industrial Research Organisation, where he became head of Astrophysics, and began exploring Aboriginal astronomy.</w:t>
      </w:r>
      <w:r w:rsidRPr="4986385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footnoteReference w:id="563"/>
      </w:r>
    </w:p>
    <w:p xmlns:wp14="http://schemas.microsoft.com/office/word/2010/wordml" w:rsidP="4986385C" w14:paraId="140BF87D" wp14:textId="35A035D6">
      <w:pPr>
        <w:pStyle w:val="Normal"/>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Hamacher and Norris are some of the </w:t>
      </w:r>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leading 21st century indigenous astronomers, and highly regarded in academia. Both their careers have spanned well over a decade, also giving public talks on this topic, this can be seen in their extensive body of work. Ranging from, </w:t>
      </w:r>
      <w:r w:rsidRPr="4986385C" w:rsidR="4986385C">
        <w:rPr>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GB"/>
        </w:rPr>
        <w:t>Hamacher with the Torres Strait Islander elders and artists to document their star knowledge.</w:t>
      </w:r>
      <w:r w:rsidRPr="4986385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201F1E"/>
          <w:sz w:val="22"/>
          <w:szCs w:val="22"/>
          <w:lang w:val="en-GB"/>
        </w:rPr>
        <w:footnoteReference w:id="14196"/>
      </w:r>
      <w:r w:rsidRPr="4986385C" w:rsidR="49863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Whilst Norris has also published a book with his wife ’Emu Dreaming’ in (2009),</w:t>
      </w:r>
      <w:r w:rsidRPr="4986385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footnoteReference w:id="8049"/>
      </w:r>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both have </w:t>
      </w:r>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been interested in science in a broader sense from an early age.</w:t>
      </w:r>
      <w:r w:rsidRPr="4986385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footnoteReference w:id="12380"/>
      </w:r>
    </w:p>
    <w:p xmlns:wp14="http://schemas.microsoft.com/office/word/2010/wordml" w:rsidP="4986385C" w14:paraId="148550BE" wp14:textId="4E7C8009">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4986385C" w:rsidR="5C94210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second </w:t>
      </w:r>
      <w:r w:rsidRPr="4986385C" w:rsidR="5C94210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author, </w:t>
      </w:r>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David W. </w:t>
      </w:r>
      <w:proofErr w:type="spellStart"/>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Pankenier</w:t>
      </w:r>
      <w:proofErr w:type="spellEnd"/>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is an Emeritus Professor of Chinese at Lehigh University in Pennsylvania. His personal biography page describes his academic interests as the exploration of the relationship between political and military power and astronomical phenomena in ancient China.</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8154"/>
      </w:r>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Cosmic Center’ is a paper contributed to the International Symposium on </w:t>
      </w:r>
      <w:proofErr w:type="spellStart"/>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Archaeoastronomy</w:t>
      </w:r>
      <w:proofErr w:type="spellEnd"/>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held in 2011 in Lima, Peru and published as part of </w:t>
      </w:r>
      <w:proofErr w:type="spellStart"/>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Archaeoastronomy</w:t>
      </w:r>
      <w:proofErr w:type="spellEnd"/>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Ethnoastronomy: Building Bridges between Cultures published by Cambridge </w:t>
      </w:r>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University</w:t>
      </w:r>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Press in 2011.</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30729"/>
      </w:r>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symposium organizers are The International Society of </w:t>
      </w:r>
      <w:proofErr w:type="spellStart"/>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Archaeoastronomy</w:t>
      </w:r>
      <w:proofErr w:type="spellEnd"/>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Astrology in Culture (ISAAC) which focus on enhancing the professional status of cultural astronomy (including </w:t>
      </w:r>
      <w:proofErr w:type="spellStart"/>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archaeoastronomy</w:t>
      </w:r>
      <w:proofErr w:type="spellEnd"/>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t>
      </w:r>
      <w:proofErr w:type="spellStart"/>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ethnastronomy</w:t>
      </w:r>
      <w:proofErr w:type="spellEnd"/>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by developing interdisciplinary projects in cultural astronomy.</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7525"/>
      </w:r>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Although his current research interests lie in cultural astronomy, </w:t>
      </w:r>
      <w:proofErr w:type="spellStart"/>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archaeoastronomy</w:t>
      </w:r>
      <w:proofErr w:type="spellEnd"/>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history of ideas in ancient China.</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32559"/>
      </w:r>
    </w:p>
    <w:p xmlns:wp14="http://schemas.microsoft.com/office/word/2010/wordml" w:rsidP="4986385C" w14:paraId="575C559D" wp14:textId="71DDD3C2">
      <w:pPr>
        <w:pStyle w:val="Normal"/>
        <w:spacing w:after="160" w:line="259" w:lineRule="auto"/>
        <w:jc w:val="both"/>
        <w:rPr>
          <w:rStyle w:val="FootnoteReference"/>
          <w:rFonts w:ascii="Calibri" w:hAnsi="Calibri" w:eastAsia="Calibri" w:cs="Calibri" w:asciiTheme="minorAscii" w:hAnsiTheme="minorAscii" w:eastAsiaTheme="minorAscii" w:cstheme="minorAscii"/>
          <w:noProof w:val="0"/>
          <w:sz w:val="22"/>
          <w:szCs w:val="22"/>
          <w:lang w:val="en-GB"/>
        </w:rPr>
      </w:pPr>
      <w:r w:rsidRPr="4986385C" w:rsidR="4986385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At this time, it is helpful for the reader to know that both texts are secondary sources with in-depth representations of their subject matter, neither relying on the conjecture of previous knowledge in their respective fields. </w:t>
      </w:r>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The professional context for both papers is academic, its intended readership those who are involved in the discipline of cultural astronomy.</w:t>
      </w:r>
      <w:r w:rsidRPr="4986385C" w:rsidR="49863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following chapter with analyse the main points in both texts.</w:t>
      </w:r>
    </w:p>
    <w:p xmlns:wp14="http://schemas.microsoft.com/office/word/2010/wordml" w:rsidP="4986385C" w14:paraId="5CABBB42" wp14:textId="61104616">
      <w:pPr>
        <w:pStyle w:val="Normal"/>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4986385C" w14:paraId="22F14EA2" wp14:textId="21A18A70">
      <w:pPr>
        <w:pStyle w:val="Normal"/>
        <w:spacing w:after="160" w:line="259" w:lineRule="auto"/>
        <w:jc w:val="both"/>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4986385C" w:rsidR="4986385C">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Main points</w:t>
      </w:r>
    </w:p>
    <w:p xmlns:wp14="http://schemas.microsoft.com/office/word/2010/wordml" w:rsidP="4986385C" w14:paraId="467D4B1C" wp14:textId="3B4E0F48">
      <w:pPr>
        <w:pStyle w:val="Normal"/>
        <w:spacing w:after="160" w:line="259" w:lineRule="auto"/>
        <w:jc w:val="both"/>
        <w:rPr>
          <w:rFonts w:ascii="Calibri" w:hAnsi="Calibri" w:eastAsia="Calibri" w:cs="Calibri"/>
          <w:b w:val="0"/>
          <w:bCs w:val="0"/>
          <w:i w:val="0"/>
          <w:iCs w:val="0"/>
          <w:caps w:val="0"/>
          <w:smallCaps w:val="0"/>
          <w:noProof w:val="0"/>
          <w:color w:val="201F1E"/>
          <w:sz w:val="22"/>
          <w:szCs w:val="22"/>
          <w:lang w:val="en-GB"/>
        </w:rPr>
      </w:pPr>
      <w:r w:rsidRPr="4986385C" w:rsidR="4986385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According to Ruggles, ‘the basic archaeological evidence available to the </w:t>
      </w:r>
      <w:proofErr w:type="spellStart"/>
      <w:r w:rsidRPr="4986385C" w:rsidR="4986385C">
        <w:rPr>
          <w:rFonts w:ascii="Calibri" w:hAnsi="Calibri" w:eastAsia="Calibri" w:cs="Calibri"/>
          <w:b w:val="0"/>
          <w:bCs w:val="0"/>
          <w:i w:val="0"/>
          <w:iCs w:val="0"/>
          <w:caps w:val="0"/>
          <w:smallCaps w:val="0"/>
          <w:noProof w:val="0"/>
          <w:color w:val="000000" w:themeColor="text1" w:themeTint="FF" w:themeShade="FF"/>
          <w:sz w:val="24"/>
          <w:szCs w:val="24"/>
          <w:lang w:val="en-GB"/>
        </w:rPr>
        <w:t>archaeoastronomer</w:t>
      </w:r>
      <w:proofErr w:type="spellEnd"/>
      <w:r w:rsidRPr="4986385C" w:rsidR="4986385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consists of material expressions of perceived relationships with objects and events in the night sky.’</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8252"/>
      </w:r>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also a common theme of each paper, being that astronomy was used in shaping their respective societies. As both the Aboriginal cultures and early Chinese people spoke of astronomical knowledge being passed down either by traditions or Chinese urban planning which shaped the developments in both cultures.</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17434"/>
      </w:r>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w:t>
      </w:r>
      <w:r w:rsidRPr="4986385C" w:rsidR="5C942105">
        <w:rPr>
          <w:rFonts w:ascii="Calibri" w:hAnsi="Calibri" w:eastAsia="Calibri" w:cs="Calibri"/>
          <w:b w:val="0"/>
          <w:bCs w:val="0"/>
          <w:i w:val="0"/>
          <w:iCs w:val="0"/>
          <w:caps w:val="0"/>
          <w:smallCaps w:val="0"/>
          <w:noProof w:val="0"/>
          <w:color w:val="201F1E"/>
          <w:sz w:val="22"/>
          <w:szCs w:val="22"/>
          <w:lang w:val="en-GB"/>
        </w:rPr>
        <w:t xml:space="preserve">efore moving forward, it is important to define ‘culture’ as it is used in the context of both papers and can have a deeper meaning and be far more complex than what is generally </w:t>
      </w:r>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understood. According to Terry Eagleton, ‘culture is what you have done before – even, perhaps, what your ancestors have done millions of times over.’</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30171"/>
      </w:r>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Furthermore, d</w:t>
      </w:r>
      <w:r w:rsidRPr="4986385C" w:rsidR="5C942105">
        <w:rPr>
          <w:rFonts w:ascii="Calibri" w:hAnsi="Calibri" w:eastAsia="Calibri" w:cs="Calibri"/>
          <w:b w:val="0"/>
          <w:bCs w:val="0"/>
          <w:i w:val="0"/>
          <w:iCs w:val="0"/>
          <w:caps w:val="0"/>
          <w:smallCaps w:val="0"/>
          <w:noProof w:val="0"/>
          <w:color w:val="201F1E"/>
          <w:sz w:val="22"/>
          <w:szCs w:val="22"/>
          <w:lang w:val="en-GB"/>
        </w:rPr>
        <w:t>escribing ‘</w:t>
      </w:r>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Cultural astronomy’ in its broader sense is also important as it has a</w:t>
      </w:r>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complex meaning and is used in the context of both papers. This is described by </w:t>
      </w:r>
      <w:r w:rsidRPr="4986385C" w:rsidR="5C942105">
        <w:rPr>
          <w:rFonts w:ascii="Calibri" w:hAnsi="Calibri" w:eastAsia="Calibri" w:cs="Calibri"/>
          <w:b w:val="0"/>
          <w:bCs w:val="0"/>
          <w:i w:val="0"/>
          <w:iCs w:val="0"/>
          <w:caps w:val="0"/>
          <w:smallCaps w:val="0"/>
          <w:noProof w:val="0"/>
          <w:color w:val="201F1E"/>
          <w:sz w:val="22"/>
          <w:szCs w:val="22"/>
          <w:lang w:val="en-GB"/>
        </w:rPr>
        <w:t>Nicholas Campion below:</w:t>
      </w:r>
    </w:p>
    <w:p xmlns:wp14="http://schemas.microsoft.com/office/word/2010/wordml" w:rsidP="4986385C" w14:paraId="3120E403" wp14:textId="13FA3E3E">
      <w:pPr>
        <w:pStyle w:val="Normal"/>
        <w:spacing w:after="160" w:line="259" w:lineRule="auto"/>
        <w:jc w:val="both"/>
        <w:rPr>
          <w:rFonts w:ascii="Calibri" w:hAnsi="Calibri" w:eastAsia="Calibri" w:cs="Calibri"/>
          <w:b w:val="0"/>
          <w:bCs w:val="0"/>
          <w:i w:val="0"/>
          <w:iCs w:val="0"/>
          <w:caps w:val="0"/>
          <w:smallCaps w:val="0"/>
          <w:noProof w:val="0"/>
          <w:color w:val="201F1E"/>
          <w:sz w:val="22"/>
          <w:szCs w:val="22"/>
          <w:lang w:val="en-GB"/>
        </w:rPr>
      </w:pPr>
    </w:p>
    <w:p xmlns:wp14="http://schemas.microsoft.com/office/word/2010/wordml" w:rsidP="4986385C" w14:paraId="7A1ED5CB" wp14:textId="369CF68F">
      <w:pPr>
        <w:pStyle w:val="Normal"/>
        <w:spacing w:after="160" w:line="259" w:lineRule="auto"/>
        <w:ind w:left="1134" w:right="1134"/>
        <w:jc w:val="both"/>
        <w:rPr>
          <w:rFonts w:ascii="Calibri" w:hAnsi="Calibri" w:eastAsia="Calibri" w:cs="Calibri" w:asciiTheme="minorAscii" w:hAnsiTheme="minorAscii" w:eastAsiaTheme="minorAscii" w:cstheme="minorAscii"/>
          <w:b w:val="0"/>
          <w:bCs w:val="0"/>
          <w:i w:val="0"/>
          <w:iCs w:val="0"/>
          <w:caps w:val="0"/>
          <w:smallCaps w:val="0"/>
          <w:noProof w:val="0"/>
          <w:color w:val="333333" w:themeColor="text1" w:themeTint="FF" w:themeShade="FF"/>
          <w:sz w:val="20"/>
          <w:szCs w:val="20"/>
          <w:lang w:val="en-GB"/>
        </w:rPr>
      </w:pPr>
      <w:r w:rsidRPr="4986385C" w:rsidR="4986385C">
        <w:rPr>
          <w:rFonts w:ascii="Calibri" w:hAnsi="Calibri" w:eastAsia="Calibri" w:cs="Calibri" w:asciiTheme="minorAscii" w:hAnsiTheme="minorAscii" w:eastAsiaTheme="minorAscii" w:cstheme="minorAscii"/>
          <w:b w:val="0"/>
          <w:bCs w:val="0"/>
          <w:i w:val="0"/>
          <w:iCs w:val="0"/>
          <w:caps w:val="0"/>
          <w:smallCaps w:val="0"/>
          <w:noProof w:val="0"/>
          <w:color w:val="333333"/>
          <w:sz w:val="20"/>
          <w:szCs w:val="20"/>
          <w:lang w:val="en-GB"/>
        </w:rPr>
        <w:t xml:space="preserve"> </w:t>
      </w:r>
      <w:r w:rsidRPr="4986385C" w:rsidR="4986385C">
        <w:rPr>
          <w:rFonts w:ascii="Calibri" w:hAnsi="Calibri" w:eastAsia="Calibri" w:cs="Calibri" w:asciiTheme="minorAscii" w:hAnsiTheme="minorAscii" w:eastAsiaTheme="minorAscii" w:cstheme="minorAscii"/>
          <w:b w:val="0"/>
          <w:bCs w:val="0"/>
          <w:i w:val="0"/>
          <w:iCs w:val="0"/>
          <w:caps w:val="0"/>
          <w:smallCaps w:val="0"/>
          <w:noProof w:val="0"/>
          <w:color w:val="333333"/>
          <w:sz w:val="20"/>
          <w:szCs w:val="20"/>
          <w:lang w:val="en-GB"/>
        </w:rPr>
        <w:t xml:space="preserve">Cultural astronomy: the use of astronomical knowledge, beliefs or theories to inspire, inform or influence social forms and ideologies, or any aspect of human behaviour. Cultural astronomy also includes the modern disciplines of ethnoastronomy and </w:t>
      </w:r>
      <w:proofErr w:type="spellStart"/>
      <w:r w:rsidRPr="4986385C" w:rsidR="4986385C">
        <w:rPr>
          <w:rFonts w:ascii="Calibri" w:hAnsi="Calibri" w:eastAsia="Calibri" w:cs="Calibri" w:asciiTheme="minorAscii" w:hAnsiTheme="minorAscii" w:eastAsiaTheme="minorAscii" w:cstheme="minorAscii"/>
          <w:b w:val="0"/>
          <w:bCs w:val="0"/>
          <w:i w:val="0"/>
          <w:iCs w:val="0"/>
          <w:caps w:val="0"/>
          <w:smallCaps w:val="0"/>
          <w:noProof w:val="0"/>
          <w:color w:val="333333"/>
          <w:sz w:val="20"/>
          <w:szCs w:val="20"/>
          <w:lang w:val="en-GB"/>
        </w:rPr>
        <w:t>archaeoastronomy</w:t>
      </w:r>
      <w:proofErr w:type="spellEnd"/>
      <w:r w:rsidRPr="4986385C" w:rsidR="4986385C">
        <w:rPr>
          <w:rFonts w:ascii="Calibri" w:hAnsi="Calibri" w:eastAsia="Calibri" w:cs="Calibri" w:asciiTheme="minorAscii" w:hAnsiTheme="minorAscii" w:eastAsiaTheme="minorAscii" w:cstheme="minorAscii"/>
          <w:b w:val="0"/>
          <w:bCs w:val="0"/>
          <w:i w:val="0"/>
          <w:iCs w:val="0"/>
          <w:caps w:val="0"/>
          <w:smallCaps w:val="0"/>
          <w:noProof w:val="0"/>
          <w:color w:val="333333"/>
          <w:sz w:val="20"/>
          <w:szCs w:val="20"/>
          <w:lang w:val="en-GB"/>
        </w:rPr>
        <w:t>.</w:t>
      </w:r>
      <w:r w:rsidRPr="4986385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333333"/>
          <w:sz w:val="20"/>
          <w:szCs w:val="20"/>
          <w:lang w:val="en-GB"/>
        </w:rPr>
        <w:footnoteReference w:id="18611"/>
      </w:r>
      <w:r w:rsidRPr="4986385C" w:rsidR="4986385C">
        <w:rPr>
          <w:rFonts w:ascii="Calibri" w:hAnsi="Calibri" w:eastAsia="Calibri" w:cs="Calibri" w:asciiTheme="minorAscii" w:hAnsiTheme="minorAscii" w:eastAsiaTheme="minorAscii" w:cstheme="minorAscii"/>
          <w:b w:val="0"/>
          <w:bCs w:val="0"/>
          <w:i w:val="0"/>
          <w:iCs w:val="0"/>
          <w:caps w:val="0"/>
          <w:smallCaps w:val="0"/>
          <w:noProof w:val="0"/>
          <w:color w:val="333333"/>
          <w:sz w:val="20"/>
          <w:szCs w:val="20"/>
          <w:lang w:val="en-GB"/>
        </w:rPr>
        <w:t xml:space="preserve"> </w:t>
      </w:r>
      <w:proofErr w:type="spellStart"/>
      <w:proofErr w:type="spellEnd"/>
    </w:p>
    <w:p xmlns:wp14="http://schemas.microsoft.com/office/word/2010/wordml" w:rsidP="4986385C" w14:paraId="059968E7" wp14:textId="7ABA4FC4">
      <w:pPr>
        <w:pStyle w:val="Normal"/>
        <w:spacing w:after="160" w:line="259" w:lineRule="auto"/>
        <w:ind w:left="1134" w:right="1134"/>
        <w:jc w:val="both"/>
        <w:rPr>
          <w:rFonts w:ascii="Calibri" w:hAnsi="Calibri" w:eastAsia="Calibri" w:cs="Calibri"/>
          <w:b w:val="0"/>
          <w:bCs w:val="0"/>
          <w:i w:val="0"/>
          <w:iCs w:val="0"/>
          <w:caps w:val="0"/>
          <w:smallCaps w:val="0"/>
          <w:noProof w:val="0"/>
          <w:color w:val="000000" w:themeColor="text1" w:themeTint="FF" w:themeShade="FF"/>
          <w:sz w:val="20"/>
          <w:szCs w:val="20"/>
          <w:lang w:val="en-GB"/>
        </w:rPr>
      </w:pPr>
    </w:p>
    <w:p xmlns:wp14="http://schemas.microsoft.com/office/word/2010/wordml" w:rsidP="4986385C" w14:paraId="2683A7F9" wp14:textId="790ECC42">
      <w:pPr>
        <w:pStyle w:val="Normal"/>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Hamacher and Norris and </w:t>
      </w:r>
      <w:proofErr w:type="spellStart"/>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Pankeneir’s</w:t>
      </w:r>
      <w:proofErr w:type="spellEnd"/>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papers suggested the celestial knowledge and astronomical phenomena held by both the Aboriginal Australians</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7672"/>
      </w:r>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early Chinese cultures was staggering, which evidently acted upon both societies, thus, determining all aspects of their daily life and decision making.</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27049"/>
      </w:r>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According to Hamacher and Norris, t</w:t>
      </w:r>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he Aboriginal Australians observed constellations and connected them to make shapes, such as Orion,</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10050"/>
      </w:r>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the Southern Cross (being the most famous), according to Brendon Griffin.</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27843"/>
      </w:r>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Similarly, </w:t>
      </w:r>
      <w:proofErr w:type="spellStart"/>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Pankenier</w:t>
      </w:r>
      <w:proofErr w:type="spellEnd"/>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stated, seen is ‘the brilliant silvery ribbon of the Milky Way arched across the sky</w:t>
      </w:r>
      <w:r w:rsidRPr="4986385C" w:rsidR="4986385C">
        <w:rPr>
          <w:rFonts w:ascii="Calibri" w:hAnsi="Calibri" w:eastAsia="Calibri" w:cs="Calibri"/>
          <w:noProof w:val="0"/>
          <w:sz w:val="22"/>
          <w:szCs w:val="22"/>
          <w:lang w:val="en-GB"/>
        </w:rPr>
        <w:t xml:space="preserve"> from southwest to northeast, precisely like its terrestrial reflex, the Wei River.’ </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29105"/>
      </w:r>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Additionally, Hamacher and Norris suggested there is a connection between the constellation's appearance in the night sky and their associated terrestrial counterparts.</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12085"/>
      </w:r>
    </w:p>
    <w:p xmlns:wp14="http://schemas.microsoft.com/office/word/2010/wordml" w:rsidP="4986385C" w14:paraId="5F9BEFCB" wp14:textId="54170F6A">
      <w:pPr>
        <w:pStyle w:val="Normal"/>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More specifically, the cluster of stars recognised as the Pleiades (Seven Sisters) is related to several significant traditions across the Aboriginal culture.</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2231"/>
      </w:r>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Although, not all constellation were composed of bright stars and Aboriginal cultures in particular, a lot of constellations were dark sky constellations (not made up of stars but made up of dark spaces in the Milky Way).</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18176"/>
      </w:r>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Aboriginal cultures, the dark spaces included such images as the Emu, which made up some of the dark sky constellations. Norris also spoke of this in his book, ‘Emu Dreaming, ‘(2009).</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24792"/>
      </w:r>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Supporting this is a paper by Hamacher and Norris, (2009) saying, Aboriginal traditional cultures include notable astronomical components, that were normally seen through cave art, stories and song, all associated with constellations and stars.</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9741"/>
      </w:r>
    </w:p>
    <w:p xmlns:wp14="http://schemas.microsoft.com/office/word/2010/wordml" w:rsidP="4986385C" w14:paraId="09D966AA" wp14:textId="1C8EF108">
      <w:pPr>
        <w:pStyle w:val="Normal"/>
        <w:spacing w:after="160" w:line="259" w:lineRule="auto"/>
        <w:jc w:val="both"/>
        <w:rPr>
          <w:rFonts w:ascii="Calibri" w:hAnsi="Calibri" w:eastAsia="Calibri" w:cs="Calibri"/>
          <w:noProof w:val="0"/>
          <w:sz w:val="22"/>
          <w:szCs w:val="22"/>
          <w:lang w:val="en-GB"/>
        </w:rPr>
      </w:pPr>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Returning to </w:t>
      </w:r>
      <w:proofErr w:type="spellStart"/>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Pankeneir</w:t>
      </w:r>
      <w:proofErr w:type="spellEnd"/>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 The Qin Dynesty (221-206 BCE) was sort lived, although it best known for its military strengths and unification of China. This Dynasty was also known for its architectural feats which stem from astronomical influences. However, despite its rapid ending, the Qin Dynasty influenced future Chinese Empires – specifically, the Han Dynasty.</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7259"/>
      </w:r>
      <w:proofErr w:type="spellStart"/>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Although, this diverse urban planning came with a set of cultural beliefs and social economic structures, all shaped by cosmology in its deepest form. </w:t>
      </w:r>
      <w:r w:rsidRPr="4986385C" w:rsidR="4986385C">
        <w:rPr>
          <w:rFonts w:ascii="Calibri" w:hAnsi="Calibri" w:eastAsia="Calibri" w:cs="Calibri"/>
          <w:noProof w:val="0"/>
          <w:sz w:val="22"/>
          <w:szCs w:val="22"/>
          <w:lang w:val="en-GB"/>
        </w:rPr>
        <w:t xml:space="preserve">Supporting this, is a (2013) study by </w:t>
      </w:r>
      <w:r w:rsidRPr="4986385C" w:rsidR="4986385C">
        <w:rPr>
          <w:rFonts w:ascii="Calibri" w:hAnsi="Calibri" w:eastAsia="Calibri" w:cs="Calibri"/>
          <w:noProof w:val="0"/>
          <w:sz w:val="22"/>
          <w:szCs w:val="22"/>
          <w:lang w:val="en-GB"/>
        </w:rPr>
        <w:t>Pankenier</w:t>
      </w:r>
      <w:r w:rsidRPr="4986385C" w:rsidR="4986385C">
        <w:rPr>
          <w:rFonts w:ascii="Calibri" w:hAnsi="Calibri" w:eastAsia="Calibri" w:cs="Calibri"/>
          <w:noProof w:val="0"/>
          <w:sz w:val="22"/>
          <w:szCs w:val="22"/>
          <w:lang w:val="en-GB"/>
        </w:rPr>
        <w:t xml:space="preserve"> that suggested astronomy profoundly influenced every aspect of culture in formative periods, from art and architecture, to city planning, to political and military decision making.</w:t>
      </w:r>
      <w:r w:rsidRPr="4986385C">
        <w:rPr>
          <w:rStyle w:val="FootnoteReference"/>
          <w:rFonts w:ascii="Calibri" w:hAnsi="Calibri" w:eastAsia="Calibri" w:cs="Calibri"/>
          <w:noProof w:val="0"/>
          <w:sz w:val="22"/>
          <w:szCs w:val="22"/>
          <w:lang w:val="en-GB"/>
        </w:rPr>
        <w:footnoteReference w:id="9412"/>
      </w:r>
    </w:p>
    <w:p xmlns:wp14="http://schemas.microsoft.com/office/word/2010/wordml" w:rsidP="4986385C" w14:paraId="14C79AA8" wp14:textId="11564E69">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roofErr w:type="spellStart"/>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Pankenier</w:t>
      </w:r>
      <w:proofErr w:type="spellEnd"/>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described this as a literal application of cosmological similarities in the construction of the Emperor of Qin’s palace and related structures along the Wei River (220 BCE).</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18340"/>
      </w:r>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Chinese considered the Wei River to be an analogue of the Milky Way. They built the palace in East to orientation to symbolize the Celestial Pole. The celestial Temple was built across the river to correspond in placement to the square of Pegasus constellation. A causeway was constructed to mimic Cassiopeia constellation, which connected the Celestial Pole to the square of Pegasus. As the largest rammed-earth foundation in China at its time, the importance of the complex is expressed by its sheer size. The purpose of its construction was to impart legitimacy and constancy to the Qin Dynasty.</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32761"/>
      </w:r>
    </w:p>
    <w:p xmlns:wp14="http://schemas.microsoft.com/office/word/2010/wordml" w:rsidP="4986385C" w14:paraId="26343A2C" wp14:textId="3AD28D44">
      <w:pPr>
        <w:pStyle w:val="Normal"/>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Furthermore, </w:t>
      </w:r>
      <w:proofErr w:type="spellStart"/>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Pankenier</w:t>
      </w:r>
      <w:proofErr w:type="spellEnd"/>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stated that the</w:t>
      </w:r>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Milky Way and the Wei River were precisely aligned throughout the time when palace construction began. The timing of construction was, therefore, ritually significant to enhance the legitimacy of the new dynasty. The belief in Mandate of Heaven that assigned the ruler of the realm would have been enhanced through symbolic allusions to images above, according to an earlier study by </w:t>
      </w:r>
      <w:proofErr w:type="spellStart"/>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Pankenier</w:t>
      </w:r>
      <w:proofErr w:type="spellEnd"/>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6706"/>
      </w:r>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 city construction continued, the Northern Wall was built to mimic the Ursa Major constellation. Although, other scholars have been incorrect in some respects, notably by inverting the star patterns when comparing them to the structures.</w:t>
      </w:r>
      <w:r w:rsidRPr="4986385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footnoteReference w:id="15054"/>
      </w:r>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study of previous researchers can be modified to create an accurate account of the sky at the time of the Qin and its influence on structure design.</w:t>
      </w:r>
      <w:r w:rsidRPr="4986385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footnoteReference w:id="12373"/>
      </w:r>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Furthermore, the capitol was built to symbolically represent the cosmic centre. </w:t>
      </w:r>
      <w:proofErr w:type="spellStart"/>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Pankenier</w:t>
      </w:r>
      <w:proofErr w:type="spellEnd"/>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also said that Neolithic grave sites suggested a precedent for the orientation practices were used to create the capital.</w:t>
      </w:r>
      <w:r w:rsidRPr="4986385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footnoteReference w:id="17050"/>
      </w:r>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Therefore, this would suggest the alignment of high value structures over a millennium created stable cosmological conceptualisations.</w:t>
      </w:r>
      <w:r w:rsidRPr="4986385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footnoteReference w:id="18394"/>
      </w:r>
    </w:p>
    <w:p xmlns:wp14="http://schemas.microsoft.com/office/word/2010/wordml" w:rsidP="4986385C" w14:paraId="78B7C136" wp14:textId="359A14BE">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Hamacher and Norris and </w:t>
      </w:r>
      <w:proofErr w:type="spellStart"/>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Pankenier’s</w:t>
      </w:r>
      <w:proofErr w:type="spellEnd"/>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use of primary sources are both varied, although </w:t>
      </w:r>
      <w:proofErr w:type="spellStart"/>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Pankenier’s</w:t>
      </w:r>
      <w:proofErr w:type="spellEnd"/>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has the spanning of imperial texts, poetry, 10th century </w:t>
      </w:r>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encyclopaedia</w:t>
      </w:r>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entries, and cosmological diagrams. Whereas Hamacher and Norris depicted graphs and hand drawings. However, </w:t>
      </w:r>
      <w:proofErr w:type="spellStart"/>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Pankenier’s</w:t>
      </w:r>
      <w:proofErr w:type="spellEnd"/>
      <w:r w:rsidRPr="4986385C" w:rsidR="5C9421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use of secondary sources is contentious in the contemporary manner; he exploits what he perceives as flaws in the works to provide support to his own.; Whereas Hamacher and Norris have used previous study for their secondary sources to bolster their own work. Although, t</w:t>
      </w:r>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his is important as it gives their papers more credibility. This is supported by Eugene Garfield, who stated ‘since referencing is both subjective and culturally based, there can be no absolutes about when to cite.’</w:t>
      </w:r>
      <w:r w:rsidRPr="4986385C" w:rsidR="4986385C">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25</w:t>
      </w:r>
    </w:p>
    <w:p xmlns:wp14="http://schemas.microsoft.com/office/word/2010/wordml" w:rsidP="4986385C" w14:paraId="29684441" wp14:textId="3B51F09C">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4986385C" w:rsidR="5C942105">
        <w:rPr>
          <w:rFonts w:ascii="Calibri" w:hAnsi="Calibri" w:eastAsia="Calibri" w:cs="Calibri"/>
          <w:b w:val="0"/>
          <w:bCs w:val="0"/>
          <w:i w:val="0"/>
          <w:iCs w:val="0"/>
          <w:caps w:val="0"/>
          <w:smallCaps w:val="0"/>
          <w:noProof w:val="0"/>
          <w:color w:val="000000" w:themeColor="text1" w:themeTint="FF" w:themeShade="FF"/>
          <w:sz w:val="22"/>
          <w:szCs w:val="22"/>
          <w:lang w:val="en-GB"/>
        </w:rPr>
        <w:t>At this point it important to recognise that both papers were structured well, this is helpful according to Andrew S. C. Ehrenburg, in that ‘the structure of a paper – the order of its sections – is the key to its success.’</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19621"/>
      </w:r>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Additionally, both papers writing ’</w:t>
      </w:r>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styles' were</w:t>
      </w:r>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fluid, transitioned well and easy to understand in most sections. This important according to Paul R. Heinmiller and Alice S Allen, as ‘style covers three areas – fundamentals, mechanics, and editorial. All contribute to the publications style.’</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27417"/>
      </w:r>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However, </w:t>
      </w:r>
      <w:proofErr w:type="spellStart"/>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Pankenier’s</w:t>
      </w:r>
      <w:proofErr w:type="spellEnd"/>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wording is technical in some areas. For example, for the reader to pronounce, ‘Xianyang’ and ‘Zhang </w:t>
      </w:r>
      <w:proofErr w:type="spellStart"/>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Shoujie</w:t>
      </w:r>
      <w:proofErr w:type="spellEnd"/>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one may have to do a brief internet search for the correct terms.</w:t>
      </w:r>
      <w:r w:rsidRPr="4986385C" w:rsidR="39C08E92">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23</w:t>
      </w:r>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Campion also pointed this out, remarking of the </w:t>
      </w:r>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numerous</w:t>
      </w:r>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’pitfalls for the </w:t>
      </w:r>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unwary</w:t>
      </w:r>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roofErr w:type="spellStart"/>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non-Chinese</w:t>
      </w:r>
      <w:proofErr w:type="spellEnd"/>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speaker,’ as the process of conversion from Chinese to English involves</w:t>
      </w:r>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both ’translation and </w:t>
      </w:r>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transliteration</w:t>
      </w:r>
      <w:r w:rsidRPr="4986385C" w:rsidR="39C08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11539"/>
      </w:r>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Finally, it is important to note that both papers had conclusions, albeit short. Despite this, they connivingly bring their points to a persuasive end, leaving the reader with the understanding of their deep astronomical knowledge, which is deeply imbedded both cultures.</w:t>
      </w:r>
    </w:p>
    <w:p w:rsidR="5C942105" w:rsidP="4986385C" w:rsidRDefault="5C942105" w14:paraId="39BBF1D5" w14:textId="3B4CA327">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C942105" w14:paraId="4F257CA1" wp14:textId="79B6CF63">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5C942105" w:rsidR="5C942105">
        <w:rPr>
          <w:rFonts w:ascii="Calibri" w:hAnsi="Calibri" w:eastAsia="Calibri" w:cs="Calibri"/>
          <w:b w:val="1"/>
          <w:bCs w:val="1"/>
          <w:i w:val="0"/>
          <w:iCs w:val="0"/>
          <w:caps w:val="0"/>
          <w:smallCaps w:val="0"/>
          <w:noProof w:val="0"/>
          <w:color w:val="000000" w:themeColor="text1" w:themeTint="FF" w:themeShade="FF"/>
          <w:sz w:val="22"/>
          <w:szCs w:val="22"/>
          <w:lang w:val="en-GB"/>
        </w:rPr>
        <w:t>Conclusion</w:t>
      </w:r>
    </w:p>
    <w:p w:rsidR="4986385C" w:rsidP="4986385C" w:rsidRDefault="4986385C" w14:paraId="3EE03619" w14:textId="012121D3">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This essay set out to critically compare and contrast two academic papers, Duane, W. Hamacher., and Ray P. Norris, ‘Bridging the Gap’ through Australian Cultural Astronomy,’</w:t>
      </w:r>
      <w:r w:rsidRPr="4986385C" w:rsidR="4986385C">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1</w:t>
      </w:r>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David W. </w:t>
      </w:r>
      <w:proofErr w:type="spellStart"/>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Pankenier</w:t>
      </w:r>
      <w:proofErr w:type="spellEnd"/>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 'The Cosmic Center in Early China and Its Archaic Resonances.’</w:t>
      </w:r>
      <w:r w:rsidRPr="4986385C" w:rsidR="4986385C">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 xml:space="preserve">2 </w:t>
      </w:r>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essay has discussed the reasons Aboriginal and early Chinese people used celestial phenomena from the very begging of their cultures and were both careful observers of the night sky, and the motions of the bodies within it and also showed there is a growing body of evidence for this. Hamacher and Norris also showed that Aboriginal Australians documented the stars brightness and </w:t>
      </w:r>
      <w:proofErr w:type="spellStart"/>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Pankenier</w:t>
      </w:r>
      <w:proofErr w:type="spellEnd"/>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showed that the role of astronomical alignments was the main reason for shaped the ‘built environment’ of early Chinese people. The most obvious finding from both papers, was their way of thinking in terms of astronomy was not static in time but dynamic and changing. More specifically, Hamacher and Norris, found that Aboriginal Australians ‘orientated stone arrangements to cardinal directions and astronomical phenomena, such as the solstices and equinox.’</w:t>
      </w:r>
      <w:r w:rsidRPr="4986385C">
        <w:rPr>
          <w:rStyle w:val="FootnoteReference"/>
          <w:rFonts w:ascii="Calibri" w:hAnsi="Calibri" w:eastAsia="Calibri" w:cs="Calibri"/>
          <w:b w:val="0"/>
          <w:bCs w:val="0"/>
          <w:i w:val="0"/>
          <w:iCs w:val="0"/>
          <w:caps w:val="0"/>
          <w:smallCaps w:val="0"/>
          <w:noProof w:val="0"/>
          <w:color w:val="000000" w:themeColor="text1" w:themeTint="FF" w:themeShade="FF"/>
          <w:sz w:val="22"/>
          <w:szCs w:val="22"/>
          <w:lang w:val="en-GB"/>
        </w:rPr>
        <w:footnoteReference w:id="12548"/>
      </w:r>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What also emerged from the both papers were sheer amount of astronomical knowledge both cultures held. Both papers also showed that each respective culture made careful observations and measurements of celestial bodies and their positions. Overall, their research strengthens the idea that both cultures were highly influenced by their perception of what was above them and the terrestrial scenes, and as a result of observing the night sky – both flourished. The importance of </w:t>
      </w:r>
      <w:proofErr w:type="spellStart"/>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archaeoastronomy</w:t>
      </w:r>
      <w:proofErr w:type="spellEnd"/>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was evident through both texts. This would suggest both Hamacher and Norris and </w:t>
      </w:r>
      <w:proofErr w:type="spellStart"/>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Pankeneir</w:t>
      </w:r>
      <w:proofErr w:type="spellEnd"/>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had a depth of knowledge and understanding of the motions of celestial bodies within the night sky, that allowed them to make mature judgments when writing their papers, and ultimately giving them more gravatas. Finally, clear evidence exists in both papers, of a deeper insight that suggested fundamental astronomical roots stretching back millennia, and begs the question, were they talking to universe or was it talking to them, although one thing seems evident, they were clearly having internal conversations with themselves.</w:t>
      </w:r>
    </w:p>
    <w:p w:rsidR="4986385C" w:rsidP="4986385C" w:rsidRDefault="4986385C" w14:paraId="6A18F910" w14:textId="46C7F20A">
      <w:pPr>
        <w:pStyle w:val="Normal"/>
        <w:bidi w:val="0"/>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4986385C" w:rsidR="498638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986385C" w:rsidP="4986385C" w:rsidRDefault="4986385C" w14:paraId="1EF998F5" w14:textId="2A61B7D4">
      <w:pPr>
        <w:pStyle w:val="Normal"/>
        <w:bidi w:val="0"/>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9C08E92" w14:paraId="2BF6DD30" wp14:textId="0C566DAF">
      <w:pPr>
        <w:pStyle w:val="Normal"/>
        <w:bidi w:val="0"/>
        <w:spacing w:before="0" w:beforeAutospacing="off" w:after="160" w:afterAutospacing="off"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pPr>
    </w:p>
    <w:p xmlns:wp14="http://schemas.microsoft.com/office/word/2010/wordml" w:rsidP="39C08E92" w14:paraId="469EABF7" wp14:textId="48F76F51">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9C08E92" w14:paraId="2C078E63" wp14:textId="1EA095A7">
      <w:pPr>
        <w:pStyle w:val="Normal"/>
      </w:pPr>
    </w:p>
    <w:sectPr>
      <w:pgSz w:w="12240" w:h="15840" w:orient="portrait"/>
      <w:pgMar w:top="1440" w:right="1440" w:bottom="1440" w:left="1440" w:header="720" w:footer="720" w:gutter="0"/>
      <w:cols w:space="720"/>
      <w:docGrid w:linePitch="360"/>
      <w:headerReference w:type="default" r:id="Rb72ad01666224541"/>
      <w:footerReference w:type="default" r:id="Rcf8162477d564a7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986385C" w:rsidTr="4986385C" w14:paraId="7C91CB4D">
      <w:tc>
        <w:tcPr>
          <w:tcW w:w="3120" w:type="dxa"/>
          <w:tcMar/>
        </w:tcPr>
        <w:p w:rsidR="4986385C" w:rsidP="4986385C" w:rsidRDefault="4986385C" w14:paraId="005C8FCB" w14:textId="5A4B804D">
          <w:pPr>
            <w:pStyle w:val="Header"/>
            <w:bidi w:val="0"/>
            <w:ind w:left="-115"/>
            <w:jc w:val="left"/>
          </w:pPr>
        </w:p>
      </w:tc>
      <w:tc>
        <w:tcPr>
          <w:tcW w:w="3120" w:type="dxa"/>
          <w:tcMar/>
        </w:tcPr>
        <w:p w:rsidR="4986385C" w:rsidP="4986385C" w:rsidRDefault="4986385C" w14:paraId="564783E6" w14:textId="00EB5B54">
          <w:pPr>
            <w:pStyle w:val="Header"/>
            <w:bidi w:val="0"/>
            <w:jc w:val="center"/>
          </w:pPr>
        </w:p>
      </w:tc>
      <w:tc>
        <w:tcPr>
          <w:tcW w:w="3120" w:type="dxa"/>
          <w:tcMar/>
        </w:tcPr>
        <w:p w:rsidR="4986385C" w:rsidP="4986385C" w:rsidRDefault="4986385C" w14:paraId="5A3AA243" w14:textId="6796C0E1">
          <w:pPr>
            <w:pStyle w:val="Header"/>
            <w:bidi w:val="0"/>
            <w:ind w:right="-115"/>
            <w:jc w:val="right"/>
          </w:pPr>
        </w:p>
      </w:tc>
    </w:tr>
  </w:tbl>
  <w:p w:rsidR="4986385C" w:rsidP="4986385C" w:rsidRDefault="4986385C" w14:paraId="44DBD74A" w14:textId="05A4612C">
    <w:pPr>
      <w:pStyle w:val="Footer"/>
      <w:bidi w:val="0"/>
    </w:pPr>
  </w:p>
</w:ftr>
</file>

<file path=word/footnotes.xml><?xml version="1.0" encoding="utf-8"?>
<w:footnotes xmlns:w14="http://schemas.microsoft.com/office/word/2010/wordml" xmlns:w="http://schemas.openxmlformats.org/wordprocessingml/2006/main" xmlns:r="http://schemas.openxmlformats.org/officeDocument/2006/relationships">
  <w:footnote w:type="separator" w:id="-1">
    <w:p w:rsidR="39C08E92" w:rsidRDefault="39C08E92" w14:paraId="6492B88B" w14:textId="3FBF3C08">
      <w:pPr>
        <w:spacing w:after="0" w:line="240" w:lineRule="auto"/>
      </w:pPr>
      <w:r>
        <w:separator/>
      </w:r>
    </w:p>
  </w:footnote>
  <w:footnote w:type="continuationSeparator" w:id="0">
    <w:p w:rsidR="39C08E92" w:rsidRDefault="39C08E92" w14:paraId="121BA166" w14:textId="0443AC92">
      <w:pPr>
        <w:spacing w:after="0" w:line="240" w:lineRule="auto"/>
      </w:pPr>
      <w:r>
        <w:continuationSeparator/>
      </w:r>
    </w:p>
  </w:footnote>
  <w:footnote w:id="27417">
    <w:p w:rsidR="39C08E92" w:rsidP="39C08E92" w:rsidRDefault="39C08E92" w14:paraId="31246FCD" w14:textId="2BBAC6A4">
      <w:pPr>
        <w:pStyle w:val="FootnoteText"/>
        <w:bidi w:val="0"/>
      </w:pPr>
      <w:r w:rsidRPr="39C08E92">
        <w:rPr>
          <w:rStyle w:val="FootnoteReference"/>
          <w:sz w:val="20"/>
          <w:szCs w:val="20"/>
        </w:rPr>
        <w:footnoteRef/>
      </w:r>
      <w:r w:rsidRPr="39C08E92" w:rsidR="39C08E92">
        <w:rPr>
          <w:sz w:val="20"/>
          <w:szCs w:val="20"/>
        </w:rPr>
        <w:t xml:space="preserve"> </w:t>
      </w:r>
    </w:p>
  </w:footnote>
  <w:footnote w:id="30171">
    <w:p w:rsidR="5C942105" w:rsidP="5C942105" w:rsidRDefault="5C942105" w14:paraId="3066E0D9" w14:textId="3BA277ED">
      <w:pPr>
        <w:pStyle w:val="FootnoteText"/>
      </w:pPr>
      <w:r w:rsidRPr="5C942105">
        <w:rPr>
          <w:rStyle w:val="FootnoteReference"/>
          <w:sz w:val="20"/>
          <w:szCs w:val="20"/>
        </w:rPr>
        <w:footnoteRef/>
      </w:r>
      <w:r w:rsidRPr="5C942105" w:rsidR="5C942105">
        <w:rPr>
          <w:sz w:val="20"/>
          <w:szCs w:val="20"/>
        </w:rPr>
        <w:t xml:space="preserve"> </w:t>
      </w:r>
    </w:p>
  </w:footnote>
  <w:footnote w:id="11539">
    <w:p w:rsidR="5C942105" w:rsidP="5C942105" w:rsidRDefault="5C942105" w14:paraId="6E55A386" w14:textId="6F66BB4A">
      <w:pPr>
        <w:pStyle w:val="FootnoteText"/>
        <w:bidi w:val="0"/>
      </w:pPr>
      <w:r w:rsidRPr="5C942105">
        <w:rPr>
          <w:rStyle w:val="FootnoteReference"/>
          <w:sz w:val="20"/>
          <w:szCs w:val="20"/>
        </w:rPr>
        <w:footnoteRef/>
      </w:r>
      <w:r w:rsidRPr="5C942105" w:rsidR="5C942105">
        <w:rPr>
          <w:sz w:val="20"/>
          <w:szCs w:val="20"/>
        </w:rPr>
        <w:t xml:space="preserve"> </w:t>
      </w:r>
    </w:p>
  </w:footnote>
  <w:footnote w:id="5189">
    <w:p w:rsidR="5C942105" w:rsidP="4986385C" w:rsidRDefault="5C942105" w14:paraId="1E1BA2FB" w14:textId="01CA40AA">
      <w:pPr>
        <w:pStyle w:val="FootnoteText"/>
        <w:bidi w:val="0"/>
        <w:rPr>
          <w:sz w:val="16"/>
          <w:szCs w:val="16"/>
        </w:rPr>
      </w:pPr>
      <w:r w:rsidRPr="5C942105">
        <w:rPr>
          <w:rStyle w:val="FootnoteReference"/>
          <w:sz w:val="20"/>
          <w:szCs w:val="20"/>
        </w:rPr>
        <w:footnoteRef/>
      </w:r>
      <w:r w:rsidRPr="5C942105" w:rsidR="5C942105">
        <w:rPr>
          <w:sz w:val="20"/>
          <w:szCs w:val="20"/>
        </w:rPr>
        <w:t xml:space="preserve"> </w:t>
      </w:r>
      <w:r w:rsidRPr="4986385C" w:rsidR="4986385C">
        <w:rPr>
          <w:sz w:val="16"/>
          <w:szCs w:val="16"/>
        </w:rPr>
        <w:t xml:space="preserve">Duane W. Hamacher, The Conversation (2013) [accessed 28 October 2021]. </w:t>
      </w:r>
      <w:hyperlink r:id="R3f752029dc334663">
        <w:r w:rsidRPr="4986385C" w:rsidR="4986385C">
          <w:rPr>
            <w:rStyle w:val="Hyperlink"/>
            <w:sz w:val="16"/>
            <w:szCs w:val="16"/>
          </w:rPr>
          <w:t>https://theconversation.com/profiles/duane-w-hamacher-98016.</w:t>
        </w:r>
      </w:hyperlink>
    </w:p>
    <w:p w:rsidR="5C942105" w:rsidP="4986385C" w:rsidRDefault="5C942105" w14:paraId="6785B787" w14:textId="3378B61F">
      <w:pPr>
        <w:pStyle w:val="FootnoteText"/>
        <w:bidi w:val="0"/>
        <w:rPr>
          <w:noProof w:val="0"/>
          <w:lang w:val="en-US"/>
        </w:rPr>
      </w:pPr>
    </w:p>
    <w:p w:rsidR="5C942105" w:rsidP="5C942105" w:rsidRDefault="5C942105" w14:paraId="7C8C6D21" w14:textId="475280FB">
      <w:pPr>
        <w:pStyle w:val="FootnoteText"/>
        <w:bidi w:val="0"/>
      </w:pPr>
      <w:r w:rsidRPr="5C942105" w:rsidR="5C942105">
        <w:rPr>
          <w:sz w:val="20"/>
          <w:szCs w:val="20"/>
        </w:rPr>
        <w:t xml:space="preserve"> </w:t>
      </w:r>
    </w:p>
  </w:footnote>
  <w:footnote w:id="7764">
    <w:p w:rsidR="5C942105" w:rsidP="4986385C" w:rsidRDefault="5C942105" w14:paraId="6D51E0C7" w14:textId="473887DA">
      <w:pPr>
        <w:pStyle w:val="FootnoteText"/>
        <w:bidi w:val="0"/>
        <w:rPr>
          <w:sz w:val="16"/>
          <w:szCs w:val="16"/>
        </w:rPr>
      </w:pPr>
      <w:r w:rsidRPr="4986385C">
        <w:rPr>
          <w:rStyle w:val="FootnoteReference"/>
          <w:sz w:val="16"/>
          <w:szCs w:val="16"/>
        </w:rPr>
        <w:footnoteRef/>
      </w:r>
      <w:r w:rsidRPr="4986385C" w:rsidR="5C942105">
        <w:rPr>
          <w:sz w:val="16"/>
          <w:szCs w:val="16"/>
        </w:rPr>
        <w:t xml:space="preserve">  Duane W. Hamacher, The Conversation (2013) [accessed 28 October 2021]. </w:t>
      </w:r>
      <w:hyperlink r:id="R53132b75b7584a76">
        <w:r w:rsidRPr="4986385C" w:rsidR="4986385C">
          <w:rPr>
            <w:rStyle w:val="Hyperlink"/>
            <w:sz w:val="16"/>
            <w:szCs w:val="16"/>
          </w:rPr>
          <w:t>https://theconversation.com/profiles/duane-w-hamacher-98016.</w:t>
        </w:r>
      </w:hyperlink>
    </w:p>
    <w:p w:rsidR="4986385C" w:rsidP="4986385C" w:rsidRDefault="4986385C" w14:paraId="0531710A" w14:textId="3378B61F">
      <w:pPr>
        <w:pStyle w:val="FootnoteText"/>
        <w:bidi w:val="0"/>
        <w:rPr>
          <w:noProof w:val="0"/>
          <w:lang w:val="en-US"/>
        </w:rPr>
      </w:pPr>
    </w:p>
  </w:footnote>
  <w:footnote w:id="563">
    <w:p w:rsidR="5C942105" w:rsidP="4986385C" w:rsidRDefault="5C942105" w14:paraId="2A584506" w14:textId="25B6B577">
      <w:pPr>
        <w:pStyle w:val="FootnoteText"/>
        <w:bidi w:val="0"/>
        <w:rPr>
          <w:sz w:val="16"/>
          <w:szCs w:val="16"/>
        </w:rPr>
      </w:pPr>
      <w:r w:rsidRPr="5C942105">
        <w:rPr>
          <w:rStyle w:val="FootnoteReference"/>
          <w:sz w:val="20"/>
          <w:szCs w:val="20"/>
        </w:rPr>
        <w:footnoteRef/>
      </w:r>
      <w:r w:rsidRPr="4986385C" w:rsidR="4986385C">
        <w:rPr>
          <w:sz w:val="16"/>
          <w:szCs w:val="16"/>
        </w:rPr>
        <w:t xml:space="preserve"> Ray P. Norris, Australian Telescope National Facility (2013) [accessed 28 October 2021]. </w:t>
      </w:r>
      <w:hyperlink r:id="R6319548f877c42fa">
        <w:r w:rsidRPr="4986385C" w:rsidR="4986385C">
          <w:rPr>
            <w:rStyle w:val="Hyperlink"/>
            <w:sz w:val="16"/>
            <w:szCs w:val="16"/>
          </w:rPr>
          <w:t>https://www.atnf.csiro.au/people/Ray.Norris/outreach/informal_bio.htm</w:t>
        </w:r>
      </w:hyperlink>
      <w:r w:rsidRPr="4986385C" w:rsidR="4986385C">
        <w:rPr>
          <w:sz w:val="16"/>
          <w:szCs w:val="16"/>
        </w:rPr>
        <w:t>.</w:t>
      </w:r>
    </w:p>
    <w:p w:rsidR="5C942105" w:rsidP="4986385C" w:rsidRDefault="5C942105" w14:paraId="092A7598" w14:textId="5EBA6B1E">
      <w:pPr>
        <w:pStyle w:val="FootnoteText"/>
        <w:bidi w:val="0"/>
        <w:rPr>
          <w:sz w:val="20"/>
          <w:szCs w:val="20"/>
        </w:rPr>
      </w:pPr>
    </w:p>
  </w:footnote>
  <w:footnote w:id="4689">
    <w:p w:rsidR="5C942105" w:rsidP="4986385C" w:rsidRDefault="5C942105" w14:paraId="52F80196" w14:textId="6A1E7D9A">
      <w:pPr>
        <w:pStyle w:val="FootnoteText"/>
        <w:bidi w:val="0"/>
        <w:rPr>
          <w:sz w:val="16"/>
          <w:szCs w:val="16"/>
        </w:rPr>
      </w:pPr>
      <w:r w:rsidRPr="4986385C">
        <w:rPr>
          <w:rStyle w:val="FootnoteReference"/>
          <w:sz w:val="16"/>
          <w:szCs w:val="16"/>
        </w:rPr>
        <w:footnoteRef/>
      </w:r>
      <w:r w:rsidRPr="4986385C" w:rsidR="5C942105">
        <w:rPr>
          <w:sz w:val="16"/>
          <w:szCs w:val="16"/>
        </w:rPr>
        <w:t xml:space="preserve"> Ray P. Norris, Australian Telescope National Facility (2013) [accessed 28 October 2021]. </w:t>
      </w:r>
      <w:hyperlink r:id="R46bd71488f364587">
        <w:r w:rsidRPr="4986385C" w:rsidR="4986385C">
          <w:rPr>
            <w:rStyle w:val="Hyperlink"/>
            <w:sz w:val="16"/>
            <w:szCs w:val="16"/>
          </w:rPr>
          <w:t>https://www.atnf.csiro.au/people/Ray.Norris/outreach/informal_bio.htm</w:t>
        </w:r>
      </w:hyperlink>
      <w:r w:rsidRPr="4986385C" w:rsidR="4986385C">
        <w:rPr>
          <w:sz w:val="16"/>
          <w:szCs w:val="16"/>
        </w:rPr>
        <w:t xml:space="preserve">. </w:t>
      </w:r>
    </w:p>
  </w:footnote>
  <w:footnote w:id="29105">
    <w:p w:rsidR="5C942105" w:rsidP="5C942105" w:rsidRDefault="5C942105" w14:paraId="133266AB" w14:textId="0DA267E2">
      <w:pPr>
        <w:pStyle w:val="FootnoteText"/>
        <w:bidi w:val="0"/>
      </w:pPr>
      <w:r w:rsidRPr="5C942105">
        <w:rPr>
          <w:rStyle w:val="FootnoteReference"/>
          <w:sz w:val="20"/>
          <w:szCs w:val="20"/>
        </w:rPr>
        <w:footnoteRef/>
      </w:r>
      <w:r w:rsidRPr="5C942105" w:rsidR="5C942105">
        <w:rPr>
          <w:sz w:val="20"/>
          <w:szCs w:val="20"/>
        </w:rPr>
        <w:t xml:space="preserve"> page 300 </w:t>
      </w:r>
    </w:p>
  </w:footnote>
  <w:footnote w:id="24792">
    <w:p w:rsidR="5C942105" w:rsidP="4986385C" w:rsidRDefault="5C942105" w14:paraId="6A6A0872" w14:textId="69A777CB">
      <w:pPr>
        <w:pStyle w:val="FootnoteText"/>
        <w:bidi w:val="0"/>
        <w:rPr>
          <w:sz w:val="20"/>
          <w:szCs w:val="20"/>
        </w:rPr>
      </w:pPr>
      <w:r w:rsidRPr="5C942105">
        <w:rPr>
          <w:rStyle w:val="FootnoteReference"/>
          <w:sz w:val="20"/>
          <w:szCs w:val="20"/>
        </w:rPr>
        <w:footnoteRef/>
      </w:r>
      <w:r w:rsidRPr="5C942105" w:rsidR="5C942105">
        <w:rPr>
          <w:sz w:val="20"/>
          <w:szCs w:val="20"/>
        </w:rPr>
        <w:t xml:space="preserve">  </w:t>
      </w:r>
      <w:r w:rsidRPr="4986385C" w:rsidR="4986385C">
        <w:rPr>
          <w:sz w:val="16"/>
          <w:szCs w:val="16"/>
        </w:rPr>
        <w:t>Norris, Priscilla., Norris, Cilla., Norris, Ray. ’</w:t>
      </w:r>
      <w:r w:rsidRPr="4986385C" w:rsidR="4986385C">
        <w:rPr>
          <w:i w:val="1"/>
          <w:iCs w:val="1"/>
          <w:sz w:val="16"/>
          <w:szCs w:val="16"/>
        </w:rPr>
        <w:t>Emu Dreaming: An Introduction to Australian Aboriginal Astronomy</w:t>
      </w:r>
      <w:r w:rsidRPr="4986385C" w:rsidR="4986385C">
        <w:rPr>
          <w:i w:val="0"/>
          <w:iCs w:val="0"/>
          <w:sz w:val="16"/>
          <w:szCs w:val="16"/>
        </w:rPr>
        <w:t>.’2009</w:t>
      </w:r>
    </w:p>
  </w:footnote>
  <w:footnote w:id="19621">
    <w:p w:rsidR="5C942105" w:rsidP="5C942105" w:rsidRDefault="5C942105" w14:paraId="5E49A514" w14:textId="4F05B19D">
      <w:pPr>
        <w:pStyle w:val="FootnoteText"/>
      </w:pPr>
      <w:r w:rsidRPr="5C942105">
        <w:rPr>
          <w:rStyle w:val="FootnoteReference"/>
          <w:sz w:val="20"/>
          <w:szCs w:val="20"/>
        </w:rPr>
        <w:footnoteRef/>
      </w:r>
      <w:r w:rsidRPr="5C942105" w:rsidR="5C942105">
        <w:rPr>
          <w:sz w:val="20"/>
          <w:szCs w:val="20"/>
        </w:rPr>
        <w:t xml:space="preserve"> </w:t>
      </w:r>
    </w:p>
  </w:footnote>
  <w:footnote w:id="18340">
    <w:p w:rsidR="5C942105" w:rsidP="5C942105" w:rsidRDefault="5C942105" w14:paraId="36DD7BC1" w14:textId="719D4864">
      <w:pPr>
        <w:pStyle w:val="FootnoteText"/>
        <w:bidi w:val="0"/>
      </w:pPr>
      <w:r w:rsidRPr="5C942105">
        <w:rPr>
          <w:rStyle w:val="FootnoteReference"/>
          <w:sz w:val="20"/>
          <w:szCs w:val="20"/>
        </w:rPr>
        <w:footnoteRef/>
      </w:r>
      <w:r w:rsidRPr="5C942105" w:rsidR="5C942105">
        <w:rPr>
          <w:sz w:val="20"/>
          <w:szCs w:val="20"/>
        </w:rPr>
        <w:t xml:space="preserve"> </w:t>
      </w:r>
    </w:p>
  </w:footnote>
  <w:footnote w:id="12373">
    <w:p w:rsidR="5C942105" w:rsidP="5C942105" w:rsidRDefault="5C942105" w14:paraId="36FC75FA" w14:textId="29F2F16F">
      <w:pPr>
        <w:pStyle w:val="FootnoteText"/>
      </w:pPr>
      <w:r w:rsidRPr="5C942105">
        <w:rPr>
          <w:rStyle w:val="FootnoteReference"/>
          <w:sz w:val="20"/>
          <w:szCs w:val="20"/>
        </w:rPr>
        <w:footnoteRef/>
      </w:r>
      <w:r w:rsidRPr="5C942105" w:rsidR="5C942105">
        <w:rPr>
          <w:sz w:val="20"/>
          <w:szCs w:val="20"/>
        </w:rPr>
        <w:t xml:space="preserve"> </w:t>
      </w:r>
    </w:p>
  </w:footnote>
  <w:footnote w:id="2231">
    <w:p w:rsidR="5C942105" w:rsidP="5C942105" w:rsidRDefault="5C942105" w14:paraId="6F0AEC11" w14:textId="5D2D6792">
      <w:pPr>
        <w:pStyle w:val="FootnoteText"/>
        <w:bidi w:val="0"/>
      </w:pPr>
      <w:r w:rsidRPr="5C942105">
        <w:rPr>
          <w:rStyle w:val="FootnoteReference"/>
          <w:sz w:val="20"/>
          <w:szCs w:val="20"/>
        </w:rPr>
        <w:footnoteRef/>
      </w:r>
      <w:r w:rsidRPr="5C942105" w:rsidR="5C942105">
        <w:rPr>
          <w:sz w:val="20"/>
          <w:szCs w:val="20"/>
        </w:rPr>
        <w:t xml:space="preserve"> </w:t>
      </w:r>
    </w:p>
  </w:footnote>
  <w:footnote w:id="2145">
    <w:p w:rsidR="5C942105" w:rsidP="4986385C" w:rsidRDefault="5C942105" w14:paraId="4E2CF4D7" w14:textId="493C0879">
      <w:pPr>
        <w:pStyle w:val="FootnoteText"/>
        <w:bidi w:val="0"/>
        <w:rPr>
          <w:b w:val="0"/>
          <w:bCs w:val="0"/>
          <w:i w:val="0"/>
          <w:iCs w:val="0"/>
          <w:caps w:val="0"/>
          <w:smallCaps w:val="0"/>
          <w:noProof w:val="0"/>
          <w:color w:val="181817"/>
          <w:sz w:val="16"/>
          <w:szCs w:val="16"/>
          <w:lang w:val="en-US"/>
        </w:rPr>
      </w:pPr>
      <w:r w:rsidRPr="5C942105">
        <w:rPr>
          <w:rStyle w:val="FootnoteReference"/>
          <w:sz w:val="20"/>
          <w:szCs w:val="20"/>
        </w:rPr>
        <w:footnoteRef/>
      </w:r>
      <w:r w:rsidRPr="5C942105" w:rsidR="5C942105">
        <w:rPr>
          <w:sz w:val="20"/>
          <w:szCs w:val="20"/>
        </w:rPr>
        <w:t xml:space="preserve">  </w:t>
      </w:r>
      <w:r w:rsidRPr="4986385C" w:rsidR="4986385C">
        <w:rPr>
          <w:b w:val="0"/>
          <w:bCs w:val="0"/>
          <w:i w:val="0"/>
          <w:iCs w:val="0"/>
          <w:caps w:val="0"/>
          <w:smallCaps w:val="0"/>
          <w:noProof w:val="0"/>
          <w:color w:val="181817"/>
          <w:sz w:val="16"/>
          <w:szCs w:val="16"/>
          <w:lang w:val="en-US"/>
        </w:rPr>
        <w:t>Hamacher, D., &amp; Norris, R. (2011). ‘Bridging the gap’ through Australian cultural astronomy.’ P. 282.</w:t>
      </w:r>
    </w:p>
    <w:p w:rsidR="5C942105" w:rsidP="4986385C" w:rsidRDefault="5C942105" w14:paraId="13EDED92" w14:textId="123FD7CA">
      <w:pPr>
        <w:pStyle w:val="FootnoteText"/>
        <w:bidi w:val="0"/>
        <w:rPr>
          <w:sz w:val="20"/>
          <w:szCs w:val="20"/>
        </w:rPr>
      </w:pPr>
    </w:p>
  </w:footnote>
  <w:footnote w:id="8154">
    <w:p w:rsidR="5C942105" w:rsidP="5C942105" w:rsidRDefault="5C942105" w14:paraId="7DEB902E" w14:textId="0C7B8072">
      <w:pPr>
        <w:pStyle w:val="FootnoteText"/>
        <w:bidi w:val="0"/>
      </w:pPr>
      <w:r w:rsidRPr="5C942105">
        <w:rPr>
          <w:rStyle w:val="FootnoteReference"/>
          <w:sz w:val="20"/>
          <w:szCs w:val="20"/>
        </w:rPr>
        <w:footnoteRef/>
      </w:r>
      <w:r w:rsidRPr="5C942105" w:rsidR="5C942105">
        <w:rPr>
          <w:sz w:val="20"/>
          <w:szCs w:val="20"/>
        </w:rPr>
        <w:t xml:space="preserve"> </w:t>
      </w:r>
    </w:p>
  </w:footnote>
  <w:footnote w:id="30729">
    <w:p w:rsidR="5C942105" w:rsidP="5C942105" w:rsidRDefault="5C942105" w14:paraId="1FC482EF" w14:textId="4CE2E159">
      <w:pPr>
        <w:pStyle w:val="FootnoteText"/>
        <w:bidi w:val="0"/>
      </w:pPr>
      <w:r w:rsidRPr="5C942105">
        <w:rPr>
          <w:rStyle w:val="FootnoteReference"/>
          <w:sz w:val="20"/>
          <w:szCs w:val="20"/>
        </w:rPr>
        <w:footnoteRef/>
      </w:r>
      <w:r w:rsidRPr="5C942105" w:rsidR="5C942105">
        <w:rPr>
          <w:sz w:val="20"/>
          <w:szCs w:val="20"/>
        </w:rPr>
        <w:t xml:space="preserve"> </w:t>
      </w:r>
    </w:p>
  </w:footnote>
  <w:footnote w:id="7525">
    <w:p w:rsidR="5C942105" w:rsidP="5C942105" w:rsidRDefault="5C942105" w14:paraId="5CE4E4EE" w14:textId="691D43BE">
      <w:pPr>
        <w:pStyle w:val="FootnoteText"/>
        <w:bidi w:val="0"/>
      </w:pPr>
      <w:r w:rsidRPr="5C942105">
        <w:rPr>
          <w:rStyle w:val="FootnoteReference"/>
          <w:sz w:val="20"/>
          <w:szCs w:val="20"/>
        </w:rPr>
        <w:footnoteRef/>
      </w:r>
      <w:r w:rsidRPr="5C942105" w:rsidR="5C942105">
        <w:rPr>
          <w:sz w:val="20"/>
          <w:szCs w:val="20"/>
        </w:rPr>
        <w:t xml:space="preserve"> </w:t>
      </w:r>
    </w:p>
  </w:footnote>
  <w:footnote w:id="32559">
    <w:p w:rsidR="5C942105" w:rsidP="5C942105" w:rsidRDefault="5C942105" w14:paraId="543DC272" w14:textId="4DDB7D42">
      <w:pPr>
        <w:pStyle w:val="FootnoteText"/>
        <w:bidi w:val="0"/>
      </w:pPr>
      <w:r w:rsidRPr="5C942105">
        <w:rPr>
          <w:rStyle w:val="FootnoteReference"/>
          <w:sz w:val="20"/>
          <w:szCs w:val="20"/>
        </w:rPr>
        <w:footnoteRef/>
      </w:r>
      <w:r w:rsidRPr="5C942105" w:rsidR="5C942105">
        <w:rPr>
          <w:sz w:val="20"/>
          <w:szCs w:val="20"/>
        </w:rPr>
        <w:t xml:space="preserve"> </w:t>
      </w:r>
    </w:p>
  </w:footnote>
  <w:footnote w:id="17434">
    <w:p w:rsidR="5C942105" w:rsidP="5C942105" w:rsidRDefault="5C942105" w14:paraId="2A751DFF" w14:textId="0CF15CC0">
      <w:pPr>
        <w:pStyle w:val="FootnoteText"/>
        <w:bidi w:val="0"/>
      </w:pPr>
      <w:r w:rsidRPr="5C942105">
        <w:rPr>
          <w:rStyle w:val="FootnoteReference"/>
          <w:sz w:val="20"/>
          <w:szCs w:val="20"/>
        </w:rPr>
        <w:footnoteRef/>
      </w:r>
      <w:r w:rsidRPr="5C942105" w:rsidR="5C942105">
        <w:rPr>
          <w:sz w:val="20"/>
          <w:szCs w:val="20"/>
        </w:rPr>
        <w:t xml:space="preserve"> </w:t>
      </w:r>
    </w:p>
  </w:footnote>
  <w:footnote w:id="12548">
    <w:p w:rsidR="4986385C" w:rsidP="4986385C" w:rsidRDefault="4986385C" w14:paraId="39C51F96" w14:textId="17EA1EF7">
      <w:pPr>
        <w:pStyle w:val="FootnoteText"/>
        <w:bidi w:val="0"/>
      </w:pPr>
      <w:r w:rsidRPr="4986385C">
        <w:rPr>
          <w:rStyle w:val="FootnoteReference"/>
          <w:sz w:val="20"/>
          <w:szCs w:val="20"/>
        </w:rPr>
        <w:footnoteRef/>
      </w:r>
      <w:r w:rsidRPr="4986385C" w:rsidR="4986385C">
        <w:rPr>
          <w:sz w:val="20"/>
          <w:szCs w:val="20"/>
        </w:rPr>
        <w:t xml:space="preserve"> </w:t>
      </w:r>
    </w:p>
  </w:footnote>
  <w:footnote w:id="18822">
    <w:p w:rsidR="4986385C" w:rsidP="4986385C" w:rsidRDefault="4986385C" w14:paraId="75567732" w14:textId="7BB6898A">
      <w:pPr>
        <w:pStyle w:val="FootnoteText"/>
        <w:bidi w:val="0"/>
        <w:rPr>
          <w:b w:val="0"/>
          <w:bCs w:val="0"/>
          <w:i w:val="0"/>
          <w:iCs w:val="0"/>
          <w:caps w:val="0"/>
          <w:smallCaps w:val="0"/>
          <w:noProof w:val="0"/>
          <w:color w:val="181817"/>
          <w:sz w:val="16"/>
          <w:szCs w:val="16"/>
          <w:lang w:val="en-US"/>
        </w:rPr>
      </w:pPr>
      <w:r w:rsidRPr="4986385C">
        <w:rPr>
          <w:rStyle w:val="FootnoteReference"/>
          <w:sz w:val="16"/>
          <w:szCs w:val="16"/>
        </w:rPr>
        <w:footnoteRef/>
      </w:r>
      <w:r w:rsidRPr="4986385C" w:rsidR="4986385C">
        <w:rPr>
          <w:b w:val="0"/>
          <w:bCs w:val="0"/>
          <w:i w:val="0"/>
          <w:iCs w:val="0"/>
          <w:caps w:val="0"/>
          <w:smallCaps w:val="0"/>
          <w:noProof w:val="0"/>
          <w:color w:val="181817"/>
          <w:sz w:val="16"/>
          <w:szCs w:val="16"/>
          <w:lang w:val="en-US"/>
        </w:rPr>
        <w:t xml:space="preserve">Hamacher, D., &amp; Norris, R. (2011). ‘Bridging the gap’ through Australian cultural astronomy. </w:t>
      </w:r>
      <w:r w:rsidRPr="4986385C" w:rsidR="4986385C">
        <w:rPr>
          <w:b w:val="0"/>
          <w:bCs w:val="0"/>
          <w:i w:val="1"/>
          <w:iCs w:val="1"/>
          <w:caps w:val="0"/>
          <w:smallCaps w:val="0"/>
          <w:noProof w:val="0"/>
          <w:color w:val="181817"/>
          <w:sz w:val="16"/>
          <w:szCs w:val="16"/>
          <w:lang w:val="en-US"/>
        </w:rPr>
        <w:t>Proceedings of the International Astronomical Union,</w:t>
      </w:r>
      <w:r w:rsidRPr="4986385C" w:rsidR="4986385C">
        <w:rPr>
          <w:b w:val="0"/>
          <w:bCs w:val="0"/>
          <w:i w:val="0"/>
          <w:iCs w:val="0"/>
          <w:caps w:val="0"/>
          <w:smallCaps w:val="0"/>
          <w:noProof w:val="0"/>
          <w:color w:val="181817"/>
          <w:sz w:val="16"/>
          <w:szCs w:val="16"/>
          <w:lang w:val="en-US"/>
        </w:rPr>
        <w:t xml:space="preserve"> </w:t>
      </w:r>
      <w:r w:rsidRPr="4986385C" w:rsidR="4986385C">
        <w:rPr>
          <w:b w:val="0"/>
          <w:bCs w:val="0"/>
          <w:i w:val="1"/>
          <w:iCs w:val="1"/>
          <w:caps w:val="0"/>
          <w:smallCaps w:val="0"/>
          <w:noProof w:val="0"/>
          <w:color w:val="181817"/>
          <w:sz w:val="16"/>
          <w:szCs w:val="16"/>
          <w:lang w:val="en-US"/>
        </w:rPr>
        <w:t>7</w:t>
      </w:r>
      <w:r w:rsidRPr="4986385C" w:rsidR="4986385C">
        <w:rPr>
          <w:b w:val="0"/>
          <w:bCs w:val="0"/>
          <w:i w:val="0"/>
          <w:iCs w:val="0"/>
          <w:caps w:val="0"/>
          <w:smallCaps w:val="0"/>
          <w:noProof w:val="0"/>
          <w:color w:val="181817"/>
          <w:sz w:val="16"/>
          <w:szCs w:val="16"/>
          <w:lang w:val="en-US"/>
        </w:rPr>
        <w:t>(S278), 282-290.</w:t>
      </w:r>
    </w:p>
  </w:footnote>
  <w:footnote w:id="3023">
    <w:p w:rsidR="4986385C" w:rsidP="4986385C" w:rsidRDefault="4986385C" w14:paraId="6DEFE6F6" w14:textId="568C01E8">
      <w:pPr>
        <w:pStyle w:val="FootnoteText"/>
        <w:bidi w:val="0"/>
        <w:rPr>
          <w:b w:val="0"/>
          <w:bCs w:val="0"/>
          <w:i w:val="0"/>
          <w:iCs w:val="0"/>
          <w:caps w:val="0"/>
          <w:smallCaps w:val="0"/>
          <w:noProof w:val="0"/>
          <w:color w:val="181817"/>
          <w:sz w:val="16"/>
          <w:szCs w:val="16"/>
          <w:lang w:val="en-US"/>
        </w:rPr>
      </w:pPr>
      <w:r w:rsidRPr="4986385C">
        <w:rPr>
          <w:rStyle w:val="FootnoteReference"/>
          <w:sz w:val="16"/>
          <w:szCs w:val="16"/>
        </w:rPr>
        <w:footnoteRef/>
      </w:r>
      <w:r w:rsidRPr="4986385C" w:rsidR="4986385C">
        <w:rPr>
          <w:sz w:val="16"/>
          <w:szCs w:val="16"/>
        </w:rPr>
        <w:t xml:space="preserve"> </w:t>
      </w:r>
      <w:proofErr w:type="spellStart"/>
      <w:r w:rsidRPr="4986385C" w:rsidR="4986385C">
        <w:rPr>
          <w:b w:val="0"/>
          <w:bCs w:val="0"/>
          <w:i w:val="0"/>
          <w:iCs w:val="0"/>
          <w:caps w:val="0"/>
          <w:smallCaps w:val="0"/>
          <w:noProof w:val="0"/>
          <w:color w:val="181817"/>
          <w:sz w:val="16"/>
          <w:szCs w:val="16"/>
          <w:lang w:val="en-US"/>
        </w:rPr>
        <w:t>Pankenier</w:t>
      </w:r>
      <w:proofErr w:type="spellEnd"/>
      <w:r w:rsidRPr="4986385C" w:rsidR="4986385C">
        <w:rPr>
          <w:b w:val="0"/>
          <w:bCs w:val="0"/>
          <w:i w:val="0"/>
          <w:iCs w:val="0"/>
          <w:caps w:val="0"/>
          <w:smallCaps w:val="0"/>
          <w:noProof w:val="0"/>
          <w:color w:val="181817"/>
          <w:sz w:val="16"/>
          <w:szCs w:val="16"/>
          <w:lang w:val="en-US"/>
        </w:rPr>
        <w:t xml:space="preserve">, D. (2011). The cosmic center in Early China and its archaic resonances. </w:t>
      </w:r>
      <w:r w:rsidRPr="4986385C" w:rsidR="4986385C">
        <w:rPr>
          <w:b w:val="0"/>
          <w:bCs w:val="0"/>
          <w:i w:val="1"/>
          <w:iCs w:val="1"/>
          <w:caps w:val="0"/>
          <w:smallCaps w:val="0"/>
          <w:noProof w:val="0"/>
          <w:color w:val="181817"/>
          <w:sz w:val="16"/>
          <w:szCs w:val="16"/>
          <w:lang w:val="en-US"/>
        </w:rPr>
        <w:t>Proceedings of the International Astronomical Union,</w:t>
      </w:r>
      <w:r w:rsidRPr="4986385C" w:rsidR="4986385C">
        <w:rPr>
          <w:b w:val="0"/>
          <w:bCs w:val="0"/>
          <w:i w:val="0"/>
          <w:iCs w:val="0"/>
          <w:caps w:val="0"/>
          <w:smallCaps w:val="0"/>
          <w:noProof w:val="0"/>
          <w:color w:val="181817"/>
          <w:sz w:val="16"/>
          <w:szCs w:val="16"/>
          <w:lang w:val="en-US"/>
        </w:rPr>
        <w:t xml:space="preserve"> </w:t>
      </w:r>
      <w:r w:rsidRPr="4986385C" w:rsidR="4986385C">
        <w:rPr>
          <w:b w:val="0"/>
          <w:bCs w:val="0"/>
          <w:i w:val="1"/>
          <w:iCs w:val="1"/>
          <w:caps w:val="0"/>
          <w:smallCaps w:val="0"/>
          <w:noProof w:val="0"/>
          <w:color w:val="181817"/>
          <w:sz w:val="16"/>
          <w:szCs w:val="16"/>
          <w:lang w:val="en-US"/>
        </w:rPr>
        <w:t>7</w:t>
      </w:r>
      <w:r w:rsidRPr="4986385C" w:rsidR="4986385C">
        <w:rPr>
          <w:b w:val="0"/>
          <w:bCs w:val="0"/>
          <w:i w:val="0"/>
          <w:iCs w:val="0"/>
          <w:caps w:val="0"/>
          <w:smallCaps w:val="0"/>
          <w:noProof w:val="0"/>
          <w:color w:val="181817"/>
          <w:sz w:val="16"/>
          <w:szCs w:val="16"/>
          <w:lang w:val="en-US"/>
        </w:rPr>
        <w:t>(S278), 298-307.</w:t>
      </w:r>
    </w:p>
  </w:footnote>
  <w:footnote w:id="12380">
    <w:p w:rsidR="4986385C" w:rsidP="4986385C" w:rsidRDefault="4986385C" w14:paraId="5D1DBE55" w14:textId="6F3DACA2">
      <w:pPr>
        <w:pStyle w:val="FootnoteText"/>
        <w:bidi w:val="0"/>
      </w:pPr>
      <w:r w:rsidRPr="4986385C">
        <w:rPr>
          <w:rStyle w:val="FootnoteReference"/>
          <w:sz w:val="20"/>
          <w:szCs w:val="20"/>
        </w:rPr>
        <w:footnoteRef/>
      </w:r>
      <w:r w:rsidRPr="4986385C" w:rsidR="4986385C">
        <w:rPr>
          <w:sz w:val="20"/>
          <w:szCs w:val="20"/>
        </w:rPr>
        <w:t xml:space="preserve"> </w:t>
      </w:r>
    </w:p>
  </w:footnote>
  <w:footnote w:id="8252">
    <w:p w:rsidR="4986385C" w:rsidP="4986385C" w:rsidRDefault="4986385C" w14:paraId="1EEA8A12" w14:textId="707CB91C">
      <w:pPr>
        <w:pStyle w:val="Normal"/>
        <w:bidi w:val="0"/>
        <w:rPr>
          <w:noProof w:val="0"/>
          <w:sz w:val="16"/>
          <w:szCs w:val="16"/>
          <w:lang w:val="en-US"/>
        </w:rPr>
      </w:pPr>
      <w:r w:rsidRPr="4986385C">
        <w:rPr>
          <w:rStyle w:val="FootnoteReference"/>
          <w:sz w:val="16"/>
          <w:szCs w:val="16"/>
        </w:rPr>
        <w:footnoteRef/>
      </w:r>
      <w:r w:rsidRPr="4986385C" w:rsidR="4986385C">
        <w:rPr>
          <w:sz w:val="16"/>
          <w:szCs w:val="16"/>
        </w:rPr>
        <w:t xml:space="preserve">  RUGGLES, CLIVE, and GARY URTON. “Introduction.” In </w:t>
      </w:r>
      <w:proofErr w:type="spellStart"/>
      <w:r w:rsidRPr="4986385C" w:rsidR="4986385C">
        <w:rPr>
          <w:i w:val="1"/>
          <w:iCs w:val="1"/>
          <w:noProof w:val="0"/>
          <w:sz w:val="16"/>
          <w:szCs w:val="16"/>
          <w:lang w:val="en-US"/>
        </w:rPr>
        <w:t>Skywatching</w:t>
      </w:r>
      <w:proofErr w:type="spellEnd"/>
      <w:r w:rsidRPr="4986385C" w:rsidR="4986385C">
        <w:rPr>
          <w:i w:val="1"/>
          <w:iCs w:val="1"/>
          <w:noProof w:val="0"/>
          <w:sz w:val="16"/>
          <w:szCs w:val="16"/>
          <w:lang w:val="en-US"/>
        </w:rPr>
        <w:t xml:space="preserve"> in the Ancient World: New Perspectives in Cultural Astronomy</w:t>
      </w:r>
      <w:r w:rsidRPr="4986385C" w:rsidR="4986385C">
        <w:rPr>
          <w:noProof w:val="0"/>
          <w:sz w:val="16"/>
          <w:szCs w:val="16"/>
          <w:lang w:val="en-US"/>
        </w:rPr>
        <w:t xml:space="preserve">, edited by Clive Ruggles and Gary Urton, 1–16. University Press of Colorado, 2007. </w:t>
      </w:r>
      <w:hyperlink r:id="Rfedf242de6454c7d">
        <w:r w:rsidRPr="4986385C" w:rsidR="4986385C">
          <w:rPr>
            <w:rStyle w:val="Hyperlink"/>
            <w:noProof w:val="0"/>
            <w:sz w:val="16"/>
            <w:szCs w:val="16"/>
            <w:lang w:val="en-US"/>
          </w:rPr>
          <w:t>http://www.jstor.org/stable/j.ctt46ntzq.8</w:t>
        </w:r>
      </w:hyperlink>
      <w:r w:rsidRPr="4986385C" w:rsidR="4986385C">
        <w:rPr>
          <w:noProof w:val="0"/>
          <w:sz w:val="16"/>
          <w:szCs w:val="16"/>
          <w:lang w:val="en-US"/>
        </w:rPr>
        <w:t>.</w:t>
      </w:r>
    </w:p>
    <w:p w:rsidR="4986385C" w:rsidP="4986385C" w:rsidRDefault="4986385C" w14:paraId="1FE34E9F" w14:textId="0C5F91FA">
      <w:pPr>
        <w:pStyle w:val="FootnoteText"/>
        <w:bidi w:val="0"/>
        <w:rPr>
          <w:sz w:val="20"/>
          <w:szCs w:val="20"/>
        </w:rPr>
      </w:pPr>
    </w:p>
  </w:footnote>
  <w:footnote w:id="18611">
    <w:p w:rsidR="4986385C" w:rsidP="4986385C" w:rsidRDefault="4986385C" w14:paraId="64D731C1" w14:textId="4D0126D3">
      <w:pPr>
        <w:pStyle w:val="FootnoteText"/>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16"/>
          <w:szCs w:val="16"/>
          <w:lang w:val="en-US"/>
        </w:rPr>
      </w:pPr>
      <w:r w:rsidRPr="4986385C">
        <w:rPr>
          <w:rStyle w:val="FootnoteReference"/>
          <w:rFonts w:ascii="Calibri" w:hAnsi="Calibri" w:eastAsia="Calibri" w:cs="Calibri" w:asciiTheme="minorAscii" w:hAnsiTheme="minorAscii" w:eastAsiaTheme="minorAscii" w:cstheme="minorAscii"/>
          <w:sz w:val="16"/>
          <w:szCs w:val="16"/>
        </w:rPr>
        <w:footnoteRef/>
      </w:r>
      <w:r w:rsidRPr="4986385C" w:rsidR="4986385C">
        <w:rPr>
          <w:rFonts w:ascii="Calibri" w:hAnsi="Calibri" w:eastAsia="Calibri" w:cs="Calibri" w:asciiTheme="minorAscii" w:hAnsiTheme="minorAscii" w:eastAsiaTheme="minorAscii" w:cstheme="minorAscii"/>
          <w:sz w:val="16"/>
          <w:szCs w:val="16"/>
        </w:rPr>
        <w:t xml:space="preserve"> </w:t>
      </w:r>
      <w:r w:rsidRPr="4986385C" w:rsidR="4986385C">
        <w:rPr>
          <w:rFonts w:ascii="Calibri" w:hAnsi="Calibri" w:eastAsia="Calibri" w:cs="Calibri" w:asciiTheme="minorAscii" w:hAnsiTheme="minorAscii" w:eastAsiaTheme="minorAscii" w:cstheme="minorAscii"/>
          <w:b w:val="0"/>
          <w:bCs w:val="0"/>
          <w:i w:val="0"/>
          <w:iCs w:val="0"/>
          <w:caps w:val="0"/>
          <w:smallCaps w:val="0"/>
          <w:noProof w:val="0"/>
          <w:color w:val="333333"/>
          <w:sz w:val="16"/>
          <w:szCs w:val="16"/>
          <w:lang w:val="en-US"/>
        </w:rPr>
        <w:t xml:space="preserve">Campion N. (2008) Teaching Cultural Astronomy: On the Development and Evolution of the Syllabus at Bath Spa University and the University of Wales, Lampeter. In: Holbrook J.C., </w:t>
      </w:r>
      <w:proofErr w:type="spellStart"/>
      <w:r w:rsidRPr="4986385C" w:rsidR="4986385C">
        <w:rPr>
          <w:rFonts w:ascii="Calibri" w:hAnsi="Calibri" w:eastAsia="Calibri" w:cs="Calibri" w:asciiTheme="minorAscii" w:hAnsiTheme="minorAscii" w:eastAsiaTheme="minorAscii" w:cstheme="minorAscii"/>
          <w:b w:val="0"/>
          <w:bCs w:val="0"/>
          <w:i w:val="0"/>
          <w:iCs w:val="0"/>
          <w:caps w:val="0"/>
          <w:smallCaps w:val="0"/>
          <w:noProof w:val="0"/>
          <w:color w:val="333333"/>
          <w:sz w:val="16"/>
          <w:szCs w:val="16"/>
          <w:lang w:val="en-US"/>
        </w:rPr>
        <w:t>Urama</w:t>
      </w:r>
      <w:proofErr w:type="spellEnd"/>
      <w:r w:rsidRPr="4986385C" w:rsidR="4986385C">
        <w:rPr>
          <w:rFonts w:ascii="Calibri" w:hAnsi="Calibri" w:eastAsia="Calibri" w:cs="Calibri" w:asciiTheme="minorAscii" w:hAnsiTheme="minorAscii" w:eastAsiaTheme="minorAscii" w:cstheme="minorAscii"/>
          <w:b w:val="0"/>
          <w:bCs w:val="0"/>
          <w:i w:val="0"/>
          <w:iCs w:val="0"/>
          <w:caps w:val="0"/>
          <w:smallCaps w:val="0"/>
          <w:noProof w:val="0"/>
          <w:color w:val="333333"/>
          <w:sz w:val="16"/>
          <w:szCs w:val="16"/>
          <w:lang w:val="en-US"/>
        </w:rPr>
        <w:t xml:space="preserve"> J.O., </w:t>
      </w:r>
      <w:proofErr w:type="spellStart"/>
      <w:r w:rsidRPr="4986385C" w:rsidR="4986385C">
        <w:rPr>
          <w:rFonts w:ascii="Calibri" w:hAnsi="Calibri" w:eastAsia="Calibri" w:cs="Calibri" w:asciiTheme="minorAscii" w:hAnsiTheme="minorAscii" w:eastAsiaTheme="minorAscii" w:cstheme="minorAscii"/>
          <w:b w:val="0"/>
          <w:bCs w:val="0"/>
          <w:i w:val="0"/>
          <w:iCs w:val="0"/>
          <w:caps w:val="0"/>
          <w:smallCaps w:val="0"/>
          <w:noProof w:val="0"/>
          <w:color w:val="333333"/>
          <w:sz w:val="16"/>
          <w:szCs w:val="16"/>
          <w:lang w:val="en-US"/>
        </w:rPr>
        <w:t>Medupe</w:t>
      </w:r>
      <w:proofErr w:type="spellEnd"/>
      <w:r w:rsidRPr="4986385C" w:rsidR="4986385C">
        <w:rPr>
          <w:rFonts w:ascii="Calibri" w:hAnsi="Calibri" w:eastAsia="Calibri" w:cs="Calibri" w:asciiTheme="minorAscii" w:hAnsiTheme="minorAscii" w:eastAsiaTheme="minorAscii" w:cstheme="minorAscii"/>
          <w:b w:val="0"/>
          <w:bCs w:val="0"/>
          <w:i w:val="0"/>
          <w:iCs w:val="0"/>
          <w:caps w:val="0"/>
          <w:smallCaps w:val="0"/>
          <w:noProof w:val="0"/>
          <w:color w:val="333333"/>
          <w:sz w:val="16"/>
          <w:szCs w:val="16"/>
          <w:lang w:val="en-US"/>
        </w:rPr>
        <w:t xml:space="preserve"> R.T. (eds) African Cultural Astronomy. Astrophysics and Space Science Proceedings. Springer, Dordrecht. </w:t>
      </w:r>
      <w:hyperlink r:id="R6c9011ac73d644ef">
        <w:r w:rsidRPr="4986385C" w:rsidR="4986385C">
          <w:rPr>
            <w:rStyle w:val="Hyperlink"/>
            <w:rFonts w:ascii="Calibri" w:hAnsi="Calibri" w:eastAsia="Calibri" w:cs="Calibri" w:asciiTheme="minorAscii" w:hAnsiTheme="minorAscii" w:eastAsiaTheme="minorAscii" w:cstheme="minorAscii"/>
            <w:b w:val="0"/>
            <w:bCs w:val="0"/>
            <w:i w:val="0"/>
            <w:iCs w:val="0"/>
            <w:caps w:val="0"/>
            <w:smallCaps w:val="0"/>
            <w:noProof w:val="0"/>
            <w:sz w:val="16"/>
            <w:szCs w:val="16"/>
            <w:lang w:val="en-US"/>
          </w:rPr>
          <w:t>https://doi.org/10.1007/978-1-4020-6639-9_9</w:t>
        </w:r>
      </w:hyperlink>
      <w:r w:rsidRPr="4986385C" w:rsidR="4986385C">
        <w:rPr>
          <w:rFonts w:ascii="Calibri" w:hAnsi="Calibri" w:eastAsia="Calibri" w:cs="Calibri" w:asciiTheme="minorAscii" w:hAnsiTheme="minorAscii" w:eastAsiaTheme="minorAscii" w:cstheme="minorAscii"/>
          <w:b w:val="0"/>
          <w:bCs w:val="0"/>
          <w:i w:val="0"/>
          <w:iCs w:val="0"/>
          <w:caps w:val="0"/>
          <w:smallCaps w:val="0"/>
          <w:noProof w:val="0"/>
          <w:color w:val="333333"/>
          <w:sz w:val="16"/>
          <w:szCs w:val="16"/>
          <w:lang w:val="en-US"/>
        </w:rPr>
        <w:t xml:space="preserve"> </w:t>
      </w:r>
    </w:p>
  </w:footnote>
  <w:footnote w:id="27843">
    <w:p w:rsidR="4986385C" w:rsidP="4986385C" w:rsidRDefault="4986385C" w14:paraId="4F42F290" w14:textId="6E0FD1AD">
      <w:pPr>
        <w:pStyle w:val="Normal"/>
        <w:bidi w:val="0"/>
        <w:rPr>
          <w:sz w:val="16"/>
          <w:szCs w:val="16"/>
        </w:rPr>
      </w:pPr>
      <w:r w:rsidRPr="4986385C">
        <w:rPr>
          <w:rStyle w:val="FootnoteReference"/>
          <w:sz w:val="16"/>
          <w:szCs w:val="16"/>
        </w:rPr>
        <w:footnoteRef/>
      </w:r>
      <w:r w:rsidRPr="4986385C" w:rsidR="4986385C">
        <w:rPr>
          <w:sz w:val="16"/>
          <w:szCs w:val="16"/>
        </w:rPr>
        <w:t xml:space="preserve">  Griffin, Brenton. “Racial Categories: Indigenous Australians and Mormonism, 1850s to Present.” </w:t>
      </w:r>
      <w:r w:rsidRPr="4986385C" w:rsidR="4986385C">
        <w:rPr>
          <w:i w:val="1"/>
          <w:iCs w:val="1"/>
          <w:noProof w:val="0"/>
          <w:sz w:val="16"/>
          <w:szCs w:val="16"/>
          <w:lang w:val="en-US"/>
        </w:rPr>
        <w:t>Dialogue: A Journal of Mormon Thought</w:t>
      </w:r>
      <w:r w:rsidRPr="4986385C" w:rsidR="4986385C">
        <w:rPr>
          <w:noProof w:val="0"/>
          <w:sz w:val="16"/>
          <w:szCs w:val="16"/>
          <w:lang w:val="en-US"/>
        </w:rPr>
        <w:t xml:space="preserve"> 54, no. 2 (2021): 1–32. </w:t>
      </w:r>
      <w:hyperlink r:id="R63b65a199a554683">
        <w:r w:rsidRPr="4986385C" w:rsidR="4986385C">
          <w:rPr>
            <w:rStyle w:val="Hyperlink"/>
            <w:noProof w:val="0"/>
            <w:sz w:val="16"/>
            <w:szCs w:val="16"/>
            <w:lang w:val="en-US"/>
          </w:rPr>
          <w:t>https://www.jstor.org/stable/10.5406/dialjmormthou.54.2.0001</w:t>
        </w:r>
      </w:hyperlink>
      <w:r w:rsidRPr="4986385C" w:rsidR="4986385C">
        <w:rPr>
          <w:noProof w:val="0"/>
          <w:sz w:val="16"/>
          <w:szCs w:val="16"/>
          <w:lang w:val="en-US"/>
        </w:rPr>
        <w:t>.</w:t>
      </w:r>
    </w:p>
    <w:p w:rsidR="4986385C" w:rsidP="4986385C" w:rsidRDefault="4986385C" w14:paraId="2E21F152" w14:textId="6A777F76">
      <w:pPr>
        <w:pStyle w:val="FootnoteText"/>
        <w:bidi w:val="0"/>
        <w:rPr>
          <w:sz w:val="20"/>
          <w:szCs w:val="20"/>
        </w:rPr>
      </w:pPr>
    </w:p>
  </w:footnote>
  <w:footnote w:id="18176">
    <w:p w:rsidR="4986385C" w:rsidP="4986385C" w:rsidRDefault="4986385C" w14:paraId="56F13A0A" w14:textId="1F8E87B0">
      <w:pPr>
        <w:pStyle w:val="FootnoteText"/>
        <w:bidi w:val="0"/>
      </w:pPr>
      <w:r w:rsidRPr="4986385C">
        <w:rPr>
          <w:rStyle w:val="FootnoteReference"/>
          <w:sz w:val="20"/>
          <w:szCs w:val="20"/>
        </w:rPr>
        <w:footnoteRef/>
      </w:r>
      <w:r w:rsidRPr="4986385C" w:rsidR="4986385C">
        <w:rPr>
          <w:sz w:val="20"/>
          <w:szCs w:val="20"/>
        </w:rPr>
        <w:t xml:space="preserve"> </w:t>
      </w:r>
    </w:p>
  </w:footnote>
  <w:footnote w:id="15054">
    <w:p w:rsidR="4986385C" w:rsidP="4986385C" w:rsidRDefault="4986385C" w14:paraId="40E279DB" w14:textId="789FCE69">
      <w:pPr>
        <w:pStyle w:val="FootnoteText"/>
        <w:bidi w:val="0"/>
      </w:pPr>
      <w:r w:rsidRPr="4986385C">
        <w:rPr>
          <w:rStyle w:val="FootnoteReference"/>
          <w:sz w:val="20"/>
          <w:szCs w:val="20"/>
        </w:rPr>
        <w:footnoteRef/>
      </w:r>
      <w:r w:rsidRPr="4986385C" w:rsidR="4986385C">
        <w:rPr>
          <w:sz w:val="20"/>
          <w:szCs w:val="20"/>
        </w:rPr>
        <w:t xml:space="preserve"> </w:t>
      </w:r>
    </w:p>
  </w:footnote>
  <w:footnote w:id="17050">
    <w:p w:rsidR="4986385C" w:rsidP="4986385C" w:rsidRDefault="4986385C" w14:paraId="5F2C7A8D" w14:textId="72937BE9">
      <w:pPr>
        <w:pStyle w:val="FootnoteText"/>
        <w:bidi w:val="0"/>
      </w:pPr>
      <w:r w:rsidRPr="4986385C">
        <w:rPr>
          <w:rStyle w:val="FootnoteReference"/>
          <w:sz w:val="20"/>
          <w:szCs w:val="20"/>
        </w:rPr>
        <w:footnoteRef/>
      </w:r>
      <w:r w:rsidRPr="4986385C" w:rsidR="4986385C">
        <w:rPr>
          <w:sz w:val="20"/>
          <w:szCs w:val="20"/>
        </w:rPr>
        <w:t xml:space="preserve"> </w:t>
      </w:r>
    </w:p>
  </w:footnote>
  <w:footnote w:id="18394">
    <w:p w:rsidR="4986385C" w:rsidP="4986385C" w:rsidRDefault="4986385C" w14:paraId="5ED242C3" w14:textId="3B11E99B">
      <w:pPr>
        <w:pStyle w:val="FootnoteText"/>
        <w:bidi w:val="0"/>
      </w:pPr>
      <w:r w:rsidRPr="4986385C">
        <w:rPr>
          <w:rStyle w:val="FootnoteReference"/>
          <w:sz w:val="20"/>
          <w:szCs w:val="20"/>
        </w:rPr>
        <w:footnoteRef/>
      </w:r>
      <w:r w:rsidRPr="4986385C" w:rsidR="4986385C">
        <w:rPr>
          <w:sz w:val="20"/>
          <w:szCs w:val="20"/>
        </w:rPr>
        <w:t xml:space="preserve"> </w:t>
      </w:r>
    </w:p>
  </w:footnote>
  <w:footnote w:id="7259">
    <w:p w:rsidR="4986385C" w:rsidP="4986385C" w:rsidRDefault="4986385C" w14:paraId="5C88CAFF" w14:textId="47C48DD6">
      <w:pPr>
        <w:pStyle w:val="FootnoteText"/>
        <w:bidi w:val="0"/>
      </w:pPr>
      <w:r w:rsidRPr="4986385C">
        <w:rPr>
          <w:rStyle w:val="FootnoteReference"/>
          <w:sz w:val="20"/>
          <w:szCs w:val="20"/>
        </w:rPr>
        <w:footnoteRef/>
      </w:r>
      <w:r w:rsidRPr="4986385C" w:rsidR="4986385C">
        <w:rPr>
          <w:sz w:val="20"/>
          <w:szCs w:val="20"/>
        </w:rPr>
        <w:t xml:space="preserve"> </w:t>
      </w:r>
    </w:p>
  </w:footnote>
  <w:footnote w:id="8049">
    <w:p w:rsidR="4986385C" w:rsidP="4986385C" w:rsidRDefault="4986385C" w14:paraId="085AE7F9" w14:textId="7DA291E9">
      <w:pPr>
        <w:pStyle w:val="FootnoteText"/>
        <w:bidi w:val="0"/>
        <w:rPr>
          <w:sz w:val="16"/>
          <w:szCs w:val="16"/>
        </w:rPr>
      </w:pPr>
      <w:r w:rsidRPr="4986385C">
        <w:rPr>
          <w:rStyle w:val="FootnoteReference"/>
          <w:sz w:val="16"/>
          <w:szCs w:val="16"/>
        </w:rPr>
        <w:footnoteRef/>
      </w:r>
      <w:r w:rsidRPr="4986385C" w:rsidR="4986385C">
        <w:rPr>
          <w:sz w:val="16"/>
          <w:szCs w:val="16"/>
        </w:rPr>
        <w:t xml:space="preserve"> Norris, Priscilla., Norris, Cilla., Norris, Ray. </w:t>
      </w:r>
      <w:r w:rsidRPr="4986385C" w:rsidR="4986385C">
        <w:rPr>
          <w:i w:val="1"/>
          <w:iCs w:val="1"/>
          <w:sz w:val="16"/>
          <w:szCs w:val="16"/>
        </w:rPr>
        <w:t>Emu Dreaming: An Introduction to Australian Aboriginal Astronomy</w:t>
      </w:r>
      <w:r w:rsidRPr="4986385C" w:rsidR="4986385C">
        <w:rPr>
          <w:i w:val="0"/>
          <w:iCs w:val="0"/>
          <w:sz w:val="16"/>
          <w:szCs w:val="16"/>
        </w:rPr>
        <w:t>. Australia: Emu Dreaming, 2009.</w:t>
      </w:r>
    </w:p>
  </w:footnote>
  <w:footnote w:id="14196">
    <w:p w:rsidR="4986385C" w:rsidP="4986385C" w:rsidRDefault="4986385C" w14:paraId="37D89DFC" w14:textId="4B0DA428">
      <w:pPr>
        <w:pStyle w:val="FootnoteText"/>
      </w:pPr>
      <w:r w:rsidRPr="4986385C">
        <w:rPr>
          <w:rStyle w:val="FootnoteReference"/>
          <w:sz w:val="20"/>
          <w:szCs w:val="20"/>
        </w:rPr>
        <w:footnoteRef/>
      </w:r>
      <w:r w:rsidRPr="4986385C" w:rsidR="4986385C">
        <w:rPr>
          <w:sz w:val="20"/>
          <w:szCs w:val="20"/>
        </w:rPr>
        <w:t xml:space="preserve"> </w:t>
      </w:r>
    </w:p>
  </w:footnote>
  <w:footnote w:id="32732">
    <w:p w:rsidR="4986385C" w:rsidP="4986385C" w:rsidRDefault="4986385C" w14:paraId="6CB54300" w14:textId="43055EAC">
      <w:pPr>
        <w:pStyle w:val="FootnoteText"/>
      </w:pPr>
      <w:r w:rsidRPr="4986385C">
        <w:rPr>
          <w:rStyle w:val="FootnoteReference"/>
          <w:sz w:val="20"/>
          <w:szCs w:val="20"/>
        </w:rPr>
        <w:footnoteRef/>
      </w:r>
      <w:r w:rsidRPr="4986385C" w:rsidR="4986385C">
        <w:rPr>
          <w:sz w:val="20"/>
          <w:szCs w:val="20"/>
        </w:rPr>
        <w:t xml:space="preserve"> </w:t>
      </w:r>
    </w:p>
  </w:footnote>
  <w:footnote w:id="6613">
    <w:p w:rsidR="4986385C" w:rsidP="4986385C" w:rsidRDefault="4986385C" w14:paraId="27CCB6DC" w14:textId="4264DBD0">
      <w:pPr>
        <w:pStyle w:val="FootnoteText"/>
        <w:bidi w:val="0"/>
        <w:rPr>
          <w:b w:val="0"/>
          <w:bCs w:val="0"/>
          <w:i w:val="0"/>
          <w:iCs w:val="0"/>
          <w:caps w:val="0"/>
          <w:smallCaps w:val="0"/>
          <w:noProof w:val="0"/>
          <w:color w:val="181817"/>
          <w:sz w:val="16"/>
          <w:szCs w:val="16"/>
          <w:lang w:val="en-US"/>
        </w:rPr>
      </w:pPr>
      <w:r w:rsidRPr="4986385C">
        <w:rPr>
          <w:rStyle w:val="FootnoteReference"/>
          <w:sz w:val="16"/>
          <w:szCs w:val="16"/>
        </w:rPr>
        <w:footnoteRef/>
      </w:r>
      <w:r w:rsidRPr="4986385C" w:rsidR="4986385C">
        <w:rPr>
          <w:sz w:val="16"/>
          <w:szCs w:val="16"/>
        </w:rPr>
        <w:t xml:space="preserve">  </w:t>
      </w:r>
      <w:r w:rsidRPr="4986385C" w:rsidR="4986385C">
        <w:rPr>
          <w:b w:val="0"/>
          <w:bCs w:val="0"/>
          <w:i w:val="0"/>
          <w:iCs w:val="0"/>
          <w:caps w:val="0"/>
          <w:smallCaps w:val="0"/>
          <w:noProof w:val="0"/>
          <w:color w:val="181817"/>
          <w:sz w:val="16"/>
          <w:szCs w:val="16"/>
          <w:lang w:val="en-US"/>
        </w:rPr>
        <w:t xml:space="preserve">Hamacher, D., &amp; Norris, R. (2011). </w:t>
      </w:r>
      <w:r w:rsidRPr="4986385C" w:rsidR="4986385C">
        <w:rPr>
          <w:b w:val="0"/>
          <w:bCs w:val="0"/>
          <w:i w:val="1"/>
          <w:iCs w:val="1"/>
          <w:caps w:val="0"/>
          <w:smallCaps w:val="0"/>
          <w:noProof w:val="0"/>
          <w:color w:val="181817"/>
          <w:sz w:val="16"/>
          <w:szCs w:val="16"/>
          <w:lang w:val="en-US"/>
        </w:rPr>
        <w:t xml:space="preserve">‘Bridging the gap’ through Australian cultural astronomy. </w:t>
      </w:r>
      <w:proofErr w:type="gramStart"/>
      <w:r w:rsidRPr="4986385C" w:rsidR="4986385C">
        <w:rPr>
          <w:b w:val="0"/>
          <w:bCs w:val="0"/>
          <w:i w:val="1"/>
          <w:iCs w:val="1"/>
          <w:caps w:val="0"/>
          <w:smallCaps w:val="0"/>
          <w:noProof w:val="0"/>
          <w:color w:val="181817"/>
          <w:sz w:val="16"/>
          <w:szCs w:val="16"/>
          <w:lang w:val="en-US"/>
        </w:rPr>
        <w:t>‘</w:t>
      </w:r>
      <w:r w:rsidRPr="4986385C" w:rsidR="4986385C">
        <w:rPr>
          <w:b w:val="0"/>
          <w:bCs w:val="0"/>
          <w:i w:val="0"/>
          <w:iCs w:val="0"/>
          <w:caps w:val="0"/>
          <w:smallCaps w:val="0"/>
          <w:noProof w:val="0"/>
          <w:color w:val="181817"/>
          <w:sz w:val="16"/>
          <w:szCs w:val="16"/>
          <w:lang w:val="en-US"/>
        </w:rPr>
        <w:t xml:space="preserve"> P.</w:t>
      </w:r>
      <w:proofErr w:type="gramEnd"/>
      <w:r w:rsidRPr="4986385C" w:rsidR="4986385C">
        <w:rPr>
          <w:b w:val="0"/>
          <w:bCs w:val="0"/>
          <w:i w:val="0"/>
          <w:iCs w:val="0"/>
          <w:caps w:val="0"/>
          <w:smallCaps w:val="0"/>
          <w:noProof w:val="0"/>
          <w:color w:val="181817"/>
          <w:sz w:val="16"/>
          <w:szCs w:val="16"/>
          <w:lang w:val="en-US"/>
        </w:rPr>
        <w:t xml:space="preserve"> 282.</w:t>
      </w:r>
    </w:p>
  </w:footnote>
  <w:footnote w:id="9741">
    <w:p w:rsidR="4986385C" w:rsidP="4986385C" w:rsidRDefault="4986385C" w14:paraId="7155BBA5" w14:textId="55BD03A4">
      <w:pPr>
        <w:pStyle w:val="FootnoteText"/>
      </w:pPr>
      <w:r w:rsidRPr="4986385C">
        <w:rPr>
          <w:rStyle w:val="FootnoteReference"/>
          <w:sz w:val="20"/>
          <w:szCs w:val="20"/>
        </w:rPr>
        <w:footnoteRef/>
      </w:r>
      <w:r w:rsidRPr="4986385C" w:rsidR="4986385C">
        <w:rPr>
          <w:sz w:val="20"/>
          <w:szCs w:val="20"/>
        </w:rPr>
        <w:t xml:space="preserve"> </w:t>
      </w:r>
    </w:p>
  </w:footnote>
  <w:footnote w:id="9412">
    <w:p w:rsidR="4986385C" w:rsidP="4986385C" w:rsidRDefault="4986385C" w14:paraId="7A3BF829" w14:textId="29319ABF">
      <w:pPr>
        <w:pStyle w:val="FootnoteText"/>
      </w:pPr>
      <w:r w:rsidRPr="4986385C">
        <w:rPr>
          <w:rStyle w:val="FootnoteReference"/>
          <w:sz w:val="20"/>
          <w:szCs w:val="20"/>
        </w:rPr>
        <w:footnoteRef/>
      </w:r>
      <w:r w:rsidRPr="4986385C" w:rsidR="4986385C">
        <w:rPr>
          <w:sz w:val="20"/>
          <w:szCs w:val="20"/>
        </w:rPr>
        <w:t xml:space="preserve"> </w:t>
      </w:r>
    </w:p>
  </w:footnote>
  <w:footnote w:id="27049">
    <w:p w:rsidR="4986385C" w:rsidP="4986385C" w:rsidRDefault="4986385C" w14:paraId="374814FD" w14:textId="03F983DF">
      <w:pPr>
        <w:pStyle w:val="FootnoteText"/>
        <w:bidi w:val="0"/>
      </w:pPr>
      <w:r w:rsidRPr="4986385C">
        <w:rPr>
          <w:rStyle w:val="FootnoteReference"/>
          <w:sz w:val="20"/>
          <w:szCs w:val="20"/>
        </w:rPr>
        <w:footnoteRef/>
      </w:r>
      <w:r w:rsidRPr="4986385C" w:rsidR="4986385C">
        <w:rPr>
          <w:sz w:val="20"/>
          <w:szCs w:val="20"/>
        </w:rPr>
        <w:t xml:space="preserve"> </w:t>
      </w:r>
    </w:p>
  </w:footnote>
  <w:footnote w:id="7672">
    <w:p w:rsidR="4986385C" w:rsidP="4986385C" w:rsidRDefault="4986385C" w14:paraId="6F854B13" w14:textId="66A02E30">
      <w:pPr>
        <w:pStyle w:val="FootnoteText"/>
        <w:bidi w:val="0"/>
      </w:pPr>
      <w:r w:rsidRPr="4986385C">
        <w:rPr>
          <w:rStyle w:val="FootnoteReference"/>
          <w:sz w:val="20"/>
          <w:szCs w:val="20"/>
        </w:rPr>
        <w:footnoteRef/>
      </w:r>
      <w:r w:rsidRPr="4986385C" w:rsidR="4986385C">
        <w:rPr>
          <w:sz w:val="20"/>
          <w:szCs w:val="20"/>
        </w:rPr>
        <w:t xml:space="preserve"> </w:t>
      </w:r>
    </w:p>
  </w:footnote>
  <w:footnote w:id="10050">
    <w:p w:rsidR="4986385C" w:rsidP="4986385C" w:rsidRDefault="4986385C" w14:paraId="0C533878" w14:textId="59AE1896">
      <w:pPr>
        <w:pStyle w:val="FootnoteText"/>
        <w:bidi w:val="0"/>
      </w:pPr>
      <w:r w:rsidRPr="4986385C">
        <w:rPr>
          <w:rStyle w:val="FootnoteReference"/>
          <w:sz w:val="20"/>
          <w:szCs w:val="20"/>
        </w:rPr>
        <w:footnoteRef/>
      </w:r>
      <w:r w:rsidRPr="4986385C" w:rsidR="4986385C">
        <w:rPr>
          <w:sz w:val="20"/>
          <w:szCs w:val="20"/>
        </w:rPr>
        <w:t xml:space="preserve"> 282</w:t>
      </w:r>
    </w:p>
  </w:footnote>
  <w:footnote w:id="6706">
    <w:p w:rsidR="4986385C" w:rsidP="4986385C" w:rsidRDefault="4986385C" w14:paraId="3B86DDEF" w14:textId="19B5B6CF">
      <w:pPr>
        <w:pStyle w:val="Normal"/>
        <w:bidi w:val="0"/>
        <w:rPr>
          <w:noProof w:val="0"/>
          <w:sz w:val="16"/>
          <w:szCs w:val="16"/>
          <w:lang w:val="en-US"/>
        </w:rPr>
      </w:pPr>
      <w:r w:rsidRPr="4986385C">
        <w:rPr>
          <w:rStyle w:val="FootnoteReference"/>
          <w:sz w:val="16"/>
          <w:szCs w:val="16"/>
        </w:rPr>
        <w:footnoteRef/>
      </w:r>
      <w:r w:rsidRPr="4986385C" w:rsidR="4986385C">
        <w:rPr>
          <w:sz w:val="16"/>
          <w:szCs w:val="16"/>
        </w:rPr>
        <w:t xml:space="preserve"> Pankenier, David W. ‘The Cosmo-Political Background of Heaven‘s Mandate.‘ </w:t>
      </w:r>
      <w:r w:rsidRPr="4986385C" w:rsidR="4986385C">
        <w:rPr>
          <w:i w:val="1"/>
          <w:iCs w:val="1"/>
          <w:noProof w:val="0"/>
          <w:sz w:val="16"/>
          <w:szCs w:val="16"/>
          <w:lang w:val="en-US"/>
        </w:rPr>
        <w:t>Early China</w:t>
      </w:r>
      <w:r w:rsidRPr="4986385C" w:rsidR="4986385C">
        <w:rPr>
          <w:noProof w:val="0"/>
          <w:sz w:val="16"/>
          <w:szCs w:val="16"/>
          <w:lang w:val="en-US"/>
        </w:rPr>
        <w:t xml:space="preserve"> 20 (1995): 121–76. </w:t>
      </w:r>
      <w:hyperlink r:id="R54c548ddd71d4ec5">
        <w:r w:rsidRPr="4986385C" w:rsidR="4986385C">
          <w:rPr>
            <w:rStyle w:val="Hyperlink"/>
            <w:noProof w:val="0"/>
            <w:sz w:val="16"/>
            <w:szCs w:val="16"/>
            <w:lang w:val="en-US"/>
          </w:rPr>
          <w:t>http://www.jstor.org/stable/23351765</w:t>
        </w:r>
      </w:hyperlink>
      <w:r w:rsidRPr="4986385C" w:rsidR="4986385C">
        <w:rPr>
          <w:noProof w:val="0"/>
          <w:sz w:val="16"/>
          <w:szCs w:val="16"/>
          <w:lang w:val="en-US"/>
        </w:rPr>
        <w:t>.</w:t>
      </w:r>
    </w:p>
    <w:p w:rsidR="4986385C" w:rsidP="4986385C" w:rsidRDefault="4986385C" w14:paraId="636BB2A9" w14:textId="46031AFA">
      <w:pPr>
        <w:pStyle w:val="FootnoteText"/>
        <w:bidi w:val="0"/>
        <w:rPr>
          <w:sz w:val="20"/>
          <w:szCs w:val="20"/>
        </w:rPr>
      </w:pPr>
    </w:p>
  </w:footnote>
  <w:footnote w:id="12085">
    <w:p w:rsidR="4986385C" w:rsidP="4986385C" w:rsidRDefault="4986385C" w14:paraId="0601F1A5" w14:textId="115022D5">
      <w:pPr>
        <w:pStyle w:val="FootnoteText"/>
        <w:bidi w:val="0"/>
      </w:pPr>
      <w:r w:rsidRPr="4986385C">
        <w:rPr>
          <w:rStyle w:val="FootnoteReference"/>
          <w:sz w:val="20"/>
          <w:szCs w:val="20"/>
        </w:rPr>
        <w:footnoteRef/>
      </w:r>
      <w:r w:rsidRPr="4986385C" w:rsidR="4986385C">
        <w:rPr>
          <w:sz w:val="20"/>
          <w:szCs w:val="20"/>
        </w:rPr>
        <w:t xml:space="preserve"> </w:t>
      </w:r>
    </w:p>
  </w:footnote>
  <w:footnote w:id="32761">
    <w:p w:rsidR="4986385C" w:rsidP="4986385C" w:rsidRDefault="4986385C" w14:paraId="47101FD1" w14:textId="35740456">
      <w:pPr>
        <w:pStyle w:val="FootnoteText"/>
        <w:bidi w:val="0"/>
      </w:pPr>
      <w:r w:rsidRPr="4986385C">
        <w:rPr>
          <w:rStyle w:val="FootnoteReference"/>
          <w:sz w:val="20"/>
          <w:szCs w:val="20"/>
        </w:rPr>
        <w:footnoteRef/>
      </w:r>
      <w:r w:rsidRPr="4986385C" w:rsidR="4986385C">
        <w:rPr>
          <w:sz w:val="20"/>
          <w:szCs w:val="20"/>
        </w:rPr>
        <w:t xml:space="preserve"> </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986385C" w:rsidTr="4986385C" w14:paraId="55A7F66E">
      <w:tc>
        <w:tcPr>
          <w:tcW w:w="3120" w:type="dxa"/>
          <w:tcMar/>
        </w:tcPr>
        <w:p w:rsidR="4986385C" w:rsidP="4986385C" w:rsidRDefault="4986385C" w14:paraId="32E4B139" w14:textId="2A1EBB9B">
          <w:pPr>
            <w:pStyle w:val="Header"/>
            <w:bidi w:val="0"/>
            <w:ind w:left="-115"/>
            <w:jc w:val="left"/>
          </w:pPr>
        </w:p>
      </w:tc>
      <w:tc>
        <w:tcPr>
          <w:tcW w:w="3120" w:type="dxa"/>
          <w:tcMar/>
        </w:tcPr>
        <w:p w:rsidR="4986385C" w:rsidP="4986385C" w:rsidRDefault="4986385C" w14:paraId="079D7B95" w14:textId="7C16A438">
          <w:pPr>
            <w:pStyle w:val="Header"/>
            <w:bidi w:val="0"/>
            <w:jc w:val="center"/>
          </w:pPr>
        </w:p>
      </w:tc>
      <w:tc>
        <w:tcPr>
          <w:tcW w:w="3120" w:type="dxa"/>
          <w:tcMar/>
        </w:tcPr>
        <w:p w:rsidR="4986385C" w:rsidP="4986385C" w:rsidRDefault="4986385C" w14:paraId="0EC28022" w14:textId="4A7F554D">
          <w:pPr>
            <w:pStyle w:val="Header"/>
            <w:bidi w:val="0"/>
            <w:ind w:right="-115"/>
            <w:jc w:val="right"/>
          </w:pPr>
        </w:p>
      </w:tc>
    </w:tr>
  </w:tbl>
  <w:p w:rsidR="4986385C" w:rsidP="4986385C" w:rsidRDefault="4986385C" w14:paraId="3A67A247" w14:textId="43DA034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5FF03A"/>
    <w:rsid w:val="39C08E92"/>
    <w:rsid w:val="425FF03A"/>
    <w:rsid w:val="4986385C"/>
    <w:rsid w:val="5C942105"/>
    <w:rsid w:val="633771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FF03A"/>
  <w15:chartTrackingRefBased/>
  <w15:docId w15:val="{27AEC02F-0518-490E-A07F-3A5AD0A369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9df6412f08e84f14" /><Relationship Type="http://schemas.openxmlformats.org/officeDocument/2006/relationships/header" Target="/word/header.xml" Id="Rb72ad01666224541" /><Relationship Type="http://schemas.openxmlformats.org/officeDocument/2006/relationships/footer" Target="/word/footer.xml" Id="Rcf8162477d564a70" /></Relationships>
</file>

<file path=word/_rels/footnotes.xml.rels>&#65279;<?xml version="1.0" encoding="utf-8"?><Relationships xmlns="http://schemas.openxmlformats.org/package/2006/relationships"><Relationship Type="http://schemas.openxmlformats.org/officeDocument/2006/relationships/hyperlink" Target="https://theconversation.com/profiles/duane-w-hamacher-98016." TargetMode="External" Id="R3f752029dc334663" /><Relationship Type="http://schemas.openxmlformats.org/officeDocument/2006/relationships/hyperlink" Target="https://theconversation.com/profiles/duane-w-hamacher-98016." TargetMode="External" Id="R53132b75b7584a76" /><Relationship Type="http://schemas.openxmlformats.org/officeDocument/2006/relationships/hyperlink" Target="https://www.atnf.csiro.au/people/Ray.Norris/outreach/informal_bio.htm" TargetMode="External" Id="R6319548f877c42fa" /><Relationship Type="http://schemas.openxmlformats.org/officeDocument/2006/relationships/hyperlink" Target="https://www.atnf.csiro.au/people/Ray.Norris/outreach/informal_bio.htm" TargetMode="External" Id="R46bd71488f364587" /><Relationship Type="http://schemas.openxmlformats.org/officeDocument/2006/relationships/hyperlink" Target="http://www.jstor.org/stable/j.ctt46ntzq.8" TargetMode="External" Id="Rfedf242de6454c7d" /><Relationship Type="http://schemas.openxmlformats.org/officeDocument/2006/relationships/hyperlink" Target="https://doi.org/10.1007/978-1-4020-6639-9_9" TargetMode="External" Id="R6c9011ac73d644ef" /><Relationship Type="http://schemas.openxmlformats.org/officeDocument/2006/relationships/hyperlink" Target="https://www.jstor.org/stable/10.5406/dialjmormthou.54.2.0001" TargetMode="External" Id="R63b65a199a554683" /><Relationship Type="http://schemas.openxmlformats.org/officeDocument/2006/relationships/hyperlink" Target="http://www.jstor.org/stable/23351765" TargetMode="External" Id="R54c548ddd71d4ec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2021-10-20T13:31:09.2921774Z</dcterms:created>
  <dcterms:modified xsi:type="dcterms:W3CDTF">2021-10-28T16:13:16.9275009Z</dcterms:modified>
  <dc:creator>Leon Hicks</dc:creator>
  <lastModifiedBy>Leon Hicks</lastModifiedBy>
</coreProperties>
</file>