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As the IT Security Manager for FinSecure Ltd, I understand how important it is to protect our financial services from changing cyber threats. Recent security issues, such as phishing attacks and unauthorised access attempts, highlight the need for a solid security policy. This policy should tackle both internal and external weaknesses. It aims to strengthen our defences, meet regulatory requirements, protect sensitive client data, and create a culture of security awareness within the organisation. This approach will help us maintain trust and integrity in our operations.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It is crucial to fully understand the potential internal and external threats that could jeopardise our organisation’s security. Both internal and external threats are constantly evolving, driven by technological advancements and ever-changing attack vectors. These mainly include: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sz w:val="26"/>
          <w:szCs w:val="26"/>
          <w:u w:val="single"/>
        </w:rPr>
      </w:pPr>
      <w:r w:rsidDel="00000000" w:rsidR="00000000" w:rsidRPr="00000000">
        <w:rPr>
          <w:sz w:val="26"/>
          <w:szCs w:val="26"/>
          <w:u w:val="single"/>
          <w:rtl w:val="0"/>
        </w:rPr>
        <w:t xml:space="preserve">Internal</w:t>
      </w:r>
    </w:p>
    <w:p w:rsidR="00000000" w:rsidDel="00000000" w:rsidP="00000000" w:rsidRDefault="00000000" w:rsidRPr="00000000" w14:paraId="00000006">
      <w:pPr>
        <w:rPr/>
      </w:pPr>
      <w:r w:rsidDel="00000000" w:rsidR="00000000" w:rsidRPr="00000000">
        <w:rPr>
          <w:rtl w:val="0"/>
        </w:rPr>
        <w:t xml:space="preserve">These are cyber threats that come from within an organisation, normally involving authorised users who have access to the organisation’s network and data. These include:</w:t>
      </w:r>
    </w:p>
    <w:p w:rsidR="00000000" w:rsidDel="00000000" w:rsidP="00000000" w:rsidRDefault="00000000" w:rsidRPr="00000000" w14:paraId="00000007">
      <w:pPr>
        <w:numPr>
          <w:ilvl w:val="0"/>
          <w:numId w:val="2"/>
        </w:numPr>
        <w:ind w:left="720" w:hanging="360"/>
        <w:rPr>
          <w:u w:val="none"/>
        </w:rPr>
      </w:pPr>
      <w:r w:rsidDel="00000000" w:rsidR="00000000" w:rsidRPr="00000000">
        <w:rPr>
          <w:rtl w:val="0"/>
        </w:rPr>
        <w:t xml:space="preserve">Insider attacks: These happen when employees, whether intentionally or not, harm an organisation's systems or data. For instance, a disgruntled employee may purposefully damage systems to create downtime or prevent the organisation from operating. Alternatively, the worker might steal and share sensitive information, which could be more costly than system downtime[1].</w:t>
      </w:r>
    </w:p>
    <w:p w:rsidR="00000000" w:rsidDel="00000000" w:rsidP="00000000" w:rsidRDefault="00000000" w:rsidRPr="00000000" w14:paraId="00000008">
      <w:pPr>
        <w:numPr>
          <w:ilvl w:val="0"/>
          <w:numId w:val="2"/>
        </w:numPr>
        <w:ind w:left="720" w:hanging="360"/>
        <w:rPr>
          <w:u w:val="none"/>
        </w:rPr>
      </w:pPr>
      <w:r w:rsidDel="00000000" w:rsidR="00000000" w:rsidRPr="00000000">
        <w:rPr>
          <w:rtl w:val="0"/>
        </w:rPr>
        <w:t xml:space="preserve">Accidental data breaches: These occur when employees accidentally expose sensitive data, like sending an email to the wrong person or failing to secure a device with sensitive information. It’s important to provide training to help employees understand data security's significance[1].</w:t>
      </w:r>
    </w:p>
    <w:p w:rsidR="00000000" w:rsidDel="00000000" w:rsidP="00000000" w:rsidRDefault="00000000" w:rsidRPr="00000000" w14:paraId="00000009">
      <w:pPr>
        <w:numPr>
          <w:ilvl w:val="0"/>
          <w:numId w:val="2"/>
        </w:numPr>
        <w:ind w:left="720" w:hanging="360"/>
        <w:rPr>
          <w:u w:val="none"/>
        </w:rPr>
      </w:pPr>
      <w:r w:rsidDel="00000000" w:rsidR="00000000" w:rsidRPr="00000000">
        <w:rPr>
          <w:rtl w:val="0"/>
        </w:rPr>
        <w:t xml:space="preserve">Poor password management: Weak or easily guessed passwords can put an organisation's security at risk. For example, an employee might use the same password for several accounts, leading to a widespread breach of multiple systems[1].</w:t>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Privilege abuse: It occurs when authorised users take advantage of their higher access rights to engage in harmful activities or actions that are not allowed within an organisation's information systems. This threat can show up as data theft, unauthorised data changes, system sabotage, or the installation of harmful software. It often originates from insider threats or stolen user credentials[2].</w:t>
      </w:r>
    </w:p>
    <w:p w:rsidR="00000000" w:rsidDel="00000000" w:rsidP="00000000" w:rsidRDefault="00000000" w:rsidRPr="00000000" w14:paraId="0000000B">
      <w:pPr>
        <w:numPr>
          <w:ilvl w:val="0"/>
          <w:numId w:val="2"/>
        </w:numPr>
        <w:ind w:left="720" w:hanging="360"/>
        <w:rPr>
          <w:u w:val="none"/>
        </w:rPr>
      </w:pPr>
      <w:r w:rsidDel="00000000" w:rsidR="00000000" w:rsidRPr="00000000">
        <w:rPr>
          <w:rtl w:val="0"/>
        </w:rPr>
        <w:t xml:space="preserve">Negligent behaviour: This refers to employees who disregard data security policies and protocols, engaging in high-risk behaviour, therefore, leading to a potential data incident.</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sz w:val="26"/>
          <w:szCs w:val="26"/>
          <w:u w:val="single"/>
        </w:rPr>
      </w:pPr>
      <w:r w:rsidDel="00000000" w:rsidR="00000000" w:rsidRPr="00000000">
        <w:rPr>
          <w:sz w:val="26"/>
          <w:szCs w:val="26"/>
          <w:u w:val="single"/>
          <w:rtl w:val="0"/>
        </w:rPr>
        <w:t xml:space="preserve">External</w:t>
      </w:r>
    </w:p>
    <w:p w:rsidR="00000000" w:rsidDel="00000000" w:rsidP="00000000" w:rsidRDefault="00000000" w:rsidRPr="00000000" w14:paraId="0000000E">
      <w:pPr>
        <w:rPr/>
      </w:pPr>
      <w:r w:rsidDel="00000000" w:rsidR="00000000" w:rsidRPr="00000000">
        <w:rPr>
          <w:rtl w:val="0"/>
        </w:rPr>
        <w:t xml:space="preserve">These are cyber threats that originate from outside the organisation and involve individuals who do not normally have any form of access to the organisation’s network and data. These include:</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Phishing Attacks: Cybercriminals use fake emails and websites to trick users into giving away sensitive information like login details or financial data. This leads to unauthorised access and data breaches [3]. For example, phishing campaigns have risen during the COVID-19 pandemic, particularly targeting financial institutions and remote workers [4].</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Ransomware: Malicious software encrypts critical data and demands ransom payments for decryption keys. This disrupts business operations and results in financial loss [5]. Notable incidents include the WannaCry attack, which impacted thousands of organisations worldwide [6].</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Distributed Denial of Service (DDoS): Attackers overwhelm target servers with excessive internet traffic to make services unavailable. This affects online banking and financial services [7]. Recent DDoS attacks have targeted major financial institutions, leading to service outages [8].</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Insider Threats: At times, some external threats may originate from within the organisation, i.e. inside agents. These individuals work on behalf of an external group to carry out malicious actions, knowingly or unknowingly, e.g. the inside agents at Twitter(now X) who fell prey to social engineering [9].</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sz w:val="34"/>
          <w:szCs w:val="34"/>
          <w:u w:val="single"/>
        </w:rPr>
      </w:pPr>
      <w:r w:rsidDel="00000000" w:rsidR="00000000" w:rsidRPr="00000000">
        <w:rPr>
          <w:sz w:val="34"/>
          <w:szCs w:val="34"/>
          <w:u w:val="single"/>
          <w:rtl w:val="0"/>
        </w:rPr>
        <w:t xml:space="preserve">Security Policy</w:t>
      </w:r>
    </w:p>
    <w:p w:rsidR="00000000" w:rsidDel="00000000" w:rsidP="00000000" w:rsidRDefault="00000000" w:rsidRPr="00000000" w14:paraId="00000016">
      <w:pPr>
        <w:rPr>
          <w:sz w:val="26"/>
          <w:szCs w:val="26"/>
        </w:rPr>
      </w:pPr>
      <w:r w:rsidDel="00000000" w:rsidR="00000000" w:rsidRPr="00000000">
        <w:rPr>
          <w:sz w:val="26"/>
          <w:szCs w:val="26"/>
          <w:rtl w:val="0"/>
        </w:rPr>
        <w:t xml:space="preserve">Purpose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purpose of this policy is to guide all employees of FinSecure Ltd and its subsidiaries, contractors, and 3rd party vendors on what would be acceptable Computer and Internet-related practices.</w:t>
      </w:r>
    </w:p>
    <w:p w:rsidR="00000000" w:rsidDel="00000000" w:rsidP="00000000" w:rsidRDefault="00000000" w:rsidRPr="00000000" w14:paraId="00000019">
      <w:pPr>
        <w:numPr>
          <w:ilvl w:val="0"/>
          <w:numId w:val="3"/>
        </w:numPr>
        <w:ind w:left="720" w:hanging="360"/>
        <w:rPr>
          <w:u w:val="none"/>
        </w:rPr>
      </w:pPr>
      <w:r w:rsidDel="00000000" w:rsidR="00000000" w:rsidRPr="00000000">
        <w:rPr>
          <w:rtl w:val="0"/>
        </w:rPr>
        <w:t xml:space="preserve">Access Control: Access to sensitive data and critical systems will be granted based on the least privilege principle. This ensures users only have access necessary for their roles [10]. Multi-factor authentication (MFA) will be required for all remote and privileged access points, following NIST guidelines [11]. Regular audits will verify the appropriateness of access rights.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numPr>
          <w:ilvl w:val="0"/>
          <w:numId w:val="3"/>
        </w:numPr>
        <w:ind w:left="720" w:hanging="360"/>
        <w:rPr>
          <w:u w:val="none"/>
        </w:rPr>
      </w:pPr>
      <w:r w:rsidDel="00000000" w:rsidR="00000000" w:rsidRPr="00000000">
        <w:rPr>
          <w:rtl w:val="0"/>
        </w:rPr>
        <w:t xml:space="preserve">Network Security: The organisation will use firewalls, intrusion detection and prevention systems (IDS/IPS), and encrypted Virtual Private Networks (VPNs) to secure internal and external communications ([12]. All network devices must be patched and updated regularly according to vendor advisories to prevent exploiting vulnerabilities.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3"/>
        </w:numPr>
        <w:ind w:left="720" w:hanging="360"/>
        <w:rPr>
          <w:u w:val="none"/>
        </w:rPr>
      </w:pPr>
      <w:r w:rsidDel="00000000" w:rsidR="00000000" w:rsidRPr="00000000">
        <w:rPr>
          <w:rtl w:val="0"/>
        </w:rPr>
        <w:t xml:space="preserve">Data Protection: Sensitive client and operational data will be encrypted both at rest and in transit using standards such as AES-256 and TLS 1.2 or higher [13]. Data backups will be performed daily, stored securely offsite, and tested quarterly to ensure data integrity and availability, following ISO/IEC 27001.</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3"/>
        </w:numPr>
        <w:ind w:left="720" w:hanging="360"/>
        <w:rPr>
          <w:u w:val="none"/>
        </w:rPr>
      </w:pPr>
      <w:r w:rsidDel="00000000" w:rsidR="00000000" w:rsidRPr="00000000">
        <w:rPr>
          <w:rtl w:val="0"/>
        </w:rPr>
        <w:t xml:space="preserve">Incident Management: An incident response plan will be maintained, detailing roles, escalation procedures, and communication channels. Employees will receive annual training on recognising and reporting security incidents. Regular incident simulations will test responsiveness [14].</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3"/>
        </w:numPr>
        <w:ind w:left="720" w:hanging="360"/>
        <w:rPr>
          <w:u w:val="none"/>
        </w:rPr>
      </w:pPr>
      <w:r w:rsidDel="00000000" w:rsidR="00000000" w:rsidRPr="00000000">
        <w:rPr>
          <w:rtl w:val="0"/>
        </w:rPr>
        <w:t xml:space="preserve">Employee Awareness: Continuous cybersecurity awareness programs will educate staff on social engineering, phishing, and safe data handling practices [15]. Phishing simulation exercises will take place twice a year.</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numPr>
          <w:ilvl w:val="0"/>
          <w:numId w:val="3"/>
        </w:numPr>
        <w:ind w:left="720" w:hanging="360"/>
        <w:rPr>
          <w:u w:val="none"/>
        </w:rPr>
      </w:pPr>
      <w:r w:rsidDel="00000000" w:rsidR="00000000" w:rsidRPr="00000000">
        <w:rPr>
          <w:rtl w:val="0"/>
        </w:rPr>
        <w:t xml:space="preserve">Third-party Risk Management: Vendor and partner security assessments will be conducted each year, including compliance with SOC 2 or ISO/IEC 27001 standards. Contractual agreements will specify security requirements, and ongoing monitoring will help reduce supply chain threats [16].</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numPr>
          <w:ilvl w:val="0"/>
          <w:numId w:val="3"/>
        </w:numPr>
        <w:ind w:left="720" w:hanging="360"/>
        <w:rPr>
          <w:u w:val="none"/>
        </w:rPr>
      </w:pPr>
      <w:r w:rsidDel="00000000" w:rsidR="00000000" w:rsidRPr="00000000">
        <w:rPr>
          <w:rtl w:val="0"/>
        </w:rPr>
        <w:t xml:space="preserve">Compliance: The organization will comply with applicable regulations such as GDPR, PCI DSS, and AML laws. Regular audits and documentation will ensure ongoing compliance, which helps minimize legal and financial risks [17].</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This policy will be reviewed annually and updated to address new threats and regulatory changes.</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sz w:val="34"/>
          <w:szCs w:val="34"/>
          <w:u w:val="single"/>
        </w:rPr>
      </w:pPr>
      <w:r w:rsidDel="00000000" w:rsidR="00000000" w:rsidRPr="00000000">
        <w:rPr>
          <w:sz w:val="34"/>
          <w:szCs w:val="34"/>
          <w:u w:val="single"/>
          <w:rtl w:val="0"/>
        </w:rPr>
        <w:t xml:space="preserve">Mitigation Measures</w:t>
      </w:r>
    </w:p>
    <w:p w:rsidR="00000000" w:rsidDel="00000000" w:rsidP="00000000" w:rsidRDefault="00000000" w:rsidRPr="00000000" w14:paraId="0000002B">
      <w:pPr>
        <w:rPr>
          <w:sz w:val="34"/>
          <w:szCs w:val="34"/>
          <w:u w:val="single"/>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Though we aim to prevent every possible cyber threat posed to our organisation, and want to believe that our policies and protocols would achieve that, we should attempt to mitigate any identified threats we come across. Hence, we should do the following.</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Phishing Prevention: Conduct mandatory annual security awareness training to educate employees on recognising phishing emails, malicious links, and suspicious attachments. Focus on best practices for email verification and cautious data handling [18]. Supplement the training with simulated phishing campaigns to assess employee awareness and identify areas for improvement. Use advanced email filtering solutions with sandboxing features to detect and block malicious attachments and URLs before they reach users. This reduces the chances of successful phishing attacks [19]. Regularly update and adjust these filters based on new threats to keep them effective.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Insider Threat Mitigation: Enforce the principle of least privilege by regularly reviewing user access rights. Ensure employees have only the permissions they need for their roles. Implement role-based access controls (RBAC) to simplify and standardise permission management. Add multi-factor authentication (MFA) for access to critical systems, providing an extra layer of security against credential theft [20]. Use user activity monitoring and logging tools to analyse behaviour for suspicious activities and generate alerts for potential insider threats. Conduct occasional audits of user activities and access logs to quickly identify and respond to any irregularities.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Data Breach Prevention: Encrypt all sensitive data at rest using AES-256 encryption standards. Enforce TLS 1.2 or higher for data in transit. This ensures confidentiality for both storage and communication channels [21]. Implement strict access controls using role-based permissions and multi-factor authentication to limit data exposure. Conduct regular vulnerability assessments and penetration testing to find security gaps. Apply patches and updates quickly based on vendor advisories and security alerts. Establish a vulnerability management program that prioritises fixing issues to minimise exploitable weaknesses.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Malware Defence: Deploy advanced endpoint protection solutions with real-time scanning, automatic updates, and behaviour-based detection to identify and block malicious activities [22]. Enable automatic patch management for operating systems and applications to address known vulnerabilities. Implement network segmentation to isolate sensitive assets and critical infrastructure. This reduces the attack surface and prevents malware from spreading within the network. Configure intrusion detection and prevention systems (IDS/IPS) to monitor network traffic and alert security teams to potential malware activities.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Incident Response Preparedness: Develop and document a detailed incident response plan that defines roles, responsibilities, escalation procedures, and communication channels. Conduct quarterly tabletop exercises and simulation drills to test and improve response effectiveness, making sure all personnel know their roles during an incident [23]. Establish a dedicated incident response team and keep communication templates and reporting procedures to ensure quick action during real incidents. Regular training and review of the plan are essential to respond to evolving threats and changes within the organisation.</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sz w:val="34"/>
          <w:szCs w:val="34"/>
        </w:rPr>
      </w:pPr>
      <w:r w:rsidDel="00000000" w:rsidR="00000000" w:rsidRPr="00000000">
        <w:rPr>
          <w:sz w:val="34"/>
          <w:szCs w:val="34"/>
          <w:rtl w:val="0"/>
        </w:rPr>
        <w:t xml:space="preserve">Monitoring and Response</w:t>
      </w:r>
    </w:p>
    <w:p w:rsidR="00000000" w:rsidDel="00000000" w:rsidP="00000000" w:rsidRDefault="00000000" w:rsidRPr="00000000" w14:paraId="0000003A">
      <w:pPr>
        <w:rPr>
          <w:sz w:val="34"/>
          <w:szCs w:val="34"/>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To ensure safe network usage and protection from data incidents, as well as responding effectively if any incidents occur, we follow these.</w:t>
      </w:r>
      <w:r w:rsidDel="00000000" w:rsidR="00000000" w:rsidRPr="00000000">
        <w:rPr>
          <w:rtl w:val="0"/>
        </w:rPr>
      </w:r>
    </w:p>
    <w:p w:rsidR="00000000" w:rsidDel="00000000" w:rsidP="00000000" w:rsidRDefault="00000000" w:rsidRPr="00000000" w14:paraId="0000003C">
      <w:pPr>
        <w:numPr>
          <w:ilvl w:val="0"/>
          <w:numId w:val="4"/>
        </w:numPr>
        <w:ind w:left="720" w:hanging="360"/>
        <w:rPr>
          <w:u w:val="none"/>
        </w:rPr>
      </w:pPr>
      <w:r w:rsidDel="00000000" w:rsidR="00000000" w:rsidRPr="00000000">
        <w:rPr>
          <w:rtl w:val="0"/>
        </w:rPr>
        <w:t xml:space="preserve">Deploy SIEM System: Implement a Security Information and Event Management (SIEM) solution that aggregates logs from firewalls, IDS/IPS, servers, and endpoints to enable real-time analysis and correlation of security events [24].</w:t>
      </w:r>
    </w:p>
    <w:p w:rsidR="00000000" w:rsidDel="00000000" w:rsidP="00000000" w:rsidRDefault="00000000" w:rsidRPr="00000000" w14:paraId="0000003D">
      <w:pPr>
        <w:numPr>
          <w:ilvl w:val="0"/>
          <w:numId w:val="4"/>
        </w:numPr>
        <w:ind w:left="720" w:hanging="360"/>
        <w:rPr>
          <w:u w:val="none"/>
        </w:rPr>
      </w:pPr>
      <w:r w:rsidDel="00000000" w:rsidR="00000000" w:rsidRPr="00000000">
        <w:rPr>
          <w:rtl w:val="0"/>
        </w:rPr>
        <w:t xml:space="preserve">Continuous Traffic Monitoring: Use intrusion detection systems (IDS) and anomaly detection tools to monitor network traffic for unusual patterns indicative of threats such as malware, lateral movement, or data exfiltration [25].</w:t>
      </w:r>
    </w:p>
    <w:p w:rsidR="00000000" w:rsidDel="00000000" w:rsidP="00000000" w:rsidRDefault="00000000" w:rsidRPr="00000000" w14:paraId="0000003E">
      <w:pPr>
        <w:numPr>
          <w:ilvl w:val="0"/>
          <w:numId w:val="4"/>
        </w:numPr>
        <w:ind w:left="720" w:hanging="360"/>
        <w:rPr>
          <w:u w:val="none"/>
        </w:rPr>
      </w:pPr>
      <w:r w:rsidDel="00000000" w:rsidR="00000000" w:rsidRPr="00000000">
        <w:rPr>
          <w:rtl w:val="0"/>
        </w:rPr>
        <w:t xml:space="preserve">Automated Alerting: Configure alert mechanisms within SIEM and monitoring tools to notify the Security Incident Response Team (SIRT) immediately upon detection of suspicious activity, ensuring rapid response.</w:t>
      </w:r>
    </w:p>
    <w:p w:rsidR="00000000" w:rsidDel="00000000" w:rsidP="00000000" w:rsidRDefault="00000000" w:rsidRPr="00000000" w14:paraId="0000003F">
      <w:pPr>
        <w:numPr>
          <w:ilvl w:val="0"/>
          <w:numId w:val="4"/>
        </w:numPr>
        <w:ind w:left="720" w:hanging="360"/>
        <w:rPr>
          <w:u w:val="none"/>
        </w:rPr>
      </w:pPr>
      <w:r w:rsidDel="00000000" w:rsidR="00000000" w:rsidRPr="00000000">
        <w:rPr>
          <w:rtl w:val="0"/>
        </w:rPr>
        <w:t xml:space="preserve">Structured Incident Response Framework: Establish a dedicated SIRT trained to follow the NIST SP 800-61 (Rev. 2) framework, encompassing phases like preparation, detection, containment, eradication, recovery, and lessons learned [26].</w:t>
      </w:r>
    </w:p>
    <w:p w:rsidR="00000000" w:rsidDel="00000000" w:rsidP="00000000" w:rsidRDefault="00000000" w:rsidRPr="00000000" w14:paraId="00000040">
      <w:pPr>
        <w:numPr>
          <w:ilvl w:val="0"/>
          <w:numId w:val="4"/>
        </w:numPr>
        <w:ind w:left="720" w:hanging="360"/>
        <w:rPr>
          <w:u w:val="none"/>
        </w:rPr>
      </w:pPr>
      <w:r w:rsidDel="00000000" w:rsidR="00000000" w:rsidRPr="00000000">
        <w:rPr>
          <w:rtl w:val="0"/>
        </w:rPr>
        <w:t xml:space="preserve">Clear Escalation Procedures: Define roles, responsibilities, and escalation paths for severe incidents, ensuring swift escalation and coordination during critical events.</w:t>
      </w:r>
    </w:p>
    <w:p w:rsidR="00000000" w:rsidDel="00000000" w:rsidP="00000000" w:rsidRDefault="00000000" w:rsidRPr="00000000" w14:paraId="00000041">
      <w:pPr>
        <w:numPr>
          <w:ilvl w:val="0"/>
          <w:numId w:val="4"/>
        </w:numPr>
        <w:ind w:left="720" w:hanging="360"/>
        <w:rPr>
          <w:u w:val="none"/>
        </w:rPr>
      </w:pPr>
      <w:r w:rsidDel="00000000" w:rsidR="00000000" w:rsidRPr="00000000">
        <w:rPr>
          <w:rtl w:val="0"/>
        </w:rPr>
        <w:t xml:space="preserve">Regular Drills and Simulations: Conduct tabletop exercises and incident response simulations periodically to test response readiness, improve coordination, and identify gaps [27].</w:t>
      </w:r>
    </w:p>
    <w:p w:rsidR="00000000" w:rsidDel="00000000" w:rsidP="00000000" w:rsidRDefault="00000000" w:rsidRPr="00000000" w14:paraId="00000042">
      <w:pPr>
        <w:numPr>
          <w:ilvl w:val="0"/>
          <w:numId w:val="4"/>
        </w:numPr>
        <w:ind w:left="720" w:hanging="360"/>
        <w:rPr>
          <w:u w:val="none"/>
        </w:rPr>
      </w:pPr>
      <w:r w:rsidDel="00000000" w:rsidR="00000000" w:rsidRPr="00000000">
        <w:rPr>
          <w:rtl w:val="0"/>
        </w:rPr>
        <w:t xml:space="preserve">Endpoint Detection and Response (EDR): Deploy EDR solutions for continuous monitoring of endpoint activities, enabling quick containment of compromised devices and facilitating forensic analysis.</w:t>
      </w:r>
    </w:p>
    <w:p w:rsidR="00000000" w:rsidDel="00000000" w:rsidP="00000000" w:rsidRDefault="00000000" w:rsidRPr="00000000" w14:paraId="00000043">
      <w:pPr>
        <w:numPr>
          <w:ilvl w:val="0"/>
          <w:numId w:val="4"/>
        </w:numPr>
        <w:ind w:left="720" w:hanging="360"/>
        <w:rPr>
          <w:u w:val="none"/>
        </w:rPr>
      </w:pPr>
      <w:r w:rsidDel="00000000" w:rsidR="00000000" w:rsidRPr="00000000">
        <w:rPr>
          <w:rtl w:val="0"/>
        </w:rPr>
        <w:t xml:space="preserve">Incident Documentation: Maintain detailed logs of all incidents to support forensic investigations, root cause analysis, and reporting.</w:t>
      </w:r>
    </w:p>
    <w:p w:rsidR="00000000" w:rsidDel="00000000" w:rsidP="00000000" w:rsidRDefault="00000000" w:rsidRPr="00000000" w14:paraId="00000044">
      <w:pPr>
        <w:numPr>
          <w:ilvl w:val="0"/>
          <w:numId w:val="4"/>
        </w:numPr>
        <w:ind w:left="720" w:hanging="360"/>
        <w:rPr>
          <w:u w:val="none"/>
        </w:rPr>
      </w:pPr>
      <w:r w:rsidDel="00000000" w:rsidR="00000000" w:rsidRPr="00000000">
        <w:rPr>
          <w:rtl w:val="0"/>
        </w:rPr>
        <w:t xml:space="preserve">Post-Incident Review: Analyse root causes, evaluate response effectiveness, and update policies, controls, and defences based on lessons learned to enhance future security posture.</w:t>
      </w:r>
    </w:p>
    <w:p w:rsidR="00000000" w:rsidDel="00000000" w:rsidP="00000000" w:rsidRDefault="00000000" w:rsidRPr="00000000" w14:paraId="00000045">
      <w:pPr>
        <w:numPr>
          <w:ilvl w:val="0"/>
          <w:numId w:val="4"/>
        </w:numPr>
        <w:ind w:left="720" w:hanging="360"/>
        <w:rPr>
          <w:u w:val="none"/>
        </w:rPr>
      </w:pPr>
      <w:r w:rsidDel="00000000" w:rsidR="00000000" w:rsidRPr="00000000">
        <w:rPr>
          <w:rtl w:val="0"/>
        </w:rPr>
        <w:t xml:space="preserve">Regulatory Compliance: Integrate compliance requirements from GDPR, PCI DSS, and ISO/IEC 27001 into monitoring and response processes to ensure legal adherence and data protection [28].</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Staff Training Program</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To ensure compliance with the new security policies at FSL, all staff, old or new, must complete the staff training program. This program is set to help all employees identify risks and dangers whilst maintaining safety and confidentiality while at our organisation.</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program starts with an onboarding module for new employees. This module offers a detailed overview of the organisation’s security policies, acceptable use guidelines, data handling procedures, and the importance of security compliance. It uses interactive e-learning modules and quizzes to reinforce the material [18]. Regular refresher training sessions should take place bi-annually. These sessions will address emerging threats such as phishing, social engineering, and malware. They should highlight real-world examples and recent incident case studies to reinforce best practices [15].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Practical simulation exercises, like phishing email simulations and incident response drills, should occur quarterly. These exercises will evaluate staff readiness, identify gaps, and improve response capabilities [29]. Specialised training for staff with access to sensitive data or critical systems should cover security procedures such as multi-factor authentication (MFA), secure password management, and protocols for reporting suspicious activities [30].</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program should also feature regular communication channels like newsletters and alerts to inform staff about new threats, policy changes, and security tips. Additionally, staff should acknowledge security policies every year. They will sign attestations confirming their understanding and compliance. A dedicated security awareness team will monitor participation, conduct assessments, and provide targeted training for employees showing vulnerabilities or compliance issues.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Finally, leadership and management must show commitment by participating in training initiatives, setting a security-conscious tone, and enforcing accountability. This multi-layered approach helps ensure that staff stay informed, vigilant, and in line with FSL’s security policies. This, in turn, reduces the chances of security breaches due to human error.</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References</w:t>
      </w:r>
    </w:p>
    <w:p w:rsidR="00000000" w:rsidDel="00000000" w:rsidP="00000000" w:rsidRDefault="00000000" w:rsidRPr="00000000" w14:paraId="00000077">
      <w:pPr>
        <w:rPr/>
      </w:pPr>
      <w:r w:rsidDel="00000000" w:rsidR="00000000" w:rsidRPr="00000000">
        <w:rPr>
          <w:rtl w:val="0"/>
        </w:rPr>
        <w:t xml:space="preserve">[1] WithSecure, “External and Internal Threats | WithSecure,” www.withsecure.com, Apr. 24, 2023. [Online]. Available: </w:t>
      </w:r>
      <w:hyperlink r:id="rId6">
        <w:r w:rsidDel="00000000" w:rsidR="00000000" w:rsidRPr="00000000">
          <w:rPr>
            <w:color w:val="1155cc"/>
            <w:u w:val="single"/>
            <w:rtl w:val="0"/>
          </w:rPr>
          <w:t xml:space="preserve">https://www.withsecure.com/en/expertise/blog-posts/external-and-internal-threats</w:t>
        </w:r>
      </w:hyperlink>
      <w:r w:rsidDel="00000000" w:rsidR="00000000" w:rsidRPr="00000000">
        <w:rPr>
          <w:rtl w:val="0"/>
        </w:rPr>
        <w:t xml:space="preserve">. Accessed on July 20 2025.</w:t>
      </w:r>
    </w:p>
    <w:p w:rsidR="00000000" w:rsidDel="00000000" w:rsidP="00000000" w:rsidRDefault="00000000" w:rsidRPr="00000000" w14:paraId="00000078">
      <w:pPr>
        <w:rPr/>
      </w:pPr>
      <w:r w:rsidDel="00000000" w:rsidR="00000000" w:rsidRPr="00000000">
        <w:rPr>
          <w:rtl w:val="0"/>
        </w:rPr>
        <w:t xml:space="preserve">[2] S. Smith, "Insider threats and privilege abuse," IEEE Dependable Syst. Lett., vol. 20, no. 1, pp. 45-58, 2019. Accessed on July 20 2025.</w:t>
      </w:r>
    </w:p>
    <w:p w:rsidR="00000000" w:rsidDel="00000000" w:rsidP="00000000" w:rsidRDefault="00000000" w:rsidRPr="00000000" w14:paraId="00000079">
      <w:pPr>
        <w:rPr/>
      </w:pPr>
      <w:r w:rsidDel="00000000" w:rsidR="00000000" w:rsidRPr="00000000">
        <w:rPr>
          <w:rtl w:val="0"/>
        </w:rPr>
        <w:t xml:space="preserve">‌[3] Kaspersky, "Phishing Attacks Rise During Pandemic," Kaspersky, 2023. [Online]. Available: </w:t>
      </w:r>
      <w:hyperlink r:id="rId7">
        <w:r w:rsidDel="00000000" w:rsidR="00000000" w:rsidRPr="00000000">
          <w:rPr>
            <w:color w:val="1155cc"/>
            <w:u w:val="single"/>
            <w:rtl w:val="0"/>
          </w:rPr>
          <w:t xml:space="preserve">https://www.kaspersky.com/about/press-releases/2023/phishing-attacks-increase-pandemic</w:t>
        </w:r>
      </w:hyperlink>
      <w:r w:rsidDel="00000000" w:rsidR="00000000" w:rsidRPr="00000000">
        <w:rPr>
          <w:rtl w:val="0"/>
        </w:rPr>
        <w:t xml:space="preserve">. Accessed on July 20 2025.</w:t>
      </w:r>
    </w:p>
    <w:p w:rsidR="00000000" w:rsidDel="00000000" w:rsidP="00000000" w:rsidRDefault="00000000" w:rsidRPr="00000000" w14:paraId="0000007A">
      <w:pPr>
        <w:rPr/>
      </w:pPr>
      <w:r w:rsidDel="00000000" w:rsidR="00000000" w:rsidRPr="00000000">
        <w:rPr>
          <w:rtl w:val="0"/>
        </w:rPr>
        <w:t xml:space="preserve">[4] Symantec, "Cyber Threat Report 2022," Symantec, 2022. [Online]. Available: </w:t>
      </w:r>
      <w:hyperlink r:id="rId8">
        <w:r w:rsidDel="00000000" w:rsidR="00000000" w:rsidRPr="00000000">
          <w:rPr>
            <w:color w:val="1155cc"/>
            <w:u w:val="single"/>
            <w:rtl w:val="0"/>
          </w:rPr>
          <w:t xml:space="preserve">https://symantec.com/blogs/threat-intelligence/cyber-threat-report-2022</w:t>
        </w:r>
      </w:hyperlink>
      <w:r w:rsidDel="00000000" w:rsidR="00000000" w:rsidRPr="00000000">
        <w:rPr>
          <w:rtl w:val="0"/>
        </w:rPr>
        <w:t xml:space="preserve">. Accessed on July 20 2025.</w:t>
      </w:r>
    </w:p>
    <w:p w:rsidR="00000000" w:rsidDel="00000000" w:rsidP="00000000" w:rsidRDefault="00000000" w:rsidRPr="00000000" w14:paraId="0000007B">
      <w:pPr>
        <w:rPr/>
      </w:pPr>
      <w:r w:rsidDel="00000000" w:rsidR="00000000" w:rsidRPr="00000000">
        <w:rPr>
          <w:rtl w:val="0"/>
        </w:rPr>
        <w:t xml:space="preserve">[5] Sophos, "Ransomware Trends 2023," Sophos, 2023. [Online]. Available: </w:t>
      </w:r>
      <w:hyperlink r:id="rId9">
        <w:r w:rsidDel="00000000" w:rsidR="00000000" w:rsidRPr="00000000">
          <w:rPr>
            <w:color w:val="1155cc"/>
            <w:u w:val="single"/>
            <w:rtl w:val="0"/>
          </w:rPr>
          <w:t xml:space="preserve">https://www.sophos.com/en-us/press/2023/02/ransomware-trends-2023.aspx</w:t>
        </w:r>
      </w:hyperlink>
      <w:r w:rsidDel="00000000" w:rsidR="00000000" w:rsidRPr="00000000">
        <w:rPr>
          <w:rtl w:val="0"/>
        </w:rPr>
        <w:t xml:space="preserve">. Accessed on July 20 2025.</w:t>
      </w:r>
    </w:p>
    <w:p w:rsidR="00000000" w:rsidDel="00000000" w:rsidP="00000000" w:rsidRDefault="00000000" w:rsidRPr="00000000" w14:paraId="0000007C">
      <w:pPr>
        <w:rPr/>
      </w:pPr>
      <w:r w:rsidDel="00000000" w:rsidR="00000000" w:rsidRPr="00000000">
        <w:rPr>
          <w:rtl w:val="0"/>
        </w:rPr>
        <w:t xml:space="preserve">[6] Europol, "WannaCry Ransomware Attack," Europol, 2017. [Online]. Available: </w:t>
      </w:r>
      <w:hyperlink r:id="rId10">
        <w:r w:rsidDel="00000000" w:rsidR="00000000" w:rsidRPr="00000000">
          <w:rPr>
            <w:color w:val="1155cc"/>
            <w:u w:val="single"/>
            <w:rtl w:val="0"/>
          </w:rPr>
          <w:t xml:space="preserve">https://www.europol.europa.eu/newsroom/news/wannacry-ransomware-attack</w:t>
        </w:r>
      </w:hyperlink>
      <w:r w:rsidDel="00000000" w:rsidR="00000000" w:rsidRPr="00000000">
        <w:rPr>
          <w:rtl w:val="0"/>
        </w:rPr>
        <w:t xml:space="preserve">. Accessed on July 20 2025.</w:t>
      </w:r>
    </w:p>
    <w:p w:rsidR="00000000" w:rsidDel="00000000" w:rsidP="00000000" w:rsidRDefault="00000000" w:rsidRPr="00000000" w14:paraId="0000007D">
      <w:pPr>
        <w:rPr/>
      </w:pPr>
      <w:r w:rsidDel="00000000" w:rsidR="00000000" w:rsidRPr="00000000">
        <w:rPr>
          <w:rtl w:val="0"/>
        </w:rPr>
        <w:t xml:space="preserve">[7] Cloudflare, "DDoS Attack Trends," Cloudflare, 2023. [Online]. Available: </w:t>
      </w:r>
      <w:hyperlink r:id="rId11">
        <w:r w:rsidDel="00000000" w:rsidR="00000000" w:rsidRPr="00000000">
          <w:rPr>
            <w:color w:val="1155cc"/>
            <w:u w:val="single"/>
            <w:rtl w:val="0"/>
          </w:rPr>
          <w:t xml:space="preserve">https://blog.cloudflare.com/ddos-attack-trends-2023/</w:t>
        </w:r>
      </w:hyperlink>
      <w:r w:rsidDel="00000000" w:rsidR="00000000" w:rsidRPr="00000000">
        <w:rPr>
          <w:rtl w:val="0"/>
        </w:rPr>
        <w:t xml:space="preserve">. Accessed on July 20 2025.</w:t>
      </w:r>
    </w:p>
    <w:p w:rsidR="00000000" w:rsidDel="00000000" w:rsidP="00000000" w:rsidRDefault="00000000" w:rsidRPr="00000000" w14:paraId="0000007E">
      <w:pPr>
        <w:rPr/>
      </w:pPr>
      <w:r w:rsidDel="00000000" w:rsidR="00000000" w:rsidRPr="00000000">
        <w:rPr>
          <w:rtl w:val="0"/>
        </w:rPr>
        <w:t xml:space="preserve">[8] Imperva, "DDoS Attacks in 2022," Imperva, 2022. [Online]. Available: </w:t>
      </w:r>
      <w:hyperlink r:id="rId12">
        <w:r w:rsidDel="00000000" w:rsidR="00000000" w:rsidRPr="00000000">
          <w:rPr>
            <w:color w:val="1155cc"/>
            <w:u w:val="single"/>
            <w:rtl w:val="0"/>
          </w:rPr>
          <w:t xml:space="preserve">https://www.imperva.com/blog/ddos-attacks-2022/</w:t>
        </w:r>
      </w:hyperlink>
      <w:r w:rsidDel="00000000" w:rsidR="00000000" w:rsidRPr="00000000">
        <w:rPr>
          <w:rtl w:val="0"/>
        </w:rPr>
        <w:t xml:space="preserve">. Accessed on July 20 2025.</w:t>
      </w:r>
    </w:p>
    <w:p w:rsidR="00000000" w:rsidDel="00000000" w:rsidP="00000000" w:rsidRDefault="00000000" w:rsidRPr="00000000" w14:paraId="0000007F">
      <w:pPr>
        <w:rPr/>
      </w:pPr>
      <w:r w:rsidDel="00000000" w:rsidR="00000000" w:rsidRPr="00000000">
        <w:rPr>
          <w:rtl w:val="0"/>
        </w:rPr>
        <w:t xml:space="preserve">[9] A. Simpson, “11 Real-Life Insider Threat Examples | Cyber Threats,” Mimecast, Jan. 16, 2025. [Online]. Available: </w:t>
      </w:r>
      <w:hyperlink r:id="rId13">
        <w:r w:rsidDel="00000000" w:rsidR="00000000" w:rsidRPr="00000000">
          <w:rPr>
            <w:color w:val="1155cc"/>
            <w:u w:val="single"/>
            <w:rtl w:val="0"/>
          </w:rPr>
          <w:t xml:space="preserve">https://www.mimecast.com/blog/insider-threat-examples/</w:t>
        </w:r>
      </w:hyperlink>
      <w:r w:rsidDel="00000000" w:rsidR="00000000" w:rsidRPr="00000000">
        <w:rPr>
          <w:rtl w:val="0"/>
        </w:rPr>
        <w:t xml:space="preserve">. Accessed on July 20 2025</w:t>
      </w:r>
    </w:p>
    <w:p w:rsidR="00000000" w:rsidDel="00000000" w:rsidP="00000000" w:rsidRDefault="00000000" w:rsidRPr="00000000" w14:paraId="00000080">
      <w:pPr>
        <w:rPr/>
      </w:pPr>
      <w:r w:rsidDel="00000000" w:rsidR="00000000" w:rsidRPr="00000000">
        <w:rPr>
          <w:rtl w:val="0"/>
        </w:rPr>
        <w:t xml:space="preserve">‌[10] ISO/IEC 27001, "Information Security Management Systems — Requirements," International Organization for Standardization, 2013. Accessed on July 20 2025</w:t>
      </w:r>
    </w:p>
    <w:p w:rsidR="00000000" w:rsidDel="00000000" w:rsidP="00000000" w:rsidRDefault="00000000" w:rsidRPr="00000000" w14:paraId="00000081">
      <w:pPr>
        <w:rPr/>
      </w:pPr>
      <w:r w:rsidDel="00000000" w:rsidR="00000000" w:rsidRPr="00000000">
        <w:rPr>
          <w:rtl w:val="0"/>
        </w:rPr>
        <w:t xml:space="preserve">[11] National Institute of Standards and Technology, "Digital Identity Guidelines," NIST Special Publication 800-63-3, 2020. Accessed on July 20 2025</w:t>
      </w:r>
    </w:p>
    <w:p w:rsidR="00000000" w:rsidDel="00000000" w:rsidP="00000000" w:rsidRDefault="00000000" w:rsidRPr="00000000" w14:paraId="00000082">
      <w:pPr>
        <w:rPr/>
      </w:pPr>
      <w:r w:rsidDel="00000000" w:rsidR="00000000" w:rsidRPr="00000000">
        <w:rPr>
          <w:rtl w:val="0"/>
        </w:rPr>
        <w:t xml:space="preserve">[12] Cisco, "Network Security Best Practices," Cisco Systems, 2023. [Online]. Available: </w:t>
      </w:r>
      <w:hyperlink r:id="rId14">
        <w:r w:rsidDel="00000000" w:rsidR="00000000" w:rsidRPr="00000000">
          <w:rPr>
            <w:color w:val="1155cc"/>
            <w:u w:val="single"/>
            <w:rtl w:val="0"/>
          </w:rPr>
          <w:t xml:space="preserve">https://www.cisco.com/</w:t>
        </w:r>
      </w:hyperlink>
      <w:r w:rsidDel="00000000" w:rsidR="00000000" w:rsidRPr="00000000">
        <w:rPr>
          <w:rtl w:val="0"/>
        </w:rPr>
        <w:t xml:space="preserve">. Accessed on July 20 2025</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[13] OWASP Foundation, "Transport Layer Security (TLS)," OWASP, 2023. [Online]. Available: </w:t>
      </w:r>
      <w:hyperlink r:id="rId15">
        <w:r w:rsidDel="00000000" w:rsidR="00000000" w:rsidRPr="00000000">
          <w:rPr>
            <w:color w:val="1155cc"/>
            <w:u w:val="single"/>
            <w:rtl w:val="0"/>
          </w:rPr>
          <w:t xml:space="preserve">https://owasp.org/</w:t>
        </w:r>
      </w:hyperlink>
      <w:r w:rsidDel="00000000" w:rsidR="00000000" w:rsidRPr="00000000">
        <w:rPr>
          <w:rtl w:val="0"/>
        </w:rPr>
        <w:t xml:space="preserve">. Accessed on July 20 2025</w:t>
      </w:r>
    </w:p>
    <w:p w:rsidR="00000000" w:rsidDel="00000000" w:rsidP="00000000" w:rsidRDefault="00000000" w:rsidRPr="00000000" w14:paraId="00000084">
      <w:pPr>
        <w:rPr/>
      </w:pPr>
      <w:r w:rsidDel="00000000" w:rsidR="00000000" w:rsidRPr="00000000">
        <w:rPr>
          <w:rtl w:val="0"/>
        </w:rPr>
        <w:t xml:space="preserve">[14] National Institute of Standards and Technology, "Computer Security Incident Handling Guide," NIST Special Publication 800-61 Revision 2, 2018. Accessed on July 20 2025</w:t>
      </w:r>
    </w:p>
    <w:p w:rsidR="00000000" w:rsidDel="00000000" w:rsidP="00000000" w:rsidRDefault="00000000" w:rsidRPr="00000000" w14:paraId="00000085">
      <w:pPr>
        <w:rPr/>
      </w:pPr>
      <w:r w:rsidDel="00000000" w:rsidR="00000000" w:rsidRPr="00000000">
        <w:rPr>
          <w:rtl w:val="0"/>
        </w:rPr>
        <w:t xml:space="preserve">[15] Cybersecurity &amp; Infrastructure Security Agency, "Security Awareness Training," CISA, 2023. [Online]. Available: </w:t>
      </w:r>
      <w:hyperlink r:id="rId16">
        <w:r w:rsidDel="00000000" w:rsidR="00000000" w:rsidRPr="00000000">
          <w:rPr>
            <w:color w:val="1155cc"/>
            <w:u w:val="single"/>
            <w:rtl w:val="0"/>
          </w:rPr>
          <w:t xml:space="preserve">https://www.cisa.gov/</w:t>
        </w:r>
      </w:hyperlink>
      <w:r w:rsidDel="00000000" w:rsidR="00000000" w:rsidRPr="00000000">
        <w:rPr>
          <w:rtl w:val="0"/>
        </w:rPr>
        <w:t xml:space="preserve">. Accessed on July 20 2025</w:t>
      </w:r>
    </w:p>
    <w:p w:rsidR="00000000" w:rsidDel="00000000" w:rsidP="00000000" w:rsidRDefault="00000000" w:rsidRPr="00000000" w14:paraId="00000086">
      <w:pPr>
        <w:rPr/>
      </w:pPr>
      <w:r w:rsidDel="00000000" w:rsidR="00000000" w:rsidRPr="00000000">
        <w:rPr>
          <w:rtl w:val="0"/>
        </w:rPr>
        <w:t xml:space="preserve">[16] Deloitte, "Third-party Risk Management," Deloitte Insights, 2023. [Online]. Available: </w:t>
      </w:r>
      <w:hyperlink r:id="rId17">
        <w:r w:rsidDel="00000000" w:rsidR="00000000" w:rsidRPr="00000000">
          <w:rPr>
            <w:color w:val="1155cc"/>
            <w:u w:val="single"/>
            <w:rtl w:val="0"/>
          </w:rPr>
          <w:t xml:space="preserve">https://www2.deloitte.com/</w:t>
        </w:r>
      </w:hyperlink>
      <w:r w:rsidDel="00000000" w:rsidR="00000000" w:rsidRPr="00000000">
        <w:rPr>
          <w:rtl w:val="0"/>
        </w:rPr>
        <w:t xml:space="preserve">. Accessed on July 20 2025</w:t>
      </w:r>
    </w:p>
    <w:p w:rsidR="00000000" w:rsidDel="00000000" w:rsidP="00000000" w:rsidRDefault="00000000" w:rsidRPr="00000000" w14:paraId="00000087">
      <w:pPr>
        <w:rPr/>
      </w:pPr>
      <w:r w:rsidDel="00000000" w:rsidR="00000000" w:rsidRPr="00000000">
        <w:rPr>
          <w:rtl w:val="0"/>
        </w:rPr>
        <w:t xml:space="preserve">[17] European Union, "General Data Protection Regulation (GDPR)," Regulation (EU) 2016/679, 2018. Accessed on July 20 2025</w:t>
      </w:r>
    </w:p>
    <w:p w:rsidR="00000000" w:rsidDel="00000000" w:rsidP="00000000" w:rsidRDefault="00000000" w:rsidRPr="00000000" w14:paraId="00000088">
      <w:pPr>
        <w:rPr/>
      </w:pPr>
      <w:r w:rsidDel="00000000" w:rsidR="00000000" w:rsidRPr="00000000">
        <w:rPr>
          <w:rtl w:val="0"/>
        </w:rPr>
        <w:t xml:space="preserve">[18] CISA, "Security Awareness Training," CISA, 2023. [Online]. Available: </w:t>
      </w:r>
      <w:hyperlink r:id="rId18">
        <w:r w:rsidDel="00000000" w:rsidR="00000000" w:rsidRPr="00000000">
          <w:rPr>
            <w:color w:val="1155cc"/>
            <w:u w:val="single"/>
            <w:rtl w:val="0"/>
          </w:rPr>
          <w:t xml:space="preserve">https://www.cisa.gov/</w:t>
        </w:r>
      </w:hyperlink>
      <w:r w:rsidDel="00000000" w:rsidR="00000000" w:rsidRPr="00000000">
        <w:rPr>
          <w:rtl w:val="0"/>
        </w:rPr>
        <w:t xml:space="preserve">. Accessed on July 20 2025</w:t>
      </w:r>
    </w:p>
    <w:p w:rsidR="00000000" w:rsidDel="00000000" w:rsidP="00000000" w:rsidRDefault="00000000" w:rsidRPr="00000000" w14:paraId="00000089">
      <w:pPr>
        <w:rPr/>
      </w:pPr>
      <w:r w:rsidDel="00000000" w:rsidR="00000000" w:rsidRPr="00000000">
        <w:rPr>
          <w:rtl w:val="0"/>
        </w:rPr>
        <w:t xml:space="preserve">[19] Cisco, "Network Security Best Practices," Cisco Systems, 2023. [Online]. Available: </w:t>
      </w:r>
      <w:hyperlink r:id="rId19">
        <w:r w:rsidDel="00000000" w:rsidR="00000000" w:rsidRPr="00000000">
          <w:rPr>
            <w:color w:val="1155cc"/>
            <w:u w:val="single"/>
            <w:rtl w:val="0"/>
          </w:rPr>
          <w:t xml:space="preserve">https://www.cisco.com/</w:t>
        </w:r>
      </w:hyperlink>
      <w:r w:rsidDel="00000000" w:rsidR="00000000" w:rsidRPr="00000000">
        <w:rPr>
          <w:rtl w:val="0"/>
        </w:rPr>
        <w:t xml:space="preserve">. Accessed on July 20 2025</w:t>
      </w:r>
    </w:p>
    <w:p w:rsidR="00000000" w:rsidDel="00000000" w:rsidP="00000000" w:rsidRDefault="00000000" w:rsidRPr="00000000" w14:paraId="0000008A">
      <w:pPr>
        <w:rPr/>
      </w:pPr>
      <w:r w:rsidDel="00000000" w:rsidR="00000000" w:rsidRPr="00000000">
        <w:rPr>
          <w:rtl w:val="0"/>
        </w:rPr>
        <w:t xml:space="preserve">[20] NIST, "Digital Identity Guidelines," NIST SP 800-63-3, 2020. Accessed on July 20 2025</w:t>
      </w:r>
    </w:p>
    <w:p w:rsidR="00000000" w:rsidDel="00000000" w:rsidP="00000000" w:rsidRDefault="00000000" w:rsidRPr="00000000" w14:paraId="0000008B">
      <w:pPr>
        <w:rPr/>
      </w:pPr>
      <w:r w:rsidDel="00000000" w:rsidR="00000000" w:rsidRPr="00000000">
        <w:rPr>
          <w:rtl w:val="0"/>
        </w:rPr>
        <w:t xml:space="preserve">[21] OWASP, "Transport Layer Security (TLS)," OWASP Foundation, 2023. [Online]. Available: </w:t>
      </w:r>
      <w:hyperlink r:id="rId20">
        <w:r w:rsidDel="00000000" w:rsidR="00000000" w:rsidRPr="00000000">
          <w:rPr>
            <w:color w:val="1155cc"/>
            <w:u w:val="single"/>
            <w:rtl w:val="0"/>
          </w:rPr>
          <w:t xml:space="preserve">https://owasp.org/</w:t>
        </w:r>
      </w:hyperlink>
      <w:r w:rsidDel="00000000" w:rsidR="00000000" w:rsidRPr="00000000">
        <w:rPr>
          <w:rtl w:val="0"/>
        </w:rPr>
        <w:t xml:space="preserve">. Accessed on July 20 2025</w:t>
      </w:r>
    </w:p>
    <w:p w:rsidR="00000000" w:rsidDel="00000000" w:rsidP="00000000" w:rsidRDefault="00000000" w:rsidRPr="00000000" w14:paraId="0000008C">
      <w:pPr>
        <w:rPr/>
      </w:pPr>
      <w:r w:rsidDel="00000000" w:rsidR="00000000" w:rsidRPr="00000000">
        <w:rPr>
          <w:rtl w:val="0"/>
        </w:rPr>
        <w:t xml:space="preserve">[22] Deloitte, "Third-party Risk Management," Deloitte Insights, 2023. [Online]. Available: </w:t>
      </w:r>
      <w:hyperlink r:id="rId21">
        <w:r w:rsidDel="00000000" w:rsidR="00000000" w:rsidRPr="00000000">
          <w:rPr>
            <w:color w:val="1155cc"/>
            <w:u w:val="single"/>
            <w:rtl w:val="0"/>
          </w:rPr>
          <w:t xml:space="preserve">https://www2.deloitte.com/</w:t>
        </w:r>
      </w:hyperlink>
      <w:r w:rsidDel="00000000" w:rsidR="00000000" w:rsidRPr="00000000">
        <w:rPr>
          <w:rtl w:val="0"/>
        </w:rPr>
        <w:t xml:space="preserve">. Accessed on July 20 2025</w:t>
      </w:r>
    </w:p>
    <w:p w:rsidR="00000000" w:rsidDel="00000000" w:rsidP="00000000" w:rsidRDefault="00000000" w:rsidRPr="00000000" w14:paraId="0000008D">
      <w:pPr>
        <w:rPr/>
      </w:pPr>
      <w:r w:rsidDel="00000000" w:rsidR="00000000" w:rsidRPr="00000000">
        <w:rPr>
          <w:rtl w:val="0"/>
        </w:rPr>
        <w:t xml:space="preserve">[23] NIST, "Computer Security Incident Handling Guide," NIST SP 800-61 Rev. 2, 2018. Accessed on July 20 2025</w:t>
      </w:r>
    </w:p>
    <w:p w:rsidR="00000000" w:rsidDel="00000000" w:rsidP="00000000" w:rsidRDefault="00000000" w:rsidRPr="00000000" w14:paraId="0000008E">
      <w:pPr>
        <w:rPr/>
      </w:pPr>
      <w:r w:rsidDel="00000000" w:rsidR="00000000" w:rsidRPr="00000000">
        <w:rPr>
          <w:rtl w:val="0"/>
        </w:rPr>
        <w:t xml:space="preserve">[24] NIST, "Computer Security Incident Handling Guide," NIST Special Publication 800-61 Rev. 2, 2018. Accessed on July 21 2025</w:t>
      </w:r>
    </w:p>
    <w:p w:rsidR="00000000" w:rsidDel="00000000" w:rsidP="00000000" w:rsidRDefault="00000000" w:rsidRPr="00000000" w14:paraId="0000008F">
      <w:pPr>
        <w:rPr/>
      </w:pPr>
      <w:r w:rsidDel="00000000" w:rsidR="00000000" w:rsidRPr="00000000">
        <w:rPr>
          <w:rtl w:val="0"/>
        </w:rPr>
        <w:t xml:space="preserve">[25] Cisco, "Network Security Monitoring," Cisco Systems, 2023. [Online]. Available: </w:t>
      </w:r>
      <w:hyperlink r:id="rId22">
        <w:r w:rsidDel="00000000" w:rsidR="00000000" w:rsidRPr="00000000">
          <w:rPr>
            <w:color w:val="1155cc"/>
            <w:u w:val="single"/>
            <w:rtl w:val="0"/>
          </w:rPr>
          <w:t xml:space="preserve">https://www.cisco.com/</w:t>
        </w:r>
      </w:hyperlink>
      <w:r w:rsidDel="00000000" w:rsidR="00000000" w:rsidRPr="00000000">
        <w:rPr>
          <w:rtl w:val="0"/>
        </w:rPr>
        <w:t xml:space="preserve">. Accessed on July 21 2025</w:t>
      </w:r>
    </w:p>
    <w:p w:rsidR="00000000" w:rsidDel="00000000" w:rsidP="00000000" w:rsidRDefault="00000000" w:rsidRPr="00000000" w14:paraId="00000090">
      <w:pPr>
        <w:rPr/>
      </w:pPr>
      <w:r w:rsidDel="00000000" w:rsidR="00000000" w:rsidRPr="00000000">
        <w:rPr>
          <w:rtl w:val="0"/>
        </w:rPr>
        <w:t xml:space="preserve">[26] FEMA, "Tabletop Exercises," FEMA, 2022. [Online]. Available: </w:t>
      </w:r>
      <w:hyperlink r:id="rId23">
        <w:r w:rsidDel="00000000" w:rsidR="00000000" w:rsidRPr="00000000">
          <w:rPr>
            <w:color w:val="1155cc"/>
            <w:u w:val="single"/>
            <w:rtl w:val="0"/>
          </w:rPr>
          <w:t xml:space="preserve">https://www.fema.gov/</w:t>
        </w:r>
      </w:hyperlink>
      <w:r w:rsidDel="00000000" w:rsidR="00000000" w:rsidRPr="00000000">
        <w:rPr>
          <w:rtl w:val="0"/>
        </w:rPr>
        <w:t xml:space="preserve">. Accessed on July 21 2025</w:t>
      </w:r>
    </w:p>
    <w:p w:rsidR="00000000" w:rsidDel="00000000" w:rsidP="00000000" w:rsidRDefault="00000000" w:rsidRPr="00000000" w14:paraId="00000091">
      <w:pPr>
        <w:rPr/>
      </w:pPr>
      <w:r w:rsidDel="00000000" w:rsidR="00000000" w:rsidRPr="00000000">
        <w:rPr>
          <w:rtl w:val="0"/>
        </w:rPr>
        <w:t xml:space="preserve">[27] ISO/IEC 27001, "Information Security Management Systems — Requirements," ISO, 2013. Accessed on July 21 2025.</w:t>
      </w:r>
    </w:p>
    <w:p w:rsidR="00000000" w:rsidDel="00000000" w:rsidP="00000000" w:rsidRDefault="00000000" w:rsidRPr="00000000" w14:paraId="00000092">
      <w:pPr>
        <w:rPr/>
      </w:pPr>
      <w:r w:rsidDel="00000000" w:rsidR="00000000" w:rsidRPr="00000000">
        <w:rPr>
          <w:rtl w:val="0"/>
        </w:rPr>
        <w:t xml:space="preserve">[28] PCI SSC, "Payment Card Industry Data Security Standard (PCI DSS) v4.0," PCI Security Standards Council, 2021. Accessed on July 21 2025</w:t>
      </w:r>
    </w:p>
    <w:p w:rsidR="00000000" w:rsidDel="00000000" w:rsidP="00000000" w:rsidRDefault="00000000" w:rsidRPr="00000000" w14:paraId="00000093">
      <w:pPr>
        <w:rPr/>
      </w:pPr>
      <w:r w:rsidDel="00000000" w:rsidR="00000000" w:rsidRPr="00000000">
        <w:rPr>
          <w:rtl w:val="0"/>
        </w:rPr>
        <w:t xml:space="preserve">[29] FEMA, "Tabletop Exercises," FEMA, 2022. [Online]. Available: https://www.fema.gov/</w:t>
      </w:r>
    </w:p>
    <w:p w:rsidR="00000000" w:rsidDel="00000000" w:rsidP="00000000" w:rsidRDefault="00000000" w:rsidRPr="00000000" w14:paraId="00000094">
      <w:pPr>
        <w:rPr/>
      </w:pPr>
      <w:r w:rsidDel="00000000" w:rsidR="00000000" w:rsidRPr="00000000">
        <w:rPr>
          <w:rtl w:val="0"/>
        </w:rPr>
        <w:t xml:space="preserve">[30] NIST, "Digital Identity Guidelines," NIST SP 800-63-3, 2020.</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pBdr>
          <w:top w:color="e5e7eb" w:space="0" w:sz="0" w:val="none"/>
          <w:left w:color="e5e7eb" w:space="0" w:sz="0" w:val="none"/>
          <w:bottom w:color="e5e7eb" w:space="0" w:sz="0" w:val="none"/>
          <w:right w:color="e5e7eb" w:space="0" w:sz="0" w:val="none"/>
          <w:between w:color="e5e7eb" w:space="0" w:sz="0" w:val="none"/>
        </w:pBdr>
        <w:spacing w:after="420" w:before="420" w:lineRule="auto"/>
        <w:ind w:left="0"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8">
      <w:pPr>
        <w:pBdr>
          <w:top w:color="e5e7eb" w:space="0" w:sz="0" w:val="none"/>
          <w:left w:color="e5e7eb" w:space="0" w:sz="0" w:val="none"/>
          <w:bottom w:color="e5e7eb" w:space="0" w:sz="0" w:val="none"/>
          <w:right w:color="e5e7eb" w:space="0" w:sz="0" w:val="none"/>
          <w:between w:color="e5e7eb" w:space="0" w:sz="0" w:val="none"/>
        </w:pBd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owasp.org/" TargetMode="External"/><Relationship Id="rId11" Type="http://schemas.openxmlformats.org/officeDocument/2006/relationships/hyperlink" Target="https://blog.cloudflare.com/ddos-attack-trends-2023/" TargetMode="External"/><Relationship Id="rId22" Type="http://schemas.openxmlformats.org/officeDocument/2006/relationships/hyperlink" Target="https://www.cisco.com/" TargetMode="External"/><Relationship Id="rId10" Type="http://schemas.openxmlformats.org/officeDocument/2006/relationships/hyperlink" Target="https://www.europol.europa.eu/newsroom/news/wannacry-ransomware-attack" TargetMode="External"/><Relationship Id="rId21" Type="http://schemas.openxmlformats.org/officeDocument/2006/relationships/hyperlink" Target="https://www2.deloitte.com/" TargetMode="External"/><Relationship Id="rId13" Type="http://schemas.openxmlformats.org/officeDocument/2006/relationships/hyperlink" Target="https://www.mimecast.com/blog/insider-threat-examples/" TargetMode="External"/><Relationship Id="rId12" Type="http://schemas.openxmlformats.org/officeDocument/2006/relationships/hyperlink" Target="https://www.imperva.com/blog/ddos-attacks-2022/" TargetMode="External"/><Relationship Id="rId23" Type="http://schemas.openxmlformats.org/officeDocument/2006/relationships/hyperlink" Target="https://www.fema.gov/"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ophos.com/en-us/press/2023/02/ransomware-trends-2023.aspx" TargetMode="External"/><Relationship Id="rId15" Type="http://schemas.openxmlformats.org/officeDocument/2006/relationships/hyperlink" Target="https://owasp.org/" TargetMode="External"/><Relationship Id="rId14" Type="http://schemas.openxmlformats.org/officeDocument/2006/relationships/hyperlink" Target="https://www.cisco.com/" TargetMode="External"/><Relationship Id="rId17" Type="http://schemas.openxmlformats.org/officeDocument/2006/relationships/hyperlink" Target="https://www2.deloitte.com/" TargetMode="External"/><Relationship Id="rId16" Type="http://schemas.openxmlformats.org/officeDocument/2006/relationships/hyperlink" Target="https://www.cisa.gov/" TargetMode="External"/><Relationship Id="rId5" Type="http://schemas.openxmlformats.org/officeDocument/2006/relationships/styles" Target="styles.xml"/><Relationship Id="rId19" Type="http://schemas.openxmlformats.org/officeDocument/2006/relationships/hyperlink" Target="https://www.cisco.com/" TargetMode="External"/><Relationship Id="rId6" Type="http://schemas.openxmlformats.org/officeDocument/2006/relationships/hyperlink" Target="https://www.withsecure.com/en/expertise/blog-posts/external-and-internal-threats" TargetMode="External"/><Relationship Id="rId18" Type="http://schemas.openxmlformats.org/officeDocument/2006/relationships/hyperlink" Target="https://www.cisa.gov/" TargetMode="External"/><Relationship Id="rId7" Type="http://schemas.openxmlformats.org/officeDocument/2006/relationships/hyperlink" Target="https://www.kaspersky.com/about/press-releases/2023/phishing-attacks-increase-pandemic" TargetMode="External"/><Relationship Id="rId8" Type="http://schemas.openxmlformats.org/officeDocument/2006/relationships/hyperlink" Target="https://symantec.com/blogs/threat-intelligence/cyber-threat-report-202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