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29850" w14:textId="77777777" w:rsidR="004A7420" w:rsidRDefault="004A7420" w:rsidP="004A7420">
      <w:pPr>
        <w:spacing w:after="0" w:line="240" w:lineRule="auto"/>
        <w:rPr>
          <w:rFonts w:ascii="Times New Roman" w:eastAsia="Times New Roman" w:hAnsi="Times New Roman" w:cs="Times New Roman"/>
          <w:b/>
          <w:bCs/>
          <w:kern w:val="0"/>
          <w:sz w:val="24"/>
          <w:szCs w:val="24"/>
          <w:lang w:eastAsia="en-GB"/>
          <w14:ligatures w14:val="none"/>
        </w:rPr>
      </w:pPr>
      <w:r w:rsidRPr="001703F9">
        <w:rPr>
          <w:rFonts w:ascii="Times New Roman" w:eastAsia="Times New Roman" w:hAnsi="Times New Roman" w:cs="Times New Roman"/>
          <w:b/>
          <w:bCs/>
          <w:kern w:val="0"/>
          <w:sz w:val="24"/>
          <w:szCs w:val="24"/>
          <w:lang w:eastAsia="en-GB"/>
          <w14:ligatures w14:val="none"/>
        </w:rPr>
        <w:t xml:space="preserve">What light do the Welsh law codes shed on virginity, marriage, and divorce in medieval Wales? </w:t>
      </w:r>
    </w:p>
    <w:p w14:paraId="2899F919" w14:textId="77777777" w:rsidR="004A7420" w:rsidRDefault="004A7420" w:rsidP="004A7420">
      <w:pPr>
        <w:spacing w:line="360" w:lineRule="auto"/>
        <w:rPr>
          <w:rFonts w:ascii="Times New Roman" w:hAnsi="Times New Roman" w:cs="Times New Roman"/>
          <w:sz w:val="24"/>
          <w:szCs w:val="24"/>
        </w:rPr>
      </w:pPr>
    </w:p>
    <w:p w14:paraId="35F60B39" w14:textId="0B14C1F0" w:rsidR="004A7420" w:rsidRDefault="004A7420" w:rsidP="004A7420">
      <w:pPr>
        <w:spacing w:line="360" w:lineRule="auto"/>
        <w:ind w:firstLine="720"/>
        <w:rPr>
          <w:rFonts w:ascii="Times New Roman" w:eastAsia="Times New Roman" w:hAnsi="Times New Roman" w:cs="Times New Roman"/>
          <w:kern w:val="0"/>
          <w:sz w:val="24"/>
          <w:szCs w:val="24"/>
          <w:lang w:eastAsia="en-GB"/>
          <w14:ligatures w14:val="none"/>
        </w:rPr>
      </w:pPr>
      <w:r w:rsidRPr="001703F9">
        <w:rPr>
          <w:rFonts w:ascii="Times New Roman" w:eastAsia="Times New Roman" w:hAnsi="Times New Roman" w:cs="Times New Roman"/>
          <w:kern w:val="0"/>
          <w:sz w:val="24"/>
          <w:szCs w:val="24"/>
          <w:lang w:eastAsia="en-GB"/>
          <w14:ligatures w14:val="none"/>
        </w:rPr>
        <w:t>The Welsh law codes, commonly associated with Hywel Dda, were compiled</w:t>
      </w:r>
      <w:r w:rsidR="004C3EB4">
        <w:rPr>
          <w:rFonts w:ascii="Times New Roman" w:eastAsia="Times New Roman" w:hAnsi="Times New Roman" w:cs="Times New Roman"/>
          <w:kern w:val="0"/>
          <w:sz w:val="24"/>
          <w:szCs w:val="24"/>
          <w:lang w:eastAsia="en-GB"/>
          <w14:ligatures w14:val="none"/>
        </w:rPr>
        <w:t xml:space="preserve"> </w:t>
      </w:r>
      <w:r w:rsidRPr="001703F9">
        <w:rPr>
          <w:rFonts w:ascii="Times New Roman" w:eastAsia="Times New Roman" w:hAnsi="Times New Roman" w:cs="Times New Roman"/>
          <w:kern w:val="0"/>
          <w:sz w:val="24"/>
          <w:szCs w:val="24"/>
          <w:lang w:eastAsia="en-GB"/>
          <w14:ligatures w14:val="none"/>
        </w:rPr>
        <w:t xml:space="preserve">in the thirteenth and fourteenth centuries and comprise the </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laws of the court</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 xml:space="preserve"> and the </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laws of the country</w:t>
      </w:r>
      <w:r>
        <w:rPr>
          <w:rFonts w:ascii="Times New Roman" w:eastAsia="Times New Roman" w:hAnsi="Times New Roman" w:cs="Times New Roman"/>
          <w:kern w:val="0"/>
          <w:sz w:val="24"/>
          <w:szCs w:val="24"/>
          <w:lang w:eastAsia="en-GB"/>
          <w14:ligatures w14:val="none"/>
        </w:rPr>
        <w:t>’</w:t>
      </w:r>
      <w:r w:rsidRPr="001703F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These codes are key sources for understanding Welsh medieval society </w:t>
      </w:r>
      <w:r w:rsidRPr="001703F9">
        <w:rPr>
          <w:rFonts w:ascii="Times New Roman" w:eastAsia="Times New Roman" w:hAnsi="Times New Roman" w:cs="Times New Roman"/>
          <w:kern w:val="0"/>
          <w:sz w:val="24"/>
          <w:szCs w:val="24"/>
          <w:lang w:eastAsia="en-GB"/>
          <w14:ligatures w14:val="none"/>
        </w:rPr>
        <w:t>and can shed significant light on the importance of a woman's virginity and her rights during her marriage and divorce.</w:t>
      </w:r>
      <w:r>
        <w:rPr>
          <w:rFonts w:ascii="Times New Roman" w:eastAsia="Times New Roman" w:hAnsi="Times New Roman" w:cs="Times New Roman"/>
          <w:kern w:val="0"/>
          <w:sz w:val="24"/>
          <w:szCs w:val="24"/>
          <w:lang w:eastAsia="en-GB"/>
          <w14:ligatures w14:val="none"/>
        </w:rPr>
        <w:t xml:space="preserve"> These laws and traditions were distinct from those found in England and on the </w:t>
      </w:r>
      <w:r w:rsidRPr="00B220CA">
        <w:rPr>
          <w:rFonts w:ascii="Times New Roman" w:eastAsia="Times New Roman" w:hAnsi="Times New Roman" w:cs="Times New Roman"/>
          <w:kern w:val="0"/>
          <w:sz w:val="24"/>
          <w:szCs w:val="24"/>
          <w:lang w:eastAsia="en-GB"/>
          <w14:ligatures w14:val="none"/>
        </w:rPr>
        <w:t xml:space="preserve">Continent, where women </w:t>
      </w:r>
      <w:r w:rsidR="00904917">
        <w:rPr>
          <w:rFonts w:ascii="Times New Roman" w:eastAsia="Times New Roman" w:hAnsi="Times New Roman" w:cs="Times New Roman"/>
          <w:kern w:val="0"/>
          <w:sz w:val="24"/>
          <w:szCs w:val="24"/>
          <w:lang w:eastAsia="en-GB"/>
          <w14:ligatures w14:val="none"/>
        </w:rPr>
        <w:t xml:space="preserve">appear to have </w:t>
      </w:r>
      <w:r w:rsidR="00553277" w:rsidRPr="00B220CA">
        <w:rPr>
          <w:rFonts w:ascii="Times New Roman" w:eastAsia="Times New Roman" w:hAnsi="Times New Roman" w:cs="Times New Roman"/>
          <w:kern w:val="0"/>
          <w:sz w:val="24"/>
          <w:szCs w:val="24"/>
          <w:lang w:eastAsia="en-GB"/>
          <w14:ligatures w14:val="none"/>
        </w:rPr>
        <w:t>possessed</w:t>
      </w:r>
      <w:r w:rsidRPr="00B220CA">
        <w:rPr>
          <w:rFonts w:ascii="Times New Roman" w:eastAsia="Times New Roman" w:hAnsi="Times New Roman" w:cs="Times New Roman"/>
          <w:kern w:val="0"/>
          <w:sz w:val="24"/>
          <w:szCs w:val="24"/>
          <w:lang w:eastAsia="en-GB"/>
          <w14:ligatures w14:val="none"/>
        </w:rPr>
        <w:t xml:space="preserve"> more limited legal rights and protections.</w:t>
      </w:r>
      <w:r w:rsidRPr="00B220CA">
        <w:rPr>
          <w:rStyle w:val="FootnoteReference"/>
          <w:rFonts w:ascii="Times New Roman" w:eastAsia="Times New Roman" w:hAnsi="Times New Roman" w:cs="Times New Roman"/>
          <w:kern w:val="0"/>
          <w:sz w:val="24"/>
          <w:szCs w:val="24"/>
          <w:lang w:eastAsia="en-GB"/>
          <w14:ligatures w14:val="none"/>
        </w:rPr>
        <w:footnoteReference w:id="1"/>
      </w:r>
    </w:p>
    <w:p w14:paraId="1B902516" w14:textId="12808ABE" w:rsidR="002E1AF7" w:rsidRDefault="002E1AF7" w:rsidP="002E1AF7">
      <w:pPr>
        <w:spacing w:line="360" w:lineRule="auto"/>
        <w:rPr>
          <w:rFonts w:ascii="Times New Roman" w:hAnsi="Times New Roman" w:cs="Times New Roman"/>
          <w:sz w:val="24"/>
          <w:szCs w:val="24"/>
        </w:rPr>
      </w:pPr>
      <w:r w:rsidRPr="002E1AF7">
        <w:rPr>
          <w:rFonts w:ascii="Times New Roman" w:hAnsi="Times New Roman" w:cs="Times New Roman"/>
          <w:sz w:val="24"/>
          <w:szCs w:val="24"/>
        </w:rPr>
        <w:t>The Welsh law codes reveal the significant legal and economic importance attached to female virginity in medieval Welsh society. Through provisions such as amobr, the payment owed to a woman’s lord when she lost her virginity, the law formally recognised and regulated a woman’s sexual status.</w:t>
      </w:r>
      <w:r w:rsidR="0022007B" w:rsidRPr="0022007B">
        <w:rPr>
          <w:rStyle w:val="FootnoteReference"/>
          <w:rFonts w:ascii="Times New Roman" w:hAnsi="Times New Roman" w:cs="Times New Roman"/>
          <w:sz w:val="24"/>
          <w:szCs w:val="24"/>
        </w:rPr>
        <w:t xml:space="preserve"> </w:t>
      </w:r>
      <w:r w:rsidR="0022007B">
        <w:rPr>
          <w:rStyle w:val="FootnoteReference"/>
          <w:rFonts w:ascii="Times New Roman" w:hAnsi="Times New Roman" w:cs="Times New Roman"/>
          <w:sz w:val="24"/>
          <w:szCs w:val="24"/>
        </w:rPr>
        <w:footnoteReference w:id="2"/>
      </w:r>
      <w:r w:rsidR="0022007B">
        <w:rPr>
          <w:rFonts w:ascii="Times New Roman" w:hAnsi="Times New Roman" w:cs="Times New Roman"/>
          <w:sz w:val="24"/>
          <w:szCs w:val="24"/>
        </w:rPr>
        <w:t xml:space="preserve"> </w:t>
      </w:r>
      <w:r w:rsidRPr="002E1AF7">
        <w:rPr>
          <w:rFonts w:ascii="Times New Roman" w:hAnsi="Times New Roman" w:cs="Times New Roman"/>
          <w:sz w:val="24"/>
          <w:szCs w:val="24"/>
        </w:rPr>
        <w:t xml:space="preserve"> The codes also addressed accusations of false virginity and outlined tests or ordeals used to verify a woman’s chastity. These measures reflect the wider social concern with reputation, inheritance, and the legitimacy of heirs, particularly among elite families. Although the law codes granted women certain legal rights and protections, they also demonstrate how female sexuality was closely monitored within a male-dominated social and legal framework.</w:t>
      </w:r>
    </w:p>
    <w:p w14:paraId="2587284C" w14:textId="61498083" w:rsidR="0018462A" w:rsidRPr="002E1AF7" w:rsidRDefault="0018462A" w:rsidP="002E1AF7">
      <w:pPr>
        <w:spacing w:line="360" w:lineRule="auto"/>
        <w:rPr>
          <w:rFonts w:ascii="Times New Roman" w:eastAsia="Times New Roman" w:hAnsi="Times New Roman" w:cs="Times New Roman"/>
          <w:kern w:val="0"/>
          <w:sz w:val="28"/>
          <w:szCs w:val="28"/>
          <w:lang w:eastAsia="en-GB"/>
          <w14:ligatures w14:val="none"/>
        </w:rPr>
      </w:pPr>
      <w:r>
        <w:t xml:space="preserve">The medieval Welsh law codes provide valuable insight into the distinctive nature of marriage and divorce in Wales. Unlike much of medieval Christian Europe, where marriage was treated as an indissoluble religious union, Welsh law recognised divorce as a legitimate and regulated process. This reflects a more contractual understanding of marriage, viewed as an alliance between families that could be dissolved under certain conditions. Significantly, both men and women could initiate divorce, with women able to leave marriages in cases such as abuse, neglect, or infidelity. The law also ensured a degree of fairness in separation by setting out detailed rules for the division of property. Women were entitled to reclaim their dowries and personal possessions, providing them with economic security after divorce. These provisions highlight a legal system concerned with practicality, balance, and social stability. Overall, the </w:t>
      </w:r>
      <w:r>
        <w:lastRenderedPageBreak/>
        <w:t>Welsh law codes reveal a society that acknowledged the realities of marital breakdown and sought to manage it through clear and structured legal principles.</w:t>
      </w:r>
    </w:p>
    <w:p w14:paraId="4B4E1C38" w14:textId="40F43B6B" w:rsidR="00D44826" w:rsidRPr="00D44826" w:rsidRDefault="00D44826" w:rsidP="00D44826">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D44826">
        <w:rPr>
          <w:rFonts w:ascii="Times New Roman" w:eastAsia="Times New Roman" w:hAnsi="Times New Roman" w:cs="Times New Roman"/>
          <w:kern w:val="0"/>
          <w:sz w:val="24"/>
          <w:szCs w:val="24"/>
          <w:lang w:eastAsia="en-GB"/>
          <w14:ligatures w14:val="none"/>
        </w:rPr>
        <w:t>In medieval Wales, marriage was governed by a legal framework that balanced family, social, and individual interests, providing women with rights and protections uncommon in contemporary Europe. The Welsh law codes recognised diverse forms of marriage, reflecting practical social realities, and granted women control over property they brought into the union. Beyond economic provisions, women were entitled to maintenance, protection from mistreatment, and the ability to participate in legal and economic transactions. Marriage was thus not only a personal or domestic relationship but a structured legal and social alliance in which women retained agency, security, and formal recognition under the law.</w:t>
      </w:r>
    </w:p>
    <w:p w14:paraId="59256829" w14:textId="77777777" w:rsidR="00553277" w:rsidRPr="009D1659" w:rsidRDefault="00553277" w:rsidP="009D1659">
      <w:pPr>
        <w:spacing w:line="360" w:lineRule="auto"/>
        <w:rPr>
          <w:rFonts w:ascii="Times New Roman" w:hAnsi="Times New Roman" w:cs="Times New Roman"/>
          <w:sz w:val="24"/>
          <w:szCs w:val="24"/>
        </w:rPr>
      </w:pPr>
    </w:p>
    <w:p w14:paraId="571C9697" w14:textId="200E4C19" w:rsidR="009D1659" w:rsidRDefault="009D1659" w:rsidP="00904917">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Welsh law codes provide significant insight into how medieval Welsh society viewed virginity. For example, one passage from a translated version of the law codes states: ‘every woman is entitled to go wherever she may wish since there will be no car-return and nothing is due from her except her amobr’.</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This passage indicates that a woman’s virginity had economic value, because the amobr represented the lord’s financial interest in her sexual status. Amobr was the payment owed to the woman’s lord when she lost her virginity through cohabitation, rape, or marriage. The amount of amobr owed was fixed in the law codes and varied according to social rank. Who made the payment would depend upon the type of union, and as it was a payment tied to the loss of virginity, it was generally only paid once.</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The inclusion of amobr in the Welsh law codes indicates that the lords had a stake in, and authority over the intimate lives of their female tenants or dependents. The payment provided the lords a direct financial benefit from a woman’s sexual activity, which links her personal behaviour to wider systems of economic control</w:t>
      </w:r>
      <w:r w:rsidR="00553277">
        <w:rPr>
          <w:rFonts w:ascii="Times New Roman" w:hAnsi="Times New Roman" w:cs="Times New Roman"/>
          <w:sz w:val="24"/>
          <w:szCs w:val="24"/>
        </w:rPr>
        <w:t>. A</w:t>
      </w:r>
      <w:r>
        <w:rPr>
          <w:rFonts w:ascii="Times New Roman" w:hAnsi="Times New Roman" w:cs="Times New Roman"/>
          <w:sz w:val="24"/>
          <w:szCs w:val="24"/>
        </w:rPr>
        <w:t xml:space="preserve"> woman’s family would keep her in close proximity to male relatives up until the </w:t>
      </w:r>
      <w:r w:rsidRPr="006F56A2">
        <w:rPr>
          <w:rFonts w:ascii="Times New Roman" w:hAnsi="Times New Roman" w:cs="Times New Roman"/>
          <w:sz w:val="24"/>
          <w:szCs w:val="24"/>
        </w:rPr>
        <w:t>‘oed iddi ei rhoddi i wr (age for her to be given to a man)’.</w:t>
      </w:r>
      <w:r w:rsidRPr="006F56A2">
        <w:rPr>
          <w:rFonts w:ascii="Times New Roman" w:hAnsi="Times New Roman" w:cs="Times New Roman"/>
          <w:sz w:val="24"/>
          <w:szCs w:val="24"/>
          <w:vertAlign w:val="superscript"/>
        </w:rPr>
        <w:footnoteReference w:id="5"/>
      </w:r>
      <w:r>
        <w:rPr>
          <w:rFonts w:ascii="Times New Roman" w:hAnsi="Times New Roman" w:cs="Times New Roman"/>
          <w:sz w:val="24"/>
          <w:szCs w:val="24"/>
        </w:rPr>
        <w:t xml:space="preserve"> This supervision of women in medieval Wales appears </w:t>
      </w:r>
      <w:r w:rsidR="00553277">
        <w:rPr>
          <w:rFonts w:ascii="Times New Roman" w:hAnsi="Times New Roman" w:cs="Times New Roman"/>
          <w:sz w:val="24"/>
          <w:szCs w:val="24"/>
        </w:rPr>
        <w:t xml:space="preserve">stricter than that imposed in other contemporary Celtic regions, highlighting the social and economic significance of virginity in </w:t>
      </w:r>
      <w:r>
        <w:rPr>
          <w:rFonts w:ascii="Times New Roman" w:hAnsi="Times New Roman" w:cs="Times New Roman"/>
          <w:sz w:val="24"/>
          <w:szCs w:val="24"/>
        </w:rPr>
        <w:t>Welsh law codes and society.</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This economic and social importance placed upon </w:t>
      </w:r>
      <w:r>
        <w:rPr>
          <w:rFonts w:ascii="Times New Roman" w:hAnsi="Times New Roman" w:cs="Times New Roman"/>
          <w:sz w:val="24"/>
          <w:szCs w:val="24"/>
        </w:rPr>
        <w:lastRenderedPageBreak/>
        <w:t>virginity also created the potential for conflict or manipulation. The law codes, therefore, include provisions addressing accusations and procedures for testing or verifying virginity.</w:t>
      </w:r>
    </w:p>
    <w:p w14:paraId="7346B385" w14:textId="77777777" w:rsidR="00AE4883" w:rsidRDefault="00904917" w:rsidP="001577E8">
      <w:pPr>
        <w:pStyle w:val="NormalWeb"/>
        <w:spacing w:line="360" w:lineRule="auto"/>
        <w:rPr>
          <w14:ligatures w14:val="none"/>
        </w:rPr>
      </w:pPr>
      <w:r>
        <w:t xml:space="preserve">In </w:t>
      </w:r>
      <w:r w:rsidR="0000786B">
        <w:t>m</w:t>
      </w:r>
      <w:r>
        <w:t>edieval Welsh law, the most significant asset a woman could bring into a marriage was her virginity</w:t>
      </w:r>
      <w:r w:rsidR="00F90BF6">
        <w:t>.</w:t>
      </w:r>
      <w:r>
        <w:rPr>
          <w:rStyle w:val="FootnoteReference"/>
        </w:rPr>
        <w:footnoteReference w:id="7"/>
      </w:r>
      <w:r w:rsidR="00F90BF6">
        <w:t xml:space="preserve"> The importance attached to female virginity is reflected in the provisions of the law codes dealing with so-called false virgins. </w:t>
      </w:r>
      <w:r w:rsidR="001577E8" w:rsidRPr="001577E8">
        <w:rPr>
          <w14:ligatures w14:val="none"/>
        </w:rPr>
        <w:t xml:space="preserve">If a husband accused his wife of falsely claiming virginity at the time of marriage, she could </w:t>
      </w:r>
      <w:r w:rsidR="001577E8">
        <w:rPr>
          <w14:ligatures w14:val="none"/>
        </w:rPr>
        <w:t xml:space="preserve">face severe and humiliating punishments if she could not prove her virginity, even with the testimony of her close family. </w:t>
      </w:r>
      <w:r w:rsidR="0000786B">
        <w:t xml:space="preserve">These punishments could include rituals intended </w:t>
      </w:r>
      <w:r w:rsidR="00024AD0">
        <w:t xml:space="preserve">not just to </w:t>
      </w:r>
      <w:r w:rsidR="0000786B">
        <w:t>publicly shame the accused woman</w:t>
      </w:r>
      <w:r w:rsidR="00024AD0">
        <w:t>, but also to disgrace the woman’s family</w:t>
      </w:r>
      <w:r w:rsidR="001577E8">
        <w:rPr>
          <w14:ligatures w14:val="none"/>
        </w:rPr>
        <w:t xml:space="preserve">. </w:t>
      </w:r>
      <w:r w:rsidR="001577E8">
        <w:t>One passage in the law codes describes a punishment in which a woman accused of falsely claiming virginity</w:t>
      </w:r>
      <w:r w:rsidR="00ED4591">
        <w:t>, the woman</w:t>
      </w:r>
      <w:r w:rsidR="001577E8">
        <w:t xml:space="preserve"> </w:t>
      </w:r>
      <w:r w:rsidR="0000786B">
        <w:t xml:space="preserve">was </w:t>
      </w:r>
      <w:r w:rsidR="00C556D2">
        <w:t>expected</w:t>
      </w:r>
      <w:r w:rsidR="0000786B">
        <w:t xml:space="preserve"> </w:t>
      </w:r>
      <w:r w:rsidR="001577E8">
        <w:t>to keep hold of the shaved and greased tail of a bull.</w:t>
      </w:r>
      <w:r w:rsidR="00024AD0">
        <w:t xml:space="preserve"> If she were unable to hold onto the steer, she would be unable to receive anything from her marriage</w:t>
      </w:r>
      <w:r w:rsidR="001577E8">
        <w:rPr>
          <w:rStyle w:val="FootnoteReference"/>
          <w14:ligatures w14:val="none"/>
        </w:rPr>
        <w:footnoteReference w:id="8"/>
      </w:r>
      <w:r w:rsidR="00024AD0">
        <w:t xml:space="preserve"> </w:t>
      </w:r>
      <w:r w:rsidR="0000786B">
        <w:t xml:space="preserve"> </w:t>
      </w:r>
      <w:r w:rsidR="00C556D2">
        <w:t xml:space="preserve">Given </w:t>
      </w:r>
      <w:r w:rsidR="00024AD0">
        <w:t>the</w:t>
      </w:r>
      <w:r w:rsidR="00C556D2">
        <w:t xml:space="preserve"> severity</w:t>
      </w:r>
      <w:r w:rsidR="00024AD0">
        <w:t xml:space="preserve"> of this punishment</w:t>
      </w:r>
      <w:r w:rsidR="00C556D2">
        <w:t>, it is worth considering whether these provisions were intended to act as literal punishments or as a mechanism to discourage dishonesty among women.</w:t>
      </w:r>
      <w:r w:rsidR="00C556D2">
        <w:rPr>
          <w:rStyle w:val="FootnoteReference"/>
        </w:rPr>
        <w:footnoteReference w:id="9"/>
      </w:r>
      <w:r w:rsidR="00A61240">
        <w:t xml:space="preserve"> Although the law codes provided women with certain rights, such as legal recourse if falsely accused, the practical enforcement of these rights may have been inconsistent, leaving women vulnerable to the social and familial pressures that could override legal protections.</w:t>
      </w:r>
      <w:r w:rsidR="00E54AAE">
        <w:t xml:space="preserve"> </w:t>
      </w:r>
      <w:r w:rsidR="00AE4883">
        <w:t>Accusations of false virginity could have serious social consequences, damaging a woman’s reputation, honour, and position within her family and community. In response, women could be subjected to virginity tests intended to protect both their own reputation and that of their family.</w:t>
      </w:r>
    </w:p>
    <w:p w14:paraId="7D3E2CA8" w14:textId="77777777" w:rsidR="001F04C0" w:rsidRDefault="00E74249" w:rsidP="00510A03">
      <w:pPr>
        <w:pStyle w:val="gds-typography"/>
        <w:spacing w:line="360" w:lineRule="auto"/>
      </w:pPr>
      <w:r>
        <w:t xml:space="preserve">These </w:t>
      </w:r>
      <w:r w:rsidR="00967143">
        <w:t>tests would include physical examinations or even extreme ordeals, reflecting the widespread mistrust of a woman's testimony regarding her own sexual status within a male-dominated legal system.</w:t>
      </w:r>
      <w:r w:rsidR="00967143">
        <w:rPr>
          <w:rStyle w:val="FootnoteReference"/>
        </w:rPr>
        <w:footnoteReference w:id="10"/>
      </w:r>
      <w:r w:rsidR="00D14D23">
        <w:t xml:space="preserve"> </w:t>
      </w:r>
      <w:r w:rsidR="00EB0C8D" w:rsidRPr="00EB0C8D">
        <w:rPr>
          <w14:ligatures w14:val="none"/>
        </w:rPr>
        <w:t>The fact that sexual intercourse, rather than the marriage ceremony itself, determined a woman’s legal transition from virgin to wife further explains the presence of virginity tests</w:t>
      </w:r>
      <w:r w:rsidR="00C17B99">
        <w:rPr>
          <w14:ligatures w14:val="none"/>
        </w:rPr>
        <w:t xml:space="preserve"> in the Welsh law codes</w:t>
      </w:r>
      <w:r w:rsidR="00EB0C8D" w:rsidRPr="00EB0C8D">
        <w:rPr>
          <w14:ligatures w14:val="none"/>
        </w:rPr>
        <w:t>.</w:t>
      </w:r>
      <w:r w:rsidR="00AF3BEE">
        <w:rPr>
          <w14:ligatures w14:val="none"/>
        </w:rPr>
        <w:t xml:space="preserve"> </w:t>
      </w:r>
      <w:r w:rsidR="00AF3BEE">
        <w:t xml:space="preserve">This would be especially true for women that were higher status, where the paternity of potential heirs was of immense importance for securing inheritance rights and maintaining family lineage. </w:t>
      </w:r>
      <w:r w:rsidR="00713B9F">
        <w:t xml:space="preserve">This shows that a woman’s virginity was closely tied to </w:t>
      </w:r>
      <w:r w:rsidR="00F822DD">
        <w:t xml:space="preserve">issues of property and inheritance. In a society where </w:t>
      </w:r>
      <w:r w:rsidR="009D16A6">
        <w:t xml:space="preserve">land and titles were </w:t>
      </w:r>
      <w:r w:rsidR="009D16A6">
        <w:lastRenderedPageBreak/>
        <w:t xml:space="preserve">passed down through generations, the legitimacy of heirs </w:t>
      </w:r>
      <w:r w:rsidR="005F633A">
        <w:t xml:space="preserve">was of particular importance. Ensuring that a bride was a virgin at the time of her marriage </w:t>
      </w:r>
      <w:r w:rsidR="00DA3ADB">
        <w:t>was seen as a way to guarantee that any children born within the marriage were indeed the rightful offspring of the husband</w:t>
      </w:r>
      <w:r w:rsidR="00C443CE">
        <w:t xml:space="preserve">, this would secure the integrity of the family linage and the legitimate transfer of property and titles. </w:t>
      </w:r>
      <w:r w:rsidR="00824E1A">
        <w:t xml:space="preserve">Any doubt that was cast </w:t>
      </w:r>
      <w:r w:rsidR="00A64AF8">
        <w:t xml:space="preserve">upon a woman’s virginity could therefore threaten </w:t>
      </w:r>
      <w:r w:rsidR="008B5637">
        <w:t xml:space="preserve">the succession of estates, disrupt alliances, </w:t>
      </w:r>
      <w:r w:rsidR="00D51D8B">
        <w:t>between powerful families, and destabilise social order.</w:t>
      </w:r>
      <w:r w:rsidR="00AE68D0">
        <w:t xml:space="preserve"> As a result, virginity tests and public scrutiny of a woman’s sexual status</w:t>
      </w:r>
      <w:r w:rsidR="00326AB2">
        <w:t xml:space="preserve"> were not merely personal concerns but matters that affected the wider community </w:t>
      </w:r>
      <w:r w:rsidR="001D71C3">
        <w:t xml:space="preserve">and the transmission of </w:t>
      </w:r>
      <w:r w:rsidR="007547C8">
        <w:t xml:space="preserve">wealth and </w:t>
      </w:r>
      <w:r w:rsidR="001D71C3">
        <w:t xml:space="preserve">power. </w:t>
      </w:r>
      <w:r w:rsidR="00876601">
        <w:t xml:space="preserve">The significance of this issue is reflected in medieval Welsh literature—for example, in the Fourth Branch of the Mabinogi, where stability during Math’s rule is depicted as entirely dependent upon his feet being </w:t>
      </w:r>
      <w:r w:rsidR="00AC5536">
        <w:t>‘</w:t>
      </w:r>
      <w:r w:rsidR="00876601">
        <w:t>in the fold of a maiden’s la</w:t>
      </w:r>
      <w:r w:rsidR="00AC5536">
        <w:t>p’</w:t>
      </w:r>
      <w:r w:rsidR="00DB3107">
        <w:t>.</w:t>
      </w:r>
      <w:r w:rsidR="00180609">
        <w:rPr>
          <w:rStyle w:val="FootnoteReference"/>
        </w:rPr>
        <w:footnoteReference w:id="11"/>
      </w:r>
      <w:r w:rsidR="00376FD4">
        <w:t xml:space="preserve"> </w:t>
      </w:r>
      <w:r w:rsidR="00510A03">
        <w:t xml:space="preserve">The close association between virginity, inheritance, and social stability within the Welsh law codes reveals just how central a woman’s sexual status was to the functioning of medieval society. </w:t>
      </w:r>
    </w:p>
    <w:p w14:paraId="572D980A" w14:textId="54B169BB" w:rsidR="005509D3" w:rsidRDefault="00A626BC" w:rsidP="005509D3">
      <w:pPr>
        <w:pStyle w:val="NormalWeb"/>
        <w:spacing w:line="360" w:lineRule="auto"/>
        <w:ind w:firstLine="720"/>
        <w:rPr>
          <w14:ligatures w14:val="none"/>
        </w:rPr>
      </w:pPr>
      <w:r w:rsidRPr="00A626BC">
        <w:rPr>
          <w14:ligatures w14:val="none"/>
        </w:rPr>
        <w:t xml:space="preserve">However, the law codes did not only focus on verifying virginity; they also set out detailed provisions governing the rights and obligations of married couples. In doing so, they reveal that marriage in medieval Wales could take several different forms, reflecting a notable degree of flexibility within the legal system. The primary form was the </w:t>
      </w:r>
      <w:r w:rsidR="00752850">
        <w:rPr>
          <w14:ligatures w14:val="none"/>
        </w:rPr>
        <w:t>formally</w:t>
      </w:r>
      <w:r w:rsidRPr="00A626BC">
        <w:rPr>
          <w14:ligatures w14:val="none"/>
        </w:rPr>
        <w:t xml:space="preserve"> arranged marriage (</w:t>
      </w:r>
      <w:r w:rsidRPr="00A626BC">
        <w:rPr>
          <w:i/>
          <w:iCs/>
          <w14:ligatures w14:val="none"/>
        </w:rPr>
        <w:t>Parchedig</w:t>
      </w:r>
      <w:r w:rsidRPr="00A626BC">
        <w:rPr>
          <w14:ligatures w14:val="none"/>
        </w:rPr>
        <w:t xml:space="preserve">) between couples of </w:t>
      </w:r>
      <w:r w:rsidR="00C246EF" w:rsidRPr="00410229">
        <w:rPr>
          <w14:ligatures w14:val="none"/>
        </w:rPr>
        <w:t>equal</w:t>
      </w:r>
      <w:r w:rsidRPr="00A626BC">
        <w:rPr>
          <w14:ligatures w14:val="none"/>
        </w:rPr>
        <w:t xml:space="preserve"> social </w:t>
      </w:r>
      <w:proofErr w:type="gramStart"/>
      <w:r w:rsidR="00752850">
        <w:rPr>
          <w14:ligatures w14:val="none"/>
        </w:rPr>
        <w:t>status</w:t>
      </w:r>
      <w:proofErr w:type="gramEnd"/>
      <w:r w:rsidRPr="00A626BC">
        <w:rPr>
          <w14:ligatures w14:val="none"/>
        </w:rPr>
        <w:t xml:space="preserve">. These marriages were negotiated by families to secure alliances, property transfers, or social status, and typically involved payments such as the maeith (dowry) as well as agreements regarding amobr. Other legally recognised forms included: </w:t>
      </w:r>
      <w:r w:rsidRPr="00A626BC">
        <w:rPr>
          <w:i/>
          <w:iCs/>
          <w14:ligatures w14:val="none"/>
        </w:rPr>
        <w:t>Agwedi</w:t>
      </w:r>
      <w:r w:rsidRPr="00A626BC">
        <w:rPr>
          <w14:ligatures w14:val="none"/>
        </w:rPr>
        <w:t xml:space="preserve">, where a woman brought a smaller amount of property; </w:t>
      </w:r>
      <w:r w:rsidRPr="00A626BC">
        <w:rPr>
          <w:i/>
          <w:iCs/>
          <w14:ligatures w14:val="none"/>
        </w:rPr>
        <w:t>Caradas</w:t>
      </w:r>
      <w:r w:rsidRPr="00A626BC">
        <w:rPr>
          <w14:ligatures w14:val="none"/>
        </w:rPr>
        <w:t xml:space="preserve">, a love-based union with kin consent; </w:t>
      </w:r>
      <w:r w:rsidRPr="00A626BC">
        <w:rPr>
          <w:i/>
          <w:iCs/>
          <w14:ligatures w14:val="none"/>
        </w:rPr>
        <w:t>Deu Lysuab</w:t>
      </w:r>
      <w:r w:rsidRPr="00A626BC">
        <w:rPr>
          <w14:ligatures w14:val="none"/>
        </w:rPr>
        <w:t xml:space="preserve">, a union between step-siblings; </w:t>
      </w:r>
      <w:r w:rsidRPr="00A626BC">
        <w:rPr>
          <w:i/>
          <w:iCs/>
          <w14:ligatures w14:val="none"/>
        </w:rPr>
        <w:t>Llathlut Goleu</w:t>
      </w:r>
      <w:r w:rsidRPr="00A626BC">
        <w:rPr>
          <w14:ligatures w14:val="none"/>
        </w:rPr>
        <w:t xml:space="preserve">, an open union without the woman’s family consent; </w:t>
      </w:r>
      <w:r w:rsidRPr="00A626BC">
        <w:rPr>
          <w:i/>
          <w:iCs/>
          <w14:ligatures w14:val="none"/>
        </w:rPr>
        <w:t>Llathlut Twyll</w:t>
      </w:r>
      <w:r w:rsidRPr="00A626BC">
        <w:rPr>
          <w14:ligatures w14:val="none"/>
        </w:rPr>
        <w:t>, a secret union in which a woman allowed herself to be abducted</w:t>
      </w:r>
      <w:r w:rsidRPr="00A626BC">
        <w:rPr>
          <w:i/>
          <w:iCs/>
          <w14:ligatures w14:val="none"/>
        </w:rPr>
        <w:t>; Beichogi Twyll Gwraig Lryn a Perth</w:t>
      </w:r>
      <w:r w:rsidRPr="00A626BC">
        <w:rPr>
          <w14:ligatures w14:val="none"/>
        </w:rPr>
        <w:t xml:space="preserve">, an elopement; </w:t>
      </w:r>
      <w:r w:rsidRPr="00A626BC">
        <w:rPr>
          <w:i/>
          <w:iCs/>
          <w14:ligatures w14:val="none"/>
        </w:rPr>
        <w:t>Cynnywedi ar liw ac aro leu</w:t>
      </w:r>
      <w:r w:rsidRPr="00A626BC">
        <w:rPr>
          <w14:ligatures w14:val="none"/>
        </w:rPr>
        <w:t xml:space="preserve">, marriage by abduction after fines were paid; and </w:t>
      </w:r>
      <w:r w:rsidRPr="00A626BC">
        <w:rPr>
          <w:i/>
          <w:iCs/>
          <w14:ligatures w14:val="none"/>
        </w:rPr>
        <w:t>Twyll Morwyn</w:t>
      </w:r>
      <w:r w:rsidRPr="00A626BC">
        <w:rPr>
          <w14:ligatures w14:val="none"/>
        </w:rPr>
        <w:t>, a form of marriage by abduction or rape.</w:t>
      </w:r>
      <w:r w:rsidR="00C246EF" w:rsidRPr="00410229">
        <w:rPr>
          <w:rStyle w:val="FootnoteReference"/>
          <w14:ligatures w14:val="none"/>
        </w:rPr>
        <w:footnoteReference w:id="12"/>
      </w:r>
      <w:r w:rsidR="00410229" w:rsidRPr="00410229">
        <w:rPr>
          <w14:ligatures w14:val="none"/>
        </w:rPr>
        <w:t xml:space="preserve"> </w:t>
      </w:r>
      <w:r w:rsidR="009A60A9" w:rsidRPr="009A60A9">
        <w:rPr>
          <w14:ligatures w14:val="none"/>
        </w:rPr>
        <w:t xml:space="preserve">This diversity of legally recognised marriage forms demonstrates how the Welsh legal system was distinctive in formally acknowledging unions that other contemporary legal systems often ignored. While England primarily recognised marriage through Church-sanctioned ceremonies, with legal authority rooted in ecclesiastical approval, both Wales and Ireland exhibited greater </w:t>
      </w:r>
      <w:r w:rsidR="009A60A9" w:rsidRPr="009A60A9">
        <w:rPr>
          <w14:ligatures w14:val="none"/>
        </w:rPr>
        <w:lastRenderedPageBreak/>
        <w:t>flexibility, recognising a wider variety of unions including formal arranged marriages, love-based unions, elopements, and even marriages by abduction.</w:t>
      </w:r>
      <w:r w:rsidR="005B4129">
        <w:rPr>
          <w:rStyle w:val="FootnoteReference"/>
          <w14:ligatures w14:val="none"/>
        </w:rPr>
        <w:footnoteReference w:id="13"/>
      </w:r>
      <w:r w:rsidR="009A60A9" w:rsidRPr="009A60A9">
        <w:rPr>
          <w14:ligatures w14:val="none"/>
        </w:rPr>
        <w:t xml:space="preserve"> The Welsh law codes were not rigid; rather than being entirely rewritten, new provisions could be added to account for evolving marital practices.</w:t>
      </w:r>
      <w:r w:rsidR="00A6451A" w:rsidRPr="00A6451A">
        <w:rPr>
          <w:rStyle w:val="FootnoteReference"/>
          <w14:ligatures w14:val="none"/>
        </w:rPr>
        <w:t xml:space="preserve"> </w:t>
      </w:r>
      <w:r w:rsidR="00A6451A">
        <w:rPr>
          <w:rStyle w:val="FootnoteReference"/>
          <w14:ligatures w14:val="none"/>
        </w:rPr>
        <w:footnoteReference w:id="14"/>
      </w:r>
      <w:r w:rsidR="00A6451A">
        <w:t xml:space="preserve"> </w:t>
      </w:r>
      <w:r w:rsidR="009A60A9" w:rsidRPr="009A60A9">
        <w:rPr>
          <w14:ligatures w14:val="none"/>
        </w:rPr>
        <w:t>This adaptability allowed the law to accommodate diverse marital arrangements, reflect social realities, protect women’s rights in different contexts, and demonstrate a pragmatic, flexible approach to regulating marriage in Celtic society.</w:t>
      </w:r>
    </w:p>
    <w:p w14:paraId="05C1B8E5" w14:textId="61A8D81F" w:rsidR="00A1643C" w:rsidRPr="00A1643C" w:rsidRDefault="007A359C" w:rsidP="00AC6E5A">
      <w:pPr>
        <w:pStyle w:val="NormalWeb"/>
        <w:spacing w:line="360" w:lineRule="auto"/>
        <w:rPr>
          <w14:ligatures w14:val="none"/>
        </w:rPr>
      </w:pPr>
      <w:r w:rsidRPr="007A359C">
        <w:rPr>
          <w14:ligatures w14:val="none"/>
        </w:rPr>
        <w:t xml:space="preserve">In medieval Wales, a woman’s possessions, particularly her dowry, were a central aspect of marriage arrangements and provide valuable insight into her legal and social rights. Dowries, known as </w:t>
      </w:r>
      <w:r w:rsidRPr="007A359C">
        <w:rPr>
          <w:i/>
          <w:iCs/>
          <w14:ligatures w14:val="none"/>
        </w:rPr>
        <w:t>maeith</w:t>
      </w:r>
      <w:r w:rsidRPr="007A359C">
        <w:rPr>
          <w14:ligatures w14:val="none"/>
        </w:rPr>
        <w:t>, could consist of land, livestock, property, or other valuable goods brought into the marriage by the woman.</w:t>
      </w:r>
      <w:r w:rsidR="00F83A42">
        <w:rPr>
          <w:rStyle w:val="FootnoteReference"/>
          <w14:ligatures w14:val="none"/>
        </w:rPr>
        <w:footnoteReference w:id="15"/>
      </w:r>
      <w:r w:rsidRPr="007A359C">
        <w:rPr>
          <w14:ligatures w14:val="none"/>
        </w:rPr>
        <w:t xml:space="preserve"> These contributions served multiple purposes: they supported the household economically, offered security for the woman in the event of widowhood or marital disputes, and strengthened alliances between families.</w:t>
      </w:r>
      <w:r w:rsidR="00743C50">
        <w:rPr>
          <w:rStyle w:val="FootnoteReference"/>
          <w14:ligatures w14:val="none"/>
        </w:rPr>
        <w:footnoteReference w:id="16"/>
      </w:r>
      <w:r w:rsidRPr="007A359C">
        <w:rPr>
          <w14:ligatures w14:val="none"/>
        </w:rPr>
        <w:t xml:space="preserve"> The Welsh law codes clearly distinguished a woman’s dowry from other marriage payments, such as </w:t>
      </w:r>
      <w:r w:rsidRPr="007A359C">
        <w:rPr>
          <w:i/>
          <w:iCs/>
          <w14:ligatures w14:val="none"/>
        </w:rPr>
        <w:t>amobr</w:t>
      </w:r>
      <w:r w:rsidRPr="007A359C">
        <w:rPr>
          <w14:ligatures w14:val="none"/>
        </w:rPr>
        <w:t>, ensuring that these assets remained under her legal protection.</w:t>
      </w:r>
      <w:r w:rsidR="00EC67E2">
        <w:rPr>
          <w:rStyle w:val="FootnoteReference"/>
          <w14:ligatures w14:val="none"/>
        </w:rPr>
        <w:footnoteReference w:id="17"/>
      </w:r>
      <w:r w:rsidRPr="007A359C">
        <w:rPr>
          <w14:ligatures w14:val="none"/>
        </w:rPr>
        <w:t xml:space="preserve"> Although the husband typically managed the household and its property, the law granted the wife rights over her dowry, providing her with financial autonomy and a measure of personal security within the marriage.</w:t>
      </w:r>
      <w:r w:rsidR="0080627F">
        <w:rPr>
          <w:rStyle w:val="FootnoteReference"/>
          <w14:ligatures w14:val="none"/>
        </w:rPr>
        <w:footnoteReference w:id="18"/>
      </w:r>
      <w:r w:rsidR="00A1643C" w:rsidRPr="00A1643C">
        <w:rPr>
          <w14:ligatures w14:val="none"/>
        </w:rPr>
        <w:t xml:space="preserve"> </w:t>
      </w:r>
      <w:r w:rsidR="00AC6E5A" w:rsidRPr="00AC6E5A">
        <w:rPr>
          <w14:ligatures w14:val="none"/>
        </w:rPr>
        <w:t>These legal provisions also reinforced the importance of kinship in medieval Welsh society. By safeguarding property brought into the marriage, the law codes ensured that a woman’s natal family maintained a continued interest in the union, linking the personal and economic aspects of marriage to wider familial networks.</w:t>
      </w:r>
      <w:r w:rsidR="00197B68">
        <w:rPr>
          <w:rStyle w:val="FootnoteReference"/>
          <w14:ligatures w14:val="none"/>
        </w:rPr>
        <w:footnoteReference w:id="19"/>
      </w:r>
      <w:r w:rsidR="00AC6E5A" w:rsidRPr="00AC6E5A">
        <w:rPr>
          <w14:ligatures w14:val="none"/>
        </w:rPr>
        <w:t xml:space="preserve"> This demonstrates that marriage was not simply a private or domestic arrangement, but a structured social contract with obligations, protections, and benefits for both the woman and her family.</w:t>
      </w:r>
      <w:r w:rsidR="00AC6E5A">
        <w:rPr>
          <w14:ligatures w14:val="none"/>
        </w:rPr>
        <w:t xml:space="preserve"> </w:t>
      </w:r>
      <w:r w:rsidR="00A1643C" w:rsidRPr="00A1643C">
        <w:rPr>
          <w14:ligatures w14:val="none"/>
        </w:rPr>
        <w:t>The recognition of a woman’s rights over her possessions suggests that Welsh law regarded married women as individuals with agency and legal standing, rather than as passive dependents or property.</w:t>
      </w:r>
      <w:r w:rsidR="006F0E90">
        <w:rPr>
          <w:rStyle w:val="FootnoteReference"/>
          <w14:ligatures w14:val="none"/>
        </w:rPr>
        <w:footnoteReference w:id="20"/>
      </w:r>
      <w:r w:rsidR="00A1643C" w:rsidRPr="00A1643C">
        <w:rPr>
          <w14:ligatures w14:val="none"/>
        </w:rPr>
        <w:t xml:space="preserve"> By codifying protections over a woman’s property and ensuring her ability to control her own resources, the law provided both economic security and personal autonomy. These provisions reveal a nuanced understanding of marriage as a partnership </w:t>
      </w:r>
      <w:r w:rsidR="00A1643C" w:rsidRPr="00A1643C">
        <w:rPr>
          <w14:ligatures w14:val="none"/>
        </w:rPr>
        <w:lastRenderedPageBreak/>
        <w:t>encompassing economic, social, and familial responsibilities, highlighting the relative sophistication of medieval Welsh law in balancing individual rights with household and community interests.</w:t>
      </w:r>
    </w:p>
    <w:p w14:paraId="1CDDDDD0" w14:textId="5AA3B3A8" w:rsidR="003627CA" w:rsidRPr="003627CA" w:rsidRDefault="003627CA" w:rsidP="0025575A">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627CA">
        <w:rPr>
          <w:rFonts w:ascii="Times New Roman" w:eastAsia="Times New Roman" w:hAnsi="Times New Roman" w:cs="Times New Roman"/>
          <w:kern w:val="0"/>
          <w:sz w:val="24"/>
          <w:szCs w:val="24"/>
          <w:lang w:eastAsia="en-GB"/>
          <w14:ligatures w14:val="none"/>
        </w:rPr>
        <w:t>Beyond the diversity of marriage forms and the management of dowries, the Welsh law codes also reveal a broader recognition of women as legal individuals within marriage. Unlike many contemporary European societies, where a wife’s legal identity was largely subsumed under her husband’s authority, medieval Welsh law acknowledged that women retained distinct rights and protections. For example, the codes refer to the “three privities” – matters over which a woman had exclusive control, and which her husband could not demand or seize. These likely included personal possessions, valuables, and her dowry, ensuring that a woman had access to a degree of financial autonomy even after marriage.</w:t>
      </w:r>
      <w:r w:rsidR="0025575A" w:rsidRPr="00114FC6">
        <w:rPr>
          <w:rStyle w:val="FootnoteReference"/>
          <w:rFonts w:ascii="Times New Roman" w:eastAsia="Times New Roman" w:hAnsi="Times New Roman" w:cs="Times New Roman"/>
          <w:kern w:val="0"/>
          <w:sz w:val="24"/>
          <w:szCs w:val="24"/>
          <w:lang w:eastAsia="en-GB"/>
          <w14:ligatures w14:val="none"/>
        </w:rPr>
        <w:t xml:space="preserve"> </w:t>
      </w:r>
      <w:r w:rsidR="00114FC6">
        <w:rPr>
          <w:rStyle w:val="FootnoteReference"/>
          <w:rFonts w:ascii="Times New Roman" w:eastAsia="Times New Roman" w:hAnsi="Times New Roman" w:cs="Times New Roman"/>
          <w:kern w:val="0"/>
          <w:sz w:val="24"/>
          <w:szCs w:val="24"/>
          <w:lang w:eastAsia="en-GB"/>
          <w14:ligatures w14:val="none"/>
        </w:rPr>
        <w:footnoteReference w:id="21"/>
      </w:r>
      <w:r w:rsidR="00114FC6" w:rsidRPr="003627CA">
        <w:rPr>
          <w:rFonts w:ascii="Times New Roman" w:eastAsia="Times New Roman" w:hAnsi="Times New Roman" w:cs="Times New Roman"/>
          <w:kern w:val="0"/>
          <w:sz w:val="24"/>
          <w:szCs w:val="24"/>
          <w:lang w:eastAsia="en-GB"/>
          <w14:ligatures w14:val="none"/>
        </w:rPr>
        <w:t xml:space="preserve"> </w:t>
      </w:r>
      <w:r w:rsidR="0025575A">
        <w:rPr>
          <w:rFonts w:ascii="Times New Roman" w:eastAsia="Times New Roman" w:hAnsi="Times New Roman" w:cs="Times New Roman"/>
          <w:kern w:val="0"/>
          <w:sz w:val="24"/>
          <w:szCs w:val="24"/>
          <w:lang w:eastAsia="en-GB"/>
          <w14:ligatures w14:val="none"/>
        </w:rPr>
        <w:t xml:space="preserve"> </w:t>
      </w:r>
      <w:r w:rsidRPr="003627CA">
        <w:rPr>
          <w:rFonts w:ascii="Times New Roman" w:eastAsia="Times New Roman" w:hAnsi="Times New Roman" w:cs="Times New Roman"/>
          <w:kern w:val="0"/>
          <w:sz w:val="24"/>
          <w:szCs w:val="24"/>
          <w:lang w:eastAsia="en-GB"/>
          <w14:ligatures w14:val="none"/>
        </w:rPr>
        <w:t xml:space="preserve">This recognition of legal individuality was reinforced through the careful structuring of dowries. While husbands often managed the household and its property, a woman’s dowry was explicitly distinguished from other marriage payments, such as the amobr. By safeguarding her dowry, the law codes provided women with economic security in the event of widowhood or marital </w:t>
      </w:r>
      <w:r w:rsidR="0025575A" w:rsidRPr="003627CA">
        <w:rPr>
          <w:rFonts w:ascii="Times New Roman" w:eastAsia="Times New Roman" w:hAnsi="Times New Roman" w:cs="Times New Roman"/>
          <w:kern w:val="0"/>
          <w:sz w:val="24"/>
          <w:szCs w:val="24"/>
          <w:lang w:eastAsia="en-GB"/>
          <w14:ligatures w14:val="none"/>
        </w:rPr>
        <w:t>disputes and</w:t>
      </w:r>
      <w:r w:rsidRPr="003627CA">
        <w:rPr>
          <w:rFonts w:ascii="Times New Roman" w:eastAsia="Times New Roman" w:hAnsi="Times New Roman" w:cs="Times New Roman"/>
          <w:kern w:val="0"/>
          <w:sz w:val="24"/>
          <w:szCs w:val="24"/>
          <w:lang w:eastAsia="en-GB"/>
          <w14:ligatures w14:val="none"/>
        </w:rPr>
        <w:t xml:space="preserve"> guaranteed that her natal family maintained an ongoing interest in the union. This arrangement highlights how marriage was not only a personal relationship but also a negotiated alliance with economic and social obligations, in which the woman retained a voice and agency.</w:t>
      </w:r>
      <w:r w:rsidR="0025575A">
        <w:rPr>
          <w:rFonts w:ascii="Times New Roman" w:eastAsia="Times New Roman" w:hAnsi="Times New Roman" w:cs="Times New Roman"/>
          <w:kern w:val="0"/>
          <w:sz w:val="24"/>
          <w:szCs w:val="24"/>
          <w:lang w:eastAsia="en-GB"/>
          <w14:ligatures w14:val="none"/>
        </w:rPr>
        <w:t xml:space="preserve"> </w:t>
      </w:r>
      <w:r w:rsidRPr="003627CA">
        <w:rPr>
          <w:rFonts w:ascii="Times New Roman" w:eastAsia="Times New Roman" w:hAnsi="Times New Roman" w:cs="Times New Roman"/>
          <w:kern w:val="0"/>
          <w:sz w:val="24"/>
          <w:szCs w:val="24"/>
          <w:lang w:eastAsia="en-GB"/>
          <w14:ligatures w14:val="none"/>
        </w:rPr>
        <w:t xml:space="preserve">Such protections demonstrate that medieval Welsh law sought to balance familial, social, and individual interests, allowing women a measure of independence within a male-dominated legal framework. The legal recognition of women as distinct </w:t>
      </w:r>
      <w:r w:rsidR="00CE458C">
        <w:rPr>
          <w:rFonts w:ascii="Times New Roman" w:eastAsia="Times New Roman" w:hAnsi="Times New Roman" w:cs="Times New Roman"/>
          <w:kern w:val="0"/>
          <w:sz w:val="24"/>
          <w:szCs w:val="24"/>
          <w:lang w:eastAsia="en-GB"/>
          <w14:ligatures w14:val="none"/>
        </w:rPr>
        <w:t>individuals</w:t>
      </w:r>
      <w:r w:rsidRPr="003627CA">
        <w:rPr>
          <w:rFonts w:ascii="Times New Roman" w:eastAsia="Times New Roman" w:hAnsi="Times New Roman" w:cs="Times New Roman"/>
          <w:kern w:val="0"/>
          <w:sz w:val="24"/>
          <w:szCs w:val="24"/>
          <w:lang w:eastAsia="en-GB"/>
          <w14:ligatures w14:val="none"/>
        </w:rPr>
        <w:t xml:space="preserve"> in marriage meant that they were not simply treated as property or passive dependents; instead, they were entitled to maintain their possessions, exercise control over their </w:t>
      </w:r>
      <w:r w:rsidR="00CE458C">
        <w:rPr>
          <w:rFonts w:ascii="Times New Roman" w:eastAsia="Times New Roman" w:hAnsi="Times New Roman" w:cs="Times New Roman"/>
          <w:kern w:val="0"/>
          <w:sz w:val="24"/>
          <w:szCs w:val="24"/>
          <w:lang w:eastAsia="en-GB"/>
          <w14:ligatures w14:val="none"/>
        </w:rPr>
        <w:t>dowries</w:t>
      </w:r>
      <w:r w:rsidRPr="003627CA">
        <w:rPr>
          <w:rFonts w:ascii="Times New Roman" w:eastAsia="Times New Roman" w:hAnsi="Times New Roman" w:cs="Times New Roman"/>
          <w:kern w:val="0"/>
          <w:sz w:val="24"/>
          <w:szCs w:val="24"/>
          <w:lang w:eastAsia="en-GB"/>
          <w14:ligatures w14:val="none"/>
        </w:rPr>
        <w:t xml:space="preserve">, and benefit from the economic and legal safeguards codified in the law. These provisions underscore the Welsh legal system’s comparatively pragmatic and flexible approach, reflecting social realities and granting women rights </w:t>
      </w:r>
      <w:r w:rsidR="0025575A" w:rsidRPr="003627CA">
        <w:rPr>
          <w:rFonts w:ascii="Times New Roman" w:eastAsia="Times New Roman" w:hAnsi="Times New Roman" w:cs="Times New Roman"/>
          <w:kern w:val="0"/>
          <w:sz w:val="24"/>
          <w:szCs w:val="24"/>
          <w:lang w:eastAsia="en-GB"/>
          <w14:ligatures w14:val="none"/>
        </w:rPr>
        <w:t>unavailable</w:t>
      </w:r>
      <w:r w:rsidRPr="003627CA">
        <w:rPr>
          <w:rFonts w:ascii="Times New Roman" w:eastAsia="Times New Roman" w:hAnsi="Times New Roman" w:cs="Times New Roman"/>
          <w:kern w:val="0"/>
          <w:sz w:val="24"/>
          <w:szCs w:val="24"/>
          <w:lang w:eastAsia="en-GB"/>
          <w14:ligatures w14:val="none"/>
        </w:rPr>
        <w:t xml:space="preserve"> in England or Ireland during the same period.</w:t>
      </w:r>
    </w:p>
    <w:p w14:paraId="299CE77C" w14:textId="2C2F5179" w:rsidR="00A83661" w:rsidRPr="00A83661" w:rsidRDefault="00A83661" w:rsidP="007065A0">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83661">
        <w:rPr>
          <w:rFonts w:ascii="Times New Roman" w:eastAsia="Times New Roman" w:hAnsi="Times New Roman" w:cs="Times New Roman"/>
          <w:kern w:val="0"/>
          <w:sz w:val="24"/>
          <w:szCs w:val="24"/>
          <w:lang w:eastAsia="en-GB"/>
          <w14:ligatures w14:val="none"/>
        </w:rPr>
        <w:t xml:space="preserve">Beyond property, the Welsh law codes provided women with a range of legal rights that safeguarded their welfare and social status within marriage. Husbands were legally obliged to provide their wives with maintenance, including food, clothing, and shelter, and could be </w:t>
      </w:r>
      <w:r w:rsidRPr="00A83661">
        <w:rPr>
          <w:rFonts w:ascii="Times New Roman" w:eastAsia="Times New Roman" w:hAnsi="Times New Roman" w:cs="Times New Roman"/>
          <w:kern w:val="0"/>
          <w:sz w:val="24"/>
          <w:szCs w:val="24"/>
          <w:lang w:eastAsia="en-GB"/>
          <w14:ligatures w14:val="none"/>
        </w:rPr>
        <w:lastRenderedPageBreak/>
        <w:t>held accountable if they neglected these duties.</w:t>
      </w:r>
      <w:r w:rsidR="00B115EB">
        <w:rPr>
          <w:rStyle w:val="FootnoteReference"/>
          <w:rFonts w:ascii="Times New Roman" w:eastAsia="Times New Roman" w:hAnsi="Times New Roman" w:cs="Times New Roman"/>
          <w:kern w:val="0"/>
          <w:sz w:val="24"/>
          <w:szCs w:val="24"/>
          <w:lang w:eastAsia="en-GB"/>
          <w14:ligatures w14:val="none"/>
        </w:rPr>
        <w:footnoteReference w:id="22"/>
      </w:r>
      <w:r w:rsidRPr="00A83661">
        <w:rPr>
          <w:rFonts w:ascii="Times New Roman" w:eastAsia="Times New Roman" w:hAnsi="Times New Roman" w:cs="Times New Roman"/>
          <w:kern w:val="0"/>
          <w:sz w:val="24"/>
          <w:szCs w:val="24"/>
          <w:lang w:eastAsia="en-GB"/>
          <w14:ligatures w14:val="none"/>
        </w:rPr>
        <w:t xml:space="preserve"> This ensured that women had a degree of security and could seek legal redress if their basic needs were not met. The law also recognized women as independent legal actors capable of bringing claims to court, whether to protect their possessions, enforce agreements, or address grievances, highlighting that women had formal avenues to assert their interests.</w:t>
      </w:r>
      <w:r w:rsidR="00A43009">
        <w:rPr>
          <w:rStyle w:val="FootnoteReference"/>
          <w:rFonts w:ascii="Times New Roman" w:eastAsia="Times New Roman" w:hAnsi="Times New Roman" w:cs="Times New Roman"/>
          <w:kern w:val="0"/>
          <w:sz w:val="24"/>
          <w:szCs w:val="24"/>
          <w:lang w:eastAsia="en-GB"/>
          <w14:ligatures w14:val="none"/>
        </w:rPr>
        <w:footnoteReference w:id="23"/>
      </w:r>
      <w:r w:rsidR="007065A0">
        <w:rPr>
          <w:rFonts w:ascii="Times New Roman" w:eastAsia="Times New Roman" w:hAnsi="Times New Roman" w:cs="Times New Roman"/>
          <w:kern w:val="0"/>
          <w:sz w:val="24"/>
          <w:szCs w:val="24"/>
          <w:lang w:eastAsia="en-GB"/>
          <w14:ligatures w14:val="none"/>
        </w:rPr>
        <w:t xml:space="preserve"> </w:t>
      </w:r>
      <w:r w:rsidRPr="00A83661">
        <w:rPr>
          <w:rFonts w:ascii="Times New Roman" w:eastAsia="Times New Roman" w:hAnsi="Times New Roman" w:cs="Times New Roman"/>
          <w:kern w:val="0"/>
          <w:sz w:val="24"/>
          <w:szCs w:val="24"/>
          <w:lang w:eastAsia="en-GB"/>
          <w14:ligatures w14:val="none"/>
        </w:rPr>
        <w:t xml:space="preserve">Women were further protected against mistreatment and abuse. The codes established standards for how a wife should be treated, reflecting a concern not only for her physical </w:t>
      </w:r>
      <w:r w:rsidR="00D84342">
        <w:rPr>
          <w:rFonts w:ascii="Times New Roman" w:eastAsia="Times New Roman" w:hAnsi="Times New Roman" w:cs="Times New Roman"/>
          <w:kern w:val="0"/>
          <w:sz w:val="24"/>
          <w:szCs w:val="24"/>
          <w:lang w:eastAsia="en-GB"/>
          <w14:ligatures w14:val="none"/>
        </w:rPr>
        <w:t>well-being</w:t>
      </w:r>
      <w:r w:rsidRPr="00A83661">
        <w:rPr>
          <w:rFonts w:ascii="Times New Roman" w:eastAsia="Times New Roman" w:hAnsi="Times New Roman" w:cs="Times New Roman"/>
          <w:kern w:val="0"/>
          <w:sz w:val="24"/>
          <w:szCs w:val="24"/>
          <w:lang w:eastAsia="en-GB"/>
          <w14:ligatures w14:val="none"/>
        </w:rPr>
        <w:t xml:space="preserve"> but also for her social dignity. Male relatives and kin played a continuing role in overseeing a woman’s treatment, ensuring that her welfare remained a matter of family and communal responsibility. These protections suggest that marriage was understood as a reciprocal relationship in which the husband’s authority was balanced by legal accountability and social oversight.</w:t>
      </w:r>
      <w:r w:rsidR="007065A0">
        <w:rPr>
          <w:rFonts w:ascii="Times New Roman" w:eastAsia="Times New Roman" w:hAnsi="Times New Roman" w:cs="Times New Roman"/>
          <w:kern w:val="0"/>
          <w:sz w:val="24"/>
          <w:szCs w:val="24"/>
          <w:lang w:eastAsia="en-GB"/>
          <w14:ligatures w14:val="none"/>
        </w:rPr>
        <w:t xml:space="preserve"> </w:t>
      </w:r>
      <w:r w:rsidRPr="00A83661">
        <w:rPr>
          <w:rFonts w:ascii="Times New Roman" w:eastAsia="Times New Roman" w:hAnsi="Times New Roman" w:cs="Times New Roman"/>
          <w:kern w:val="0"/>
          <w:sz w:val="24"/>
          <w:szCs w:val="24"/>
          <w:lang w:eastAsia="en-GB"/>
          <w14:ligatures w14:val="none"/>
        </w:rPr>
        <w:t>The codes also acknowledged a woman’s right to participate in economic and social transactions independently of her husband.</w:t>
      </w:r>
      <w:r w:rsidR="00CB501D">
        <w:rPr>
          <w:rStyle w:val="FootnoteReference"/>
          <w:rFonts w:ascii="Times New Roman" w:eastAsia="Times New Roman" w:hAnsi="Times New Roman" w:cs="Times New Roman"/>
          <w:kern w:val="0"/>
          <w:sz w:val="24"/>
          <w:szCs w:val="24"/>
          <w:lang w:eastAsia="en-GB"/>
          <w14:ligatures w14:val="none"/>
        </w:rPr>
        <w:footnoteReference w:id="24"/>
      </w:r>
      <w:r w:rsidRPr="00A83661">
        <w:rPr>
          <w:rFonts w:ascii="Times New Roman" w:eastAsia="Times New Roman" w:hAnsi="Times New Roman" w:cs="Times New Roman"/>
          <w:kern w:val="0"/>
          <w:sz w:val="24"/>
          <w:szCs w:val="24"/>
          <w:lang w:eastAsia="en-GB"/>
          <w14:ligatures w14:val="none"/>
        </w:rPr>
        <w:t xml:space="preserve"> She could retain control over certain earnings, engage in contractual agreements, and manage resources that were explicitly her own. By formally codifying these rights, the Welsh law codes recognized women as individuals with agency and legal standing within the household and society.</w:t>
      </w:r>
      <w:r w:rsidR="007065A0">
        <w:rPr>
          <w:rFonts w:ascii="Times New Roman" w:eastAsia="Times New Roman" w:hAnsi="Times New Roman" w:cs="Times New Roman"/>
          <w:kern w:val="0"/>
          <w:sz w:val="24"/>
          <w:szCs w:val="24"/>
          <w:lang w:eastAsia="en-GB"/>
          <w14:ligatures w14:val="none"/>
        </w:rPr>
        <w:t xml:space="preserve"> </w:t>
      </w:r>
      <w:r w:rsidRPr="00A83661">
        <w:rPr>
          <w:rFonts w:ascii="Times New Roman" w:eastAsia="Times New Roman" w:hAnsi="Times New Roman" w:cs="Times New Roman"/>
          <w:kern w:val="0"/>
          <w:sz w:val="24"/>
          <w:szCs w:val="24"/>
          <w:lang w:eastAsia="en-GB"/>
          <w14:ligatures w14:val="none"/>
        </w:rPr>
        <w:t>Taken together, these provisions illustrate that medieval Welsh marriage encompassed more than domestic or economic arrangements; it was a structured legal framework designed to protect women’s welfare, ensure their participation in social and economic life, and safeguard their personal dignity. Such rights demonstrate the relative sophistication and pragmatism of Welsh law in balancing marital obligations with individual protections.</w:t>
      </w:r>
    </w:p>
    <w:p w14:paraId="752DB3A9" w14:textId="2D97CC94" w:rsidR="00D11E7A" w:rsidRPr="00D11E7A" w:rsidRDefault="00D11E7A" w:rsidP="00B253F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D11E7A">
        <w:rPr>
          <w:rFonts w:ascii="Times New Roman" w:eastAsia="Times New Roman" w:hAnsi="Times New Roman" w:cs="Times New Roman"/>
          <w:kern w:val="0"/>
          <w:sz w:val="24"/>
          <w:szCs w:val="24"/>
          <w:lang w:eastAsia="en-GB"/>
          <w14:ligatures w14:val="none"/>
        </w:rPr>
        <w:t xml:space="preserve">Medieval Welsh law codes are particularly notable for explicitly recognizing divorce as a legitimate and formal legal practice. At a time when much of Christian Europe regarded marriage as a permanent and indissoluble union, Welsh law acknowledged that marriages could be ended. This recognition set Wales apart from its </w:t>
      </w:r>
      <w:r w:rsidR="003E41E1" w:rsidRPr="00D11E7A">
        <w:rPr>
          <w:rFonts w:ascii="Times New Roman" w:eastAsia="Times New Roman" w:hAnsi="Times New Roman" w:cs="Times New Roman"/>
          <w:kern w:val="0"/>
          <w:sz w:val="24"/>
          <w:szCs w:val="24"/>
          <w:lang w:eastAsia="en-GB"/>
          <w14:ligatures w14:val="none"/>
        </w:rPr>
        <w:t>neighbours</w:t>
      </w:r>
      <w:r w:rsidRPr="00D11E7A">
        <w:rPr>
          <w:rFonts w:ascii="Times New Roman" w:eastAsia="Times New Roman" w:hAnsi="Times New Roman" w:cs="Times New Roman"/>
          <w:kern w:val="0"/>
          <w:sz w:val="24"/>
          <w:szCs w:val="24"/>
          <w:lang w:eastAsia="en-GB"/>
          <w14:ligatures w14:val="none"/>
        </w:rPr>
        <w:t xml:space="preserve">, where marital breakdown was largely addressed through separation or annulment, but full divorce—allowing either party to remarry—was generally </w:t>
      </w:r>
      <w:r w:rsidR="00851CDC">
        <w:rPr>
          <w:rFonts w:ascii="Times New Roman" w:eastAsia="Times New Roman" w:hAnsi="Times New Roman" w:cs="Times New Roman"/>
          <w:kern w:val="0"/>
          <w:sz w:val="24"/>
          <w:szCs w:val="24"/>
          <w:lang w:eastAsia="en-GB"/>
          <w14:ligatures w14:val="none"/>
        </w:rPr>
        <w:t>difficult</w:t>
      </w:r>
      <w:r w:rsidRPr="00D11E7A">
        <w:rPr>
          <w:rFonts w:ascii="Times New Roman" w:eastAsia="Times New Roman" w:hAnsi="Times New Roman" w:cs="Times New Roman"/>
          <w:kern w:val="0"/>
          <w:sz w:val="24"/>
          <w:szCs w:val="24"/>
          <w:lang w:eastAsia="en-GB"/>
          <w14:ligatures w14:val="none"/>
        </w:rPr>
        <w:t xml:space="preserve"> under Church law.</w:t>
      </w:r>
      <w:r w:rsidR="003E41E1">
        <w:rPr>
          <w:rStyle w:val="FootnoteReference"/>
          <w:rFonts w:ascii="Times New Roman" w:eastAsia="Times New Roman" w:hAnsi="Times New Roman" w:cs="Times New Roman"/>
          <w:kern w:val="0"/>
          <w:sz w:val="24"/>
          <w:szCs w:val="24"/>
          <w:lang w:eastAsia="en-GB"/>
          <w14:ligatures w14:val="none"/>
        </w:rPr>
        <w:footnoteReference w:id="25"/>
      </w:r>
      <w:r w:rsidRPr="00D11E7A">
        <w:rPr>
          <w:rFonts w:ascii="Times New Roman" w:eastAsia="Times New Roman" w:hAnsi="Times New Roman" w:cs="Times New Roman"/>
          <w:kern w:val="0"/>
          <w:sz w:val="24"/>
          <w:szCs w:val="24"/>
          <w:lang w:eastAsia="en-GB"/>
          <w14:ligatures w14:val="none"/>
        </w:rPr>
        <w:t xml:space="preserve"> The very inclusion of divorce within the legal framework demonstrates that it was an accepted and structured part of Welsh society.</w:t>
      </w:r>
      <w:r w:rsidR="00B253F3">
        <w:rPr>
          <w:rFonts w:ascii="Times New Roman" w:eastAsia="Times New Roman" w:hAnsi="Times New Roman" w:cs="Times New Roman"/>
          <w:kern w:val="0"/>
          <w:sz w:val="24"/>
          <w:szCs w:val="24"/>
          <w:lang w:eastAsia="en-GB"/>
          <w14:ligatures w14:val="none"/>
        </w:rPr>
        <w:t xml:space="preserve"> </w:t>
      </w:r>
      <w:r w:rsidRPr="00D11E7A">
        <w:rPr>
          <w:rFonts w:ascii="Times New Roman" w:eastAsia="Times New Roman" w:hAnsi="Times New Roman" w:cs="Times New Roman"/>
          <w:kern w:val="0"/>
          <w:sz w:val="24"/>
          <w:szCs w:val="24"/>
          <w:lang w:eastAsia="en-GB"/>
          <w14:ligatures w14:val="none"/>
        </w:rPr>
        <w:t xml:space="preserve">Divorce in Wales was not treated as a moral failing or a religious transgression; it was understood as a legal process that could be initiated by either </w:t>
      </w:r>
      <w:r w:rsidRPr="00D11E7A">
        <w:rPr>
          <w:rFonts w:ascii="Times New Roman" w:eastAsia="Times New Roman" w:hAnsi="Times New Roman" w:cs="Times New Roman"/>
          <w:kern w:val="0"/>
          <w:sz w:val="24"/>
          <w:szCs w:val="24"/>
          <w:lang w:eastAsia="en-GB"/>
          <w14:ligatures w14:val="none"/>
        </w:rPr>
        <w:lastRenderedPageBreak/>
        <w:t>spouse. This reflects a broader perspective on marriage in medieval Welsh culture: rather than being purely a sacred or spiritual bond, marriage was also a contractual and social arrangement. The law provided clear mechanisms for ending this contract, showing that legal recognition of marital dissolution was an established principle.</w:t>
      </w:r>
      <w:r>
        <w:rPr>
          <w:rFonts w:ascii="Times New Roman" w:eastAsia="Times New Roman" w:hAnsi="Times New Roman" w:cs="Times New Roman"/>
          <w:kern w:val="0"/>
          <w:sz w:val="24"/>
          <w:szCs w:val="24"/>
          <w:lang w:eastAsia="en-GB"/>
          <w14:ligatures w14:val="none"/>
        </w:rPr>
        <w:t xml:space="preserve"> </w:t>
      </w:r>
      <w:r w:rsidRPr="00D11E7A">
        <w:rPr>
          <w:rFonts w:ascii="Times New Roman" w:eastAsia="Times New Roman" w:hAnsi="Times New Roman" w:cs="Times New Roman"/>
          <w:kern w:val="0"/>
          <w:sz w:val="24"/>
          <w:szCs w:val="24"/>
          <w:lang w:eastAsia="en-GB"/>
          <w14:ligatures w14:val="none"/>
        </w:rPr>
        <w:t xml:space="preserve">By formally codifying divorce, the Welsh law codes acknowledged the realities of marital breakdown and offered a regulated way to address it. This recognition ensured that marital dissolution was not left to informal negotiation or social </w:t>
      </w:r>
      <w:proofErr w:type="gramStart"/>
      <w:r w:rsidRPr="00D11E7A">
        <w:rPr>
          <w:rFonts w:ascii="Times New Roman" w:eastAsia="Times New Roman" w:hAnsi="Times New Roman" w:cs="Times New Roman"/>
          <w:kern w:val="0"/>
          <w:sz w:val="24"/>
          <w:szCs w:val="24"/>
          <w:lang w:eastAsia="en-GB"/>
          <w14:ligatures w14:val="none"/>
        </w:rPr>
        <w:t>pressure, but</w:t>
      </w:r>
      <w:proofErr w:type="gramEnd"/>
      <w:r w:rsidRPr="00D11E7A">
        <w:rPr>
          <w:rFonts w:ascii="Times New Roman" w:eastAsia="Times New Roman" w:hAnsi="Times New Roman" w:cs="Times New Roman"/>
          <w:kern w:val="0"/>
          <w:sz w:val="24"/>
          <w:szCs w:val="24"/>
          <w:lang w:eastAsia="en-GB"/>
          <w14:ligatures w14:val="none"/>
        </w:rPr>
        <w:t xml:space="preserve"> was instead handled through the legal system. Divorce was thus a normal, recognize aspect of life, indicating that Welsh society was practical in its approach to personal relationships.</w:t>
      </w:r>
      <w:r>
        <w:rPr>
          <w:rFonts w:ascii="Times New Roman" w:eastAsia="Times New Roman" w:hAnsi="Times New Roman" w:cs="Times New Roman"/>
          <w:kern w:val="0"/>
          <w:sz w:val="24"/>
          <w:szCs w:val="24"/>
          <w:lang w:eastAsia="en-GB"/>
          <w14:ligatures w14:val="none"/>
        </w:rPr>
        <w:t xml:space="preserve"> </w:t>
      </w:r>
      <w:r w:rsidRPr="00D11E7A">
        <w:rPr>
          <w:rFonts w:ascii="Times New Roman" w:eastAsia="Times New Roman" w:hAnsi="Times New Roman" w:cs="Times New Roman"/>
          <w:kern w:val="0"/>
          <w:sz w:val="24"/>
          <w:szCs w:val="24"/>
          <w:lang w:eastAsia="en-GB"/>
          <w14:ligatures w14:val="none"/>
        </w:rPr>
        <w:t>The existence of divorce in these codes highlights a distinctive legal tradition: one that accepted the possibility of marital failure and provided formal avenues to resolve it. In doing so, Welsh law demonstrates that marriage was understood not only as a religious or moral institution but also as a social and legal agreement, with clear procedures allowing for its dissolution when necessary.</w:t>
      </w:r>
    </w:p>
    <w:p w14:paraId="4168CB2F" w14:textId="6DB3DBCD" w:rsidR="00190C0D" w:rsidRDefault="00190C0D" w:rsidP="00190C0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90C0D">
        <w:rPr>
          <w:rFonts w:ascii="Times New Roman" w:eastAsia="Times New Roman" w:hAnsi="Times New Roman" w:cs="Times New Roman"/>
          <w:kern w:val="0"/>
          <w:sz w:val="24"/>
          <w:szCs w:val="24"/>
          <w:lang w:eastAsia="en-GB"/>
          <w14:ligatures w14:val="none"/>
        </w:rPr>
        <w:t>The simple fact that divorce was recognized in medieval Welsh law is striking, but what is even more surprising is that women had the right to initiate it. In much of medieval Europe, women were expected to remain subordinate to their husbands, with very few legal options if things went wrong at home. Yet the Welsh law codes tell a different story—one where women had real agency to leave a marriage that was not working.</w:t>
      </w:r>
      <w:r>
        <w:rPr>
          <w:rFonts w:ascii="Times New Roman" w:eastAsia="Times New Roman" w:hAnsi="Times New Roman" w:cs="Times New Roman"/>
          <w:kern w:val="0"/>
          <w:sz w:val="24"/>
          <w:szCs w:val="24"/>
          <w:lang w:eastAsia="en-GB"/>
          <w14:ligatures w14:val="none"/>
        </w:rPr>
        <w:t xml:space="preserve"> </w:t>
      </w:r>
      <w:r w:rsidRPr="00190C0D">
        <w:rPr>
          <w:rFonts w:ascii="Times New Roman" w:eastAsia="Times New Roman" w:hAnsi="Times New Roman" w:cs="Times New Roman"/>
          <w:kern w:val="0"/>
          <w:sz w:val="24"/>
          <w:szCs w:val="24"/>
          <w:lang w:eastAsia="en-GB"/>
          <w14:ligatures w14:val="none"/>
        </w:rPr>
        <w:t>Welsh women could seek divorce for several reasons. If their husband was violent, failed to support them, was unfaithful, or even if he suffered from impotence, the law was on their side.</w:t>
      </w:r>
      <w:r w:rsidR="00BA296B">
        <w:rPr>
          <w:rStyle w:val="FootnoteReference"/>
          <w:rFonts w:ascii="Times New Roman" w:eastAsia="Times New Roman" w:hAnsi="Times New Roman" w:cs="Times New Roman"/>
          <w:kern w:val="0"/>
          <w:sz w:val="24"/>
          <w:szCs w:val="24"/>
          <w:lang w:eastAsia="en-GB"/>
          <w14:ligatures w14:val="none"/>
        </w:rPr>
        <w:footnoteReference w:id="26"/>
      </w:r>
      <w:r w:rsidRPr="00190C0D">
        <w:rPr>
          <w:rFonts w:ascii="Times New Roman" w:eastAsia="Times New Roman" w:hAnsi="Times New Roman" w:cs="Times New Roman"/>
          <w:kern w:val="0"/>
          <w:sz w:val="24"/>
          <w:szCs w:val="24"/>
          <w:lang w:eastAsia="en-GB"/>
          <w14:ligatures w14:val="none"/>
        </w:rPr>
        <w:t xml:space="preserve"> Even persistent neglect—something less dramatic but still important—could be enough. These are not just vague protections; the law spells out the circumstances that </w:t>
      </w:r>
      <w:r>
        <w:rPr>
          <w:rFonts w:ascii="Times New Roman" w:eastAsia="Times New Roman" w:hAnsi="Times New Roman" w:cs="Times New Roman"/>
          <w:kern w:val="0"/>
          <w:sz w:val="24"/>
          <w:szCs w:val="24"/>
          <w:lang w:eastAsia="en-GB"/>
          <w14:ligatures w14:val="none"/>
        </w:rPr>
        <w:t>justify</w:t>
      </w:r>
      <w:r w:rsidRPr="00190C0D">
        <w:rPr>
          <w:rFonts w:ascii="Times New Roman" w:eastAsia="Times New Roman" w:hAnsi="Times New Roman" w:cs="Times New Roman"/>
          <w:kern w:val="0"/>
          <w:sz w:val="24"/>
          <w:szCs w:val="24"/>
          <w:lang w:eastAsia="en-GB"/>
          <w14:ligatures w14:val="none"/>
        </w:rPr>
        <w:t xml:space="preserve"> ending a marriage. Clearly, marriage in medieval Wales was meant to be a partnership, and when those expectations were not met, the law offered a way out.</w:t>
      </w:r>
      <w:r>
        <w:rPr>
          <w:rFonts w:ascii="Times New Roman" w:eastAsia="Times New Roman" w:hAnsi="Times New Roman" w:cs="Times New Roman"/>
          <w:kern w:val="0"/>
          <w:sz w:val="24"/>
          <w:szCs w:val="24"/>
          <w:lang w:eastAsia="en-GB"/>
          <w14:ligatures w14:val="none"/>
        </w:rPr>
        <w:t xml:space="preserve"> </w:t>
      </w:r>
      <w:r w:rsidRPr="00190C0D">
        <w:rPr>
          <w:rFonts w:ascii="Times New Roman" w:eastAsia="Times New Roman" w:hAnsi="Times New Roman" w:cs="Times New Roman"/>
          <w:kern w:val="0"/>
          <w:sz w:val="24"/>
          <w:szCs w:val="24"/>
          <w:lang w:eastAsia="en-GB"/>
          <w14:ligatures w14:val="none"/>
        </w:rPr>
        <w:t xml:space="preserve">Economic security was another area where Welsh women fared better than many of their European </w:t>
      </w:r>
      <w:r w:rsidR="008A33D4">
        <w:rPr>
          <w:rFonts w:ascii="Times New Roman" w:eastAsia="Times New Roman" w:hAnsi="Times New Roman" w:cs="Times New Roman"/>
          <w:kern w:val="0"/>
          <w:sz w:val="24"/>
          <w:szCs w:val="24"/>
          <w:lang w:eastAsia="en-GB"/>
          <w14:ligatures w14:val="none"/>
        </w:rPr>
        <w:t>counterparts</w:t>
      </w:r>
      <w:r w:rsidRPr="00190C0D">
        <w:rPr>
          <w:rFonts w:ascii="Times New Roman" w:eastAsia="Times New Roman" w:hAnsi="Times New Roman" w:cs="Times New Roman"/>
          <w:kern w:val="0"/>
          <w:sz w:val="24"/>
          <w:szCs w:val="24"/>
          <w:lang w:eastAsia="en-GB"/>
          <w14:ligatures w14:val="none"/>
        </w:rPr>
        <w:t>. If a marriage ended, women were not simply cast out with nothing. The codes allowed them to reclaim their dowry and personal belongings, and sometimes even a share of property gained during the marriage.</w:t>
      </w:r>
      <w:r w:rsidR="00A67B21">
        <w:rPr>
          <w:rStyle w:val="FootnoteReference"/>
          <w:rFonts w:ascii="Times New Roman" w:eastAsia="Times New Roman" w:hAnsi="Times New Roman" w:cs="Times New Roman"/>
          <w:kern w:val="0"/>
          <w:sz w:val="24"/>
          <w:szCs w:val="24"/>
          <w:lang w:eastAsia="en-GB"/>
          <w14:ligatures w14:val="none"/>
        </w:rPr>
        <w:footnoteReference w:id="27"/>
      </w:r>
      <w:r w:rsidRPr="00190C0D">
        <w:rPr>
          <w:rFonts w:ascii="Times New Roman" w:eastAsia="Times New Roman" w:hAnsi="Times New Roman" w:cs="Times New Roman"/>
          <w:kern w:val="0"/>
          <w:sz w:val="24"/>
          <w:szCs w:val="24"/>
          <w:lang w:eastAsia="en-GB"/>
          <w14:ligatures w14:val="none"/>
        </w:rPr>
        <w:t xml:space="preserve"> In a society where wealth and land were central to security and status, these protections made a real difference.</w:t>
      </w:r>
      <w:r>
        <w:rPr>
          <w:rFonts w:ascii="Times New Roman" w:eastAsia="Times New Roman" w:hAnsi="Times New Roman" w:cs="Times New Roman"/>
          <w:kern w:val="0"/>
          <w:sz w:val="24"/>
          <w:szCs w:val="24"/>
          <w:lang w:eastAsia="en-GB"/>
          <w14:ligatures w14:val="none"/>
        </w:rPr>
        <w:t xml:space="preserve"> </w:t>
      </w:r>
      <w:r w:rsidRPr="00190C0D">
        <w:rPr>
          <w:rFonts w:ascii="Times New Roman" w:eastAsia="Times New Roman" w:hAnsi="Times New Roman" w:cs="Times New Roman"/>
          <w:kern w:val="0"/>
          <w:sz w:val="24"/>
          <w:szCs w:val="24"/>
          <w:lang w:eastAsia="en-GB"/>
          <w14:ligatures w14:val="none"/>
        </w:rPr>
        <w:t xml:space="preserve">All in all, the ability of women to end a marriage, supported by legal and economic safeguards, says a great deal about their position in Welsh society. While there were still limits to what women could do, they were not powerless. </w:t>
      </w:r>
      <w:r w:rsidRPr="00190C0D">
        <w:rPr>
          <w:rFonts w:ascii="Times New Roman" w:eastAsia="Times New Roman" w:hAnsi="Times New Roman" w:cs="Times New Roman"/>
          <w:kern w:val="0"/>
          <w:sz w:val="24"/>
          <w:szCs w:val="24"/>
          <w:lang w:eastAsia="en-GB"/>
          <w14:ligatures w14:val="none"/>
        </w:rPr>
        <w:lastRenderedPageBreak/>
        <w:t>Compared to other parts of Europe at the time, women in medieval Wales had options—and the law recognized their right to use them.</w:t>
      </w:r>
    </w:p>
    <w:p w14:paraId="4644B89E" w14:textId="02CEAFA0" w:rsidR="001C45A6" w:rsidRPr="001C45A6" w:rsidRDefault="001C45A6" w:rsidP="0006092F">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1C45A6">
        <w:rPr>
          <w:rFonts w:ascii="Times New Roman" w:eastAsia="Times New Roman" w:hAnsi="Times New Roman" w:cs="Times New Roman"/>
          <w:kern w:val="0"/>
          <w:sz w:val="24"/>
          <w:szCs w:val="24"/>
          <w:lang w:eastAsia="en-GB"/>
          <w14:ligatures w14:val="none"/>
        </w:rPr>
        <w:t>If a woman brought land, livestock, or other valuables into her marriage as a dowry, Welsh law made sure she could reclaim them if things didn’t work out. The same went for personal possessions—clothes, jewellery, and household items she owned before marrying stayed with her, and her husband couldn’t lay claim to them</w:t>
      </w:r>
      <w:r w:rsidR="00B644DE">
        <w:rPr>
          <w:rStyle w:val="FootnoteReference"/>
          <w:rFonts w:ascii="Times New Roman" w:eastAsia="Times New Roman" w:hAnsi="Times New Roman" w:cs="Times New Roman"/>
          <w:kern w:val="0"/>
          <w:sz w:val="24"/>
          <w:szCs w:val="24"/>
          <w:lang w:eastAsia="en-GB"/>
          <w14:ligatures w14:val="none"/>
        </w:rPr>
        <w:footnoteReference w:id="28"/>
      </w:r>
      <w:r w:rsidRPr="001C45A6">
        <w:rPr>
          <w:rFonts w:ascii="Times New Roman" w:eastAsia="Times New Roman" w:hAnsi="Times New Roman" w:cs="Times New Roman"/>
          <w:kern w:val="0"/>
          <w:sz w:val="24"/>
          <w:szCs w:val="24"/>
          <w:lang w:eastAsia="en-GB"/>
          <w14:ligatures w14:val="none"/>
        </w:rPr>
        <w:t>. What’s really striking is how specific Welsh law could be about this. The law codes sometimes included lists detailing who got which pots, pans, and even milking vessels after a split. It’s easy to imagine these kinds of details helping to prevent arguments and resentment, especially in close-knit rural communities where everyone knew everyone else’s business.</w:t>
      </w:r>
      <w:r w:rsidR="0006092F">
        <w:rPr>
          <w:rFonts w:ascii="Times New Roman" w:eastAsia="Times New Roman" w:hAnsi="Times New Roman" w:cs="Times New Roman"/>
          <w:kern w:val="0"/>
          <w:sz w:val="24"/>
          <w:szCs w:val="24"/>
          <w:lang w:eastAsia="en-GB"/>
          <w14:ligatures w14:val="none"/>
        </w:rPr>
        <w:t xml:space="preserve"> </w:t>
      </w:r>
      <w:r w:rsidRPr="001C45A6">
        <w:rPr>
          <w:rFonts w:ascii="Times New Roman" w:eastAsia="Times New Roman" w:hAnsi="Times New Roman" w:cs="Times New Roman"/>
          <w:kern w:val="0"/>
          <w:sz w:val="24"/>
          <w:szCs w:val="24"/>
          <w:lang w:eastAsia="en-GB"/>
          <w14:ligatures w14:val="none"/>
        </w:rPr>
        <w:t>These rules weren’t just lofty ideals or legal theory—they were genuinely practical, reflecting the realities of daily life in a society where family property, inheritance, and reputation were all bound closely together. By allowing women to keep what was rightfully theirs, the law provided real economic security and gave women options if a marriage broke down. This meant that divorce didn’t automatically spell disaster or poverty for a woman; instead, she had the means to support herself and, if necessary, her children.</w:t>
      </w:r>
      <w:r w:rsidR="0006092F">
        <w:rPr>
          <w:rFonts w:ascii="Times New Roman" w:eastAsia="Times New Roman" w:hAnsi="Times New Roman" w:cs="Times New Roman"/>
          <w:kern w:val="0"/>
          <w:sz w:val="24"/>
          <w:szCs w:val="24"/>
          <w:lang w:eastAsia="en-GB"/>
          <w14:ligatures w14:val="none"/>
        </w:rPr>
        <w:t xml:space="preserve"> </w:t>
      </w:r>
      <w:r w:rsidRPr="001C45A6">
        <w:rPr>
          <w:rFonts w:ascii="Times New Roman" w:eastAsia="Times New Roman" w:hAnsi="Times New Roman" w:cs="Times New Roman"/>
          <w:kern w:val="0"/>
          <w:sz w:val="24"/>
          <w:szCs w:val="24"/>
          <w:lang w:eastAsia="en-GB"/>
          <w14:ligatures w14:val="none"/>
        </w:rPr>
        <w:t xml:space="preserve">There was also a social dimension to these property rights. Allowing women to reclaim their dowries helped maintain good relations between families. Since dowries often came from a woman’s own kin, ensuring their return in the event of divorce kept those family ties from turning into bitter feuds. It also meant that a woman’s family remained invested in her </w:t>
      </w:r>
      <w:r w:rsidR="0006092F">
        <w:rPr>
          <w:rFonts w:ascii="Times New Roman" w:eastAsia="Times New Roman" w:hAnsi="Times New Roman" w:cs="Times New Roman"/>
          <w:kern w:val="0"/>
          <w:sz w:val="24"/>
          <w:szCs w:val="24"/>
          <w:lang w:eastAsia="en-GB"/>
          <w14:ligatures w14:val="none"/>
        </w:rPr>
        <w:t>well-being</w:t>
      </w:r>
      <w:r w:rsidRPr="001C45A6">
        <w:rPr>
          <w:rFonts w:ascii="Times New Roman" w:eastAsia="Times New Roman" w:hAnsi="Times New Roman" w:cs="Times New Roman"/>
          <w:kern w:val="0"/>
          <w:sz w:val="24"/>
          <w:szCs w:val="24"/>
          <w:lang w:eastAsia="en-GB"/>
          <w14:ligatures w14:val="none"/>
        </w:rPr>
        <w:t>, even after she married.</w:t>
      </w:r>
      <w:r w:rsidR="0006092F">
        <w:rPr>
          <w:rFonts w:ascii="Times New Roman" w:eastAsia="Times New Roman" w:hAnsi="Times New Roman" w:cs="Times New Roman"/>
          <w:kern w:val="0"/>
          <w:sz w:val="24"/>
          <w:szCs w:val="24"/>
          <w:lang w:eastAsia="en-GB"/>
          <w14:ligatures w14:val="none"/>
        </w:rPr>
        <w:t xml:space="preserve"> </w:t>
      </w:r>
      <w:r w:rsidRPr="001C45A6">
        <w:rPr>
          <w:rFonts w:ascii="Times New Roman" w:eastAsia="Times New Roman" w:hAnsi="Times New Roman" w:cs="Times New Roman"/>
          <w:kern w:val="0"/>
          <w:sz w:val="24"/>
          <w:szCs w:val="24"/>
          <w:lang w:eastAsia="en-GB"/>
          <w14:ligatures w14:val="none"/>
        </w:rPr>
        <w:t xml:space="preserve">What stands out in all of this is the pragmatic and balanced approach of Welsh law. Divorce was never easy, but the legal system made sure it didn’t mean total ruin for women. Instead, the law gave them a genuine foundation to rebuild and move forward—a rare protection in the medieval world, and one that shows </w:t>
      </w:r>
      <w:r w:rsidR="00B81546">
        <w:rPr>
          <w:rFonts w:ascii="Times New Roman" w:eastAsia="Times New Roman" w:hAnsi="Times New Roman" w:cs="Times New Roman"/>
          <w:kern w:val="0"/>
          <w:sz w:val="24"/>
          <w:szCs w:val="24"/>
          <w:lang w:eastAsia="en-GB"/>
          <w14:ligatures w14:val="none"/>
        </w:rPr>
        <w:t xml:space="preserve">that there were some aspects of Welsh law that were forward thinking. </w:t>
      </w:r>
    </w:p>
    <w:p w14:paraId="29C40B50" w14:textId="028BD23B" w:rsidR="00431AF8" w:rsidRDefault="00431AF8" w:rsidP="003D525C">
      <w:pPr>
        <w:spacing w:before="100" w:beforeAutospacing="1" w:after="100" w:afterAutospacing="1" w:line="360" w:lineRule="auto"/>
        <w:ind w:firstLine="720"/>
        <w:rPr>
          <w:rFonts w:ascii="Times New Roman" w:eastAsia="Times New Roman" w:hAnsi="Times New Roman" w:cs="Times New Roman"/>
          <w:kern w:val="0"/>
          <w:sz w:val="24"/>
          <w:szCs w:val="24"/>
          <w:lang w:eastAsia="en-GB"/>
          <w14:ligatures w14:val="none"/>
        </w:rPr>
      </w:pPr>
      <w:r w:rsidRPr="00431AF8">
        <w:rPr>
          <w:rFonts w:ascii="Times New Roman" w:eastAsia="Times New Roman" w:hAnsi="Times New Roman" w:cs="Times New Roman"/>
          <w:kern w:val="0"/>
          <w:sz w:val="24"/>
          <w:szCs w:val="24"/>
          <w:lang w:eastAsia="en-GB"/>
          <w14:ligatures w14:val="none"/>
        </w:rPr>
        <w:t xml:space="preserve">In conclusion, the Welsh law codes traditionally associated with Hywel Dda provide a rich and nuanced picture of the position of women in medieval Wales, particularly in relation to virginity, marriage, and divorce. Far from presenting a simple or uniformly oppressive system, these laws reveal a society that combined strict social expectations with a notable degree of legal protection and practical flexibility. Women’s sexuality, especially their virginity, was clearly of great economic and social importance, closely tied to issues of </w:t>
      </w:r>
      <w:r w:rsidRPr="00431AF8">
        <w:rPr>
          <w:rFonts w:ascii="Times New Roman" w:eastAsia="Times New Roman" w:hAnsi="Times New Roman" w:cs="Times New Roman"/>
          <w:kern w:val="0"/>
          <w:sz w:val="24"/>
          <w:szCs w:val="24"/>
          <w:lang w:eastAsia="en-GB"/>
          <w14:ligatures w14:val="none"/>
        </w:rPr>
        <w:lastRenderedPageBreak/>
        <w:t>honour, inheritance, and the legitimacy of heirs. Practices such as amobr and the existence of virginity tests demonstrate the extent to which female behaviour was monitored and regulated within a male-dominated framework.</w:t>
      </w:r>
      <w:r w:rsidR="00F91F03">
        <w:rPr>
          <w:rFonts w:ascii="Times New Roman" w:eastAsia="Times New Roman" w:hAnsi="Times New Roman" w:cs="Times New Roman"/>
          <w:kern w:val="0"/>
          <w:sz w:val="24"/>
          <w:szCs w:val="24"/>
          <w:lang w:eastAsia="en-GB"/>
          <w14:ligatures w14:val="none"/>
        </w:rPr>
        <w:t xml:space="preserve"> </w:t>
      </w:r>
      <w:r w:rsidRPr="00431AF8">
        <w:rPr>
          <w:rFonts w:ascii="Times New Roman" w:eastAsia="Times New Roman" w:hAnsi="Times New Roman" w:cs="Times New Roman"/>
          <w:kern w:val="0"/>
          <w:sz w:val="24"/>
          <w:szCs w:val="24"/>
          <w:lang w:eastAsia="en-GB"/>
          <w14:ligatures w14:val="none"/>
        </w:rPr>
        <w:t>At the same time, however, the law codes also highlight the ways in which women were granted agency and legal recognition. Marriage in medieval Wales was not treated solely as a religious sacrament but as a social and economic contract between families. This understanding allowed for a range of marital forms to be recognised, reflecting the realities of Welsh society. Within this framework, women retained important rights over their property, particularly their dowries, and were acknowledged as legal individuals capable of holding possessions, participating in transactions, and seeking legal redress when necessary.</w:t>
      </w:r>
      <w:r>
        <w:rPr>
          <w:rFonts w:ascii="Times New Roman" w:eastAsia="Times New Roman" w:hAnsi="Times New Roman" w:cs="Times New Roman"/>
          <w:kern w:val="0"/>
          <w:sz w:val="24"/>
          <w:szCs w:val="24"/>
          <w:lang w:eastAsia="en-GB"/>
          <w14:ligatures w14:val="none"/>
        </w:rPr>
        <w:t xml:space="preserve"> </w:t>
      </w:r>
      <w:r w:rsidRPr="00431AF8">
        <w:rPr>
          <w:rFonts w:ascii="Times New Roman" w:eastAsia="Times New Roman" w:hAnsi="Times New Roman" w:cs="Times New Roman"/>
          <w:kern w:val="0"/>
          <w:sz w:val="24"/>
          <w:szCs w:val="24"/>
          <w:lang w:eastAsia="en-GB"/>
          <w14:ligatures w14:val="none"/>
        </w:rPr>
        <w:t>The provisions surrounding divorce are perhaps the clearest example of this balance between control and protection. Unlike in much of contemporary Europe, divorce was recognised and regulated, and women could initiate separation under certain conditions. The law codes ensured that the dissolution of marriage was managed in a structured and equitable way, with detailed rules governing the division of property and the responsibilities of each party. By allowing women to reclaim their possessions and maintain a degree of economic independence, the law mitigated the potential hardships of marital breakdown.</w:t>
      </w:r>
      <w:r>
        <w:rPr>
          <w:rFonts w:ascii="Times New Roman" w:eastAsia="Times New Roman" w:hAnsi="Times New Roman" w:cs="Times New Roman"/>
          <w:kern w:val="0"/>
          <w:sz w:val="24"/>
          <w:szCs w:val="24"/>
          <w:lang w:eastAsia="en-GB"/>
          <w14:ligatures w14:val="none"/>
        </w:rPr>
        <w:t xml:space="preserve"> </w:t>
      </w:r>
      <w:r w:rsidRPr="00431AF8">
        <w:rPr>
          <w:rFonts w:ascii="Times New Roman" w:eastAsia="Times New Roman" w:hAnsi="Times New Roman" w:cs="Times New Roman"/>
          <w:kern w:val="0"/>
          <w:sz w:val="24"/>
          <w:szCs w:val="24"/>
          <w:lang w:eastAsia="en-GB"/>
          <w14:ligatures w14:val="none"/>
        </w:rPr>
        <w:t>Overall, the Welsh law codes reveal a legal system that was both pragmatic and socially embedded. While women were undoubtedly subject to patriarchal authority and scrutiny, they were not without rights or recourse. Instead, they occupied a position that combined vulnerability with protection, constraint with agency. This complexity sets medieval Welsh law apart from many of its European counterparts and underscores its distinctive approach to regulating social relations. Ultimately, the law codes demonstrate that medieval Welsh society sought not only to control behaviour but also to manage it in a way that preserved stability, fairness, and the interests of both individuals and the wider community.</w:t>
      </w:r>
    </w:p>
    <w:p w14:paraId="52504173" w14:textId="4C1D0F00" w:rsidR="00AA237D" w:rsidRPr="00F11DA4" w:rsidRDefault="00F11DA4" w:rsidP="00AA237D">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F11DA4">
        <w:rPr>
          <w:rFonts w:ascii="Times New Roman" w:eastAsia="Times New Roman" w:hAnsi="Times New Roman" w:cs="Times New Roman"/>
          <w:b/>
          <w:bCs/>
          <w:kern w:val="0"/>
          <w:sz w:val="24"/>
          <w:szCs w:val="24"/>
          <w:lang w:eastAsia="en-GB"/>
          <w14:ligatures w14:val="none"/>
        </w:rPr>
        <w:t>Word count 3835</w:t>
      </w:r>
    </w:p>
    <w:p w14:paraId="4737D99F" w14:textId="77777777" w:rsidR="00AA237D" w:rsidRPr="00AA3E41" w:rsidRDefault="00AA237D" w:rsidP="00AA237D">
      <w:pPr>
        <w:spacing w:line="240" w:lineRule="auto"/>
        <w:rPr>
          <w:rFonts w:ascii="Times New Roman" w:hAnsi="Times New Roman" w:cs="Times New Roman"/>
          <w:b/>
          <w:bCs/>
          <w:sz w:val="24"/>
          <w:szCs w:val="24"/>
          <w:shd w:val="clear" w:color="auto" w:fill="FFFFFF"/>
        </w:rPr>
      </w:pPr>
      <w:r w:rsidRPr="00AA3E41">
        <w:rPr>
          <w:rFonts w:ascii="Times New Roman" w:hAnsi="Times New Roman" w:cs="Times New Roman"/>
          <w:b/>
          <w:bCs/>
          <w:sz w:val="24"/>
          <w:szCs w:val="24"/>
          <w:shd w:val="clear" w:color="auto" w:fill="FFFFFF"/>
        </w:rPr>
        <w:t>References</w:t>
      </w:r>
    </w:p>
    <w:p w14:paraId="44A4775D" w14:textId="77777777" w:rsidR="00AA237D" w:rsidRDefault="00AA237D" w:rsidP="00AA237D">
      <w:pPr>
        <w:shd w:val="clear" w:color="auto" w:fill="FAFAFA"/>
        <w:spacing w:after="0" w:line="240" w:lineRule="auto"/>
        <w:rPr>
          <w:rFonts w:ascii="Times New Roman" w:eastAsia="Times New Roman" w:hAnsi="Times New Roman" w:cs="Times New Roman"/>
          <w:color w:val="000000"/>
          <w:kern w:val="0"/>
          <w:sz w:val="24"/>
          <w:szCs w:val="24"/>
          <w:lang w:eastAsia="en-GB"/>
          <w14:ligatures w14:val="none"/>
        </w:rPr>
      </w:pPr>
      <w:r w:rsidRPr="00854CA3">
        <w:rPr>
          <w:rFonts w:ascii="Times New Roman" w:eastAsia="Times New Roman" w:hAnsi="Times New Roman" w:cs="Times New Roman"/>
          <w:color w:val="000000"/>
          <w:kern w:val="0"/>
          <w:sz w:val="24"/>
          <w:szCs w:val="24"/>
          <w:lang w:eastAsia="en-GB"/>
          <w14:ligatures w14:val="none"/>
        </w:rPr>
        <w:t>Bloch, R. H. (1991). </w:t>
      </w:r>
      <w:r w:rsidRPr="00854CA3">
        <w:rPr>
          <w:rFonts w:ascii="Times New Roman" w:eastAsia="Times New Roman" w:hAnsi="Times New Roman" w:cs="Times New Roman"/>
          <w:i/>
          <w:iCs/>
          <w:color w:val="000000"/>
          <w:kern w:val="0"/>
          <w:sz w:val="24"/>
          <w:szCs w:val="24"/>
          <w:lang w:eastAsia="en-GB"/>
          <w14:ligatures w14:val="none"/>
        </w:rPr>
        <w:t>Medieval misogyny and the invention of Western romantic love [electronic resource] </w:t>
      </w:r>
      <w:r w:rsidRPr="00854CA3">
        <w:rPr>
          <w:rFonts w:ascii="Times New Roman" w:eastAsia="Times New Roman" w:hAnsi="Times New Roman" w:cs="Times New Roman"/>
          <w:color w:val="000000"/>
          <w:kern w:val="0"/>
          <w:sz w:val="24"/>
          <w:szCs w:val="24"/>
          <w:lang w:eastAsia="en-GB"/>
          <w14:ligatures w14:val="none"/>
        </w:rPr>
        <w:t xml:space="preserve">(R Howard Bloch, Ed.; p. 1 online resource (ix, 298 </w:t>
      </w:r>
      <w:proofErr w:type="gramStart"/>
      <w:r w:rsidRPr="00854CA3">
        <w:rPr>
          <w:rFonts w:ascii="Times New Roman" w:eastAsia="Times New Roman" w:hAnsi="Times New Roman" w:cs="Times New Roman"/>
          <w:color w:val="000000"/>
          <w:kern w:val="0"/>
          <w:sz w:val="24"/>
          <w:szCs w:val="24"/>
          <w:lang w:eastAsia="en-GB"/>
          <w14:ligatures w14:val="none"/>
        </w:rPr>
        <w:t>p. )</w:t>
      </w:r>
      <w:proofErr w:type="gramEnd"/>
      <w:r w:rsidRPr="00854CA3">
        <w:rPr>
          <w:rFonts w:ascii="Times New Roman" w:eastAsia="Times New Roman" w:hAnsi="Times New Roman" w:cs="Times New Roman"/>
          <w:color w:val="000000"/>
          <w:kern w:val="0"/>
          <w:sz w:val="24"/>
          <w:szCs w:val="24"/>
          <w:lang w:eastAsia="en-GB"/>
          <w14:ligatures w14:val="none"/>
        </w:rPr>
        <w:t xml:space="preserve">). University of Chicago Press. </w:t>
      </w:r>
      <w:hyperlink r:id="rId8" w:history="1">
        <w:r w:rsidRPr="00854CA3">
          <w:rPr>
            <w:rStyle w:val="Hyperlink"/>
            <w:rFonts w:ascii="Times New Roman" w:eastAsia="Times New Roman" w:hAnsi="Times New Roman" w:cs="Times New Roman"/>
            <w:kern w:val="0"/>
            <w:sz w:val="24"/>
            <w:szCs w:val="24"/>
            <w:lang w:eastAsia="en-GB"/>
            <w14:ligatures w14:val="none"/>
          </w:rPr>
          <w:t>https://doi.org/10.7208/9780226059907</w:t>
        </w:r>
      </w:hyperlink>
    </w:p>
    <w:p w14:paraId="7483F303" w14:textId="77777777" w:rsidR="00AA237D" w:rsidRPr="00A655C6" w:rsidRDefault="00AA237D" w:rsidP="00AA237D">
      <w:pPr>
        <w:shd w:val="clear" w:color="auto" w:fill="FAFAFA"/>
        <w:spacing w:after="0" w:line="240" w:lineRule="auto"/>
        <w:rPr>
          <w:rFonts w:ascii="Times New Roman" w:eastAsia="Times New Roman" w:hAnsi="Times New Roman" w:cs="Times New Roman"/>
          <w:color w:val="000000"/>
          <w:kern w:val="0"/>
          <w:sz w:val="24"/>
          <w:szCs w:val="24"/>
          <w:lang w:eastAsia="en-GB"/>
          <w14:ligatures w14:val="none"/>
        </w:rPr>
      </w:pPr>
    </w:p>
    <w:p w14:paraId="050EBE31" w14:textId="77777777" w:rsidR="00AA237D" w:rsidRPr="00AF76A2" w:rsidRDefault="00AA237D" w:rsidP="00AA237D">
      <w:pPr>
        <w:spacing w:line="240" w:lineRule="auto"/>
        <w:rPr>
          <w:rFonts w:ascii="Times New Roman" w:hAnsi="Times New Roman" w:cs="Times New Roman"/>
          <w:sz w:val="24"/>
          <w:szCs w:val="24"/>
          <w:shd w:val="clear" w:color="auto" w:fill="FFFFFF"/>
        </w:rPr>
      </w:pPr>
      <w:r w:rsidRPr="000D4F05">
        <w:rPr>
          <w:rFonts w:ascii="Times New Roman" w:hAnsi="Times New Roman" w:cs="Times New Roman"/>
          <w:sz w:val="24"/>
          <w:szCs w:val="24"/>
          <w:shd w:val="clear" w:color="auto" w:fill="FFFFFF"/>
        </w:rPr>
        <w:t>Cartwright, Jane, </w:t>
      </w:r>
      <w:r w:rsidRPr="000D4F05">
        <w:rPr>
          <w:rFonts w:ascii="Times New Roman" w:hAnsi="Times New Roman" w:cs="Times New Roman"/>
          <w:i/>
          <w:iCs/>
          <w:sz w:val="24"/>
          <w:szCs w:val="24"/>
          <w:shd w:val="clear" w:color="auto" w:fill="FFFFFF"/>
        </w:rPr>
        <w:t>Virginity and Chastity Tests in Medieval Welsh Prose</w:t>
      </w:r>
      <w:r w:rsidRPr="000D4F05">
        <w:rPr>
          <w:rFonts w:ascii="Times New Roman" w:hAnsi="Times New Roman" w:cs="Times New Roman"/>
          <w:sz w:val="24"/>
          <w:szCs w:val="24"/>
          <w:shd w:val="clear" w:color="auto" w:fill="FFFFFF"/>
        </w:rPr>
        <w:t> (Cardiff: University of Wales Press, 2003).</w:t>
      </w:r>
    </w:p>
    <w:p w14:paraId="21A31A45" w14:textId="77777777" w:rsidR="00AA237D" w:rsidRPr="005B1AEC" w:rsidRDefault="00AA237D" w:rsidP="00AA237D">
      <w:pPr>
        <w:spacing w:after="0" w:line="240" w:lineRule="auto"/>
        <w:rPr>
          <w:rFonts w:ascii="Times New Roman" w:eastAsia="Times New Roman" w:hAnsi="Times New Roman" w:cs="Times New Roman"/>
          <w:color w:val="000000"/>
          <w:kern w:val="0"/>
          <w:sz w:val="24"/>
          <w:szCs w:val="24"/>
          <w:lang w:eastAsia="en-GB"/>
          <w14:ligatures w14:val="none"/>
        </w:rPr>
      </w:pPr>
      <w:r w:rsidRPr="005B1AEC">
        <w:rPr>
          <w:rFonts w:ascii="Times New Roman" w:eastAsia="Times New Roman" w:hAnsi="Times New Roman" w:cs="Times New Roman"/>
          <w:color w:val="000000"/>
          <w:kern w:val="0"/>
          <w:sz w:val="24"/>
          <w:szCs w:val="24"/>
          <w:lang w:eastAsia="en-GB"/>
          <w14:ligatures w14:val="none"/>
        </w:rPr>
        <w:lastRenderedPageBreak/>
        <w:t>Clarke, S., &amp; Roberts, M. (Eds). (2000). </w:t>
      </w:r>
      <w:r w:rsidRPr="005B1AEC">
        <w:rPr>
          <w:rFonts w:ascii="Times New Roman" w:eastAsia="Times New Roman" w:hAnsi="Times New Roman" w:cs="Times New Roman"/>
          <w:i/>
          <w:iCs/>
          <w:color w:val="000000"/>
          <w:kern w:val="0"/>
          <w:sz w:val="24"/>
          <w:szCs w:val="24"/>
          <w:lang w:eastAsia="en-GB"/>
          <w14:ligatures w14:val="none"/>
        </w:rPr>
        <w:t xml:space="preserve">Women and gender in early modern </w:t>
      </w:r>
      <w:proofErr w:type="gramStart"/>
      <w:r w:rsidRPr="005B1AEC">
        <w:rPr>
          <w:rFonts w:ascii="Times New Roman" w:eastAsia="Times New Roman" w:hAnsi="Times New Roman" w:cs="Times New Roman"/>
          <w:i/>
          <w:iCs/>
          <w:color w:val="000000"/>
          <w:kern w:val="0"/>
          <w:sz w:val="24"/>
          <w:szCs w:val="24"/>
          <w:lang w:eastAsia="en-GB"/>
          <w14:ligatures w14:val="none"/>
        </w:rPr>
        <w:t>Wales </w:t>
      </w:r>
      <w:r w:rsidRPr="005B1AEC">
        <w:rPr>
          <w:rFonts w:ascii="Times New Roman" w:eastAsia="Times New Roman" w:hAnsi="Times New Roman" w:cs="Times New Roman"/>
          <w:color w:val="000000"/>
          <w:kern w:val="0"/>
          <w:sz w:val="24"/>
          <w:szCs w:val="24"/>
          <w:lang w:eastAsia="en-GB"/>
          <w14:ligatures w14:val="none"/>
        </w:rPr>
        <w:t>.</w:t>
      </w:r>
      <w:proofErr w:type="gramEnd"/>
      <w:r w:rsidRPr="005B1AEC">
        <w:rPr>
          <w:rFonts w:ascii="Times New Roman" w:eastAsia="Times New Roman" w:hAnsi="Times New Roman" w:cs="Times New Roman"/>
          <w:color w:val="000000"/>
          <w:kern w:val="0"/>
          <w:sz w:val="24"/>
          <w:szCs w:val="24"/>
          <w:lang w:eastAsia="en-GB"/>
          <w14:ligatures w14:val="none"/>
        </w:rPr>
        <w:t xml:space="preserve"> University of Wales Press.</w:t>
      </w:r>
    </w:p>
    <w:p w14:paraId="093392F3" w14:textId="77777777" w:rsidR="00AA237D" w:rsidRPr="005B1AEC" w:rsidRDefault="00AA237D" w:rsidP="00AA237D">
      <w:pPr>
        <w:spacing w:after="0" w:line="240" w:lineRule="auto"/>
        <w:rPr>
          <w:rFonts w:ascii="Times New Roman" w:eastAsia="Times New Roman" w:hAnsi="Times New Roman" w:cs="Times New Roman"/>
          <w:kern w:val="0"/>
          <w:sz w:val="24"/>
          <w:szCs w:val="24"/>
          <w:lang w:eastAsia="en-GB"/>
          <w14:ligatures w14:val="none"/>
        </w:rPr>
      </w:pPr>
    </w:p>
    <w:p w14:paraId="1A992B81" w14:textId="77777777" w:rsidR="00AA237D" w:rsidRPr="000D4F05" w:rsidRDefault="00AA237D" w:rsidP="00AA237D">
      <w:pPr>
        <w:spacing w:line="240" w:lineRule="auto"/>
        <w:rPr>
          <w:rFonts w:ascii="Times New Roman" w:hAnsi="Times New Roman" w:cs="Times New Roman"/>
          <w:sz w:val="24"/>
          <w:szCs w:val="24"/>
          <w:shd w:val="clear" w:color="auto" w:fill="FFFFFF"/>
        </w:rPr>
      </w:pPr>
      <w:r w:rsidRPr="00AF76A2">
        <w:rPr>
          <w:rFonts w:ascii="Times New Roman" w:hAnsi="Times New Roman" w:cs="Times New Roman"/>
          <w:color w:val="1D2125"/>
          <w:sz w:val="24"/>
          <w:szCs w:val="24"/>
          <w:shd w:val="clear" w:color="auto" w:fill="FFFFFF"/>
        </w:rPr>
        <w:t>Kenny, G. (2006). Anglo-Irish and Gaelic marriage laws and traditions in late medieval Ireland. </w:t>
      </w:r>
      <w:r w:rsidRPr="00AF76A2">
        <w:rPr>
          <w:rFonts w:ascii="Times New Roman" w:hAnsi="Times New Roman" w:cs="Times New Roman"/>
          <w:i/>
          <w:iCs/>
          <w:color w:val="1D2125"/>
          <w:sz w:val="24"/>
          <w:szCs w:val="24"/>
          <w:shd w:val="clear" w:color="auto" w:fill="FFFFFF"/>
        </w:rPr>
        <w:t>Journal of Medieval History,</w:t>
      </w:r>
      <w:r w:rsidRPr="00AF76A2">
        <w:rPr>
          <w:rFonts w:ascii="Times New Roman" w:hAnsi="Times New Roman" w:cs="Times New Roman"/>
          <w:color w:val="1D2125"/>
          <w:sz w:val="24"/>
          <w:szCs w:val="24"/>
          <w:shd w:val="clear" w:color="auto" w:fill="FFFFFF"/>
        </w:rPr>
        <w:t> </w:t>
      </w:r>
      <w:r w:rsidRPr="00AF76A2">
        <w:rPr>
          <w:rFonts w:ascii="Times New Roman" w:hAnsi="Times New Roman" w:cs="Times New Roman"/>
          <w:i/>
          <w:iCs/>
          <w:color w:val="1D2125"/>
          <w:sz w:val="24"/>
          <w:szCs w:val="24"/>
          <w:shd w:val="clear" w:color="auto" w:fill="FFFFFF"/>
        </w:rPr>
        <w:t>32</w:t>
      </w:r>
      <w:r w:rsidRPr="00AF76A2">
        <w:rPr>
          <w:rFonts w:ascii="Times New Roman" w:hAnsi="Times New Roman" w:cs="Times New Roman"/>
          <w:color w:val="1D2125"/>
          <w:sz w:val="24"/>
          <w:szCs w:val="24"/>
          <w:shd w:val="clear" w:color="auto" w:fill="FFFFFF"/>
        </w:rPr>
        <w:t>(1), 27-42.</w:t>
      </w:r>
    </w:p>
    <w:p w14:paraId="0126A253" w14:textId="77777777" w:rsidR="00AA237D" w:rsidRPr="00AF76A2" w:rsidRDefault="00AA237D" w:rsidP="00AA237D">
      <w:pPr>
        <w:shd w:val="clear" w:color="auto" w:fill="FAFAFA"/>
        <w:spacing w:after="0" w:line="240" w:lineRule="auto"/>
        <w:rPr>
          <w:rFonts w:ascii="Times New Roman" w:eastAsia="Times New Roman" w:hAnsi="Times New Roman" w:cs="Times New Roman"/>
          <w:kern w:val="0"/>
          <w:sz w:val="24"/>
          <w:szCs w:val="24"/>
          <w:lang w:eastAsia="en-GB"/>
          <w14:ligatures w14:val="none"/>
        </w:rPr>
      </w:pPr>
      <w:r w:rsidRPr="003E5970">
        <w:rPr>
          <w:rFonts w:ascii="Times New Roman" w:eastAsia="Times New Roman" w:hAnsi="Times New Roman" w:cs="Times New Roman"/>
          <w:kern w:val="0"/>
          <w:sz w:val="24"/>
          <w:szCs w:val="24"/>
          <w:lang w:eastAsia="en-GB"/>
          <w14:ligatures w14:val="none"/>
        </w:rPr>
        <w:t>Sara E. Roberts. (2008). Emerging from the Bushes: The Welsh Law of Women in the Legal Triads. In J.F. Eska &amp; J. F. Eska (Eds), </w:t>
      </w:r>
      <w:r w:rsidRPr="003E5970">
        <w:rPr>
          <w:rFonts w:ascii="Times New Roman" w:eastAsia="Times New Roman" w:hAnsi="Times New Roman" w:cs="Times New Roman"/>
          <w:i/>
          <w:iCs/>
          <w:kern w:val="0"/>
          <w:sz w:val="24"/>
          <w:szCs w:val="24"/>
          <w:lang w:eastAsia="en-GB"/>
          <w14:ligatures w14:val="none"/>
        </w:rPr>
        <w:t>Law, literature and society </w:t>
      </w:r>
      <w:r w:rsidRPr="003E5970">
        <w:rPr>
          <w:rFonts w:ascii="Times New Roman" w:eastAsia="Times New Roman" w:hAnsi="Times New Roman" w:cs="Times New Roman"/>
          <w:kern w:val="0"/>
          <w:sz w:val="24"/>
          <w:szCs w:val="24"/>
          <w:lang w:eastAsia="en-GB"/>
          <w14:ligatures w14:val="none"/>
        </w:rPr>
        <w:t>(pp. 58–76). Four Courts Press.</w:t>
      </w:r>
    </w:p>
    <w:p w14:paraId="422DEEF1" w14:textId="77777777" w:rsidR="00AA237D" w:rsidRPr="00AF76A2" w:rsidRDefault="00AA237D" w:rsidP="00AA237D">
      <w:pPr>
        <w:shd w:val="clear" w:color="auto" w:fill="FFFFFF"/>
        <w:spacing w:after="0" w:line="240" w:lineRule="auto"/>
        <w:rPr>
          <w:rFonts w:ascii="Times New Roman" w:eastAsia="Times New Roman" w:hAnsi="Times New Roman" w:cs="Times New Roman"/>
          <w:color w:val="3A3A3A"/>
          <w:kern w:val="0"/>
          <w:sz w:val="24"/>
          <w:szCs w:val="24"/>
          <w:lang w:eastAsia="en-GB"/>
          <w14:ligatures w14:val="none"/>
        </w:rPr>
      </w:pPr>
    </w:p>
    <w:p w14:paraId="77347482" w14:textId="77777777" w:rsidR="00AA237D" w:rsidRPr="00404FBB" w:rsidRDefault="00AA237D" w:rsidP="00AA237D">
      <w:pPr>
        <w:shd w:val="clear" w:color="auto" w:fill="FFFFFF"/>
        <w:spacing w:after="0" w:line="240" w:lineRule="auto"/>
        <w:rPr>
          <w:rFonts w:ascii="Times New Roman" w:eastAsia="Times New Roman" w:hAnsi="Times New Roman" w:cs="Times New Roman"/>
          <w:color w:val="3A3A3A"/>
          <w:kern w:val="0"/>
          <w:sz w:val="24"/>
          <w:szCs w:val="24"/>
          <w:lang w:eastAsia="en-GB"/>
          <w14:ligatures w14:val="none"/>
        </w:rPr>
      </w:pPr>
      <w:r w:rsidRPr="00404FBB">
        <w:rPr>
          <w:rFonts w:ascii="Times New Roman" w:eastAsia="Times New Roman" w:hAnsi="Times New Roman" w:cs="Times New Roman"/>
          <w:kern w:val="0"/>
          <w:sz w:val="24"/>
          <w:szCs w:val="24"/>
          <w:lang w:eastAsia="en-GB"/>
          <w14:ligatures w14:val="none"/>
        </w:rPr>
        <w:t>Stacey, R. C. (2018). </w:t>
      </w:r>
      <w:r w:rsidRPr="00404FBB">
        <w:rPr>
          <w:rFonts w:ascii="Times New Roman" w:eastAsia="Times New Roman" w:hAnsi="Times New Roman" w:cs="Times New Roman"/>
          <w:i/>
          <w:iCs/>
          <w:kern w:val="0"/>
          <w:sz w:val="24"/>
          <w:szCs w:val="24"/>
          <w:lang w:eastAsia="en-GB"/>
          <w14:ligatures w14:val="none"/>
        </w:rPr>
        <w:t>Law and the Imagination in Medieval Wales</w:t>
      </w:r>
      <w:r w:rsidRPr="00404FBB">
        <w:rPr>
          <w:rFonts w:ascii="Times New Roman" w:eastAsia="Times New Roman" w:hAnsi="Times New Roman" w:cs="Times New Roman"/>
          <w:kern w:val="0"/>
          <w:sz w:val="24"/>
          <w:szCs w:val="24"/>
          <w:lang w:eastAsia="en-GB"/>
          <w14:ligatures w14:val="none"/>
        </w:rPr>
        <w:t xml:space="preserve">. University of Pennsylvania </w:t>
      </w:r>
      <w:proofErr w:type="gramStart"/>
      <w:r w:rsidRPr="00404FBB">
        <w:rPr>
          <w:rFonts w:ascii="Times New Roman" w:eastAsia="Times New Roman" w:hAnsi="Times New Roman" w:cs="Times New Roman"/>
          <w:kern w:val="0"/>
          <w:sz w:val="24"/>
          <w:szCs w:val="24"/>
          <w:lang w:eastAsia="en-GB"/>
          <w14:ligatures w14:val="none"/>
        </w:rPr>
        <w:t>Press,.</w:t>
      </w:r>
      <w:proofErr w:type="gramEnd"/>
      <w:r w:rsidRPr="00404FBB">
        <w:rPr>
          <w:rFonts w:ascii="Times New Roman" w:eastAsia="Times New Roman" w:hAnsi="Times New Roman" w:cs="Times New Roman"/>
          <w:kern w:val="0"/>
          <w:sz w:val="24"/>
          <w:szCs w:val="24"/>
          <w:lang w:eastAsia="en-GB"/>
          <w14:ligatures w14:val="none"/>
        </w:rPr>
        <w:t xml:space="preserve"> </w:t>
      </w:r>
      <w:hyperlink r:id="rId9" w:history="1">
        <w:r w:rsidRPr="00E26675">
          <w:rPr>
            <w:rStyle w:val="Hyperlink"/>
            <w:rFonts w:ascii="Times New Roman" w:eastAsia="Times New Roman" w:hAnsi="Times New Roman" w:cs="Times New Roman"/>
            <w:kern w:val="0"/>
            <w:sz w:val="24"/>
            <w:szCs w:val="24"/>
            <w:lang w:eastAsia="en-GB"/>
            <w14:ligatures w14:val="none"/>
          </w:rPr>
          <w:t>https://doi.org/10.9783/9780812295429 Accessed 15/03/2026</w:t>
        </w:r>
      </w:hyperlink>
    </w:p>
    <w:p w14:paraId="3266862E" w14:textId="77777777" w:rsidR="00AA237D" w:rsidRDefault="00AA237D" w:rsidP="00AA237D">
      <w:pPr>
        <w:shd w:val="clear" w:color="auto" w:fill="FFFFFF"/>
        <w:spacing w:after="0" w:line="240" w:lineRule="auto"/>
        <w:rPr>
          <w:rFonts w:ascii="Times New Roman" w:eastAsia="Times New Roman" w:hAnsi="Times New Roman" w:cs="Times New Roman"/>
          <w:color w:val="3A3A3A"/>
          <w:kern w:val="0"/>
          <w:sz w:val="24"/>
          <w:szCs w:val="24"/>
          <w:lang w:eastAsia="en-GB"/>
          <w14:ligatures w14:val="none"/>
        </w:rPr>
      </w:pPr>
    </w:p>
    <w:p w14:paraId="22365C5E" w14:textId="77777777" w:rsidR="00AA237D" w:rsidRDefault="00AA237D" w:rsidP="00AA237D">
      <w:pPr>
        <w:shd w:val="clear" w:color="auto" w:fill="FFFFFF"/>
        <w:spacing w:after="0" w:line="240" w:lineRule="auto"/>
        <w:rPr>
          <w:rFonts w:ascii="Times New Roman" w:eastAsia="Times New Roman" w:hAnsi="Times New Roman" w:cs="Times New Roman"/>
          <w:color w:val="3A3A3A"/>
          <w:kern w:val="0"/>
          <w:sz w:val="24"/>
          <w:szCs w:val="24"/>
          <w:lang w:eastAsia="en-GB"/>
          <w14:ligatures w14:val="none"/>
        </w:rPr>
      </w:pPr>
      <w:r>
        <w:rPr>
          <w:rFonts w:ascii="Times New Roman" w:eastAsia="Times New Roman" w:hAnsi="Times New Roman" w:cs="Times New Roman"/>
          <w:color w:val="3A3A3A"/>
          <w:kern w:val="0"/>
          <w:sz w:val="24"/>
          <w:szCs w:val="24"/>
          <w:lang w:eastAsia="en-GB"/>
          <w14:ligatures w14:val="none"/>
        </w:rPr>
        <w:t xml:space="preserve">Raae, Hanne-Mette Alsos (2013), The Representation in Old Irish Law Texts of the Legal Position of Women in Early Medieval Ireland as Regards the Ownership of Property, University of Glasgow. </w:t>
      </w:r>
    </w:p>
    <w:p w14:paraId="1A824AD5" w14:textId="77777777" w:rsidR="00AA237D" w:rsidRPr="001F6515" w:rsidRDefault="00AA237D" w:rsidP="00AA237D">
      <w:pPr>
        <w:shd w:val="clear" w:color="auto" w:fill="FFFFFF"/>
        <w:spacing w:after="0" w:line="240" w:lineRule="auto"/>
        <w:rPr>
          <w:rFonts w:ascii="Times New Roman" w:eastAsia="Times New Roman" w:hAnsi="Times New Roman" w:cs="Times New Roman"/>
          <w:color w:val="3A3A3A"/>
          <w:kern w:val="0"/>
          <w:sz w:val="24"/>
          <w:szCs w:val="24"/>
          <w:lang w:eastAsia="en-GB"/>
          <w14:ligatures w14:val="none"/>
        </w:rPr>
      </w:pPr>
    </w:p>
    <w:p w14:paraId="137D8833" w14:textId="77777777" w:rsidR="00AA237D" w:rsidRPr="00AF76A2" w:rsidRDefault="00AA237D" w:rsidP="00AA237D">
      <w:pPr>
        <w:spacing w:after="0" w:line="240" w:lineRule="auto"/>
        <w:rPr>
          <w:rFonts w:ascii="Times New Roman" w:eastAsia="Times New Roman" w:hAnsi="Times New Roman" w:cs="Times New Roman"/>
          <w:color w:val="000000"/>
          <w:kern w:val="0"/>
          <w:sz w:val="24"/>
          <w:szCs w:val="24"/>
          <w:lang w:eastAsia="en-GB"/>
          <w14:ligatures w14:val="none"/>
        </w:rPr>
      </w:pPr>
      <w:r w:rsidRPr="00AF76A2">
        <w:rPr>
          <w:rFonts w:ascii="Times New Roman" w:eastAsia="Times New Roman" w:hAnsi="Times New Roman" w:cs="Times New Roman"/>
          <w:color w:val="000000"/>
          <w:kern w:val="0"/>
          <w:sz w:val="24"/>
          <w:szCs w:val="24"/>
          <w:lang w:eastAsia="en-GB"/>
          <w14:ligatures w14:val="none"/>
        </w:rPr>
        <w:t>University of Wales Press. (2017). </w:t>
      </w:r>
      <w:r w:rsidRPr="00AF76A2">
        <w:rPr>
          <w:rFonts w:ascii="Times New Roman" w:eastAsia="Times New Roman" w:hAnsi="Times New Roman" w:cs="Times New Roman"/>
          <w:i/>
          <w:iCs/>
          <w:color w:val="000000"/>
          <w:kern w:val="0"/>
          <w:sz w:val="24"/>
          <w:szCs w:val="24"/>
          <w:lang w:eastAsia="en-GB"/>
          <w14:ligatures w14:val="none"/>
        </w:rPr>
        <w:t>The Welsh law of women: studies presented to Professor Daniel A. Binchy</w:t>
      </w:r>
      <w:r w:rsidRPr="00AF76A2">
        <w:rPr>
          <w:rFonts w:ascii="Times New Roman" w:eastAsia="Times New Roman" w:hAnsi="Times New Roman" w:cs="Times New Roman"/>
          <w:color w:val="000000"/>
          <w:kern w:val="0"/>
          <w:sz w:val="24"/>
          <w:szCs w:val="24"/>
          <w:lang w:eastAsia="en-GB"/>
          <w14:ligatures w14:val="none"/>
        </w:rPr>
        <w:t xml:space="preserve">. University of Wales Press. Available at: </w:t>
      </w:r>
      <w:hyperlink r:id="rId10" w:history="1">
        <w:r w:rsidRPr="00AF76A2">
          <w:rPr>
            <w:rStyle w:val="Hyperlink"/>
            <w:rFonts w:ascii="Times New Roman" w:eastAsia="Times New Roman" w:hAnsi="Times New Roman" w:cs="Times New Roman"/>
            <w:kern w:val="0"/>
            <w:sz w:val="24"/>
            <w:szCs w:val="24"/>
            <w:lang w:eastAsia="en-GB"/>
            <w14:ligatures w14:val="none"/>
          </w:rPr>
          <w:t>https://ebookcentral.proquest.com/lib/trinity/reader.action?docID=6028005&amp;ppg=1&amp;c=UERG</w:t>
        </w:r>
      </w:hyperlink>
      <w:r w:rsidRPr="00AF76A2">
        <w:rPr>
          <w:rFonts w:ascii="Times New Roman" w:eastAsia="Times New Roman" w:hAnsi="Times New Roman" w:cs="Times New Roman"/>
          <w:color w:val="000000"/>
          <w:kern w:val="0"/>
          <w:sz w:val="24"/>
          <w:szCs w:val="24"/>
          <w:lang w:eastAsia="en-GB"/>
          <w14:ligatures w14:val="none"/>
        </w:rPr>
        <w:t xml:space="preserve"> Accessed 11/03/2026</w:t>
      </w:r>
    </w:p>
    <w:p w14:paraId="51DED68E" w14:textId="77777777" w:rsidR="00AA237D" w:rsidRDefault="00AA237D" w:rsidP="00AA237D">
      <w:pPr>
        <w:spacing w:line="360" w:lineRule="auto"/>
        <w:rPr>
          <w:rFonts w:ascii="Times New Roman" w:hAnsi="Times New Roman" w:cs="Times New Roman"/>
          <w:sz w:val="24"/>
          <w:szCs w:val="24"/>
        </w:rPr>
      </w:pPr>
    </w:p>
    <w:p w14:paraId="4F86202F" w14:textId="3900110E" w:rsidR="00F77387" w:rsidRPr="00190C0D" w:rsidRDefault="00F77387" w:rsidP="0006092F">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0E532F4D" w14:textId="77777777" w:rsidR="00E31342" w:rsidRPr="00371F16" w:rsidRDefault="00E31342" w:rsidP="00371F16">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75736303" w14:textId="7827E24F" w:rsidR="00E31342" w:rsidRPr="005117E8" w:rsidRDefault="00E31342" w:rsidP="005117E8">
      <w:pPr>
        <w:pStyle w:val="NormalWeb"/>
        <w:spacing w:line="360" w:lineRule="auto"/>
        <w:ind w:firstLine="720"/>
        <w:rPr>
          <w14:ligatures w14:val="none"/>
        </w:rPr>
      </w:pPr>
    </w:p>
    <w:p w14:paraId="4416705E" w14:textId="7746BA77" w:rsidR="00904917" w:rsidRPr="00904917" w:rsidRDefault="00904917" w:rsidP="00904917">
      <w:pPr>
        <w:spacing w:line="360" w:lineRule="auto"/>
        <w:rPr>
          <w:rFonts w:ascii="Times New Roman" w:hAnsi="Times New Roman" w:cs="Times New Roman"/>
          <w:sz w:val="24"/>
          <w:szCs w:val="24"/>
        </w:rPr>
      </w:pPr>
    </w:p>
    <w:p w14:paraId="11909107" w14:textId="77777777" w:rsidR="00F90BF6" w:rsidRPr="00904917" w:rsidRDefault="00F90BF6">
      <w:pPr>
        <w:spacing w:line="360" w:lineRule="auto"/>
        <w:rPr>
          <w:rFonts w:ascii="Times New Roman" w:hAnsi="Times New Roman" w:cs="Times New Roman"/>
          <w:sz w:val="24"/>
          <w:szCs w:val="24"/>
        </w:rPr>
      </w:pPr>
    </w:p>
    <w:sectPr w:rsidR="00F90BF6" w:rsidRPr="009049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4664A" w14:textId="77777777" w:rsidR="0005394B" w:rsidRDefault="0005394B" w:rsidP="004A7420">
      <w:pPr>
        <w:spacing w:after="0" w:line="240" w:lineRule="auto"/>
      </w:pPr>
      <w:r>
        <w:separator/>
      </w:r>
    </w:p>
  </w:endnote>
  <w:endnote w:type="continuationSeparator" w:id="0">
    <w:p w14:paraId="1F3296C6" w14:textId="77777777" w:rsidR="0005394B" w:rsidRDefault="0005394B" w:rsidP="004A7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997C7" w14:textId="77777777" w:rsidR="0005394B" w:rsidRDefault="0005394B" w:rsidP="004A7420">
      <w:pPr>
        <w:spacing w:after="0" w:line="240" w:lineRule="auto"/>
      </w:pPr>
      <w:r>
        <w:separator/>
      </w:r>
    </w:p>
  </w:footnote>
  <w:footnote w:type="continuationSeparator" w:id="0">
    <w:p w14:paraId="6365395D" w14:textId="77777777" w:rsidR="0005394B" w:rsidRDefault="0005394B" w:rsidP="004A7420">
      <w:pPr>
        <w:spacing w:after="0" w:line="240" w:lineRule="auto"/>
      </w:pPr>
      <w:r>
        <w:continuationSeparator/>
      </w:r>
    </w:p>
  </w:footnote>
  <w:footnote w:id="1">
    <w:p w14:paraId="400858E5" w14:textId="1B473252" w:rsidR="00553277" w:rsidRPr="00EC195B" w:rsidRDefault="004A7420" w:rsidP="00553277">
      <w:pPr>
        <w:pStyle w:val="FootnoteText"/>
        <w:rPr>
          <w:rFonts w:ascii="Times New Roman" w:eastAsia="Times New Roman" w:hAnsi="Times New Roman" w:cs="Times New Roman"/>
          <w:color w:val="000000"/>
          <w:kern w:val="0"/>
          <w:lang w:eastAsia="en-GB"/>
          <w14:ligatures w14:val="none"/>
        </w:rPr>
      </w:pPr>
      <w:r w:rsidRPr="00553277">
        <w:rPr>
          <w:rStyle w:val="FootnoteReference"/>
          <w:rFonts w:ascii="Times New Roman" w:hAnsi="Times New Roman" w:cs="Times New Roman"/>
          <w:sz w:val="24"/>
          <w:szCs w:val="24"/>
        </w:rPr>
        <w:footnoteRef/>
      </w:r>
      <w:r w:rsidRPr="00553277">
        <w:rPr>
          <w:rFonts w:ascii="Times New Roman" w:hAnsi="Times New Roman" w:cs="Times New Roman"/>
          <w:sz w:val="24"/>
          <w:szCs w:val="24"/>
        </w:rPr>
        <w:t xml:space="preserve">  </w:t>
      </w:r>
      <w:r w:rsidRPr="00EC195B">
        <w:rPr>
          <w:rFonts w:ascii="Times New Roman" w:eastAsia="Times New Roman" w:hAnsi="Times New Roman" w:cs="Times New Roman"/>
          <w:color w:val="000000"/>
          <w:kern w:val="0"/>
          <w:lang w:eastAsia="en-GB"/>
          <w14:ligatures w14:val="none"/>
        </w:rPr>
        <w:t>University of Wales Press. (2017). </w:t>
      </w:r>
      <w:r w:rsidRPr="00EC195B">
        <w:rPr>
          <w:rFonts w:ascii="Times New Roman" w:eastAsia="Times New Roman" w:hAnsi="Times New Roman" w:cs="Times New Roman"/>
          <w:i/>
          <w:iCs/>
          <w:color w:val="000000"/>
          <w:kern w:val="0"/>
          <w:lang w:eastAsia="en-GB"/>
          <w14:ligatures w14:val="none"/>
        </w:rPr>
        <w:t>The Welsh law of women: studies presented to Professor Daniel A. Binchy</w:t>
      </w:r>
      <w:r w:rsidRPr="00EC195B">
        <w:rPr>
          <w:rFonts w:ascii="Times New Roman" w:eastAsia="Times New Roman" w:hAnsi="Times New Roman" w:cs="Times New Roman"/>
          <w:color w:val="000000"/>
          <w:kern w:val="0"/>
          <w:lang w:eastAsia="en-GB"/>
          <w14:ligatures w14:val="none"/>
        </w:rPr>
        <w:t>. University of Wales Press. P.106</w:t>
      </w:r>
    </w:p>
  </w:footnote>
  <w:footnote w:id="2">
    <w:p w14:paraId="6FEDD7E6" w14:textId="77777777" w:rsidR="0022007B" w:rsidRPr="00EC195B" w:rsidRDefault="0022007B" w:rsidP="0022007B">
      <w:pPr>
        <w:spacing w:line="240" w:lineRule="auto"/>
        <w:rPr>
          <w:rFonts w:ascii="Times New Roman" w:eastAsia="Times New Roman" w:hAnsi="Times New Roman" w:cs="Times New Roman"/>
          <w:color w:val="000000"/>
          <w:kern w:val="0"/>
          <w:sz w:val="20"/>
          <w:szCs w:val="20"/>
          <w:lang w:eastAsia="en-GB"/>
          <w14:ligatures w14:val="none"/>
        </w:rPr>
      </w:pPr>
      <w:r w:rsidRPr="00EC195B">
        <w:rPr>
          <w:rStyle w:val="FootnoteReference"/>
          <w:rFonts w:ascii="Times New Roman" w:hAnsi="Times New Roman" w:cs="Times New Roman"/>
          <w:sz w:val="20"/>
          <w:szCs w:val="20"/>
        </w:rPr>
        <w:footnoteRef/>
      </w:r>
      <w:r w:rsidRPr="00EC195B">
        <w:rPr>
          <w:rFonts w:ascii="Times New Roman" w:hAnsi="Times New Roman" w:cs="Times New Roman"/>
          <w:sz w:val="20"/>
          <w:szCs w:val="20"/>
        </w:rPr>
        <w:t xml:space="preserve"> </w:t>
      </w:r>
      <w:r w:rsidRPr="00EC195B">
        <w:rPr>
          <w:rFonts w:ascii="Times New Roman" w:eastAsia="Times New Roman" w:hAnsi="Times New Roman" w:cs="Times New Roman"/>
          <w:color w:val="000000"/>
          <w:kern w:val="0"/>
          <w:sz w:val="20"/>
          <w:szCs w:val="20"/>
          <w:lang w:eastAsia="en-GB"/>
          <w14:ligatures w14:val="none"/>
        </w:rPr>
        <w:t>Clarke, S., &amp; Roberts, M. (Eds). (2000). </w:t>
      </w:r>
      <w:r w:rsidRPr="00EC195B">
        <w:rPr>
          <w:rFonts w:ascii="Times New Roman" w:eastAsia="Times New Roman" w:hAnsi="Times New Roman" w:cs="Times New Roman"/>
          <w:i/>
          <w:iCs/>
          <w:color w:val="000000"/>
          <w:kern w:val="0"/>
          <w:sz w:val="20"/>
          <w:szCs w:val="20"/>
          <w:lang w:eastAsia="en-GB"/>
          <w14:ligatures w14:val="none"/>
        </w:rPr>
        <w:t>Women and gender in early modern Wales.</w:t>
      </w:r>
      <w:r w:rsidRPr="00EC195B">
        <w:rPr>
          <w:rFonts w:ascii="Times New Roman" w:eastAsia="Times New Roman" w:hAnsi="Times New Roman" w:cs="Times New Roman"/>
          <w:color w:val="000000"/>
          <w:kern w:val="0"/>
          <w:sz w:val="20"/>
          <w:szCs w:val="20"/>
          <w:lang w:eastAsia="en-GB"/>
          <w14:ligatures w14:val="none"/>
        </w:rPr>
        <w:t xml:space="preserve"> University of Wales Press, p. 17</w:t>
      </w:r>
    </w:p>
  </w:footnote>
  <w:footnote w:id="3">
    <w:p w14:paraId="561A88C3" w14:textId="0B19C6BD" w:rsidR="009D1659" w:rsidRPr="00553277" w:rsidRDefault="009D1659" w:rsidP="00553277">
      <w:pPr>
        <w:pStyle w:val="FootnoteText"/>
        <w:rPr>
          <w:rFonts w:ascii="Times New Roman" w:hAnsi="Times New Roman" w:cs="Times New Roman"/>
        </w:rPr>
      </w:pPr>
      <w:r w:rsidRPr="00EC195B">
        <w:rPr>
          <w:rStyle w:val="FootnoteReference"/>
          <w:rFonts w:ascii="Times New Roman" w:hAnsi="Times New Roman" w:cs="Times New Roman"/>
        </w:rPr>
        <w:footnoteRef/>
      </w:r>
      <w:r w:rsidRPr="00EC195B">
        <w:rPr>
          <w:rFonts w:ascii="Times New Roman" w:hAnsi="Times New Roman" w:cs="Times New Roman"/>
        </w:rPr>
        <w:t xml:space="preserve"> </w:t>
      </w:r>
      <w:r w:rsidR="00553277" w:rsidRPr="00EC195B">
        <w:rPr>
          <w:rFonts w:ascii="Times New Roman" w:eastAsia="Times New Roman" w:hAnsi="Times New Roman" w:cs="Times New Roman"/>
          <w:i/>
          <w:iCs/>
          <w:color w:val="000000"/>
          <w:kern w:val="0"/>
          <w:lang w:eastAsia="en-GB"/>
          <w14:ligatures w14:val="none"/>
        </w:rPr>
        <w:t>The Welsh law of women</w:t>
      </w:r>
      <w:r w:rsidR="00553277" w:rsidRPr="00EC195B">
        <w:rPr>
          <w:rFonts w:ascii="Times New Roman" w:hAnsi="Times New Roman" w:cs="Times New Roman"/>
        </w:rPr>
        <w:t xml:space="preserve"> </w:t>
      </w:r>
      <w:r w:rsidRPr="00EC195B">
        <w:rPr>
          <w:rFonts w:ascii="Times New Roman" w:hAnsi="Times New Roman" w:cs="Times New Roman"/>
        </w:rPr>
        <w:t>P. 197</w:t>
      </w:r>
      <w:r w:rsidRPr="00553277">
        <w:rPr>
          <w:rFonts w:ascii="Times New Roman" w:hAnsi="Times New Roman" w:cs="Times New Roman"/>
        </w:rPr>
        <w:t xml:space="preserve"> </w:t>
      </w:r>
    </w:p>
  </w:footnote>
  <w:footnote w:id="4">
    <w:p w14:paraId="52FD7C2D" w14:textId="77777777" w:rsidR="009D1659" w:rsidRPr="00484F24" w:rsidRDefault="009D1659" w:rsidP="00553277">
      <w:pPr>
        <w:pStyle w:val="FootnoteText"/>
        <w:rPr>
          <w:rFonts w:ascii="Times New Roman" w:hAnsi="Times New Roman" w:cs="Times New Roman"/>
        </w:rPr>
      </w:pPr>
      <w:r w:rsidRPr="00553277">
        <w:rPr>
          <w:rStyle w:val="FootnoteReference"/>
          <w:rFonts w:ascii="Times New Roman" w:hAnsi="Times New Roman" w:cs="Times New Roman"/>
        </w:rPr>
        <w:footnoteRef/>
      </w:r>
      <w:r w:rsidRPr="00553277">
        <w:rPr>
          <w:rFonts w:ascii="Times New Roman" w:hAnsi="Times New Roman" w:cs="Times New Roman"/>
        </w:rPr>
        <w:t xml:space="preserve"> IBID P. 82</w:t>
      </w:r>
    </w:p>
  </w:footnote>
  <w:footnote w:id="5">
    <w:p w14:paraId="6191B44B" w14:textId="77777777" w:rsidR="009D1659" w:rsidRPr="00967143" w:rsidRDefault="009D1659" w:rsidP="009D1659">
      <w:pPr>
        <w:spacing w:line="240" w:lineRule="auto"/>
        <w:rPr>
          <w:rFonts w:ascii="Times New Roman" w:eastAsia="Times New Roman" w:hAnsi="Times New Roman" w:cs="Times New Roman"/>
          <w:color w:val="000000"/>
          <w:kern w:val="0"/>
          <w:sz w:val="20"/>
          <w:szCs w:val="20"/>
          <w:lang w:eastAsia="en-GB"/>
          <w14:ligatures w14:val="none"/>
        </w:rPr>
      </w:pPr>
      <w:r w:rsidRPr="00967143">
        <w:rPr>
          <w:rStyle w:val="FootnoteReference"/>
          <w:rFonts w:ascii="Times New Roman" w:hAnsi="Times New Roman" w:cs="Times New Roman"/>
          <w:sz w:val="20"/>
          <w:szCs w:val="20"/>
        </w:rPr>
        <w:footnoteRef/>
      </w:r>
      <w:r w:rsidRPr="00967143">
        <w:rPr>
          <w:rFonts w:ascii="Times New Roman" w:hAnsi="Times New Roman" w:cs="Times New Roman"/>
          <w:sz w:val="20"/>
          <w:szCs w:val="20"/>
        </w:rPr>
        <w:t xml:space="preserve"> </w:t>
      </w:r>
      <w:r w:rsidRPr="00967143">
        <w:rPr>
          <w:rFonts w:ascii="Times New Roman" w:eastAsia="Times New Roman" w:hAnsi="Times New Roman" w:cs="Times New Roman"/>
          <w:color w:val="000000"/>
          <w:kern w:val="0"/>
          <w:sz w:val="20"/>
          <w:szCs w:val="20"/>
          <w:lang w:eastAsia="en-GB"/>
          <w14:ligatures w14:val="none"/>
        </w:rPr>
        <w:t>IBID. P 9</w:t>
      </w:r>
    </w:p>
  </w:footnote>
  <w:footnote w:id="6">
    <w:p w14:paraId="2DBE9B4E" w14:textId="77777777" w:rsidR="009D1659" w:rsidRPr="00967143" w:rsidRDefault="009D1659" w:rsidP="009D1659">
      <w:pPr>
        <w:pStyle w:val="FootnoteText"/>
        <w:rPr>
          <w:rFonts w:ascii="Times New Roman" w:hAnsi="Times New Roman" w:cs="Times New Roman"/>
        </w:rPr>
      </w:pPr>
      <w:r w:rsidRPr="00967143">
        <w:rPr>
          <w:rStyle w:val="FootnoteReference"/>
          <w:rFonts w:ascii="Times New Roman" w:hAnsi="Times New Roman" w:cs="Times New Roman"/>
        </w:rPr>
        <w:footnoteRef/>
      </w:r>
      <w:r w:rsidRPr="00967143">
        <w:rPr>
          <w:rFonts w:ascii="Times New Roman" w:hAnsi="Times New Roman" w:cs="Times New Roman"/>
        </w:rPr>
        <w:t xml:space="preserve"> IBID P.8</w:t>
      </w:r>
    </w:p>
  </w:footnote>
  <w:footnote w:id="7">
    <w:p w14:paraId="5DEE5EC0" w14:textId="0B65735A" w:rsidR="00904917" w:rsidRPr="00967143" w:rsidRDefault="00904917">
      <w:pPr>
        <w:pStyle w:val="FootnoteText"/>
        <w:rPr>
          <w:rFonts w:ascii="Times New Roman" w:hAnsi="Times New Roman" w:cs="Times New Roman"/>
        </w:rPr>
      </w:pPr>
      <w:r w:rsidRPr="00967143">
        <w:rPr>
          <w:rStyle w:val="FootnoteReference"/>
          <w:rFonts w:ascii="Times New Roman" w:hAnsi="Times New Roman" w:cs="Times New Roman"/>
        </w:rPr>
        <w:footnoteRef/>
      </w:r>
      <w:r w:rsidRPr="00967143">
        <w:rPr>
          <w:rFonts w:ascii="Times New Roman" w:hAnsi="Times New Roman" w:cs="Times New Roman"/>
        </w:rPr>
        <w:t xml:space="preserve"> Cart</w:t>
      </w:r>
      <w:r w:rsidR="00967143" w:rsidRPr="00967143">
        <w:rPr>
          <w:rFonts w:ascii="Times New Roman" w:hAnsi="Times New Roman" w:cs="Times New Roman"/>
        </w:rPr>
        <w:t>w</w:t>
      </w:r>
      <w:r w:rsidRPr="00967143">
        <w:rPr>
          <w:rFonts w:ascii="Times New Roman" w:hAnsi="Times New Roman" w:cs="Times New Roman"/>
        </w:rPr>
        <w:t xml:space="preserve">right P. </w:t>
      </w:r>
      <w:r w:rsidR="00F90BF6" w:rsidRPr="00967143">
        <w:rPr>
          <w:rFonts w:ascii="Times New Roman" w:hAnsi="Times New Roman" w:cs="Times New Roman"/>
        </w:rPr>
        <w:t>93</w:t>
      </w:r>
    </w:p>
  </w:footnote>
  <w:footnote w:id="8">
    <w:p w14:paraId="78A240DE" w14:textId="3B251FA8" w:rsidR="001577E8" w:rsidRPr="00967143" w:rsidRDefault="001577E8" w:rsidP="00C556D2">
      <w:pPr>
        <w:rPr>
          <w:rFonts w:ascii="Times New Roman" w:eastAsia="Times New Roman" w:hAnsi="Times New Roman" w:cs="Times New Roman"/>
          <w:color w:val="000000"/>
          <w:kern w:val="0"/>
          <w:sz w:val="20"/>
          <w:szCs w:val="20"/>
          <w:lang w:eastAsia="en-GB"/>
          <w14:ligatures w14:val="none"/>
        </w:rPr>
      </w:pPr>
      <w:r w:rsidRPr="00967143">
        <w:rPr>
          <w:rFonts w:ascii="Times New Roman" w:hAnsi="Times New Roman" w:cs="Times New Roman"/>
          <w:sz w:val="20"/>
          <w:szCs w:val="20"/>
        </w:rPr>
        <w:t xml:space="preserve"> </w:t>
      </w:r>
      <w:r w:rsidRPr="00967143">
        <w:rPr>
          <w:rStyle w:val="FootnoteReference"/>
          <w:rFonts w:ascii="Times New Roman" w:hAnsi="Times New Roman" w:cs="Times New Roman"/>
          <w:sz w:val="20"/>
          <w:szCs w:val="20"/>
        </w:rPr>
        <w:footnoteRef/>
      </w:r>
      <w:r w:rsidRPr="00967143">
        <w:rPr>
          <w:rFonts w:ascii="Times New Roman" w:hAnsi="Times New Roman" w:cs="Times New Roman"/>
          <w:sz w:val="20"/>
          <w:szCs w:val="20"/>
        </w:rPr>
        <w:t xml:space="preserve"> </w:t>
      </w:r>
      <w:r w:rsidRPr="00967143">
        <w:rPr>
          <w:rFonts w:ascii="Times New Roman" w:eastAsia="Times New Roman" w:hAnsi="Times New Roman" w:cs="Times New Roman"/>
          <w:color w:val="000000"/>
          <w:kern w:val="0"/>
          <w:sz w:val="20"/>
          <w:szCs w:val="20"/>
          <w:lang w:eastAsia="en-GB"/>
          <w14:ligatures w14:val="none"/>
        </w:rPr>
        <w:t>Sara E. Roberts. (2008). Emerging from the Bushes: The Welsh Law of Women in the Legal Triads. In J.F. Eska &amp; J. F. Eska (Eds), </w:t>
      </w:r>
      <w:r w:rsidRPr="00967143">
        <w:rPr>
          <w:rFonts w:ascii="Times New Roman" w:eastAsia="Times New Roman" w:hAnsi="Times New Roman" w:cs="Times New Roman"/>
          <w:i/>
          <w:iCs/>
          <w:color w:val="000000"/>
          <w:kern w:val="0"/>
          <w:sz w:val="20"/>
          <w:szCs w:val="20"/>
          <w:lang w:eastAsia="en-GB"/>
          <w14:ligatures w14:val="none"/>
        </w:rPr>
        <w:t xml:space="preserve">Law, literature and society, </w:t>
      </w:r>
      <w:r w:rsidRPr="00967143">
        <w:rPr>
          <w:rFonts w:ascii="Times New Roman" w:eastAsia="Times New Roman" w:hAnsi="Times New Roman" w:cs="Times New Roman"/>
          <w:color w:val="000000"/>
          <w:kern w:val="0"/>
          <w:sz w:val="20"/>
          <w:szCs w:val="20"/>
          <w:lang w:eastAsia="en-GB"/>
          <w14:ligatures w14:val="none"/>
        </w:rPr>
        <w:t>Four Courts Press. P</w:t>
      </w:r>
      <w:r w:rsidR="0000786B" w:rsidRPr="00967143">
        <w:rPr>
          <w:rFonts w:ascii="Times New Roman" w:eastAsia="Times New Roman" w:hAnsi="Times New Roman" w:cs="Times New Roman"/>
          <w:color w:val="000000"/>
          <w:kern w:val="0"/>
          <w:sz w:val="20"/>
          <w:szCs w:val="20"/>
          <w:lang w:eastAsia="en-GB"/>
          <w14:ligatures w14:val="none"/>
        </w:rPr>
        <w:t>. 71</w:t>
      </w:r>
    </w:p>
  </w:footnote>
  <w:footnote w:id="9">
    <w:p w14:paraId="5A1CA5C6" w14:textId="1AFA86E0" w:rsidR="00C556D2" w:rsidRPr="00967143" w:rsidRDefault="00C556D2">
      <w:pPr>
        <w:pStyle w:val="FootnoteText"/>
        <w:rPr>
          <w:rFonts w:ascii="Times New Roman" w:hAnsi="Times New Roman" w:cs="Times New Roman"/>
        </w:rPr>
      </w:pPr>
      <w:r w:rsidRPr="00967143">
        <w:rPr>
          <w:rStyle w:val="FootnoteReference"/>
          <w:rFonts w:ascii="Times New Roman" w:hAnsi="Times New Roman" w:cs="Times New Roman"/>
        </w:rPr>
        <w:footnoteRef/>
      </w:r>
      <w:r w:rsidRPr="00967143">
        <w:rPr>
          <w:rFonts w:ascii="Times New Roman" w:hAnsi="Times New Roman" w:cs="Times New Roman"/>
        </w:rPr>
        <w:t xml:space="preserve"> </w:t>
      </w:r>
      <w:r w:rsidRPr="00967143">
        <w:rPr>
          <w:rFonts w:ascii="Times New Roman" w:hAnsi="Times New Roman" w:cs="Times New Roman"/>
          <w:color w:val="3A3A3A"/>
          <w:shd w:val="clear" w:color="auto" w:fill="FFFFFF"/>
        </w:rPr>
        <w:t>Stacey, R. C. (2018). </w:t>
      </w:r>
      <w:r w:rsidRPr="00967143">
        <w:rPr>
          <w:rFonts w:ascii="Times New Roman" w:hAnsi="Times New Roman" w:cs="Times New Roman"/>
          <w:i/>
          <w:iCs/>
          <w:color w:val="3A3A3A"/>
          <w:shd w:val="clear" w:color="auto" w:fill="FFFFFF"/>
        </w:rPr>
        <w:t>Law and the Imagination in Medieval Wales</w:t>
      </w:r>
      <w:r w:rsidRPr="00967143">
        <w:rPr>
          <w:rFonts w:ascii="Times New Roman" w:hAnsi="Times New Roman" w:cs="Times New Roman"/>
          <w:color w:val="3A3A3A"/>
          <w:shd w:val="clear" w:color="auto" w:fill="FFFFFF"/>
        </w:rPr>
        <w:t>. University of Pennsylvania Press. P71</w:t>
      </w:r>
    </w:p>
  </w:footnote>
  <w:footnote w:id="10">
    <w:p w14:paraId="4CFE9E14" w14:textId="1A9CC605" w:rsidR="00967143" w:rsidRDefault="00967143">
      <w:pPr>
        <w:pStyle w:val="FootnoteText"/>
      </w:pPr>
      <w:r w:rsidRPr="00967143">
        <w:rPr>
          <w:rStyle w:val="FootnoteReference"/>
          <w:rFonts w:ascii="Times New Roman" w:hAnsi="Times New Roman" w:cs="Times New Roman"/>
        </w:rPr>
        <w:footnoteRef/>
      </w:r>
      <w:r w:rsidRPr="00967143">
        <w:rPr>
          <w:rFonts w:ascii="Times New Roman" w:hAnsi="Times New Roman" w:cs="Times New Roman"/>
        </w:rPr>
        <w:t xml:space="preserve"> Cartwright P.57</w:t>
      </w:r>
    </w:p>
  </w:footnote>
  <w:footnote w:id="11">
    <w:p w14:paraId="5C156FC5" w14:textId="1E7A2EDB" w:rsidR="00180609" w:rsidRDefault="00180609">
      <w:pPr>
        <w:pStyle w:val="FootnoteText"/>
      </w:pPr>
      <w:r>
        <w:rPr>
          <w:rStyle w:val="FootnoteReference"/>
        </w:rPr>
        <w:footnoteRef/>
      </w:r>
      <w:r>
        <w:t xml:space="preserve"> IBID P. 5</w:t>
      </w:r>
      <w:r w:rsidR="000801F1">
        <w:t>8</w:t>
      </w:r>
    </w:p>
  </w:footnote>
  <w:footnote w:id="12">
    <w:p w14:paraId="23548AD6" w14:textId="4CD4B307" w:rsidR="00C246EF" w:rsidRPr="009D568B" w:rsidRDefault="00C246EF">
      <w:pPr>
        <w:pStyle w:val="FootnoteText"/>
        <w:rPr>
          <w:rFonts w:ascii="Times New Roman" w:hAnsi="Times New Roman" w:cs="Times New Roman"/>
        </w:rPr>
      </w:pPr>
      <w:r>
        <w:rPr>
          <w:rStyle w:val="FootnoteReference"/>
        </w:rPr>
        <w:footnoteRef/>
      </w:r>
      <w:r>
        <w:t xml:space="preserve"> </w:t>
      </w:r>
      <w:r w:rsidR="00CE26F9" w:rsidRPr="009D568B">
        <w:rPr>
          <w:rFonts w:ascii="Times New Roman" w:eastAsia="Times New Roman" w:hAnsi="Times New Roman" w:cs="Times New Roman"/>
          <w:i/>
          <w:iCs/>
          <w:color w:val="000000"/>
          <w:kern w:val="0"/>
          <w:lang w:eastAsia="en-GB"/>
          <w14:ligatures w14:val="none"/>
        </w:rPr>
        <w:t xml:space="preserve">The Welsh law of women </w:t>
      </w:r>
      <w:r w:rsidR="00D902A9" w:rsidRPr="009D568B">
        <w:rPr>
          <w:rFonts w:ascii="Times New Roman" w:eastAsia="Times New Roman" w:hAnsi="Times New Roman" w:cs="Times New Roman"/>
          <w:color w:val="000000"/>
          <w:kern w:val="0"/>
          <w:lang w:eastAsia="en-GB"/>
          <w14:ligatures w14:val="none"/>
        </w:rPr>
        <w:t>P.37</w:t>
      </w:r>
    </w:p>
  </w:footnote>
  <w:footnote w:id="13">
    <w:p w14:paraId="4C38F684" w14:textId="59CE1DEC" w:rsidR="005B4129" w:rsidRPr="009D568B" w:rsidRDefault="005B4129">
      <w:pPr>
        <w:pStyle w:val="FootnoteText"/>
        <w:rPr>
          <w:rFonts w:ascii="Times New Roman" w:hAnsi="Times New Roman" w:cs="Times New Roman"/>
          <w:sz w:val="22"/>
          <w:szCs w:val="22"/>
        </w:rPr>
      </w:pPr>
      <w:r w:rsidRPr="009D568B">
        <w:rPr>
          <w:rStyle w:val="FootnoteReference"/>
          <w:rFonts w:ascii="Times New Roman" w:hAnsi="Times New Roman" w:cs="Times New Roman"/>
        </w:rPr>
        <w:footnoteRef/>
      </w:r>
      <w:r w:rsidRPr="009D568B">
        <w:rPr>
          <w:rFonts w:ascii="Times New Roman" w:hAnsi="Times New Roman" w:cs="Times New Roman"/>
        </w:rPr>
        <w:t xml:space="preserve"> </w:t>
      </w:r>
      <w:r w:rsidR="00215294" w:rsidRPr="009D568B">
        <w:rPr>
          <w:rFonts w:ascii="Times New Roman" w:hAnsi="Times New Roman" w:cs="Times New Roman"/>
          <w:color w:val="1D2125"/>
          <w:shd w:val="clear" w:color="auto" w:fill="FFFFFF"/>
        </w:rPr>
        <w:t>Kenny, G. (2006). Anglo-Irish and Gaelic marriage laws and traditions in late medieval Ireland. </w:t>
      </w:r>
      <w:r w:rsidR="00215294" w:rsidRPr="009D568B">
        <w:rPr>
          <w:rFonts w:ascii="Times New Roman" w:hAnsi="Times New Roman" w:cs="Times New Roman"/>
          <w:i/>
          <w:iCs/>
          <w:color w:val="1D2125"/>
          <w:shd w:val="clear" w:color="auto" w:fill="FFFFFF"/>
        </w:rPr>
        <w:t xml:space="preserve">Journal of </w:t>
      </w:r>
      <w:r w:rsidR="00D902A9" w:rsidRPr="009D568B">
        <w:rPr>
          <w:rFonts w:ascii="Times New Roman" w:hAnsi="Times New Roman" w:cs="Times New Roman"/>
          <w:i/>
          <w:iCs/>
          <w:color w:val="1D2125"/>
          <w:shd w:val="clear" w:color="auto" w:fill="FFFFFF"/>
        </w:rPr>
        <w:t xml:space="preserve">        </w:t>
      </w:r>
      <w:r w:rsidR="00215294" w:rsidRPr="009D568B">
        <w:rPr>
          <w:rFonts w:ascii="Times New Roman" w:hAnsi="Times New Roman" w:cs="Times New Roman"/>
          <w:i/>
          <w:iCs/>
          <w:color w:val="1D2125"/>
          <w:shd w:val="clear" w:color="auto" w:fill="FFFFFF"/>
        </w:rPr>
        <w:t>Medieval History,</w:t>
      </w:r>
      <w:r w:rsidR="00215294" w:rsidRPr="009D568B">
        <w:rPr>
          <w:rFonts w:ascii="Times New Roman" w:hAnsi="Times New Roman" w:cs="Times New Roman"/>
          <w:color w:val="1D2125"/>
          <w:shd w:val="clear" w:color="auto" w:fill="FFFFFF"/>
        </w:rPr>
        <w:t> </w:t>
      </w:r>
      <w:r w:rsidR="00215294" w:rsidRPr="009D568B">
        <w:rPr>
          <w:rFonts w:ascii="Times New Roman" w:hAnsi="Times New Roman" w:cs="Times New Roman"/>
          <w:i/>
          <w:iCs/>
          <w:color w:val="1D2125"/>
          <w:shd w:val="clear" w:color="auto" w:fill="FFFFFF"/>
        </w:rPr>
        <w:t>32</w:t>
      </w:r>
      <w:r w:rsidR="00215294" w:rsidRPr="009D568B">
        <w:rPr>
          <w:rFonts w:ascii="Times New Roman" w:hAnsi="Times New Roman" w:cs="Times New Roman"/>
          <w:color w:val="1D2125"/>
          <w:shd w:val="clear" w:color="auto" w:fill="FFFFFF"/>
        </w:rPr>
        <w:t xml:space="preserve">(1), P. </w:t>
      </w:r>
      <w:r w:rsidR="00A95C84" w:rsidRPr="009D568B">
        <w:rPr>
          <w:rFonts w:ascii="Times New Roman" w:hAnsi="Times New Roman" w:cs="Times New Roman"/>
          <w:color w:val="1D2125"/>
          <w:shd w:val="clear" w:color="auto" w:fill="FFFFFF"/>
        </w:rPr>
        <w:t>29</w:t>
      </w:r>
    </w:p>
  </w:footnote>
  <w:footnote w:id="14">
    <w:p w14:paraId="693CDC15" w14:textId="77777777" w:rsidR="00A6451A" w:rsidRPr="009D568B" w:rsidRDefault="00A6451A" w:rsidP="00A6451A">
      <w:pPr>
        <w:pStyle w:val="FootnoteText"/>
        <w:rPr>
          <w:rFonts w:ascii="Times New Roman" w:hAnsi="Times New Roman" w:cs="Times New Roman"/>
        </w:rPr>
      </w:pPr>
      <w:r w:rsidRPr="009D568B">
        <w:rPr>
          <w:rStyle w:val="FootnoteReference"/>
          <w:rFonts w:ascii="Times New Roman" w:hAnsi="Times New Roman" w:cs="Times New Roman"/>
        </w:rPr>
        <w:footnoteRef/>
      </w:r>
      <w:r w:rsidRPr="009D568B">
        <w:rPr>
          <w:rFonts w:ascii="Times New Roman" w:hAnsi="Times New Roman" w:cs="Times New Roman"/>
        </w:rPr>
        <w:t xml:space="preserve"> </w:t>
      </w:r>
      <w:r w:rsidRPr="009D568B">
        <w:rPr>
          <w:rFonts w:ascii="Times New Roman" w:eastAsia="Times New Roman" w:hAnsi="Times New Roman" w:cs="Times New Roman"/>
          <w:color w:val="000000"/>
          <w:kern w:val="0"/>
          <w:lang w:eastAsia="en-GB"/>
          <w14:ligatures w14:val="none"/>
        </w:rPr>
        <w:t>Sara E. Roberts. P. 65</w:t>
      </w:r>
    </w:p>
  </w:footnote>
  <w:footnote w:id="15">
    <w:p w14:paraId="499083D8" w14:textId="70EE0C8C" w:rsidR="00F83A42" w:rsidRPr="006A65BA" w:rsidRDefault="00F83A42">
      <w:pPr>
        <w:pStyle w:val="FootnoteText"/>
        <w:rPr>
          <w:rFonts w:ascii="Times New Roman" w:hAnsi="Times New Roman" w:cs="Times New Roman"/>
        </w:rPr>
      </w:pPr>
      <w:r w:rsidRPr="006A65BA">
        <w:rPr>
          <w:rStyle w:val="FootnoteReference"/>
          <w:rFonts w:ascii="Times New Roman" w:hAnsi="Times New Roman" w:cs="Times New Roman"/>
        </w:rPr>
        <w:footnoteRef/>
      </w:r>
      <w:r w:rsidRPr="006A65BA">
        <w:rPr>
          <w:rFonts w:ascii="Times New Roman" w:hAnsi="Times New Roman" w:cs="Times New Roman"/>
        </w:rPr>
        <w:t xml:space="preserve"> </w:t>
      </w:r>
      <w:r w:rsidR="00E83C08" w:rsidRPr="006A65BA">
        <w:rPr>
          <w:rFonts w:ascii="Times New Roman" w:eastAsia="Times New Roman" w:hAnsi="Times New Roman" w:cs="Times New Roman"/>
          <w:i/>
          <w:iCs/>
          <w:color w:val="000000"/>
          <w:kern w:val="0"/>
          <w:lang w:eastAsia="en-GB"/>
          <w14:ligatures w14:val="none"/>
        </w:rPr>
        <w:t xml:space="preserve">The Welsh law of women </w:t>
      </w:r>
      <w:r w:rsidR="00E83C08" w:rsidRPr="006A65BA">
        <w:rPr>
          <w:rFonts w:ascii="Times New Roman" w:eastAsia="Times New Roman" w:hAnsi="Times New Roman" w:cs="Times New Roman"/>
          <w:color w:val="000000"/>
          <w:kern w:val="0"/>
          <w:lang w:eastAsia="en-GB"/>
          <w14:ligatures w14:val="none"/>
        </w:rPr>
        <w:t>P.</w:t>
      </w:r>
      <w:r w:rsidR="000951E5" w:rsidRPr="006A65BA">
        <w:rPr>
          <w:rFonts w:ascii="Times New Roman" w:eastAsia="Times New Roman" w:hAnsi="Times New Roman" w:cs="Times New Roman"/>
          <w:color w:val="000000"/>
          <w:kern w:val="0"/>
          <w:lang w:eastAsia="en-GB"/>
          <w14:ligatures w14:val="none"/>
        </w:rPr>
        <w:t>49</w:t>
      </w:r>
    </w:p>
  </w:footnote>
  <w:footnote w:id="16">
    <w:p w14:paraId="6DE36501" w14:textId="4CFCD656" w:rsidR="00743C50" w:rsidRPr="006A65BA" w:rsidRDefault="00743C50">
      <w:pPr>
        <w:pStyle w:val="FootnoteText"/>
        <w:rPr>
          <w:rFonts w:ascii="Times New Roman" w:hAnsi="Times New Roman" w:cs="Times New Roman"/>
        </w:rPr>
      </w:pPr>
      <w:r w:rsidRPr="006A65BA">
        <w:rPr>
          <w:rStyle w:val="FootnoteReference"/>
          <w:rFonts w:ascii="Times New Roman" w:hAnsi="Times New Roman" w:cs="Times New Roman"/>
        </w:rPr>
        <w:footnoteRef/>
      </w:r>
      <w:r w:rsidRPr="006A65BA">
        <w:rPr>
          <w:rFonts w:ascii="Times New Roman" w:hAnsi="Times New Roman" w:cs="Times New Roman"/>
        </w:rPr>
        <w:t xml:space="preserve"> IBID</w:t>
      </w:r>
    </w:p>
  </w:footnote>
  <w:footnote w:id="17">
    <w:p w14:paraId="6152FE61" w14:textId="78B75A45" w:rsidR="00EC67E2" w:rsidRPr="006A65BA" w:rsidRDefault="00EC67E2" w:rsidP="001A6842">
      <w:pPr>
        <w:shd w:val="clear" w:color="auto" w:fill="FFFFFF"/>
        <w:spacing w:after="0" w:line="240" w:lineRule="auto"/>
        <w:rPr>
          <w:rFonts w:ascii="Times New Roman" w:eastAsia="Times New Roman" w:hAnsi="Times New Roman" w:cs="Times New Roman"/>
          <w:color w:val="3A3A3A"/>
          <w:kern w:val="0"/>
          <w:sz w:val="20"/>
          <w:szCs w:val="20"/>
          <w:lang w:eastAsia="en-GB"/>
          <w14:ligatures w14:val="none"/>
        </w:rPr>
      </w:pPr>
      <w:r w:rsidRPr="006A65BA">
        <w:rPr>
          <w:rStyle w:val="FootnoteReference"/>
          <w:rFonts w:ascii="Times New Roman" w:hAnsi="Times New Roman" w:cs="Times New Roman"/>
          <w:sz w:val="20"/>
          <w:szCs w:val="20"/>
        </w:rPr>
        <w:footnoteRef/>
      </w:r>
      <w:r w:rsidRPr="006A65BA">
        <w:rPr>
          <w:rFonts w:ascii="Times New Roman" w:hAnsi="Times New Roman" w:cs="Times New Roman"/>
          <w:sz w:val="20"/>
          <w:szCs w:val="20"/>
        </w:rPr>
        <w:t xml:space="preserve"> </w:t>
      </w:r>
      <w:r w:rsidR="00F61CBD" w:rsidRPr="006A65BA">
        <w:rPr>
          <w:rFonts w:ascii="Times New Roman" w:eastAsia="Times New Roman" w:hAnsi="Times New Roman" w:cs="Times New Roman"/>
          <w:color w:val="3A3A3A"/>
          <w:kern w:val="0"/>
          <w:sz w:val="20"/>
          <w:szCs w:val="20"/>
          <w:lang w:eastAsia="en-GB"/>
          <w14:ligatures w14:val="none"/>
        </w:rPr>
        <w:t>Raae, Hanne-Mette Alsos (2013), The Representation in Old Irish Law Texts of the Legal Position of Women in Early Medieval Ireland as Regards the Ownership of Property, University of Glasgow. P. 53</w:t>
      </w:r>
    </w:p>
  </w:footnote>
  <w:footnote w:id="18">
    <w:p w14:paraId="61AC2EAE" w14:textId="3294B652" w:rsidR="0080627F" w:rsidRPr="006A65BA" w:rsidRDefault="0080627F">
      <w:pPr>
        <w:pStyle w:val="FootnoteText"/>
        <w:rPr>
          <w:rFonts w:ascii="Times New Roman" w:hAnsi="Times New Roman" w:cs="Times New Roman"/>
        </w:rPr>
      </w:pPr>
      <w:r w:rsidRPr="006A65BA">
        <w:rPr>
          <w:rStyle w:val="FootnoteReference"/>
          <w:rFonts w:ascii="Times New Roman" w:hAnsi="Times New Roman" w:cs="Times New Roman"/>
        </w:rPr>
        <w:footnoteRef/>
      </w:r>
      <w:r w:rsidRPr="006A65BA">
        <w:rPr>
          <w:rFonts w:ascii="Times New Roman" w:hAnsi="Times New Roman" w:cs="Times New Roman"/>
        </w:rPr>
        <w:t xml:space="preserve"> </w:t>
      </w:r>
      <w:r w:rsidR="00D174F2" w:rsidRPr="006A65BA">
        <w:rPr>
          <w:rFonts w:ascii="Times New Roman" w:eastAsia="Times New Roman" w:hAnsi="Times New Roman" w:cs="Times New Roman"/>
          <w:i/>
          <w:iCs/>
          <w:color w:val="000000"/>
          <w:kern w:val="0"/>
          <w:lang w:eastAsia="en-GB"/>
          <w14:ligatures w14:val="none"/>
        </w:rPr>
        <w:t xml:space="preserve">The Welsh law of women </w:t>
      </w:r>
      <w:r w:rsidR="00D174F2" w:rsidRPr="006A65BA">
        <w:rPr>
          <w:rFonts w:ascii="Times New Roman" w:eastAsia="Times New Roman" w:hAnsi="Times New Roman" w:cs="Times New Roman"/>
          <w:color w:val="000000"/>
          <w:kern w:val="0"/>
          <w:lang w:eastAsia="en-GB"/>
          <w14:ligatures w14:val="none"/>
        </w:rPr>
        <w:t>P.47</w:t>
      </w:r>
    </w:p>
  </w:footnote>
  <w:footnote w:id="19">
    <w:p w14:paraId="548CE47A" w14:textId="1CE70BDB" w:rsidR="00197B68" w:rsidRDefault="00197B68">
      <w:pPr>
        <w:pStyle w:val="FootnoteText"/>
      </w:pPr>
      <w:r w:rsidRPr="006A65BA">
        <w:rPr>
          <w:rStyle w:val="FootnoteReference"/>
          <w:rFonts w:ascii="Times New Roman" w:hAnsi="Times New Roman" w:cs="Times New Roman"/>
        </w:rPr>
        <w:footnoteRef/>
      </w:r>
      <w:r w:rsidRPr="006A65BA">
        <w:rPr>
          <w:rFonts w:ascii="Times New Roman" w:hAnsi="Times New Roman" w:cs="Times New Roman"/>
        </w:rPr>
        <w:t xml:space="preserve"> </w:t>
      </w:r>
      <w:r w:rsidR="00C61979" w:rsidRPr="006A65BA">
        <w:rPr>
          <w:rFonts w:ascii="Times New Roman" w:hAnsi="Times New Roman" w:cs="Times New Roman"/>
        </w:rPr>
        <w:t>IBID P.</w:t>
      </w:r>
      <w:r w:rsidR="003D5C20" w:rsidRPr="006A65BA">
        <w:rPr>
          <w:rFonts w:ascii="Times New Roman" w:hAnsi="Times New Roman" w:cs="Times New Roman"/>
        </w:rPr>
        <w:t>49</w:t>
      </w:r>
    </w:p>
  </w:footnote>
  <w:footnote w:id="20">
    <w:p w14:paraId="25780590" w14:textId="2E4F8D80" w:rsidR="006F0E90" w:rsidRDefault="006F0E90">
      <w:pPr>
        <w:pStyle w:val="FootnoteText"/>
      </w:pPr>
      <w:r>
        <w:rPr>
          <w:rStyle w:val="FootnoteReference"/>
        </w:rPr>
        <w:footnoteRef/>
      </w:r>
      <w:r>
        <w:t xml:space="preserve"> </w:t>
      </w:r>
      <w:r w:rsidRPr="006A65BA">
        <w:rPr>
          <w:rFonts w:ascii="Times New Roman" w:eastAsia="Times New Roman" w:hAnsi="Times New Roman" w:cs="Times New Roman"/>
          <w:color w:val="3A3A3A"/>
          <w:kern w:val="0"/>
          <w:lang w:eastAsia="en-GB"/>
          <w14:ligatures w14:val="none"/>
        </w:rPr>
        <w:t>Raae, Hanne-Mette Alsos (2013</w:t>
      </w:r>
      <w:r w:rsidR="00C15E4D" w:rsidRPr="006A65BA">
        <w:rPr>
          <w:rFonts w:ascii="Times New Roman" w:eastAsia="Times New Roman" w:hAnsi="Times New Roman" w:cs="Times New Roman"/>
          <w:color w:val="3A3A3A"/>
          <w:kern w:val="0"/>
          <w:lang w:eastAsia="en-GB"/>
          <w14:ligatures w14:val="none"/>
        </w:rPr>
        <w:t>),</w:t>
      </w:r>
      <w:r w:rsidR="00C15E4D">
        <w:rPr>
          <w:rFonts w:ascii="Times New Roman" w:eastAsia="Times New Roman" w:hAnsi="Times New Roman" w:cs="Times New Roman"/>
          <w:color w:val="3A3A3A"/>
          <w:kern w:val="0"/>
          <w:lang w:eastAsia="en-GB"/>
          <w14:ligatures w14:val="none"/>
        </w:rPr>
        <w:t xml:space="preserve"> P</w:t>
      </w:r>
      <w:r>
        <w:rPr>
          <w:rFonts w:ascii="Times New Roman" w:eastAsia="Times New Roman" w:hAnsi="Times New Roman" w:cs="Times New Roman"/>
          <w:color w:val="3A3A3A"/>
          <w:kern w:val="0"/>
          <w:lang w:eastAsia="en-GB"/>
          <w14:ligatures w14:val="none"/>
        </w:rPr>
        <w:t xml:space="preserve"> </w:t>
      </w:r>
      <w:r w:rsidR="000A0F54">
        <w:rPr>
          <w:rFonts w:ascii="Times New Roman" w:eastAsia="Times New Roman" w:hAnsi="Times New Roman" w:cs="Times New Roman"/>
          <w:color w:val="3A3A3A"/>
          <w:kern w:val="0"/>
          <w:lang w:eastAsia="en-GB"/>
          <w14:ligatures w14:val="none"/>
        </w:rPr>
        <w:t>162</w:t>
      </w:r>
    </w:p>
  </w:footnote>
  <w:footnote w:id="21">
    <w:p w14:paraId="5CF8AEE5" w14:textId="77777777" w:rsidR="00114FC6" w:rsidRDefault="00114FC6" w:rsidP="00114FC6">
      <w:pPr>
        <w:pStyle w:val="FootnoteText"/>
      </w:pPr>
      <w:r>
        <w:rPr>
          <w:rStyle w:val="FootnoteReference"/>
        </w:rPr>
        <w:footnoteRef/>
      </w:r>
      <w:r>
        <w:t xml:space="preserve"> IBID P.257</w:t>
      </w:r>
    </w:p>
  </w:footnote>
  <w:footnote w:id="22">
    <w:p w14:paraId="1E4BDCBB" w14:textId="3599240D" w:rsidR="00B115EB" w:rsidRPr="00FD1A46" w:rsidRDefault="00B115EB">
      <w:pPr>
        <w:pStyle w:val="FootnoteText"/>
      </w:pPr>
      <w:r>
        <w:rPr>
          <w:rStyle w:val="FootnoteReference"/>
        </w:rPr>
        <w:footnoteRef/>
      </w:r>
      <w:r>
        <w:t xml:space="preserve"> </w:t>
      </w:r>
      <w:r w:rsidR="00FD1A46" w:rsidRPr="006A65BA">
        <w:rPr>
          <w:rFonts w:ascii="Times New Roman" w:eastAsia="Times New Roman" w:hAnsi="Times New Roman" w:cs="Times New Roman"/>
          <w:i/>
          <w:iCs/>
          <w:color w:val="000000"/>
          <w:kern w:val="0"/>
          <w:lang w:eastAsia="en-GB"/>
          <w14:ligatures w14:val="none"/>
        </w:rPr>
        <w:t>The Welsh law of women</w:t>
      </w:r>
      <w:r w:rsidR="00FD1A46">
        <w:rPr>
          <w:rFonts w:ascii="Times New Roman" w:eastAsia="Times New Roman" w:hAnsi="Times New Roman" w:cs="Times New Roman"/>
          <w:i/>
          <w:iCs/>
          <w:color w:val="000000"/>
          <w:kern w:val="0"/>
          <w:lang w:eastAsia="en-GB"/>
          <w14:ligatures w14:val="none"/>
        </w:rPr>
        <w:t xml:space="preserve"> </w:t>
      </w:r>
      <w:r w:rsidR="00FD1A46" w:rsidRPr="00FD1A46">
        <w:rPr>
          <w:rFonts w:ascii="Times New Roman" w:eastAsia="Times New Roman" w:hAnsi="Times New Roman" w:cs="Times New Roman"/>
          <w:color w:val="000000"/>
          <w:kern w:val="0"/>
          <w:lang w:eastAsia="en-GB"/>
          <w14:ligatures w14:val="none"/>
        </w:rPr>
        <w:t>P.7</w:t>
      </w:r>
    </w:p>
  </w:footnote>
  <w:footnote w:id="23">
    <w:p w14:paraId="429CAA18" w14:textId="1A54C147" w:rsidR="00A43009" w:rsidRDefault="00A43009">
      <w:pPr>
        <w:pStyle w:val="FootnoteText"/>
      </w:pPr>
      <w:r w:rsidRPr="00FD1A46">
        <w:rPr>
          <w:rStyle w:val="FootnoteReference"/>
        </w:rPr>
        <w:footnoteRef/>
      </w:r>
      <w:r>
        <w:t xml:space="preserve"> </w:t>
      </w:r>
      <w:r w:rsidR="005D27A8">
        <w:t xml:space="preserve">IBID P. </w:t>
      </w:r>
      <w:r w:rsidR="009A48A4">
        <w:t>48</w:t>
      </w:r>
    </w:p>
  </w:footnote>
  <w:footnote w:id="24">
    <w:p w14:paraId="2E554B5A" w14:textId="368480BD" w:rsidR="00CB501D" w:rsidRDefault="00CB501D">
      <w:pPr>
        <w:pStyle w:val="FootnoteText"/>
      </w:pPr>
      <w:r>
        <w:rPr>
          <w:rStyle w:val="FootnoteReference"/>
        </w:rPr>
        <w:footnoteRef/>
      </w:r>
      <w:r>
        <w:t xml:space="preserve"> </w:t>
      </w:r>
      <w:r w:rsidR="00A20C8E">
        <w:t>IBID P. 199</w:t>
      </w:r>
    </w:p>
  </w:footnote>
  <w:footnote w:id="25">
    <w:p w14:paraId="4E59CBA0" w14:textId="6F76FD75" w:rsidR="003E41E1" w:rsidRDefault="003E41E1">
      <w:pPr>
        <w:pStyle w:val="FootnoteText"/>
      </w:pPr>
      <w:r>
        <w:rPr>
          <w:rStyle w:val="FootnoteReference"/>
        </w:rPr>
        <w:footnoteRef/>
      </w:r>
      <w:r>
        <w:t xml:space="preserve"> </w:t>
      </w:r>
      <w:r w:rsidR="000211D4" w:rsidRPr="00854CA3">
        <w:rPr>
          <w:rFonts w:ascii="Times New Roman" w:eastAsia="Times New Roman" w:hAnsi="Times New Roman" w:cs="Times New Roman"/>
          <w:color w:val="000000"/>
          <w:kern w:val="0"/>
          <w:lang w:eastAsia="en-GB"/>
          <w14:ligatures w14:val="none"/>
        </w:rPr>
        <w:t>Bloch, R. H. (1991). </w:t>
      </w:r>
      <w:r w:rsidR="000211D4" w:rsidRPr="000211D4">
        <w:rPr>
          <w:rFonts w:ascii="Times New Roman" w:eastAsia="Times New Roman" w:hAnsi="Times New Roman" w:cs="Times New Roman"/>
          <w:color w:val="000000"/>
          <w:kern w:val="0"/>
          <w:lang w:eastAsia="en-GB"/>
          <w14:ligatures w14:val="none"/>
        </w:rPr>
        <w:t>P. 264</w:t>
      </w:r>
    </w:p>
  </w:footnote>
  <w:footnote w:id="26">
    <w:p w14:paraId="4BF9B2E0" w14:textId="1F253258" w:rsidR="00BA296B" w:rsidRDefault="00BA296B">
      <w:pPr>
        <w:pStyle w:val="FootnoteText"/>
      </w:pPr>
      <w:r>
        <w:rPr>
          <w:rStyle w:val="FootnoteReference"/>
        </w:rPr>
        <w:footnoteRef/>
      </w:r>
      <w:r>
        <w:t xml:space="preserve"> </w:t>
      </w:r>
      <w:r w:rsidR="003176C3" w:rsidRPr="006A65BA">
        <w:rPr>
          <w:rFonts w:ascii="Times New Roman" w:eastAsia="Times New Roman" w:hAnsi="Times New Roman" w:cs="Times New Roman"/>
          <w:i/>
          <w:iCs/>
          <w:color w:val="000000"/>
          <w:kern w:val="0"/>
          <w:lang w:eastAsia="en-GB"/>
          <w14:ligatures w14:val="none"/>
        </w:rPr>
        <w:t>The Welsh law of women</w:t>
      </w:r>
      <w:r w:rsidR="003176C3">
        <w:rPr>
          <w:rFonts w:ascii="Times New Roman" w:eastAsia="Times New Roman" w:hAnsi="Times New Roman" w:cs="Times New Roman"/>
          <w:i/>
          <w:iCs/>
          <w:color w:val="000000"/>
          <w:kern w:val="0"/>
          <w:lang w:eastAsia="en-GB"/>
          <w14:ligatures w14:val="none"/>
        </w:rPr>
        <w:t xml:space="preserve"> </w:t>
      </w:r>
      <w:r w:rsidR="003176C3" w:rsidRPr="00FD1A46">
        <w:rPr>
          <w:rFonts w:ascii="Times New Roman" w:eastAsia="Times New Roman" w:hAnsi="Times New Roman" w:cs="Times New Roman"/>
          <w:color w:val="000000"/>
          <w:kern w:val="0"/>
          <w:lang w:eastAsia="en-GB"/>
          <w14:ligatures w14:val="none"/>
        </w:rPr>
        <w:t>P.</w:t>
      </w:r>
      <w:r w:rsidR="003176C3">
        <w:rPr>
          <w:rFonts w:ascii="Times New Roman" w:eastAsia="Times New Roman" w:hAnsi="Times New Roman" w:cs="Times New Roman"/>
          <w:color w:val="000000"/>
          <w:kern w:val="0"/>
          <w:lang w:eastAsia="en-GB"/>
          <w14:ligatures w14:val="none"/>
        </w:rPr>
        <w:t>56</w:t>
      </w:r>
    </w:p>
  </w:footnote>
  <w:footnote w:id="27">
    <w:p w14:paraId="28042D9A" w14:textId="647F4010" w:rsidR="00A67B21" w:rsidRDefault="00A67B21">
      <w:pPr>
        <w:pStyle w:val="FootnoteText"/>
      </w:pPr>
      <w:r>
        <w:rPr>
          <w:rStyle w:val="FootnoteReference"/>
        </w:rPr>
        <w:footnoteRef/>
      </w:r>
      <w:r>
        <w:t xml:space="preserve"> </w:t>
      </w:r>
      <w:r w:rsidR="003B57E2">
        <w:t>IBID P. 109</w:t>
      </w:r>
    </w:p>
  </w:footnote>
  <w:footnote w:id="28">
    <w:p w14:paraId="16970CCE" w14:textId="038DC481" w:rsidR="00B644DE" w:rsidRDefault="00B644DE">
      <w:pPr>
        <w:pStyle w:val="FootnoteText"/>
      </w:pPr>
      <w:r>
        <w:rPr>
          <w:rStyle w:val="FootnoteReference"/>
        </w:rPr>
        <w:footnoteRef/>
      </w:r>
      <w:r>
        <w:t xml:space="preserve"> </w:t>
      </w:r>
      <w:r w:rsidR="00F43DB1">
        <w:t>IBID P</w:t>
      </w:r>
      <w:r w:rsidR="00187E30">
        <w:t>. 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7420"/>
    <w:rsid w:val="000048F7"/>
    <w:rsid w:val="00005324"/>
    <w:rsid w:val="0000786B"/>
    <w:rsid w:val="000211D4"/>
    <w:rsid w:val="00024AD0"/>
    <w:rsid w:val="0005394B"/>
    <w:rsid w:val="0005394C"/>
    <w:rsid w:val="0006092F"/>
    <w:rsid w:val="00076DF8"/>
    <w:rsid w:val="000801F1"/>
    <w:rsid w:val="00085CBC"/>
    <w:rsid w:val="0009399F"/>
    <w:rsid w:val="000951E5"/>
    <w:rsid w:val="00096EAE"/>
    <w:rsid w:val="000973D7"/>
    <w:rsid w:val="000A0F54"/>
    <w:rsid w:val="000A10B4"/>
    <w:rsid w:val="000B0D7F"/>
    <w:rsid w:val="000B2FAA"/>
    <w:rsid w:val="000C3CE7"/>
    <w:rsid w:val="000C5F6B"/>
    <w:rsid w:val="000D09DA"/>
    <w:rsid w:val="000E44F1"/>
    <w:rsid w:val="00102A09"/>
    <w:rsid w:val="00113CC8"/>
    <w:rsid w:val="0011401C"/>
    <w:rsid w:val="00114FC6"/>
    <w:rsid w:val="00151F11"/>
    <w:rsid w:val="00153EBF"/>
    <w:rsid w:val="001577E8"/>
    <w:rsid w:val="001804D1"/>
    <w:rsid w:val="00180609"/>
    <w:rsid w:val="00183F7E"/>
    <w:rsid w:val="0018462A"/>
    <w:rsid w:val="00187E30"/>
    <w:rsid w:val="00190C0D"/>
    <w:rsid w:val="00191AAF"/>
    <w:rsid w:val="00197B68"/>
    <w:rsid w:val="001A6842"/>
    <w:rsid w:val="001C45A6"/>
    <w:rsid w:val="001D3D92"/>
    <w:rsid w:val="001D71C3"/>
    <w:rsid w:val="001F04C0"/>
    <w:rsid w:val="001F0C20"/>
    <w:rsid w:val="001F7E8C"/>
    <w:rsid w:val="00205313"/>
    <w:rsid w:val="00206A5A"/>
    <w:rsid w:val="00207361"/>
    <w:rsid w:val="00215294"/>
    <w:rsid w:val="0022007B"/>
    <w:rsid w:val="00224D94"/>
    <w:rsid w:val="002374DC"/>
    <w:rsid w:val="0024003D"/>
    <w:rsid w:val="00251BEC"/>
    <w:rsid w:val="0025575A"/>
    <w:rsid w:val="00291D71"/>
    <w:rsid w:val="00293AF0"/>
    <w:rsid w:val="002A25BE"/>
    <w:rsid w:val="002D5A58"/>
    <w:rsid w:val="002D7285"/>
    <w:rsid w:val="002E1AF7"/>
    <w:rsid w:val="00304B22"/>
    <w:rsid w:val="00305184"/>
    <w:rsid w:val="0030680F"/>
    <w:rsid w:val="00314148"/>
    <w:rsid w:val="003176C3"/>
    <w:rsid w:val="00326AB2"/>
    <w:rsid w:val="00334A82"/>
    <w:rsid w:val="00334FD1"/>
    <w:rsid w:val="003359FF"/>
    <w:rsid w:val="003627CA"/>
    <w:rsid w:val="00371F16"/>
    <w:rsid w:val="00376FD4"/>
    <w:rsid w:val="003A43F9"/>
    <w:rsid w:val="003B57E2"/>
    <w:rsid w:val="003D525C"/>
    <w:rsid w:val="003D5C20"/>
    <w:rsid w:val="003D7D54"/>
    <w:rsid w:val="003E13DA"/>
    <w:rsid w:val="003E3F89"/>
    <w:rsid w:val="003E41E1"/>
    <w:rsid w:val="00404D8A"/>
    <w:rsid w:val="00410229"/>
    <w:rsid w:val="004276D0"/>
    <w:rsid w:val="00431AF8"/>
    <w:rsid w:val="00441065"/>
    <w:rsid w:val="0044106D"/>
    <w:rsid w:val="004456D2"/>
    <w:rsid w:val="00450CB5"/>
    <w:rsid w:val="0046568B"/>
    <w:rsid w:val="00474C03"/>
    <w:rsid w:val="0048102E"/>
    <w:rsid w:val="00490C99"/>
    <w:rsid w:val="004A71CB"/>
    <w:rsid w:val="004A7420"/>
    <w:rsid w:val="004C3EB4"/>
    <w:rsid w:val="004D38E0"/>
    <w:rsid w:val="00510A03"/>
    <w:rsid w:val="005117E8"/>
    <w:rsid w:val="005132BE"/>
    <w:rsid w:val="005470A5"/>
    <w:rsid w:val="005509D3"/>
    <w:rsid w:val="00553277"/>
    <w:rsid w:val="00560ABB"/>
    <w:rsid w:val="00564F89"/>
    <w:rsid w:val="005B4129"/>
    <w:rsid w:val="005D0948"/>
    <w:rsid w:val="005D27A8"/>
    <w:rsid w:val="005D48C5"/>
    <w:rsid w:val="005D657D"/>
    <w:rsid w:val="005E7269"/>
    <w:rsid w:val="005F633A"/>
    <w:rsid w:val="0063503D"/>
    <w:rsid w:val="0064451A"/>
    <w:rsid w:val="00654523"/>
    <w:rsid w:val="0067053C"/>
    <w:rsid w:val="00693DFD"/>
    <w:rsid w:val="006970AD"/>
    <w:rsid w:val="006A47C0"/>
    <w:rsid w:val="006A5238"/>
    <w:rsid w:val="006A5865"/>
    <w:rsid w:val="006A65BA"/>
    <w:rsid w:val="006B047D"/>
    <w:rsid w:val="006B17C5"/>
    <w:rsid w:val="006D1CE4"/>
    <w:rsid w:val="006F0E90"/>
    <w:rsid w:val="006F4FA7"/>
    <w:rsid w:val="00704A60"/>
    <w:rsid w:val="007065A0"/>
    <w:rsid w:val="00706775"/>
    <w:rsid w:val="00707F82"/>
    <w:rsid w:val="00713B9F"/>
    <w:rsid w:val="00723F98"/>
    <w:rsid w:val="00743C50"/>
    <w:rsid w:val="00751467"/>
    <w:rsid w:val="00752850"/>
    <w:rsid w:val="007547C8"/>
    <w:rsid w:val="007607E0"/>
    <w:rsid w:val="00775848"/>
    <w:rsid w:val="00796E48"/>
    <w:rsid w:val="00797FD0"/>
    <w:rsid w:val="007A359C"/>
    <w:rsid w:val="007B05BE"/>
    <w:rsid w:val="007D0942"/>
    <w:rsid w:val="00804F16"/>
    <w:rsid w:val="0080627F"/>
    <w:rsid w:val="00824E1A"/>
    <w:rsid w:val="008316A6"/>
    <w:rsid w:val="00851CDC"/>
    <w:rsid w:val="00863E1D"/>
    <w:rsid w:val="00872906"/>
    <w:rsid w:val="00873DBF"/>
    <w:rsid w:val="00875D32"/>
    <w:rsid w:val="00876601"/>
    <w:rsid w:val="00892C8B"/>
    <w:rsid w:val="008A33D4"/>
    <w:rsid w:val="008A51C8"/>
    <w:rsid w:val="008B5340"/>
    <w:rsid w:val="008B5637"/>
    <w:rsid w:val="008C3BE2"/>
    <w:rsid w:val="0090007D"/>
    <w:rsid w:val="00904917"/>
    <w:rsid w:val="00915606"/>
    <w:rsid w:val="009169AF"/>
    <w:rsid w:val="00921F95"/>
    <w:rsid w:val="00927BE7"/>
    <w:rsid w:val="009366B3"/>
    <w:rsid w:val="00942247"/>
    <w:rsid w:val="00962023"/>
    <w:rsid w:val="00967143"/>
    <w:rsid w:val="009951CC"/>
    <w:rsid w:val="00997CB4"/>
    <w:rsid w:val="009A48A4"/>
    <w:rsid w:val="009A60A9"/>
    <w:rsid w:val="009B3821"/>
    <w:rsid w:val="009C12C9"/>
    <w:rsid w:val="009C1359"/>
    <w:rsid w:val="009C5480"/>
    <w:rsid w:val="009D1659"/>
    <w:rsid w:val="009D16A6"/>
    <w:rsid w:val="009D568B"/>
    <w:rsid w:val="009E55C7"/>
    <w:rsid w:val="009F7DA0"/>
    <w:rsid w:val="00A02F3B"/>
    <w:rsid w:val="00A145F9"/>
    <w:rsid w:val="00A1643C"/>
    <w:rsid w:val="00A20AA8"/>
    <w:rsid w:val="00A20C8E"/>
    <w:rsid w:val="00A3140D"/>
    <w:rsid w:val="00A43009"/>
    <w:rsid w:val="00A50F95"/>
    <w:rsid w:val="00A511D7"/>
    <w:rsid w:val="00A55223"/>
    <w:rsid w:val="00A61240"/>
    <w:rsid w:val="00A62159"/>
    <w:rsid w:val="00A626BC"/>
    <w:rsid w:val="00A6451A"/>
    <w:rsid w:val="00A64AF8"/>
    <w:rsid w:val="00A67B21"/>
    <w:rsid w:val="00A7150C"/>
    <w:rsid w:val="00A7233B"/>
    <w:rsid w:val="00A82508"/>
    <w:rsid w:val="00A83661"/>
    <w:rsid w:val="00A91E73"/>
    <w:rsid w:val="00A93E1C"/>
    <w:rsid w:val="00A95C84"/>
    <w:rsid w:val="00AA237D"/>
    <w:rsid w:val="00AA3161"/>
    <w:rsid w:val="00AA5F5E"/>
    <w:rsid w:val="00AA7A46"/>
    <w:rsid w:val="00AC05CB"/>
    <w:rsid w:val="00AC2F0A"/>
    <w:rsid w:val="00AC5536"/>
    <w:rsid w:val="00AC6E5A"/>
    <w:rsid w:val="00AE3147"/>
    <w:rsid w:val="00AE4883"/>
    <w:rsid w:val="00AE51AF"/>
    <w:rsid w:val="00AE68D0"/>
    <w:rsid w:val="00AF35CE"/>
    <w:rsid w:val="00AF3BEE"/>
    <w:rsid w:val="00AF4844"/>
    <w:rsid w:val="00B115EB"/>
    <w:rsid w:val="00B1294F"/>
    <w:rsid w:val="00B14D6E"/>
    <w:rsid w:val="00B253F3"/>
    <w:rsid w:val="00B3074A"/>
    <w:rsid w:val="00B41188"/>
    <w:rsid w:val="00B41E96"/>
    <w:rsid w:val="00B644DE"/>
    <w:rsid w:val="00B66953"/>
    <w:rsid w:val="00B81546"/>
    <w:rsid w:val="00B84908"/>
    <w:rsid w:val="00B857EA"/>
    <w:rsid w:val="00BA296B"/>
    <w:rsid w:val="00BA7B09"/>
    <w:rsid w:val="00BC60D9"/>
    <w:rsid w:val="00BC6961"/>
    <w:rsid w:val="00BC69CD"/>
    <w:rsid w:val="00BF16CC"/>
    <w:rsid w:val="00C15E4D"/>
    <w:rsid w:val="00C17B99"/>
    <w:rsid w:val="00C21272"/>
    <w:rsid w:val="00C246EF"/>
    <w:rsid w:val="00C27F16"/>
    <w:rsid w:val="00C31A90"/>
    <w:rsid w:val="00C33F62"/>
    <w:rsid w:val="00C41B9B"/>
    <w:rsid w:val="00C443CE"/>
    <w:rsid w:val="00C45CA1"/>
    <w:rsid w:val="00C5337A"/>
    <w:rsid w:val="00C556D2"/>
    <w:rsid w:val="00C61979"/>
    <w:rsid w:val="00C843CD"/>
    <w:rsid w:val="00CB501D"/>
    <w:rsid w:val="00CC02A1"/>
    <w:rsid w:val="00CD25AE"/>
    <w:rsid w:val="00CE26F9"/>
    <w:rsid w:val="00CE458C"/>
    <w:rsid w:val="00CF71FE"/>
    <w:rsid w:val="00D009AD"/>
    <w:rsid w:val="00D0525B"/>
    <w:rsid w:val="00D11E7A"/>
    <w:rsid w:val="00D14D23"/>
    <w:rsid w:val="00D174F2"/>
    <w:rsid w:val="00D23695"/>
    <w:rsid w:val="00D30902"/>
    <w:rsid w:val="00D32C24"/>
    <w:rsid w:val="00D41A0C"/>
    <w:rsid w:val="00D44826"/>
    <w:rsid w:val="00D459BF"/>
    <w:rsid w:val="00D51D8B"/>
    <w:rsid w:val="00D539F1"/>
    <w:rsid w:val="00D763DB"/>
    <w:rsid w:val="00D84342"/>
    <w:rsid w:val="00D902A9"/>
    <w:rsid w:val="00D931D5"/>
    <w:rsid w:val="00D97C30"/>
    <w:rsid w:val="00DA3ADB"/>
    <w:rsid w:val="00DB3107"/>
    <w:rsid w:val="00DB692A"/>
    <w:rsid w:val="00DC19C1"/>
    <w:rsid w:val="00DC6AB9"/>
    <w:rsid w:val="00DC756C"/>
    <w:rsid w:val="00DD20D6"/>
    <w:rsid w:val="00DD3D90"/>
    <w:rsid w:val="00DF4019"/>
    <w:rsid w:val="00E02A17"/>
    <w:rsid w:val="00E156F0"/>
    <w:rsid w:val="00E27AE9"/>
    <w:rsid w:val="00E31342"/>
    <w:rsid w:val="00E33865"/>
    <w:rsid w:val="00E35184"/>
    <w:rsid w:val="00E5107B"/>
    <w:rsid w:val="00E52928"/>
    <w:rsid w:val="00E54AAE"/>
    <w:rsid w:val="00E663F8"/>
    <w:rsid w:val="00E74249"/>
    <w:rsid w:val="00E83C08"/>
    <w:rsid w:val="00E86CD0"/>
    <w:rsid w:val="00E9748C"/>
    <w:rsid w:val="00EB0C8D"/>
    <w:rsid w:val="00EC195B"/>
    <w:rsid w:val="00EC67E2"/>
    <w:rsid w:val="00ED0060"/>
    <w:rsid w:val="00ED00DB"/>
    <w:rsid w:val="00ED3078"/>
    <w:rsid w:val="00ED4591"/>
    <w:rsid w:val="00EF03F7"/>
    <w:rsid w:val="00F10A8F"/>
    <w:rsid w:val="00F11DA4"/>
    <w:rsid w:val="00F20652"/>
    <w:rsid w:val="00F43DB1"/>
    <w:rsid w:val="00F45008"/>
    <w:rsid w:val="00F4685E"/>
    <w:rsid w:val="00F61CBD"/>
    <w:rsid w:val="00F66A36"/>
    <w:rsid w:val="00F72D38"/>
    <w:rsid w:val="00F77387"/>
    <w:rsid w:val="00F822DD"/>
    <w:rsid w:val="00F83A42"/>
    <w:rsid w:val="00F90BF6"/>
    <w:rsid w:val="00F91F03"/>
    <w:rsid w:val="00FA4694"/>
    <w:rsid w:val="00FB50B0"/>
    <w:rsid w:val="00FC5EEF"/>
    <w:rsid w:val="00FD1A46"/>
    <w:rsid w:val="00FF217D"/>
    <w:rsid w:val="00FF3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F5614E"/>
  <w15:chartTrackingRefBased/>
  <w15:docId w15:val="{52A6B8FB-1F75-4C69-859A-F06B4E6D4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420"/>
  </w:style>
  <w:style w:type="paragraph" w:styleId="Heading1">
    <w:name w:val="heading 1"/>
    <w:basedOn w:val="Normal"/>
    <w:next w:val="Normal"/>
    <w:link w:val="Heading1Char"/>
    <w:uiPriority w:val="9"/>
    <w:qFormat/>
    <w:rsid w:val="004A74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4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4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4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4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4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4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4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4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4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4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4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4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4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4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4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4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420"/>
    <w:rPr>
      <w:rFonts w:eastAsiaTheme="majorEastAsia" w:cstheme="majorBidi"/>
      <w:color w:val="272727" w:themeColor="text1" w:themeTint="D8"/>
    </w:rPr>
  </w:style>
  <w:style w:type="paragraph" w:styleId="Title">
    <w:name w:val="Title"/>
    <w:basedOn w:val="Normal"/>
    <w:next w:val="Normal"/>
    <w:link w:val="TitleChar"/>
    <w:uiPriority w:val="10"/>
    <w:qFormat/>
    <w:rsid w:val="004A74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4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4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4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420"/>
    <w:pPr>
      <w:spacing w:before="160"/>
      <w:jc w:val="center"/>
    </w:pPr>
    <w:rPr>
      <w:i/>
      <w:iCs/>
      <w:color w:val="404040" w:themeColor="text1" w:themeTint="BF"/>
    </w:rPr>
  </w:style>
  <w:style w:type="character" w:customStyle="1" w:styleId="QuoteChar">
    <w:name w:val="Quote Char"/>
    <w:basedOn w:val="DefaultParagraphFont"/>
    <w:link w:val="Quote"/>
    <w:uiPriority w:val="29"/>
    <w:rsid w:val="004A7420"/>
    <w:rPr>
      <w:i/>
      <w:iCs/>
      <w:color w:val="404040" w:themeColor="text1" w:themeTint="BF"/>
    </w:rPr>
  </w:style>
  <w:style w:type="paragraph" w:styleId="ListParagraph">
    <w:name w:val="List Paragraph"/>
    <w:basedOn w:val="Normal"/>
    <w:uiPriority w:val="34"/>
    <w:qFormat/>
    <w:rsid w:val="004A7420"/>
    <w:pPr>
      <w:ind w:left="720"/>
      <w:contextualSpacing/>
    </w:pPr>
  </w:style>
  <w:style w:type="character" w:styleId="IntenseEmphasis">
    <w:name w:val="Intense Emphasis"/>
    <w:basedOn w:val="DefaultParagraphFont"/>
    <w:uiPriority w:val="21"/>
    <w:qFormat/>
    <w:rsid w:val="004A7420"/>
    <w:rPr>
      <w:i/>
      <w:iCs/>
      <w:color w:val="0F4761" w:themeColor="accent1" w:themeShade="BF"/>
    </w:rPr>
  </w:style>
  <w:style w:type="paragraph" w:styleId="IntenseQuote">
    <w:name w:val="Intense Quote"/>
    <w:basedOn w:val="Normal"/>
    <w:next w:val="Normal"/>
    <w:link w:val="IntenseQuoteChar"/>
    <w:uiPriority w:val="30"/>
    <w:qFormat/>
    <w:rsid w:val="004A74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420"/>
    <w:rPr>
      <w:i/>
      <w:iCs/>
      <w:color w:val="0F4761" w:themeColor="accent1" w:themeShade="BF"/>
    </w:rPr>
  </w:style>
  <w:style w:type="character" w:styleId="IntenseReference">
    <w:name w:val="Intense Reference"/>
    <w:basedOn w:val="DefaultParagraphFont"/>
    <w:uiPriority w:val="32"/>
    <w:qFormat/>
    <w:rsid w:val="004A7420"/>
    <w:rPr>
      <w:b/>
      <w:bCs/>
      <w:smallCaps/>
      <w:color w:val="0F4761" w:themeColor="accent1" w:themeShade="BF"/>
      <w:spacing w:val="5"/>
    </w:rPr>
  </w:style>
  <w:style w:type="paragraph" w:styleId="FootnoteText">
    <w:name w:val="footnote text"/>
    <w:basedOn w:val="Normal"/>
    <w:link w:val="FootnoteTextChar"/>
    <w:uiPriority w:val="99"/>
    <w:semiHidden/>
    <w:unhideWhenUsed/>
    <w:rsid w:val="004A74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7420"/>
    <w:rPr>
      <w:sz w:val="20"/>
      <w:szCs w:val="20"/>
    </w:rPr>
  </w:style>
  <w:style w:type="character" w:styleId="FootnoteReference">
    <w:name w:val="footnote reference"/>
    <w:basedOn w:val="DefaultParagraphFont"/>
    <w:uiPriority w:val="99"/>
    <w:semiHidden/>
    <w:unhideWhenUsed/>
    <w:rsid w:val="004A7420"/>
    <w:rPr>
      <w:vertAlign w:val="superscript"/>
    </w:rPr>
  </w:style>
  <w:style w:type="paragraph" w:styleId="NormalWeb">
    <w:name w:val="Normal (Web)"/>
    <w:basedOn w:val="Normal"/>
    <w:uiPriority w:val="99"/>
    <w:unhideWhenUsed/>
    <w:rsid w:val="009D165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Emphasis">
    <w:name w:val="Emphasis"/>
    <w:basedOn w:val="DefaultParagraphFont"/>
    <w:uiPriority w:val="20"/>
    <w:qFormat/>
    <w:rsid w:val="009D1659"/>
    <w:rPr>
      <w:i/>
      <w:iCs/>
    </w:rPr>
  </w:style>
  <w:style w:type="paragraph" w:styleId="Header">
    <w:name w:val="header"/>
    <w:basedOn w:val="Normal"/>
    <w:link w:val="HeaderChar"/>
    <w:uiPriority w:val="99"/>
    <w:unhideWhenUsed/>
    <w:rsid w:val="00007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86B"/>
  </w:style>
  <w:style w:type="paragraph" w:styleId="Footer">
    <w:name w:val="footer"/>
    <w:basedOn w:val="Normal"/>
    <w:link w:val="FooterChar"/>
    <w:uiPriority w:val="99"/>
    <w:unhideWhenUsed/>
    <w:rsid w:val="00007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86B"/>
  </w:style>
  <w:style w:type="paragraph" w:customStyle="1" w:styleId="gds-typography">
    <w:name w:val="gds-typography"/>
    <w:basedOn w:val="Normal"/>
    <w:rsid w:val="00510A0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AA237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208/978022605990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bookcentral.proquest.com/lib/trinity/reader.action?docID=6028005&amp;ppg=1&amp;c=UERG" TargetMode="External"/><Relationship Id="rId4" Type="http://schemas.openxmlformats.org/officeDocument/2006/relationships/settings" Target="settings.xml"/><Relationship Id="rId9" Type="http://schemas.openxmlformats.org/officeDocument/2006/relationships/hyperlink" Target="https://doi.org/10.9783/9780812295429%20Accessed%2015/03/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66610-D2E9-487F-8392-70D155238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4106</Words>
  <Characters>22711</Characters>
  <Application>Microsoft Office Word</Application>
  <DocSecurity>0</DocSecurity>
  <Lines>315</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Davies</dc:creator>
  <cp:keywords/>
  <dc:description/>
  <cp:lastModifiedBy>Clare Davies</cp:lastModifiedBy>
  <cp:revision>2</cp:revision>
  <dcterms:created xsi:type="dcterms:W3CDTF">2026-03-17T15:49:00Z</dcterms:created>
  <dcterms:modified xsi:type="dcterms:W3CDTF">2026-03-17T15:49:00Z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27cfc5e9-4491-417e-a3c4-eb662be847ca</vt:lpwstr>
  </property>
</Properties>
</file>