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501D" w:rsidRPr="006B75B0" w:rsidRDefault="00A8501D" w:rsidP="00F26E15">
      <w:pPr>
        <w:pStyle w:val="Heading2"/>
        <w:numPr>
          <w:ilvl w:val="0"/>
          <w:numId w:val="0"/>
        </w:numPr>
        <w:shd w:val="clear" w:color="auto" w:fill="FFFFFF"/>
        <w:spacing w:after="206" w:line="360" w:lineRule="auto"/>
        <w:ind w:left="576" w:hanging="576"/>
        <w:jc w:val="both"/>
        <w:rPr>
          <w:rFonts w:ascii="Times New Roman" w:hAnsi="Times New Roman" w:cs="Times New Roman"/>
          <w:color w:val="auto"/>
          <w:sz w:val="32"/>
          <w:szCs w:val="34"/>
          <w:lang w:val="en-IN"/>
        </w:rPr>
      </w:pPr>
      <w:bookmarkStart w:id="0" w:name="_Toc203731971"/>
      <w:r w:rsidRPr="006B75B0">
        <w:rPr>
          <w:rFonts w:ascii="Times New Roman" w:hAnsi="Times New Roman" w:cs="Times New Roman"/>
          <w:b/>
          <w:bCs/>
          <w:color w:val="auto"/>
          <w:sz w:val="32"/>
          <w:szCs w:val="34"/>
        </w:rPr>
        <w:t>Executive Summary</w:t>
      </w:r>
      <w:bookmarkEnd w:id="0"/>
    </w:p>
    <w:p w:rsidR="00650026" w:rsidRPr="00650026" w:rsidRDefault="00650026" w:rsidP="00650026">
      <w:pPr>
        <w:spacing w:line="360" w:lineRule="auto"/>
        <w:jc w:val="both"/>
        <w:rPr>
          <w:rFonts w:ascii="Times New Roman" w:hAnsi="Times New Roman" w:cs="Times New Roman"/>
          <w:sz w:val="24"/>
          <w:szCs w:val="24"/>
          <w:shd w:val="clear" w:color="auto" w:fill="FFFFFF"/>
        </w:rPr>
      </w:pPr>
      <w:r w:rsidRPr="00650026">
        <w:rPr>
          <w:rFonts w:ascii="Times New Roman" w:hAnsi="Times New Roman" w:cs="Times New Roman"/>
          <w:sz w:val="24"/>
          <w:szCs w:val="24"/>
          <w:shd w:val="clear" w:color="auto" w:fill="FFFFFF"/>
        </w:rPr>
        <w:t>BT Group plc is facing huge financial pressures with a high debt level of £19.5 billion, an enormous pension deficit of £38 billion, and a weak interest coverage ratio of 2.61. In FY2024, the growth in revenue was tepid at a meager 0.6%, which was not sufficient to offset the decline in profitability. The company's net profit margin declined drastically by 5.09 percentage points to historic low of 4.11%, while return on capital employed (ROCE) declined to 5.28%. Further, earnings per share (EPS) declined drastically by 55% and arrived at 8.7 pence.</w:t>
      </w:r>
      <w:r w:rsidRPr="00650026">
        <w:rPr>
          <w:rFonts w:ascii="Times New Roman" w:hAnsi="Times New Roman" w:cs="Times New Roman"/>
          <w:sz w:val="24"/>
          <w:szCs w:val="24"/>
          <w:shd w:val="clear" w:color="auto" w:fill="FFFFFF"/>
        </w:rPr>
        <w:br/>
        <w:t>Liquidity remains tight (current ratio: 0.85), while gearing surged to 60.88%, above industry peers and rising refinancing risks. Worryingly, the management increased dividends despite a decline in dividend cover to 1.07×—a decision that contradicts BT's needs for infrastructure investment and pension funding. The market's optimistic outlook (P/E 18.97×) appears disconnected from reality, suggesting speculative trust in BT's potential for a turnaround.</w:t>
      </w:r>
    </w:p>
    <w:p w:rsidR="00FE78A3" w:rsidRPr="00FE78A3" w:rsidRDefault="00FE78A3" w:rsidP="0088378B">
      <w:pPr>
        <w:spacing w:line="360" w:lineRule="auto"/>
        <w:jc w:val="both"/>
        <w:rPr>
          <w:rFonts w:ascii="Times New Roman" w:hAnsi="Times New Roman" w:cs="Times New Roman"/>
          <w:b/>
          <w:sz w:val="28"/>
          <w:shd w:val="clear" w:color="auto" w:fill="FFFFFF"/>
        </w:rPr>
      </w:pPr>
      <w:r w:rsidRPr="00FE78A3">
        <w:rPr>
          <w:rFonts w:ascii="Times New Roman" w:hAnsi="Times New Roman" w:cs="Times New Roman"/>
          <w:b/>
          <w:sz w:val="28"/>
          <w:shd w:val="clear" w:color="auto" w:fill="FFFFFF"/>
        </w:rPr>
        <w:t>Task 2</w:t>
      </w:r>
    </w:p>
    <w:p w:rsidR="002649EF" w:rsidRPr="00BB2325" w:rsidRDefault="00BB2325" w:rsidP="00BB2325">
      <w:pPr>
        <w:spacing w:line="360" w:lineRule="auto"/>
        <w:jc w:val="both"/>
        <w:rPr>
          <w:rFonts w:ascii="Times New Roman" w:hAnsi="Times New Roman" w:cs="Times New Roman"/>
          <w:sz w:val="24"/>
          <w:shd w:val="clear" w:color="auto" w:fill="FFFFFF"/>
        </w:rPr>
      </w:pPr>
      <w:r w:rsidRPr="00BB2325">
        <w:rPr>
          <w:rFonts w:ascii="Times New Roman" w:hAnsi="Times New Roman" w:cs="Times New Roman"/>
          <w:sz w:val="24"/>
          <w:shd w:val="clear" w:color="auto" w:fill="FFFFFF"/>
        </w:rPr>
        <w:t>Jordons Plc should invest in Project B (Development of Online Sales), which provides greater financial returns (NPV: £747,608; IRR: 32.04%; PI: 1.74) and is strategically aligned with e-commerce growth trends. Project A (Expansion of Retail) lacks scalability (NPV: £394,320; PI: 1.65), while Project C (Diversification of Products) entails complexity of operation and wasteful use of capital (NPV: £615,533; PI: 1.40). Subject to a £2 million budget limitation, the best portfolio is 25% financing of Project C (£0.4 million) and full financing of Projects B (£1 million) and A (£0.6 million), which maximizes the total net present value to £1,295,811.</w:t>
      </w:r>
      <w:r w:rsidRPr="00BB2325">
        <w:rPr>
          <w:rFonts w:ascii="Times New Roman" w:hAnsi="Times New Roman" w:cs="Times New Roman"/>
          <w:sz w:val="24"/>
          <w:shd w:val="clear" w:color="auto" w:fill="FFFFFF"/>
        </w:rPr>
        <w:br/>
        <w:t>Retained profits are to be the major source of funds, augmented by tax-efficient borrowing to retain shareholder ownership and avoid dilution of shares to promote growth.</w:t>
      </w:r>
    </w:p>
    <w:p w:rsidR="00BB2325" w:rsidRDefault="00BB2325" w:rsidP="0088378B">
      <w:pPr>
        <w:spacing w:line="360" w:lineRule="auto"/>
        <w:jc w:val="both"/>
        <w:rPr>
          <w:rFonts w:ascii="Arial" w:hAnsi="Arial" w:cs="Arial"/>
          <w:color w:val="172B4D"/>
          <w:shd w:val="clear" w:color="auto" w:fill="FFFFFF"/>
        </w:rPr>
      </w:pPr>
    </w:p>
    <w:p w:rsidR="00BB2325" w:rsidRDefault="00BB2325" w:rsidP="0088378B">
      <w:pPr>
        <w:spacing w:line="360" w:lineRule="auto"/>
        <w:jc w:val="both"/>
        <w:rPr>
          <w:rFonts w:ascii="Arial" w:hAnsi="Arial" w:cs="Arial"/>
          <w:color w:val="172B4D"/>
          <w:shd w:val="clear" w:color="auto" w:fill="FFFFFF"/>
        </w:rPr>
      </w:pPr>
    </w:p>
    <w:p w:rsidR="00BB2325" w:rsidRDefault="00BB2325" w:rsidP="0088378B">
      <w:pPr>
        <w:spacing w:line="360" w:lineRule="auto"/>
        <w:jc w:val="both"/>
        <w:rPr>
          <w:rFonts w:ascii="Arial" w:hAnsi="Arial" w:cs="Arial"/>
          <w:color w:val="172B4D"/>
          <w:shd w:val="clear" w:color="auto" w:fill="FFFFFF"/>
        </w:rPr>
      </w:pPr>
    </w:p>
    <w:p w:rsidR="00BB2325" w:rsidRDefault="00BB2325" w:rsidP="0088378B">
      <w:pPr>
        <w:spacing w:line="360" w:lineRule="auto"/>
        <w:jc w:val="both"/>
        <w:rPr>
          <w:rFonts w:ascii="Arial" w:hAnsi="Arial" w:cs="Arial"/>
          <w:color w:val="172B4D"/>
          <w:shd w:val="clear" w:color="auto" w:fill="FFFFFF"/>
        </w:rPr>
      </w:pPr>
    </w:p>
    <w:p w:rsidR="00BB2325" w:rsidRDefault="00BB2325" w:rsidP="0088378B">
      <w:pPr>
        <w:spacing w:line="360" w:lineRule="auto"/>
        <w:jc w:val="both"/>
        <w:rPr>
          <w:rFonts w:ascii="Times New Roman" w:hAnsi="Times New Roman" w:cs="Times New Roman"/>
          <w:sz w:val="24"/>
          <w:szCs w:val="24"/>
        </w:rPr>
      </w:pPr>
    </w:p>
    <w:p w:rsidR="00BB2325" w:rsidRDefault="00BB2325" w:rsidP="0088378B">
      <w:pPr>
        <w:spacing w:line="360" w:lineRule="auto"/>
        <w:jc w:val="both"/>
        <w:rPr>
          <w:rFonts w:ascii="Times New Roman" w:hAnsi="Times New Roman" w:cs="Times New Roman"/>
          <w:sz w:val="24"/>
          <w:szCs w:val="24"/>
        </w:rPr>
      </w:pPr>
    </w:p>
    <w:p w:rsidR="00BB2325" w:rsidRDefault="00BB2325" w:rsidP="0088378B">
      <w:pPr>
        <w:spacing w:line="360" w:lineRule="auto"/>
        <w:jc w:val="both"/>
        <w:rPr>
          <w:rFonts w:ascii="Times New Roman" w:hAnsi="Times New Roman" w:cs="Times New Roman"/>
          <w:sz w:val="24"/>
          <w:szCs w:val="24"/>
        </w:rPr>
      </w:pPr>
    </w:p>
    <w:p w:rsidR="00BB2325" w:rsidRDefault="00BB2325" w:rsidP="0088378B">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101528076"/>
        <w:docPartObj>
          <w:docPartGallery w:val="Table of Contents"/>
          <w:docPartUnique/>
        </w:docPartObj>
      </w:sdtPr>
      <w:sdtEndPr>
        <w:rPr>
          <w:b/>
          <w:bCs/>
          <w:noProof/>
        </w:rPr>
      </w:sdtEndPr>
      <w:sdtContent>
        <w:p w:rsidR="002649EF" w:rsidRPr="00321478" w:rsidRDefault="002649EF" w:rsidP="0088378B">
          <w:pPr>
            <w:pStyle w:val="TOCHeading"/>
            <w:numPr>
              <w:ilvl w:val="0"/>
              <w:numId w:val="0"/>
            </w:numPr>
            <w:spacing w:line="360" w:lineRule="auto"/>
            <w:ind w:left="432"/>
            <w:rPr>
              <w:rFonts w:ascii="Times New Roman" w:hAnsi="Times New Roman" w:cs="Times New Roman"/>
              <w:b/>
              <w:color w:val="auto"/>
            </w:rPr>
          </w:pPr>
          <w:r w:rsidRPr="00321478">
            <w:rPr>
              <w:rFonts w:ascii="Times New Roman" w:hAnsi="Times New Roman" w:cs="Times New Roman"/>
              <w:b/>
              <w:color w:val="auto"/>
            </w:rPr>
            <w:t>Table of Contents</w:t>
          </w:r>
        </w:p>
        <w:p w:rsidR="00153CA5" w:rsidRDefault="002649EF">
          <w:pPr>
            <w:pStyle w:val="TOC2"/>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203731971" w:history="1">
            <w:r w:rsidR="00153CA5" w:rsidRPr="008A26DA">
              <w:rPr>
                <w:rStyle w:val="Hyperlink"/>
                <w:rFonts w:ascii="Times New Roman" w:hAnsi="Times New Roman" w:cs="Times New Roman"/>
                <w:b/>
                <w:bCs/>
                <w:noProof/>
              </w:rPr>
              <w:t>Executive Summary</w:t>
            </w:r>
            <w:r w:rsidR="00153CA5">
              <w:rPr>
                <w:noProof/>
                <w:webHidden/>
              </w:rPr>
              <w:tab/>
            </w:r>
            <w:r w:rsidR="00153CA5">
              <w:rPr>
                <w:noProof/>
                <w:webHidden/>
              </w:rPr>
              <w:fldChar w:fldCharType="begin"/>
            </w:r>
            <w:r w:rsidR="00153CA5">
              <w:rPr>
                <w:noProof/>
                <w:webHidden/>
              </w:rPr>
              <w:instrText xml:space="preserve"> PAGEREF _Toc203731971 \h </w:instrText>
            </w:r>
            <w:r w:rsidR="00153CA5">
              <w:rPr>
                <w:noProof/>
                <w:webHidden/>
              </w:rPr>
            </w:r>
            <w:r w:rsidR="00153CA5">
              <w:rPr>
                <w:noProof/>
                <w:webHidden/>
              </w:rPr>
              <w:fldChar w:fldCharType="separate"/>
            </w:r>
            <w:r w:rsidR="00153CA5">
              <w:rPr>
                <w:noProof/>
                <w:webHidden/>
              </w:rPr>
              <w:t>1</w:t>
            </w:r>
            <w:r w:rsidR="00153CA5">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72" w:history="1">
            <w:r w:rsidRPr="008A26DA">
              <w:rPr>
                <w:rStyle w:val="Hyperlink"/>
                <w:rFonts w:ascii="Times New Roman" w:hAnsi="Times New Roman" w:cs="Times New Roman"/>
                <w:b/>
                <w:noProof/>
              </w:rPr>
              <w:t>1</w:t>
            </w:r>
            <w:r>
              <w:rPr>
                <w:rFonts w:eastAsiaTheme="minorEastAsia"/>
                <w:noProof/>
                <w:lang w:val="en-IN" w:eastAsia="en-IN"/>
              </w:rPr>
              <w:tab/>
            </w:r>
            <w:r w:rsidRPr="008A26DA">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_Toc203731972 \h </w:instrText>
            </w:r>
            <w:r>
              <w:rPr>
                <w:noProof/>
                <w:webHidden/>
              </w:rPr>
            </w:r>
            <w:r>
              <w:rPr>
                <w:noProof/>
                <w:webHidden/>
              </w:rPr>
              <w:fldChar w:fldCharType="separate"/>
            </w:r>
            <w:r>
              <w:rPr>
                <w:noProof/>
                <w:webHidden/>
              </w:rPr>
              <w:t>3</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73" w:history="1">
            <w:r w:rsidRPr="008A26DA">
              <w:rPr>
                <w:rStyle w:val="Hyperlink"/>
                <w:rFonts w:ascii="Times New Roman" w:hAnsi="Times New Roman" w:cs="Times New Roman"/>
                <w:b/>
                <w:bCs/>
                <w:noProof/>
              </w:rPr>
              <w:t>2</w:t>
            </w:r>
            <w:r>
              <w:rPr>
                <w:rFonts w:eastAsiaTheme="minorEastAsia"/>
                <w:noProof/>
                <w:lang w:val="en-IN" w:eastAsia="en-IN"/>
              </w:rPr>
              <w:tab/>
            </w:r>
            <w:r w:rsidRPr="008A26DA">
              <w:rPr>
                <w:rStyle w:val="Hyperlink"/>
                <w:rFonts w:ascii="Times New Roman" w:hAnsi="Times New Roman" w:cs="Times New Roman"/>
                <w:b/>
                <w:bCs/>
                <w:noProof/>
              </w:rPr>
              <w:t>Methodology and Theoretical Framework</w:t>
            </w:r>
            <w:r>
              <w:rPr>
                <w:noProof/>
                <w:webHidden/>
              </w:rPr>
              <w:tab/>
            </w:r>
            <w:r>
              <w:rPr>
                <w:noProof/>
                <w:webHidden/>
              </w:rPr>
              <w:fldChar w:fldCharType="begin"/>
            </w:r>
            <w:r>
              <w:rPr>
                <w:noProof/>
                <w:webHidden/>
              </w:rPr>
              <w:instrText xml:space="preserve"> PAGEREF _Toc203731973 \h </w:instrText>
            </w:r>
            <w:r>
              <w:rPr>
                <w:noProof/>
                <w:webHidden/>
              </w:rPr>
            </w:r>
            <w:r>
              <w:rPr>
                <w:noProof/>
                <w:webHidden/>
              </w:rPr>
              <w:fldChar w:fldCharType="separate"/>
            </w:r>
            <w:r>
              <w:rPr>
                <w:noProof/>
                <w:webHidden/>
              </w:rPr>
              <w:t>4</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74" w:history="1">
            <w:r w:rsidRPr="008A26DA">
              <w:rPr>
                <w:rStyle w:val="Hyperlink"/>
                <w:rFonts w:ascii="Times New Roman" w:hAnsi="Times New Roman" w:cs="Times New Roman"/>
                <w:b/>
                <w:noProof/>
              </w:rPr>
              <w:t>3</w:t>
            </w:r>
            <w:r>
              <w:rPr>
                <w:rFonts w:eastAsiaTheme="minorEastAsia"/>
                <w:noProof/>
                <w:lang w:val="en-IN" w:eastAsia="en-IN"/>
              </w:rPr>
              <w:tab/>
            </w:r>
            <w:r w:rsidRPr="008A26DA">
              <w:rPr>
                <w:rStyle w:val="Hyperlink"/>
                <w:rFonts w:ascii="Times New Roman" w:hAnsi="Times New Roman" w:cs="Times New Roman"/>
                <w:b/>
                <w:noProof/>
              </w:rPr>
              <w:t>Financial ratio Analysis with explanation</w:t>
            </w:r>
            <w:r>
              <w:rPr>
                <w:noProof/>
                <w:webHidden/>
              </w:rPr>
              <w:tab/>
            </w:r>
            <w:r>
              <w:rPr>
                <w:noProof/>
                <w:webHidden/>
              </w:rPr>
              <w:fldChar w:fldCharType="begin"/>
            </w:r>
            <w:r>
              <w:rPr>
                <w:noProof/>
                <w:webHidden/>
              </w:rPr>
              <w:instrText xml:space="preserve"> PAGEREF _Toc203731974 \h </w:instrText>
            </w:r>
            <w:r>
              <w:rPr>
                <w:noProof/>
                <w:webHidden/>
              </w:rPr>
            </w:r>
            <w:r>
              <w:rPr>
                <w:noProof/>
                <w:webHidden/>
              </w:rPr>
              <w:fldChar w:fldCharType="separate"/>
            </w:r>
            <w:r>
              <w:rPr>
                <w:noProof/>
                <w:webHidden/>
              </w:rPr>
              <w:t>5</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75" w:history="1">
            <w:r w:rsidRPr="008A26DA">
              <w:rPr>
                <w:rStyle w:val="Hyperlink"/>
                <w:rFonts w:ascii="Times New Roman" w:hAnsi="Times New Roman" w:cs="Times New Roman"/>
                <w:b/>
                <w:noProof/>
              </w:rPr>
              <w:t>4</w:t>
            </w:r>
            <w:r>
              <w:rPr>
                <w:rFonts w:eastAsiaTheme="minorEastAsia"/>
                <w:noProof/>
                <w:lang w:val="en-IN" w:eastAsia="en-IN"/>
              </w:rPr>
              <w:tab/>
            </w:r>
            <w:r w:rsidRPr="008A26DA">
              <w:rPr>
                <w:rStyle w:val="Hyperlink"/>
                <w:rFonts w:ascii="Times New Roman" w:hAnsi="Times New Roman" w:cs="Times New Roman"/>
                <w:b/>
                <w:noProof/>
              </w:rPr>
              <w:t>BT Group vs. Industry (FY 2024)</w:t>
            </w:r>
            <w:r>
              <w:rPr>
                <w:noProof/>
                <w:webHidden/>
              </w:rPr>
              <w:tab/>
            </w:r>
            <w:r>
              <w:rPr>
                <w:noProof/>
                <w:webHidden/>
              </w:rPr>
              <w:fldChar w:fldCharType="begin"/>
            </w:r>
            <w:r>
              <w:rPr>
                <w:noProof/>
                <w:webHidden/>
              </w:rPr>
              <w:instrText xml:space="preserve"> PAGEREF _Toc203731975 \h </w:instrText>
            </w:r>
            <w:r>
              <w:rPr>
                <w:noProof/>
                <w:webHidden/>
              </w:rPr>
            </w:r>
            <w:r>
              <w:rPr>
                <w:noProof/>
                <w:webHidden/>
              </w:rPr>
              <w:fldChar w:fldCharType="separate"/>
            </w:r>
            <w:r>
              <w:rPr>
                <w:noProof/>
                <w:webHidden/>
              </w:rPr>
              <w:t>9</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76" w:history="1">
            <w:r w:rsidRPr="008A26DA">
              <w:rPr>
                <w:rStyle w:val="Hyperlink"/>
                <w:rFonts w:ascii="Times New Roman" w:hAnsi="Times New Roman" w:cs="Times New Roman"/>
                <w:b/>
                <w:noProof/>
              </w:rPr>
              <w:t>5</w:t>
            </w:r>
            <w:r>
              <w:rPr>
                <w:rFonts w:eastAsiaTheme="minorEastAsia"/>
                <w:noProof/>
                <w:lang w:val="en-IN" w:eastAsia="en-IN"/>
              </w:rPr>
              <w:tab/>
            </w:r>
            <w:r w:rsidRPr="008A26DA">
              <w:rPr>
                <w:rStyle w:val="Hyperlink"/>
                <w:rFonts w:ascii="Times New Roman" w:hAnsi="Times New Roman" w:cs="Times New Roman"/>
                <w:b/>
                <w:noProof/>
              </w:rPr>
              <w:t>Critical Evaluation</w:t>
            </w:r>
            <w:r>
              <w:rPr>
                <w:noProof/>
                <w:webHidden/>
              </w:rPr>
              <w:tab/>
            </w:r>
            <w:r>
              <w:rPr>
                <w:noProof/>
                <w:webHidden/>
              </w:rPr>
              <w:fldChar w:fldCharType="begin"/>
            </w:r>
            <w:r>
              <w:rPr>
                <w:noProof/>
                <w:webHidden/>
              </w:rPr>
              <w:instrText xml:space="preserve"> PAGEREF _Toc203731976 \h </w:instrText>
            </w:r>
            <w:r>
              <w:rPr>
                <w:noProof/>
                <w:webHidden/>
              </w:rPr>
            </w:r>
            <w:r>
              <w:rPr>
                <w:noProof/>
                <w:webHidden/>
              </w:rPr>
              <w:fldChar w:fldCharType="separate"/>
            </w:r>
            <w:r>
              <w:rPr>
                <w:noProof/>
                <w:webHidden/>
              </w:rPr>
              <w:t>10</w:t>
            </w:r>
            <w:r>
              <w:rPr>
                <w:noProof/>
                <w:webHidden/>
              </w:rPr>
              <w:fldChar w:fldCharType="end"/>
            </w:r>
          </w:hyperlink>
        </w:p>
        <w:p w:rsidR="00153CA5" w:rsidRDefault="00153CA5">
          <w:pPr>
            <w:pStyle w:val="TOC2"/>
            <w:tabs>
              <w:tab w:val="left" w:pos="880"/>
              <w:tab w:val="right" w:leader="dot" w:pos="9016"/>
            </w:tabs>
            <w:rPr>
              <w:rFonts w:eastAsiaTheme="minorEastAsia"/>
              <w:noProof/>
              <w:lang w:val="en-IN" w:eastAsia="en-IN"/>
            </w:rPr>
          </w:pPr>
          <w:hyperlink w:anchor="_Toc203731977" w:history="1">
            <w:r w:rsidRPr="008A26DA">
              <w:rPr>
                <w:rStyle w:val="Hyperlink"/>
                <w:rFonts w:ascii="Times New Roman" w:hAnsi="Times New Roman" w:cs="Times New Roman"/>
                <w:b/>
                <w:noProof/>
              </w:rPr>
              <w:t>5.1</w:t>
            </w:r>
            <w:r>
              <w:rPr>
                <w:rFonts w:eastAsiaTheme="minorEastAsia"/>
                <w:noProof/>
                <w:lang w:val="en-IN" w:eastAsia="en-IN"/>
              </w:rPr>
              <w:tab/>
            </w:r>
            <w:r w:rsidRPr="008A26DA">
              <w:rPr>
                <w:rStyle w:val="Hyperlink"/>
                <w:rFonts w:ascii="Times New Roman" w:hAnsi="Times New Roman" w:cs="Times New Roman"/>
                <w:b/>
                <w:noProof/>
              </w:rPr>
              <w:t>Limitations of ratio analysis</w:t>
            </w:r>
            <w:r>
              <w:rPr>
                <w:noProof/>
                <w:webHidden/>
              </w:rPr>
              <w:tab/>
            </w:r>
            <w:r>
              <w:rPr>
                <w:noProof/>
                <w:webHidden/>
              </w:rPr>
              <w:fldChar w:fldCharType="begin"/>
            </w:r>
            <w:r>
              <w:rPr>
                <w:noProof/>
                <w:webHidden/>
              </w:rPr>
              <w:instrText xml:space="preserve"> PAGEREF _Toc203731977 \h </w:instrText>
            </w:r>
            <w:r>
              <w:rPr>
                <w:noProof/>
                <w:webHidden/>
              </w:rPr>
            </w:r>
            <w:r>
              <w:rPr>
                <w:noProof/>
                <w:webHidden/>
              </w:rPr>
              <w:fldChar w:fldCharType="separate"/>
            </w:r>
            <w:r>
              <w:rPr>
                <w:noProof/>
                <w:webHidden/>
              </w:rPr>
              <w:t>11</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78" w:history="1">
            <w:r w:rsidRPr="008A26DA">
              <w:rPr>
                <w:rStyle w:val="Hyperlink"/>
                <w:rFonts w:ascii="Times New Roman" w:hAnsi="Times New Roman" w:cs="Times New Roman"/>
                <w:b/>
                <w:noProof/>
              </w:rPr>
              <w:t>6</w:t>
            </w:r>
            <w:r>
              <w:rPr>
                <w:rFonts w:eastAsiaTheme="minorEastAsia"/>
                <w:noProof/>
                <w:lang w:val="en-IN" w:eastAsia="en-IN"/>
              </w:rPr>
              <w:tab/>
            </w:r>
            <w:r w:rsidRPr="008A26DA">
              <w:rPr>
                <w:rStyle w:val="Hyperlink"/>
                <w:rFonts w:ascii="Times New Roman" w:hAnsi="Times New Roman" w:cs="Times New Roman"/>
                <w:b/>
                <w:noProof/>
              </w:rPr>
              <w:t>Application of Financial Theories to BT’s Strategic Environment</w:t>
            </w:r>
            <w:r>
              <w:rPr>
                <w:noProof/>
                <w:webHidden/>
              </w:rPr>
              <w:tab/>
            </w:r>
            <w:r>
              <w:rPr>
                <w:noProof/>
                <w:webHidden/>
              </w:rPr>
              <w:fldChar w:fldCharType="begin"/>
            </w:r>
            <w:r>
              <w:rPr>
                <w:noProof/>
                <w:webHidden/>
              </w:rPr>
              <w:instrText xml:space="preserve"> PAGEREF _Toc203731978 \h </w:instrText>
            </w:r>
            <w:r>
              <w:rPr>
                <w:noProof/>
                <w:webHidden/>
              </w:rPr>
            </w:r>
            <w:r>
              <w:rPr>
                <w:noProof/>
                <w:webHidden/>
              </w:rPr>
              <w:fldChar w:fldCharType="separate"/>
            </w:r>
            <w:r>
              <w:rPr>
                <w:noProof/>
                <w:webHidden/>
              </w:rPr>
              <w:t>12</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79" w:history="1">
            <w:r w:rsidRPr="008A26DA">
              <w:rPr>
                <w:rStyle w:val="Hyperlink"/>
                <w:rFonts w:ascii="Times New Roman" w:hAnsi="Times New Roman" w:cs="Times New Roman"/>
                <w:b/>
                <w:noProof/>
              </w:rPr>
              <w:t>7</w:t>
            </w:r>
            <w:r>
              <w:rPr>
                <w:rFonts w:eastAsiaTheme="minorEastAsia"/>
                <w:noProof/>
                <w:lang w:val="en-IN" w:eastAsia="en-IN"/>
              </w:rPr>
              <w:tab/>
            </w:r>
            <w:r w:rsidRPr="008A26DA">
              <w:rPr>
                <w:rStyle w:val="Hyperlink"/>
                <w:rFonts w:ascii="Times New Roman" w:hAnsi="Times New Roman" w:cs="Times New Roman"/>
                <w:b/>
                <w:noProof/>
              </w:rPr>
              <w:t>Emerging Financial Perspectives in Capital Planning</w:t>
            </w:r>
            <w:r>
              <w:rPr>
                <w:noProof/>
                <w:webHidden/>
              </w:rPr>
              <w:tab/>
            </w:r>
            <w:r>
              <w:rPr>
                <w:noProof/>
                <w:webHidden/>
              </w:rPr>
              <w:fldChar w:fldCharType="begin"/>
            </w:r>
            <w:r>
              <w:rPr>
                <w:noProof/>
                <w:webHidden/>
              </w:rPr>
              <w:instrText xml:space="preserve"> PAGEREF _Toc203731979 \h </w:instrText>
            </w:r>
            <w:r>
              <w:rPr>
                <w:noProof/>
                <w:webHidden/>
              </w:rPr>
            </w:r>
            <w:r>
              <w:rPr>
                <w:noProof/>
                <w:webHidden/>
              </w:rPr>
              <w:fldChar w:fldCharType="separate"/>
            </w:r>
            <w:r>
              <w:rPr>
                <w:noProof/>
                <w:webHidden/>
              </w:rPr>
              <w:t>12</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80" w:history="1">
            <w:r w:rsidRPr="008A26DA">
              <w:rPr>
                <w:rStyle w:val="Hyperlink"/>
                <w:rFonts w:ascii="Times New Roman" w:hAnsi="Times New Roman" w:cs="Times New Roman"/>
                <w:b/>
                <w:noProof/>
              </w:rPr>
              <w:t>8</w:t>
            </w:r>
            <w:r>
              <w:rPr>
                <w:rFonts w:eastAsiaTheme="minorEastAsia"/>
                <w:noProof/>
                <w:lang w:val="en-IN" w:eastAsia="en-IN"/>
              </w:rPr>
              <w:tab/>
            </w:r>
            <w:r w:rsidRPr="008A26DA">
              <w:rPr>
                <w:rStyle w:val="Hyperlink"/>
                <w:rFonts w:ascii="Times New Roman" w:hAnsi="Times New Roman" w:cs="Times New Roman"/>
                <w:b/>
                <w:noProof/>
              </w:rPr>
              <w:t>Recommendation</w:t>
            </w:r>
            <w:r>
              <w:rPr>
                <w:noProof/>
                <w:webHidden/>
              </w:rPr>
              <w:tab/>
            </w:r>
            <w:r>
              <w:rPr>
                <w:noProof/>
                <w:webHidden/>
              </w:rPr>
              <w:fldChar w:fldCharType="begin"/>
            </w:r>
            <w:r>
              <w:rPr>
                <w:noProof/>
                <w:webHidden/>
              </w:rPr>
              <w:instrText xml:space="preserve"> PAGEREF _Toc203731980 \h </w:instrText>
            </w:r>
            <w:r>
              <w:rPr>
                <w:noProof/>
                <w:webHidden/>
              </w:rPr>
            </w:r>
            <w:r>
              <w:rPr>
                <w:noProof/>
                <w:webHidden/>
              </w:rPr>
              <w:fldChar w:fldCharType="separate"/>
            </w:r>
            <w:r>
              <w:rPr>
                <w:noProof/>
                <w:webHidden/>
              </w:rPr>
              <w:t>12</w:t>
            </w:r>
            <w:r>
              <w:rPr>
                <w:noProof/>
                <w:webHidden/>
              </w:rPr>
              <w:fldChar w:fldCharType="end"/>
            </w:r>
          </w:hyperlink>
        </w:p>
        <w:p w:rsidR="00153CA5" w:rsidRDefault="00153CA5">
          <w:pPr>
            <w:pStyle w:val="TOC1"/>
            <w:tabs>
              <w:tab w:val="right" w:leader="dot" w:pos="9016"/>
            </w:tabs>
            <w:rPr>
              <w:rFonts w:eastAsiaTheme="minorEastAsia"/>
              <w:noProof/>
              <w:lang w:val="en-IN" w:eastAsia="en-IN"/>
            </w:rPr>
          </w:pPr>
          <w:hyperlink w:anchor="_Toc203731981" w:history="1">
            <w:r w:rsidRPr="008A26DA">
              <w:rPr>
                <w:rStyle w:val="Hyperlink"/>
                <w:rFonts w:ascii="Times New Roman" w:hAnsi="Times New Roman" w:cs="Times New Roman"/>
                <w:b/>
                <w:noProof/>
              </w:rPr>
              <w:t>Task 2</w:t>
            </w:r>
            <w:r>
              <w:rPr>
                <w:noProof/>
                <w:webHidden/>
              </w:rPr>
              <w:tab/>
            </w:r>
            <w:r>
              <w:rPr>
                <w:noProof/>
                <w:webHidden/>
              </w:rPr>
              <w:fldChar w:fldCharType="begin"/>
            </w:r>
            <w:r>
              <w:rPr>
                <w:noProof/>
                <w:webHidden/>
              </w:rPr>
              <w:instrText xml:space="preserve"> PAGEREF _Toc203731981 \h </w:instrText>
            </w:r>
            <w:r>
              <w:rPr>
                <w:noProof/>
                <w:webHidden/>
              </w:rPr>
            </w:r>
            <w:r>
              <w:rPr>
                <w:noProof/>
                <w:webHidden/>
              </w:rPr>
              <w:fldChar w:fldCharType="separate"/>
            </w:r>
            <w:r>
              <w:rPr>
                <w:noProof/>
                <w:webHidden/>
              </w:rPr>
              <w:t>13</w:t>
            </w:r>
            <w:r>
              <w:rPr>
                <w:noProof/>
                <w:webHidden/>
              </w:rPr>
              <w:fldChar w:fldCharType="end"/>
            </w:r>
          </w:hyperlink>
        </w:p>
        <w:p w:rsidR="00153CA5" w:rsidRDefault="00153CA5">
          <w:pPr>
            <w:pStyle w:val="TOC1"/>
            <w:tabs>
              <w:tab w:val="left" w:pos="440"/>
              <w:tab w:val="right" w:leader="dot" w:pos="9016"/>
            </w:tabs>
            <w:rPr>
              <w:rFonts w:eastAsiaTheme="minorEastAsia"/>
              <w:noProof/>
              <w:lang w:val="en-IN" w:eastAsia="en-IN"/>
            </w:rPr>
          </w:pPr>
          <w:hyperlink w:anchor="_Toc203731982" w:history="1">
            <w:r w:rsidRPr="008A26DA">
              <w:rPr>
                <w:rStyle w:val="Hyperlink"/>
                <w:rFonts w:ascii="Times New Roman" w:hAnsi="Times New Roman" w:cs="Times New Roman"/>
                <w:b/>
                <w:noProof/>
              </w:rPr>
              <w:t>9</w:t>
            </w:r>
            <w:r>
              <w:rPr>
                <w:rFonts w:eastAsiaTheme="minorEastAsia"/>
                <w:noProof/>
                <w:lang w:val="en-IN" w:eastAsia="en-IN"/>
              </w:rPr>
              <w:tab/>
            </w:r>
            <w:r w:rsidRPr="008A26DA">
              <w:rPr>
                <w:rStyle w:val="Hyperlink"/>
                <w:rFonts w:ascii="Times New Roman" w:hAnsi="Times New Roman" w:cs="Times New Roman"/>
                <w:b/>
                <w:noProof/>
              </w:rPr>
              <w:t>Investment Appraisal</w:t>
            </w:r>
            <w:r>
              <w:rPr>
                <w:noProof/>
                <w:webHidden/>
              </w:rPr>
              <w:tab/>
            </w:r>
            <w:r>
              <w:rPr>
                <w:noProof/>
                <w:webHidden/>
              </w:rPr>
              <w:fldChar w:fldCharType="begin"/>
            </w:r>
            <w:r>
              <w:rPr>
                <w:noProof/>
                <w:webHidden/>
              </w:rPr>
              <w:instrText xml:space="preserve"> PAGEREF _Toc203731982 \h </w:instrText>
            </w:r>
            <w:r>
              <w:rPr>
                <w:noProof/>
                <w:webHidden/>
              </w:rPr>
            </w:r>
            <w:r>
              <w:rPr>
                <w:noProof/>
                <w:webHidden/>
              </w:rPr>
              <w:fldChar w:fldCharType="separate"/>
            </w:r>
            <w:r>
              <w:rPr>
                <w:noProof/>
                <w:webHidden/>
              </w:rPr>
              <w:t>13</w:t>
            </w:r>
            <w:r>
              <w:rPr>
                <w:noProof/>
                <w:webHidden/>
              </w:rPr>
              <w:fldChar w:fldCharType="end"/>
            </w:r>
          </w:hyperlink>
        </w:p>
        <w:p w:rsidR="00153CA5" w:rsidRDefault="00153CA5">
          <w:pPr>
            <w:pStyle w:val="TOC1"/>
            <w:tabs>
              <w:tab w:val="left" w:pos="660"/>
              <w:tab w:val="right" w:leader="dot" w:pos="9016"/>
            </w:tabs>
            <w:rPr>
              <w:rFonts w:eastAsiaTheme="minorEastAsia"/>
              <w:noProof/>
              <w:lang w:val="en-IN" w:eastAsia="en-IN"/>
            </w:rPr>
          </w:pPr>
          <w:hyperlink w:anchor="_Toc203731983" w:history="1">
            <w:r w:rsidRPr="008A26DA">
              <w:rPr>
                <w:rStyle w:val="Hyperlink"/>
                <w:rFonts w:ascii="Times New Roman" w:hAnsi="Times New Roman" w:cs="Times New Roman"/>
                <w:b/>
                <w:noProof/>
              </w:rPr>
              <w:t>10</w:t>
            </w:r>
            <w:r>
              <w:rPr>
                <w:rFonts w:eastAsiaTheme="minorEastAsia"/>
                <w:noProof/>
                <w:lang w:val="en-IN" w:eastAsia="en-IN"/>
              </w:rPr>
              <w:tab/>
            </w:r>
            <w:r w:rsidRPr="008A26DA">
              <w:rPr>
                <w:rStyle w:val="Hyperlink"/>
                <w:rFonts w:ascii="Times New Roman" w:hAnsi="Times New Roman" w:cs="Times New Roman"/>
                <w:b/>
                <w:noProof/>
              </w:rPr>
              <w:t>Investment Option Evaluation and Recommendation</w:t>
            </w:r>
            <w:r>
              <w:rPr>
                <w:noProof/>
                <w:webHidden/>
              </w:rPr>
              <w:tab/>
            </w:r>
            <w:r>
              <w:rPr>
                <w:noProof/>
                <w:webHidden/>
              </w:rPr>
              <w:fldChar w:fldCharType="begin"/>
            </w:r>
            <w:r>
              <w:rPr>
                <w:noProof/>
                <w:webHidden/>
              </w:rPr>
              <w:instrText xml:space="preserve"> PAGEREF _Toc203731983 \h </w:instrText>
            </w:r>
            <w:r>
              <w:rPr>
                <w:noProof/>
                <w:webHidden/>
              </w:rPr>
            </w:r>
            <w:r>
              <w:rPr>
                <w:noProof/>
                <w:webHidden/>
              </w:rPr>
              <w:fldChar w:fldCharType="separate"/>
            </w:r>
            <w:r>
              <w:rPr>
                <w:noProof/>
                <w:webHidden/>
              </w:rPr>
              <w:t>18</w:t>
            </w:r>
            <w:r>
              <w:rPr>
                <w:noProof/>
                <w:webHidden/>
              </w:rPr>
              <w:fldChar w:fldCharType="end"/>
            </w:r>
          </w:hyperlink>
        </w:p>
        <w:p w:rsidR="00153CA5" w:rsidRDefault="00153CA5">
          <w:pPr>
            <w:pStyle w:val="TOC2"/>
            <w:tabs>
              <w:tab w:val="left" w:pos="880"/>
              <w:tab w:val="right" w:leader="dot" w:pos="9016"/>
            </w:tabs>
            <w:rPr>
              <w:rFonts w:eastAsiaTheme="minorEastAsia"/>
              <w:noProof/>
              <w:lang w:val="en-IN" w:eastAsia="en-IN"/>
            </w:rPr>
          </w:pPr>
          <w:hyperlink w:anchor="_Toc203731984" w:history="1">
            <w:r w:rsidRPr="008A26DA">
              <w:rPr>
                <w:rStyle w:val="Hyperlink"/>
                <w:rFonts w:ascii="Times New Roman" w:hAnsi="Times New Roman" w:cs="Times New Roman"/>
                <w:b/>
                <w:noProof/>
                <w:lang w:val="en-IN"/>
              </w:rPr>
              <w:t>10.1</w:t>
            </w:r>
            <w:r>
              <w:rPr>
                <w:rFonts w:eastAsiaTheme="minorEastAsia"/>
                <w:noProof/>
                <w:lang w:val="en-IN" w:eastAsia="en-IN"/>
              </w:rPr>
              <w:tab/>
            </w:r>
            <w:r w:rsidRPr="008A26DA">
              <w:rPr>
                <w:rStyle w:val="Hyperlink"/>
                <w:rFonts w:ascii="Times New Roman" w:hAnsi="Times New Roman" w:cs="Times New Roman"/>
                <w:b/>
                <w:noProof/>
                <w:lang w:val="en-IN"/>
              </w:rPr>
              <w:t>Approximately Internal rate of return</w:t>
            </w:r>
            <w:r>
              <w:rPr>
                <w:noProof/>
                <w:webHidden/>
              </w:rPr>
              <w:tab/>
            </w:r>
            <w:r>
              <w:rPr>
                <w:noProof/>
                <w:webHidden/>
              </w:rPr>
              <w:fldChar w:fldCharType="begin"/>
            </w:r>
            <w:r>
              <w:rPr>
                <w:noProof/>
                <w:webHidden/>
              </w:rPr>
              <w:instrText xml:space="preserve"> PAGEREF _Toc203731984 \h </w:instrText>
            </w:r>
            <w:r>
              <w:rPr>
                <w:noProof/>
                <w:webHidden/>
              </w:rPr>
            </w:r>
            <w:r>
              <w:rPr>
                <w:noProof/>
                <w:webHidden/>
              </w:rPr>
              <w:fldChar w:fldCharType="separate"/>
            </w:r>
            <w:r>
              <w:rPr>
                <w:noProof/>
                <w:webHidden/>
              </w:rPr>
              <w:t>18</w:t>
            </w:r>
            <w:r>
              <w:rPr>
                <w:noProof/>
                <w:webHidden/>
              </w:rPr>
              <w:fldChar w:fldCharType="end"/>
            </w:r>
          </w:hyperlink>
        </w:p>
        <w:p w:rsidR="00153CA5" w:rsidRDefault="00153CA5">
          <w:pPr>
            <w:pStyle w:val="TOC2"/>
            <w:tabs>
              <w:tab w:val="left" w:pos="880"/>
              <w:tab w:val="right" w:leader="dot" w:pos="9016"/>
            </w:tabs>
            <w:rPr>
              <w:rFonts w:eastAsiaTheme="minorEastAsia"/>
              <w:noProof/>
              <w:lang w:val="en-IN" w:eastAsia="en-IN"/>
            </w:rPr>
          </w:pPr>
          <w:hyperlink w:anchor="_Toc203731985" w:history="1">
            <w:r w:rsidRPr="008A26DA">
              <w:rPr>
                <w:rStyle w:val="Hyperlink"/>
                <w:rFonts w:ascii="Times New Roman" w:hAnsi="Times New Roman" w:cs="Times New Roman"/>
                <w:b/>
                <w:noProof/>
                <w:lang w:val="en-IN"/>
              </w:rPr>
              <w:t>10.2</w:t>
            </w:r>
            <w:r>
              <w:rPr>
                <w:rFonts w:eastAsiaTheme="minorEastAsia"/>
                <w:noProof/>
                <w:lang w:val="en-IN" w:eastAsia="en-IN"/>
              </w:rPr>
              <w:tab/>
            </w:r>
            <w:r w:rsidRPr="008A26DA">
              <w:rPr>
                <w:rStyle w:val="Hyperlink"/>
                <w:rFonts w:ascii="Times New Roman" w:hAnsi="Times New Roman" w:cs="Times New Roman"/>
                <w:b/>
                <w:noProof/>
                <w:lang w:val="en-IN"/>
              </w:rPr>
              <w:t>Justification</w:t>
            </w:r>
            <w:r>
              <w:rPr>
                <w:noProof/>
                <w:webHidden/>
              </w:rPr>
              <w:tab/>
            </w:r>
            <w:r>
              <w:rPr>
                <w:noProof/>
                <w:webHidden/>
              </w:rPr>
              <w:fldChar w:fldCharType="begin"/>
            </w:r>
            <w:r>
              <w:rPr>
                <w:noProof/>
                <w:webHidden/>
              </w:rPr>
              <w:instrText xml:space="preserve"> PAGEREF _Toc203731985 \h </w:instrText>
            </w:r>
            <w:r>
              <w:rPr>
                <w:noProof/>
                <w:webHidden/>
              </w:rPr>
            </w:r>
            <w:r>
              <w:rPr>
                <w:noProof/>
                <w:webHidden/>
              </w:rPr>
              <w:fldChar w:fldCharType="separate"/>
            </w:r>
            <w:r>
              <w:rPr>
                <w:noProof/>
                <w:webHidden/>
              </w:rPr>
              <w:t>19</w:t>
            </w:r>
            <w:r>
              <w:rPr>
                <w:noProof/>
                <w:webHidden/>
              </w:rPr>
              <w:fldChar w:fldCharType="end"/>
            </w:r>
          </w:hyperlink>
        </w:p>
        <w:p w:rsidR="00153CA5" w:rsidRDefault="00153CA5">
          <w:pPr>
            <w:pStyle w:val="TOC1"/>
            <w:tabs>
              <w:tab w:val="left" w:pos="660"/>
              <w:tab w:val="right" w:leader="dot" w:pos="9016"/>
            </w:tabs>
            <w:rPr>
              <w:rFonts w:eastAsiaTheme="minorEastAsia"/>
              <w:noProof/>
              <w:lang w:val="en-IN" w:eastAsia="en-IN"/>
            </w:rPr>
          </w:pPr>
          <w:hyperlink w:anchor="_Toc203731986" w:history="1">
            <w:r w:rsidRPr="008A26DA">
              <w:rPr>
                <w:rStyle w:val="Hyperlink"/>
                <w:rFonts w:ascii="Times New Roman" w:hAnsi="Times New Roman" w:cs="Times New Roman"/>
                <w:b/>
                <w:noProof/>
                <w:lang w:val="en-IN"/>
              </w:rPr>
              <w:t>11</w:t>
            </w:r>
            <w:r>
              <w:rPr>
                <w:rFonts w:eastAsiaTheme="minorEastAsia"/>
                <w:noProof/>
                <w:lang w:val="en-IN" w:eastAsia="en-IN"/>
              </w:rPr>
              <w:tab/>
            </w:r>
            <w:r w:rsidRPr="008A26DA">
              <w:rPr>
                <w:rStyle w:val="Hyperlink"/>
                <w:rFonts w:ascii="Times New Roman" w:hAnsi="Times New Roman" w:cs="Times New Roman"/>
                <w:b/>
                <w:noProof/>
                <w:lang w:val="en-IN"/>
              </w:rPr>
              <w:t>Interpretation and discussion</w:t>
            </w:r>
            <w:r>
              <w:rPr>
                <w:noProof/>
                <w:webHidden/>
              </w:rPr>
              <w:tab/>
            </w:r>
            <w:r>
              <w:rPr>
                <w:noProof/>
                <w:webHidden/>
              </w:rPr>
              <w:fldChar w:fldCharType="begin"/>
            </w:r>
            <w:r>
              <w:rPr>
                <w:noProof/>
                <w:webHidden/>
              </w:rPr>
              <w:instrText xml:space="preserve"> PAGEREF _Toc203731986 \h </w:instrText>
            </w:r>
            <w:r>
              <w:rPr>
                <w:noProof/>
                <w:webHidden/>
              </w:rPr>
            </w:r>
            <w:r>
              <w:rPr>
                <w:noProof/>
                <w:webHidden/>
              </w:rPr>
              <w:fldChar w:fldCharType="separate"/>
            </w:r>
            <w:r>
              <w:rPr>
                <w:noProof/>
                <w:webHidden/>
              </w:rPr>
              <w:t>20</w:t>
            </w:r>
            <w:r>
              <w:rPr>
                <w:noProof/>
                <w:webHidden/>
              </w:rPr>
              <w:fldChar w:fldCharType="end"/>
            </w:r>
          </w:hyperlink>
        </w:p>
        <w:p w:rsidR="00153CA5" w:rsidRDefault="00153CA5">
          <w:pPr>
            <w:pStyle w:val="TOC1"/>
            <w:tabs>
              <w:tab w:val="left" w:pos="660"/>
              <w:tab w:val="right" w:leader="dot" w:pos="9016"/>
            </w:tabs>
            <w:rPr>
              <w:rFonts w:eastAsiaTheme="minorEastAsia"/>
              <w:noProof/>
              <w:lang w:val="en-IN" w:eastAsia="en-IN"/>
            </w:rPr>
          </w:pPr>
          <w:hyperlink w:anchor="_Toc203731987" w:history="1">
            <w:r w:rsidRPr="008A26DA">
              <w:rPr>
                <w:rStyle w:val="Hyperlink"/>
                <w:rFonts w:ascii="Times New Roman" w:hAnsi="Times New Roman" w:cs="Times New Roman"/>
                <w:b/>
                <w:noProof/>
              </w:rPr>
              <w:t>12</w:t>
            </w:r>
            <w:r>
              <w:rPr>
                <w:rFonts w:eastAsiaTheme="minorEastAsia"/>
                <w:noProof/>
                <w:lang w:val="en-IN" w:eastAsia="en-IN"/>
              </w:rPr>
              <w:tab/>
            </w:r>
            <w:r w:rsidRPr="008A26DA">
              <w:rPr>
                <w:rStyle w:val="Hyperlink"/>
                <w:rFonts w:ascii="Times New Roman" w:hAnsi="Times New Roman" w:cs="Times New Roman"/>
                <w:b/>
                <w:noProof/>
              </w:rPr>
              <w:t>Capital</w:t>
            </w:r>
            <w:r w:rsidRPr="008A26DA">
              <w:rPr>
                <w:rStyle w:val="Hyperlink"/>
                <w:rFonts w:ascii="Times New Roman" w:hAnsi="Times New Roman" w:cs="Times New Roman"/>
                <w:b/>
                <w:noProof/>
              </w:rPr>
              <w:noBreakHyphen/>
              <w:t>Rationing Scenario</w:t>
            </w:r>
            <w:r>
              <w:rPr>
                <w:noProof/>
                <w:webHidden/>
              </w:rPr>
              <w:tab/>
            </w:r>
            <w:r>
              <w:rPr>
                <w:noProof/>
                <w:webHidden/>
              </w:rPr>
              <w:fldChar w:fldCharType="begin"/>
            </w:r>
            <w:r>
              <w:rPr>
                <w:noProof/>
                <w:webHidden/>
              </w:rPr>
              <w:instrText xml:space="preserve"> PAGEREF _Toc203731987 \h </w:instrText>
            </w:r>
            <w:r>
              <w:rPr>
                <w:noProof/>
                <w:webHidden/>
              </w:rPr>
            </w:r>
            <w:r>
              <w:rPr>
                <w:noProof/>
                <w:webHidden/>
              </w:rPr>
              <w:fldChar w:fldCharType="separate"/>
            </w:r>
            <w:r>
              <w:rPr>
                <w:noProof/>
                <w:webHidden/>
              </w:rPr>
              <w:t>20</w:t>
            </w:r>
            <w:r>
              <w:rPr>
                <w:noProof/>
                <w:webHidden/>
              </w:rPr>
              <w:fldChar w:fldCharType="end"/>
            </w:r>
          </w:hyperlink>
        </w:p>
        <w:p w:rsidR="00153CA5" w:rsidRDefault="00153CA5">
          <w:pPr>
            <w:pStyle w:val="TOC2"/>
            <w:tabs>
              <w:tab w:val="left" w:pos="880"/>
              <w:tab w:val="right" w:leader="dot" w:pos="9016"/>
            </w:tabs>
            <w:rPr>
              <w:rFonts w:eastAsiaTheme="minorEastAsia"/>
              <w:noProof/>
              <w:lang w:val="en-IN" w:eastAsia="en-IN"/>
            </w:rPr>
          </w:pPr>
          <w:hyperlink w:anchor="_Toc203731988" w:history="1">
            <w:r w:rsidRPr="008A26DA">
              <w:rPr>
                <w:rStyle w:val="Hyperlink"/>
                <w:rFonts w:ascii="Times New Roman" w:hAnsi="Times New Roman" w:cs="Times New Roman"/>
                <w:b/>
                <w:noProof/>
              </w:rPr>
              <w:t>12.1</w:t>
            </w:r>
            <w:r>
              <w:rPr>
                <w:rFonts w:eastAsiaTheme="minorEastAsia"/>
                <w:noProof/>
                <w:lang w:val="en-IN" w:eastAsia="en-IN"/>
              </w:rPr>
              <w:tab/>
            </w:r>
            <w:r w:rsidRPr="008A26DA">
              <w:rPr>
                <w:rStyle w:val="Hyperlink"/>
                <w:rFonts w:ascii="Times New Roman" w:hAnsi="Times New Roman" w:cs="Times New Roman"/>
                <w:b/>
                <w:noProof/>
              </w:rPr>
              <w:t>Resulting Portfolio NPV</w:t>
            </w:r>
            <w:r>
              <w:rPr>
                <w:noProof/>
                <w:webHidden/>
              </w:rPr>
              <w:tab/>
            </w:r>
            <w:r>
              <w:rPr>
                <w:noProof/>
                <w:webHidden/>
              </w:rPr>
              <w:fldChar w:fldCharType="begin"/>
            </w:r>
            <w:r>
              <w:rPr>
                <w:noProof/>
                <w:webHidden/>
              </w:rPr>
              <w:instrText xml:space="preserve"> PAGEREF _Toc203731988 \h </w:instrText>
            </w:r>
            <w:r>
              <w:rPr>
                <w:noProof/>
                <w:webHidden/>
              </w:rPr>
            </w:r>
            <w:r>
              <w:rPr>
                <w:noProof/>
                <w:webHidden/>
              </w:rPr>
              <w:fldChar w:fldCharType="separate"/>
            </w:r>
            <w:r>
              <w:rPr>
                <w:noProof/>
                <w:webHidden/>
              </w:rPr>
              <w:t>21</w:t>
            </w:r>
            <w:r>
              <w:rPr>
                <w:noProof/>
                <w:webHidden/>
              </w:rPr>
              <w:fldChar w:fldCharType="end"/>
            </w:r>
          </w:hyperlink>
        </w:p>
        <w:p w:rsidR="00153CA5" w:rsidRDefault="00153CA5">
          <w:pPr>
            <w:pStyle w:val="TOC1"/>
            <w:tabs>
              <w:tab w:val="left" w:pos="660"/>
              <w:tab w:val="right" w:leader="dot" w:pos="9016"/>
            </w:tabs>
            <w:rPr>
              <w:rFonts w:eastAsiaTheme="minorEastAsia"/>
              <w:noProof/>
              <w:lang w:val="en-IN" w:eastAsia="en-IN"/>
            </w:rPr>
          </w:pPr>
          <w:hyperlink w:anchor="_Toc203731989" w:history="1">
            <w:r w:rsidRPr="008A26DA">
              <w:rPr>
                <w:rStyle w:val="Hyperlink"/>
                <w:rFonts w:ascii="Times New Roman" w:hAnsi="Times New Roman" w:cs="Times New Roman"/>
                <w:b/>
                <w:noProof/>
              </w:rPr>
              <w:t>13</w:t>
            </w:r>
            <w:r>
              <w:rPr>
                <w:rFonts w:eastAsiaTheme="minorEastAsia"/>
                <w:noProof/>
                <w:lang w:val="en-IN" w:eastAsia="en-IN"/>
              </w:rPr>
              <w:tab/>
            </w:r>
            <w:r w:rsidRPr="008A26DA">
              <w:rPr>
                <w:rStyle w:val="Hyperlink"/>
                <w:rFonts w:ascii="Times New Roman" w:hAnsi="Times New Roman" w:cs="Times New Roman"/>
                <w:b/>
                <w:noProof/>
              </w:rPr>
              <w:t>Financing programme</w:t>
            </w:r>
            <w:r>
              <w:rPr>
                <w:noProof/>
                <w:webHidden/>
              </w:rPr>
              <w:tab/>
            </w:r>
            <w:r>
              <w:rPr>
                <w:noProof/>
                <w:webHidden/>
              </w:rPr>
              <w:fldChar w:fldCharType="begin"/>
            </w:r>
            <w:r>
              <w:rPr>
                <w:noProof/>
                <w:webHidden/>
              </w:rPr>
              <w:instrText xml:space="preserve"> PAGEREF _Toc203731989 \h </w:instrText>
            </w:r>
            <w:r>
              <w:rPr>
                <w:noProof/>
                <w:webHidden/>
              </w:rPr>
            </w:r>
            <w:r>
              <w:rPr>
                <w:noProof/>
                <w:webHidden/>
              </w:rPr>
              <w:fldChar w:fldCharType="separate"/>
            </w:r>
            <w:r>
              <w:rPr>
                <w:noProof/>
                <w:webHidden/>
              </w:rPr>
              <w:t>21</w:t>
            </w:r>
            <w:r>
              <w:rPr>
                <w:noProof/>
                <w:webHidden/>
              </w:rPr>
              <w:fldChar w:fldCharType="end"/>
            </w:r>
          </w:hyperlink>
        </w:p>
        <w:p w:rsidR="00153CA5" w:rsidRDefault="00153CA5">
          <w:pPr>
            <w:pStyle w:val="TOC1"/>
            <w:tabs>
              <w:tab w:val="left" w:pos="660"/>
              <w:tab w:val="right" w:leader="dot" w:pos="9016"/>
            </w:tabs>
            <w:rPr>
              <w:rFonts w:eastAsiaTheme="minorEastAsia"/>
              <w:noProof/>
              <w:lang w:val="en-IN" w:eastAsia="en-IN"/>
            </w:rPr>
          </w:pPr>
          <w:hyperlink w:anchor="_Toc203731990" w:history="1">
            <w:r w:rsidRPr="008A26DA">
              <w:rPr>
                <w:rStyle w:val="Hyperlink"/>
                <w:rFonts w:ascii="Times New Roman" w:hAnsi="Times New Roman" w:cs="Times New Roman"/>
                <w:b/>
                <w:bCs/>
                <w:noProof/>
              </w:rPr>
              <w:t>14</w:t>
            </w:r>
            <w:r>
              <w:rPr>
                <w:rFonts w:eastAsiaTheme="minorEastAsia"/>
                <w:noProof/>
                <w:lang w:val="en-IN" w:eastAsia="en-IN"/>
              </w:rPr>
              <w:tab/>
            </w:r>
            <w:r w:rsidRPr="008A26DA">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_Toc203731990 \h </w:instrText>
            </w:r>
            <w:r>
              <w:rPr>
                <w:noProof/>
                <w:webHidden/>
              </w:rPr>
            </w:r>
            <w:r>
              <w:rPr>
                <w:noProof/>
                <w:webHidden/>
              </w:rPr>
              <w:fldChar w:fldCharType="separate"/>
            </w:r>
            <w:r>
              <w:rPr>
                <w:noProof/>
                <w:webHidden/>
              </w:rPr>
              <w:t>22</w:t>
            </w:r>
            <w:r>
              <w:rPr>
                <w:noProof/>
                <w:webHidden/>
              </w:rPr>
              <w:fldChar w:fldCharType="end"/>
            </w:r>
          </w:hyperlink>
        </w:p>
        <w:p w:rsidR="00153CA5" w:rsidRDefault="00153CA5">
          <w:pPr>
            <w:pStyle w:val="TOC1"/>
            <w:tabs>
              <w:tab w:val="left" w:pos="660"/>
              <w:tab w:val="right" w:leader="dot" w:pos="9016"/>
            </w:tabs>
            <w:rPr>
              <w:rFonts w:eastAsiaTheme="minorEastAsia"/>
              <w:noProof/>
              <w:lang w:val="en-IN" w:eastAsia="en-IN"/>
            </w:rPr>
          </w:pPr>
          <w:hyperlink w:anchor="_Toc203731991" w:history="1">
            <w:r w:rsidRPr="008A26DA">
              <w:rPr>
                <w:rStyle w:val="Hyperlink"/>
                <w:rFonts w:ascii="Times New Roman" w:hAnsi="Times New Roman" w:cs="Times New Roman"/>
                <w:b/>
                <w:noProof/>
              </w:rPr>
              <w:t>15</w:t>
            </w:r>
            <w:r>
              <w:rPr>
                <w:rFonts w:eastAsiaTheme="minorEastAsia"/>
                <w:noProof/>
                <w:lang w:val="en-IN" w:eastAsia="en-IN"/>
              </w:rPr>
              <w:tab/>
            </w:r>
            <w:r w:rsidRPr="008A26DA">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_Toc203731991 \h </w:instrText>
            </w:r>
            <w:r>
              <w:rPr>
                <w:noProof/>
                <w:webHidden/>
              </w:rPr>
            </w:r>
            <w:r>
              <w:rPr>
                <w:noProof/>
                <w:webHidden/>
              </w:rPr>
              <w:fldChar w:fldCharType="separate"/>
            </w:r>
            <w:r>
              <w:rPr>
                <w:noProof/>
                <w:webHidden/>
              </w:rPr>
              <w:t>24</w:t>
            </w:r>
            <w:r>
              <w:rPr>
                <w:noProof/>
                <w:webHidden/>
              </w:rPr>
              <w:fldChar w:fldCharType="end"/>
            </w:r>
          </w:hyperlink>
        </w:p>
        <w:p w:rsidR="00153CA5" w:rsidRDefault="00153CA5">
          <w:pPr>
            <w:pStyle w:val="TOC1"/>
            <w:tabs>
              <w:tab w:val="right" w:leader="dot" w:pos="9016"/>
            </w:tabs>
            <w:rPr>
              <w:rFonts w:eastAsiaTheme="minorEastAsia"/>
              <w:noProof/>
              <w:lang w:val="en-IN" w:eastAsia="en-IN"/>
            </w:rPr>
          </w:pPr>
          <w:hyperlink w:anchor="_Toc203731992" w:history="1">
            <w:r w:rsidRPr="008A26DA">
              <w:rPr>
                <w:rStyle w:val="Hyperlink"/>
                <w:rFonts w:ascii="Times New Roman" w:eastAsia="Times New Roman" w:hAnsi="Times New Roman" w:cs="Times New Roman"/>
                <w:b/>
                <w:noProof/>
                <w:lang w:val="en-IN" w:eastAsia="en-IN"/>
              </w:rPr>
              <w:t>Appendix A Profitability Ratio</w:t>
            </w:r>
            <w:r>
              <w:rPr>
                <w:noProof/>
                <w:webHidden/>
              </w:rPr>
              <w:tab/>
            </w:r>
            <w:r>
              <w:rPr>
                <w:noProof/>
                <w:webHidden/>
              </w:rPr>
              <w:fldChar w:fldCharType="begin"/>
            </w:r>
            <w:r>
              <w:rPr>
                <w:noProof/>
                <w:webHidden/>
              </w:rPr>
              <w:instrText xml:space="preserve"> PAGEREF _Toc203731992 \h </w:instrText>
            </w:r>
            <w:r>
              <w:rPr>
                <w:noProof/>
                <w:webHidden/>
              </w:rPr>
            </w:r>
            <w:r>
              <w:rPr>
                <w:noProof/>
                <w:webHidden/>
              </w:rPr>
              <w:fldChar w:fldCharType="separate"/>
            </w:r>
            <w:r>
              <w:rPr>
                <w:noProof/>
                <w:webHidden/>
              </w:rPr>
              <w:t>26</w:t>
            </w:r>
            <w:r>
              <w:rPr>
                <w:noProof/>
                <w:webHidden/>
              </w:rPr>
              <w:fldChar w:fldCharType="end"/>
            </w:r>
          </w:hyperlink>
        </w:p>
        <w:p w:rsidR="00153CA5" w:rsidRDefault="00153CA5">
          <w:pPr>
            <w:pStyle w:val="TOC1"/>
            <w:tabs>
              <w:tab w:val="right" w:leader="dot" w:pos="9016"/>
            </w:tabs>
            <w:rPr>
              <w:rFonts w:eastAsiaTheme="minorEastAsia"/>
              <w:noProof/>
              <w:lang w:val="en-IN" w:eastAsia="en-IN"/>
            </w:rPr>
          </w:pPr>
          <w:hyperlink w:anchor="_Toc203731993" w:history="1">
            <w:r w:rsidRPr="008A26DA">
              <w:rPr>
                <w:rStyle w:val="Hyperlink"/>
                <w:rFonts w:ascii="Times New Roman" w:hAnsi="Times New Roman" w:cs="Times New Roman"/>
                <w:b/>
                <w:noProof/>
                <w:lang w:val="en-IN"/>
              </w:rPr>
              <w:t>Appendix B Liquidity</w:t>
            </w:r>
            <w:r w:rsidRPr="008A26DA">
              <w:rPr>
                <w:rStyle w:val="Hyperlink"/>
                <w:rFonts w:ascii="Times New Roman" w:eastAsia="Times New Roman" w:hAnsi="Times New Roman" w:cs="Times New Roman"/>
                <w:b/>
                <w:noProof/>
                <w:lang w:val="en-US" w:eastAsia="en-IN"/>
              </w:rPr>
              <w:t xml:space="preserve"> Ratios</w:t>
            </w:r>
            <w:r>
              <w:rPr>
                <w:noProof/>
                <w:webHidden/>
              </w:rPr>
              <w:tab/>
            </w:r>
            <w:r>
              <w:rPr>
                <w:noProof/>
                <w:webHidden/>
              </w:rPr>
              <w:fldChar w:fldCharType="begin"/>
            </w:r>
            <w:r>
              <w:rPr>
                <w:noProof/>
                <w:webHidden/>
              </w:rPr>
              <w:instrText xml:space="preserve"> PAGEREF _Toc203731993 \h </w:instrText>
            </w:r>
            <w:r>
              <w:rPr>
                <w:noProof/>
                <w:webHidden/>
              </w:rPr>
            </w:r>
            <w:r>
              <w:rPr>
                <w:noProof/>
                <w:webHidden/>
              </w:rPr>
              <w:fldChar w:fldCharType="separate"/>
            </w:r>
            <w:r>
              <w:rPr>
                <w:noProof/>
                <w:webHidden/>
              </w:rPr>
              <w:t>26</w:t>
            </w:r>
            <w:r>
              <w:rPr>
                <w:noProof/>
                <w:webHidden/>
              </w:rPr>
              <w:fldChar w:fldCharType="end"/>
            </w:r>
          </w:hyperlink>
        </w:p>
        <w:p w:rsidR="00153CA5" w:rsidRDefault="00153CA5">
          <w:pPr>
            <w:pStyle w:val="TOC1"/>
            <w:tabs>
              <w:tab w:val="right" w:leader="dot" w:pos="9016"/>
            </w:tabs>
            <w:rPr>
              <w:rFonts w:eastAsiaTheme="minorEastAsia"/>
              <w:noProof/>
              <w:lang w:val="en-IN" w:eastAsia="en-IN"/>
            </w:rPr>
          </w:pPr>
          <w:hyperlink w:anchor="_Toc203731994" w:history="1">
            <w:r w:rsidRPr="008A26DA">
              <w:rPr>
                <w:rStyle w:val="Hyperlink"/>
                <w:rFonts w:ascii="Times New Roman" w:hAnsi="Times New Roman" w:cs="Times New Roman"/>
                <w:b/>
                <w:noProof/>
                <w:lang w:val="en-IN"/>
              </w:rPr>
              <w:t>Appendix c Efficiency Ratio</w:t>
            </w:r>
            <w:r>
              <w:rPr>
                <w:noProof/>
                <w:webHidden/>
              </w:rPr>
              <w:tab/>
            </w:r>
            <w:r>
              <w:rPr>
                <w:noProof/>
                <w:webHidden/>
              </w:rPr>
              <w:fldChar w:fldCharType="begin"/>
            </w:r>
            <w:r>
              <w:rPr>
                <w:noProof/>
                <w:webHidden/>
              </w:rPr>
              <w:instrText xml:space="preserve"> PAGEREF _Toc203731994 \h </w:instrText>
            </w:r>
            <w:r>
              <w:rPr>
                <w:noProof/>
                <w:webHidden/>
              </w:rPr>
            </w:r>
            <w:r>
              <w:rPr>
                <w:noProof/>
                <w:webHidden/>
              </w:rPr>
              <w:fldChar w:fldCharType="separate"/>
            </w:r>
            <w:r>
              <w:rPr>
                <w:noProof/>
                <w:webHidden/>
              </w:rPr>
              <w:t>27</w:t>
            </w:r>
            <w:r>
              <w:rPr>
                <w:noProof/>
                <w:webHidden/>
              </w:rPr>
              <w:fldChar w:fldCharType="end"/>
            </w:r>
          </w:hyperlink>
        </w:p>
        <w:p w:rsidR="00153CA5" w:rsidRDefault="00153CA5">
          <w:pPr>
            <w:pStyle w:val="TOC1"/>
            <w:tabs>
              <w:tab w:val="right" w:leader="dot" w:pos="9016"/>
            </w:tabs>
            <w:rPr>
              <w:rFonts w:eastAsiaTheme="minorEastAsia"/>
              <w:noProof/>
              <w:lang w:val="en-IN" w:eastAsia="en-IN"/>
            </w:rPr>
          </w:pPr>
          <w:hyperlink w:anchor="_Toc203731995" w:history="1">
            <w:r w:rsidRPr="008A26DA">
              <w:rPr>
                <w:rStyle w:val="Hyperlink"/>
                <w:rFonts w:ascii="Times New Roman" w:hAnsi="Times New Roman" w:cs="Times New Roman"/>
                <w:b/>
                <w:noProof/>
                <w:lang w:val="en-IN"/>
              </w:rPr>
              <w:t>Appendix D Gearing Ratio</w:t>
            </w:r>
            <w:r>
              <w:rPr>
                <w:noProof/>
                <w:webHidden/>
              </w:rPr>
              <w:tab/>
            </w:r>
            <w:r>
              <w:rPr>
                <w:noProof/>
                <w:webHidden/>
              </w:rPr>
              <w:fldChar w:fldCharType="begin"/>
            </w:r>
            <w:r>
              <w:rPr>
                <w:noProof/>
                <w:webHidden/>
              </w:rPr>
              <w:instrText xml:space="preserve"> PAGEREF _Toc203731995 \h </w:instrText>
            </w:r>
            <w:r>
              <w:rPr>
                <w:noProof/>
                <w:webHidden/>
              </w:rPr>
            </w:r>
            <w:r>
              <w:rPr>
                <w:noProof/>
                <w:webHidden/>
              </w:rPr>
              <w:fldChar w:fldCharType="separate"/>
            </w:r>
            <w:r>
              <w:rPr>
                <w:noProof/>
                <w:webHidden/>
              </w:rPr>
              <w:t>27</w:t>
            </w:r>
            <w:r>
              <w:rPr>
                <w:noProof/>
                <w:webHidden/>
              </w:rPr>
              <w:fldChar w:fldCharType="end"/>
            </w:r>
          </w:hyperlink>
        </w:p>
        <w:p w:rsidR="00153CA5" w:rsidRDefault="00153CA5">
          <w:pPr>
            <w:pStyle w:val="TOC1"/>
            <w:tabs>
              <w:tab w:val="right" w:leader="dot" w:pos="9016"/>
            </w:tabs>
            <w:rPr>
              <w:rFonts w:eastAsiaTheme="minorEastAsia"/>
              <w:noProof/>
              <w:lang w:val="en-IN" w:eastAsia="en-IN"/>
            </w:rPr>
          </w:pPr>
          <w:hyperlink w:anchor="_Toc203731996" w:history="1">
            <w:r w:rsidRPr="008A26DA">
              <w:rPr>
                <w:rStyle w:val="Hyperlink"/>
                <w:rFonts w:ascii="Times New Roman" w:hAnsi="Times New Roman" w:cs="Times New Roman"/>
                <w:b/>
                <w:noProof/>
                <w:lang w:val="en-IN"/>
              </w:rPr>
              <w:t>Appendix E Investment Ratio</w:t>
            </w:r>
            <w:r>
              <w:rPr>
                <w:noProof/>
                <w:webHidden/>
              </w:rPr>
              <w:tab/>
            </w:r>
            <w:r>
              <w:rPr>
                <w:noProof/>
                <w:webHidden/>
              </w:rPr>
              <w:fldChar w:fldCharType="begin"/>
            </w:r>
            <w:r>
              <w:rPr>
                <w:noProof/>
                <w:webHidden/>
              </w:rPr>
              <w:instrText xml:space="preserve"> PAGEREF _Toc203731996 \h </w:instrText>
            </w:r>
            <w:r>
              <w:rPr>
                <w:noProof/>
                <w:webHidden/>
              </w:rPr>
            </w:r>
            <w:r>
              <w:rPr>
                <w:noProof/>
                <w:webHidden/>
              </w:rPr>
              <w:fldChar w:fldCharType="separate"/>
            </w:r>
            <w:r>
              <w:rPr>
                <w:noProof/>
                <w:webHidden/>
              </w:rPr>
              <w:t>27</w:t>
            </w:r>
            <w:r>
              <w:rPr>
                <w:noProof/>
                <w:webHidden/>
              </w:rPr>
              <w:fldChar w:fldCharType="end"/>
            </w:r>
          </w:hyperlink>
        </w:p>
        <w:p w:rsidR="00153CA5" w:rsidRDefault="00153CA5">
          <w:pPr>
            <w:pStyle w:val="TOC1"/>
            <w:tabs>
              <w:tab w:val="right" w:leader="dot" w:pos="9016"/>
            </w:tabs>
            <w:rPr>
              <w:rFonts w:eastAsiaTheme="minorEastAsia"/>
              <w:noProof/>
              <w:lang w:val="en-IN" w:eastAsia="en-IN"/>
            </w:rPr>
          </w:pPr>
          <w:hyperlink w:anchor="_Toc203731997" w:history="1">
            <w:r w:rsidRPr="008A26DA">
              <w:rPr>
                <w:rStyle w:val="Hyperlink"/>
                <w:rFonts w:ascii="Times New Roman" w:hAnsi="Times New Roman" w:cs="Times New Roman"/>
                <w:b/>
                <w:noProof/>
                <w:lang w:val="en-IN"/>
              </w:rPr>
              <w:t>Appendix F Balance sheet</w:t>
            </w:r>
            <w:r>
              <w:rPr>
                <w:noProof/>
                <w:webHidden/>
              </w:rPr>
              <w:tab/>
            </w:r>
            <w:r>
              <w:rPr>
                <w:noProof/>
                <w:webHidden/>
              </w:rPr>
              <w:fldChar w:fldCharType="begin"/>
            </w:r>
            <w:r>
              <w:rPr>
                <w:noProof/>
                <w:webHidden/>
              </w:rPr>
              <w:instrText xml:space="preserve"> PAGEREF _Toc203731997 \h </w:instrText>
            </w:r>
            <w:r>
              <w:rPr>
                <w:noProof/>
                <w:webHidden/>
              </w:rPr>
            </w:r>
            <w:r>
              <w:rPr>
                <w:noProof/>
                <w:webHidden/>
              </w:rPr>
              <w:fldChar w:fldCharType="separate"/>
            </w:r>
            <w:r>
              <w:rPr>
                <w:noProof/>
                <w:webHidden/>
              </w:rPr>
              <w:t>28</w:t>
            </w:r>
            <w:r>
              <w:rPr>
                <w:noProof/>
                <w:webHidden/>
              </w:rPr>
              <w:fldChar w:fldCharType="end"/>
            </w:r>
          </w:hyperlink>
        </w:p>
        <w:p w:rsidR="002649EF" w:rsidRDefault="002649EF" w:rsidP="0088378B">
          <w:pPr>
            <w:spacing w:line="360" w:lineRule="auto"/>
          </w:pPr>
          <w:r>
            <w:rPr>
              <w:b/>
              <w:bCs/>
              <w:noProof/>
            </w:rPr>
            <w:fldChar w:fldCharType="end"/>
          </w:r>
        </w:p>
      </w:sdtContent>
    </w:sdt>
    <w:p w:rsidR="00771F68" w:rsidRPr="002649EF" w:rsidRDefault="00BB0893" w:rsidP="0088378B">
      <w:pPr>
        <w:spacing w:line="360" w:lineRule="auto"/>
        <w:jc w:val="both"/>
        <w:rPr>
          <w:rFonts w:ascii="Times New Roman" w:hAnsi="Times New Roman" w:cs="Times New Roman"/>
          <w:sz w:val="24"/>
          <w:szCs w:val="24"/>
        </w:rPr>
      </w:pPr>
      <w:r w:rsidRPr="00FE78A3">
        <w:rPr>
          <w:rFonts w:ascii="Times New Roman" w:hAnsi="Times New Roman" w:cs="Times New Roman"/>
          <w:sz w:val="24"/>
          <w:szCs w:val="24"/>
        </w:rPr>
        <w:br w:type="page"/>
      </w:r>
    </w:p>
    <w:p w:rsidR="00422DA9" w:rsidRDefault="00422DA9" w:rsidP="0088378B">
      <w:pPr>
        <w:pStyle w:val="Heading1"/>
        <w:spacing w:line="360" w:lineRule="auto"/>
        <w:rPr>
          <w:rFonts w:ascii="Times New Roman" w:hAnsi="Times New Roman" w:cs="Times New Roman"/>
          <w:b/>
          <w:color w:val="auto"/>
        </w:rPr>
      </w:pPr>
      <w:bookmarkStart w:id="1" w:name="_Toc203646842"/>
      <w:bookmarkStart w:id="2" w:name="_Toc203731972"/>
      <w:r w:rsidRPr="00422DA9">
        <w:rPr>
          <w:rFonts w:ascii="Times New Roman" w:hAnsi="Times New Roman" w:cs="Times New Roman"/>
          <w:b/>
          <w:color w:val="auto"/>
        </w:rPr>
        <w:t>Introduction</w:t>
      </w:r>
      <w:bookmarkEnd w:id="1"/>
      <w:bookmarkEnd w:id="2"/>
    </w:p>
    <w:p w:rsidR="00E32B6B" w:rsidRDefault="00422DA9" w:rsidP="0088378B">
      <w:pPr>
        <w:spacing w:line="360" w:lineRule="auto"/>
        <w:jc w:val="both"/>
        <w:rPr>
          <w:rFonts w:ascii="Times New Roman" w:hAnsi="Times New Roman" w:cs="Times New Roman"/>
          <w:sz w:val="24"/>
          <w:szCs w:val="24"/>
          <w:shd w:val="clear" w:color="auto" w:fill="FFFFFF"/>
        </w:rPr>
      </w:pPr>
      <w:r w:rsidRPr="00422DA9">
        <w:rPr>
          <w:rFonts w:ascii="Times New Roman" w:hAnsi="Times New Roman" w:cs="Times New Roman"/>
          <w:sz w:val="24"/>
          <w:shd w:val="clear" w:color="auto" w:fill="FFFFFF"/>
        </w:rPr>
        <w:t xml:space="preserve">BT Group plc (LSE: BT.A), part of the FTSE 100 index, is the United Kingdom’s former public telecommunications provider, dating back to the Electric Telegraph Company in 1846. It was nationalised and worked under the General Post Office from 1912 to 1984 and was privatised in 1984 (BT Group, 2024a). The company operates four divisions: Open reach (walk-up digital access infrastructure), Consumer (retail services), Business (small medium-sized enterprise (SME) solutions) and Global Services (network and services delivery). </w:t>
      </w:r>
      <w:r w:rsidRPr="00422DA9">
        <w:rPr>
          <w:rFonts w:ascii="Times New Roman" w:hAnsi="Times New Roman" w:cs="Times New Roman"/>
          <w:sz w:val="24"/>
          <w:szCs w:val="24"/>
          <w:shd w:val="clear" w:color="auto" w:fill="FFFFFF"/>
        </w:rPr>
        <w:t xml:space="preserve">It has more than over 30 million premises in the UK and operates in over 180 countries (GlobalData, 2024). More critically, the company has serious structural weaknesses: </w:t>
      </w:r>
      <w:r>
        <w:rPr>
          <w:rFonts w:ascii="Times New Roman" w:hAnsi="Times New Roman" w:cs="Times New Roman"/>
          <w:sz w:val="24"/>
          <w:szCs w:val="24"/>
          <w:shd w:val="clear" w:color="auto" w:fill="FFFFFF"/>
        </w:rPr>
        <w:t>Ofcom regulates</w:t>
      </w:r>
      <w:r w:rsidRPr="00422DA9">
        <w:rPr>
          <w:rFonts w:ascii="Times New Roman" w:hAnsi="Times New Roman" w:cs="Times New Roman"/>
          <w:sz w:val="24"/>
          <w:szCs w:val="24"/>
          <w:shd w:val="clear" w:color="auto" w:fill="FFFFFF"/>
        </w:rPr>
        <w:t>, it has £18.7bn obligations in net debt, £38bn pension obligations, and is still facing competition and pressure from Virgin Media-O2 (Saunders et al., 2021; Kersten et al., 2017). It is net-zero commitments by 2031 and embracing Digital Inclusion commitments (BT Group, 2024b), also illustrate its corporate identity. This situates the basis for the subsequent financial ratio analysis that will evaluate the impact of BT's operational and strategic decisions on financial resilience.</w:t>
      </w:r>
    </w:p>
    <w:p w:rsidR="00283F71" w:rsidRPr="00283F71" w:rsidRDefault="00283F71" w:rsidP="0088378B">
      <w:pPr>
        <w:spacing w:line="360" w:lineRule="auto"/>
        <w:jc w:val="both"/>
        <w:rPr>
          <w:rFonts w:ascii="Times New Roman" w:hAnsi="Times New Roman" w:cs="Times New Roman"/>
          <w:b/>
          <w:sz w:val="28"/>
          <w:szCs w:val="24"/>
          <w:shd w:val="clear" w:color="auto" w:fill="FFFFFF"/>
        </w:rPr>
      </w:pPr>
      <w:r w:rsidRPr="00283F71">
        <w:rPr>
          <w:rFonts w:ascii="Times New Roman" w:hAnsi="Times New Roman" w:cs="Times New Roman"/>
          <w:b/>
          <w:sz w:val="28"/>
          <w:szCs w:val="24"/>
          <w:shd w:val="clear" w:color="auto" w:fill="FFFFFF"/>
        </w:rPr>
        <w:t xml:space="preserve">Task 2 </w:t>
      </w:r>
    </w:p>
    <w:p w:rsidR="00283F71" w:rsidRPr="00AD078D" w:rsidRDefault="00283F71" w:rsidP="0088378B">
      <w:pPr>
        <w:spacing w:line="360" w:lineRule="auto"/>
        <w:jc w:val="both"/>
        <w:rPr>
          <w:rFonts w:ascii="Times New Roman" w:hAnsi="Times New Roman" w:cs="Times New Roman"/>
          <w:sz w:val="28"/>
        </w:rPr>
      </w:pPr>
      <w:r w:rsidRPr="0066463C">
        <w:rPr>
          <w:rFonts w:ascii="Times New Roman" w:hAnsi="Times New Roman" w:cs="Times New Roman"/>
          <w:sz w:val="24"/>
          <w:shd w:val="clear" w:color="auto" w:fill="FFFFFF"/>
        </w:rPr>
        <w:t>Investment appraisal serves as an essential tool in strategic financial management, providing organisations with the means to assess and prioritise competing capital projects with the overarching goal of enhancing shareholder value. In the context of Jordo</w:t>
      </w:r>
      <w:r>
        <w:rPr>
          <w:rFonts w:ascii="Times New Roman" w:hAnsi="Times New Roman" w:cs="Times New Roman"/>
          <w:sz w:val="24"/>
          <w:shd w:val="clear" w:color="auto" w:fill="FFFFFF"/>
        </w:rPr>
        <w:t xml:space="preserve">ns Plc, </w:t>
      </w:r>
      <w:r w:rsidRPr="0066463C">
        <w:rPr>
          <w:rFonts w:ascii="Times New Roman" w:hAnsi="Times New Roman" w:cs="Times New Roman"/>
          <w:sz w:val="24"/>
          <w:shd w:val="clear" w:color="auto" w:fill="FFFFFF"/>
        </w:rPr>
        <w:t>a firm renowned for producing high-qualit</w:t>
      </w:r>
      <w:r>
        <w:rPr>
          <w:rFonts w:ascii="Times New Roman" w:hAnsi="Times New Roman" w:cs="Times New Roman"/>
          <w:sz w:val="24"/>
          <w:shd w:val="clear" w:color="auto" w:fill="FFFFFF"/>
        </w:rPr>
        <w:t xml:space="preserve">y internal wooden window blinds </w:t>
      </w:r>
      <w:r w:rsidRPr="0066463C">
        <w:rPr>
          <w:rFonts w:ascii="Times New Roman" w:hAnsi="Times New Roman" w:cs="Times New Roman"/>
          <w:sz w:val="24"/>
          <w:shd w:val="clear" w:color="auto" w:fill="FFFFFF"/>
        </w:rPr>
        <w:t>the prospect of operational expansion ma</w:t>
      </w:r>
      <w:r>
        <w:rPr>
          <w:rFonts w:ascii="Times New Roman" w:hAnsi="Times New Roman" w:cs="Times New Roman"/>
          <w:sz w:val="24"/>
          <w:shd w:val="clear" w:color="auto" w:fill="FFFFFF"/>
        </w:rPr>
        <w:t>rks a pivotal strategic structure</w:t>
      </w:r>
      <w:r w:rsidRPr="0066463C">
        <w:rPr>
          <w:rFonts w:ascii="Times New Roman" w:hAnsi="Times New Roman" w:cs="Times New Roman"/>
          <w:sz w:val="24"/>
          <w:shd w:val="clear" w:color="auto" w:fill="FFFFFF"/>
        </w:rPr>
        <w:t>. As the business charts its path for future growth, it is confronted with three mutually exclusive investment options: expanding its retail footprint, developing an online sales platform, or diversifying into complementary offerings such as curtains and Roman blinds. Each alternative entails a significant capital outlay and is projected to deliver distinct financial outcomes over a four-year period.</w:t>
      </w:r>
      <w:r>
        <w:rPr>
          <w:rFonts w:ascii="Times New Roman" w:hAnsi="Times New Roman" w:cs="Times New Roman"/>
          <w:sz w:val="24"/>
          <w:shd w:val="clear" w:color="auto" w:fill="FFFFFF"/>
        </w:rPr>
        <w:t xml:space="preserve"> </w:t>
      </w:r>
      <w:r w:rsidRPr="00C84E01">
        <w:rPr>
          <w:rFonts w:ascii="Times New Roman" w:hAnsi="Times New Roman" w:cs="Times New Roman"/>
          <w:sz w:val="24"/>
          <w:shd w:val="clear" w:color="auto" w:fill="FFFFFF"/>
        </w:rPr>
        <w:t>This chapter considers the financial evaluation of three investment alternatives available to Jordons Plc, using Net Present Value (NPV) and calculating Internal Rate of Return (IRR) as part of the evaluation. The analysis has taken into account taxation treatment and capital allowances in the estimation of net cash flows. The principal purpose of the evaluation is to assist the board of directors in identifying the most financially viable project. Across the quantitative evaluation, the chapter also includes theoretical rationale for adopting NPV, presents discussion on the continued use of non-discounting techniques, evaluated qualitative decisions, consider capital rationing and to review sources of finance for investment.</w:t>
      </w:r>
    </w:p>
    <w:p w:rsidR="00383297" w:rsidRDefault="00E32B6B" w:rsidP="0088378B">
      <w:pPr>
        <w:pStyle w:val="Heading1"/>
        <w:spacing w:line="360" w:lineRule="auto"/>
        <w:jc w:val="both"/>
        <w:rPr>
          <w:rStyle w:val="Strong"/>
          <w:rFonts w:ascii="Times New Roman" w:hAnsi="Times New Roman" w:cs="Times New Roman"/>
          <w:color w:val="auto"/>
        </w:rPr>
      </w:pPr>
      <w:bookmarkStart w:id="3" w:name="_Toc203646843"/>
      <w:bookmarkStart w:id="4" w:name="_Toc203731973"/>
      <w:r w:rsidRPr="00E32B6B">
        <w:rPr>
          <w:rStyle w:val="Strong"/>
          <w:rFonts w:ascii="Times New Roman" w:hAnsi="Times New Roman" w:cs="Times New Roman"/>
          <w:color w:val="auto"/>
        </w:rPr>
        <w:t>Methodology and Theoretical Framework</w:t>
      </w:r>
      <w:bookmarkEnd w:id="3"/>
      <w:bookmarkEnd w:id="4"/>
    </w:p>
    <w:p w:rsidR="00422DA9" w:rsidRDefault="00E32B6B" w:rsidP="0088378B">
      <w:pPr>
        <w:spacing w:line="360" w:lineRule="auto"/>
        <w:jc w:val="both"/>
        <w:rPr>
          <w:rFonts w:ascii="Times New Roman" w:hAnsi="Times New Roman" w:cs="Times New Roman"/>
          <w:sz w:val="24"/>
          <w:szCs w:val="24"/>
          <w:shd w:val="clear" w:color="auto" w:fill="FFFFFF"/>
        </w:rPr>
      </w:pPr>
      <w:r w:rsidRPr="00E32B6B">
        <w:rPr>
          <w:rFonts w:ascii="Times New Roman" w:hAnsi="Times New Roman" w:cs="Times New Roman"/>
          <w:sz w:val="24"/>
          <w:shd w:val="clear" w:color="auto" w:fill="FFFFFF"/>
        </w:rPr>
        <w:t xml:space="preserve">This report utilises an academic approach based on financial management theory to analyse BT Group’s performance for FY2023–FY2024. The approach consists of the following components: </w:t>
      </w:r>
      <w:r w:rsidRPr="00E32B6B">
        <w:rPr>
          <w:rFonts w:ascii="Times New Roman" w:hAnsi="Times New Roman" w:cs="Times New Roman"/>
          <w:sz w:val="24"/>
        </w:rPr>
        <w:br/>
      </w:r>
      <w:r w:rsidRPr="00E32B6B">
        <w:rPr>
          <w:rFonts w:ascii="Times New Roman" w:hAnsi="Times New Roman" w:cs="Times New Roman"/>
          <w:b/>
          <w:sz w:val="24"/>
          <w:shd w:val="clear" w:color="auto" w:fill="FFFFFF"/>
        </w:rPr>
        <w:t xml:space="preserve">Data Collection: </w:t>
      </w:r>
      <w:r w:rsidRPr="00E32B6B">
        <w:rPr>
          <w:rFonts w:ascii="Times New Roman" w:hAnsi="Times New Roman" w:cs="Times New Roman"/>
          <w:b/>
          <w:sz w:val="24"/>
          <w:szCs w:val="24"/>
          <w:shd w:val="clear" w:color="auto" w:fill="FFFFFF"/>
        </w:rPr>
        <w:t>-</w:t>
      </w:r>
      <w:r w:rsidRPr="00E32B6B">
        <w:rPr>
          <w:rFonts w:ascii="Times New Roman" w:hAnsi="Times New Roman" w:cs="Times New Roman"/>
          <w:sz w:val="24"/>
          <w:szCs w:val="24"/>
          <w:shd w:val="clear" w:color="auto" w:fill="FFFFFF"/>
        </w:rPr>
        <w:t xml:space="preserve"> Primary data </w:t>
      </w:r>
      <w:r w:rsidRPr="00E32B6B">
        <w:rPr>
          <w:rStyle w:val="diff-highlight"/>
          <w:rFonts w:ascii="Times New Roman" w:hAnsi="Times New Roman" w:cs="Times New Roman"/>
          <w:sz w:val="24"/>
          <w:szCs w:val="24"/>
          <w:shd w:val="clear" w:color="auto" w:fill="FFFFFF"/>
        </w:rPr>
        <w:t>is sourced</w:t>
      </w:r>
      <w:r w:rsidRPr="00E32B6B">
        <w:rPr>
          <w:rFonts w:ascii="Times New Roman" w:hAnsi="Times New Roman" w:cs="Times New Roman"/>
          <w:sz w:val="24"/>
          <w:szCs w:val="24"/>
          <w:shd w:val="clear" w:color="auto" w:fill="FFFFFF"/>
        </w:rPr>
        <w:t xml:space="preserve"> from BT Group</w:t>
      </w:r>
      <w:r w:rsidRPr="00E32B6B">
        <w:rPr>
          <w:rStyle w:val="diff-highlight"/>
          <w:rFonts w:ascii="Times New Roman" w:hAnsi="Times New Roman" w:cs="Times New Roman"/>
          <w:sz w:val="24"/>
          <w:szCs w:val="24"/>
          <w:shd w:val="clear" w:color="auto" w:fill="FFFFFF"/>
        </w:rPr>
        <w:t>'</w:t>
      </w:r>
      <w:r w:rsidRPr="00E32B6B">
        <w:rPr>
          <w:rFonts w:ascii="Times New Roman" w:hAnsi="Times New Roman" w:cs="Times New Roman"/>
          <w:sz w:val="24"/>
          <w:szCs w:val="24"/>
          <w:shd w:val="clear" w:color="auto" w:fill="FFFFFF"/>
        </w:rPr>
        <w:t xml:space="preserve">s audited Annual Reports (2023, 2024) </w:t>
      </w:r>
      <w:r w:rsidRPr="00E32B6B">
        <w:rPr>
          <w:rStyle w:val="diff-highlight"/>
          <w:rFonts w:ascii="Times New Roman" w:hAnsi="Times New Roman" w:cs="Times New Roman"/>
          <w:sz w:val="24"/>
          <w:szCs w:val="24"/>
          <w:shd w:val="clear" w:color="auto" w:fill="FFFFFF"/>
        </w:rPr>
        <w:t>and</w:t>
      </w:r>
      <w:r w:rsidRPr="00E32B6B">
        <w:rPr>
          <w:rFonts w:ascii="Times New Roman" w:hAnsi="Times New Roman" w:cs="Times New Roman"/>
          <w:sz w:val="24"/>
          <w:szCs w:val="24"/>
          <w:shd w:val="clear" w:color="auto" w:fill="FFFFFF"/>
        </w:rPr>
        <w:t xml:space="preserve"> </w:t>
      </w:r>
      <w:r w:rsidRPr="00E32B6B">
        <w:rPr>
          <w:rStyle w:val="diff-highlight"/>
          <w:rFonts w:ascii="Times New Roman" w:hAnsi="Times New Roman" w:cs="Times New Roman"/>
          <w:sz w:val="24"/>
          <w:szCs w:val="24"/>
          <w:shd w:val="clear" w:color="auto" w:fill="FFFFFF"/>
        </w:rPr>
        <w:t>complemented with</w:t>
      </w:r>
      <w:r w:rsidRPr="00E32B6B">
        <w:rPr>
          <w:rFonts w:ascii="Times New Roman" w:hAnsi="Times New Roman" w:cs="Times New Roman"/>
          <w:sz w:val="24"/>
          <w:szCs w:val="24"/>
          <w:shd w:val="clear" w:color="auto" w:fill="FFFFFF"/>
        </w:rPr>
        <w:t xml:space="preserve"> market data from the London Stock Exchange Group (LSEG, 2024). </w:t>
      </w:r>
      <w:r w:rsidRPr="00E32B6B">
        <w:rPr>
          <w:rStyle w:val="diff-highlight"/>
          <w:rFonts w:ascii="Times New Roman" w:hAnsi="Times New Roman" w:cs="Times New Roman"/>
          <w:sz w:val="24"/>
          <w:szCs w:val="24"/>
          <w:shd w:val="clear" w:color="auto" w:fill="FFFFFF"/>
        </w:rPr>
        <w:t>Both</w:t>
      </w:r>
      <w:r w:rsidRPr="00E32B6B">
        <w:rPr>
          <w:rFonts w:ascii="Times New Roman" w:hAnsi="Times New Roman" w:cs="Times New Roman"/>
          <w:sz w:val="24"/>
          <w:szCs w:val="24"/>
          <w:shd w:val="clear" w:color="auto" w:fill="FFFFFF"/>
        </w:rPr>
        <w:t xml:space="preserve"> sources </w:t>
      </w:r>
      <w:r w:rsidRPr="00E32B6B">
        <w:rPr>
          <w:rStyle w:val="diff-highlight"/>
          <w:rFonts w:ascii="Times New Roman" w:hAnsi="Times New Roman" w:cs="Times New Roman"/>
          <w:sz w:val="24"/>
          <w:szCs w:val="24"/>
          <w:shd w:val="clear" w:color="auto" w:fill="FFFFFF"/>
        </w:rPr>
        <w:t>are</w:t>
      </w:r>
      <w:r w:rsidRPr="00E32B6B">
        <w:rPr>
          <w:rFonts w:ascii="Times New Roman" w:hAnsi="Times New Roman" w:cs="Times New Roman"/>
          <w:sz w:val="24"/>
          <w:szCs w:val="24"/>
          <w:shd w:val="clear" w:color="auto" w:fill="FFFFFF"/>
        </w:rPr>
        <w:t xml:space="preserve"> </w:t>
      </w:r>
      <w:r w:rsidRPr="00E32B6B">
        <w:rPr>
          <w:rStyle w:val="diff-highlight"/>
          <w:rFonts w:ascii="Times New Roman" w:hAnsi="Times New Roman" w:cs="Times New Roman"/>
          <w:sz w:val="24"/>
          <w:szCs w:val="24"/>
          <w:shd w:val="clear" w:color="auto" w:fill="FFFFFF"/>
        </w:rPr>
        <w:t>aligned</w:t>
      </w:r>
      <w:r w:rsidRPr="00E32B6B">
        <w:rPr>
          <w:rFonts w:ascii="Times New Roman" w:hAnsi="Times New Roman" w:cs="Times New Roman"/>
          <w:sz w:val="24"/>
          <w:szCs w:val="24"/>
          <w:shd w:val="clear" w:color="auto" w:fill="FFFFFF"/>
        </w:rPr>
        <w:t xml:space="preserve"> with statutory reporting under IFRS.</w:t>
      </w:r>
    </w:p>
    <w:p w:rsidR="00E32B6B" w:rsidRPr="00167AB0" w:rsidRDefault="00167AB0" w:rsidP="0088378B">
      <w:pPr>
        <w:spacing w:line="360" w:lineRule="auto"/>
        <w:jc w:val="both"/>
        <w:rPr>
          <w:rFonts w:ascii="Times New Roman" w:hAnsi="Times New Roman" w:cs="Times New Roman"/>
          <w:b/>
          <w:sz w:val="24"/>
          <w:szCs w:val="24"/>
          <w:shd w:val="clear" w:color="auto" w:fill="FFFFFF"/>
        </w:rPr>
      </w:pPr>
      <w:r w:rsidRPr="00167AB0">
        <w:rPr>
          <w:rFonts w:ascii="Times New Roman" w:hAnsi="Times New Roman" w:cs="Times New Roman"/>
          <w:b/>
          <w:sz w:val="24"/>
          <w:szCs w:val="24"/>
          <w:shd w:val="clear" w:color="auto" w:fill="FFFFFF"/>
        </w:rPr>
        <w:t xml:space="preserve">Theoretical Framework </w:t>
      </w:r>
    </w:p>
    <w:p w:rsidR="00167AB0" w:rsidRPr="00167AB0" w:rsidRDefault="00167AB0" w:rsidP="0088378B">
      <w:pPr>
        <w:spacing w:line="360" w:lineRule="auto"/>
        <w:jc w:val="both"/>
        <w:rPr>
          <w:rFonts w:ascii="Times New Roman" w:hAnsi="Times New Roman" w:cs="Times New Roman"/>
          <w:sz w:val="24"/>
          <w:szCs w:val="24"/>
          <w:shd w:val="clear" w:color="auto" w:fill="FFFFFF"/>
        </w:rPr>
      </w:pPr>
      <w:r w:rsidRPr="00167AB0">
        <w:rPr>
          <w:rFonts w:ascii="Times New Roman" w:hAnsi="Times New Roman" w:cs="Times New Roman"/>
          <w:b/>
          <w:sz w:val="24"/>
          <w:szCs w:val="24"/>
          <w:shd w:val="clear" w:color="auto" w:fill="FFFFFF"/>
        </w:rPr>
        <w:t>Profitability and Liquidity Assessment: -</w:t>
      </w:r>
      <w:r w:rsidRPr="00167AB0">
        <w:rPr>
          <w:rStyle w:val="diff-highlight"/>
          <w:rFonts w:ascii="Times New Roman" w:hAnsi="Times New Roman" w:cs="Times New Roman"/>
          <w:sz w:val="24"/>
          <w:szCs w:val="24"/>
          <w:shd w:val="clear" w:color="auto" w:fill="FFFFFF"/>
        </w:rPr>
        <w:t xml:space="preserve"> </w:t>
      </w:r>
      <w:r w:rsidRPr="00167AB0">
        <w:rPr>
          <w:rFonts w:ascii="Times New Roman" w:hAnsi="Times New Roman" w:cs="Times New Roman"/>
          <w:sz w:val="24"/>
          <w:szCs w:val="24"/>
          <w:shd w:val="clear" w:color="auto" w:fill="FFFFFF"/>
        </w:rPr>
        <w:t xml:space="preserve">Atrill and McLaney (2021) and Drury (2021) </w:t>
      </w:r>
      <w:r w:rsidRPr="00167AB0">
        <w:rPr>
          <w:rStyle w:val="diff-highlight"/>
          <w:rFonts w:ascii="Times New Roman" w:hAnsi="Times New Roman" w:cs="Times New Roman"/>
          <w:sz w:val="24"/>
          <w:szCs w:val="24"/>
          <w:shd w:val="clear" w:color="auto" w:fill="FFFFFF"/>
        </w:rPr>
        <w:t>provide</w:t>
      </w:r>
      <w:r w:rsidRPr="00167AB0">
        <w:rPr>
          <w:rFonts w:ascii="Times New Roman" w:hAnsi="Times New Roman" w:cs="Times New Roman"/>
          <w:sz w:val="24"/>
          <w:szCs w:val="24"/>
          <w:shd w:val="clear" w:color="auto" w:fill="FFFFFF"/>
        </w:rPr>
        <w:t xml:space="preserve"> </w:t>
      </w:r>
      <w:r w:rsidRPr="00167AB0">
        <w:rPr>
          <w:rStyle w:val="diff-highlight"/>
          <w:rFonts w:ascii="Times New Roman" w:hAnsi="Times New Roman" w:cs="Times New Roman"/>
          <w:sz w:val="24"/>
          <w:szCs w:val="24"/>
          <w:shd w:val="clear" w:color="auto" w:fill="FFFFFF"/>
        </w:rPr>
        <w:t>frameworks</w:t>
      </w:r>
      <w:r w:rsidRPr="00167AB0">
        <w:rPr>
          <w:rFonts w:ascii="Times New Roman" w:hAnsi="Times New Roman" w:cs="Times New Roman"/>
          <w:sz w:val="24"/>
          <w:szCs w:val="24"/>
          <w:shd w:val="clear" w:color="auto" w:fill="FFFFFF"/>
        </w:rPr>
        <w:t xml:space="preserve"> </w:t>
      </w:r>
      <w:r w:rsidRPr="00167AB0">
        <w:rPr>
          <w:rStyle w:val="diff-highlight"/>
          <w:rFonts w:ascii="Times New Roman" w:hAnsi="Times New Roman" w:cs="Times New Roman"/>
          <w:sz w:val="24"/>
          <w:szCs w:val="24"/>
          <w:shd w:val="clear" w:color="auto" w:fill="FFFFFF"/>
        </w:rPr>
        <w:t>for</w:t>
      </w:r>
      <w:r w:rsidRPr="00167AB0">
        <w:rPr>
          <w:rFonts w:ascii="Times New Roman" w:hAnsi="Times New Roman" w:cs="Times New Roman"/>
          <w:sz w:val="24"/>
          <w:szCs w:val="24"/>
          <w:shd w:val="clear" w:color="auto" w:fill="FFFFFF"/>
        </w:rPr>
        <w:t xml:space="preserve"> </w:t>
      </w:r>
      <w:r w:rsidRPr="00167AB0">
        <w:rPr>
          <w:rStyle w:val="diff-highlight"/>
          <w:rFonts w:ascii="Times New Roman" w:hAnsi="Times New Roman" w:cs="Times New Roman"/>
          <w:sz w:val="24"/>
          <w:szCs w:val="24"/>
          <w:shd w:val="clear" w:color="auto" w:fill="FFFFFF"/>
        </w:rPr>
        <w:t>assessing</w:t>
      </w:r>
      <w:r w:rsidRPr="00167AB0">
        <w:rPr>
          <w:rFonts w:ascii="Times New Roman" w:hAnsi="Times New Roman" w:cs="Times New Roman"/>
          <w:sz w:val="24"/>
          <w:szCs w:val="24"/>
          <w:shd w:val="clear" w:color="auto" w:fill="FFFFFF"/>
        </w:rPr>
        <w:t xml:space="preserve"> BT</w:t>
      </w:r>
      <w:r w:rsidRPr="00167AB0">
        <w:rPr>
          <w:rStyle w:val="diff-highlight"/>
          <w:rFonts w:ascii="Times New Roman" w:hAnsi="Times New Roman" w:cs="Times New Roman"/>
          <w:sz w:val="24"/>
          <w:szCs w:val="24"/>
          <w:shd w:val="clear" w:color="auto" w:fill="FFFFFF"/>
        </w:rPr>
        <w:t>'</w:t>
      </w:r>
      <w:r w:rsidRPr="00167AB0">
        <w:rPr>
          <w:rFonts w:ascii="Times New Roman" w:hAnsi="Times New Roman" w:cs="Times New Roman"/>
          <w:sz w:val="24"/>
          <w:szCs w:val="24"/>
          <w:shd w:val="clear" w:color="auto" w:fill="FFFFFF"/>
        </w:rPr>
        <w:t>s margin sustainability and short-term solvency</w:t>
      </w:r>
      <w:r w:rsidRPr="00167AB0">
        <w:rPr>
          <w:rStyle w:val="diff-highlight"/>
          <w:rFonts w:ascii="Times New Roman" w:hAnsi="Times New Roman" w:cs="Times New Roman"/>
          <w:sz w:val="24"/>
          <w:szCs w:val="24"/>
          <w:shd w:val="clear" w:color="auto" w:fill="FFFFFF"/>
        </w:rPr>
        <w:t>,</w:t>
      </w:r>
      <w:r w:rsidRPr="00167AB0">
        <w:rPr>
          <w:rFonts w:ascii="Times New Roman" w:hAnsi="Times New Roman" w:cs="Times New Roman"/>
          <w:sz w:val="24"/>
          <w:szCs w:val="24"/>
          <w:shd w:val="clear" w:color="auto" w:fill="FFFFFF"/>
        </w:rPr>
        <w:t xml:space="preserve"> </w:t>
      </w:r>
      <w:r w:rsidRPr="00167AB0">
        <w:rPr>
          <w:rStyle w:val="diff-highlight"/>
          <w:rFonts w:ascii="Times New Roman" w:hAnsi="Times New Roman" w:cs="Times New Roman"/>
          <w:sz w:val="24"/>
          <w:szCs w:val="24"/>
          <w:shd w:val="clear" w:color="auto" w:fill="FFFFFF"/>
        </w:rPr>
        <w:t>respectively,</w:t>
      </w:r>
      <w:r w:rsidRPr="00167AB0">
        <w:rPr>
          <w:rFonts w:ascii="Times New Roman" w:hAnsi="Times New Roman" w:cs="Times New Roman"/>
          <w:sz w:val="24"/>
          <w:szCs w:val="24"/>
          <w:shd w:val="clear" w:color="auto" w:fill="FFFFFF"/>
        </w:rPr>
        <w:t xml:space="preserve"> </w:t>
      </w:r>
      <w:r w:rsidRPr="00167AB0">
        <w:rPr>
          <w:rStyle w:val="diff-highlight"/>
          <w:rFonts w:ascii="Times New Roman" w:hAnsi="Times New Roman" w:cs="Times New Roman"/>
          <w:sz w:val="24"/>
          <w:szCs w:val="24"/>
          <w:shd w:val="clear" w:color="auto" w:fill="FFFFFF"/>
        </w:rPr>
        <w:t>and</w:t>
      </w:r>
      <w:r w:rsidRPr="00167AB0">
        <w:rPr>
          <w:rFonts w:ascii="Times New Roman" w:hAnsi="Times New Roman" w:cs="Times New Roman"/>
          <w:sz w:val="24"/>
          <w:szCs w:val="24"/>
          <w:shd w:val="clear" w:color="auto" w:fill="FFFFFF"/>
        </w:rPr>
        <w:t xml:space="preserve"> </w:t>
      </w:r>
      <w:r w:rsidRPr="00167AB0">
        <w:rPr>
          <w:rStyle w:val="diff-highlight"/>
          <w:rFonts w:ascii="Times New Roman" w:hAnsi="Times New Roman" w:cs="Times New Roman"/>
          <w:sz w:val="24"/>
          <w:szCs w:val="24"/>
          <w:shd w:val="clear" w:color="auto" w:fill="FFFFFF"/>
        </w:rPr>
        <w:t>both of these frameworks incorporate</w:t>
      </w:r>
      <w:r w:rsidRPr="00167AB0">
        <w:rPr>
          <w:rFonts w:ascii="Times New Roman" w:hAnsi="Times New Roman" w:cs="Times New Roman"/>
          <w:sz w:val="24"/>
          <w:szCs w:val="24"/>
          <w:shd w:val="clear" w:color="auto" w:fill="FFFFFF"/>
        </w:rPr>
        <w:t xml:space="preserve"> cost-volume-profit relationships and working capital cycles as determinants of operational resilience.</w:t>
      </w:r>
    </w:p>
    <w:p w:rsidR="00167AB0" w:rsidRDefault="00167AB0" w:rsidP="0088378B">
      <w:pPr>
        <w:spacing w:line="360" w:lineRule="auto"/>
        <w:jc w:val="both"/>
        <w:rPr>
          <w:rFonts w:ascii="Times New Roman" w:hAnsi="Times New Roman" w:cs="Times New Roman"/>
          <w:sz w:val="24"/>
          <w:szCs w:val="24"/>
        </w:rPr>
      </w:pPr>
      <w:r w:rsidRPr="00167AB0">
        <w:rPr>
          <w:rFonts w:ascii="Times New Roman" w:hAnsi="Times New Roman" w:cs="Times New Roman"/>
          <w:b/>
          <w:sz w:val="24"/>
          <w:szCs w:val="24"/>
        </w:rPr>
        <w:t xml:space="preserve">Capital Structure and Risk: - </w:t>
      </w:r>
      <w:r w:rsidRPr="00167AB0">
        <w:rPr>
          <w:rFonts w:ascii="Times New Roman" w:hAnsi="Times New Roman" w:cs="Times New Roman"/>
          <w:sz w:val="24"/>
          <w:szCs w:val="24"/>
        </w:rPr>
        <w:t>Walsh (2008) gearing hierarchy and Saunders et al. (2021) institutio</w:t>
      </w:r>
      <w:r w:rsidR="00C1349D">
        <w:rPr>
          <w:rFonts w:ascii="Times New Roman" w:hAnsi="Times New Roman" w:cs="Times New Roman"/>
          <w:sz w:val="24"/>
          <w:szCs w:val="24"/>
        </w:rPr>
        <w:t>nal risk limits are used to fac</w:t>
      </w:r>
      <w:r w:rsidR="00C1349D" w:rsidRPr="00167AB0">
        <w:rPr>
          <w:rFonts w:ascii="Times New Roman" w:hAnsi="Times New Roman" w:cs="Times New Roman"/>
          <w:sz w:val="24"/>
          <w:szCs w:val="24"/>
        </w:rPr>
        <w:t>ilitate</w:t>
      </w:r>
      <w:r w:rsidRPr="00167AB0">
        <w:rPr>
          <w:rFonts w:ascii="Times New Roman" w:hAnsi="Times New Roman" w:cs="Times New Roman"/>
          <w:sz w:val="24"/>
          <w:szCs w:val="24"/>
        </w:rPr>
        <w:t xml:space="preserve"> our evaluation of BT's leverage exposure. This includes Debt covenant compliance (= e.g. Debt/EBITDA &lt; 3.5x) Interest coverage sustainability. This reflects Modigliani-Miller theorem adaptations for regulated utilities (Saunders et al., 2021).</w:t>
      </w:r>
    </w:p>
    <w:p w:rsidR="00167AB0" w:rsidRDefault="00167AB0" w:rsidP="0088378B">
      <w:pPr>
        <w:spacing w:line="360" w:lineRule="auto"/>
        <w:jc w:val="both"/>
        <w:rPr>
          <w:rFonts w:ascii="Times New Roman" w:hAnsi="Times New Roman" w:cs="Times New Roman"/>
          <w:sz w:val="24"/>
          <w:shd w:val="clear" w:color="auto" w:fill="FFFFFF"/>
        </w:rPr>
      </w:pPr>
      <w:r w:rsidRPr="00167AB0">
        <w:rPr>
          <w:rFonts w:ascii="Times New Roman" w:hAnsi="Times New Roman" w:cs="Times New Roman"/>
          <w:b/>
          <w:sz w:val="24"/>
          <w:shd w:val="clear" w:color="auto" w:fill="FFFFFF"/>
        </w:rPr>
        <w:t>Operational Efficiency</w:t>
      </w:r>
      <w:r w:rsidR="00D5652B">
        <w:rPr>
          <w:rFonts w:ascii="Times New Roman" w:hAnsi="Times New Roman" w:cs="Times New Roman"/>
          <w:b/>
          <w:sz w:val="24"/>
          <w:shd w:val="clear" w:color="auto" w:fill="FFFFFF"/>
        </w:rPr>
        <w:t>: -</w:t>
      </w:r>
      <w:r w:rsidRPr="00167AB0">
        <w:rPr>
          <w:rStyle w:val="diff-highlight"/>
          <w:rFonts w:ascii="Times New Roman" w:hAnsi="Times New Roman" w:cs="Times New Roman"/>
          <w:sz w:val="24"/>
          <w:shd w:val="clear" w:color="auto" w:fill="FFFFFF"/>
        </w:rPr>
        <w:t xml:space="preserve"> </w:t>
      </w:r>
      <w:r w:rsidRPr="00167AB0">
        <w:rPr>
          <w:rFonts w:ascii="Times New Roman" w:hAnsi="Times New Roman" w:cs="Times New Roman"/>
          <w:sz w:val="24"/>
          <w:shd w:val="clear" w:color="auto" w:fill="FFFFFF"/>
        </w:rPr>
        <w:t xml:space="preserve">Marr’s (2012) KPI taxonomy </w:t>
      </w:r>
      <w:r w:rsidRPr="00167AB0">
        <w:rPr>
          <w:rStyle w:val="diff-highlight"/>
          <w:rFonts w:ascii="Times New Roman" w:hAnsi="Times New Roman" w:cs="Times New Roman"/>
          <w:sz w:val="24"/>
          <w:shd w:val="clear" w:color="auto" w:fill="FFFFFF"/>
        </w:rPr>
        <w:t>orientates</w:t>
      </w:r>
      <w:r w:rsidRPr="00167AB0">
        <w:rPr>
          <w:rFonts w:ascii="Times New Roman" w:hAnsi="Times New Roman" w:cs="Times New Roman"/>
          <w:sz w:val="24"/>
          <w:shd w:val="clear" w:color="auto" w:fill="FFFFFF"/>
        </w:rPr>
        <w:t xml:space="preserve"> </w:t>
      </w:r>
      <w:r w:rsidRPr="00167AB0">
        <w:rPr>
          <w:rStyle w:val="diff-highlight"/>
          <w:rFonts w:ascii="Times New Roman" w:hAnsi="Times New Roman" w:cs="Times New Roman"/>
          <w:sz w:val="24"/>
          <w:shd w:val="clear" w:color="auto" w:fill="FFFFFF"/>
        </w:rPr>
        <w:t>these</w:t>
      </w:r>
      <w:r w:rsidRPr="00167AB0">
        <w:rPr>
          <w:rFonts w:ascii="Times New Roman" w:hAnsi="Times New Roman" w:cs="Times New Roman"/>
          <w:sz w:val="24"/>
          <w:shd w:val="clear" w:color="auto" w:fill="FFFFFF"/>
        </w:rPr>
        <w:t xml:space="preserve"> asset utilisation metrics</w:t>
      </w:r>
      <w:r w:rsidRPr="00167AB0">
        <w:rPr>
          <w:rStyle w:val="diff-highlight"/>
          <w:rFonts w:ascii="Times New Roman" w:hAnsi="Times New Roman" w:cs="Times New Roman"/>
          <w:sz w:val="24"/>
          <w:shd w:val="clear" w:color="auto" w:fill="FFFFFF"/>
        </w:rPr>
        <w:t>,</w:t>
      </w:r>
      <w:r w:rsidRPr="00167AB0">
        <w:rPr>
          <w:rFonts w:ascii="Times New Roman" w:hAnsi="Times New Roman" w:cs="Times New Roman"/>
          <w:sz w:val="24"/>
          <w:shd w:val="clear" w:color="auto" w:fill="FFFFFF"/>
        </w:rPr>
        <w:t xml:space="preserve"> </w:t>
      </w:r>
      <w:r w:rsidRPr="00167AB0">
        <w:rPr>
          <w:rStyle w:val="diff-highlight"/>
          <w:rFonts w:ascii="Times New Roman" w:hAnsi="Times New Roman" w:cs="Times New Roman"/>
          <w:sz w:val="24"/>
          <w:shd w:val="clear" w:color="auto" w:fill="FFFFFF"/>
        </w:rPr>
        <w:t>which</w:t>
      </w:r>
      <w:r w:rsidRPr="00167AB0">
        <w:rPr>
          <w:rFonts w:ascii="Times New Roman" w:hAnsi="Times New Roman" w:cs="Times New Roman"/>
          <w:sz w:val="24"/>
          <w:shd w:val="clear" w:color="auto" w:fill="FFFFFF"/>
        </w:rPr>
        <w:t xml:space="preserve"> </w:t>
      </w:r>
      <w:r w:rsidRPr="00167AB0">
        <w:rPr>
          <w:rStyle w:val="diff-highlight"/>
          <w:rFonts w:ascii="Times New Roman" w:hAnsi="Times New Roman" w:cs="Times New Roman"/>
          <w:sz w:val="24"/>
          <w:shd w:val="clear" w:color="auto" w:fill="FFFFFF"/>
        </w:rPr>
        <w:t>measure</w:t>
      </w:r>
      <w:r w:rsidRPr="00167AB0">
        <w:rPr>
          <w:rFonts w:ascii="Times New Roman" w:hAnsi="Times New Roman" w:cs="Times New Roman"/>
          <w:sz w:val="24"/>
          <w:shd w:val="clear" w:color="auto" w:fill="FFFFFF"/>
        </w:rPr>
        <w:t xml:space="preserve"> BT’s fibre rollout efficiency</w:t>
      </w:r>
      <w:r w:rsidRPr="00167AB0">
        <w:rPr>
          <w:rStyle w:val="diff-highlight"/>
          <w:rFonts w:ascii="Times New Roman" w:hAnsi="Times New Roman" w:cs="Times New Roman"/>
          <w:sz w:val="24"/>
          <w:shd w:val="clear" w:color="auto" w:fill="FFFFFF"/>
        </w:rPr>
        <w:t xml:space="preserve"> as</w:t>
      </w:r>
      <w:r w:rsidRPr="00167AB0">
        <w:rPr>
          <w:rFonts w:ascii="Times New Roman" w:hAnsi="Times New Roman" w:cs="Times New Roman"/>
          <w:sz w:val="24"/>
          <w:shd w:val="clear" w:color="auto" w:fill="FFFFFF"/>
        </w:rPr>
        <w:t xml:space="preserve"> against</w:t>
      </w:r>
      <w:r w:rsidRPr="00167AB0">
        <w:rPr>
          <w:rStyle w:val="diff-highlight"/>
          <w:rFonts w:ascii="Times New Roman" w:hAnsi="Times New Roman" w:cs="Times New Roman"/>
          <w:sz w:val="24"/>
          <w:shd w:val="clear" w:color="auto" w:fill="FFFFFF"/>
        </w:rPr>
        <w:t xml:space="preserve"> the</w:t>
      </w:r>
      <w:r w:rsidRPr="00167AB0">
        <w:rPr>
          <w:rFonts w:ascii="Times New Roman" w:hAnsi="Times New Roman" w:cs="Times New Roman"/>
          <w:sz w:val="24"/>
          <w:shd w:val="clear" w:color="auto" w:fill="FFFFFF"/>
        </w:rPr>
        <w:t xml:space="preserve"> input</w:t>
      </w:r>
      <w:r w:rsidRPr="00167AB0">
        <w:rPr>
          <w:rStyle w:val="diff-highlight"/>
          <w:rFonts w:ascii="Times New Roman" w:hAnsi="Times New Roman" w:cs="Times New Roman"/>
          <w:sz w:val="24"/>
          <w:shd w:val="clear" w:color="auto" w:fill="FFFFFF"/>
        </w:rPr>
        <w:t>–</w:t>
      </w:r>
      <w:r w:rsidRPr="00167AB0">
        <w:rPr>
          <w:rFonts w:ascii="Times New Roman" w:hAnsi="Times New Roman" w:cs="Times New Roman"/>
          <w:sz w:val="24"/>
          <w:shd w:val="clear" w:color="auto" w:fill="FFFFFF"/>
        </w:rPr>
        <w:t xml:space="preserve">output transformation </w:t>
      </w:r>
      <w:r w:rsidRPr="00167AB0">
        <w:rPr>
          <w:rStyle w:val="diff-highlight"/>
          <w:rFonts w:ascii="Times New Roman" w:hAnsi="Times New Roman" w:cs="Times New Roman"/>
          <w:sz w:val="24"/>
          <w:shd w:val="clear" w:color="auto" w:fill="FFFFFF"/>
        </w:rPr>
        <w:t>metrics</w:t>
      </w:r>
      <w:r w:rsidRPr="00167AB0">
        <w:rPr>
          <w:rFonts w:ascii="Times New Roman" w:hAnsi="Times New Roman" w:cs="Times New Roman"/>
          <w:sz w:val="24"/>
          <w:shd w:val="clear" w:color="auto" w:fill="FFFFFF"/>
        </w:rPr>
        <w:t>.</w:t>
      </w:r>
    </w:p>
    <w:p w:rsidR="00D5652B" w:rsidRDefault="00D5652B" w:rsidP="0088378B">
      <w:pPr>
        <w:spacing w:line="360" w:lineRule="auto"/>
        <w:jc w:val="both"/>
        <w:rPr>
          <w:rFonts w:ascii="Times New Roman" w:hAnsi="Times New Roman" w:cs="Times New Roman"/>
          <w:sz w:val="24"/>
          <w:shd w:val="clear" w:color="auto" w:fill="FFFFFF"/>
        </w:rPr>
      </w:pPr>
      <w:r w:rsidRPr="00D5652B">
        <w:rPr>
          <w:rFonts w:ascii="Times New Roman" w:hAnsi="Times New Roman" w:cs="Times New Roman"/>
          <w:b/>
          <w:sz w:val="24"/>
          <w:shd w:val="clear" w:color="auto" w:fill="FFFFFF"/>
        </w:rPr>
        <w:t>Investor Performance</w:t>
      </w:r>
      <w:r>
        <w:rPr>
          <w:rFonts w:ascii="Times New Roman" w:hAnsi="Times New Roman" w:cs="Times New Roman"/>
          <w:b/>
          <w:sz w:val="24"/>
          <w:shd w:val="clear" w:color="auto" w:fill="FFFFFF"/>
        </w:rPr>
        <w:t>: -</w:t>
      </w:r>
      <w:r w:rsidRPr="00D5652B">
        <w:rPr>
          <w:rStyle w:val="diff-highlight"/>
          <w:rFonts w:ascii="Times New Roman" w:hAnsi="Times New Roman" w:cs="Times New Roman"/>
          <w:sz w:val="24"/>
          <w:shd w:val="clear" w:color="auto" w:fill="FFFFFF"/>
        </w:rPr>
        <w:t xml:space="preserve"> </w:t>
      </w:r>
      <w:r w:rsidRPr="00D5652B">
        <w:rPr>
          <w:rFonts w:ascii="Times New Roman" w:hAnsi="Times New Roman" w:cs="Times New Roman"/>
          <w:sz w:val="24"/>
          <w:shd w:val="clear" w:color="auto" w:fill="FFFFFF"/>
        </w:rPr>
        <w:t xml:space="preserve">Walsh’s (2008) investor ratio framework assesses total shareholder return (TSR), </w:t>
      </w:r>
      <w:r w:rsidRPr="00D5652B">
        <w:rPr>
          <w:rStyle w:val="diff-highlight"/>
          <w:rFonts w:ascii="Times New Roman" w:hAnsi="Times New Roman" w:cs="Times New Roman"/>
          <w:sz w:val="24"/>
          <w:shd w:val="clear" w:color="auto" w:fill="FFFFFF"/>
        </w:rPr>
        <w:t xml:space="preserve">with </w:t>
      </w:r>
      <w:r w:rsidRPr="00D5652B">
        <w:rPr>
          <w:rFonts w:ascii="Times New Roman" w:hAnsi="Times New Roman" w:cs="Times New Roman"/>
          <w:sz w:val="24"/>
          <w:shd w:val="clear" w:color="auto" w:fill="FFFFFF"/>
        </w:rPr>
        <w:t>Market metrics (P/E, dividend yield)</w:t>
      </w:r>
      <w:r w:rsidRPr="00D5652B">
        <w:rPr>
          <w:rStyle w:val="diff-highlight"/>
          <w:rFonts w:ascii="Times New Roman" w:hAnsi="Times New Roman" w:cs="Times New Roman"/>
          <w:sz w:val="24"/>
          <w:shd w:val="clear" w:color="auto" w:fill="FFFFFF"/>
        </w:rPr>
        <w:t xml:space="preserve"> </w:t>
      </w:r>
      <w:r w:rsidRPr="00D5652B">
        <w:rPr>
          <w:rFonts w:ascii="Times New Roman" w:hAnsi="Times New Roman" w:cs="Times New Roman"/>
          <w:sz w:val="24"/>
          <w:shd w:val="clear" w:color="auto" w:fill="FFFFFF"/>
        </w:rPr>
        <w:t xml:space="preserve">Fundamental value </w:t>
      </w:r>
      <w:r w:rsidRPr="00D5652B">
        <w:rPr>
          <w:rStyle w:val="diff-highlight"/>
          <w:rFonts w:ascii="Times New Roman" w:hAnsi="Times New Roman" w:cs="Times New Roman"/>
          <w:sz w:val="24"/>
          <w:shd w:val="clear" w:color="auto" w:fill="FFFFFF"/>
        </w:rPr>
        <w:t>indicators</w:t>
      </w:r>
      <w:r w:rsidRPr="00D5652B">
        <w:rPr>
          <w:rFonts w:ascii="Times New Roman" w:hAnsi="Times New Roman" w:cs="Times New Roman"/>
          <w:sz w:val="24"/>
          <w:shd w:val="clear" w:color="auto" w:fill="FFFFFF"/>
        </w:rPr>
        <w:t xml:space="preserve"> (ROE, EPS growth)</w:t>
      </w:r>
      <w:r>
        <w:rPr>
          <w:rFonts w:ascii="Times New Roman" w:hAnsi="Times New Roman" w:cs="Times New Roman"/>
          <w:sz w:val="24"/>
          <w:shd w:val="clear" w:color="auto" w:fill="FFFFFF"/>
        </w:rPr>
        <w:t>.</w:t>
      </w:r>
    </w:p>
    <w:p w:rsidR="00D5652B" w:rsidRDefault="00D5652B" w:rsidP="0088378B">
      <w:pPr>
        <w:spacing w:line="360" w:lineRule="auto"/>
        <w:jc w:val="both"/>
        <w:rPr>
          <w:rFonts w:ascii="Times New Roman" w:hAnsi="Times New Roman" w:cs="Times New Roman"/>
          <w:sz w:val="24"/>
          <w:shd w:val="clear" w:color="auto" w:fill="FFFFFF"/>
        </w:rPr>
      </w:pPr>
      <w:r w:rsidRPr="00D5652B">
        <w:rPr>
          <w:rFonts w:ascii="Times New Roman" w:hAnsi="Times New Roman" w:cs="Times New Roman"/>
          <w:b/>
          <w:sz w:val="24"/>
          <w:shd w:val="clear" w:color="auto" w:fill="FFFFFF"/>
        </w:rPr>
        <w:t>Contextual Limitations</w:t>
      </w:r>
      <w:r>
        <w:rPr>
          <w:rFonts w:ascii="Times New Roman" w:hAnsi="Times New Roman" w:cs="Times New Roman"/>
          <w:b/>
          <w:sz w:val="24"/>
          <w:shd w:val="clear" w:color="auto" w:fill="FFFFFF"/>
        </w:rPr>
        <w:t>: -</w:t>
      </w:r>
      <w:r w:rsidRPr="00D5652B">
        <w:rPr>
          <w:rStyle w:val="diff-highlight"/>
          <w:rFonts w:ascii="Times New Roman" w:hAnsi="Times New Roman" w:cs="Times New Roman"/>
          <w:sz w:val="24"/>
          <w:shd w:val="clear" w:color="auto" w:fill="FFFFFF"/>
        </w:rPr>
        <w:t xml:space="preserve"> </w:t>
      </w:r>
      <w:r w:rsidRPr="00D5652B">
        <w:rPr>
          <w:rFonts w:ascii="Times New Roman" w:hAnsi="Times New Roman" w:cs="Times New Roman"/>
          <w:sz w:val="24"/>
          <w:shd w:val="clear" w:color="auto" w:fill="FFFFFF"/>
        </w:rPr>
        <w:t xml:space="preserve">Bhimani’s (2022) financial models </w:t>
      </w:r>
      <w:r w:rsidRPr="00D5652B">
        <w:rPr>
          <w:rStyle w:val="diff-highlight"/>
          <w:rFonts w:ascii="Times New Roman" w:hAnsi="Times New Roman" w:cs="Times New Roman"/>
          <w:sz w:val="24"/>
          <w:shd w:val="clear" w:color="auto" w:fill="FFFFFF"/>
        </w:rPr>
        <w:t>for</w:t>
      </w:r>
      <w:r w:rsidRPr="00D5652B">
        <w:rPr>
          <w:rFonts w:ascii="Times New Roman" w:hAnsi="Times New Roman" w:cs="Times New Roman"/>
          <w:sz w:val="24"/>
          <w:shd w:val="clear" w:color="auto" w:fill="FFFFFF"/>
        </w:rPr>
        <w:t xml:space="preserve"> </w:t>
      </w:r>
      <w:r w:rsidRPr="00D5652B">
        <w:rPr>
          <w:rStyle w:val="diff-highlight"/>
          <w:rFonts w:ascii="Times New Roman" w:hAnsi="Times New Roman" w:cs="Times New Roman"/>
          <w:sz w:val="24"/>
          <w:shd w:val="clear" w:color="auto" w:fill="FFFFFF"/>
        </w:rPr>
        <w:t>the</w:t>
      </w:r>
      <w:r w:rsidRPr="00D5652B">
        <w:rPr>
          <w:rFonts w:ascii="Times New Roman" w:hAnsi="Times New Roman" w:cs="Times New Roman"/>
          <w:sz w:val="24"/>
          <w:shd w:val="clear" w:color="auto" w:fill="FFFFFF"/>
        </w:rPr>
        <w:t xml:space="preserve"> technology </w:t>
      </w:r>
      <w:r w:rsidRPr="00D5652B">
        <w:rPr>
          <w:rStyle w:val="diff-highlight"/>
          <w:rFonts w:ascii="Times New Roman" w:hAnsi="Times New Roman" w:cs="Times New Roman"/>
          <w:sz w:val="24"/>
          <w:shd w:val="clear" w:color="auto" w:fill="FFFFFF"/>
        </w:rPr>
        <w:t>sector</w:t>
      </w:r>
      <w:r w:rsidRPr="00D5652B">
        <w:rPr>
          <w:rFonts w:ascii="Times New Roman" w:hAnsi="Times New Roman" w:cs="Times New Roman"/>
          <w:sz w:val="24"/>
          <w:shd w:val="clear" w:color="auto" w:fill="FFFFFF"/>
        </w:rPr>
        <w:t xml:space="preserve"> and Horngren et al.’s (2019)</w:t>
      </w:r>
      <w:r w:rsidRPr="00D5652B">
        <w:rPr>
          <w:rStyle w:val="diff-highlight"/>
          <w:rFonts w:ascii="Times New Roman" w:hAnsi="Times New Roman" w:cs="Times New Roman"/>
          <w:sz w:val="24"/>
          <w:shd w:val="clear" w:color="auto" w:fill="FFFFFF"/>
        </w:rPr>
        <w:t xml:space="preserve"> standards for</w:t>
      </w:r>
      <w:r w:rsidRPr="00D5652B">
        <w:rPr>
          <w:rFonts w:ascii="Times New Roman" w:hAnsi="Times New Roman" w:cs="Times New Roman"/>
          <w:sz w:val="24"/>
          <w:shd w:val="clear" w:color="auto" w:fill="FFFFFF"/>
        </w:rPr>
        <w:t xml:space="preserve"> cost accounting address:</w:t>
      </w:r>
      <w:r w:rsidRPr="00D5652B">
        <w:rPr>
          <w:rStyle w:val="diff-highlight"/>
          <w:rFonts w:ascii="Times New Roman" w:hAnsi="Times New Roman" w:cs="Times New Roman"/>
          <w:sz w:val="24"/>
          <w:shd w:val="clear" w:color="auto" w:fill="FFFFFF"/>
        </w:rPr>
        <w:t xml:space="preserve"> </w:t>
      </w:r>
      <w:r w:rsidRPr="00D5652B">
        <w:rPr>
          <w:rFonts w:ascii="Times New Roman" w:hAnsi="Times New Roman" w:cs="Times New Roman"/>
          <w:sz w:val="24"/>
          <w:shd w:val="clear" w:color="auto" w:fill="FFFFFF"/>
        </w:rPr>
        <w:t>IFRS 16</w:t>
      </w:r>
      <w:r w:rsidRPr="00D5652B">
        <w:rPr>
          <w:rStyle w:val="diff-highlight"/>
          <w:rFonts w:ascii="Times New Roman" w:hAnsi="Times New Roman" w:cs="Times New Roman"/>
          <w:sz w:val="24"/>
          <w:shd w:val="clear" w:color="auto" w:fill="FFFFFF"/>
        </w:rPr>
        <w:t xml:space="preserve"> </w:t>
      </w:r>
      <w:r w:rsidR="00D5074F">
        <w:rPr>
          <w:rStyle w:val="diff-highlight"/>
          <w:rFonts w:ascii="Times New Roman" w:hAnsi="Times New Roman" w:cs="Times New Roman"/>
          <w:sz w:val="24"/>
          <w:shd w:val="clear" w:color="auto" w:fill="FFFFFF"/>
        </w:rPr>
        <w:t>ratios</w:t>
      </w:r>
      <w:r w:rsidRPr="00D5652B">
        <w:rPr>
          <w:rStyle w:val="diff-highlight"/>
          <w:rFonts w:ascii="Times New Roman" w:hAnsi="Times New Roman" w:cs="Times New Roman"/>
          <w:sz w:val="24"/>
          <w:shd w:val="clear" w:color="auto" w:fill="FFFFFF"/>
        </w:rPr>
        <w:t xml:space="preserve"> in</w:t>
      </w:r>
      <w:r w:rsidRPr="00D5652B">
        <w:rPr>
          <w:rFonts w:ascii="Times New Roman" w:hAnsi="Times New Roman" w:cs="Times New Roman"/>
          <w:sz w:val="24"/>
          <w:shd w:val="clear" w:color="auto" w:fill="FFFFFF"/>
        </w:rPr>
        <w:t xml:space="preserve"> lease accounting</w:t>
      </w:r>
      <w:r w:rsidRPr="00D5652B">
        <w:rPr>
          <w:rStyle w:val="diff-highlight"/>
          <w:rFonts w:ascii="Times New Roman" w:hAnsi="Times New Roman" w:cs="Times New Roman"/>
          <w:sz w:val="24"/>
          <w:shd w:val="clear" w:color="auto" w:fill="FFFFFF"/>
        </w:rPr>
        <w:t xml:space="preserve"> Volatility</w:t>
      </w:r>
      <w:r w:rsidRPr="00D5652B">
        <w:rPr>
          <w:rFonts w:ascii="Times New Roman" w:hAnsi="Times New Roman" w:cs="Times New Roman"/>
          <w:sz w:val="24"/>
          <w:shd w:val="clear" w:color="auto" w:fill="FFFFFF"/>
        </w:rPr>
        <w:t xml:space="preserve"> </w:t>
      </w:r>
      <w:r w:rsidRPr="00D5652B">
        <w:rPr>
          <w:rStyle w:val="diff-highlight"/>
          <w:rFonts w:ascii="Times New Roman" w:hAnsi="Times New Roman" w:cs="Times New Roman"/>
          <w:sz w:val="24"/>
          <w:shd w:val="clear" w:color="auto" w:fill="FFFFFF"/>
        </w:rPr>
        <w:t>in</w:t>
      </w:r>
      <w:r w:rsidRPr="00D5652B">
        <w:rPr>
          <w:rFonts w:ascii="Times New Roman" w:hAnsi="Times New Roman" w:cs="Times New Roman"/>
          <w:sz w:val="24"/>
          <w:shd w:val="clear" w:color="auto" w:fill="FFFFFF"/>
        </w:rPr>
        <w:t xml:space="preserve"> </w:t>
      </w:r>
      <w:r w:rsidRPr="00D5652B">
        <w:rPr>
          <w:rStyle w:val="diff-highlight"/>
          <w:rFonts w:ascii="Times New Roman" w:hAnsi="Times New Roman" w:cs="Times New Roman"/>
          <w:sz w:val="24"/>
          <w:shd w:val="clear" w:color="auto" w:fill="FFFFFF"/>
        </w:rPr>
        <w:t>pension</w:t>
      </w:r>
      <w:r w:rsidRPr="00D5652B">
        <w:rPr>
          <w:rFonts w:ascii="Times New Roman" w:hAnsi="Times New Roman" w:cs="Times New Roman"/>
          <w:sz w:val="24"/>
          <w:shd w:val="clear" w:color="auto" w:fill="FFFFFF"/>
        </w:rPr>
        <w:t xml:space="preserve"> </w:t>
      </w:r>
      <w:r w:rsidRPr="00D5652B">
        <w:rPr>
          <w:rStyle w:val="diff-highlight"/>
          <w:rFonts w:ascii="Times New Roman" w:hAnsi="Times New Roman" w:cs="Times New Roman"/>
          <w:sz w:val="24"/>
          <w:shd w:val="clear" w:color="auto" w:fill="FFFFFF"/>
        </w:rPr>
        <w:t xml:space="preserve">liabilities </w:t>
      </w:r>
      <w:r w:rsidRPr="00D5652B">
        <w:rPr>
          <w:rFonts w:ascii="Times New Roman" w:hAnsi="Times New Roman" w:cs="Times New Roman"/>
          <w:sz w:val="24"/>
          <w:shd w:val="clear" w:color="auto" w:fill="FFFFFF"/>
        </w:rPr>
        <w:t>Macroeconomic interference (Kersten et al., 2017)</w:t>
      </w:r>
    </w:p>
    <w:p w:rsidR="00283F71" w:rsidRPr="00283F71" w:rsidRDefault="00283F71" w:rsidP="0088378B">
      <w:pPr>
        <w:spacing w:line="360" w:lineRule="auto"/>
        <w:jc w:val="both"/>
        <w:rPr>
          <w:rFonts w:ascii="Times New Roman" w:hAnsi="Times New Roman" w:cs="Times New Roman"/>
          <w:b/>
          <w:sz w:val="24"/>
          <w:shd w:val="clear" w:color="auto" w:fill="FFFFFF"/>
        </w:rPr>
      </w:pPr>
      <w:r w:rsidRPr="00283F71">
        <w:rPr>
          <w:rFonts w:ascii="Times New Roman" w:hAnsi="Times New Roman" w:cs="Times New Roman"/>
          <w:b/>
          <w:sz w:val="24"/>
          <w:shd w:val="clear" w:color="auto" w:fill="FFFFFF"/>
        </w:rPr>
        <w:t xml:space="preserve">Task 2 </w:t>
      </w:r>
    </w:p>
    <w:p w:rsidR="00283F71" w:rsidRDefault="00283F71" w:rsidP="0088378B">
      <w:pPr>
        <w:spacing w:line="360" w:lineRule="auto"/>
        <w:jc w:val="both"/>
        <w:rPr>
          <w:rFonts w:ascii="Times New Roman" w:hAnsi="Times New Roman" w:cs="Times New Roman"/>
          <w:sz w:val="24"/>
          <w:shd w:val="clear" w:color="auto" w:fill="FFFFFF"/>
        </w:rPr>
      </w:pPr>
      <w:r w:rsidRPr="00A65CE1">
        <w:rPr>
          <w:rFonts w:ascii="Times New Roman" w:hAnsi="Times New Roman" w:cs="Times New Roman"/>
          <w:sz w:val="24"/>
          <w:shd w:val="clear" w:color="auto" w:fill="FFFFFF"/>
        </w:rPr>
        <w:t>The analysis uses discounted cash flow (DCF) methods to evaluate accurate potential investment opportunities for the firm Jordons Plc. In terms of evaluating investment projects, we will concentrate on Internal Rate of Return (IRR) and Net Present Value (NPV). We have assumed a cost of capital of 6%, which reflects the unique risk factor associated with work for Jordons Plc (Brealey, Myers, and Allen, 2020).</w:t>
      </w:r>
    </w:p>
    <w:p w:rsidR="00283F71" w:rsidRDefault="00283F71" w:rsidP="0088378B">
      <w:pPr>
        <w:spacing w:line="360" w:lineRule="auto"/>
        <w:jc w:val="both"/>
        <w:rPr>
          <w:rFonts w:ascii="Times New Roman" w:hAnsi="Times New Roman" w:cs="Times New Roman"/>
          <w:sz w:val="24"/>
          <w:shd w:val="clear" w:color="auto" w:fill="FFFFFF"/>
        </w:rPr>
      </w:pPr>
      <w:r w:rsidRPr="00A65CE1">
        <w:rPr>
          <w:rFonts w:ascii="Times New Roman" w:hAnsi="Times New Roman" w:cs="Times New Roman"/>
          <w:sz w:val="24"/>
          <w:shd w:val="clear" w:color="auto" w:fill="FFFFFF"/>
        </w:rPr>
        <w:t xml:space="preserve">After-tax cash flows take into account the 25% corporate tax rate and the 20% straight-line capital allowances that the company will fully use over four years (Atrill and McLaney, 2021). When capital </w:t>
      </w:r>
      <w:r>
        <w:rPr>
          <w:rFonts w:ascii="Times New Roman" w:hAnsi="Times New Roman" w:cs="Times New Roman"/>
          <w:sz w:val="24"/>
          <w:shd w:val="clear" w:color="auto" w:fill="FFFFFF"/>
        </w:rPr>
        <w:t>is limited</w:t>
      </w:r>
      <w:r w:rsidRPr="00A65CE1">
        <w:rPr>
          <w:rFonts w:ascii="Times New Roman" w:hAnsi="Times New Roman" w:cs="Times New Roman"/>
          <w:sz w:val="24"/>
          <w:shd w:val="clear" w:color="auto" w:fill="FFFFFF"/>
        </w:rPr>
        <w:t>, the Profitability Index (PI = NPV/Investment) helps rank projects for divisible investments. The PI helps boost the business's wealth (Arnold and Lewis, 2019).</w:t>
      </w:r>
    </w:p>
    <w:p w:rsidR="00283F71" w:rsidRDefault="00283F71" w:rsidP="0088378B">
      <w:pPr>
        <w:spacing w:line="360" w:lineRule="auto"/>
        <w:jc w:val="both"/>
        <w:rPr>
          <w:rFonts w:ascii="Times New Roman" w:hAnsi="Times New Roman" w:cs="Times New Roman"/>
          <w:sz w:val="24"/>
          <w:shd w:val="clear" w:color="auto" w:fill="FFFFFF"/>
        </w:rPr>
      </w:pPr>
      <w:r w:rsidRPr="00A65CE1">
        <w:rPr>
          <w:rFonts w:ascii="Times New Roman" w:hAnsi="Times New Roman" w:cs="Times New Roman"/>
          <w:sz w:val="24"/>
          <w:shd w:val="clear" w:color="auto" w:fill="FFFFFF"/>
        </w:rPr>
        <w:t>While DCF gives us the core financial view, other things are also considered. These include how well the project fits the company's strategy, market uncertainty, and how doable it is from an operations point of view. This is to make accounting for the fact that numbers do not tell the whole story (Drury, 2018). By putting together financial models and business knowledge, this study gets a well-rounded view of the DCF assessment.</w:t>
      </w:r>
    </w:p>
    <w:p w:rsidR="00AD078D" w:rsidRPr="00153CA5" w:rsidRDefault="00D5652B" w:rsidP="0088378B">
      <w:pPr>
        <w:pStyle w:val="Heading1"/>
        <w:spacing w:line="360" w:lineRule="auto"/>
        <w:jc w:val="both"/>
        <w:rPr>
          <w:rFonts w:ascii="Times New Roman" w:hAnsi="Times New Roman" w:cs="Times New Roman"/>
          <w:b/>
          <w:color w:val="auto"/>
        </w:rPr>
      </w:pPr>
      <w:bookmarkStart w:id="5" w:name="_Toc203646844"/>
      <w:bookmarkStart w:id="6" w:name="_Toc203731974"/>
      <w:r w:rsidRPr="00D5652B">
        <w:rPr>
          <w:rFonts w:ascii="Times New Roman" w:hAnsi="Times New Roman" w:cs="Times New Roman"/>
          <w:b/>
          <w:color w:val="auto"/>
        </w:rPr>
        <w:t>Financial ratio Analysis</w:t>
      </w:r>
      <w:r w:rsidR="004A638D">
        <w:rPr>
          <w:rFonts w:ascii="Times New Roman" w:hAnsi="Times New Roman" w:cs="Times New Roman"/>
          <w:b/>
          <w:color w:val="auto"/>
        </w:rPr>
        <w:t xml:space="preserve"> with explanation</w:t>
      </w:r>
      <w:bookmarkEnd w:id="5"/>
      <w:bookmarkEnd w:id="6"/>
      <w:r w:rsidR="004A638D">
        <w:rPr>
          <w:rFonts w:ascii="Times New Roman" w:hAnsi="Times New Roman" w:cs="Times New Roman"/>
          <w:b/>
          <w:color w:val="auto"/>
        </w:rPr>
        <w:t xml:space="preserve"> </w:t>
      </w:r>
    </w:p>
    <w:p w:rsidR="00721240" w:rsidRPr="00B97900" w:rsidRDefault="00721240" w:rsidP="0088378B">
      <w:pPr>
        <w:spacing w:line="360" w:lineRule="auto"/>
        <w:jc w:val="both"/>
        <w:rPr>
          <w:rFonts w:ascii="Times New Roman" w:hAnsi="Times New Roman" w:cs="Times New Roman"/>
          <w:sz w:val="24"/>
        </w:rPr>
      </w:pPr>
      <w:r w:rsidRPr="00721240">
        <w:rPr>
          <w:rFonts w:ascii="Times New Roman" w:hAnsi="Times New Roman" w:cs="Times New Roman"/>
          <w:b/>
          <w:sz w:val="24"/>
        </w:rPr>
        <w:t xml:space="preserve">1. </w:t>
      </w:r>
      <w:r w:rsidRPr="00153CA5">
        <w:rPr>
          <w:rFonts w:ascii="Times New Roman" w:hAnsi="Times New Roman" w:cs="Times New Roman"/>
          <w:b/>
          <w:sz w:val="24"/>
        </w:rPr>
        <w:t>Profitability</w:t>
      </w:r>
      <w:r w:rsidR="00AD078D" w:rsidRPr="00153CA5">
        <w:rPr>
          <w:rFonts w:ascii="Times New Roman" w:hAnsi="Times New Roman" w:cs="Times New Roman"/>
          <w:b/>
          <w:sz w:val="24"/>
        </w:rPr>
        <w:t>: -</w:t>
      </w:r>
      <w:r w:rsidRPr="00153CA5">
        <w:rPr>
          <w:rFonts w:ascii="Times New Roman" w:hAnsi="Times New Roman" w:cs="Times New Roman"/>
          <w:b/>
          <w:sz w:val="24"/>
        </w:rPr>
        <w:t xml:space="preserve"> </w:t>
      </w:r>
      <w:r w:rsidR="00A63A5C" w:rsidRPr="00A63A5C">
        <w:rPr>
          <w:rFonts w:ascii="Times New Roman" w:hAnsi="Times New Roman" w:cs="Times New Roman"/>
          <w:sz w:val="24"/>
        </w:rPr>
        <w:t>Profitability ratios are used to see how well a business makes money from its income, costs, and assets over a certain time. These ratios show how good a firm is at turning what it does into profit. They are key to seeing how well it</w:t>
      </w:r>
      <w:r w:rsidR="00A63A5C">
        <w:rPr>
          <w:rFonts w:ascii="Times New Roman" w:hAnsi="Times New Roman" w:cs="Times New Roman"/>
          <w:sz w:val="24"/>
        </w:rPr>
        <w:t xml:space="preserve"> works, how healthy it is money </w:t>
      </w:r>
      <w:r w:rsidR="00A63A5C" w:rsidRPr="00A63A5C">
        <w:rPr>
          <w:rFonts w:ascii="Times New Roman" w:hAnsi="Times New Roman" w:cs="Times New Roman"/>
          <w:sz w:val="24"/>
        </w:rPr>
        <w:t>wise, and if it can last in the end (Srinivasan, 2025). Some common ones are net profit margin, return on assets (ROA), and return on equity (ROE). Together, they check how well a company is doing in making, running, and investing (C</w:t>
      </w:r>
      <w:r w:rsidR="00B97900">
        <w:rPr>
          <w:rFonts w:ascii="Times New Roman" w:hAnsi="Times New Roman" w:cs="Times New Roman"/>
          <w:sz w:val="24"/>
        </w:rPr>
        <w:t>orporate Finance Institute</w:t>
      </w:r>
      <w:r w:rsidR="00A63A5C" w:rsidRPr="00A63A5C">
        <w:rPr>
          <w:rFonts w:ascii="Times New Roman" w:hAnsi="Times New Roman" w:cs="Times New Roman"/>
          <w:sz w:val="24"/>
        </w:rPr>
        <w:t>).</w:t>
      </w:r>
    </w:p>
    <w:tbl>
      <w:tblPr>
        <w:tblStyle w:val="TableGrid"/>
        <w:tblW w:w="0" w:type="auto"/>
        <w:tblLook w:val="04A0" w:firstRow="1" w:lastRow="0" w:firstColumn="1" w:lastColumn="0" w:noHBand="0" w:noVBand="1"/>
      </w:tblPr>
      <w:tblGrid>
        <w:gridCol w:w="2254"/>
        <w:gridCol w:w="1852"/>
        <w:gridCol w:w="2126"/>
        <w:gridCol w:w="2784"/>
      </w:tblGrid>
      <w:tr w:rsidR="00721240" w:rsidTr="00721240">
        <w:tc>
          <w:tcPr>
            <w:tcW w:w="2254" w:type="dxa"/>
          </w:tcPr>
          <w:p w:rsidR="00721240" w:rsidRPr="00AD078D" w:rsidRDefault="00721240" w:rsidP="0088378B">
            <w:pPr>
              <w:spacing w:line="360" w:lineRule="auto"/>
              <w:rPr>
                <w:rFonts w:ascii="Times New Roman" w:hAnsi="Times New Roman" w:cs="Times New Roman"/>
                <w:b/>
                <w:sz w:val="24"/>
              </w:rPr>
            </w:pPr>
            <w:r w:rsidRPr="00AD078D">
              <w:rPr>
                <w:rFonts w:ascii="Times New Roman" w:hAnsi="Times New Roman" w:cs="Times New Roman"/>
                <w:b/>
                <w:sz w:val="24"/>
              </w:rPr>
              <w:t>Name of ratio</w:t>
            </w:r>
          </w:p>
        </w:tc>
        <w:tc>
          <w:tcPr>
            <w:tcW w:w="1852" w:type="dxa"/>
          </w:tcPr>
          <w:p w:rsidR="00721240" w:rsidRPr="00AD078D" w:rsidRDefault="00721240" w:rsidP="0088378B">
            <w:pPr>
              <w:spacing w:line="360" w:lineRule="auto"/>
              <w:rPr>
                <w:rFonts w:ascii="Times New Roman" w:hAnsi="Times New Roman" w:cs="Times New Roman"/>
                <w:b/>
                <w:sz w:val="24"/>
              </w:rPr>
            </w:pPr>
            <w:r w:rsidRPr="00AD078D">
              <w:rPr>
                <w:rFonts w:ascii="Times New Roman" w:hAnsi="Times New Roman" w:cs="Times New Roman"/>
                <w:b/>
                <w:sz w:val="24"/>
              </w:rPr>
              <w:t>FY 2023</w:t>
            </w:r>
          </w:p>
        </w:tc>
        <w:tc>
          <w:tcPr>
            <w:tcW w:w="2126" w:type="dxa"/>
          </w:tcPr>
          <w:p w:rsidR="00721240" w:rsidRPr="00AD078D" w:rsidRDefault="00721240" w:rsidP="0088378B">
            <w:pPr>
              <w:spacing w:line="360" w:lineRule="auto"/>
              <w:rPr>
                <w:rFonts w:ascii="Times New Roman" w:hAnsi="Times New Roman" w:cs="Times New Roman"/>
                <w:b/>
                <w:sz w:val="24"/>
              </w:rPr>
            </w:pPr>
            <w:r w:rsidRPr="00AD078D">
              <w:rPr>
                <w:rFonts w:ascii="Times New Roman" w:hAnsi="Times New Roman" w:cs="Times New Roman"/>
                <w:b/>
                <w:sz w:val="24"/>
              </w:rPr>
              <w:t>FY 2024</w:t>
            </w:r>
          </w:p>
        </w:tc>
        <w:tc>
          <w:tcPr>
            <w:tcW w:w="2784" w:type="dxa"/>
          </w:tcPr>
          <w:p w:rsidR="00721240" w:rsidRPr="00AD078D" w:rsidRDefault="00721240" w:rsidP="0088378B">
            <w:pPr>
              <w:spacing w:line="360" w:lineRule="auto"/>
              <w:rPr>
                <w:rFonts w:ascii="Times New Roman" w:hAnsi="Times New Roman" w:cs="Times New Roman"/>
                <w:b/>
                <w:sz w:val="24"/>
              </w:rPr>
            </w:pPr>
            <w:r w:rsidRPr="00AD078D">
              <w:rPr>
                <w:rFonts w:ascii="Times New Roman" w:hAnsi="Times New Roman" w:cs="Times New Roman"/>
                <w:b/>
                <w:sz w:val="24"/>
              </w:rPr>
              <w:t>Change in percentage</w:t>
            </w:r>
          </w:p>
        </w:tc>
      </w:tr>
      <w:tr w:rsidR="00721240" w:rsidTr="00721240">
        <w:tc>
          <w:tcPr>
            <w:tcW w:w="2254" w:type="dxa"/>
          </w:tcPr>
          <w:p w:rsidR="00721240" w:rsidRPr="00AD078D" w:rsidRDefault="00721240" w:rsidP="0088378B">
            <w:pPr>
              <w:spacing w:line="360" w:lineRule="auto"/>
              <w:rPr>
                <w:rFonts w:ascii="Times New Roman" w:hAnsi="Times New Roman" w:cs="Times New Roman"/>
                <w:b/>
                <w:sz w:val="24"/>
              </w:rPr>
            </w:pPr>
            <w:r w:rsidRPr="00AD078D">
              <w:rPr>
                <w:rFonts w:ascii="Times New Roman" w:hAnsi="Times New Roman" w:cs="Times New Roman"/>
                <w:b/>
                <w:sz w:val="24"/>
              </w:rPr>
              <w:t xml:space="preserve">Return on capital employed </w:t>
            </w:r>
          </w:p>
        </w:tc>
        <w:tc>
          <w:tcPr>
            <w:tcW w:w="1852" w:type="dxa"/>
          </w:tcPr>
          <w:p w:rsidR="00721240" w:rsidRPr="000B214B" w:rsidRDefault="000B214B" w:rsidP="0088378B">
            <w:pPr>
              <w:spacing w:line="360" w:lineRule="auto"/>
              <w:rPr>
                <w:rFonts w:ascii="Times New Roman" w:hAnsi="Times New Roman" w:cs="Times New Roman"/>
                <w:sz w:val="24"/>
              </w:rPr>
            </w:pPr>
            <w:r w:rsidRPr="000B214B">
              <w:rPr>
                <w:rFonts w:ascii="Times New Roman" w:hAnsi="Times New Roman" w:cs="Times New Roman"/>
                <w:sz w:val="24"/>
              </w:rPr>
              <w:t>6.18 %</w:t>
            </w:r>
          </w:p>
        </w:tc>
        <w:tc>
          <w:tcPr>
            <w:tcW w:w="2126" w:type="dxa"/>
          </w:tcPr>
          <w:p w:rsidR="000B214B" w:rsidRPr="000B214B" w:rsidRDefault="000B214B" w:rsidP="0088378B">
            <w:pPr>
              <w:spacing w:line="360" w:lineRule="auto"/>
              <w:rPr>
                <w:rFonts w:ascii="Times New Roman" w:hAnsi="Times New Roman" w:cs="Times New Roman"/>
                <w:b/>
                <w:lang w:val="en-IN"/>
              </w:rPr>
            </w:pPr>
            <w:r w:rsidRPr="000B214B">
              <w:rPr>
                <w:rStyle w:val="Strong"/>
                <w:rFonts w:ascii="Times New Roman" w:hAnsi="Times New Roman" w:cs="Times New Roman"/>
                <w:b w:val="0"/>
              </w:rPr>
              <w:t>5.28 %</w:t>
            </w:r>
          </w:p>
          <w:p w:rsidR="00721240" w:rsidRDefault="00721240" w:rsidP="0088378B">
            <w:pPr>
              <w:spacing w:line="360" w:lineRule="auto"/>
              <w:rPr>
                <w:rFonts w:ascii="Times New Roman" w:hAnsi="Times New Roman" w:cs="Times New Roman"/>
                <w:sz w:val="24"/>
              </w:rPr>
            </w:pPr>
          </w:p>
        </w:tc>
        <w:tc>
          <w:tcPr>
            <w:tcW w:w="2784" w:type="dxa"/>
          </w:tcPr>
          <w:p w:rsidR="00721240" w:rsidRDefault="000B214B" w:rsidP="0088378B">
            <w:pPr>
              <w:spacing w:line="360" w:lineRule="auto"/>
              <w:rPr>
                <w:rFonts w:ascii="Times New Roman" w:hAnsi="Times New Roman" w:cs="Times New Roman"/>
                <w:sz w:val="24"/>
              </w:rPr>
            </w:pPr>
            <w:r>
              <w:rPr>
                <w:rFonts w:ascii="Times New Roman" w:hAnsi="Times New Roman" w:cs="Times New Roman"/>
                <w:sz w:val="24"/>
              </w:rPr>
              <w:t>-0.9</w:t>
            </w:r>
            <w:r w:rsidR="006441F0">
              <w:rPr>
                <w:rFonts w:ascii="Times New Roman" w:hAnsi="Times New Roman" w:cs="Times New Roman"/>
                <w:sz w:val="24"/>
              </w:rPr>
              <w:t xml:space="preserve">% </w:t>
            </w:r>
            <w:r>
              <w:rPr>
                <w:rFonts w:ascii="Times New Roman" w:hAnsi="Times New Roman" w:cs="Times New Roman"/>
                <w:sz w:val="24"/>
              </w:rPr>
              <w:t xml:space="preserve"> </w:t>
            </w:r>
          </w:p>
        </w:tc>
      </w:tr>
      <w:tr w:rsidR="00721240" w:rsidTr="00721240">
        <w:tc>
          <w:tcPr>
            <w:tcW w:w="2254" w:type="dxa"/>
          </w:tcPr>
          <w:p w:rsidR="00721240" w:rsidRPr="00AD078D" w:rsidRDefault="00721240" w:rsidP="0088378B">
            <w:pPr>
              <w:spacing w:line="360" w:lineRule="auto"/>
              <w:rPr>
                <w:rFonts w:ascii="Times New Roman" w:hAnsi="Times New Roman" w:cs="Times New Roman"/>
                <w:b/>
                <w:sz w:val="24"/>
              </w:rPr>
            </w:pPr>
            <w:r w:rsidRPr="00AD078D">
              <w:rPr>
                <w:rFonts w:ascii="Times New Roman" w:hAnsi="Times New Roman" w:cs="Times New Roman"/>
                <w:b/>
                <w:sz w:val="24"/>
              </w:rPr>
              <w:t xml:space="preserve">Net profit </w:t>
            </w:r>
          </w:p>
        </w:tc>
        <w:tc>
          <w:tcPr>
            <w:tcW w:w="1852" w:type="dxa"/>
          </w:tcPr>
          <w:p w:rsidR="00721240" w:rsidRDefault="00721240" w:rsidP="0088378B">
            <w:pPr>
              <w:spacing w:line="360" w:lineRule="auto"/>
              <w:rPr>
                <w:rFonts w:ascii="Times New Roman" w:hAnsi="Times New Roman" w:cs="Times New Roman"/>
                <w:sz w:val="24"/>
              </w:rPr>
            </w:pPr>
            <w:r>
              <w:rPr>
                <w:rFonts w:ascii="Times New Roman" w:hAnsi="Times New Roman" w:cs="Times New Roman"/>
                <w:sz w:val="24"/>
              </w:rPr>
              <w:t>9.2%</w:t>
            </w:r>
          </w:p>
        </w:tc>
        <w:tc>
          <w:tcPr>
            <w:tcW w:w="2126" w:type="dxa"/>
          </w:tcPr>
          <w:p w:rsidR="00721240" w:rsidRDefault="009D7339" w:rsidP="0088378B">
            <w:pPr>
              <w:spacing w:line="360" w:lineRule="auto"/>
              <w:rPr>
                <w:rFonts w:ascii="Times New Roman" w:hAnsi="Times New Roman" w:cs="Times New Roman"/>
                <w:sz w:val="24"/>
              </w:rPr>
            </w:pPr>
            <w:r>
              <w:rPr>
                <w:rFonts w:ascii="Times New Roman" w:hAnsi="Times New Roman" w:cs="Times New Roman"/>
                <w:sz w:val="24"/>
              </w:rPr>
              <w:t>4.11%</w:t>
            </w:r>
          </w:p>
        </w:tc>
        <w:tc>
          <w:tcPr>
            <w:tcW w:w="2784" w:type="dxa"/>
          </w:tcPr>
          <w:p w:rsidR="00721240" w:rsidRDefault="006441F0" w:rsidP="0088378B">
            <w:pPr>
              <w:spacing w:line="360" w:lineRule="auto"/>
              <w:rPr>
                <w:rFonts w:ascii="Times New Roman" w:hAnsi="Times New Roman" w:cs="Times New Roman"/>
                <w:sz w:val="24"/>
              </w:rPr>
            </w:pPr>
            <w:r>
              <w:rPr>
                <w:rFonts w:ascii="Times New Roman" w:hAnsi="Times New Roman" w:cs="Times New Roman"/>
                <w:sz w:val="24"/>
              </w:rPr>
              <w:t xml:space="preserve">-5.09%  </w:t>
            </w:r>
          </w:p>
        </w:tc>
      </w:tr>
      <w:tr w:rsidR="00721240" w:rsidTr="006441F0">
        <w:trPr>
          <w:trHeight w:val="416"/>
        </w:trPr>
        <w:tc>
          <w:tcPr>
            <w:tcW w:w="2254" w:type="dxa"/>
          </w:tcPr>
          <w:p w:rsidR="00721240" w:rsidRPr="00AD078D" w:rsidRDefault="00721240" w:rsidP="0088378B">
            <w:pPr>
              <w:spacing w:line="360" w:lineRule="auto"/>
              <w:rPr>
                <w:rFonts w:ascii="Times New Roman" w:hAnsi="Times New Roman" w:cs="Times New Roman"/>
                <w:b/>
                <w:sz w:val="24"/>
              </w:rPr>
            </w:pPr>
            <w:r w:rsidRPr="00AD078D">
              <w:rPr>
                <w:rFonts w:ascii="Times New Roman" w:hAnsi="Times New Roman" w:cs="Times New Roman"/>
                <w:b/>
                <w:sz w:val="24"/>
              </w:rPr>
              <w:t>Operating profits</w:t>
            </w:r>
          </w:p>
        </w:tc>
        <w:tc>
          <w:tcPr>
            <w:tcW w:w="1852" w:type="dxa"/>
          </w:tcPr>
          <w:p w:rsidR="00721240" w:rsidRDefault="00721240" w:rsidP="0088378B">
            <w:pPr>
              <w:spacing w:line="360" w:lineRule="auto"/>
              <w:rPr>
                <w:rFonts w:ascii="Times New Roman" w:hAnsi="Times New Roman" w:cs="Times New Roman"/>
                <w:sz w:val="24"/>
              </w:rPr>
            </w:pPr>
            <w:r>
              <w:rPr>
                <w:rFonts w:ascii="Times New Roman" w:hAnsi="Times New Roman" w:cs="Times New Roman"/>
                <w:sz w:val="24"/>
              </w:rPr>
              <w:t>12.7%</w:t>
            </w:r>
          </w:p>
        </w:tc>
        <w:tc>
          <w:tcPr>
            <w:tcW w:w="2126" w:type="dxa"/>
          </w:tcPr>
          <w:p w:rsidR="00721240" w:rsidRDefault="009D7339" w:rsidP="0088378B">
            <w:pPr>
              <w:spacing w:line="360" w:lineRule="auto"/>
              <w:rPr>
                <w:rFonts w:ascii="Times New Roman" w:hAnsi="Times New Roman" w:cs="Times New Roman"/>
                <w:sz w:val="24"/>
              </w:rPr>
            </w:pPr>
            <w:r>
              <w:rPr>
                <w:rFonts w:ascii="Times New Roman" w:hAnsi="Times New Roman" w:cs="Times New Roman"/>
                <w:sz w:val="24"/>
              </w:rPr>
              <w:t>10.64%</w:t>
            </w:r>
          </w:p>
        </w:tc>
        <w:tc>
          <w:tcPr>
            <w:tcW w:w="2784" w:type="dxa"/>
          </w:tcPr>
          <w:p w:rsidR="00721240" w:rsidRDefault="006441F0" w:rsidP="0088378B">
            <w:pPr>
              <w:spacing w:line="360" w:lineRule="auto"/>
              <w:rPr>
                <w:rFonts w:ascii="Times New Roman" w:hAnsi="Times New Roman" w:cs="Times New Roman"/>
                <w:sz w:val="24"/>
              </w:rPr>
            </w:pPr>
            <w:r>
              <w:rPr>
                <w:rFonts w:ascii="Times New Roman" w:hAnsi="Times New Roman" w:cs="Times New Roman"/>
                <w:sz w:val="24"/>
              </w:rPr>
              <w:t>-2.06%</w:t>
            </w:r>
          </w:p>
        </w:tc>
      </w:tr>
      <w:tr w:rsidR="00721240" w:rsidTr="006441F0">
        <w:trPr>
          <w:trHeight w:val="550"/>
        </w:trPr>
        <w:tc>
          <w:tcPr>
            <w:tcW w:w="2254" w:type="dxa"/>
          </w:tcPr>
          <w:p w:rsidR="00721240" w:rsidRPr="00AD078D" w:rsidRDefault="009853E0" w:rsidP="0088378B">
            <w:pPr>
              <w:spacing w:line="360" w:lineRule="auto"/>
              <w:rPr>
                <w:rFonts w:ascii="Times New Roman" w:hAnsi="Times New Roman" w:cs="Times New Roman"/>
                <w:b/>
                <w:sz w:val="24"/>
              </w:rPr>
            </w:pPr>
            <w:r w:rsidRPr="00AD078D">
              <w:rPr>
                <w:rFonts w:ascii="Times New Roman" w:hAnsi="Times New Roman" w:cs="Times New Roman"/>
                <w:b/>
                <w:sz w:val="24"/>
              </w:rPr>
              <w:t>Gross profits</w:t>
            </w:r>
          </w:p>
        </w:tc>
        <w:tc>
          <w:tcPr>
            <w:tcW w:w="1852" w:type="dxa"/>
          </w:tcPr>
          <w:p w:rsidR="00721240" w:rsidRDefault="00AB7B37" w:rsidP="0088378B">
            <w:pPr>
              <w:spacing w:line="360" w:lineRule="auto"/>
              <w:rPr>
                <w:rFonts w:ascii="Times New Roman" w:hAnsi="Times New Roman" w:cs="Times New Roman"/>
                <w:sz w:val="24"/>
              </w:rPr>
            </w:pPr>
            <w:r>
              <w:rPr>
                <w:rFonts w:ascii="Times New Roman" w:hAnsi="Times New Roman" w:cs="Times New Roman"/>
                <w:sz w:val="24"/>
              </w:rPr>
              <w:t>12.66</w:t>
            </w:r>
            <w:r w:rsidR="009853E0">
              <w:rPr>
                <w:rFonts w:ascii="Times New Roman" w:hAnsi="Times New Roman" w:cs="Times New Roman"/>
                <w:sz w:val="24"/>
              </w:rPr>
              <w:t>%</w:t>
            </w:r>
          </w:p>
        </w:tc>
        <w:tc>
          <w:tcPr>
            <w:tcW w:w="2126" w:type="dxa"/>
          </w:tcPr>
          <w:p w:rsidR="00721240" w:rsidRDefault="003A34D3" w:rsidP="0088378B">
            <w:pPr>
              <w:spacing w:line="360" w:lineRule="auto"/>
              <w:rPr>
                <w:rFonts w:ascii="Times New Roman" w:hAnsi="Times New Roman" w:cs="Times New Roman"/>
                <w:sz w:val="24"/>
              </w:rPr>
            </w:pPr>
            <w:r>
              <w:rPr>
                <w:rFonts w:ascii="Times New Roman" w:hAnsi="Times New Roman" w:cs="Times New Roman"/>
                <w:sz w:val="24"/>
              </w:rPr>
              <w:t>10.64</w:t>
            </w:r>
            <w:r w:rsidR="009D7339">
              <w:rPr>
                <w:rFonts w:ascii="Times New Roman" w:hAnsi="Times New Roman" w:cs="Times New Roman"/>
                <w:sz w:val="24"/>
              </w:rPr>
              <w:t>%</w:t>
            </w:r>
          </w:p>
        </w:tc>
        <w:tc>
          <w:tcPr>
            <w:tcW w:w="2784" w:type="dxa"/>
          </w:tcPr>
          <w:p w:rsidR="00721240" w:rsidRDefault="00936CB9" w:rsidP="0088378B">
            <w:pPr>
              <w:spacing w:line="360" w:lineRule="auto"/>
              <w:rPr>
                <w:rFonts w:ascii="Times New Roman" w:hAnsi="Times New Roman" w:cs="Times New Roman"/>
                <w:sz w:val="24"/>
              </w:rPr>
            </w:pPr>
            <w:r>
              <w:rPr>
                <w:rFonts w:ascii="Times New Roman" w:hAnsi="Times New Roman" w:cs="Times New Roman"/>
                <w:sz w:val="24"/>
              </w:rPr>
              <w:t>-2.02</w:t>
            </w:r>
            <w:r w:rsidR="00E9195D">
              <w:rPr>
                <w:rFonts w:ascii="Times New Roman" w:hAnsi="Times New Roman" w:cs="Times New Roman"/>
                <w:sz w:val="24"/>
              </w:rPr>
              <w:t xml:space="preserve">% </w:t>
            </w:r>
          </w:p>
        </w:tc>
      </w:tr>
      <w:tr w:rsidR="00721240" w:rsidTr="006441F0">
        <w:trPr>
          <w:trHeight w:val="553"/>
        </w:trPr>
        <w:tc>
          <w:tcPr>
            <w:tcW w:w="2254" w:type="dxa"/>
          </w:tcPr>
          <w:p w:rsidR="00721240" w:rsidRPr="00AD078D" w:rsidRDefault="009853E0" w:rsidP="0088378B">
            <w:pPr>
              <w:spacing w:line="360" w:lineRule="auto"/>
              <w:rPr>
                <w:rFonts w:ascii="Times New Roman" w:hAnsi="Times New Roman" w:cs="Times New Roman"/>
                <w:b/>
                <w:sz w:val="24"/>
              </w:rPr>
            </w:pPr>
            <w:r w:rsidRPr="00AD078D">
              <w:rPr>
                <w:rFonts w:ascii="Times New Roman" w:hAnsi="Times New Roman" w:cs="Times New Roman"/>
                <w:b/>
                <w:sz w:val="24"/>
              </w:rPr>
              <w:t>Asset Turnover</w:t>
            </w:r>
          </w:p>
        </w:tc>
        <w:tc>
          <w:tcPr>
            <w:tcW w:w="1852" w:type="dxa"/>
          </w:tcPr>
          <w:p w:rsidR="00721240" w:rsidRDefault="003A34D3" w:rsidP="0088378B">
            <w:pPr>
              <w:spacing w:line="360" w:lineRule="auto"/>
              <w:rPr>
                <w:rFonts w:ascii="Times New Roman" w:hAnsi="Times New Roman" w:cs="Times New Roman"/>
                <w:sz w:val="24"/>
              </w:rPr>
            </w:pPr>
            <w:r>
              <w:rPr>
                <w:rFonts w:ascii="Times New Roman" w:hAnsi="Times New Roman" w:cs="Times New Roman"/>
                <w:sz w:val="24"/>
              </w:rPr>
              <w:t>6.18</w:t>
            </w:r>
            <w:r w:rsidR="00913CC7">
              <w:rPr>
                <w:rFonts w:ascii="Times New Roman" w:hAnsi="Times New Roman" w:cs="Times New Roman"/>
                <w:sz w:val="24"/>
              </w:rPr>
              <w:t>%</w:t>
            </w:r>
          </w:p>
        </w:tc>
        <w:tc>
          <w:tcPr>
            <w:tcW w:w="2126" w:type="dxa"/>
          </w:tcPr>
          <w:p w:rsidR="00721240" w:rsidRDefault="003A34D3" w:rsidP="0088378B">
            <w:pPr>
              <w:spacing w:line="360" w:lineRule="auto"/>
              <w:rPr>
                <w:rFonts w:ascii="Times New Roman" w:hAnsi="Times New Roman" w:cs="Times New Roman"/>
                <w:sz w:val="24"/>
              </w:rPr>
            </w:pPr>
            <w:r>
              <w:rPr>
                <w:rFonts w:ascii="Times New Roman" w:hAnsi="Times New Roman" w:cs="Times New Roman"/>
                <w:sz w:val="24"/>
              </w:rPr>
              <w:t>5.28</w:t>
            </w:r>
            <w:r w:rsidR="00C353FA">
              <w:rPr>
                <w:rFonts w:ascii="Times New Roman" w:hAnsi="Times New Roman" w:cs="Times New Roman"/>
                <w:sz w:val="24"/>
              </w:rPr>
              <w:t>%</w:t>
            </w:r>
          </w:p>
        </w:tc>
        <w:tc>
          <w:tcPr>
            <w:tcW w:w="2784" w:type="dxa"/>
          </w:tcPr>
          <w:p w:rsidR="00721240" w:rsidRDefault="00936CB9" w:rsidP="0088378B">
            <w:pPr>
              <w:spacing w:line="360" w:lineRule="auto"/>
              <w:rPr>
                <w:rFonts w:ascii="Times New Roman" w:hAnsi="Times New Roman" w:cs="Times New Roman"/>
                <w:sz w:val="24"/>
              </w:rPr>
            </w:pPr>
            <w:r>
              <w:rPr>
                <w:rFonts w:ascii="Times New Roman" w:hAnsi="Times New Roman" w:cs="Times New Roman"/>
                <w:sz w:val="24"/>
              </w:rPr>
              <w:t>-0.9</w:t>
            </w:r>
            <w:r w:rsidR="00E9195D">
              <w:rPr>
                <w:rFonts w:ascii="Times New Roman" w:hAnsi="Times New Roman" w:cs="Times New Roman"/>
                <w:sz w:val="24"/>
              </w:rPr>
              <w:t xml:space="preserve">% </w:t>
            </w:r>
          </w:p>
        </w:tc>
      </w:tr>
      <w:tr w:rsidR="00721240" w:rsidTr="00721240">
        <w:tc>
          <w:tcPr>
            <w:tcW w:w="2254" w:type="dxa"/>
          </w:tcPr>
          <w:p w:rsidR="00721240" w:rsidRPr="00AD078D" w:rsidRDefault="009853E0" w:rsidP="0088378B">
            <w:pPr>
              <w:spacing w:line="360" w:lineRule="auto"/>
              <w:rPr>
                <w:rFonts w:ascii="Times New Roman" w:hAnsi="Times New Roman" w:cs="Times New Roman"/>
                <w:b/>
                <w:sz w:val="24"/>
              </w:rPr>
            </w:pPr>
            <w:r w:rsidRPr="00AD078D">
              <w:rPr>
                <w:rFonts w:ascii="Times New Roman" w:hAnsi="Times New Roman" w:cs="Times New Roman"/>
                <w:b/>
                <w:sz w:val="24"/>
              </w:rPr>
              <w:t>Return on owners’ equity</w:t>
            </w:r>
          </w:p>
        </w:tc>
        <w:tc>
          <w:tcPr>
            <w:tcW w:w="1852" w:type="dxa"/>
          </w:tcPr>
          <w:p w:rsidR="00721240" w:rsidRDefault="003A34D3" w:rsidP="0088378B">
            <w:pPr>
              <w:spacing w:line="360" w:lineRule="auto"/>
              <w:rPr>
                <w:rFonts w:ascii="Times New Roman" w:hAnsi="Times New Roman" w:cs="Times New Roman"/>
                <w:sz w:val="24"/>
              </w:rPr>
            </w:pPr>
            <w:r>
              <w:rPr>
                <w:rFonts w:ascii="Times New Roman" w:hAnsi="Times New Roman" w:cs="Times New Roman"/>
                <w:sz w:val="24"/>
              </w:rPr>
              <w:t>13.12</w:t>
            </w:r>
            <w:r w:rsidR="009853E0">
              <w:rPr>
                <w:rFonts w:ascii="Times New Roman" w:hAnsi="Times New Roman" w:cs="Times New Roman"/>
                <w:sz w:val="24"/>
              </w:rPr>
              <w:t>%</w:t>
            </w:r>
          </w:p>
        </w:tc>
        <w:tc>
          <w:tcPr>
            <w:tcW w:w="2126" w:type="dxa"/>
          </w:tcPr>
          <w:p w:rsidR="00721240" w:rsidRDefault="003A34D3" w:rsidP="0088378B">
            <w:pPr>
              <w:spacing w:line="360" w:lineRule="auto"/>
              <w:rPr>
                <w:rFonts w:ascii="Times New Roman" w:hAnsi="Times New Roman" w:cs="Times New Roman"/>
                <w:sz w:val="24"/>
              </w:rPr>
            </w:pPr>
            <w:r>
              <w:rPr>
                <w:rFonts w:ascii="Times New Roman" w:hAnsi="Times New Roman" w:cs="Times New Roman"/>
                <w:sz w:val="24"/>
              </w:rPr>
              <w:t>6.83</w:t>
            </w:r>
            <w:r w:rsidR="00C353FA">
              <w:rPr>
                <w:rFonts w:ascii="Times New Roman" w:hAnsi="Times New Roman" w:cs="Times New Roman"/>
                <w:sz w:val="24"/>
              </w:rPr>
              <w:t>%</w:t>
            </w:r>
          </w:p>
        </w:tc>
        <w:tc>
          <w:tcPr>
            <w:tcW w:w="2784" w:type="dxa"/>
          </w:tcPr>
          <w:p w:rsidR="00721240" w:rsidRDefault="00936CB9" w:rsidP="0088378B">
            <w:pPr>
              <w:spacing w:line="360" w:lineRule="auto"/>
              <w:rPr>
                <w:rFonts w:ascii="Times New Roman" w:hAnsi="Times New Roman" w:cs="Times New Roman"/>
                <w:sz w:val="24"/>
              </w:rPr>
            </w:pPr>
            <w:r>
              <w:rPr>
                <w:rFonts w:ascii="Times New Roman" w:hAnsi="Times New Roman" w:cs="Times New Roman"/>
                <w:sz w:val="24"/>
              </w:rPr>
              <w:t>-6.29</w:t>
            </w:r>
            <w:r w:rsidR="00E9195D">
              <w:rPr>
                <w:rFonts w:ascii="Times New Roman" w:hAnsi="Times New Roman" w:cs="Times New Roman"/>
                <w:sz w:val="24"/>
              </w:rPr>
              <w:t xml:space="preserve">% </w:t>
            </w:r>
          </w:p>
        </w:tc>
      </w:tr>
    </w:tbl>
    <w:p w:rsidR="00B97900" w:rsidRDefault="00B97900" w:rsidP="0088378B">
      <w:pPr>
        <w:spacing w:line="360" w:lineRule="auto"/>
        <w:rPr>
          <w:rFonts w:ascii="Times New Roman" w:hAnsi="Times New Roman" w:cs="Times New Roman"/>
          <w:sz w:val="24"/>
        </w:rPr>
      </w:pPr>
    </w:p>
    <w:p w:rsidR="00B97900" w:rsidRDefault="004A638D" w:rsidP="0088378B">
      <w:pPr>
        <w:spacing w:line="360" w:lineRule="auto"/>
        <w:rPr>
          <w:rFonts w:ascii="Times New Roman" w:hAnsi="Times New Roman" w:cs="Times New Roman"/>
          <w:b/>
          <w:sz w:val="24"/>
        </w:rPr>
      </w:pPr>
      <w:r w:rsidRPr="004A638D">
        <w:rPr>
          <w:rFonts w:ascii="Times New Roman" w:hAnsi="Times New Roman" w:cs="Times New Roman"/>
          <w:b/>
          <w:sz w:val="24"/>
        </w:rPr>
        <w:t>Explanation of profitability ration decline in FY 2024</w:t>
      </w:r>
    </w:p>
    <w:p w:rsidR="00843F85" w:rsidRDefault="00843F85" w:rsidP="0088378B">
      <w:pPr>
        <w:spacing w:line="360" w:lineRule="auto"/>
        <w:jc w:val="both"/>
        <w:rPr>
          <w:rFonts w:ascii="Times New Roman" w:hAnsi="Times New Roman" w:cs="Times New Roman"/>
          <w:sz w:val="24"/>
        </w:rPr>
      </w:pPr>
      <w:r w:rsidRPr="00843F85">
        <w:rPr>
          <w:rFonts w:ascii="Times New Roman" w:hAnsi="Times New Roman" w:cs="Times New Roman"/>
          <w:sz w:val="24"/>
        </w:rPr>
        <w:t>BT Group’s FY2024 results show considerable pressure for investors. The 55% drop in EPS to 8.7p, amidst £488m in impairments and rising finance costs (BT Group 2024), point to a deteriorating level of profitability as well as the company’s ability to reinvest (Atrill &amp; McLaney, 2022). Given that dividends remained constant at 8.16p, the coverage fell to just 1.1× (noting &gt;1.5× as sustainable) (Arnold, 2019). The 5% yield (FTSE 100 yield = 3.7%) could prove to be a value trap if the company weaknesses in cash flows (Vernimmen et al., 2022). The P/E r</w:t>
      </w:r>
      <w:r>
        <w:rPr>
          <w:rFonts w:ascii="Times New Roman" w:hAnsi="Times New Roman" w:cs="Times New Roman"/>
          <w:sz w:val="24"/>
        </w:rPr>
        <w:t xml:space="preserve">atio jumped up to 19× from 7.5×, </w:t>
      </w:r>
      <w:r w:rsidRPr="00843F85">
        <w:rPr>
          <w:rFonts w:ascii="Times New Roman" w:hAnsi="Times New Roman" w:cs="Times New Roman"/>
          <w:sz w:val="24"/>
        </w:rPr>
        <w:t>which reflects how the market still has some optimism around BT’s infrastructure capabilities. The higher valuation, than other telecoms also leaves more exposure for BT if earnings perform below market expectations, as we have seen with Vodafone.</w:t>
      </w:r>
    </w:p>
    <w:p w:rsidR="00C1349D" w:rsidRPr="007A1DCF" w:rsidRDefault="00D9792C" w:rsidP="0088378B">
      <w:pPr>
        <w:spacing w:line="360" w:lineRule="auto"/>
        <w:jc w:val="both"/>
        <w:rPr>
          <w:rFonts w:ascii="Times New Roman" w:hAnsi="Times New Roman" w:cs="Times New Roman"/>
          <w:sz w:val="24"/>
        </w:rPr>
      </w:pPr>
      <w:r w:rsidRPr="00D9792C">
        <w:rPr>
          <w:rFonts w:ascii="Times New Roman" w:hAnsi="Times New Roman" w:cs="Times New Roman"/>
          <w:b/>
          <w:sz w:val="24"/>
        </w:rPr>
        <w:t xml:space="preserve">2. Liquidity </w:t>
      </w:r>
      <w:r w:rsidR="007A1DCF" w:rsidRPr="00D9792C">
        <w:rPr>
          <w:rFonts w:ascii="Times New Roman" w:hAnsi="Times New Roman" w:cs="Times New Roman"/>
          <w:b/>
          <w:sz w:val="24"/>
        </w:rPr>
        <w:t>ratio</w:t>
      </w:r>
      <w:r w:rsidR="000232FE">
        <w:rPr>
          <w:rFonts w:ascii="Times New Roman" w:hAnsi="Times New Roman" w:cs="Times New Roman"/>
          <w:b/>
          <w:sz w:val="24"/>
        </w:rPr>
        <w:t xml:space="preserve"> and </w:t>
      </w:r>
      <w:r w:rsidR="00B1361B">
        <w:rPr>
          <w:rFonts w:ascii="Times New Roman" w:hAnsi="Times New Roman" w:cs="Times New Roman"/>
          <w:b/>
          <w:sz w:val="24"/>
        </w:rPr>
        <w:t>E</w:t>
      </w:r>
      <w:r w:rsidR="000232FE">
        <w:rPr>
          <w:rFonts w:ascii="Times New Roman" w:hAnsi="Times New Roman" w:cs="Times New Roman"/>
          <w:b/>
          <w:sz w:val="24"/>
        </w:rPr>
        <w:t>fficiency ratio</w:t>
      </w:r>
      <w:r w:rsidR="007A1DCF">
        <w:rPr>
          <w:rFonts w:ascii="Times New Roman" w:hAnsi="Times New Roman" w:cs="Times New Roman"/>
          <w:b/>
          <w:sz w:val="24"/>
        </w:rPr>
        <w:t>: -</w:t>
      </w:r>
      <w:r w:rsidR="00BE600C" w:rsidRPr="007A1DCF">
        <w:rPr>
          <w:rFonts w:ascii="Times New Roman" w:hAnsi="Times New Roman" w:cs="Times New Roman"/>
          <w:sz w:val="24"/>
        </w:rPr>
        <w:t xml:space="preserve"> Liquidity ratios are measures of whether a company can pay its short-term liabilities, usually ones due within a year. It reflects whether a firm has sufficient current assets that can be turned into cash that can pay its liabilities. Atrill and McLaney (2021) suggest that liquidity ratios are indicators of a firm's operational efficiency and financial stability (p. 287). Further, Walsh (2008) indicates that liquidity ratios may provide warning signs of a possible cash flow problem by examining the shortfall between cash available and debt obligations that will be due (p. 112).</w:t>
      </w:r>
      <w:r w:rsidR="00A6064F">
        <w:rPr>
          <w:rFonts w:ascii="Times New Roman" w:hAnsi="Times New Roman" w:cs="Times New Roman"/>
          <w:sz w:val="24"/>
        </w:rPr>
        <w:t xml:space="preserve"> </w:t>
      </w:r>
    </w:p>
    <w:tbl>
      <w:tblPr>
        <w:tblStyle w:val="TableGrid"/>
        <w:tblpPr w:leftFromText="180" w:rightFromText="180" w:vertAnchor="text" w:horzAnchor="margin" w:tblpY="58"/>
        <w:tblW w:w="8359" w:type="dxa"/>
        <w:tblLook w:val="0000" w:firstRow="0" w:lastRow="0" w:firstColumn="0" w:lastColumn="0" w:noHBand="0" w:noVBand="0"/>
      </w:tblPr>
      <w:tblGrid>
        <w:gridCol w:w="3433"/>
        <w:gridCol w:w="9"/>
        <w:gridCol w:w="1424"/>
        <w:gridCol w:w="1461"/>
        <w:gridCol w:w="2032"/>
      </w:tblGrid>
      <w:tr w:rsidR="007A1DCF" w:rsidTr="007E507D">
        <w:trPr>
          <w:trHeight w:val="535"/>
        </w:trPr>
        <w:tc>
          <w:tcPr>
            <w:tcW w:w="3433"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Name</w:t>
            </w:r>
          </w:p>
        </w:tc>
        <w:tc>
          <w:tcPr>
            <w:tcW w:w="1433" w:type="dxa"/>
            <w:gridSpan w:val="2"/>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FY 2023</w:t>
            </w:r>
          </w:p>
        </w:tc>
        <w:tc>
          <w:tcPr>
            <w:tcW w:w="1461"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FY 2024</w:t>
            </w:r>
          </w:p>
        </w:tc>
        <w:tc>
          <w:tcPr>
            <w:tcW w:w="2032"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 xml:space="preserve">Changes </w:t>
            </w:r>
          </w:p>
        </w:tc>
      </w:tr>
      <w:tr w:rsidR="007A1DCF" w:rsidTr="007E507D">
        <w:tblPrEx>
          <w:tblLook w:val="04A0" w:firstRow="1" w:lastRow="0" w:firstColumn="1" w:lastColumn="0" w:noHBand="0" w:noVBand="1"/>
        </w:tblPrEx>
        <w:trPr>
          <w:trHeight w:val="408"/>
        </w:trPr>
        <w:tc>
          <w:tcPr>
            <w:tcW w:w="3442" w:type="dxa"/>
            <w:gridSpan w:val="2"/>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Current Ratio</w:t>
            </w:r>
          </w:p>
        </w:tc>
        <w:tc>
          <w:tcPr>
            <w:tcW w:w="1424"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0.85</w:t>
            </w:r>
          </w:p>
        </w:tc>
        <w:tc>
          <w:tcPr>
            <w:tcW w:w="1461"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0.85</w:t>
            </w:r>
          </w:p>
        </w:tc>
        <w:tc>
          <w:tcPr>
            <w:tcW w:w="2032" w:type="dxa"/>
          </w:tcPr>
          <w:p w:rsidR="007A1DCF" w:rsidRDefault="00843F85" w:rsidP="0088378B">
            <w:pPr>
              <w:spacing w:line="360" w:lineRule="auto"/>
              <w:rPr>
                <w:rFonts w:ascii="Times New Roman" w:hAnsi="Times New Roman" w:cs="Times New Roman"/>
                <w:sz w:val="24"/>
              </w:rPr>
            </w:pPr>
            <w:r>
              <w:rPr>
                <w:rFonts w:ascii="Times New Roman" w:hAnsi="Times New Roman" w:cs="Times New Roman"/>
                <w:sz w:val="24"/>
              </w:rPr>
              <w:t>F</w:t>
            </w:r>
            <w:r w:rsidR="007A1DCF">
              <w:rPr>
                <w:rFonts w:ascii="Times New Roman" w:hAnsi="Times New Roman" w:cs="Times New Roman"/>
                <w:sz w:val="24"/>
              </w:rPr>
              <w:t>lat</w:t>
            </w:r>
          </w:p>
        </w:tc>
      </w:tr>
      <w:tr w:rsidR="007A1DCF" w:rsidTr="007E507D">
        <w:tblPrEx>
          <w:tblLook w:val="04A0" w:firstRow="1" w:lastRow="0" w:firstColumn="1" w:lastColumn="0" w:noHBand="0" w:noVBand="1"/>
        </w:tblPrEx>
        <w:trPr>
          <w:trHeight w:val="408"/>
        </w:trPr>
        <w:tc>
          <w:tcPr>
            <w:tcW w:w="3442" w:type="dxa"/>
            <w:gridSpan w:val="2"/>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Quick Ratio</w:t>
            </w:r>
          </w:p>
        </w:tc>
        <w:tc>
          <w:tcPr>
            <w:tcW w:w="1424"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0.82</w:t>
            </w:r>
          </w:p>
        </w:tc>
        <w:tc>
          <w:tcPr>
            <w:tcW w:w="1461"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0.80</w:t>
            </w:r>
          </w:p>
        </w:tc>
        <w:tc>
          <w:tcPr>
            <w:tcW w:w="2032" w:type="dxa"/>
          </w:tcPr>
          <w:p w:rsidR="007A1DCF" w:rsidRDefault="007A1DCF" w:rsidP="0088378B">
            <w:pPr>
              <w:spacing w:line="360" w:lineRule="auto"/>
              <w:rPr>
                <w:rFonts w:ascii="Times New Roman" w:hAnsi="Times New Roman" w:cs="Times New Roman"/>
                <w:sz w:val="24"/>
              </w:rPr>
            </w:pPr>
            <w:r>
              <w:rPr>
                <w:rFonts w:ascii="Times New Roman" w:hAnsi="Times New Roman" w:cs="Times New Roman"/>
                <w:sz w:val="24"/>
              </w:rPr>
              <w:t>0.2</w:t>
            </w:r>
          </w:p>
        </w:tc>
      </w:tr>
      <w:tr w:rsidR="007D273A" w:rsidTr="007E507D">
        <w:tblPrEx>
          <w:tblLook w:val="04A0" w:firstRow="1" w:lastRow="0" w:firstColumn="1" w:lastColumn="0" w:noHBand="0" w:noVBand="1"/>
        </w:tblPrEx>
        <w:trPr>
          <w:trHeight w:val="408"/>
        </w:trPr>
        <w:tc>
          <w:tcPr>
            <w:tcW w:w="3442" w:type="dxa"/>
            <w:gridSpan w:val="2"/>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Debtor collection period</w:t>
            </w:r>
          </w:p>
        </w:tc>
        <w:tc>
          <w:tcPr>
            <w:tcW w:w="1424" w:type="dxa"/>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60.2 days</w:t>
            </w:r>
          </w:p>
        </w:tc>
        <w:tc>
          <w:tcPr>
            <w:tcW w:w="1461" w:type="dxa"/>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59.6 days</w:t>
            </w:r>
          </w:p>
        </w:tc>
        <w:tc>
          <w:tcPr>
            <w:tcW w:w="2032" w:type="dxa"/>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-0.8 days</w:t>
            </w:r>
          </w:p>
        </w:tc>
      </w:tr>
      <w:tr w:rsidR="007D273A" w:rsidTr="007E507D">
        <w:tblPrEx>
          <w:tblLook w:val="04A0" w:firstRow="1" w:lastRow="0" w:firstColumn="1" w:lastColumn="0" w:noHBand="0" w:noVBand="1"/>
        </w:tblPrEx>
        <w:trPr>
          <w:trHeight w:val="408"/>
        </w:trPr>
        <w:tc>
          <w:tcPr>
            <w:tcW w:w="3442" w:type="dxa"/>
            <w:gridSpan w:val="2"/>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 xml:space="preserve">Creditor collection period </w:t>
            </w:r>
          </w:p>
        </w:tc>
        <w:tc>
          <w:tcPr>
            <w:tcW w:w="1424" w:type="dxa"/>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180.2days</w:t>
            </w:r>
          </w:p>
        </w:tc>
        <w:tc>
          <w:tcPr>
            <w:tcW w:w="1461" w:type="dxa"/>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195.4 days</w:t>
            </w:r>
          </w:p>
        </w:tc>
        <w:tc>
          <w:tcPr>
            <w:tcW w:w="2032" w:type="dxa"/>
          </w:tcPr>
          <w:p w:rsidR="007D273A" w:rsidRDefault="007D273A" w:rsidP="0088378B">
            <w:pPr>
              <w:spacing w:line="360" w:lineRule="auto"/>
              <w:rPr>
                <w:rFonts w:ascii="Times New Roman" w:hAnsi="Times New Roman" w:cs="Times New Roman"/>
                <w:sz w:val="24"/>
              </w:rPr>
            </w:pPr>
            <w:r>
              <w:rPr>
                <w:rFonts w:ascii="Times New Roman" w:hAnsi="Times New Roman" w:cs="Times New Roman"/>
                <w:sz w:val="24"/>
              </w:rPr>
              <w:t>15.2 days</w:t>
            </w:r>
          </w:p>
        </w:tc>
      </w:tr>
    </w:tbl>
    <w:p w:rsidR="00C1349D" w:rsidRPr="00C1349D" w:rsidRDefault="00C1349D" w:rsidP="0088378B">
      <w:pPr>
        <w:spacing w:line="360" w:lineRule="auto"/>
        <w:rPr>
          <w:rFonts w:ascii="Times New Roman" w:hAnsi="Times New Roman" w:cs="Times New Roman"/>
          <w:sz w:val="24"/>
        </w:rPr>
      </w:pPr>
    </w:p>
    <w:p w:rsidR="00C1349D" w:rsidRPr="006B5A83" w:rsidRDefault="007A1DCF" w:rsidP="0088378B">
      <w:pPr>
        <w:spacing w:line="360" w:lineRule="auto"/>
        <w:jc w:val="both"/>
        <w:rPr>
          <w:rFonts w:ascii="Times New Roman" w:hAnsi="Times New Roman" w:cs="Times New Roman"/>
          <w:b/>
          <w:sz w:val="24"/>
        </w:rPr>
      </w:pPr>
      <w:r w:rsidRPr="006B5A83">
        <w:rPr>
          <w:rFonts w:ascii="Times New Roman" w:hAnsi="Times New Roman" w:cs="Times New Roman"/>
          <w:b/>
          <w:sz w:val="28"/>
        </w:rPr>
        <w:t>Explanation</w:t>
      </w:r>
      <w:r w:rsidRPr="006B5A83">
        <w:rPr>
          <w:rFonts w:ascii="Times New Roman" w:hAnsi="Times New Roman" w:cs="Times New Roman"/>
          <w:b/>
          <w:sz w:val="24"/>
        </w:rPr>
        <w:t xml:space="preserve">  </w:t>
      </w:r>
    </w:p>
    <w:p w:rsidR="00A6064F" w:rsidRDefault="00A6064F" w:rsidP="0088378B">
      <w:pPr>
        <w:spacing w:after="0" w:line="360" w:lineRule="auto"/>
        <w:jc w:val="both"/>
        <w:rPr>
          <w:rFonts w:ascii="Times New Roman" w:hAnsi="Times New Roman" w:cs="Times New Roman"/>
          <w:sz w:val="24"/>
        </w:rPr>
      </w:pPr>
      <w:r w:rsidRPr="00A6064F">
        <w:rPr>
          <w:rFonts w:ascii="Times New Roman" w:hAnsi="Times New Roman" w:cs="Times New Roman"/>
          <w:sz w:val="24"/>
        </w:rPr>
        <w:t xml:space="preserve">BT Group's liquidity continues to be constrained: its current ratio remains at 0.85, and even the quick ratio continues to decline (0.82 to 0.80), meaning that the liquidity position is more heavily reliant on short-term financing and is less able to meet obligations without having to sell off resources (Atrill and McLaney, 2021). Debtor days improved marginally from 60.2 to 59.6 days, but are still higher than the key telecom industry guideline of 50–55 days (Kersten et al., 2017), as they must do better to justify capital tied up in working capital. Higher creditor days (180.2 – 195.4 days) signal a proactive cash management strategy as BT sustained a larger deficit using its creditors' finance whilst generating an additional £312 million (BT Group, 2024) of operating cash flow, as its increased definition in trade will create cash </w:t>
      </w:r>
      <w:r>
        <w:rPr>
          <w:rFonts w:ascii="Times New Roman" w:hAnsi="Times New Roman" w:cs="Times New Roman"/>
          <w:sz w:val="24"/>
        </w:rPr>
        <w:t>taxes when inventory is sold</w:t>
      </w:r>
      <w:r w:rsidRPr="00A6064F">
        <w:rPr>
          <w:rFonts w:ascii="Times New Roman" w:hAnsi="Times New Roman" w:cs="Times New Roman"/>
          <w:sz w:val="24"/>
        </w:rPr>
        <w:t>.</w:t>
      </w:r>
    </w:p>
    <w:p w:rsidR="00A6064F" w:rsidRDefault="00A6064F" w:rsidP="0088378B">
      <w:pPr>
        <w:spacing w:after="0" w:line="360" w:lineRule="auto"/>
        <w:jc w:val="both"/>
        <w:rPr>
          <w:rFonts w:ascii="Times New Roman" w:hAnsi="Times New Roman" w:cs="Times New Roman"/>
          <w:sz w:val="24"/>
        </w:rPr>
      </w:pPr>
      <w:r w:rsidRPr="00A6064F">
        <w:rPr>
          <w:rFonts w:ascii="Times New Roman" w:hAnsi="Times New Roman" w:cs="Times New Roman"/>
          <w:sz w:val="24"/>
        </w:rPr>
        <w:t xml:space="preserve"> Additionally, BT is likely to be at a disadvantage and below those key competitors in terms of liquidity: Vodafone's current ratio is 0.93, and Virgin Media O2 with a current ratio of 1.10, which is both all media; BT has trades in poor working capital efficiency to finance fibre (DCF Modelling Report, 2024). The liquidity gap could limit BT's strategic flexibility around capital expenditures, which remains a limited cash drain.</w:t>
      </w:r>
    </w:p>
    <w:p w:rsidR="00721240" w:rsidRPr="00A6064F" w:rsidRDefault="00E47C1D" w:rsidP="00A6064F">
      <w:pPr>
        <w:spacing w:after="0" w:line="360" w:lineRule="auto"/>
        <w:jc w:val="both"/>
        <w:rPr>
          <w:rFonts w:ascii="Times New Roman" w:eastAsia="Times New Roman" w:hAnsi="Times New Roman" w:cs="Times New Roman"/>
          <w:sz w:val="24"/>
          <w:szCs w:val="24"/>
          <w:lang w:val="en-IN" w:eastAsia="en-IN"/>
        </w:rPr>
      </w:pPr>
      <w:r w:rsidRPr="007D273A">
        <w:rPr>
          <w:rFonts w:ascii="Times New Roman" w:eastAsia="Times New Roman" w:hAnsi="Times New Roman" w:cs="Times New Roman"/>
          <w:b/>
          <w:sz w:val="24"/>
          <w:szCs w:val="24"/>
          <w:lang w:val="en-IN" w:eastAsia="en-IN"/>
        </w:rPr>
        <w:t>3.</w:t>
      </w:r>
      <w:r>
        <w:rPr>
          <w:rFonts w:ascii="Times New Roman" w:eastAsia="Times New Roman" w:hAnsi="Times New Roman" w:cs="Times New Roman"/>
          <w:sz w:val="24"/>
          <w:szCs w:val="24"/>
          <w:lang w:val="en-IN" w:eastAsia="en-IN"/>
        </w:rPr>
        <w:t xml:space="preserve"> </w:t>
      </w:r>
      <w:r w:rsidRPr="007D273A">
        <w:rPr>
          <w:rFonts w:ascii="Times New Roman" w:eastAsia="Times New Roman" w:hAnsi="Times New Roman" w:cs="Times New Roman"/>
          <w:b/>
          <w:sz w:val="24"/>
          <w:szCs w:val="24"/>
          <w:lang w:val="en-IN" w:eastAsia="en-IN"/>
        </w:rPr>
        <w:t>Gearing Ratio: -</w:t>
      </w:r>
      <w:r>
        <w:rPr>
          <w:rFonts w:ascii="Times New Roman" w:eastAsia="Times New Roman" w:hAnsi="Times New Roman" w:cs="Times New Roman"/>
          <w:sz w:val="24"/>
          <w:szCs w:val="24"/>
          <w:lang w:val="en-IN" w:eastAsia="en-IN"/>
        </w:rPr>
        <w:t xml:space="preserve"> </w:t>
      </w:r>
      <w:r w:rsidR="00D96F30" w:rsidRPr="00D96F30">
        <w:rPr>
          <w:rFonts w:ascii="Times New Roman" w:eastAsia="Times New Roman" w:hAnsi="Times New Roman" w:cs="Times New Roman"/>
          <w:sz w:val="24"/>
          <w:szCs w:val="24"/>
          <w:lang w:val="en-IN" w:eastAsia="en-IN"/>
        </w:rPr>
        <w:t>The gearing ratio is a main financial metric that helps to see how a firm is structured by comparing debt to equity. It shows how much a firm uses debt compared to its capital, which reflects financial risk and if it can pay, bills long-term. A high gearing ratio means the firm relies more on loans, which can increase financial risk, especially when the economy is bad or interest rates go up (Atrill and McLaney, 2022).</w:t>
      </w:r>
    </w:p>
    <w:tbl>
      <w:tblPr>
        <w:tblStyle w:val="TableGrid"/>
        <w:tblW w:w="0" w:type="auto"/>
        <w:tblLook w:val="04A0" w:firstRow="1" w:lastRow="0" w:firstColumn="1" w:lastColumn="0" w:noHBand="0" w:noVBand="1"/>
      </w:tblPr>
      <w:tblGrid>
        <w:gridCol w:w="2254"/>
        <w:gridCol w:w="2254"/>
        <w:gridCol w:w="2254"/>
        <w:gridCol w:w="2254"/>
      </w:tblGrid>
      <w:tr w:rsidR="006C4E7F" w:rsidTr="006C4E7F">
        <w:tc>
          <w:tcPr>
            <w:tcW w:w="2254" w:type="dxa"/>
          </w:tcPr>
          <w:p w:rsidR="006C4E7F" w:rsidRDefault="004C66E0" w:rsidP="0088378B">
            <w:pPr>
              <w:spacing w:line="360" w:lineRule="auto"/>
              <w:rPr>
                <w:rFonts w:ascii="Times New Roman" w:hAnsi="Times New Roman" w:cs="Times New Roman"/>
                <w:sz w:val="24"/>
              </w:rPr>
            </w:pPr>
            <w:r>
              <w:rPr>
                <w:rFonts w:ascii="Times New Roman" w:hAnsi="Times New Roman" w:cs="Times New Roman"/>
                <w:sz w:val="24"/>
              </w:rPr>
              <w:t>Name</w:t>
            </w:r>
          </w:p>
        </w:tc>
        <w:tc>
          <w:tcPr>
            <w:tcW w:w="2254" w:type="dxa"/>
          </w:tcPr>
          <w:p w:rsidR="006C4E7F" w:rsidRDefault="004C66E0" w:rsidP="0088378B">
            <w:pPr>
              <w:spacing w:line="360" w:lineRule="auto"/>
              <w:rPr>
                <w:rFonts w:ascii="Times New Roman" w:hAnsi="Times New Roman" w:cs="Times New Roman"/>
                <w:sz w:val="24"/>
              </w:rPr>
            </w:pPr>
            <w:r>
              <w:rPr>
                <w:rFonts w:ascii="Times New Roman" w:hAnsi="Times New Roman" w:cs="Times New Roman"/>
                <w:sz w:val="24"/>
              </w:rPr>
              <w:t>FY 2023</w:t>
            </w:r>
          </w:p>
        </w:tc>
        <w:tc>
          <w:tcPr>
            <w:tcW w:w="2254" w:type="dxa"/>
          </w:tcPr>
          <w:p w:rsidR="006C4E7F" w:rsidRDefault="004C66E0" w:rsidP="0088378B">
            <w:pPr>
              <w:spacing w:line="360" w:lineRule="auto"/>
              <w:rPr>
                <w:rFonts w:ascii="Times New Roman" w:hAnsi="Times New Roman" w:cs="Times New Roman"/>
                <w:sz w:val="24"/>
              </w:rPr>
            </w:pPr>
            <w:r>
              <w:rPr>
                <w:rFonts w:ascii="Times New Roman" w:hAnsi="Times New Roman" w:cs="Times New Roman"/>
                <w:sz w:val="24"/>
              </w:rPr>
              <w:t>FY 2024</w:t>
            </w:r>
          </w:p>
        </w:tc>
        <w:tc>
          <w:tcPr>
            <w:tcW w:w="2254" w:type="dxa"/>
          </w:tcPr>
          <w:p w:rsidR="006C4E7F" w:rsidRDefault="004C66E0" w:rsidP="0088378B">
            <w:pPr>
              <w:spacing w:line="360" w:lineRule="auto"/>
              <w:rPr>
                <w:rFonts w:ascii="Times New Roman" w:hAnsi="Times New Roman" w:cs="Times New Roman"/>
                <w:sz w:val="24"/>
              </w:rPr>
            </w:pPr>
            <w:r>
              <w:rPr>
                <w:rFonts w:ascii="Times New Roman" w:hAnsi="Times New Roman" w:cs="Times New Roman"/>
                <w:sz w:val="24"/>
              </w:rPr>
              <w:t>Change</w:t>
            </w:r>
          </w:p>
        </w:tc>
      </w:tr>
      <w:tr w:rsidR="006C4E7F" w:rsidTr="006C4E7F">
        <w:tc>
          <w:tcPr>
            <w:tcW w:w="2254" w:type="dxa"/>
          </w:tcPr>
          <w:p w:rsidR="006C4E7F" w:rsidRDefault="004C66E0" w:rsidP="0088378B">
            <w:pPr>
              <w:spacing w:line="360" w:lineRule="auto"/>
              <w:rPr>
                <w:rFonts w:ascii="Times New Roman" w:hAnsi="Times New Roman" w:cs="Times New Roman"/>
                <w:sz w:val="24"/>
              </w:rPr>
            </w:pPr>
            <w:r>
              <w:rPr>
                <w:rFonts w:ascii="Times New Roman" w:hAnsi="Times New Roman" w:cs="Times New Roman"/>
                <w:sz w:val="24"/>
              </w:rPr>
              <w:t>Gearing ratio</w:t>
            </w:r>
          </w:p>
        </w:tc>
        <w:tc>
          <w:tcPr>
            <w:tcW w:w="2254" w:type="dxa"/>
          </w:tcPr>
          <w:p w:rsidR="006C4E7F" w:rsidRDefault="00D96F30" w:rsidP="0088378B">
            <w:pPr>
              <w:spacing w:line="360" w:lineRule="auto"/>
              <w:rPr>
                <w:rFonts w:ascii="Times New Roman" w:hAnsi="Times New Roman" w:cs="Times New Roman"/>
                <w:sz w:val="24"/>
              </w:rPr>
            </w:pPr>
            <w:r>
              <w:rPr>
                <w:rFonts w:ascii="Times New Roman" w:hAnsi="Times New Roman" w:cs="Times New Roman"/>
                <w:sz w:val="24"/>
              </w:rPr>
              <w:t>56.5</w:t>
            </w:r>
            <w:r w:rsidR="004C66E0">
              <w:rPr>
                <w:rFonts w:ascii="Times New Roman" w:hAnsi="Times New Roman" w:cs="Times New Roman"/>
                <w:sz w:val="24"/>
              </w:rPr>
              <w:t>%</w:t>
            </w:r>
          </w:p>
        </w:tc>
        <w:tc>
          <w:tcPr>
            <w:tcW w:w="2254" w:type="dxa"/>
          </w:tcPr>
          <w:p w:rsidR="006C4E7F" w:rsidRDefault="00D96F30" w:rsidP="0088378B">
            <w:pPr>
              <w:spacing w:line="360" w:lineRule="auto"/>
              <w:rPr>
                <w:rFonts w:ascii="Times New Roman" w:hAnsi="Times New Roman" w:cs="Times New Roman"/>
                <w:sz w:val="24"/>
              </w:rPr>
            </w:pPr>
            <w:r>
              <w:rPr>
                <w:rFonts w:ascii="Times New Roman" w:hAnsi="Times New Roman" w:cs="Times New Roman"/>
                <w:sz w:val="24"/>
              </w:rPr>
              <w:t>60.88</w:t>
            </w:r>
            <w:r w:rsidR="004C66E0">
              <w:rPr>
                <w:rFonts w:ascii="Times New Roman" w:hAnsi="Times New Roman" w:cs="Times New Roman"/>
                <w:sz w:val="24"/>
              </w:rPr>
              <w:t>%</w:t>
            </w:r>
          </w:p>
        </w:tc>
        <w:tc>
          <w:tcPr>
            <w:tcW w:w="2254" w:type="dxa"/>
          </w:tcPr>
          <w:p w:rsidR="006C4E7F" w:rsidRDefault="00D96F30" w:rsidP="0088378B">
            <w:pPr>
              <w:spacing w:line="360" w:lineRule="auto"/>
              <w:rPr>
                <w:rFonts w:ascii="Times New Roman" w:hAnsi="Times New Roman" w:cs="Times New Roman"/>
                <w:sz w:val="24"/>
              </w:rPr>
            </w:pPr>
            <w:r>
              <w:rPr>
                <w:rFonts w:ascii="Times New Roman" w:hAnsi="Times New Roman" w:cs="Times New Roman"/>
                <w:sz w:val="24"/>
              </w:rPr>
              <w:t>4</w:t>
            </w:r>
            <w:r w:rsidR="004C66E0">
              <w:rPr>
                <w:rFonts w:ascii="Times New Roman" w:hAnsi="Times New Roman" w:cs="Times New Roman"/>
                <w:sz w:val="24"/>
              </w:rPr>
              <w:t>.3</w:t>
            </w:r>
            <w:r>
              <w:rPr>
                <w:rFonts w:ascii="Times New Roman" w:hAnsi="Times New Roman" w:cs="Times New Roman"/>
                <w:sz w:val="24"/>
              </w:rPr>
              <w:t>8</w:t>
            </w:r>
            <w:r w:rsidR="004C66E0">
              <w:rPr>
                <w:rFonts w:ascii="Times New Roman" w:hAnsi="Times New Roman" w:cs="Times New Roman"/>
                <w:sz w:val="24"/>
              </w:rPr>
              <w:t>%</w:t>
            </w:r>
          </w:p>
        </w:tc>
      </w:tr>
    </w:tbl>
    <w:p w:rsidR="00C1349D" w:rsidRDefault="00C1349D" w:rsidP="0088378B">
      <w:pPr>
        <w:spacing w:line="360" w:lineRule="auto"/>
        <w:rPr>
          <w:rFonts w:ascii="Times New Roman" w:hAnsi="Times New Roman" w:cs="Times New Roman"/>
          <w:sz w:val="24"/>
        </w:rPr>
      </w:pPr>
    </w:p>
    <w:p w:rsidR="003C2E16" w:rsidRDefault="00843F85" w:rsidP="0088378B">
      <w:pPr>
        <w:spacing w:line="360" w:lineRule="auto"/>
        <w:jc w:val="both"/>
        <w:rPr>
          <w:rFonts w:ascii="Times New Roman" w:hAnsi="Times New Roman" w:cs="Times New Roman"/>
          <w:sz w:val="24"/>
        </w:rPr>
      </w:pPr>
      <w:r w:rsidRPr="00843F85">
        <w:rPr>
          <w:rFonts w:ascii="Times New Roman" w:hAnsi="Times New Roman" w:cs="Times New Roman"/>
          <w:sz w:val="24"/>
        </w:rPr>
        <w:t xml:space="preserve">In finance 2024, BT Group's gearing ratio increased from 56.6% in finance 2023 to 60.9%.  The increase in the gearing ratio indicates that they are using more and more debt to finance their activities.  This increase is likely due to the excessive investment in the company's capital-intensive projects, as BT Group continues to expand its fiber and 5G operational networks (BT Group, 2024). </w:t>
      </w:r>
    </w:p>
    <w:p w:rsidR="000906C6" w:rsidRDefault="00843F85" w:rsidP="0088378B">
      <w:pPr>
        <w:spacing w:line="360" w:lineRule="auto"/>
        <w:jc w:val="both"/>
        <w:rPr>
          <w:rFonts w:ascii="Times New Roman" w:hAnsi="Times New Roman" w:cs="Times New Roman"/>
          <w:sz w:val="24"/>
        </w:rPr>
      </w:pPr>
      <w:r w:rsidRPr="00843F85">
        <w:rPr>
          <w:rFonts w:ascii="Times New Roman" w:hAnsi="Times New Roman" w:cs="Times New Roman"/>
          <w:sz w:val="24"/>
        </w:rPr>
        <w:t>When the gearing ratio exceeds 50%, the company is exposed to heightened financial risk, particularly in an environment marked by recent interest rate hikes and ongoing uncertainty regarding future profitability</w:t>
      </w:r>
      <w:r w:rsidR="000906C6">
        <w:rPr>
          <w:rFonts w:ascii="Times New Roman" w:hAnsi="Times New Roman" w:cs="Times New Roman"/>
          <w:sz w:val="24"/>
        </w:rPr>
        <w:t xml:space="preserve"> </w:t>
      </w:r>
      <w:r w:rsidRPr="00843F85">
        <w:rPr>
          <w:rFonts w:ascii="Times New Roman" w:hAnsi="Times New Roman" w:cs="Times New Roman"/>
          <w:sz w:val="24"/>
        </w:rPr>
        <w:t>(Atrill &amp; McLaney, 2022). However, the industrial context must be taken into account. Capital-intensive telecommunication companies usually have relatively higher gearing than the industry average due to firm performance with consistent streams of revenue (Arnold, 2019). BT expects the future returns will exceed the interest expense on their borrowing for the capital investments in their infrastructure. Additionally, a decrease in shareholder equity (-14.0% from FY2023) and a reduction in interest coverage to 2.61x should be reviewed closely to avoid covenant violations or any downgrade of credit rating.</w:t>
      </w:r>
    </w:p>
    <w:p w:rsidR="00D860F3" w:rsidRPr="00D860F3" w:rsidRDefault="00D860F3" w:rsidP="0088378B">
      <w:pPr>
        <w:spacing w:line="360" w:lineRule="auto"/>
        <w:jc w:val="both"/>
        <w:rPr>
          <w:rFonts w:ascii="Times New Roman" w:hAnsi="Times New Roman" w:cs="Times New Roman"/>
          <w:sz w:val="24"/>
        </w:rPr>
      </w:pPr>
      <w:r>
        <w:rPr>
          <w:rFonts w:ascii="Times New Roman" w:hAnsi="Times New Roman" w:cs="Times New Roman"/>
          <w:b/>
          <w:sz w:val="24"/>
        </w:rPr>
        <w:t xml:space="preserve">5. Investment: - </w:t>
      </w:r>
      <w:r w:rsidRPr="00D860F3">
        <w:rPr>
          <w:rFonts w:ascii="Times New Roman" w:hAnsi="Times New Roman" w:cs="Times New Roman"/>
          <w:sz w:val="24"/>
        </w:rPr>
        <w:t>Investment ratios, also known as market based ratios, are ratios that are used by shareholders and potential investors in assessing a company's share performance, the company's value and potential return on investment. Investment ratios are important in the</w:t>
      </w:r>
      <w:r w:rsidR="00B97900">
        <w:rPr>
          <w:rFonts w:ascii="Times New Roman" w:hAnsi="Times New Roman" w:cs="Times New Roman"/>
          <w:sz w:val="24"/>
        </w:rPr>
        <w:t xml:space="preserve"> </w:t>
      </w:r>
      <w:r w:rsidRPr="00D860F3">
        <w:rPr>
          <w:rFonts w:ascii="Times New Roman" w:hAnsi="Times New Roman" w:cs="Times New Roman"/>
          <w:sz w:val="24"/>
        </w:rPr>
        <w:t xml:space="preserve">investment making process. In particular, when comparing companies in the same sector (Atrill and McLaney, 2022). </w:t>
      </w:r>
    </w:p>
    <w:p w:rsidR="000232FE" w:rsidRPr="00D860F3" w:rsidRDefault="00D860F3" w:rsidP="0088378B">
      <w:pPr>
        <w:spacing w:line="360" w:lineRule="auto"/>
        <w:jc w:val="both"/>
        <w:rPr>
          <w:rFonts w:ascii="Times New Roman" w:hAnsi="Times New Roman" w:cs="Times New Roman"/>
          <w:sz w:val="24"/>
        </w:rPr>
      </w:pPr>
      <w:r w:rsidRPr="00D860F3">
        <w:rPr>
          <w:rFonts w:ascii="Times New Roman" w:hAnsi="Times New Roman" w:cs="Times New Roman"/>
          <w:sz w:val="24"/>
        </w:rPr>
        <w:t>Investment ratios connect a company’s financial performance with its market value, making them useful for evaluating associated aspects such as how much profit a company is producing, a company's dividend policy and how attractive a company is in the stock market (Vernimmen et al., 2022).</w:t>
      </w:r>
    </w:p>
    <w:tbl>
      <w:tblPr>
        <w:tblStyle w:val="TableGrid"/>
        <w:tblW w:w="0" w:type="auto"/>
        <w:tblLook w:val="04A0" w:firstRow="1" w:lastRow="0" w:firstColumn="1" w:lastColumn="0" w:noHBand="0" w:noVBand="1"/>
      </w:tblPr>
      <w:tblGrid>
        <w:gridCol w:w="4435"/>
        <w:gridCol w:w="2337"/>
        <w:gridCol w:w="1870"/>
      </w:tblGrid>
      <w:tr w:rsidR="007E507D" w:rsidTr="00DC42E6">
        <w:trPr>
          <w:trHeight w:val="188"/>
        </w:trPr>
        <w:tc>
          <w:tcPr>
            <w:tcW w:w="4435"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Name</w:t>
            </w:r>
          </w:p>
        </w:tc>
        <w:tc>
          <w:tcPr>
            <w:tcW w:w="2337"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FY 2023</w:t>
            </w:r>
          </w:p>
        </w:tc>
        <w:tc>
          <w:tcPr>
            <w:tcW w:w="1870"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FY 2024</w:t>
            </w:r>
          </w:p>
        </w:tc>
      </w:tr>
      <w:tr w:rsidR="007E507D" w:rsidTr="00DC42E6">
        <w:trPr>
          <w:trHeight w:val="512"/>
        </w:trPr>
        <w:tc>
          <w:tcPr>
            <w:tcW w:w="4435"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Earnings per share</w:t>
            </w:r>
          </w:p>
        </w:tc>
        <w:tc>
          <w:tcPr>
            <w:tcW w:w="2337"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19.4p</w:t>
            </w:r>
          </w:p>
        </w:tc>
        <w:tc>
          <w:tcPr>
            <w:tcW w:w="1870"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8.7p</w:t>
            </w:r>
          </w:p>
        </w:tc>
      </w:tr>
      <w:tr w:rsidR="007E507D" w:rsidTr="00DC42E6">
        <w:trPr>
          <w:trHeight w:val="512"/>
        </w:trPr>
        <w:tc>
          <w:tcPr>
            <w:tcW w:w="4435"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Dividend cover (times)</w:t>
            </w:r>
          </w:p>
        </w:tc>
        <w:tc>
          <w:tcPr>
            <w:tcW w:w="2337"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2.52x</w:t>
            </w:r>
          </w:p>
        </w:tc>
        <w:tc>
          <w:tcPr>
            <w:tcW w:w="1870"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1.07x</w:t>
            </w:r>
          </w:p>
        </w:tc>
      </w:tr>
      <w:tr w:rsidR="007E507D" w:rsidTr="00DC42E6">
        <w:trPr>
          <w:trHeight w:val="496"/>
        </w:trPr>
        <w:tc>
          <w:tcPr>
            <w:tcW w:w="4435"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Dividend yield</w:t>
            </w:r>
          </w:p>
        </w:tc>
        <w:tc>
          <w:tcPr>
            <w:tcW w:w="2337"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5.31%</w:t>
            </w:r>
          </w:p>
        </w:tc>
        <w:tc>
          <w:tcPr>
            <w:tcW w:w="1870"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4.95%</w:t>
            </w:r>
          </w:p>
        </w:tc>
      </w:tr>
      <w:tr w:rsidR="007E507D" w:rsidTr="00DC42E6">
        <w:trPr>
          <w:trHeight w:val="512"/>
        </w:trPr>
        <w:tc>
          <w:tcPr>
            <w:tcW w:w="4435"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Interest cover</w:t>
            </w:r>
          </w:p>
        </w:tc>
        <w:tc>
          <w:tcPr>
            <w:tcW w:w="2337"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3.39x</w:t>
            </w:r>
          </w:p>
        </w:tc>
        <w:tc>
          <w:tcPr>
            <w:tcW w:w="1870"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2.61x</w:t>
            </w:r>
          </w:p>
        </w:tc>
      </w:tr>
      <w:tr w:rsidR="007E507D" w:rsidTr="00DC42E6">
        <w:trPr>
          <w:trHeight w:val="512"/>
        </w:trPr>
        <w:tc>
          <w:tcPr>
            <w:tcW w:w="4435"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Return on equity</w:t>
            </w:r>
          </w:p>
        </w:tc>
        <w:tc>
          <w:tcPr>
            <w:tcW w:w="2337"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15.18%</w:t>
            </w:r>
          </w:p>
        </w:tc>
        <w:tc>
          <w:tcPr>
            <w:tcW w:w="1870"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7.30%</w:t>
            </w:r>
          </w:p>
        </w:tc>
      </w:tr>
      <w:tr w:rsidR="007E507D" w:rsidTr="00DC42E6">
        <w:trPr>
          <w:trHeight w:val="512"/>
        </w:trPr>
        <w:tc>
          <w:tcPr>
            <w:tcW w:w="4435"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Price/earnings</w:t>
            </w:r>
          </w:p>
        </w:tc>
        <w:tc>
          <w:tcPr>
            <w:tcW w:w="2337"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7.47X</w:t>
            </w:r>
          </w:p>
        </w:tc>
        <w:tc>
          <w:tcPr>
            <w:tcW w:w="1870" w:type="dxa"/>
          </w:tcPr>
          <w:p w:rsidR="007E507D" w:rsidRDefault="007E507D" w:rsidP="0088378B">
            <w:pPr>
              <w:spacing w:line="360" w:lineRule="auto"/>
              <w:jc w:val="both"/>
              <w:rPr>
                <w:rFonts w:ascii="Times New Roman" w:hAnsi="Times New Roman" w:cs="Times New Roman"/>
                <w:sz w:val="24"/>
              </w:rPr>
            </w:pPr>
            <w:r>
              <w:rPr>
                <w:rFonts w:ascii="Times New Roman" w:hAnsi="Times New Roman" w:cs="Times New Roman"/>
                <w:sz w:val="24"/>
              </w:rPr>
              <w:t>18.97X</w:t>
            </w:r>
          </w:p>
        </w:tc>
      </w:tr>
    </w:tbl>
    <w:p w:rsidR="007D273A" w:rsidRPr="007D273A" w:rsidRDefault="007D273A" w:rsidP="0088378B">
      <w:pPr>
        <w:spacing w:line="360" w:lineRule="auto"/>
        <w:jc w:val="both"/>
        <w:rPr>
          <w:rFonts w:ascii="Times New Roman" w:hAnsi="Times New Roman" w:cs="Times New Roman"/>
          <w:sz w:val="24"/>
        </w:rPr>
      </w:pPr>
    </w:p>
    <w:p w:rsidR="00C1349D" w:rsidRDefault="00843F85" w:rsidP="0088378B">
      <w:pPr>
        <w:spacing w:line="360" w:lineRule="auto"/>
        <w:jc w:val="both"/>
        <w:rPr>
          <w:rFonts w:ascii="Times New Roman" w:hAnsi="Times New Roman" w:cs="Times New Roman"/>
          <w:sz w:val="24"/>
        </w:rPr>
      </w:pPr>
      <w:r w:rsidRPr="00843F85">
        <w:rPr>
          <w:rFonts w:ascii="Times New Roman" w:hAnsi="Times New Roman" w:cs="Times New Roman"/>
          <w:sz w:val="24"/>
        </w:rPr>
        <w:t>The results released by BT Group for FY2024 show that the company is under significant pressure from the investor community. The earnings per share (EPS) declined 55% to 8.7p, mainly due to a £488m goodwill impairment and increased interest costs (BT Group, 2024); an indicator of less profitability and less ability to reinvest back into the business (Atrill &amp; McLaney, 2022). The company was able to maintain the dividend paid during the year (8.16p); however, the sustainability of the dividend is dubious as the dividend cover dropped to 1.1x (Arnold, 2019). The dividend yield is relatively attractive at about 5% (compared to the FTSE 100 median of 3.7%); however, there is a risk of being a 'value trap' if there is cash flow deterioration (Vernimmen et al., 2022). Contradicting the decline in EPS, the price to earnings (P/E) ratio jumped from 7.5 x to 19x; reflecting the optimism in the market, that BT is a defensive business with cash flows derived from its infra-structure. This much-elevated P/E (in comparison to its peers; such as Vodafone) leaves BT vulnerable to any earnings surprises dissipating.</w:t>
      </w:r>
    </w:p>
    <w:p w:rsidR="00A6064F" w:rsidRDefault="00A6064F" w:rsidP="0088378B">
      <w:pPr>
        <w:spacing w:line="360" w:lineRule="auto"/>
        <w:jc w:val="both"/>
        <w:rPr>
          <w:rFonts w:ascii="Times New Roman" w:hAnsi="Times New Roman" w:cs="Times New Roman"/>
          <w:sz w:val="24"/>
        </w:rPr>
      </w:pPr>
    </w:p>
    <w:p w:rsidR="00A6064F" w:rsidRDefault="00A6064F" w:rsidP="0088378B">
      <w:pPr>
        <w:spacing w:line="360" w:lineRule="auto"/>
        <w:jc w:val="both"/>
        <w:rPr>
          <w:rFonts w:ascii="Times New Roman" w:hAnsi="Times New Roman" w:cs="Times New Roman"/>
          <w:sz w:val="24"/>
        </w:rPr>
      </w:pPr>
    </w:p>
    <w:p w:rsidR="000906C6" w:rsidRDefault="000906C6" w:rsidP="000906C6">
      <w:pPr>
        <w:pStyle w:val="Heading1"/>
        <w:rPr>
          <w:rStyle w:val="Strong"/>
          <w:rFonts w:ascii="Times New Roman" w:hAnsi="Times New Roman" w:cs="Times New Roman"/>
          <w:bCs w:val="0"/>
          <w:color w:val="auto"/>
        </w:rPr>
      </w:pPr>
      <w:bookmarkStart w:id="7" w:name="_Toc203731975"/>
      <w:r w:rsidRPr="000906C6">
        <w:rPr>
          <w:rStyle w:val="Strong"/>
          <w:rFonts w:ascii="Times New Roman" w:hAnsi="Times New Roman" w:cs="Times New Roman"/>
          <w:bCs w:val="0"/>
          <w:color w:val="auto"/>
        </w:rPr>
        <w:t>BT Group vs. Industry</w:t>
      </w:r>
      <w:r>
        <w:rPr>
          <w:rStyle w:val="Strong"/>
          <w:rFonts w:ascii="Times New Roman" w:hAnsi="Times New Roman" w:cs="Times New Roman"/>
          <w:bCs w:val="0"/>
          <w:color w:val="auto"/>
        </w:rPr>
        <w:t xml:space="preserve"> (FY 2024)</w:t>
      </w:r>
      <w:bookmarkEnd w:id="7"/>
    </w:p>
    <w:p w:rsidR="000906C6" w:rsidRPr="000906C6" w:rsidRDefault="000906C6" w:rsidP="000906C6">
      <w:pPr>
        <w:rPr>
          <w:lang w:val="en-IN"/>
        </w:rPr>
      </w:pPr>
    </w:p>
    <w:tbl>
      <w:tblPr>
        <w:tblW w:w="8948" w:type="dxa"/>
        <w:tblLook w:val="04A0" w:firstRow="1" w:lastRow="0" w:firstColumn="1" w:lastColumn="0" w:noHBand="0" w:noVBand="1"/>
      </w:tblPr>
      <w:tblGrid>
        <w:gridCol w:w="1954"/>
        <w:gridCol w:w="1587"/>
        <w:gridCol w:w="2012"/>
        <w:gridCol w:w="1587"/>
        <w:gridCol w:w="1808"/>
      </w:tblGrid>
      <w:tr w:rsidR="000906C6" w:rsidRPr="00C23C7C" w:rsidTr="00153CA5">
        <w:trPr>
          <w:trHeight w:val="1049"/>
        </w:trPr>
        <w:tc>
          <w:tcPr>
            <w:tcW w:w="1954"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bookmarkStart w:id="8" w:name="_Toc203646845"/>
            <w:r w:rsidRPr="00C23C7C">
              <w:rPr>
                <w:rFonts w:ascii="Times New Roman" w:eastAsia="Times New Roman" w:hAnsi="Times New Roman" w:cs="Times New Roman"/>
                <w:b/>
                <w:bCs/>
                <w:sz w:val="24"/>
                <w:szCs w:val="24"/>
                <w:lang w:val="en-IN" w:eastAsia="en-IN"/>
              </w:rPr>
              <w:t>Ratio</w:t>
            </w:r>
          </w:p>
        </w:tc>
        <w:tc>
          <w:tcPr>
            <w:tcW w:w="1587" w:type="dxa"/>
            <w:tcBorders>
              <w:top w:val="single" w:sz="4" w:space="0" w:color="auto"/>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BT Group</w:t>
            </w:r>
          </w:p>
        </w:tc>
        <w:tc>
          <w:tcPr>
            <w:tcW w:w="2012" w:type="dxa"/>
            <w:tcBorders>
              <w:top w:val="single" w:sz="4" w:space="0" w:color="auto"/>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Vodafone</w:t>
            </w:r>
          </w:p>
        </w:tc>
        <w:tc>
          <w:tcPr>
            <w:tcW w:w="1587" w:type="dxa"/>
            <w:tcBorders>
              <w:top w:val="single" w:sz="4" w:space="0" w:color="auto"/>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Virgin Media O2</w:t>
            </w:r>
          </w:p>
        </w:tc>
        <w:tc>
          <w:tcPr>
            <w:tcW w:w="1808" w:type="dxa"/>
            <w:tcBorders>
              <w:top w:val="single" w:sz="4" w:space="0" w:color="auto"/>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Industry Avg.</w:t>
            </w:r>
          </w:p>
        </w:tc>
      </w:tr>
      <w:tr w:rsidR="000906C6" w:rsidRPr="00C23C7C" w:rsidTr="00153CA5">
        <w:trPr>
          <w:trHeight w:val="787"/>
        </w:trPr>
        <w:tc>
          <w:tcPr>
            <w:tcW w:w="1954" w:type="dxa"/>
            <w:tcBorders>
              <w:top w:val="nil"/>
              <w:left w:val="single" w:sz="4" w:space="0" w:color="auto"/>
              <w:bottom w:val="single" w:sz="4" w:space="0" w:color="auto"/>
              <w:right w:val="single" w:sz="4" w:space="0" w:color="auto"/>
            </w:tcBorders>
            <w:shd w:val="clear" w:color="000000" w:fill="FFFFFF"/>
            <w:vAlign w:val="center"/>
            <w:hideMark/>
          </w:tcPr>
          <w:p w:rsidR="00C23C7C" w:rsidRPr="00C23C7C" w:rsidRDefault="00C23C7C" w:rsidP="000906C6">
            <w:pPr>
              <w:spacing w:after="0" w:line="360" w:lineRule="auto"/>
              <w:ind w:firstLineChars="100" w:firstLine="240"/>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Return on Capital Employed</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5.28%</w:t>
            </w:r>
          </w:p>
        </w:tc>
        <w:tc>
          <w:tcPr>
            <w:tcW w:w="2012"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6.50%</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7.20%</w:t>
            </w:r>
          </w:p>
        </w:tc>
        <w:tc>
          <w:tcPr>
            <w:tcW w:w="1808"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6.30%</w:t>
            </w:r>
          </w:p>
        </w:tc>
      </w:tr>
      <w:tr w:rsidR="000906C6" w:rsidRPr="00C23C7C" w:rsidTr="00153CA5">
        <w:trPr>
          <w:trHeight w:val="1049"/>
        </w:trPr>
        <w:tc>
          <w:tcPr>
            <w:tcW w:w="1954" w:type="dxa"/>
            <w:tcBorders>
              <w:top w:val="nil"/>
              <w:left w:val="single" w:sz="4" w:space="0" w:color="auto"/>
              <w:bottom w:val="single" w:sz="4" w:space="0" w:color="auto"/>
              <w:right w:val="single" w:sz="4" w:space="0" w:color="auto"/>
            </w:tcBorders>
            <w:shd w:val="clear" w:color="000000" w:fill="FFFFFF"/>
            <w:vAlign w:val="center"/>
            <w:hideMark/>
          </w:tcPr>
          <w:p w:rsidR="00C23C7C" w:rsidRPr="00C23C7C" w:rsidRDefault="00C23C7C" w:rsidP="000906C6">
            <w:pPr>
              <w:spacing w:after="0" w:line="360" w:lineRule="auto"/>
              <w:ind w:firstLineChars="100" w:firstLine="240"/>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Net Profit Margin</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4.11%</w:t>
            </w:r>
          </w:p>
        </w:tc>
        <w:tc>
          <w:tcPr>
            <w:tcW w:w="2012"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5.80%</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8.10%</w:t>
            </w:r>
          </w:p>
        </w:tc>
        <w:tc>
          <w:tcPr>
            <w:tcW w:w="1808"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6.00%</w:t>
            </w:r>
          </w:p>
        </w:tc>
      </w:tr>
      <w:tr w:rsidR="000906C6" w:rsidRPr="00C23C7C" w:rsidTr="00153CA5">
        <w:trPr>
          <w:trHeight w:val="787"/>
        </w:trPr>
        <w:tc>
          <w:tcPr>
            <w:tcW w:w="1954" w:type="dxa"/>
            <w:tcBorders>
              <w:top w:val="nil"/>
              <w:left w:val="single" w:sz="4" w:space="0" w:color="auto"/>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Current Ratio</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0.85</w:t>
            </w:r>
          </w:p>
        </w:tc>
        <w:tc>
          <w:tcPr>
            <w:tcW w:w="2012"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0.93</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1.1</w:t>
            </w:r>
          </w:p>
        </w:tc>
        <w:tc>
          <w:tcPr>
            <w:tcW w:w="1808"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w:t>
            </w:r>
          </w:p>
        </w:tc>
      </w:tr>
      <w:tr w:rsidR="000906C6" w:rsidRPr="00C23C7C" w:rsidTr="00153CA5">
        <w:trPr>
          <w:trHeight w:val="524"/>
        </w:trPr>
        <w:tc>
          <w:tcPr>
            <w:tcW w:w="1954" w:type="dxa"/>
            <w:tcBorders>
              <w:top w:val="nil"/>
              <w:left w:val="single" w:sz="4" w:space="0" w:color="auto"/>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Gearing Ratio</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60.88%</w:t>
            </w:r>
          </w:p>
        </w:tc>
        <w:tc>
          <w:tcPr>
            <w:tcW w:w="2012"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55.20%</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48.60%</w:t>
            </w:r>
          </w:p>
        </w:tc>
        <w:tc>
          <w:tcPr>
            <w:tcW w:w="1808"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54.90%</w:t>
            </w:r>
          </w:p>
        </w:tc>
      </w:tr>
      <w:tr w:rsidR="000906C6" w:rsidRPr="00C23C7C" w:rsidTr="00153CA5">
        <w:trPr>
          <w:trHeight w:val="1049"/>
        </w:trPr>
        <w:tc>
          <w:tcPr>
            <w:tcW w:w="1954" w:type="dxa"/>
            <w:tcBorders>
              <w:top w:val="nil"/>
              <w:left w:val="single" w:sz="4" w:space="0" w:color="auto"/>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Dividend Cover</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1.07×</w:t>
            </w:r>
          </w:p>
        </w:tc>
        <w:tc>
          <w:tcPr>
            <w:tcW w:w="2012"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1.92×</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2.30×</w:t>
            </w:r>
          </w:p>
        </w:tc>
        <w:tc>
          <w:tcPr>
            <w:tcW w:w="1808"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1.80×</w:t>
            </w:r>
          </w:p>
        </w:tc>
      </w:tr>
      <w:tr w:rsidR="000906C6" w:rsidRPr="00C23C7C" w:rsidTr="00153CA5">
        <w:trPr>
          <w:trHeight w:val="787"/>
        </w:trPr>
        <w:tc>
          <w:tcPr>
            <w:tcW w:w="1954" w:type="dxa"/>
            <w:tcBorders>
              <w:top w:val="nil"/>
              <w:left w:val="single" w:sz="4" w:space="0" w:color="auto"/>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b/>
                <w:bCs/>
                <w:sz w:val="24"/>
                <w:szCs w:val="24"/>
                <w:lang w:val="en-IN" w:eastAsia="en-IN"/>
              </w:rPr>
            </w:pPr>
            <w:r w:rsidRPr="00C23C7C">
              <w:rPr>
                <w:rFonts w:ascii="Times New Roman" w:eastAsia="Times New Roman" w:hAnsi="Times New Roman" w:cs="Times New Roman"/>
                <w:b/>
                <w:bCs/>
                <w:sz w:val="24"/>
                <w:szCs w:val="24"/>
                <w:lang w:val="en-IN" w:eastAsia="en-IN"/>
              </w:rPr>
              <w:t>P/E Ratio</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18.97×</w:t>
            </w:r>
          </w:p>
        </w:tc>
        <w:tc>
          <w:tcPr>
            <w:tcW w:w="2012"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12.30×</w:t>
            </w:r>
          </w:p>
        </w:tc>
        <w:tc>
          <w:tcPr>
            <w:tcW w:w="1587"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15.80×</w:t>
            </w:r>
          </w:p>
        </w:tc>
        <w:tc>
          <w:tcPr>
            <w:tcW w:w="1808" w:type="dxa"/>
            <w:tcBorders>
              <w:top w:val="nil"/>
              <w:left w:val="nil"/>
              <w:bottom w:val="single" w:sz="4" w:space="0" w:color="auto"/>
              <w:right w:val="single" w:sz="4" w:space="0" w:color="auto"/>
            </w:tcBorders>
            <w:shd w:val="clear" w:color="000000" w:fill="FFFFFF"/>
            <w:vAlign w:val="center"/>
            <w:hideMark/>
          </w:tcPr>
          <w:p w:rsidR="00C23C7C" w:rsidRPr="00C23C7C" w:rsidRDefault="00C23C7C" w:rsidP="00C23C7C">
            <w:pPr>
              <w:spacing w:after="0" w:line="360" w:lineRule="auto"/>
              <w:ind w:firstLineChars="100" w:firstLine="240"/>
              <w:jc w:val="both"/>
              <w:rPr>
                <w:rFonts w:ascii="Times New Roman" w:eastAsia="Times New Roman" w:hAnsi="Times New Roman" w:cs="Times New Roman"/>
                <w:sz w:val="24"/>
                <w:szCs w:val="24"/>
                <w:lang w:val="en-IN" w:eastAsia="en-IN"/>
              </w:rPr>
            </w:pPr>
            <w:r w:rsidRPr="00C23C7C">
              <w:rPr>
                <w:rFonts w:ascii="Times New Roman" w:eastAsia="Times New Roman" w:hAnsi="Times New Roman" w:cs="Times New Roman"/>
                <w:sz w:val="24"/>
                <w:szCs w:val="24"/>
                <w:lang w:val="en-IN" w:eastAsia="en-IN"/>
              </w:rPr>
              <w:t>15.70×</w:t>
            </w:r>
          </w:p>
        </w:tc>
      </w:tr>
    </w:tbl>
    <w:p w:rsidR="000906C6" w:rsidRDefault="000906C6" w:rsidP="000906C6">
      <w:pPr>
        <w:jc w:val="both"/>
        <w:rPr>
          <w:rStyle w:val="Emphasis"/>
          <w:rFonts w:ascii="Times New Roman" w:hAnsi="Times New Roman" w:cs="Times New Roman"/>
          <w:i w:val="0"/>
          <w:sz w:val="24"/>
          <w:shd w:val="clear" w:color="auto" w:fill="FFFFFF"/>
        </w:rPr>
      </w:pPr>
      <w:r w:rsidRPr="000906C6">
        <w:rPr>
          <w:rStyle w:val="Emphasis"/>
          <w:rFonts w:ascii="Times New Roman" w:hAnsi="Times New Roman" w:cs="Times New Roman"/>
          <w:i w:val="0"/>
          <w:sz w:val="24"/>
          <w:shd w:val="clear" w:color="auto" w:fill="FFFFFF"/>
        </w:rPr>
        <w:t>Sources: Vodafone Annual Report (2024), Liberty Global (Virgin Media O2) filings (2024), Ofcom Industry Benchmark (2024).</w:t>
      </w:r>
    </w:p>
    <w:p w:rsidR="001118CD" w:rsidRPr="001118CD" w:rsidRDefault="001118CD" w:rsidP="001118CD">
      <w:pPr>
        <w:spacing w:line="360" w:lineRule="auto"/>
        <w:jc w:val="both"/>
        <w:rPr>
          <w:rStyle w:val="Strong"/>
          <w:rFonts w:ascii="Times New Roman" w:hAnsi="Times New Roman" w:cs="Times New Roman"/>
          <w:b w:val="0"/>
          <w:bCs w:val="0"/>
          <w:sz w:val="24"/>
        </w:rPr>
      </w:pPr>
      <w:r w:rsidRPr="001118CD">
        <w:rPr>
          <w:rStyle w:val="Strong"/>
          <w:rFonts w:ascii="Times New Roman" w:hAnsi="Times New Roman" w:cs="Times New Roman"/>
          <w:b w:val="0"/>
          <w:bCs w:val="0"/>
          <w:sz w:val="24"/>
        </w:rPr>
        <w:t>BT Group underperforms its main competitors on all key financial metrics. ROCE (5.28%) trails Vodafone (6.50%) and Virgin Media O2 (7.20%), indicating inefficient capital deployed to fiber/5G investments. Net profit margin (4.11%) was the lowest of peers - a much worse position after £822M of one-</w:t>
      </w:r>
      <w:r w:rsidR="001E3B5A">
        <w:rPr>
          <w:rStyle w:val="Strong"/>
          <w:rFonts w:ascii="Times New Roman" w:hAnsi="Times New Roman" w:cs="Times New Roman"/>
          <w:b w:val="0"/>
          <w:bCs w:val="0"/>
          <w:sz w:val="24"/>
        </w:rPr>
        <w:t>off costs and regulatory fines.</w:t>
      </w:r>
    </w:p>
    <w:p w:rsidR="001118CD" w:rsidRPr="001118CD" w:rsidRDefault="001118CD" w:rsidP="001118CD">
      <w:pPr>
        <w:spacing w:line="360" w:lineRule="auto"/>
        <w:jc w:val="both"/>
        <w:rPr>
          <w:rStyle w:val="Strong"/>
          <w:rFonts w:ascii="Times New Roman" w:hAnsi="Times New Roman" w:cs="Times New Roman"/>
          <w:b w:val="0"/>
          <w:bCs w:val="0"/>
          <w:sz w:val="24"/>
        </w:rPr>
      </w:pPr>
      <w:r w:rsidRPr="001118CD">
        <w:rPr>
          <w:rStyle w:val="Strong"/>
          <w:rFonts w:ascii="Times New Roman" w:hAnsi="Times New Roman" w:cs="Times New Roman"/>
          <w:b w:val="0"/>
          <w:bCs w:val="0"/>
          <w:sz w:val="24"/>
        </w:rPr>
        <w:t>BT's liquidity (current ratio: 0.85) is less favorable than Vodafone (current ratio: 0.93) and Virgin Media O2 (current ratio: 1.10), which limits operational flexibility.  BT's gearing is at an alarming (60.88%), above the industry norm (54.90%) and dividend cover (1.07×) is also half of Vodafone's (1.92×) indicating considerable financial pressure. BT's P/E ratio (18.97× vs industry average 15.70×) indicates that some investors are overly optimistic about BT's turnaround capabilities, despite all fundamental factors indicating weakness.</w:t>
      </w:r>
    </w:p>
    <w:p w:rsidR="00E557AE" w:rsidRPr="000906C6" w:rsidRDefault="00E557AE" w:rsidP="000906C6">
      <w:pPr>
        <w:pStyle w:val="Heading1"/>
        <w:spacing w:line="360" w:lineRule="auto"/>
        <w:jc w:val="both"/>
        <w:rPr>
          <w:rStyle w:val="Strong"/>
          <w:rFonts w:ascii="Times New Roman" w:hAnsi="Times New Roman" w:cs="Times New Roman"/>
          <w:bCs w:val="0"/>
          <w:color w:val="auto"/>
        </w:rPr>
      </w:pPr>
      <w:bookmarkStart w:id="9" w:name="_Toc203731976"/>
      <w:r w:rsidRPr="000906C6">
        <w:rPr>
          <w:rStyle w:val="Strong"/>
          <w:rFonts w:ascii="Times New Roman" w:hAnsi="Times New Roman" w:cs="Times New Roman"/>
          <w:bCs w:val="0"/>
          <w:color w:val="auto"/>
        </w:rPr>
        <w:t>Critical Evaluation</w:t>
      </w:r>
      <w:bookmarkEnd w:id="8"/>
      <w:bookmarkEnd w:id="9"/>
    </w:p>
    <w:p w:rsidR="00B97900" w:rsidRDefault="00AE044B" w:rsidP="0088378B">
      <w:pPr>
        <w:pStyle w:val="ListParagraph"/>
        <w:numPr>
          <w:ilvl w:val="0"/>
          <w:numId w:val="8"/>
        </w:numPr>
        <w:spacing w:line="360" w:lineRule="auto"/>
        <w:jc w:val="both"/>
        <w:rPr>
          <w:rFonts w:ascii="Times New Roman" w:hAnsi="Times New Roman" w:cs="Times New Roman"/>
          <w:sz w:val="24"/>
        </w:rPr>
      </w:pPr>
      <w:r w:rsidRPr="00AE044B">
        <w:rPr>
          <w:rFonts w:ascii="Times New Roman" w:hAnsi="Times New Roman" w:cs="Times New Roman"/>
          <w:b/>
          <w:sz w:val="24"/>
        </w:rPr>
        <w:t>Revenue and Cost Dynamics: -</w:t>
      </w:r>
      <w:r>
        <w:rPr>
          <w:rFonts w:ascii="Times New Roman" w:hAnsi="Times New Roman" w:cs="Times New Roman"/>
          <w:sz w:val="24"/>
        </w:rPr>
        <w:t xml:space="preserve"> </w:t>
      </w:r>
      <w:r w:rsidRPr="00AE044B">
        <w:rPr>
          <w:rFonts w:ascii="Times New Roman" w:hAnsi="Times New Roman" w:cs="Times New Roman"/>
          <w:sz w:val="24"/>
        </w:rPr>
        <w:t>Total revenue increas</w:t>
      </w:r>
      <w:r>
        <w:rPr>
          <w:rFonts w:ascii="Times New Roman" w:hAnsi="Times New Roman" w:cs="Times New Roman"/>
          <w:sz w:val="24"/>
        </w:rPr>
        <w:t xml:space="preserve">ed slightly (by 0.6%) in FY </w:t>
      </w:r>
      <w:r w:rsidRPr="00AE044B">
        <w:rPr>
          <w:rFonts w:ascii="Times New Roman" w:hAnsi="Times New Roman" w:cs="Times New Roman"/>
          <w:sz w:val="24"/>
        </w:rPr>
        <w:t>2024 to £20.8 billion. Total operating expenses (excluding specific items) increased 2.9% to £18.6 billion (BT Group plc, 2024). The small increase in total income is predominantly due to increased consumer broadband and EE mobile subscriber numbers. Falls in old copper and legacy call incomes in the Consumer and Enterprise segments offset the increase. Increased costs, especially of energy, wages and the write down of the network reduced the operating margin fro</w:t>
      </w:r>
      <w:r>
        <w:rPr>
          <w:rFonts w:ascii="Times New Roman" w:hAnsi="Times New Roman" w:cs="Times New Roman"/>
          <w:sz w:val="24"/>
        </w:rPr>
        <w:t>m 12.7%, to 10.7% in FY</w:t>
      </w:r>
      <w:r w:rsidRPr="00AE044B">
        <w:rPr>
          <w:rFonts w:ascii="Times New Roman" w:hAnsi="Times New Roman" w:cs="Times New Roman"/>
          <w:sz w:val="24"/>
        </w:rPr>
        <w:t xml:space="preserve"> 2024. McKinsey (2023), states that for telecoms that have a large cash requirement, increased prices can quickly eat into profit margins without a plan for reducing expenses.</w:t>
      </w:r>
    </w:p>
    <w:p w:rsidR="00B46BCE" w:rsidRDefault="00B46BCE" w:rsidP="0088378B">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b/>
          <w:sz w:val="24"/>
        </w:rPr>
        <w:t>Profitability and Earning:</w:t>
      </w:r>
      <w:r>
        <w:rPr>
          <w:rFonts w:ascii="Times New Roman" w:hAnsi="Times New Roman" w:cs="Times New Roman"/>
          <w:sz w:val="24"/>
        </w:rPr>
        <w:t xml:space="preserve"> - </w:t>
      </w:r>
      <w:r w:rsidRPr="00B46BCE">
        <w:rPr>
          <w:rFonts w:ascii="Times New Roman" w:hAnsi="Times New Roman" w:cs="Times New Roman"/>
          <w:sz w:val="24"/>
        </w:rPr>
        <w:t>Profit after tax decreased by 55 % to £855 million, mainly due to a £488 million goodwill impairment in the Global/Business unit and an increase in net finance costs of 33 %. As a result, basic EPS reduced from 19.4 p to 8.7 p. These one-off impairments, while non-cash, indicate management's reassessment of future cash flows for some businesses, as required under IAS 36 (see Kieso, Weygandt and Warfield, 2020). Underlying EBITDA, after adjusting for specific items, was broadly the same, which points to a clear cyclically and a partly structural earnings decline.</w:t>
      </w:r>
    </w:p>
    <w:p w:rsidR="00B46BCE" w:rsidRPr="00B46BCE" w:rsidRDefault="00B46BCE" w:rsidP="0088378B">
      <w:pPr>
        <w:pStyle w:val="ListParagraph"/>
        <w:numPr>
          <w:ilvl w:val="0"/>
          <w:numId w:val="8"/>
        </w:numPr>
        <w:spacing w:line="360" w:lineRule="auto"/>
        <w:jc w:val="both"/>
        <w:rPr>
          <w:rFonts w:ascii="Times New Roman" w:hAnsi="Times New Roman" w:cs="Times New Roman"/>
          <w:sz w:val="28"/>
        </w:rPr>
      </w:pPr>
      <w:r w:rsidRPr="00B46BCE">
        <w:rPr>
          <w:rFonts w:ascii="Times New Roman" w:hAnsi="Times New Roman" w:cs="Times New Roman"/>
          <w:b/>
          <w:sz w:val="24"/>
        </w:rPr>
        <w:t>Liquidity and Working</w:t>
      </w:r>
      <w:r w:rsidRPr="00B46BCE">
        <w:rPr>
          <w:rFonts w:ascii="Times New Roman" w:hAnsi="Times New Roman" w:cs="Times New Roman"/>
          <w:b/>
          <w:sz w:val="24"/>
        </w:rPr>
        <w:noBreakHyphen/>
        <w:t>Capital Efficiency</w:t>
      </w:r>
      <w:r>
        <w:rPr>
          <w:rFonts w:ascii="Times New Roman" w:hAnsi="Times New Roman" w:cs="Times New Roman"/>
          <w:b/>
          <w:sz w:val="24"/>
        </w:rPr>
        <w:t xml:space="preserve">: - </w:t>
      </w:r>
      <w:r w:rsidR="00DB7881" w:rsidRPr="00DB7881">
        <w:rPr>
          <w:rFonts w:ascii="Times New Roman" w:hAnsi="Times New Roman" w:cs="Times New Roman"/>
          <w:sz w:val="24"/>
        </w:rPr>
        <w:t>BT Group's liquidity appears to be consistent, with current and quick ratios of 0.85 and 0.82 suggesting that the liquidity measures are consistent with liquidity difficulties. Working capital measures are mixed. Inventory days increased from 51 to 64 days, potentially due to a planned accumulation of fibre product inventory. Debtor days slightly improved from 60 to 59 days, suggesting minor changes to credit management. Overall creditor days are roughly at 195 days, showing the extent to which the compan</w:t>
      </w:r>
      <w:bookmarkStart w:id="10" w:name="_GoBack"/>
      <w:bookmarkEnd w:id="10"/>
      <w:r w:rsidR="00DB7881" w:rsidRPr="00DB7881">
        <w:rPr>
          <w:rFonts w:ascii="Times New Roman" w:hAnsi="Times New Roman" w:cs="Times New Roman"/>
          <w:sz w:val="24"/>
        </w:rPr>
        <w:t>y manages its cash flow through renegotiation of supplier terms (BT Group plc, 2024). While the difference between debtor days and creditor days may offer some short-term cash advantages, Atrill and McLaney (2022) suggest damaging relationships with suppliers if the difference becomes too large.</w:t>
      </w:r>
    </w:p>
    <w:p w:rsidR="00C1349D" w:rsidRPr="004C6936" w:rsidRDefault="00771F68" w:rsidP="006B75B0">
      <w:pPr>
        <w:pStyle w:val="ListParagraph"/>
        <w:numPr>
          <w:ilvl w:val="0"/>
          <w:numId w:val="8"/>
        </w:numPr>
        <w:spacing w:line="360" w:lineRule="auto"/>
        <w:jc w:val="both"/>
        <w:rPr>
          <w:rFonts w:ascii="Times New Roman" w:hAnsi="Times New Roman" w:cs="Times New Roman"/>
          <w:sz w:val="28"/>
        </w:rPr>
      </w:pPr>
      <w:r w:rsidRPr="00771F68">
        <w:rPr>
          <w:rFonts w:ascii="Times New Roman" w:hAnsi="Times New Roman" w:cs="Times New Roman"/>
          <w:b/>
          <w:sz w:val="24"/>
        </w:rPr>
        <w:t>Capital Structure and Gearing</w:t>
      </w:r>
      <w:r>
        <w:rPr>
          <w:rFonts w:ascii="Times New Roman" w:hAnsi="Times New Roman" w:cs="Times New Roman"/>
          <w:b/>
          <w:sz w:val="24"/>
        </w:rPr>
        <w:t xml:space="preserve">: - </w:t>
      </w:r>
      <w:r w:rsidRPr="00771F68">
        <w:rPr>
          <w:rFonts w:ascii="Times New Roman" w:hAnsi="Times New Roman" w:cs="Times New Roman"/>
          <w:sz w:val="24"/>
        </w:rPr>
        <w:t>Net debt increased by 3.3 percentage</w:t>
      </w:r>
      <w:r w:rsidR="004C6936">
        <w:rPr>
          <w:rFonts w:ascii="Times New Roman" w:hAnsi="Times New Roman" w:cs="Times New Roman"/>
          <w:sz w:val="24"/>
        </w:rPr>
        <w:t xml:space="preserve"> to £19.5 billion. D</w:t>
      </w:r>
      <w:r w:rsidRPr="00771F68">
        <w:rPr>
          <w:rFonts w:ascii="Times New Roman" w:hAnsi="Times New Roman" w:cs="Times New Roman"/>
          <w:sz w:val="24"/>
        </w:rPr>
        <w:t>ue to continued capital expenditure in fibre and 5G as well as pension deficit payments. Total equity declined because of lower retained earnings, with gearing increasing from ~60 % to ~62 %. The interest coverage ratio declined from 3.4 to 2.6 times due to rising finance expenses, as higher interest rates grew faster than earnings before interest and taxes. While high debt is normal for established telecom companies, a coverage ratio below 3 times puts more stress on credit rating flexibility (Moody's, 2024).</w:t>
      </w:r>
      <w:r w:rsidR="00DD2829">
        <w:rPr>
          <w:rFonts w:ascii="Times New Roman" w:hAnsi="Times New Roman" w:cs="Times New Roman"/>
          <w:sz w:val="24"/>
        </w:rPr>
        <w:t xml:space="preserve"> </w:t>
      </w:r>
      <w:r w:rsidR="006B75B0" w:rsidRPr="006B75B0">
        <w:rPr>
          <w:rFonts w:ascii="Times New Roman" w:hAnsi="Times New Roman" w:cs="Times New Roman"/>
          <w:sz w:val="24"/>
        </w:rPr>
        <w:t>Although BT's pension obligations are substantial, pension obligations are frequently not included in standard gearing evaluations. BT's long-term defined-benefit ob</w:t>
      </w:r>
      <w:r w:rsidR="00E6342E">
        <w:rPr>
          <w:rFonts w:ascii="Times New Roman" w:hAnsi="Times New Roman" w:cs="Times New Roman"/>
          <w:sz w:val="24"/>
        </w:rPr>
        <w:t>ligations are over £38 billion</w:t>
      </w:r>
      <w:r w:rsidR="006B75B0" w:rsidRPr="006B75B0">
        <w:rPr>
          <w:rFonts w:ascii="Times New Roman" w:hAnsi="Times New Roman" w:cs="Times New Roman"/>
          <w:sz w:val="24"/>
        </w:rPr>
        <w:t xml:space="preserve"> a significant liability that traditional gearing would exclude (BT Group plc, 2024).</w:t>
      </w:r>
      <w:r w:rsidR="006B75B0">
        <w:rPr>
          <w:rFonts w:ascii="Times New Roman" w:hAnsi="Times New Roman" w:cs="Times New Roman"/>
          <w:sz w:val="24"/>
        </w:rPr>
        <w:t xml:space="preserve"> </w:t>
      </w:r>
      <w:r w:rsidR="00DD2829" w:rsidRPr="00DD2829">
        <w:rPr>
          <w:rFonts w:ascii="Times New Roman" w:hAnsi="Times New Roman" w:cs="Times New Roman"/>
          <w:sz w:val="24"/>
        </w:rPr>
        <w:t>While pension obligations are long-term liabilities, they do impact credit ratings and how management can allocate additional capital. Contributions to fund future deficits may reduce the amounts available for paying shareholders dividends or for capital purposes, leading to financial instability (Atrill and McLaney, 2022).</w:t>
      </w:r>
    </w:p>
    <w:p w:rsidR="00C1349D" w:rsidRPr="007400E9" w:rsidRDefault="004C6936" w:rsidP="0088378B">
      <w:pPr>
        <w:pStyle w:val="ListParagraph"/>
        <w:numPr>
          <w:ilvl w:val="0"/>
          <w:numId w:val="8"/>
        </w:numPr>
        <w:spacing w:line="360" w:lineRule="auto"/>
        <w:jc w:val="both"/>
        <w:rPr>
          <w:rFonts w:ascii="Times New Roman" w:hAnsi="Times New Roman" w:cs="Times New Roman"/>
          <w:b/>
          <w:sz w:val="32"/>
        </w:rPr>
      </w:pPr>
      <w:r w:rsidRPr="004C6936">
        <w:rPr>
          <w:rFonts w:ascii="Times New Roman" w:hAnsi="Times New Roman" w:cs="Times New Roman"/>
          <w:b/>
          <w:sz w:val="24"/>
        </w:rPr>
        <w:t>Investor Ratios</w:t>
      </w:r>
      <w:r>
        <w:rPr>
          <w:rFonts w:ascii="Times New Roman" w:hAnsi="Times New Roman" w:cs="Times New Roman"/>
          <w:b/>
          <w:sz w:val="24"/>
        </w:rPr>
        <w:t xml:space="preserve">: - </w:t>
      </w:r>
      <w:r w:rsidRPr="004C6936">
        <w:rPr>
          <w:rFonts w:ascii="Times New Roman" w:hAnsi="Times New Roman" w:cs="Times New Roman"/>
          <w:sz w:val="24"/>
        </w:rPr>
        <w:t>Despite weaker earnings, BT’s share price increased from c. 145 p to 165 p, expanding the P/E from 7.5 × to ~19 ×. Dividend per share was nudged up to 8.16 p, but dividend cover slipped to 1.1 ×, signifying little cushion if earnings do not recover. Dividend yield decreased to 4.9 </w:t>
      </w:r>
      <w:r w:rsidR="00A3218A" w:rsidRPr="004C6936">
        <w:rPr>
          <w:rFonts w:ascii="Times New Roman" w:hAnsi="Times New Roman" w:cs="Times New Roman"/>
          <w:sz w:val="24"/>
        </w:rPr>
        <w:t>percentage</w:t>
      </w:r>
      <w:r w:rsidRPr="004C6936">
        <w:rPr>
          <w:rFonts w:ascii="Times New Roman" w:hAnsi="Times New Roman" w:cs="Times New Roman"/>
          <w:sz w:val="24"/>
        </w:rPr>
        <w:t>, still attractive relative to the FTSE 100 median but vulnerable if cash flows become precarious (Arnold</w:t>
      </w:r>
      <w:r w:rsidR="00A3218A" w:rsidRPr="004C6936">
        <w:rPr>
          <w:rFonts w:ascii="Times New Roman" w:hAnsi="Times New Roman" w:cs="Times New Roman"/>
          <w:sz w:val="24"/>
        </w:rPr>
        <w:t>,  </w:t>
      </w:r>
      <w:r w:rsidRPr="004C6936">
        <w:rPr>
          <w:rFonts w:ascii="Times New Roman" w:hAnsi="Times New Roman" w:cs="Times New Roman"/>
          <w:sz w:val="24"/>
        </w:rPr>
        <w:t>2019).</w:t>
      </w:r>
    </w:p>
    <w:p w:rsidR="00671DD4" w:rsidRPr="00671DD4" w:rsidRDefault="007400E9" w:rsidP="00671DD4">
      <w:pPr>
        <w:pStyle w:val="ListParagraph"/>
        <w:numPr>
          <w:ilvl w:val="0"/>
          <w:numId w:val="8"/>
        </w:numPr>
        <w:spacing w:line="360" w:lineRule="auto"/>
        <w:jc w:val="both"/>
        <w:rPr>
          <w:rFonts w:ascii="Times New Roman" w:hAnsi="Times New Roman" w:cs="Times New Roman"/>
          <w:b/>
        </w:rPr>
      </w:pPr>
      <w:r w:rsidRPr="00671DD4">
        <w:rPr>
          <w:rFonts w:ascii="Times New Roman" w:hAnsi="Times New Roman" w:cs="Times New Roman"/>
          <w:b/>
          <w:sz w:val="24"/>
          <w:szCs w:val="24"/>
        </w:rPr>
        <w:t xml:space="preserve">Strategic tread offs: - </w:t>
      </w:r>
      <w:r w:rsidR="00671DD4" w:rsidRPr="00671DD4">
        <w:rPr>
          <w:rFonts w:ascii="Times New Roman" w:hAnsi="Times New Roman" w:cs="Times New Roman"/>
          <w:sz w:val="24"/>
          <w:shd w:val="clear" w:color="auto" w:fill="FFFFFF"/>
        </w:rPr>
        <w:t>BT's dual emphasis on dividends and infrastructure investment raises questions regarding capital allocation efficiency. The opportunity cost of funding both activities, especially with a dividend cover ratio of 1.07×, is high. Long-term value creation is likely to be dependent on a shift towards infrastructure reinvestment (Arnold, 2019; BT Group plc, 2024).</w:t>
      </w:r>
    </w:p>
    <w:p w:rsidR="00671DD4" w:rsidRDefault="00671DD4" w:rsidP="00671DD4">
      <w:pPr>
        <w:pStyle w:val="Heading2"/>
        <w:spacing w:line="360" w:lineRule="auto"/>
        <w:jc w:val="both"/>
        <w:rPr>
          <w:rFonts w:ascii="Times New Roman" w:hAnsi="Times New Roman" w:cs="Times New Roman"/>
          <w:b/>
          <w:color w:val="auto"/>
          <w:sz w:val="28"/>
        </w:rPr>
      </w:pPr>
      <w:bookmarkStart w:id="11" w:name="_Toc203731977"/>
      <w:r w:rsidRPr="00671DD4">
        <w:rPr>
          <w:rFonts w:ascii="Times New Roman" w:hAnsi="Times New Roman" w:cs="Times New Roman"/>
          <w:b/>
          <w:color w:val="auto"/>
          <w:sz w:val="28"/>
        </w:rPr>
        <w:t>Limitations of ratio analysis</w:t>
      </w:r>
      <w:bookmarkEnd w:id="11"/>
    </w:p>
    <w:p w:rsidR="00671DD4" w:rsidRDefault="00671DD4" w:rsidP="00671DD4">
      <w:pPr>
        <w:spacing w:line="360" w:lineRule="auto"/>
        <w:jc w:val="both"/>
        <w:rPr>
          <w:rFonts w:ascii="Times New Roman" w:hAnsi="Times New Roman" w:cs="Times New Roman"/>
          <w:sz w:val="24"/>
          <w:shd w:val="clear" w:color="auto" w:fill="FFFFFF"/>
        </w:rPr>
      </w:pPr>
      <w:r w:rsidRPr="00671DD4">
        <w:rPr>
          <w:rFonts w:ascii="Times New Roman" w:hAnsi="Times New Roman" w:cs="Times New Roman"/>
          <w:sz w:val="24"/>
          <w:shd w:val="clear" w:color="auto" w:fill="FFFFFF"/>
        </w:rPr>
        <w:t>While ratio analysis can be helpful, there are limitations. For instance, the effects of inflation undermine comparability. BT has £19.5bn of net debt and the company valuations of its assets (</w:t>
      </w:r>
      <w:r w:rsidR="001704E4" w:rsidRPr="00671DD4">
        <w:rPr>
          <w:rFonts w:ascii="Times New Roman" w:hAnsi="Times New Roman" w:cs="Times New Roman"/>
          <w:sz w:val="24"/>
          <w:shd w:val="clear" w:color="auto" w:fill="FFFFFF"/>
        </w:rPr>
        <w:t>e</w:t>
      </w:r>
      <w:r w:rsidR="001704E4">
        <w:rPr>
          <w:rFonts w:ascii="Times New Roman" w:hAnsi="Times New Roman" w:cs="Times New Roman"/>
          <w:sz w:val="24"/>
          <w:shd w:val="clear" w:color="auto" w:fill="FFFFFF"/>
        </w:rPr>
        <w:t>.</w:t>
      </w:r>
      <w:r w:rsidR="001704E4" w:rsidRPr="00671DD4">
        <w:rPr>
          <w:rFonts w:ascii="Times New Roman" w:hAnsi="Times New Roman" w:cs="Times New Roman"/>
          <w:sz w:val="24"/>
          <w:shd w:val="clear" w:color="auto" w:fill="FFFFFF"/>
        </w:rPr>
        <w:t>g.</w:t>
      </w:r>
      <w:r w:rsidRPr="00671DD4">
        <w:rPr>
          <w:rFonts w:ascii="Times New Roman" w:hAnsi="Times New Roman" w:cs="Times New Roman"/>
          <w:sz w:val="24"/>
          <w:shd w:val="clear" w:color="auto" w:fill="FFFFFF"/>
        </w:rPr>
        <w:t xml:space="preserve"> Brookfield has £170bn invested in infrastructure assets, BT’s network). These valuations are calculated using historic cost (BT Group, 2024, pp 88-89). Given that the average cost of inflation rat</w:t>
      </w:r>
      <w:r>
        <w:rPr>
          <w:rFonts w:ascii="Times New Roman" w:hAnsi="Times New Roman" w:cs="Times New Roman"/>
          <w:sz w:val="24"/>
          <w:shd w:val="clear" w:color="auto" w:fill="FFFFFF"/>
        </w:rPr>
        <w:t>e in the UK (7.4%)</w:t>
      </w:r>
      <w:r w:rsidR="001704E4">
        <w:rPr>
          <w:rFonts w:ascii="Times New Roman" w:hAnsi="Times New Roman" w:cs="Times New Roman"/>
          <w:sz w:val="24"/>
          <w:shd w:val="clear" w:color="auto" w:fill="FFFFFF"/>
        </w:rPr>
        <w:t>. Between</w:t>
      </w:r>
      <w:r>
        <w:rPr>
          <w:rFonts w:ascii="Times New Roman" w:hAnsi="Times New Roman" w:cs="Times New Roman"/>
          <w:sz w:val="24"/>
          <w:shd w:val="clear" w:color="auto" w:fill="FFFFFF"/>
        </w:rPr>
        <w:t xml:space="preserve"> 2023 to </w:t>
      </w:r>
      <w:r w:rsidRPr="00671DD4">
        <w:rPr>
          <w:rFonts w:ascii="Times New Roman" w:hAnsi="Times New Roman" w:cs="Times New Roman"/>
          <w:sz w:val="24"/>
          <w:shd w:val="clear" w:color="auto" w:fill="FFFFFF"/>
        </w:rPr>
        <w:t>2024 (Office for National Statistics, 2023) will understate replacement costs, and this can impair ratios such as ROCE. For example, BT’s revenue grew marginal</w:t>
      </w:r>
      <w:r w:rsidR="001704E4">
        <w:rPr>
          <w:rFonts w:ascii="Times New Roman" w:hAnsi="Times New Roman" w:cs="Times New Roman"/>
          <w:sz w:val="24"/>
          <w:shd w:val="clear" w:color="auto" w:fill="FFFFFF"/>
        </w:rPr>
        <w:t xml:space="preserve">ly 0.6% for the financial year, </w:t>
      </w:r>
      <w:r w:rsidRPr="00671DD4">
        <w:rPr>
          <w:rFonts w:ascii="Times New Roman" w:hAnsi="Times New Roman" w:cs="Times New Roman"/>
          <w:sz w:val="24"/>
          <w:shd w:val="clear" w:color="auto" w:fill="FFFFFF"/>
        </w:rPr>
        <w:t>which masks a decline in real t</w:t>
      </w:r>
      <w:r w:rsidR="001704E4">
        <w:rPr>
          <w:rFonts w:ascii="Times New Roman" w:hAnsi="Times New Roman" w:cs="Times New Roman"/>
          <w:sz w:val="24"/>
          <w:shd w:val="clear" w:color="auto" w:fill="FFFFFF"/>
        </w:rPr>
        <w:t>erms after inflation adjustment</w:t>
      </w:r>
      <w:r w:rsidRPr="00671DD4">
        <w:rPr>
          <w:rFonts w:ascii="Times New Roman" w:hAnsi="Times New Roman" w:cs="Times New Roman"/>
          <w:sz w:val="24"/>
          <w:shd w:val="clear" w:color="auto" w:fill="FFFFFF"/>
        </w:rPr>
        <w:t xml:space="preserve"> (Financial Times, 2024), with the energy tariffs (£312m increase) distorting the profit ratios (Bhimani, 2022, p. 118).</w:t>
      </w:r>
    </w:p>
    <w:p w:rsidR="00EA22F5" w:rsidRPr="00671DD4" w:rsidRDefault="00EA22F5" w:rsidP="00671DD4">
      <w:pPr>
        <w:pStyle w:val="Heading1"/>
        <w:spacing w:line="360" w:lineRule="auto"/>
        <w:jc w:val="both"/>
        <w:rPr>
          <w:rFonts w:ascii="Times New Roman" w:hAnsi="Times New Roman" w:cs="Times New Roman"/>
          <w:b/>
          <w:color w:val="auto"/>
        </w:rPr>
      </w:pPr>
      <w:bookmarkStart w:id="12" w:name="_Toc203731978"/>
      <w:r w:rsidRPr="00671DD4">
        <w:rPr>
          <w:rFonts w:ascii="Times New Roman" w:hAnsi="Times New Roman" w:cs="Times New Roman"/>
          <w:b/>
          <w:color w:val="auto"/>
        </w:rPr>
        <w:t>Application of Financial Theories to BT’s Strategic Environment</w:t>
      </w:r>
      <w:bookmarkEnd w:id="12"/>
    </w:p>
    <w:p w:rsidR="009173CF" w:rsidRDefault="00EA22F5" w:rsidP="009173CF">
      <w:pPr>
        <w:spacing w:line="360" w:lineRule="auto"/>
        <w:jc w:val="both"/>
        <w:rPr>
          <w:rFonts w:ascii="Times New Roman" w:hAnsi="Times New Roman" w:cs="Times New Roman"/>
          <w:sz w:val="24"/>
        </w:rPr>
      </w:pPr>
      <w:r w:rsidRPr="00EA22F5">
        <w:rPr>
          <w:rFonts w:ascii="Times New Roman" w:hAnsi="Times New Roman" w:cs="Times New Roman"/>
          <w:sz w:val="24"/>
        </w:rPr>
        <w:t xml:space="preserve">BT Group’s financial indicators, including its increase in gearing ratio and a decline in ROCE, indicate some of the limitations of orthodox capital structure theory, such as the work of Modigliani and Miller (1958), which assumes the existence of perfect markets. </w:t>
      </w:r>
      <w:bookmarkStart w:id="13" w:name="_Toc203646847"/>
      <w:r w:rsidR="00CC5074" w:rsidRPr="00CC5074">
        <w:rPr>
          <w:rFonts w:ascii="Times New Roman" w:hAnsi="Times New Roman" w:cs="Times New Roman"/>
          <w:sz w:val="24"/>
        </w:rPr>
        <w:t xml:space="preserve">Empirical research suggests that higher leverage during a structural realignment phase increases financial risk, which fits better with pecking order theory (Myers &amp; Majluf, 1984) than traditional capital structure theories. </w:t>
      </w:r>
      <w:r w:rsidR="009173CF" w:rsidRPr="009173CF">
        <w:rPr>
          <w:rFonts w:ascii="Times New Roman" w:hAnsi="Times New Roman" w:cs="Times New Roman"/>
          <w:sz w:val="24"/>
          <w:shd w:val="clear" w:color="auto" w:fill="FFFFFF"/>
        </w:rPr>
        <w:t>BT Group</w:t>
      </w:r>
      <w:r w:rsidR="009173CF" w:rsidRPr="009173CF">
        <w:rPr>
          <w:rStyle w:val="diff-highlight"/>
          <w:rFonts w:ascii="Times New Roman" w:hAnsi="Times New Roman" w:cs="Times New Roman"/>
          <w:sz w:val="24"/>
          <w:shd w:val="clear" w:color="auto" w:fill="FFFFFF"/>
        </w:rPr>
        <w:t>'</w:t>
      </w:r>
      <w:r w:rsidR="009173CF" w:rsidRPr="009173CF">
        <w:rPr>
          <w:rFonts w:ascii="Times New Roman" w:hAnsi="Times New Roman" w:cs="Times New Roman"/>
          <w:sz w:val="24"/>
          <w:shd w:val="clear" w:color="auto" w:fill="FFFFFF"/>
        </w:rPr>
        <w:t xml:space="preserve">s return on capital employed (ROCE) </w:t>
      </w:r>
      <w:r w:rsidR="009173CF" w:rsidRPr="009173CF">
        <w:rPr>
          <w:rStyle w:val="diff-highlight"/>
          <w:rFonts w:ascii="Times New Roman" w:hAnsi="Times New Roman" w:cs="Times New Roman"/>
          <w:sz w:val="24"/>
          <w:shd w:val="clear" w:color="auto" w:fill="FFFFFF"/>
        </w:rPr>
        <w:t>has fallen</w:t>
      </w:r>
      <w:r w:rsidR="009173CF" w:rsidRPr="009173CF">
        <w:rPr>
          <w:rFonts w:ascii="Times New Roman" w:hAnsi="Times New Roman" w:cs="Times New Roman"/>
          <w:sz w:val="24"/>
          <w:shd w:val="clear" w:color="auto" w:fill="FFFFFF"/>
        </w:rPr>
        <w:t xml:space="preserve"> from 6.18% to 5.28%, which </w:t>
      </w:r>
      <w:r w:rsidR="009173CF" w:rsidRPr="009173CF">
        <w:rPr>
          <w:rStyle w:val="diff-highlight"/>
          <w:rFonts w:ascii="Times New Roman" w:hAnsi="Times New Roman" w:cs="Times New Roman"/>
          <w:sz w:val="24"/>
          <w:shd w:val="clear" w:color="auto" w:fill="FFFFFF"/>
        </w:rPr>
        <w:t>indicates</w:t>
      </w:r>
      <w:r w:rsidR="009173CF" w:rsidRPr="009173CF">
        <w:rPr>
          <w:rFonts w:ascii="Times New Roman" w:hAnsi="Times New Roman" w:cs="Times New Roman"/>
          <w:sz w:val="24"/>
          <w:shd w:val="clear" w:color="auto" w:fill="FFFFFF"/>
        </w:rPr>
        <w:t xml:space="preserve"> </w:t>
      </w:r>
      <w:r w:rsidR="009173CF" w:rsidRPr="009173CF">
        <w:rPr>
          <w:rStyle w:val="diff-highlight"/>
          <w:rFonts w:ascii="Times New Roman" w:hAnsi="Times New Roman" w:cs="Times New Roman"/>
          <w:sz w:val="24"/>
          <w:shd w:val="clear" w:color="auto" w:fill="FFFFFF"/>
        </w:rPr>
        <w:t>deterioration</w:t>
      </w:r>
      <w:r w:rsidR="009173CF" w:rsidRPr="009173CF">
        <w:rPr>
          <w:rFonts w:ascii="Times New Roman" w:hAnsi="Times New Roman" w:cs="Times New Roman"/>
          <w:sz w:val="24"/>
          <w:shd w:val="clear" w:color="auto" w:fill="FFFFFF"/>
        </w:rPr>
        <w:t xml:space="preserve"> </w:t>
      </w:r>
      <w:r w:rsidR="009173CF" w:rsidRPr="009173CF">
        <w:rPr>
          <w:rStyle w:val="diff-highlight"/>
          <w:rFonts w:ascii="Times New Roman" w:hAnsi="Times New Roman" w:cs="Times New Roman"/>
          <w:sz w:val="24"/>
          <w:shd w:val="clear" w:color="auto" w:fill="FFFFFF"/>
        </w:rPr>
        <w:t>of</w:t>
      </w:r>
      <w:r w:rsidR="009173CF" w:rsidRPr="009173CF">
        <w:rPr>
          <w:rFonts w:ascii="Times New Roman" w:hAnsi="Times New Roman" w:cs="Times New Roman"/>
          <w:sz w:val="24"/>
          <w:shd w:val="clear" w:color="auto" w:fill="FFFFFF"/>
        </w:rPr>
        <w:t xml:space="preserve"> operational performance.</w:t>
      </w:r>
      <w:r w:rsidR="00CC5074" w:rsidRPr="00CC5074">
        <w:rPr>
          <w:rFonts w:ascii="Times New Roman" w:hAnsi="Times New Roman" w:cs="Times New Roman"/>
          <w:sz w:val="24"/>
        </w:rPr>
        <w:t xml:space="preserve"> Therefore, these factors are indicative of the importance of more sophisticated capital budgeting approaches, particularly for telecommunications infrastructure. NPV contributed to theoretical frameworks to model the necessary complexitie</w:t>
      </w:r>
      <w:r w:rsidR="00CC5074">
        <w:rPr>
          <w:rFonts w:ascii="Times New Roman" w:hAnsi="Times New Roman" w:cs="Times New Roman"/>
          <w:sz w:val="24"/>
        </w:rPr>
        <w:t>s specific to sectors including.</w:t>
      </w:r>
    </w:p>
    <w:p w:rsidR="001D766C" w:rsidRDefault="001D766C" w:rsidP="001D766C">
      <w:pPr>
        <w:pStyle w:val="Heading1"/>
        <w:spacing w:line="360" w:lineRule="auto"/>
        <w:jc w:val="both"/>
        <w:rPr>
          <w:rFonts w:ascii="Times New Roman" w:hAnsi="Times New Roman" w:cs="Times New Roman"/>
          <w:b/>
          <w:color w:val="auto"/>
        </w:rPr>
      </w:pPr>
      <w:bookmarkStart w:id="14" w:name="_Toc203731979"/>
      <w:r w:rsidRPr="001D766C">
        <w:rPr>
          <w:rFonts w:ascii="Times New Roman" w:hAnsi="Times New Roman" w:cs="Times New Roman"/>
          <w:b/>
          <w:color w:val="auto"/>
        </w:rPr>
        <w:t>Emerging Financial Perspectives in Capital Planning</w:t>
      </w:r>
      <w:bookmarkEnd w:id="14"/>
    </w:p>
    <w:p w:rsidR="001D766C" w:rsidRPr="001D766C" w:rsidRDefault="001D766C" w:rsidP="001D766C">
      <w:pPr>
        <w:spacing w:line="360" w:lineRule="auto"/>
        <w:jc w:val="both"/>
        <w:rPr>
          <w:rFonts w:ascii="Times New Roman" w:hAnsi="Times New Roman" w:cs="Times New Roman"/>
          <w:sz w:val="24"/>
        </w:rPr>
      </w:pPr>
      <w:r w:rsidRPr="001D766C">
        <w:rPr>
          <w:rFonts w:ascii="Times New Roman" w:hAnsi="Times New Roman" w:cs="Times New Roman"/>
          <w:sz w:val="24"/>
        </w:rPr>
        <w:t>BT's investment policy is developing among competing demands for sustainability, and the onus of more sustainable investment in support of BT's commitment to achieve net-zero emissions by 2030 and major capital investment in low-carbon asset infrastructure (BT Group, 2024). This has a direct impact on traditional appraisal methods like IRR, which are dependent on stationary cash flow expectations and influences favouring the use of sustainability-adjusted NPV-based models that extrapolate ESG risks and carbon pricing. Furthermore, new AI capabilities are affecting how BT can conduct capital forecasting, adding efficiency to include ROI prediction, volatility management, and investment decision-making (BBC, 2024; CNBC, 2023).</w:t>
      </w:r>
    </w:p>
    <w:p w:rsidR="00164846" w:rsidRPr="001D766C" w:rsidRDefault="00164846" w:rsidP="001D766C">
      <w:pPr>
        <w:pStyle w:val="Heading1"/>
        <w:rPr>
          <w:rFonts w:ascii="Times New Roman" w:hAnsi="Times New Roman" w:cs="Times New Roman"/>
          <w:b/>
          <w:color w:val="auto"/>
        </w:rPr>
      </w:pPr>
      <w:bookmarkStart w:id="15" w:name="_Toc203731980"/>
      <w:r w:rsidRPr="001D766C">
        <w:rPr>
          <w:rFonts w:ascii="Times New Roman" w:hAnsi="Times New Roman" w:cs="Times New Roman"/>
          <w:b/>
          <w:color w:val="auto"/>
        </w:rPr>
        <w:t>Recommendation</w:t>
      </w:r>
      <w:bookmarkEnd w:id="13"/>
      <w:bookmarkEnd w:id="15"/>
    </w:p>
    <w:p w:rsidR="00915A7B" w:rsidRDefault="00505C9F" w:rsidP="00915A7B">
      <w:pPr>
        <w:pStyle w:val="ListParagraph"/>
        <w:numPr>
          <w:ilvl w:val="0"/>
          <w:numId w:val="9"/>
        </w:numPr>
        <w:spacing w:line="360" w:lineRule="auto"/>
        <w:jc w:val="both"/>
        <w:rPr>
          <w:rFonts w:ascii="Times New Roman" w:hAnsi="Times New Roman" w:cs="Times New Roman"/>
          <w:sz w:val="24"/>
          <w:shd w:val="clear" w:color="auto" w:fill="FFFFFF"/>
        </w:rPr>
      </w:pPr>
      <w:r w:rsidRPr="00915A7B">
        <w:rPr>
          <w:rFonts w:ascii="Times New Roman" w:hAnsi="Times New Roman" w:cs="Times New Roman"/>
          <w:sz w:val="24"/>
        </w:rPr>
        <w:t>Accelerate</w:t>
      </w:r>
      <w:r w:rsidR="00164846" w:rsidRPr="00915A7B">
        <w:rPr>
          <w:rFonts w:ascii="Times New Roman" w:hAnsi="Times New Roman" w:cs="Times New Roman"/>
          <w:sz w:val="24"/>
          <w:shd w:val="clear" w:color="auto" w:fill="FFFFFF"/>
        </w:rPr>
        <w:t xml:space="preserve"> Expense Optimisation: - </w:t>
      </w:r>
      <w:r w:rsidR="00915A7B" w:rsidRPr="00915A7B">
        <w:rPr>
          <w:rFonts w:ascii="Times New Roman" w:hAnsi="Times New Roman" w:cs="Times New Roman"/>
          <w:sz w:val="24"/>
          <w:shd w:val="clear" w:color="auto" w:fill="FFFFFF"/>
        </w:rPr>
        <w:t>BT should use AI automation for legacy systems that cause bad customer service (i.e., migrating chatbots) so that they can reduce operating expenditure in order to meet their net-zero goals.  The suggested actions might balance out the 2.06% drop in operating margins from 2024. They may also aid in the improvement of EBITDA and help lower costs by about 8–10% in about a year and a half.</w:t>
      </w:r>
    </w:p>
    <w:p w:rsidR="00164846" w:rsidRPr="00915A7B" w:rsidRDefault="00164846" w:rsidP="00915A7B">
      <w:pPr>
        <w:pStyle w:val="ListParagraph"/>
        <w:numPr>
          <w:ilvl w:val="0"/>
          <w:numId w:val="9"/>
        </w:numPr>
        <w:spacing w:line="360" w:lineRule="auto"/>
        <w:jc w:val="both"/>
        <w:rPr>
          <w:rFonts w:ascii="Times New Roman" w:hAnsi="Times New Roman" w:cs="Times New Roman"/>
          <w:sz w:val="24"/>
          <w:shd w:val="clear" w:color="auto" w:fill="FFFFFF"/>
        </w:rPr>
      </w:pPr>
      <w:r w:rsidRPr="00915A7B">
        <w:rPr>
          <w:rFonts w:ascii="Times New Roman" w:hAnsi="Times New Roman" w:cs="Times New Roman"/>
          <w:sz w:val="24"/>
          <w:shd w:val="clear" w:color="auto" w:fill="FFFFFF"/>
        </w:rPr>
        <w:t>Boost Cash Flow: - BT can get more cash on hand faster by getting customers to pay invoices sooner and by handling inventory better. This will let them rely less on supplier credit.</w:t>
      </w:r>
    </w:p>
    <w:p w:rsidR="004C3BC5" w:rsidRPr="00843F85" w:rsidRDefault="00164846" w:rsidP="004C3BC5">
      <w:pPr>
        <w:pStyle w:val="ListParagraph"/>
        <w:numPr>
          <w:ilvl w:val="0"/>
          <w:numId w:val="9"/>
        </w:numPr>
        <w:spacing w:line="360" w:lineRule="auto"/>
        <w:jc w:val="both"/>
        <w:rPr>
          <w:rFonts w:ascii="Times New Roman" w:hAnsi="Times New Roman" w:cs="Times New Roman"/>
          <w:sz w:val="24"/>
          <w:shd w:val="clear" w:color="auto" w:fill="FFFFFF"/>
        </w:rPr>
      </w:pPr>
      <w:r w:rsidRPr="00164846">
        <w:rPr>
          <w:rFonts w:ascii="Times New Roman" w:hAnsi="Times New Roman" w:cs="Times New Roman"/>
          <w:sz w:val="24"/>
          <w:shd w:val="clear" w:color="auto" w:fill="FFFFFF"/>
        </w:rPr>
        <w:t xml:space="preserve">Match Dividends to Profits: - BT should be careful with dividends until </w:t>
      </w:r>
      <w:r w:rsidR="00505C9F" w:rsidRPr="00164846">
        <w:rPr>
          <w:rFonts w:ascii="Times New Roman" w:hAnsi="Times New Roman" w:cs="Times New Roman"/>
          <w:sz w:val="24"/>
          <w:shd w:val="clear" w:color="auto" w:fill="FFFFFF"/>
        </w:rPr>
        <w:t>they are</w:t>
      </w:r>
      <w:r w:rsidRPr="00164846">
        <w:rPr>
          <w:rFonts w:ascii="Times New Roman" w:hAnsi="Times New Roman" w:cs="Times New Roman"/>
          <w:sz w:val="24"/>
          <w:shd w:val="clear" w:color="auto" w:fill="FFFFFF"/>
        </w:rPr>
        <w:t xml:space="preserve"> making money more consistently. That way, they can keep paying dividends without risking money trouble if they keep paying them even when profits are down.</w:t>
      </w:r>
    </w:p>
    <w:p w:rsidR="000E1989" w:rsidRPr="0088378B" w:rsidRDefault="000E1989" w:rsidP="0088378B">
      <w:pPr>
        <w:pStyle w:val="Heading1"/>
        <w:numPr>
          <w:ilvl w:val="0"/>
          <w:numId w:val="0"/>
        </w:numPr>
        <w:spacing w:line="360" w:lineRule="auto"/>
        <w:ind w:left="432" w:hanging="432"/>
        <w:jc w:val="both"/>
        <w:rPr>
          <w:rFonts w:ascii="Times New Roman" w:hAnsi="Times New Roman" w:cs="Times New Roman"/>
          <w:b/>
          <w:color w:val="auto"/>
        </w:rPr>
      </w:pPr>
      <w:bookmarkStart w:id="16" w:name="_Toc203731981"/>
      <w:r w:rsidRPr="0088378B">
        <w:rPr>
          <w:rFonts w:ascii="Times New Roman" w:hAnsi="Times New Roman" w:cs="Times New Roman"/>
          <w:b/>
          <w:color w:val="auto"/>
        </w:rPr>
        <w:t>Task 2</w:t>
      </w:r>
      <w:bookmarkEnd w:id="16"/>
    </w:p>
    <w:p w:rsidR="00A65CE1" w:rsidRDefault="00A65CE1" w:rsidP="0088378B">
      <w:pPr>
        <w:pStyle w:val="Heading1"/>
        <w:spacing w:line="360" w:lineRule="auto"/>
        <w:jc w:val="both"/>
        <w:rPr>
          <w:rFonts w:ascii="Times New Roman" w:hAnsi="Times New Roman" w:cs="Times New Roman"/>
          <w:b/>
          <w:color w:val="auto"/>
          <w:szCs w:val="22"/>
        </w:rPr>
      </w:pPr>
      <w:bookmarkStart w:id="17" w:name="_Toc203646848"/>
      <w:bookmarkStart w:id="18" w:name="_Toc203731982"/>
      <w:r>
        <w:rPr>
          <w:rFonts w:ascii="Times New Roman" w:hAnsi="Times New Roman" w:cs="Times New Roman"/>
          <w:b/>
          <w:color w:val="auto"/>
          <w:szCs w:val="22"/>
        </w:rPr>
        <w:t>Investment Appraisal</w:t>
      </w:r>
      <w:bookmarkEnd w:id="17"/>
      <w:bookmarkEnd w:id="18"/>
    </w:p>
    <w:p w:rsidR="00A65CE1" w:rsidRDefault="00A65CE1" w:rsidP="0088378B">
      <w:pPr>
        <w:spacing w:line="360" w:lineRule="auto"/>
        <w:jc w:val="both"/>
        <w:rPr>
          <w:rFonts w:ascii="Times New Roman" w:hAnsi="Times New Roman" w:cs="Times New Roman"/>
          <w:sz w:val="24"/>
        </w:rPr>
      </w:pPr>
      <w:r w:rsidRPr="00A65CE1">
        <w:rPr>
          <w:rFonts w:ascii="Times New Roman" w:hAnsi="Times New Roman" w:cs="Times New Roman"/>
          <w:sz w:val="24"/>
        </w:rPr>
        <w:t>Investment appraisal is the formal assessment of capital expenditure decisions to help firms commit their scarce resources to the projects that add the most shareholder value (Arnold 2019). Investment appraisal utilises a combination of quantitative techniques and strategic assessment to establish whether an investment opportunity is financially viable, and strategically appropriate.</w:t>
      </w:r>
    </w:p>
    <w:p w:rsidR="00A65CE1" w:rsidRDefault="00A65CE1" w:rsidP="0088378B">
      <w:pPr>
        <w:spacing w:line="360" w:lineRule="auto"/>
        <w:jc w:val="both"/>
        <w:rPr>
          <w:rFonts w:ascii="Times New Roman" w:hAnsi="Times New Roman" w:cs="Times New Roman"/>
          <w:sz w:val="24"/>
          <w:shd w:val="clear" w:color="auto" w:fill="FFFFFF"/>
        </w:rPr>
      </w:pPr>
      <w:r w:rsidRPr="00366D5B">
        <w:rPr>
          <w:rFonts w:ascii="Times New Roman" w:hAnsi="Times New Roman" w:cs="Times New Roman"/>
          <w:b/>
          <w:sz w:val="24"/>
        </w:rPr>
        <w:t>1</w:t>
      </w:r>
      <w:r>
        <w:rPr>
          <w:rFonts w:ascii="Times New Roman" w:hAnsi="Times New Roman" w:cs="Times New Roman"/>
          <w:sz w:val="24"/>
        </w:rPr>
        <w:t xml:space="preserve">. </w:t>
      </w:r>
      <w:r w:rsidR="00366D5B" w:rsidRPr="00366D5B">
        <w:rPr>
          <w:rFonts w:ascii="Times New Roman" w:hAnsi="Times New Roman" w:cs="Times New Roman"/>
          <w:b/>
          <w:sz w:val="24"/>
        </w:rPr>
        <w:t>After tax cash flow:</w:t>
      </w:r>
      <w:r w:rsidR="00366D5B">
        <w:rPr>
          <w:rFonts w:ascii="Times New Roman" w:hAnsi="Times New Roman" w:cs="Times New Roman"/>
          <w:b/>
          <w:sz w:val="24"/>
        </w:rPr>
        <w:t xml:space="preserve"> </w:t>
      </w:r>
      <w:r w:rsidR="00366D5B" w:rsidRPr="00366D5B">
        <w:rPr>
          <w:rFonts w:ascii="Times New Roman" w:hAnsi="Times New Roman" w:cs="Times New Roman"/>
          <w:b/>
          <w:sz w:val="24"/>
        </w:rPr>
        <w:t xml:space="preserve">- </w:t>
      </w:r>
      <w:r w:rsidR="00366D5B" w:rsidRPr="00366D5B">
        <w:rPr>
          <w:rFonts w:ascii="Times New Roman" w:hAnsi="Times New Roman" w:cs="Times New Roman"/>
          <w:sz w:val="24"/>
          <w:shd w:val="clear" w:color="auto" w:fill="FFFFFF"/>
        </w:rPr>
        <w:t>After-tax cash flows (ATCF) are the net cash inflows generated by an investment after deducting corporate tax liabilities. Their calculation is critical for investment appraisal as it reflects the actual cash available to shareholders (Atrill and McLaney 2021).</w:t>
      </w:r>
    </w:p>
    <w:p w:rsidR="00366D5B" w:rsidRDefault="002D4622" w:rsidP="0088378B">
      <w:pPr>
        <w:spacing w:line="360" w:lineRule="auto"/>
        <w:jc w:val="both"/>
        <w:rPr>
          <w:rFonts w:ascii="Times New Roman" w:hAnsi="Times New Roman" w:cs="Times New Roman"/>
          <w:b/>
          <w:sz w:val="24"/>
        </w:rPr>
      </w:pPr>
      <w:r>
        <w:rPr>
          <w:rFonts w:ascii="Times New Roman" w:hAnsi="Times New Roman" w:cs="Times New Roman"/>
          <w:b/>
          <w:sz w:val="24"/>
        </w:rPr>
        <w:t>Option A (£ 600,000 initial investment)</w:t>
      </w:r>
    </w:p>
    <w:p w:rsidR="002D4622" w:rsidRPr="002D4622" w:rsidRDefault="002D4622" w:rsidP="0088378B">
      <w:pPr>
        <w:pStyle w:val="ds-markdown-paragraph"/>
        <w:numPr>
          <w:ilvl w:val="0"/>
          <w:numId w:val="10"/>
        </w:numPr>
        <w:shd w:val="clear" w:color="auto" w:fill="FFFFFF"/>
        <w:spacing w:before="0" w:beforeAutospacing="0" w:line="360" w:lineRule="auto"/>
        <w:ind w:left="0"/>
        <w:jc w:val="both"/>
      </w:pPr>
      <w:r w:rsidRPr="002D4622">
        <w:t>Corporation Tax Rate: </w:t>
      </w:r>
      <w:r w:rsidRPr="002D4622">
        <w:rPr>
          <w:rStyle w:val="Strong"/>
          <w:rFonts w:eastAsiaTheme="majorEastAsia"/>
        </w:rPr>
        <w:t>25%</w:t>
      </w:r>
    </w:p>
    <w:p w:rsidR="00283F71" w:rsidRPr="002D4622" w:rsidRDefault="002D4622" w:rsidP="0088378B">
      <w:pPr>
        <w:pStyle w:val="ds-markdown-paragraph"/>
        <w:numPr>
          <w:ilvl w:val="0"/>
          <w:numId w:val="10"/>
        </w:numPr>
        <w:shd w:val="clear" w:color="auto" w:fill="FFFFFF"/>
        <w:spacing w:before="0" w:beforeAutospacing="0" w:line="360" w:lineRule="auto"/>
        <w:ind w:left="0"/>
        <w:jc w:val="both"/>
      </w:pPr>
      <w:r w:rsidRPr="002D4622">
        <w:t>Capital Allowances: </w:t>
      </w:r>
      <w:r w:rsidRPr="002D4622">
        <w:rPr>
          <w:rStyle w:val="Strong"/>
          <w:rFonts w:eastAsiaTheme="majorEastAsia"/>
        </w:rPr>
        <w:t>20% straight-line basis</w:t>
      </w:r>
      <w:r w:rsidR="00283F71">
        <w:t> </w:t>
      </w:r>
    </w:p>
    <w:tbl>
      <w:tblPr>
        <w:tblW w:w="9334" w:type="dxa"/>
        <w:tblInd w:w="137" w:type="dxa"/>
        <w:tblLook w:val="04A0" w:firstRow="1" w:lastRow="0" w:firstColumn="1" w:lastColumn="0" w:noHBand="0" w:noVBand="1"/>
      </w:tblPr>
      <w:tblGrid>
        <w:gridCol w:w="1161"/>
        <w:gridCol w:w="1824"/>
        <w:gridCol w:w="2247"/>
        <w:gridCol w:w="2093"/>
        <w:gridCol w:w="2009"/>
      </w:tblGrid>
      <w:tr w:rsidR="00283F71" w:rsidRPr="00283F71" w:rsidTr="003420A4">
        <w:trPr>
          <w:trHeight w:val="821"/>
        </w:trPr>
        <w:tc>
          <w:tcPr>
            <w:tcW w:w="1161"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b/>
                <w:sz w:val="24"/>
                <w:szCs w:val="24"/>
                <w:lang w:val="en-IN" w:eastAsia="en-IN"/>
              </w:rPr>
            </w:pPr>
            <w:r w:rsidRPr="00283F71">
              <w:rPr>
                <w:rFonts w:ascii="Times New Roman" w:hAnsi="Times New Roman" w:cs="Times New Roman"/>
                <w:b/>
                <w:sz w:val="24"/>
                <w:szCs w:val="24"/>
                <w:lang w:val="en-IN" w:eastAsia="en-IN"/>
              </w:rPr>
              <w:t>Year</w:t>
            </w:r>
          </w:p>
        </w:tc>
        <w:tc>
          <w:tcPr>
            <w:tcW w:w="1824" w:type="dxa"/>
            <w:tcBorders>
              <w:top w:val="single" w:sz="4" w:space="0" w:color="auto"/>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b/>
                <w:sz w:val="24"/>
                <w:szCs w:val="24"/>
                <w:lang w:val="en-IN" w:eastAsia="en-IN"/>
              </w:rPr>
            </w:pPr>
            <w:r w:rsidRPr="00283F71">
              <w:rPr>
                <w:rFonts w:ascii="Times New Roman" w:hAnsi="Times New Roman" w:cs="Times New Roman"/>
                <w:b/>
                <w:sz w:val="24"/>
                <w:szCs w:val="24"/>
                <w:lang w:val="en-IN" w:eastAsia="en-IN"/>
              </w:rPr>
              <w:t>Pre-Tax CF (£)</w:t>
            </w:r>
          </w:p>
        </w:tc>
        <w:tc>
          <w:tcPr>
            <w:tcW w:w="2247" w:type="dxa"/>
            <w:tcBorders>
              <w:top w:val="single" w:sz="4" w:space="0" w:color="auto"/>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b/>
                <w:sz w:val="24"/>
                <w:szCs w:val="24"/>
                <w:lang w:val="en-IN" w:eastAsia="en-IN"/>
              </w:rPr>
            </w:pPr>
            <w:r w:rsidRPr="00283F71">
              <w:rPr>
                <w:rFonts w:ascii="Times New Roman" w:hAnsi="Times New Roman" w:cs="Times New Roman"/>
                <w:b/>
                <w:sz w:val="24"/>
                <w:szCs w:val="24"/>
                <w:lang w:val="en-IN" w:eastAsia="en-IN"/>
              </w:rPr>
              <w:t>Capital Allowance (£)</w:t>
            </w:r>
          </w:p>
        </w:tc>
        <w:tc>
          <w:tcPr>
            <w:tcW w:w="2093" w:type="dxa"/>
            <w:tcBorders>
              <w:top w:val="single" w:sz="4" w:space="0" w:color="auto"/>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b/>
                <w:sz w:val="24"/>
                <w:szCs w:val="24"/>
                <w:lang w:val="en-IN" w:eastAsia="en-IN"/>
              </w:rPr>
            </w:pPr>
            <w:r w:rsidRPr="00283F71">
              <w:rPr>
                <w:rFonts w:ascii="Times New Roman" w:hAnsi="Times New Roman" w:cs="Times New Roman"/>
                <w:b/>
                <w:sz w:val="24"/>
                <w:szCs w:val="24"/>
                <w:lang w:val="en-IN" w:eastAsia="en-IN"/>
              </w:rPr>
              <w:t>Calculation</w:t>
            </w:r>
          </w:p>
        </w:tc>
        <w:tc>
          <w:tcPr>
            <w:tcW w:w="2009" w:type="dxa"/>
            <w:tcBorders>
              <w:top w:val="single" w:sz="4" w:space="0" w:color="auto"/>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b/>
                <w:sz w:val="24"/>
                <w:szCs w:val="24"/>
                <w:lang w:val="en-IN" w:eastAsia="en-IN"/>
              </w:rPr>
            </w:pPr>
            <w:r w:rsidRPr="00283F71">
              <w:rPr>
                <w:rFonts w:ascii="Times New Roman" w:hAnsi="Times New Roman" w:cs="Times New Roman"/>
                <w:b/>
                <w:sz w:val="24"/>
                <w:szCs w:val="24"/>
                <w:lang w:val="en-IN" w:eastAsia="en-IN"/>
              </w:rPr>
              <w:t>After-Tax CF (£)</w:t>
            </w:r>
          </w:p>
        </w:tc>
      </w:tr>
      <w:tr w:rsidR="00283F71" w:rsidRPr="00283F71" w:rsidTr="003420A4">
        <w:trPr>
          <w:trHeight w:val="821"/>
        </w:trPr>
        <w:tc>
          <w:tcPr>
            <w:tcW w:w="1161" w:type="dxa"/>
            <w:tcBorders>
              <w:top w:val="nil"/>
              <w:left w:val="single" w:sz="4" w:space="0" w:color="auto"/>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1</w:t>
            </w:r>
          </w:p>
        </w:tc>
        <w:tc>
          <w:tcPr>
            <w:tcW w:w="1824"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2,00,000</w:t>
            </w:r>
          </w:p>
        </w:tc>
        <w:tc>
          <w:tcPr>
            <w:tcW w:w="2247"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120,000 (20% × 600K)</w:t>
            </w:r>
          </w:p>
        </w:tc>
        <w:tc>
          <w:tcPr>
            <w:tcW w:w="2093"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(200K×0.75) + (120K×0.25)</w:t>
            </w:r>
          </w:p>
        </w:tc>
        <w:tc>
          <w:tcPr>
            <w:tcW w:w="2009"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1,80,000</w:t>
            </w:r>
          </w:p>
        </w:tc>
      </w:tr>
      <w:tr w:rsidR="00283F71" w:rsidRPr="00283F71" w:rsidTr="003420A4">
        <w:trPr>
          <w:trHeight w:val="821"/>
        </w:trPr>
        <w:tc>
          <w:tcPr>
            <w:tcW w:w="1161" w:type="dxa"/>
            <w:tcBorders>
              <w:top w:val="nil"/>
              <w:left w:val="single" w:sz="4" w:space="0" w:color="auto"/>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2</w:t>
            </w:r>
          </w:p>
        </w:tc>
        <w:tc>
          <w:tcPr>
            <w:tcW w:w="1824"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3,00,000</w:t>
            </w:r>
          </w:p>
        </w:tc>
        <w:tc>
          <w:tcPr>
            <w:tcW w:w="2247"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1,20,000</w:t>
            </w:r>
          </w:p>
        </w:tc>
        <w:tc>
          <w:tcPr>
            <w:tcW w:w="2093"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(300K×0.75) + (120K×0.25)</w:t>
            </w:r>
          </w:p>
        </w:tc>
        <w:tc>
          <w:tcPr>
            <w:tcW w:w="2009"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2,55,000</w:t>
            </w:r>
          </w:p>
        </w:tc>
      </w:tr>
      <w:tr w:rsidR="00283F71" w:rsidRPr="00283F71" w:rsidTr="003420A4">
        <w:trPr>
          <w:trHeight w:val="821"/>
        </w:trPr>
        <w:tc>
          <w:tcPr>
            <w:tcW w:w="1161" w:type="dxa"/>
            <w:tcBorders>
              <w:top w:val="nil"/>
              <w:left w:val="single" w:sz="4" w:space="0" w:color="auto"/>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3</w:t>
            </w:r>
          </w:p>
        </w:tc>
        <w:tc>
          <w:tcPr>
            <w:tcW w:w="1824"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4,00,000</w:t>
            </w:r>
          </w:p>
        </w:tc>
        <w:tc>
          <w:tcPr>
            <w:tcW w:w="2247"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1,20,000</w:t>
            </w:r>
          </w:p>
        </w:tc>
        <w:tc>
          <w:tcPr>
            <w:tcW w:w="2093"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(400K×0.75) + (120K×0.25)</w:t>
            </w:r>
          </w:p>
        </w:tc>
        <w:tc>
          <w:tcPr>
            <w:tcW w:w="2009"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3,30,000</w:t>
            </w:r>
          </w:p>
        </w:tc>
      </w:tr>
      <w:tr w:rsidR="00283F71" w:rsidRPr="00283F71" w:rsidTr="003420A4">
        <w:trPr>
          <w:trHeight w:val="821"/>
        </w:trPr>
        <w:tc>
          <w:tcPr>
            <w:tcW w:w="1161" w:type="dxa"/>
            <w:tcBorders>
              <w:top w:val="nil"/>
              <w:left w:val="single" w:sz="4" w:space="0" w:color="auto"/>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4</w:t>
            </w:r>
          </w:p>
        </w:tc>
        <w:tc>
          <w:tcPr>
            <w:tcW w:w="1824" w:type="dxa"/>
            <w:tcBorders>
              <w:top w:val="nil"/>
              <w:left w:val="nil"/>
              <w:bottom w:val="single" w:sz="4" w:space="0" w:color="auto"/>
              <w:right w:val="single" w:sz="4" w:space="0" w:color="auto"/>
            </w:tcBorders>
            <w:shd w:val="clear" w:color="000000" w:fill="FFFFFF"/>
            <w:vAlign w:val="center"/>
            <w:hideMark/>
          </w:tcPr>
          <w:p w:rsidR="002D4622" w:rsidRPr="00283F71" w:rsidRDefault="002D4622"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5,00,000</w:t>
            </w:r>
          </w:p>
        </w:tc>
        <w:tc>
          <w:tcPr>
            <w:tcW w:w="2247" w:type="dxa"/>
            <w:tcBorders>
              <w:top w:val="nil"/>
              <w:left w:val="nil"/>
              <w:bottom w:val="single" w:sz="4" w:space="0" w:color="auto"/>
              <w:right w:val="single" w:sz="4" w:space="0" w:color="auto"/>
            </w:tcBorders>
            <w:shd w:val="clear" w:color="000000" w:fill="FFFFFF"/>
            <w:vAlign w:val="center"/>
            <w:hideMark/>
          </w:tcPr>
          <w:p w:rsidR="002D4622" w:rsidRPr="00283F71" w:rsidRDefault="006976F7"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1,20,000</w:t>
            </w:r>
          </w:p>
        </w:tc>
        <w:tc>
          <w:tcPr>
            <w:tcW w:w="2093" w:type="dxa"/>
            <w:tcBorders>
              <w:top w:val="nil"/>
              <w:left w:val="nil"/>
              <w:bottom w:val="single" w:sz="4" w:space="0" w:color="auto"/>
              <w:right w:val="single" w:sz="4" w:space="0" w:color="auto"/>
            </w:tcBorders>
            <w:shd w:val="clear" w:color="000000" w:fill="FFFFFF"/>
            <w:vAlign w:val="center"/>
            <w:hideMark/>
          </w:tcPr>
          <w:p w:rsidR="002D4622" w:rsidRPr="00283F71" w:rsidRDefault="006976F7"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(500K×0.75) + (120</w:t>
            </w:r>
            <w:r w:rsidR="002D4622" w:rsidRPr="00283F71">
              <w:rPr>
                <w:rFonts w:ascii="Times New Roman" w:hAnsi="Times New Roman" w:cs="Times New Roman"/>
                <w:sz w:val="24"/>
                <w:szCs w:val="24"/>
                <w:lang w:val="en-IN" w:eastAsia="en-IN"/>
              </w:rPr>
              <w:t>K×0.25)</w:t>
            </w:r>
          </w:p>
        </w:tc>
        <w:tc>
          <w:tcPr>
            <w:tcW w:w="2009" w:type="dxa"/>
            <w:tcBorders>
              <w:top w:val="nil"/>
              <w:left w:val="nil"/>
              <w:bottom w:val="single" w:sz="4" w:space="0" w:color="auto"/>
              <w:right w:val="single" w:sz="4" w:space="0" w:color="auto"/>
            </w:tcBorders>
            <w:shd w:val="clear" w:color="000000" w:fill="FFFFFF"/>
            <w:vAlign w:val="center"/>
            <w:hideMark/>
          </w:tcPr>
          <w:p w:rsidR="002D4622" w:rsidRPr="00283F71" w:rsidRDefault="006976F7" w:rsidP="0088378B">
            <w:pPr>
              <w:spacing w:line="360" w:lineRule="auto"/>
              <w:rPr>
                <w:rFonts w:ascii="Times New Roman" w:hAnsi="Times New Roman" w:cs="Times New Roman"/>
                <w:sz w:val="24"/>
                <w:szCs w:val="24"/>
                <w:lang w:val="en-IN" w:eastAsia="en-IN"/>
              </w:rPr>
            </w:pPr>
            <w:r w:rsidRPr="00283F71">
              <w:rPr>
                <w:rFonts w:ascii="Times New Roman" w:hAnsi="Times New Roman" w:cs="Times New Roman"/>
                <w:sz w:val="24"/>
                <w:szCs w:val="24"/>
                <w:lang w:val="en-IN" w:eastAsia="en-IN"/>
              </w:rPr>
              <w:t>4,0</w:t>
            </w:r>
            <w:r w:rsidR="002D4622" w:rsidRPr="00283F71">
              <w:rPr>
                <w:rFonts w:ascii="Times New Roman" w:hAnsi="Times New Roman" w:cs="Times New Roman"/>
                <w:sz w:val="24"/>
                <w:szCs w:val="24"/>
                <w:lang w:val="en-IN" w:eastAsia="en-IN"/>
              </w:rPr>
              <w:t>5,000</w:t>
            </w:r>
          </w:p>
        </w:tc>
      </w:tr>
    </w:tbl>
    <w:p w:rsidR="002D4622" w:rsidRPr="00283F71" w:rsidRDefault="002D4622" w:rsidP="0088378B">
      <w:pPr>
        <w:spacing w:line="360" w:lineRule="auto"/>
        <w:rPr>
          <w:rFonts w:ascii="Times New Roman" w:hAnsi="Times New Roman" w:cs="Times New Roman"/>
          <w:b/>
          <w:sz w:val="24"/>
          <w:szCs w:val="24"/>
          <w:lang w:val="en-IN"/>
        </w:rPr>
      </w:pPr>
    </w:p>
    <w:p w:rsidR="00C97DDE" w:rsidRPr="00283F71" w:rsidRDefault="005D60EF" w:rsidP="0088378B">
      <w:pPr>
        <w:spacing w:line="360" w:lineRule="auto"/>
        <w:rPr>
          <w:rFonts w:ascii="Times New Roman" w:hAnsi="Times New Roman" w:cs="Times New Roman"/>
          <w:b/>
          <w:sz w:val="24"/>
          <w:szCs w:val="24"/>
          <w:lang w:val="en-IN"/>
        </w:rPr>
      </w:pPr>
      <w:r w:rsidRPr="00283F71">
        <w:rPr>
          <w:rFonts w:ascii="Times New Roman" w:hAnsi="Times New Roman" w:cs="Times New Roman"/>
          <w:b/>
          <w:sz w:val="24"/>
          <w:szCs w:val="24"/>
          <w:lang w:val="en-IN"/>
        </w:rPr>
        <w:t>Option B (£</w:t>
      </w:r>
      <w:r w:rsidR="00ED292D" w:rsidRPr="00283F71">
        <w:rPr>
          <w:rFonts w:ascii="Times New Roman" w:hAnsi="Times New Roman" w:cs="Times New Roman"/>
          <w:b/>
          <w:sz w:val="24"/>
          <w:szCs w:val="24"/>
          <w:lang w:val="en-IN"/>
        </w:rPr>
        <w:t xml:space="preserve"> </w:t>
      </w:r>
      <w:r w:rsidRPr="00283F71">
        <w:rPr>
          <w:rFonts w:ascii="Times New Roman" w:hAnsi="Times New Roman" w:cs="Times New Roman"/>
          <w:b/>
          <w:sz w:val="24"/>
          <w:szCs w:val="24"/>
          <w:lang w:val="en-IN"/>
        </w:rPr>
        <w:t>1000000 Initial Investment)</w:t>
      </w:r>
    </w:p>
    <w:tbl>
      <w:tblPr>
        <w:tblW w:w="9452" w:type="dxa"/>
        <w:tblInd w:w="-5" w:type="dxa"/>
        <w:tblLook w:val="04A0" w:firstRow="1" w:lastRow="0" w:firstColumn="1" w:lastColumn="0" w:noHBand="0" w:noVBand="1"/>
      </w:tblPr>
      <w:tblGrid>
        <w:gridCol w:w="1021"/>
        <w:gridCol w:w="1879"/>
        <w:gridCol w:w="2355"/>
        <w:gridCol w:w="2107"/>
        <w:gridCol w:w="2090"/>
      </w:tblGrid>
      <w:tr w:rsidR="00283F71" w:rsidRPr="00283F71" w:rsidTr="003420A4">
        <w:trPr>
          <w:trHeight w:val="993"/>
        </w:trPr>
        <w:tc>
          <w:tcPr>
            <w:tcW w:w="1021"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
                <w:bCs/>
                <w:sz w:val="24"/>
                <w:szCs w:val="24"/>
                <w:lang w:val="en-IN" w:eastAsia="en-IN"/>
              </w:rPr>
            </w:pPr>
            <w:r w:rsidRPr="00283F71">
              <w:rPr>
                <w:rFonts w:ascii="Times New Roman" w:hAnsi="Times New Roman" w:cs="Times New Roman"/>
                <w:b/>
                <w:bCs/>
                <w:sz w:val="24"/>
                <w:szCs w:val="24"/>
                <w:lang w:val="en-IN" w:eastAsia="en-IN"/>
              </w:rPr>
              <w:t>Year</w:t>
            </w:r>
          </w:p>
        </w:tc>
        <w:tc>
          <w:tcPr>
            <w:tcW w:w="1879" w:type="dxa"/>
            <w:tcBorders>
              <w:top w:val="single" w:sz="4" w:space="0" w:color="auto"/>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
                <w:bCs/>
                <w:sz w:val="24"/>
                <w:szCs w:val="24"/>
                <w:lang w:val="en-IN" w:eastAsia="en-IN"/>
              </w:rPr>
            </w:pPr>
            <w:r w:rsidRPr="00283F71">
              <w:rPr>
                <w:rFonts w:ascii="Times New Roman" w:hAnsi="Times New Roman" w:cs="Times New Roman"/>
                <w:b/>
                <w:bCs/>
                <w:sz w:val="24"/>
                <w:szCs w:val="24"/>
                <w:lang w:val="en-IN" w:eastAsia="en-IN"/>
              </w:rPr>
              <w:t>Pre-Tax CF (£)</w:t>
            </w:r>
          </w:p>
        </w:tc>
        <w:tc>
          <w:tcPr>
            <w:tcW w:w="2355" w:type="dxa"/>
            <w:tcBorders>
              <w:top w:val="single" w:sz="4" w:space="0" w:color="auto"/>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
                <w:bCs/>
                <w:sz w:val="24"/>
                <w:szCs w:val="24"/>
                <w:lang w:val="en-IN" w:eastAsia="en-IN"/>
              </w:rPr>
            </w:pPr>
            <w:r w:rsidRPr="00283F71">
              <w:rPr>
                <w:rFonts w:ascii="Times New Roman" w:hAnsi="Times New Roman" w:cs="Times New Roman"/>
                <w:b/>
                <w:bCs/>
                <w:sz w:val="24"/>
                <w:szCs w:val="24"/>
                <w:lang w:val="en-IN" w:eastAsia="en-IN"/>
              </w:rPr>
              <w:t>Capital Allowance (£)</w:t>
            </w:r>
          </w:p>
        </w:tc>
        <w:tc>
          <w:tcPr>
            <w:tcW w:w="2107" w:type="dxa"/>
            <w:tcBorders>
              <w:top w:val="single" w:sz="4" w:space="0" w:color="auto"/>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
                <w:bCs/>
                <w:sz w:val="24"/>
                <w:szCs w:val="24"/>
                <w:lang w:val="en-IN" w:eastAsia="en-IN"/>
              </w:rPr>
            </w:pPr>
            <w:r w:rsidRPr="00283F71">
              <w:rPr>
                <w:rFonts w:ascii="Times New Roman" w:hAnsi="Times New Roman" w:cs="Times New Roman"/>
                <w:b/>
                <w:bCs/>
                <w:sz w:val="24"/>
                <w:szCs w:val="24"/>
                <w:lang w:val="en-IN" w:eastAsia="en-IN"/>
              </w:rPr>
              <w:t>Calculation</w:t>
            </w:r>
          </w:p>
        </w:tc>
        <w:tc>
          <w:tcPr>
            <w:tcW w:w="2090" w:type="dxa"/>
            <w:tcBorders>
              <w:top w:val="single" w:sz="4" w:space="0" w:color="auto"/>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
                <w:bCs/>
                <w:sz w:val="24"/>
                <w:szCs w:val="24"/>
                <w:lang w:val="en-IN" w:eastAsia="en-IN"/>
              </w:rPr>
            </w:pPr>
            <w:r w:rsidRPr="00283F71">
              <w:rPr>
                <w:rFonts w:ascii="Times New Roman" w:hAnsi="Times New Roman" w:cs="Times New Roman"/>
                <w:b/>
                <w:bCs/>
                <w:sz w:val="24"/>
                <w:szCs w:val="24"/>
                <w:lang w:val="en-IN" w:eastAsia="en-IN"/>
              </w:rPr>
              <w:t>After-Tax CF (£)</w:t>
            </w:r>
          </w:p>
        </w:tc>
      </w:tr>
      <w:tr w:rsidR="00283F71" w:rsidRPr="00283F71" w:rsidTr="003420A4">
        <w:trPr>
          <w:trHeight w:val="993"/>
        </w:trPr>
        <w:tc>
          <w:tcPr>
            <w:tcW w:w="1021" w:type="dxa"/>
            <w:tcBorders>
              <w:top w:val="nil"/>
              <w:left w:val="single" w:sz="4" w:space="0" w:color="auto"/>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1</w:t>
            </w:r>
          </w:p>
        </w:tc>
        <w:tc>
          <w:tcPr>
            <w:tcW w:w="1879"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4,00,000</w:t>
            </w:r>
          </w:p>
        </w:tc>
        <w:tc>
          <w:tcPr>
            <w:tcW w:w="2355"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200,000 (20% × 10,000,000)</w:t>
            </w:r>
          </w:p>
        </w:tc>
        <w:tc>
          <w:tcPr>
            <w:tcW w:w="2107"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(400K×0.75) + (200K×0.25)</w:t>
            </w:r>
          </w:p>
        </w:tc>
        <w:tc>
          <w:tcPr>
            <w:tcW w:w="2090"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3,50,000</w:t>
            </w:r>
          </w:p>
        </w:tc>
      </w:tr>
      <w:tr w:rsidR="00283F71" w:rsidRPr="00283F71" w:rsidTr="003420A4">
        <w:trPr>
          <w:trHeight w:val="993"/>
        </w:trPr>
        <w:tc>
          <w:tcPr>
            <w:tcW w:w="1021" w:type="dxa"/>
            <w:tcBorders>
              <w:top w:val="nil"/>
              <w:left w:val="single" w:sz="4" w:space="0" w:color="auto"/>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2</w:t>
            </w:r>
          </w:p>
        </w:tc>
        <w:tc>
          <w:tcPr>
            <w:tcW w:w="1879"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4,50,000</w:t>
            </w:r>
          </w:p>
        </w:tc>
        <w:tc>
          <w:tcPr>
            <w:tcW w:w="2355"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2,00,000</w:t>
            </w:r>
          </w:p>
        </w:tc>
        <w:tc>
          <w:tcPr>
            <w:tcW w:w="2107"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(450K×0.75) + (200K×0.25)</w:t>
            </w:r>
          </w:p>
        </w:tc>
        <w:tc>
          <w:tcPr>
            <w:tcW w:w="2090"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3,87,500</w:t>
            </w:r>
          </w:p>
        </w:tc>
      </w:tr>
      <w:tr w:rsidR="00283F71" w:rsidRPr="00283F71" w:rsidTr="003420A4">
        <w:trPr>
          <w:trHeight w:val="993"/>
        </w:trPr>
        <w:tc>
          <w:tcPr>
            <w:tcW w:w="1021" w:type="dxa"/>
            <w:tcBorders>
              <w:top w:val="nil"/>
              <w:left w:val="single" w:sz="4" w:space="0" w:color="auto"/>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3</w:t>
            </w:r>
          </w:p>
        </w:tc>
        <w:tc>
          <w:tcPr>
            <w:tcW w:w="1879"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6,50,000</w:t>
            </w:r>
          </w:p>
        </w:tc>
        <w:tc>
          <w:tcPr>
            <w:tcW w:w="2355"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2,00,000</w:t>
            </w:r>
          </w:p>
        </w:tc>
        <w:tc>
          <w:tcPr>
            <w:tcW w:w="2107"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(650K×0.75) + (200K×0.25)</w:t>
            </w:r>
          </w:p>
        </w:tc>
        <w:tc>
          <w:tcPr>
            <w:tcW w:w="2090"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5,37,500</w:t>
            </w:r>
          </w:p>
        </w:tc>
      </w:tr>
      <w:tr w:rsidR="00283F71" w:rsidRPr="00283F71" w:rsidTr="003420A4">
        <w:trPr>
          <w:trHeight w:val="993"/>
        </w:trPr>
        <w:tc>
          <w:tcPr>
            <w:tcW w:w="1021" w:type="dxa"/>
            <w:tcBorders>
              <w:top w:val="nil"/>
              <w:left w:val="single" w:sz="4" w:space="0" w:color="auto"/>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4</w:t>
            </w:r>
          </w:p>
        </w:tc>
        <w:tc>
          <w:tcPr>
            <w:tcW w:w="1879" w:type="dxa"/>
            <w:tcBorders>
              <w:top w:val="nil"/>
              <w:left w:val="nil"/>
              <w:bottom w:val="single" w:sz="4" w:space="0" w:color="auto"/>
              <w:right w:val="single" w:sz="4" w:space="0" w:color="auto"/>
            </w:tcBorders>
            <w:shd w:val="clear" w:color="000000" w:fill="FFFFFF"/>
            <w:vAlign w:val="center"/>
            <w:hideMark/>
          </w:tcPr>
          <w:p w:rsidR="005D60EF" w:rsidRPr="00283F71" w:rsidRDefault="005D60EF"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9,80,000</w:t>
            </w:r>
          </w:p>
        </w:tc>
        <w:tc>
          <w:tcPr>
            <w:tcW w:w="2355" w:type="dxa"/>
            <w:tcBorders>
              <w:top w:val="nil"/>
              <w:left w:val="nil"/>
              <w:bottom w:val="single" w:sz="4" w:space="0" w:color="auto"/>
              <w:right w:val="single" w:sz="4" w:space="0" w:color="auto"/>
            </w:tcBorders>
            <w:shd w:val="clear" w:color="000000" w:fill="FFFFFF"/>
            <w:vAlign w:val="center"/>
            <w:hideMark/>
          </w:tcPr>
          <w:p w:rsidR="005D60EF" w:rsidRPr="00283F71" w:rsidRDefault="004D1C26"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 xml:space="preserve">200,000 </w:t>
            </w:r>
          </w:p>
        </w:tc>
        <w:tc>
          <w:tcPr>
            <w:tcW w:w="2107" w:type="dxa"/>
            <w:tcBorders>
              <w:top w:val="nil"/>
              <w:left w:val="nil"/>
              <w:bottom w:val="single" w:sz="4" w:space="0" w:color="auto"/>
              <w:right w:val="single" w:sz="4" w:space="0" w:color="auto"/>
            </w:tcBorders>
            <w:shd w:val="clear" w:color="000000" w:fill="FFFFFF"/>
            <w:vAlign w:val="center"/>
            <w:hideMark/>
          </w:tcPr>
          <w:p w:rsidR="005D60EF" w:rsidRPr="00283F71" w:rsidRDefault="004D1C26"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(980K×0.75) + (2</w:t>
            </w:r>
            <w:r w:rsidR="005D60EF" w:rsidRPr="00283F71">
              <w:rPr>
                <w:rFonts w:ascii="Times New Roman" w:hAnsi="Times New Roman" w:cs="Times New Roman"/>
                <w:bCs/>
                <w:sz w:val="24"/>
                <w:szCs w:val="24"/>
                <w:lang w:val="en-IN" w:eastAsia="en-IN"/>
              </w:rPr>
              <w:t>00K×0.25)</w:t>
            </w:r>
          </w:p>
        </w:tc>
        <w:tc>
          <w:tcPr>
            <w:tcW w:w="2090" w:type="dxa"/>
            <w:tcBorders>
              <w:top w:val="nil"/>
              <w:left w:val="nil"/>
              <w:bottom w:val="single" w:sz="4" w:space="0" w:color="auto"/>
              <w:right w:val="single" w:sz="4" w:space="0" w:color="auto"/>
            </w:tcBorders>
            <w:shd w:val="clear" w:color="000000" w:fill="FFFFFF"/>
            <w:vAlign w:val="center"/>
            <w:hideMark/>
          </w:tcPr>
          <w:p w:rsidR="005D60EF" w:rsidRPr="00283F71" w:rsidRDefault="006976F7" w:rsidP="0088378B">
            <w:pPr>
              <w:spacing w:line="360" w:lineRule="auto"/>
              <w:rPr>
                <w:rFonts w:ascii="Times New Roman" w:hAnsi="Times New Roman" w:cs="Times New Roman"/>
                <w:bCs/>
                <w:sz w:val="24"/>
                <w:szCs w:val="24"/>
                <w:lang w:val="en-IN" w:eastAsia="en-IN"/>
              </w:rPr>
            </w:pPr>
            <w:r w:rsidRPr="00283F71">
              <w:rPr>
                <w:rFonts w:ascii="Times New Roman" w:hAnsi="Times New Roman" w:cs="Times New Roman"/>
                <w:bCs/>
                <w:sz w:val="24"/>
                <w:szCs w:val="24"/>
                <w:lang w:val="en-IN" w:eastAsia="en-IN"/>
              </w:rPr>
              <w:t>7,8</w:t>
            </w:r>
            <w:r w:rsidR="005D60EF" w:rsidRPr="00283F71">
              <w:rPr>
                <w:rFonts w:ascii="Times New Roman" w:hAnsi="Times New Roman" w:cs="Times New Roman"/>
                <w:bCs/>
                <w:sz w:val="24"/>
                <w:szCs w:val="24"/>
                <w:lang w:val="en-IN" w:eastAsia="en-IN"/>
              </w:rPr>
              <w:t>5,000</w:t>
            </w:r>
          </w:p>
        </w:tc>
      </w:tr>
    </w:tbl>
    <w:p w:rsidR="005D60EF" w:rsidRDefault="005D60EF" w:rsidP="0088378B">
      <w:pPr>
        <w:spacing w:line="360" w:lineRule="auto"/>
        <w:jc w:val="both"/>
        <w:rPr>
          <w:rFonts w:ascii="Times New Roman" w:hAnsi="Times New Roman" w:cs="Times New Roman"/>
          <w:b/>
          <w:sz w:val="24"/>
          <w:lang w:val="en-IN"/>
        </w:rPr>
      </w:pPr>
    </w:p>
    <w:p w:rsidR="00ED292D" w:rsidRDefault="00ED292D" w:rsidP="0088378B">
      <w:pPr>
        <w:spacing w:line="360" w:lineRule="auto"/>
        <w:jc w:val="both"/>
        <w:rPr>
          <w:rFonts w:ascii="Times New Roman" w:hAnsi="Times New Roman" w:cs="Times New Roman"/>
          <w:b/>
          <w:sz w:val="24"/>
          <w:lang w:val="en-IN"/>
        </w:rPr>
      </w:pPr>
      <w:r>
        <w:rPr>
          <w:rFonts w:ascii="Times New Roman" w:hAnsi="Times New Roman" w:cs="Times New Roman"/>
          <w:b/>
          <w:sz w:val="24"/>
          <w:lang w:val="en-IN"/>
        </w:rPr>
        <w:t xml:space="preserve">Option c (£ 1,600,000 initial investment) </w:t>
      </w:r>
    </w:p>
    <w:tbl>
      <w:tblPr>
        <w:tblW w:w="9369" w:type="dxa"/>
        <w:tblInd w:w="-5" w:type="dxa"/>
        <w:tblLook w:val="04A0" w:firstRow="1" w:lastRow="0" w:firstColumn="1" w:lastColumn="0" w:noHBand="0" w:noVBand="1"/>
      </w:tblPr>
      <w:tblGrid>
        <w:gridCol w:w="1011"/>
        <w:gridCol w:w="1876"/>
        <w:gridCol w:w="2307"/>
        <w:gridCol w:w="2115"/>
        <w:gridCol w:w="2060"/>
      </w:tblGrid>
      <w:tr w:rsidR="003420A4" w:rsidRPr="003420A4" w:rsidTr="003420A4">
        <w:trPr>
          <w:trHeight w:val="818"/>
        </w:trPr>
        <w:tc>
          <w:tcPr>
            <w:tcW w:w="1011"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rPr>
                <w:rFonts w:ascii="Times New Roman" w:eastAsia="Times New Roman" w:hAnsi="Times New Roman" w:cs="Times New Roman"/>
                <w:b/>
                <w:bCs/>
                <w:sz w:val="24"/>
                <w:szCs w:val="24"/>
                <w:lang w:val="en-IN" w:eastAsia="en-IN"/>
              </w:rPr>
            </w:pPr>
            <w:r w:rsidRPr="003420A4">
              <w:rPr>
                <w:rFonts w:ascii="Times New Roman" w:eastAsia="Times New Roman" w:hAnsi="Times New Roman" w:cs="Times New Roman"/>
                <w:b/>
                <w:bCs/>
                <w:sz w:val="24"/>
                <w:szCs w:val="24"/>
                <w:lang w:val="en-IN" w:eastAsia="en-IN"/>
              </w:rPr>
              <w:t>Year</w:t>
            </w:r>
          </w:p>
        </w:tc>
        <w:tc>
          <w:tcPr>
            <w:tcW w:w="1876" w:type="dxa"/>
            <w:tcBorders>
              <w:top w:val="single" w:sz="4" w:space="0" w:color="auto"/>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rPr>
                <w:rFonts w:ascii="Times New Roman" w:eastAsia="Times New Roman" w:hAnsi="Times New Roman" w:cs="Times New Roman"/>
                <w:b/>
                <w:bCs/>
                <w:sz w:val="24"/>
                <w:szCs w:val="24"/>
                <w:lang w:val="en-IN" w:eastAsia="en-IN"/>
              </w:rPr>
            </w:pPr>
            <w:r w:rsidRPr="003420A4">
              <w:rPr>
                <w:rFonts w:ascii="Times New Roman" w:eastAsia="Times New Roman" w:hAnsi="Times New Roman" w:cs="Times New Roman"/>
                <w:b/>
                <w:bCs/>
                <w:sz w:val="24"/>
                <w:szCs w:val="24"/>
                <w:lang w:val="en-IN" w:eastAsia="en-IN"/>
              </w:rPr>
              <w:t>Pre-Tax CF (£)</w:t>
            </w:r>
          </w:p>
        </w:tc>
        <w:tc>
          <w:tcPr>
            <w:tcW w:w="2307" w:type="dxa"/>
            <w:tcBorders>
              <w:top w:val="single" w:sz="4" w:space="0" w:color="auto"/>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rPr>
                <w:rFonts w:ascii="Times New Roman" w:eastAsia="Times New Roman" w:hAnsi="Times New Roman" w:cs="Times New Roman"/>
                <w:b/>
                <w:bCs/>
                <w:sz w:val="24"/>
                <w:szCs w:val="24"/>
                <w:lang w:val="en-IN" w:eastAsia="en-IN"/>
              </w:rPr>
            </w:pPr>
            <w:r w:rsidRPr="003420A4">
              <w:rPr>
                <w:rFonts w:ascii="Times New Roman" w:eastAsia="Times New Roman" w:hAnsi="Times New Roman" w:cs="Times New Roman"/>
                <w:b/>
                <w:bCs/>
                <w:sz w:val="24"/>
                <w:szCs w:val="24"/>
                <w:lang w:val="en-IN" w:eastAsia="en-IN"/>
              </w:rPr>
              <w:t>Capital Allowance (£)</w:t>
            </w:r>
          </w:p>
        </w:tc>
        <w:tc>
          <w:tcPr>
            <w:tcW w:w="2115" w:type="dxa"/>
            <w:tcBorders>
              <w:top w:val="single" w:sz="4" w:space="0" w:color="auto"/>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rPr>
                <w:rFonts w:ascii="Times New Roman" w:eastAsia="Times New Roman" w:hAnsi="Times New Roman" w:cs="Times New Roman"/>
                <w:b/>
                <w:bCs/>
                <w:sz w:val="24"/>
                <w:szCs w:val="24"/>
                <w:lang w:val="en-IN" w:eastAsia="en-IN"/>
              </w:rPr>
            </w:pPr>
            <w:r w:rsidRPr="003420A4">
              <w:rPr>
                <w:rFonts w:ascii="Times New Roman" w:eastAsia="Times New Roman" w:hAnsi="Times New Roman" w:cs="Times New Roman"/>
                <w:b/>
                <w:bCs/>
                <w:sz w:val="24"/>
                <w:szCs w:val="24"/>
                <w:lang w:val="en-IN" w:eastAsia="en-IN"/>
              </w:rPr>
              <w:t>Calculation</w:t>
            </w:r>
          </w:p>
        </w:tc>
        <w:tc>
          <w:tcPr>
            <w:tcW w:w="2060" w:type="dxa"/>
            <w:tcBorders>
              <w:top w:val="single" w:sz="4" w:space="0" w:color="auto"/>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rPr>
                <w:rFonts w:ascii="Times New Roman" w:eastAsia="Times New Roman" w:hAnsi="Times New Roman" w:cs="Times New Roman"/>
                <w:b/>
                <w:bCs/>
                <w:sz w:val="24"/>
                <w:szCs w:val="24"/>
                <w:lang w:val="en-IN" w:eastAsia="en-IN"/>
              </w:rPr>
            </w:pPr>
            <w:r w:rsidRPr="003420A4">
              <w:rPr>
                <w:rFonts w:ascii="Times New Roman" w:eastAsia="Times New Roman" w:hAnsi="Times New Roman" w:cs="Times New Roman"/>
                <w:b/>
                <w:bCs/>
                <w:sz w:val="24"/>
                <w:szCs w:val="24"/>
                <w:lang w:val="en-IN" w:eastAsia="en-IN"/>
              </w:rPr>
              <w:t>After-Tax CF (£)</w:t>
            </w:r>
          </w:p>
        </w:tc>
      </w:tr>
      <w:tr w:rsidR="003420A4" w:rsidRPr="003420A4" w:rsidTr="003420A4">
        <w:trPr>
          <w:trHeight w:val="818"/>
        </w:trPr>
        <w:tc>
          <w:tcPr>
            <w:tcW w:w="1011" w:type="dxa"/>
            <w:tcBorders>
              <w:top w:val="nil"/>
              <w:left w:val="single" w:sz="4" w:space="0" w:color="auto"/>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1</w:t>
            </w:r>
          </w:p>
        </w:tc>
        <w:tc>
          <w:tcPr>
            <w:tcW w:w="1876"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4,00,000</w:t>
            </w:r>
          </w:p>
        </w:tc>
        <w:tc>
          <w:tcPr>
            <w:tcW w:w="2307"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320,000 (20% × 1.6M)</w:t>
            </w:r>
          </w:p>
        </w:tc>
        <w:tc>
          <w:tcPr>
            <w:tcW w:w="2115"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(400K×0.75) + (320K×0.25)</w:t>
            </w:r>
          </w:p>
        </w:tc>
        <w:tc>
          <w:tcPr>
            <w:tcW w:w="2060"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3,80,000</w:t>
            </w:r>
          </w:p>
        </w:tc>
      </w:tr>
      <w:tr w:rsidR="003420A4" w:rsidRPr="003420A4" w:rsidTr="003420A4">
        <w:trPr>
          <w:trHeight w:val="818"/>
        </w:trPr>
        <w:tc>
          <w:tcPr>
            <w:tcW w:w="1011" w:type="dxa"/>
            <w:tcBorders>
              <w:top w:val="nil"/>
              <w:left w:val="single" w:sz="4" w:space="0" w:color="auto"/>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2</w:t>
            </w:r>
          </w:p>
        </w:tc>
        <w:tc>
          <w:tcPr>
            <w:tcW w:w="1876"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7,00,000</w:t>
            </w:r>
          </w:p>
        </w:tc>
        <w:tc>
          <w:tcPr>
            <w:tcW w:w="2307"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3,20,000</w:t>
            </w:r>
          </w:p>
        </w:tc>
        <w:tc>
          <w:tcPr>
            <w:tcW w:w="2115"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(700K×0.75) + (320K×0.25)</w:t>
            </w:r>
          </w:p>
        </w:tc>
        <w:tc>
          <w:tcPr>
            <w:tcW w:w="2060"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6,05,000</w:t>
            </w:r>
          </w:p>
        </w:tc>
      </w:tr>
      <w:tr w:rsidR="003420A4" w:rsidRPr="003420A4" w:rsidTr="003420A4">
        <w:trPr>
          <w:trHeight w:val="818"/>
        </w:trPr>
        <w:tc>
          <w:tcPr>
            <w:tcW w:w="1011" w:type="dxa"/>
            <w:tcBorders>
              <w:top w:val="nil"/>
              <w:left w:val="single" w:sz="4" w:space="0" w:color="auto"/>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3</w:t>
            </w:r>
          </w:p>
        </w:tc>
        <w:tc>
          <w:tcPr>
            <w:tcW w:w="1876"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8,50,000</w:t>
            </w:r>
          </w:p>
        </w:tc>
        <w:tc>
          <w:tcPr>
            <w:tcW w:w="2307"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3,20,000</w:t>
            </w:r>
          </w:p>
        </w:tc>
        <w:tc>
          <w:tcPr>
            <w:tcW w:w="2115"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(850K×0.75) + (320K×0.25)</w:t>
            </w:r>
          </w:p>
        </w:tc>
        <w:tc>
          <w:tcPr>
            <w:tcW w:w="2060"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7,17,500</w:t>
            </w:r>
          </w:p>
        </w:tc>
      </w:tr>
      <w:tr w:rsidR="003420A4" w:rsidRPr="003420A4" w:rsidTr="003420A4">
        <w:trPr>
          <w:trHeight w:val="818"/>
        </w:trPr>
        <w:tc>
          <w:tcPr>
            <w:tcW w:w="1011" w:type="dxa"/>
            <w:tcBorders>
              <w:top w:val="nil"/>
              <w:left w:val="single" w:sz="4" w:space="0" w:color="auto"/>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4</w:t>
            </w:r>
          </w:p>
        </w:tc>
        <w:tc>
          <w:tcPr>
            <w:tcW w:w="1876" w:type="dxa"/>
            <w:tcBorders>
              <w:top w:val="nil"/>
              <w:left w:val="nil"/>
              <w:bottom w:val="single" w:sz="4" w:space="0" w:color="auto"/>
              <w:right w:val="single" w:sz="4" w:space="0" w:color="auto"/>
            </w:tcBorders>
            <w:shd w:val="clear" w:color="000000" w:fill="FFFFFF"/>
            <w:vAlign w:val="center"/>
            <w:hideMark/>
          </w:tcPr>
          <w:p w:rsidR="003420A4" w:rsidRPr="003420A4" w:rsidRDefault="003420A4"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sidRPr="003420A4">
              <w:rPr>
                <w:rFonts w:ascii="Times New Roman" w:eastAsia="Times New Roman" w:hAnsi="Times New Roman" w:cs="Times New Roman"/>
                <w:bCs/>
                <w:sz w:val="24"/>
                <w:szCs w:val="24"/>
                <w:lang w:val="en-IN" w:eastAsia="en-IN"/>
              </w:rPr>
              <w:t>11,00,000</w:t>
            </w:r>
          </w:p>
        </w:tc>
        <w:tc>
          <w:tcPr>
            <w:tcW w:w="2307" w:type="dxa"/>
            <w:tcBorders>
              <w:top w:val="nil"/>
              <w:left w:val="nil"/>
              <w:bottom w:val="single" w:sz="4" w:space="0" w:color="auto"/>
              <w:right w:val="single" w:sz="4" w:space="0" w:color="auto"/>
            </w:tcBorders>
            <w:shd w:val="clear" w:color="000000" w:fill="FFFFFF"/>
            <w:vAlign w:val="center"/>
            <w:hideMark/>
          </w:tcPr>
          <w:p w:rsidR="003420A4" w:rsidRPr="003420A4" w:rsidRDefault="004D1C26"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Pr>
                <w:rFonts w:ascii="Times New Roman" w:eastAsia="Times New Roman" w:hAnsi="Times New Roman" w:cs="Times New Roman"/>
                <w:bCs/>
                <w:sz w:val="24"/>
                <w:szCs w:val="24"/>
                <w:lang w:val="en-IN" w:eastAsia="en-IN"/>
              </w:rPr>
              <w:t>3,20,000</w:t>
            </w:r>
          </w:p>
        </w:tc>
        <w:tc>
          <w:tcPr>
            <w:tcW w:w="2115" w:type="dxa"/>
            <w:tcBorders>
              <w:top w:val="nil"/>
              <w:left w:val="nil"/>
              <w:bottom w:val="single" w:sz="4" w:space="0" w:color="auto"/>
              <w:right w:val="single" w:sz="4" w:space="0" w:color="auto"/>
            </w:tcBorders>
            <w:shd w:val="clear" w:color="000000" w:fill="FFFFFF"/>
            <w:vAlign w:val="center"/>
            <w:hideMark/>
          </w:tcPr>
          <w:p w:rsidR="003420A4" w:rsidRPr="003420A4" w:rsidRDefault="004D1C26"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Pr>
                <w:rFonts w:ascii="Times New Roman" w:eastAsia="Times New Roman" w:hAnsi="Times New Roman" w:cs="Times New Roman"/>
                <w:bCs/>
                <w:sz w:val="24"/>
                <w:szCs w:val="24"/>
                <w:lang w:val="en-IN" w:eastAsia="en-IN"/>
              </w:rPr>
              <w:t>(1,100K×0.75) + (32</w:t>
            </w:r>
            <w:r w:rsidR="003420A4" w:rsidRPr="003420A4">
              <w:rPr>
                <w:rFonts w:ascii="Times New Roman" w:eastAsia="Times New Roman" w:hAnsi="Times New Roman" w:cs="Times New Roman"/>
                <w:bCs/>
                <w:sz w:val="24"/>
                <w:szCs w:val="24"/>
                <w:lang w:val="en-IN" w:eastAsia="en-IN"/>
              </w:rPr>
              <w:t>0K×0.25)</w:t>
            </w:r>
          </w:p>
        </w:tc>
        <w:tc>
          <w:tcPr>
            <w:tcW w:w="2060" w:type="dxa"/>
            <w:tcBorders>
              <w:top w:val="nil"/>
              <w:left w:val="nil"/>
              <w:bottom w:val="single" w:sz="4" w:space="0" w:color="auto"/>
              <w:right w:val="single" w:sz="4" w:space="0" w:color="auto"/>
            </w:tcBorders>
            <w:shd w:val="clear" w:color="000000" w:fill="FFFFFF"/>
            <w:vAlign w:val="center"/>
            <w:hideMark/>
          </w:tcPr>
          <w:p w:rsidR="003420A4" w:rsidRPr="003420A4" w:rsidRDefault="006976F7" w:rsidP="0088378B">
            <w:pPr>
              <w:spacing w:after="0" w:line="360" w:lineRule="auto"/>
              <w:ind w:firstLineChars="100" w:firstLine="240"/>
              <w:jc w:val="both"/>
              <w:rPr>
                <w:rFonts w:ascii="Times New Roman" w:eastAsia="Times New Roman" w:hAnsi="Times New Roman" w:cs="Times New Roman"/>
                <w:bCs/>
                <w:sz w:val="24"/>
                <w:szCs w:val="24"/>
                <w:lang w:val="en-IN" w:eastAsia="en-IN"/>
              </w:rPr>
            </w:pPr>
            <w:r>
              <w:rPr>
                <w:rFonts w:ascii="Times New Roman" w:eastAsia="Times New Roman" w:hAnsi="Times New Roman" w:cs="Times New Roman"/>
                <w:bCs/>
                <w:sz w:val="24"/>
                <w:szCs w:val="24"/>
                <w:lang w:val="en-IN" w:eastAsia="en-IN"/>
              </w:rPr>
              <w:t>9,0</w:t>
            </w:r>
            <w:r w:rsidR="003420A4" w:rsidRPr="003420A4">
              <w:rPr>
                <w:rFonts w:ascii="Times New Roman" w:eastAsia="Times New Roman" w:hAnsi="Times New Roman" w:cs="Times New Roman"/>
                <w:bCs/>
                <w:sz w:val="24"/>
                <w:szCs w:val="24"/>
                <w:lang w:val="en-IN" w:eastAsia="en-IN"/>
              </w:rPr>
              <w:t>5,000</w:t>
            </w:r>
          </w:p>
        </w:tc>
      </w:tr>
    </w:tbl>
    <w:p w:rsidR="003420A4" w:rsidRDefault="003420A4" w:rsidP="0088378B">
      <w:pPr>
        <w:spacing w:line="360" w:lineRule="auto"/>
        <w:jc w:val="both"/>
        <w:rPr>
          <w:rFonts w:ascii="Times New Roman" w:hAnsi="Times New Roman" w:cs="Times New Roman"/>
          <w:b/>
          <w:sz w:val="24"/>
          <w:lang w:val="en-IN"/>
        </w:rPr>
      </w:pPr>
    </w:p>
    <w:p w:rsidR="00103B7A" w:rsidRDefault="00103B7A" w:rsidP="0088378B">
      <w:pPr>
        <w:spacing w:line="360" w:lineRule="auto"/>
        <w:jc w:val="both"/>
        <w:rPr>
          <w:rFonts w:ascii="Times New Roman" w:hAnsi="Times New Roman" w:cs="Times New Roman"/>
          <w:b/>
          <w:sz w:val="24"/>
          <w:lang w:val="en-IN"/>
        </w:rPr>
      </w:pPr>
      <w:r>
        <w:rPr>
          <w:rFonts w:ascii="Times New Roman" w:hAnsi="Times New Roman" w:cs="Times New Roman"/>
          <w:b/>
          <w:sz w:val="24"/>
          <w:lang w:val="en-IN"/>
        </w:rPr>
        <w:t xml:space="preserve">2. Net present value </w:t>
      </w:r>
    </w:p>
    <w:p w:rsidR="00512483" w:rsidRPr="00283F71" w:rsidRDefault="00967169" w:rsidP="0088378B">
      <w:pPr>
        <w:spacing w:line="360" w:lineRule="auto"/>
        <w:jc w:val="both"/>
        <w:rPr>
          <w:rFonts w:ascii="Times New Roman" w:hAnsi="Times New Roman" w:cs="Times New Roman"/>
          <w:sz w:val="24"/>
          <w:szCs w:val="24"/>
          <w:lang w:val="en-IN"/>
        </w:rPr>
      </w:pPr>
      <w:r w:rsidRPr="00967169">
        <w:rPr>
          <w:rFonts w:ascii="Times New Roman" w:hAnsi="Times New Roman" w:cs="Times New Roman"/>
          <w:sz w:val="24"/>
          <w:lang w:val="en-IN"/>
        </w:rPr>
        <w:t xml:space="preserve">Net present value (NPV) is defined as the present value of the expected cash inflows in the future, minus the present value of the original investment outlays (using the company's cost of </w:t>
      </w:r>
      <w:r w:rsidRPr="00283F71">
        <w:rPr>
          <w:rFonts w:ascii="Times New Roman" w:hAnsi="Times New Roman" w:cs="Times New Roman"/>
          <w:sz w:val="24"/>
          <w:szCs w:val="24"/>
          <w:lang w:val="en-IN"/>
        </w:rPr>
        <w:t>capital) (Brealey, Myers, and Allen, 2020).</w:t>
      </w:r>
    </w:p>
    <w:p w:rsidR="00283F71" w:rsidRPr="00283F71" w:rsidRDefault="00283F71" w:rsidP="0088378B">
      <w:pPr>
        <w:spacing w:line="360" w:lineRule="auto"/>
        <w:rPr>
          <w:rFonts w:ascii="Times New Roman" w:hAnsi="Times New Roman" w:cs="Times New Roman"/>
          <w:sz w:val="24"/>
          <w:szCs w:val="24"/>
          <w:lang w:val="en-IN"/>
        </w:rPr>
      </w:pPr>
      <w:r w:rsidRPr="00283F71">
        <w:rPr>
          <w:rFonts w:ascii="Times New Roman" w:hAnsi="Times New Roman" w:cs="Times New Roman"/>
          <w:sz w:val="24"/>
          <w:szCs w:val="24"/>
        </w:rPr>
        <w:t>NPV serves as a primary indicator of an investment's value-creation potential:</w:t>
      </w:r>
    </w:p>
    <w:p w:rsidR="00283F71" w:rsidRPr="00283F71" w:rsidRDefault="00283F71" w:rsidP="0088378B">
      <w:pPr>
        <w:pStyle w:val="ListParagraph"/>
        <w:numPr>
          <w:ilvl w:val="0"/>
          <w:numId w:val="13"/>
        </w:numPr>
        <w:spacing w:line="360" w:lineRule="auto"/>
        <w:rPr>
          <w:rFonts w:ascii="Times New Roman" w:hAnsi="Times New Roman" w:cs="Times New Roman"/>
          <w:sz w:val="24"/>
          <w:szCs w:val="24"/>
        </w:rPr>
      </w:pPr>
      <w:r w:rsidRPr="00283F71">
        <w:rPr>
          <w:rStyle w:val="Strong"/>
          <w:rFonts w:ascii="Times New Roman" w:hAnsi="Times New Roman" w:cs="Times New Roman"/>
          <w:sz w:val="24"/>
          <w:szCs w:val="24"/>
        </w:rPr>
        <w:t>NPV &gt; 0</w:t>
      </w:r>
      <w:r w:rsidRPr="00283F71">
        <w:rPr>
          <w:rFonts w:ascii="Times New Roman" w:hAnsi="Times New Roman" w:cs="Times New Roman"/>
          <w:sz w:val="24"/>
          <w:szCs w:val="24"/>
        </w:rPr>
        <w:t>: Project adds value (acceptable)</w:t>
      </w:r>
    </w:p>
    <w:p w:rsidR="00283F71" w:rsidRPr="00283F71" w:rsidRDefault="00283F71" w:rsidP="0088378B">
      <w:pPr>
        <w:pStyle w:val="ListParagraph"/>
        <w:numPr>
          <w:ilvl w:val="0"/>
          <w:numId w:val="13"/>
        </w:numPr>
        <w:spacing w:line="360" w:lineRule="auto"/>
        <w:rPr>
          <w:rFonts w:ascii="Times New Roman" w:hAnsi="Times New Roman" w:cs="Times New Roman"/>
          <w:sz w:val="24"/>
          <w:szCs w:val="24"/>
        </w:rPr>
      </w:pPr>
      <w:r w:rsidRPr="00283F71">
        <w:rPr>
          <w:rStyle w:val="Strong"/>
          <w:rFonts w:ascii="Times New Roman" w:hAnsi="Times New Roman" w:cs="Times New Roman"/>
          <w:sz w:val="24"/>
          <w:szCs w:val="24"/>
        </w:rPr>
        <w:t>NPV &lt; 0</w:t>
      </w:r>
      <w:r w:rsidRPr="00283F71">
        <w:rPr>
          <w:rFonts w:ascii="Times New Roman" w:hAnsi="Times New Roman" w:cs="Times New Roman"/>
          <w:sz w:val="24"/>
          <w:szCs w:val="24"/>
        </w:rPr>
        <w:t>: Project destroys value (rejected)</w:t>
      </w:r>
    </w:p>
    <w:p w:rsidR="00283F71" w:rsidRPr="00283F71" w:rsidRDefault="00283F71" w:rsidP="0088378B">
      <w:pPr>
        <w:pStyle w:val="ListParagraph"/>
        <w:numPr>
          <w:ilvl w:val="0"/>
          <w:numId w:val="13"/>
        </w:numPr>
        <w:spacing w:line="360" w:lineRule="auto"/>
        <w:rPr>
          <w:rFonts w:ascii="Times New Roman" w:hAnsi="Times New Roman" w:cs="Times New Roman"/>
        </w:rPr>
      </w:pPr>
      <w:r w:rsidRPr="00283F71">
        <w:rPr>
          <w:rStyle w:val="Strong"/>
          <w:rFonts w:ascii="Times New Roman" w:hAnsi="Times New Roman" w:cs="Times New Roman"/>
          <w:sz w:val="24"/>
          <w:szCs w:val="24"/>
        </w:rPr>
        <w:t>NPV = 0</w:t>
      </w:r>
      <w:r w:rsidRPr="00283F71">
        <w:rPr>
          <w:rFonts w:ascii="Times New Roman" w:hAnsi="Times New Roman" w:cs="Times New Roman"/>
          <w:sz w:val="24"/>
          <w:szCs w:val="24"/>
        </w:rPr>
        <w:t>: Project breaks even (Brealey, Myers and Allen, 2020</w:t>
      </w:r>
      <w:r w:rsidRPr="00283F71">
        <w:rPr>
          <w:rFonts w:ascii="Times New Roman" w:hAnsi="Times New Roman" w:cs="Times New Roman"/>
        </w:rPr>
        <w:t>)</w:t>
      </w:r>
    </w:p>
    <w:p w:rsidR="00967169" w:rsidRPr="00967169" w:rsidRDefault="00967169" w:rsidP="0088378B">
      <w:pPr>
        <w:spacing w:line="360" w:lineRule="auto"/>
        <w:jc w:val="both"/>
        <w:rPr>
          <w:rFonts w:ascii="Times New Roman" w:hAnsi="Times New Roman" w:cs="Times New Roman"/>
          <w:sz w:val="24"/>
          <w:lang w:val="en-IN"/>
        </w:rPr>
      </w:pPr>
    </w:p>
    <w:p w:rsidR="00025451" w:rsidRDefault="00025451" w:rsidP="0088378B">
      <w:pPr>
        <w:spacing w:line="360" w:lineRule="auto"/>
        <w:rPr>
          <w:rStyle w:val="Strong"/>
          <w:rFonts w:ascii="Times New Roman" w:hAnsi="Times New Roman" w:cs="Times New Roman"/>
          <w:bCs w:val="0"/>
          <w:sz w:val="28"/>
        </w:rPr>
      </w:pPr>
      <w:r w:rsidRPr="00025451">
        <w:rPr>
          <w:rStyle w:val="Strong"/>
          <w:rFonts w:ascii="Times New Roman" w:hAnsi="Times New Roman" w:cs="Times New Roman"/>
          <w:bCs w:val="0"/>
          <w:sz w:val="28"/>
        </w:rPr>
        <w:t>NPV Calculation (Cost of Capital = 6%)</w:t>
      </w:r>
    </w:p>
    <w:p w:rsidR="00025451" w:rsidRDefault="00025451" w:rsidP="0088378B">
      <w:pPr>
        <w:spacing w:line="360" w:lineRule="auto"/>
        <w:jc w:val="both"/>
        <w:rPr>
          <w:rFonts w:ascii="Times New Roman" w:hAnsi="Times New Roman" w:cs="Times New Roman"/>
          <w:sz w:val="28"/>
          <w:lang w:val="en-IN"/>
        </w:rPr>
      </w:pPr>
      <w:r w:rsidRPr="00055D2A">
        <w:rPr>
          <w:rFonts w:ascii="Times New Roman" w:hAnsi="Times New Roman" w:cs="Times New Roman"/>
          <w:b/>
          <w:sz w:val="28"/>
          <w:lang w:val="en-IN"/>
        </w:rPr>
        <w:t>Discount factor:</w:t>
      </w:r>
      <w:r w:rsidR="00055D2A" w:rsidRPr="00055D2A">
        <w:rPr>
          <w:rFonts w:ascii="Times New Roman" w:hAnsi="Times New Roman" w:cs="Times New Roman"/>
          <w:b/>
          <w:sz w:val="28"/>
          <w:lang w:val="en-IN"/>
        </w:rPr>
        <w:t xml:space="preserve"> </w:t>
      </w:r>
      <w:r w:rsidRPr="00055D2A">
        <w:rPr>
          <w:rFonts w:ascii="Times New Roman" w:hAnsi="Times New Roman" w:cs="Times New Roman"/>
          <w:b/>
          <w:sz w:val="28"/>
          <w:lang w:val="en-IN"/>
        </w:rPr>
        <w:t>-</w:t>
      </w:r>
      <w:r w:rsidRPr="00055D2A">
        <w:rPr>
          <w:rFonts w:ascii="Times New Roman" w:hAnsi="Times New Roman" w:cs="Times New Roman"/>
          <w:sz w:val="24"/>
          <w:lang w:val="en-IN"/>
        </w:rPr>
        <w:t xml:space="preserve"> Discount factors are multiplicative coefficients that are applied to future cash flows to convert them to present value equivalents, accounting for the time value of money (Brealey, Myers and Allen, 2020).</w:t>
      </w:r>
    </w:p>
    <w:p w:rsidR="00025451" w:rsidRPr="000C52AC" w:rsidRDefault="00025451" w:rsidP="0088378B">
      <w:pPr>
        <w:pStyle w:val="ListParagraph"/>
        <w:numPr>
          <w:ilvl w:val="0"/>
          <w:numId w:val="14"/>
        </w:numPr>
        <w:spacing w:line="360" w:lineRule="auto"/>
        <w:jc w:val="both"/>
        <w:rPr>
          <w:rFonts w:ascii="Times New Roman" w:hAnsi="Times New Roman" w:cs="Times New Roman"/>
          <w:sz w:val="24"/>
          <w:szCs w:val="24"/>
          <w:lang w:val="en-IN"/>
        </w:rPr>
      </w:pPr>
      <w:r w:rsidRPr="000C52AC">
        <w:rPr>
          <w:rFonts w:ascii="Times New Roman" w:hAnsi="Times New Roman" w:cs="Times New Roman"/>
          <w:b/>
          <w:sz w:val="24"/>
          <w:szCs w:val="24"/>
          <w:lang w:val="en-IN"/>
        </w:rPr>
        <w:t xml:space="preserve">First year </w:t>
      </w:r>
      <w:r w:rsidRPr="000C52AC">
        <w:rPr>
          <w:rFonts w:ascii="Times New Roman" w:hAnsi="Times New Roman" w:cs="Times New Roman"/>
          <w:sz w:val="24"/>
          <w:szCs w:val="24"/>
          <w:lang w:val="en-IN"/>
        </w:rPr>
        <w:t xml:space="preserve">= 0.943 </w:t>
      </w:r>
    </w:p>
    <w:p w:rsidR="00025451" w:rsidRPr="000C52AC" w:rsidRDefault="00025451" w:rsidP="0088378B">
      <w:pPr>
        <w:pStyle w:val="ListParagraph"/>
        <w:numPr>
          <w:ilvl w:val="0"/>
          <w:numId w:val="14"/>
        </w:numPr>
        <w:spacing w:line="360" w:lineRule="auto"/>
        <w:jc w:val="both"/>
        <w:rPr>
          <w:rFonts w:ascii="Times New Roman" w:hAnsi="Times New Roman" w:cs="Times New Roman"/>
          <w:sz w:val="24"/>
          <w:szCs w:val="24"/>
          <w:lang w:val="en-IN"/>
        </w:rPr>
      </w:pPr>
      <w:r w:rsidRPr="000C52AC">
        <w:rPr>
          <w:rFonts w:ascii="Times New Roman" w:hAnsi="Times New Roman" w:cs="Times New Roman"/>
          <w:b/>
          <w:sz w:val="24"/>
          <w:szCs w:val="24"/>
          <w:lang w:val="en-IN"/>
        </w:rPr>
        <w:t>Second year</w:t>
      </w:r>
      <w:r w:rsidRPr="000C52AC">
        <w:rPr>
          <w:rFonts w:ascii="Times New Roman" w:hAnsi="Times New Roman" w:cs="Times New Roman"/>
          <w:sz w:val="24"/>
          <w:szCs w:val="24"/>
          <w:lang w:val="en-IN"/>
        </w:rPr>
        <w:t xml:space="preserve"> = 0.890</w:t>
      </w:r>
    </w:p>
    <w:p w:rsidR="00025451" w:rsidRPr="000C52AC" w:rsidRDefault="00025451" w:rsidP="0088378B">
      <w:pPr>
        <w:pStyle w:val="ListParagraph"/>
        <w:numPr>
          <w:ilvl w:val="0"/>
          <w:numId w:val="14"/>
        </w:numPr>
        <w:spacing w:line="360" w:lineRule="auto"/>
        <w:jc w:val="both"/>
        <w:rPr>
          <w:rFonts w:ascii="Times New Roman" w:hAnsi="Times New Roman" w:cs="Times New Roman"/>
          <w:sz w:val="24"/>
          <w:szCs w:val="24"/>
          <w:lang w:val="en-IN"/>
        </w:rPr>
      </w:pPr>
      <w:r w:rsidRPr="000C52AC">
        <w:rPr>
          <w:rFonts w:ascii="Times New Roman" w:hAnsi="Times New Roman" w:cs="Times New Roman"/>
          <w:b/>
          <w:sz w:val="24"/>
          <w:szCs w:val="24"/>
          <w:lang w:val="en-IN"/>
        </w:rPr>
        <w:t xml:space="preserve">Third year </w:t>
      </w:r>
      <w:r w:rsidRPr="000C52AC">
        <w:rPr>
          <w:rFonts w:ascii="Times New Roman" w:hAnsi="Times New Roman" w:cs="Times New Roman"/>
          <w:sz w:val="24"/>
          <w:szCs w:val="24"/>
          <w:lang w:val="en-IN"/>
        </w:rPr>
        <w:t>= 0.840</w:t>
      </w:r>
    </w:p>
    <w:p w:rsidR="00055D2A" w:rsidRPr="000C52AC" w:rsidRDefault="00055D2A" w:rsidP="0088378B">
      <w:pPr>
        <w:pStyle w:val="ListParagraph"/>
        <w:numPr>
          <w:ilvl w:val="0"/>
          <w:numId w:val="14"/>
        </w:numPr>
        <w:spacing w:line="360" w:lineRule="auto"/>
        <w:jc w:val="both"/>
        <w:rPr>
          <w:rFonts w:ascii="Times New Roman" w:hAnsi="Times New Roman" w:cs="Times New Roman"/>
          <w:sz w:val="24"/>
          <w:szCs w:val="24"/>
          <w:lang w:val="en-IN"/>
        </w:rPr>
      </w:pPr>
      <w:r w:rsidRPr="000C52AC">
        <w:rPr>
          <w:rFonts w:ascii="Times New Roman" w:hAnsi="Times New Roman" w:cs="Times New Roman"/>
          <w:b/>
          <w:sz w:val="24"/>
          <w:szCs w:val="24"/>
          <w:lang w:val="en-IN"/>
        </w:rPr>
        <w:t>Fourth year</w:t>
      </w:r>
      <w:r w:rsidRPr="000C52AC">
        <w:rPr>
          <w:rFonts w:ascii="Times New Roman" w:hAnsi="Times New Roman" w:cs="Times New Roman"/>
          <w:sz w:val="24"/>
          <w:szCs w:val="24"/>
          <w:lang w:val="en-IN"/>
        </w:rPr>
        <w:t xml:space="preserve"> = 0.792</w:t>
      </w:r>
    </w:p>
    <w:p w:rsidR="00055D2A" w:rsidRPr="00055D2A" w:rsidRDefault="00055D2A" w:rsidP="0088378B">
      <w:pPr>
        <w:spacing w:line="360" w:lineRule="auto"/>
        <w:jc w:val="both"/>
        <w:rPr>
          <w:rFonts w:ascii="Times New Roman" w:hAnsi="Times New Roman" w:cs="Times New Roman"/>
          <w:b/>
          <w:sz w:val="24"/>
        </w:rPr>
      </w:pPr>
      <w:r w:rsidRPr="00055D2A">
        <w:rPr>
          <w:rFonts w:ascii="Times New Roman" w:hAnsi="Times New Roman" w:cs="Times New Roman"/>
          <w:b/>
          <w:sz w:val="24"/>
        </w:rPr>
        <w:t>Project A – Expand retail outlet</w:t>
      </w:r>
      <w:r w:rsidR="00CE0F49">
        <w:rPr>
          <w:rFonts w:ascii="Times New Roman" w:hAnsi="Times New Roman" w:cs="Times New Roman"/>
          <w:b/>
          <w:sz w:val="24"/>
        </w:rPr>
        <w:t xml:space="preserve"> (£6</w:t>
      </w:r>
      <w:r w:rsidR="00160A5F">
        <w:rPr>
          <w:rFonts w:ascii="Times New Roman" w:hAnsi="Times New Roman" w:cs="Times New Roman"/>
          <w:b/>
          <w:sz w:val="24"/>
        </w:rPr>
        <w:t>, 00,000</w:t>
      </w:r>
      <w:r w:rsidR="00CE0F49">
        <w:rPr>
          <w:rFonts w:ascii="Times New Roman" w:hAnsi="Times New Roman" w:cs="Times New Roman"/>
          <w:b/>
          <w:sz w:val="24"/>
        </w:rPr>
        <w:t>)</w:t>
      </w:r>
    </w:p>
    <w:tbl>
      <w:tblPr>
        <w:tblpPr w:leftFromText="180" w:rightFromText="180" w:vertAnchor="text" w:horzAnchor="margin" w:tblpY="265"/>
        <w:tblW w:w="9099" w:type="dxa"/>
        <w:tblLook w:val="04A0" w:firstRow="1" w:lastRow="0" w:firstColumn="1" w:lastColumn="0" w:noHBand="0" w:noVBand="1"/>
      </w:tblPr>
      <w:tblGrid>
        <w:gridCol w:w="1834"/>
        <w:gridCol w:w="2123"/>
        <w:gridCol w:w="2285"/>
        <w:gridCol w:w="1219"/>
        <w:gridCol w:w="1638"/>
      </w:tblGrid>
      <w:tr w:rsidR="00055D2A" w:rsidRPr="00055D2A" w:rsidTr="00EA27D5">
        <w:trPr>
          <w:trHeight w:val="612"/>
        </w:trPr>
        <w:tc>
          <w:tcPr>
            <w:tcW w:w="18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Year</w:t>
            </w:r>
          </w:p>
        </w:tc>
        <w:tc>
          <w:tcPr>
            <w:tcW w:w="2123" w:type="dxa"/>
            <w:tcBorders>
              <w:top w:val="single" w:sz="4" w:space="0" w:color="auto"/>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Operating CF (£)</w:t>
            </w:r>
          </w:p>
        </w:tc>
        <w:tc>
          <w:tcPr>
            <w:tcW w:w="2285" w:type="dxa"/>
            <w:tcBorders>
              <w:top w:val="single" w:sz="4" w:space="0" w:color="auto"/>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center"/>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After</w:t>
            </w:r>
            <w:r w:rsidRPr="00055D2A">
              <w:rPr>
                <w:rFonts w:ascii="Times New Roman" w:eastAsia="Times New Roman" w:hAnsi="Times New Roman" w:cs="Times New Roman"/>
                <w:b/>
                <w:bCs/>
                <w:sz w:val="24"/>
                <w:szCs w:val="24"/>
                <w:lang w:val="en-IN" w:eastAsia="en-IN"/>
              </w:rPr>
              <w:noBreakHyphen/>
              <w:t>tax CF</w:t>
            </w:r>
            <w:r w:rsidR="00814D4E">
              <w:rPr>
                <w:rFonts w:ascii="Times New Roman" w:eastAsia="Times New Roman" w:hAnsi="Times New Roman" w:cs="Times New Roman"/>
                <w:b/>
                <w:bCs/>
                <w:sz w:val="24"/>
                <w:szCs w:val="24"/>
                <w:lang w:val="en-IN" w:eastAsia="en-IN"/>
              </w:rPr>
              <w:t>”</w:t>
            </w:r>
            <w:r w:rsidRPr="00055D2A">
              <w:rPr>
                <w:rFonts w:ascii="Times New Roman" w:eastAsia="Times New Roman" w:hAnsi="Times New Roman" w:cs="Times New Roman"/>
                <w:b/>
                <w:bCs/>
                <w:sz w:val="24"/>
                <w:szCs w:val="24"/>
                <w:lang w:val="en-IN" w:eastAsia="en-IN"/>
              </w:rPr>
              <w:t xml:space="preserve"> (£)</w:t>
            </w:r>
          </w:p>
        </w:tc>
        <w:tc>
          <w:tcPr>
            <w:tcW w:w="1219" w:type="dxa"/>
            <w:tcBorders>
              <w:top w:val="single" w:sz="4" w:space="0" w:color="auto"/>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center"/>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Factor</w:t>
            </w:r>
          </w:p>
        </w:tc>
        <w:tc>
          <w:tcPr>
            <w:tcW w:w="1638" w:type="dxa"/>
            <w:tcBorders>
              <w:top w:val="single" w:sz="4" w:space="0" w:color="auto"/>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center"/>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Present value (£)</w:t>
            </w:r>
          </w:p>
        </w:tc>
      </w:tr>
      <w:tr w:rsidR="00055D2A" w:rsidRPr="00055D2A" w:rsidTr="00EA27D5">
        <w:trPr>
          <w:trHeight w:val="349"/>
        </w:trPr>
        <w:tc>
          <w:tcPr>
            <w:tcW w:w="1834" w:type="dxa"/>
            <w:tcBorders>
              <w:top w:val="nil"/>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right"/>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1</w:t>
            </w:r>
          </w:p>
        </w:tc>
        <w:tc>
          <w:tcPr>
            <w:tcW w:w="2123"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2,00,000</w:t>
            </w:r>
          </w:p>
        </w:tc>
        <w:tc>
          <w:tcPr>
            <w:tcW w:w="2285"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1,80,000</w:t>
            </w:r>
          </w:p>
        </w:tc>
        <w:tc>
          <w:tcPr>
            <w:tcW w:w="1219" w:type="dxa"/>
            <w:tcBorders>
              <w:top w:val="nil"/>
              <w:left w:val="nil"/>
              <w:bottom w:val="single" w:sz="4" w:space="0" w:color="auto"/>
              <w:right w:val="single" w:sz="4" w:space="0" w:color="auto"/>
            </w:tcBorders>
            <w:shd w:val="clear" w:color="auto" w:fill="auto"/>
            <w:vAlign w:val="center"/>
            <w:hideMark/>
          </w:tcPr>
          <w:p w:rsidR="00055D2A" w:rsidRPr="00055D2A" w:rsidRDefault="00EA27D5" w:rsidP="0088378B">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0.943</w:t>
            </w:r>
          </w:p>
        </w:tc>
        <w:tc>
          <w:tcPr>
            <w:tcW w:w="1638" w:type="dxa"/>
            <w:tcBorders>
              <w:top w:val="nil"/>
              <w:left w:val="nil"/>
              <w:bottom w:val="single" w:sz="4" w:space="0" w:color="auto"/>
              <w:right w:val="single" w:sz="4" w:space="0" w:color="auto"/>
            </w:tcBorders>
            <w:shd w:val="clear" w:color="auto" w:fill="auto"/>
            <w:vAlign w:val="center"/>
            <w:hideMark/>
          </w:tcPr>
          <w:p w:rsidR="00055D2A" w:rsidRPr="00055D2A" w:rsidRDefault="00E665A3" w:rsidP="0088378B">
            <w:pPr>
              <w:spacing w:after="0" w:line="360" w:lineRule="auto"/>
              <w:jc w:val="right"/>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1,69,740</w:t>
            </w:r>
          </w:p>
        </w:tc>
      </w:tr>
      <w:tr w:rsidR="00055D2A" w:rsidRPr="00055D2A" w:rsidTr="00EA27D5">
        <w:trPr>
          <w:trHeight w:val="349"/>
        </w:trPr>
        <w:tc>
          <w:tcPr>
            <w:tcW w:w="1834" w:type="dxa"/>
            <w:tcBorders>
              <w:top w:val="nil"/>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right"/>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2</w:t>
            </w:r>
          </w:p>
        </w:tc>
        <w:tc>
          <w:tcPr>
            <w:tcW w:w="2123"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3,00,000</w:t>
            </w:r>
          </w:p>
        </w:tc>
        <w:tc>
          <w:tcPr>
            <w:tcW w:w="2285"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2,55,000</w:t>
            </w:r>
          </w:p>
        </w:tc>
        <w:tc>
          <w:tcPr>
            <w:tcW w:w="1219"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0.89</w:t>
            </w:r>
          </w:p>
        </w:tc>
        <w:tc>
          <w:tcPr>
            <w:tcW w:w="1638" w:type="dxa"/>
            <w:tcBorders>
              <w:top w:val="nil"/>
              <w:left w:val="nil"/>
              <w:bottom w:val="single" w:sz="4" w:space="0" w:color="auto"/>
              <w:right w:val="single" w:sz="4" w:space="0" w:color="auto"/>
            </w:tcBorders>
            <w:shd w:val="clear" w:color="auto" w:fill="auto"/>
            <w:vAlign w:val="center"/>
            <w:hideMark/>
          </w:tcPr>
          <w:p w:rsidR="00055D2A" w:rsidRPr="00055D2A" w:rsidRDefault="00E665A3" w:rsidP="0088378B">
            <w:pPr>
              <w:spacing w:after="0" w:line="360" w:lineRule="auto"/>
              <w:jc w:val="right"/>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2,26,950</w:t>
            </w:r>
          </w:p>
        </w:tc>
      </w:tr>
      <w:tr w:rsidR="00055D2A" w:rsidRPr="00055D2A" w:rsidTr="00EA27D5">
        <w:trPr>
          <w:trHeight w:val="349"/>
        </w:trPr>
        <w:tc>
          <w:tcPr>
            <w:tcW w:w="1834" w:type="dxa"/>
            <w:tcBorders>
              <w:top w:val="nil"/>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right"/>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3</w:t>
            </w:r>
          </w:p>
        </w:tc>
        <w:tc>
          <w:tcPr>
            <w:tcW w:w="2123"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4,00,000</w:t>
            </w:r>
          </w:p>
        </w:tc>
        <w:tc>
          <w:tcPr>
            <w:tcW w:w="2285"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3,30,000</w:t>
            </w:r>
          </w:p>
        </w:tc>
        <w:tc>
          <w:tcPr>
            <w:tcW w:w="1219" w:type="dxa"/>
            <w:tcBorders>
              <w:top w:val="nil"/>
              <w:left w:val="nil"/>
              <w:bottom w:val="single" w:sz="4" w:space="0" w:color="auto"/>
              <w:right w:val="single" w:sz="4" w:space="0" w:color="auto"/>
            </w:tcBorders>
            <w:shd w:val="clear" w:color="auto" w:fill="auto"/>
            <w:vAlign w:val="center"/>
            <w:hideMark/>
          </w:tcPr>
          <w:p w:rsidR="00055D2A" w:rsidRPr="00055D2A" w:rsidRDefault="00EA27D5" w:rsidP="0088378B">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0.839</w:t>
            </w:r>
          </w:p>
        </w:tc>
        <w:tc>
          <w:tcPr>
            <w:tcW w:w="1638" w:type="dxa"/>
            <w:tcBorders>
              <w:top w:val="nil"/>
              <w:left w:val="nil"/>
              <w:bottom w:val="single" w:sz="4" w:space="0" w:color="auto"/>
              <w:right w:val="single" w:sz="4" w:space="0" w:color="auto"/>
            </w:tcBorders>
            <w:shd w:val="clear" w:color="auto" w:fill="auto"/>
            <w:vAlign w:val="center"/>
            <w:hideMark/>
          </w:tcPr>
          <w:p w:rsidR="00055D2A" w:rsidRPr="00055D2A" w:rsidRDefault="00E665A3" w:rsidP="0088378B">
            <w:pPr>
              <w:spacing w:after="0" w:line="360" w:lineRule="auto"/>
              <w:jc w:val="right"/>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2,76,870</w:t>
            </w:r>
          </w:p>
        </w:tc>
      </w:tr>
      <w:tr w:rsidR="00055D2A" w:rsidRPr="00055D2A" w:rsidTr="00EA27D5">
        <w:trPr>
          <w:trHeight w:val="306"/>
        </w:trPr>
        <w:tc>
          <w:tcPr>
            <w:tcW w:w="1834" w:type="dxa"/>
            <w:tcBorders>
              <w:top w:val="nil"/>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right"/>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4</w:t>
            </w:r>
          </w:p>
        </w:tc>
        <w:tc>
          <w:tcPr>
            <w:tcW w:w="2123"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5,00,000</w:t>
            </w:r>
          </w:p>
        </w:tc>
        <w:tc>
          <w:tcPr>
            <w:tcW w:w="2285" w:type="dxa"/>
            <w:tcBorders>
              <w:top w:val="nil"/>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both"/>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4,05,000</w:t>
            </w:r>
          </w:p>
        </w:tc>
        <w:tc>
          <w:tcPr>
            <w:tcW w:w="1219" w:type="dxa"/>
            <w:tcBorders>
              <w:top w:val="nil"/>
              <w:left w:val="nil"/>
              <w:bottom w:val="single" w:sz="4" w:space="0" w:color="auto"/>
              <w:right w:val="single" w:sz="4" w:space="0" w:color="auto"/>
            </w:tcBorders>
            <w:shd w:val="clear" w:color="auto" w:fill="auto"/>
            <w:vAlign w:val="center"/>
            <w:hideMark/>
          </w:tcPr>
          <w:p w:rsidR="00055D2A" w:rsidRPr="00055D2A" w:rsidRDefault="00EA27D5" w:rsidP="0088378B">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0.792</w:t>
            </w:r>
          </w:p>
        </w:tc>
        <w:tc>
          <w:tcPr>
            <w:tcW w:w="1638" w:type="dxa"/>
            <w:tcBorders>
              <w:top w:val="nil"/>
              <w:left w:val="nil"/>
              <w:bottom w:val="single" w:sz="4" w:space="0" w:color="auto"/>
              <w:right w:val="single" w:sz="4" w:space="0" w:color="auto"/>
            </w:tcBorders>
            <w:shd w:val="clear" w:color="auto" w:fill="auto"/>
            <w:vAlign w:val="center"/>
            <w:hideMark/>
          </w:tcPr>
          <w:p w:rsidR="00055D2A" w:rsidRPr="00055D2A" w:rsidRDefault="00E665A3" w:rsidP="0088378B">
            <w:pPr>
              <w:spacing w:after="0" w:line="360" w:lineRule="auto"/>
              <w:jc w:val="right"/>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3,20,760</w:t>
            </w:r>
          </w:p>
        </w:tc>
      </w:tr>
      <w:tr w:rsidR="00055D2A" w:rsidRPr="00055D2A" w:rsidTr="00D55009">
        <w:trPr>
          <w:trHeight w:val="306"/>
        </w:trPr>
        <w:tc>
          <w:tcPr>
            <w:tcW w:w="1834" w:type="dxa"/>
            <w:tcBorders>
              <w:top w:val="nil"/>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Total PV</w:t>
            </w:r>
          </w:p>
        </w:tc>
        <w:tc>
          <w:tcPr>
            <w:tcW w:w="7265" w:type="dxa"/>
            <w:gridSpan w:val="4"/>
            <w:tcBorders>
              <w:top w:val="single" w:sz="4" w:space="0" w:color="auto"/>
              <w:left w:val="nil"/>
              <w:bottom w:val="single" w:sz="4" w:space="0" w:color="auto"/>
              <w:right w:val="single" w:sz="4" w:space="0" w:color="auto"/>
            </w:tcBorders>
            <w:shd w:val="clear" w:color="auto" w:fill="auto"/>
            <w:vAlign w:val="center"/>
            <w:hideMark/>
          </w:tcPr>
          <w:p w:rsidR="00055D2A" w:rsidRPr="00055D2A" w:rsidRDefault="00E665A3" w:rsidP="0088378B">
            <w:pPr>
              <w:spacing w:after="0" w:line="360" w:lineRule="auto"/>
              <w:jc w:val="right"/>
              <w:rPr>
                <w:rFonts w:ascii="Times New Roman" w:eastAsia="Times New Roman" w:hAnsi="Times New Roman" w:cs="Times New Roman"/>
                <w:b/>
                <w:bCs/>
                <w:sz w:val="24"/>
                <w:szCs w:val="24"/>
                <w:lang w:val="en-IN" w:eastAsia="en-IN"/>
              </w:rPr>
            </w:pPr>
            <w:r>
              <w:rPr>
                <w:rFonts w:ascii="Times New Roman" w:eastAsia="Times New Roman" w:hAnsi="Times New Roman" w:cs="Times New Roman"/>
                <w:b/>
                <w:bCs/>
                <w:sz w:val="24"/>
                <w:szCs w:val="24"/>
                <w:lang w:val="en-IN" w:eastAsia="en-IN"/>
              </w:rPr>
              <w:t>9,94,320</w:t>
            </w:r>
          </w:p>
        </w:tc>
      </w:tr>
      <w:tr w:rsidR="00055D2A" w:rsidRPr="00055D2A" w:rsidTr="00D55009">
        <w:trPr>
          <w:trHeight w:val="306"/>
        </w:trPr>
        <w:tc>
          <w:tcPr>
            <w:tcW w:w="1834" w:type="dxa"/>
            <w:tcBorders>
              <w:top w:val="nil"/>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rPr>
                <w:rFonts w:ascii="Times New Roman" w:eastAsia="Times New Roman" w:hAnsi="Times New Roman" w:cs="Times New Roman"/>
                <w:sz w:val="24"/>
                <w:szCs w:val="24"/>
                <w:lang w:val="en-IN" w:eastAsia="en-IN"/>
              </w:rPr>
            </w:pPr>
            <w:r w:rsidRPr="00055D2A">
              <w:rPr>
                <w:rFonts w:ascii="Times New Roman" w:eastAsia="Times New Roman" w:hAnsi="Times New Roman" w:cs="Times New Roman"/>
                <w:sz w:val="24"/>
                <w:szCs w:val="24"/>
                <w:lang w:val="en-IN" w:eastAsia="en-IN"/>
              </w:rPr>
              <w:t>Less initial outlay</w:t>
            </w:r>
          </w:p>
        </w:tc>
        <w:tc>
          <w:tcPr>
            <w:tcW w:w="7265" w:type="dxa"/>
            <w:gridSpan w:val="4"/>
            <w:tcBorders>
              <w:top w:val="single" w:sz="4" w:space="0" w:color="auto"/>
              <w:left w:val="nil"/>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jc w:val="right"/>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-6,00,000</w:t>
            </w:r>
          </w:p>
        </w:tc>
      </w:tr>
      <w:tr w:rsidR="00EA27D5" w:rsidRPr="00055D2A" w:rsidTr="00EA27D5">
        <w:trPr>
          <w:trHeight w:val="306"/>
        </w:trPr>
        <w:tc>
          <w:tcPr>
            <w:tcW w:w="1834" w:type="dxa"/>
            <w:tcBorders>
              <w:top w:val="nil"/>
              <w:left w:val="single" w:sz="4" w:space="0" w:color="auto"/>
              <w:bottom w:val="single" w:sz="4" w:space="0" w:color="auto"/>
              <w:right w:val="single" w:sz="4" w:space="0" w:color="auto"/>
            </w:tcBorders>
            <w:shd w:val="clear" w:color="auto" w:fill="auto"/>
            <w:vAlign w:val="center"/>
            <w:hideMark/>
          </w:tcPr>
          <w:p w:rsidR="00055D2A" w:rsidRPr="00055D2A" w:rsidRDefault="00055D2A" w:rsidP="0088378B">
            <w:pPr>
              <w:spacing w:after="0" w:line="360" w:lineRule="auto"/>
              <w:rPr>
                <w:rFonts w:ascii="Times New Roman" w:eastAsia="Times New Roman" w:hAnsi="Times New Roman" w:cs="Times New Roman"/>
                <w:b/>
                <w:bCs/>
                <w:sz w:val="24"/>
                <w:szCs w:val="24"/>
                <w:lang w:val="en-IN" w:eastAsia="en-IN"/>
              </w:rPr>
            </w:pPr>
            <w:r w:rsidRPr="00055D2A">
              <w:rPr>
                <w:rFonts w:ascii="Times New Roman" w:eastAsia="Times New Roman" w:hAnsi="Times New Roman" w:cs="Times New Roman"/>
                <w:b/>
                <w:bCs/>
                <w:sz w:val="24"/>
                <w:szCs w:val="24"/>
                <w:lang w:val="en-IN" w:eastAsia="en-IN"/>
              </w:rPr>
              <w:t>NPV</w:t>
            </w:r>
          </w:p>
        </w:tc>
        <w:tc>
          <w:tcPr>
            <w:tcW w:w="7265" w:type="dxa"/>
            <w:gridSpan w:val="4"/>
            <w:tcBorders>
              <w:top w:val="single" w:sz="4" w:space="0" w:color="auto"/>
              <w:left w:val="nil"/>
              <w:bottom w:val="single" w:sz="4" w:space="0" w:color="auto"/>
              <w:right w:val="single" w:sz="4" w:space="0" w:color="auto"/>
            </w:tcBorders>
            <w:shd w:val="clear" w:color="auto" w:fill="auto"/>
            <w:vAlign w:val="center"/>
            <w:hideMark/>
          </w:tcPr>
          <w:p w:rsidR="00055D2A" w:rsidRPr="00055D2A" w:rsidRDefault="00E665A3" w:rsidP="0088378B">
            <w:pPr>
              <w:spacing w:after="0" w:line="360" w:lineRule="auto"/>
              <w:jc w:val="right"/>
              <w:rPr>
                <w:rFonts w:ascii="Times New Roman" w:eastAsia="Times New Roman" w:hAnsi="Times New Roman" w:cs="Times New Roman"/>
                <w:b/>
                <w:bCs/>
                <w:sz w:val="24"/>
                <w:szCs w:val="24"/>
                <w:lang w:val="en-IN" w:eastAsia="en-IN"/>
              </w:rPr>
            </w:pPr>
            <w:r>
              <w:rPr>
                <w:rFonts w:ascii="Times New Roman" w:eastAsia="Times New Roman" w:hAnsi="Times New Roman" w:cs="Times New Roman"/>
                <w:b/>
                <w:bCs/>
                <w:sz w:val="24"/>
                <w:szCs w:val="24"/>
                <w:lang w:val="en-IN" w:eastAsia="en-IN"/>
              </w:rPr>
              <w:t>£394,320</w:t>
            </w:r>
          </w:p>
        </w:tc>
      </w:tr>
    </w:tbl>
    <w:p w:rsidR="00EA27D5" w:rsidRDefault="00EA27D5" w:rsidP="0088378B">
      <w:pPr>
        <w:spacing w:line="360" w:lineRule="auto"/>
        <w:jc w:val="both"/>
        <w:rPr>
          <w:rFonts w:ascii="Times New Roman" w:hAnsi="Times New Roman" w:cs="Times New Roman"/>
          <w:b/>
          <w:sz w:val="28"/>
        </w:rPr>
      </w:pPr>
    </w:p>
    <w:p w:rsidR="00D55009" w:rsidRPr="00D55009" w:rsidRDefault="00D55009" w:rsidP="0088378B">
      <w:pPr>
        <w:spacing w:line="360" w:lineRule="auto"/>
        <w:jc w:val="both"/>
        <w:rPr>
          <w:rFonts w:ascii="Times New Roman" w:hAnsi="Times New Roman" w:cs="Times New Roman"/>
          <w:b/>
          <w:sz w:val="40"/>
          <w:lang w:val="en-IN"/>
        </w:rPr>
      </w:pPr>
      <w:r w:rsidRPr="00D55009">
        <w:rPr>
          <w:rFonts w:ascii="Times New Roman" w:hAnsi="Times New Roman" w:cs="Times New Roman"/>
          <w:b/>
          <w:sz w:val="28"/>
        </w:rPr>
        <w:t>Project B – Develop internet sales</w:t>
      </w:r>
    </w:p>
    <w:tbl>
      <w:tblPr>
        <w:tblW w:w="9265" w:type="dxa"/>
        <w:tblInd w:w="-5" w:type="dxa"/>
        <w:tblLook w:val="04A0" w:firstRow="1" w:lastRow="0" w:firstColumn="1" w:lastColumn="0" w:noHBand="0" w:noVBand="1"/>
      </w:tblPr>
      <w:tblGrid>
        <w:gridCol w:w="1276"/>
        <w:gridCol w:w="3260"/>
        <w:gridCol w:w="1985"/>
        <w:gridCol w:w="1253"/>
        <w:gridCol w:w="1491"/>
      </w:tblGrid>
      <w:tr w:rsidR="00EA27D5" w:rsidRPr="00D55009" w:rsidTr="00EA27D5">
        <w:trPr>
          <w:trHeight w:val="1063"/>
        </w:trPr>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Year</w:t>
            </w:r>
          </w:p>
        </w:tc>
        <w:tc>
          <w:tcPr>
            <w:tcW w:w="3260"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Operating CF (£)</w:t>
            </w:r>
          </w:p>
        </w:tc>
        <w:tc>
          <w:tcPr>
            <w:tcW w:w="1985"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After</w:t>
            </w:r>
            <w:r w:rsidRPr="00D55009">
              <w:rPr>
                <w:rFonts w:ascii="Times New Roman" w:eastAsia="Times New Roman" w:hAnsi="Times New Roman" w:cs="Times New Roman"/>
                <w:b/>
                <w:bCs/>
                <w:color w:val="000000"/>
                <w:sz w:val="24"/>
                <w:lang w:val="en-IN" w:eastAsia="en-IN"/>
              </w:rPr>
              <w:noBreakHyphen/>
              <w:t>tax CF (£)</w:t>
            </w:r>
          </w:p>
        </w:tc>
        <w:tc>
          <w:tcPr>
            <w:tcW w:w="1253"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Factor</w:t>
            </w:r>
          </w:p>
        </w:tc>
        <w:tc>
          <w:tcPr>
            <w:tcW w:w="1491"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Present value (£)</w:t>
            </w:r>
          </w:p>
        </w:tc>
      </w:tr>
      <w:tr w:rsidR="00EA27D5" w:rsidRPr="00D55009" w:rsidTr="00EA27D5">
        <w:trPr>
          <w:trHeight w:val="559"/>
        </w:trPr>
        <w:tc>
          <w:tcPr>
            <w:tcW w:w="1276" w:type="dxa"/>
            <w:tcBorders>
              <w:top w:val="nil"/>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1</w:t>
            </w:r>
          </w:p>
        </w:tc>
        <w:tc>
          <w:tcPr>
            <w:tcW w:w="3260" w:type="dxa"/>
            <w:tcBorders>
              <w:top w:val="nil"/>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4,00,000</w:t>
            </w:r>
          </w:p>
        </w:tc>
        <w:tc>
          <w:tcPr>
            <w:tcW w:w="1985" w:type="dxa"/>
            <w:tcBorders>
              <w:top w:val="nil"/>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3,50,000</w:t>
            </w:r>
          </w:p>
        </w:tc>
        <w:tc>
          <w:tcPr>
            <w:tcW w:w="1253" w:type="dxa"/>
            <w:tcBorders>
              <w:top w:val="nil"/>
              <w:left w:val="nil"/>
              <w:bottom w:val="single" w:sz="4" w:space="0" w:color="auto"/>
              <w:right w:val="single" w:sz="4" w:space="0" w:color="auto"/>
            </w:tcBorders>
            <w:shd w:val="clear" w:color="auto" w:fill="auto"/>
            <w:vAlign w:val="center"/>
            <w:hideMark/>
          </w:tcPr>
          <w:p w:rsidR="00D55009" w:rsidRPr="00D55009" w:rsidRDefault="00EA27D5"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0.943</w:t>
            </w:r>
          </w:p>
        </w:tc>
        <w:tc>
          <w:tcPr>
            <w:tcW w:w="1491" w:type="dxa"/>
            <w:tcBorders>
              <w:top w:val="nil"/>
              <w:left w:val="nil"/>
              <w:bottom w:val="single" w:sz="4" w:space="0" w:color="auto"/>
              <w:right w:val="single" w:sz="4" w:space="0" w:color="auto"/>
            </w:tcBorders>
            <w:shd w:val="clear" w:color="auto" w:fill="auto"/>
            <w:vAlign w:val="center"/>
            <w:hideMark/>
          </w:tcPr>
          <w:p w:rsidR="00D55009" w:rsidRPr="00D55009" w:rsidRDefault="00EA27D5"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3,30,050</w:t>
            </w:r>
          </w:p>
        </w:tc>
      </w:tr>
      <w:tr w:rsidR="00EA27D5" w:rsidRPr="00D55009" w:rsidTr="00435F8A">
        <w:trPr>
          <w:trHeight w:val="559"/>
        </w:trPr>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2</w:t>
            </w:r>
          </w:p>
        </w:tc>
        <w:tc>
          <w:tcPr>
            <w:tcW w:w="3260"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4,50,000</w:t>
            </w:r>
          </w:p>
        </w:tc>
        <w:tc>
          <w:tcPr>
            <w:tcW w:w="1985"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3,87,500</w:t>
            </w:r>
          </w:p>
        </w:tc>
        <w:tc>
          <w:tcPr>
            <w:tcW w:w="1253"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0.89</w:t>
            </w:r>
          </w:p>
        </w:tc>
        <w:tc>
          <w:tcPr>
            <w:tcW w:w="1491" w:type="dxa"/>
            <w:tcBorders>
              <w:top w:val="single" w:sz="4" w:space="0" w:color="auto"/>
              <w:left w:val="nil"/>
              <w:bottom w:val="single" w:sz="4" w:space="0" w:color="auto"/>
              <w:right w:val="single" w:sz="4" w:space="0" w:color="auto"/>
            </w:tcBorders>
            <w:shd w:val="clear" w:color="auto" w:fill="auto"/>
            <w:vAlign w:val="center"/>
            <w:hideMark/>
          </w:tcPr>
          <w:p w:rsidR="00D55009" w:rsidRPr="00D55009" w:rsidRDefault="00EA27D5"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3,44,875</w:t>
            </w:r>
          </w:p>
        </w:tc>
      </w:tr>
      <w:tr w:rsidR="00EA27D5" w:rsidRPr="00D55009" w:rsidTr="00EA27D5">
        <w:trPr>
          <w:trHeight w:val="559"/>
        </w:trPr>
        <w:tc>
          <w:tcPr>
            <w:tcW w:w="1276" w:type="dxa"/>
            <w:tcBorders>
              <w:top w:val="nil"/>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3</w:t>
            </w:r>
          </w:p>
        </w:tc>
        <w:tc>
          <w:tcPr>
            <w:tcW w:w="3260" w:type="dxa"/>
            <w:tcBorders>
              <w:top w:val="nil"/>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6,50,000</w:t>
            </w:r>
          </w:p>
        </w:tc>
        <w:tc>
          <w:tcPr>
            <w:tcW w:w="1985" w:type="dxa"/>
            <w:tcBorders>
              <w:top w:val="nil"/>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5,37,500</w:t>
            </w:r>
          </w:p>
        </w:tc>
        <w:tc>
          <w:tcPr>
            <w:tcW w:w="1253" w:type="dxa"/>
            <w:tcBorders>
              <w:top w:val="nil"/>
              <w:left w:val="nil"/>
              <w:bottom w:val="single" w:sz="4" w:space="0" w:color="auto"/>
              <w:right w:val="single" w:sz="4" w:space="0" w:color="auto"/>
            </w:tcBorders>
            <w:shd w:val="clear" w:color="auto" w:fill="auto"/>
            <w:vAlign w:val="center"/>
            <w:hideMark/>
          </w:tcPr>
          <w:p w:rsidR="00D55009" w:rsidRPr="00D55009" w:rsidRDefault="00EA27D5"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0.839</w:t>
            </w:r>
          </w:p>
        </w:tc>
        <w:tc>
          <w:tcPr>
            <w:tcW w:w="1491" w:type="dxa"/>
            <w:tcBorders>
              <w:top w:val="nil"/>
              <w:left w:val="nil"/>
              <w:bottom w:val="single" w:sz="4" w:space="0" w:color="auto"/>
              <w:right w:val="single" w:sz="4" w:space="0" w:color="auto"/>
            </w:tcBorders>
            <w:shd w:val="clear" w:color="auto" w:fill="auto"/>
            <w:vAlign w:val="center"/>
            <w:hideMark/>
          </w:tcPr>
          <w:p w:rsidR="00D55009" w:rsidRPr="00D55009" w:rsidRDefault="00EA27D5"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4,50,963</w:t>
            </w:r>
          </w:p>
        </w:tc>
      </w:tr>
      <w:tr w:rsidR="00EA27D5" w:rsidRPr="00D55009" w:rsidTr="00EA27D5">
        <w:trPr>
          <w:trHeight w:val="559"/>
        </w:trPr>
        <w:tc>
          <w:tcPr>
            <w:tcW w:w="1276" w:type="dxa"/>
            <w:tcBorders>
              <w:top w:val="nil"/>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4</w:t>
            </w:r>
          </w:p>
        </w:tc>
        <w:tc>
          <w:tcPr>
            <w:tcW w:w="3260" w:type="dxa"/>
            <w:tcBorders>
              <w:top w:val="nil"/>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9,80,000</w:t>
            </w:r>
          </w:p>
        </w:tc>
        <w:tc>
          <w:tcPr>
            <w:tcW w:w="1985" w:type="dxa"/>
            <w:tcBorders>
              <w:top w:val="nil"/>
              <w:left w:val="nil"/>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7,85,000</w:t>
            </w:r>
          </w:p>
        </w:tc>
        <w:tc>
          <w:tcPr>
            <w:tcW w:w="1253" w:type="dxa"/>
            <w:tcBorders>
              <w:top w:val="nil"/>
              <w:left w:val="nil"/>
              <w:bottom w:val="single" w:sz="4" w:space="0" w:color="auto"/>
              <w:right w:val="single" w:sz="4" w:space="0" w:color="auto"/>
            </w:tcBorders>
            <w:shd w:val="clear" w:color="auto" w:fill="auto"/>
            <w:vAlign w:val="center"/>
            <w:hideMark/>
          </w:tcPr>
          <w:p w:rsidR="00D55009" w:rsidRPr="00D55009" w:rsidRDefault="00EA27D5"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0.792</w:t>
            </w:r>
          </w:p>
        </w:tc>
        <w:tc>
          <w:tcPr>
            <w:tcW w:w="1491" w:type="dxa"/>
            <w:tcBorders>
              <w:top w:val="nil"/>
              <w:left w:val="nil"/>
              <w:bottom w:val="single" w:sz="4" w:space="0" w:color="auto"/>
              <w:right w:val="single" w:sz="4" w:space="0" w:color="auto"/>
            </w:tcBorders>
            <w:shd w:val="clear" w:color="auto" w:fill="auto"/>
            <w:vAlign w:val="center"/>
            <w:hideMark/>
          </w:tcPr>
          <w:p w:rsidR="00D55009" w:rsidRPr="00D55009" w:rsidRDefault="00EA27D5"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6,21,720</w:t>
            </w:r>
          </w:p>
        </w:tc>
      </w:tr>
      <w:tr w:rsidR="00D55009" w:rsidRPr="00D55009" w:rsidTr="00EA27D5">
        <w:trPr>
          <w:trHeight w:val="559"/>
        </w:trPr>
        <w:tc>
          <w:tcPr>
            <w:tcW w:w="1276" w:type="dxa"/>
            <w:tcBorders>
              <w:top w:val="nil"/>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Total PV</w:t>
            </w:r>
          </w:p>
        </w:tc>
        <w:tc>
          <w:tcPr>
            <w:tcW w:w="7989" w:type="dxa"/>
            <w:gridSpan w:val="4"/>
            <w:tcBorders>
              <w:top w:val="single" w:sz="4" w:space="0" w:color="auto"/>
              <w:left w:val="nil"/>
              <w:bottom w:val="single" w:sz="4" w:space="0" w:color="auto"/>
              <w:right w:val="single" w:sz="4" w:space="0" w:color="000000"/>
            </w:tcBorders>
            <w:shd w:val="clear" w:color="auto" w:fill="auto"/>
            <w:vAlign w:val="center"/>
            <w:hideMark/>
          </w:tcPr>
          <w:p w:rsidR="00D55009" w:rsidRPr="00D55009" w:rsidRDefault="00EA27D5" w:rsidP="0088378B">
            <w:pPr>
              <w:spacing w:after="0" w:line="360" w:lineRule="auto"/>
              <w:jc w:val="right"/>
              <w:rPr>
                <w:rFonts w:ascii="Times New Roman" w:eastAsia="Times New Roman" w:hAnsi="Times New Roman" w:cs="Times New Roman"/>
                <w:b/>
                <w:bCs/>
                <w:color w:val="000000"/>
                <w:sz w:val="24"/>
                <w:lang w:val="en-IN" w:eastAsia="en-IN"/>
              </w:rPr>
            </w:pPr>
            <w:r>
              <w:rPr>
                <w:rFonts w:ascii="Times New Roman" w:eastAsia="Times New Roman" w:hAnsi="Times New Roman" w:cs="Times New Roman"/>
                <w:b/>
                <w:bCs/>
                <w:color w:val="000000"/>
                <w:sz w:val="24"/>
                <w:lang w:val="en-IN" w:eastAsia="en-IN"/>
              </w:rPr>
              <w:t>17,47,608</w:t>
            </w:r>
          </w:p>
        </w:tc>
      </w:tr>
      <w:tr w:rsidR="00D55009" w:rsidRPr="00D55009" w:rsidTr="00EA27D5">
        <w:trPr>
          <w:trHeight w:val="559"/>
        </w:trPr>
        <w:tc>
          <w:tcPr>
            <w:tcW w:w="1276" w:type="dxa"/>
            <w:tcBorders>
              <w:top w:val="nil"/>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color w:val="000000"/>
                <w:sz w:val="24"/>
                <w:lang w:val="en-IN" w:eastAsia="en-IN"/>
              </w:rPr>
            </w:pPr>
            <w:r w:rsidRPr="00D55009">
              <w:rPr>
                <w:rFonts w:ascii="Times New Roman" w:eastAsia="Times New Roman" w:hAnsi="Times New Roman" w:cs="Times New Roman"/>
                <w:color w:val="000000"/>
                <w:sz w:val="24"/>
                <w:lang w:val="en-IN" w:eastAsia="en-IN"/>
              </w:rPr>
              <w:t>Less initial outlay</w:t>
            </w:r>
          </w:p>
        </w:tc>
        <w:tc>
          <w:tcPr>
            <w:tcW w:w="7989" w:type="dxa"/>
            <w:gridSpan w:val="4"/>
            <w:tcBorders>
              <w:top w:val="single" w:sz="4" w:space="0" w:color="auto"/>
              <w:left w:val="nil"/>
              <w:bottom w:val="single" w:sz="4" w:space="0" w:color="auto"/>
              <w:right w:val="single" w:sz="4" w:space="0" w:color="000000"/>
            </w:tcBorders>
            <w:shd w:val="clear" w:color="auto" w:fill="auto"/>
            <w:vAlign w:val="center"/>
            <w:hideMark/>
          </w:tcPr>
          <w:p w:rsidR="00D55009" w:rsidRPr="00D55009" w:rsidRDefault="00D55009" w:rsidP="0088378B">
            <w:pPr>
              <w:spacing w:after="0" w:line="360" w:lineRule="auto"/>
              <w:jc w:val="right"/>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-10,00,000</w:t>
            </w:r>
          </w:p>
        </w:tc>
      </w:tr>
      <w:tr w:rsidR="00D55009" w:rsidRPr="00D55009" w:rsidTr="00EA27D5">
        <w:trPr>
          <w:trHeight w:val="559"/>
        </w:trPr>
        <w:tc>
          <w:tcPr>
            <w:tcW w:w="1276" w:type="dxa"/>
            <w:tcBorders>
              <w:top w:val="nil"/>
              <w:left w:val="single" w:sz="4" w:space="0" w:color="auto"/>
              <w:bottom w:val="single" w:sz="4" w:space="0" w:color="auto"/>
              <w:right w:val="single" w:sz="4" w:space="0" w:color="auto"/>
            </w:tcBorders>
            <w:shd w:val="clear" w:color="auto" w:fill="auto"/>
            <w:vAlign w:val="center"/>
            <w:hideMark/>
          </w:tcPr>
          <w:p w:rsidR="00D55009" w:rsidRPr="00D55009" w:rsidRDefault="00D55009" w:rsidP="0088378B">
            <w:pPr>
              <w:spacing w:after="0" w:line="360" w:lineRule="auto"/>
              <w:jc w:val="both"/>
              <w:rPr>
                <w:rFonts w:ascii="Times New Roman" w:eastAsia="Times New Roman" w:hAnsi="Times New Roman" w:cs="Times New Roman"/>
                <w:b/>
                <w:bCs/>
                <w:color w:val="000000"/>
                <w:sz w:val="24"/>
                <w:lang w:val="en-IN" w:eastAsia="en-IN"/>
              </w:rPr>
            </w:pPr>
            <w:r w:rsidRPr="00D55009">
              <w:rPr>
                <w:rFonts w:ascii="Times New Roman" w:eastAsia="Times New Roman" w:hAnsi="Times New Roman" w:cs="Times New Roman"/>
                <w:b/>
                <w:bCs/>
                <w:color w:val="000000"/>
                <w:sz w:val="24"/>
                <w:lang w:val="en-IN" w:eastAsia="en-IN"/>
              </w:rPr>
              <w:t>NPV</w:t>
            </w:r>
          </w:p>
        </w:tc>
        <w:tc>
          <w:tcPr>
            <w:tcW w:w="7989" w:type="dxa"/>
            <w:gridSpan w:val="4"/>
            <w:tcBorders>
              <w:top w:val="single" w:sz="4" w:space="0" w:color="auto"/>
              <w:left w:val="nil"/>
              <w:bottom w:val="single" w:sz="4" w:space="0" w:color="auto"/>
              <w:right w:val="single" w:sz="4" w:space="0" w:color="000000"/>
            </w:tcBorders>
            <w:shd w:val="clear" w:color="auto" w:fill="auto"/>
            <w:vAlign w:val="center"/>
            <w:hideMark/>
          </w:tcPr>
          <w:p w:rsidR="00D55009" w:rsidRPr="00D55009" w:rsidRDefault="00EA27D5" w:rsidP="0088378B">
            <w:pPr>
              <w:spacing w:after="0" w:line="360" w:lineRule="auto"/>
              <w:jc w:val="right"/>
              <w:rPr>
                <w:rFonts w:ascii="Times New Roman" w:eastAsia="Times New Roman" w:hAnsi="Times New Roman" w:cs="Times New Roman"/>
                <w:b/>
                <w:bCs/>
                <w:color w:val="000000"/>
                <w:sz w:val="24"/>
                <w:lang w:val="en-IN" w:eastAsia="en-IN"/>
              </w:rPr>
            </w:pPr>
            <w:r>
              <w:rPr>
                <w:rFonts w:ascii="Times New Roman" w:eastAsia="Times New Roman" w:hAnsi="Times New Roman" w:cs="Times New Roman"/>
                <w:b/>
                <w:bCs/>
                <w:color w:val="000000"/>
                <w:sz w:val="24"/>
                <w:lang w:val="en-IN" w:eastAsia="en-IN"/>
              </w:rPr>
              <w:t>£7,47,608</w:t>
            </w:r>
          </w:p>
        </w:tc>
      </w:tr>
    </w:tbl>
    <w:p w:rsidR="00EA27D5" w:rsidRDefault="00EA27D5" w:rsidP="0088378B">
      <w:pPr>
        <w:spacing w:line="360" w:lineRule="auto"/>
        <w:jc w:val="both"/>
        <w:rPr>
          <w:rFonts w:ascii="Times New Roman" w:hAnsi="Times New Roman" w:cs="Times New Roman"/>
          <w:b/>
          <w:sz w:val="24"/>
          <w:lang w:val="en-IN"/>
        </w:rPr>
      </w:pPr>
    </w:p>
    <w:p w:rsidR="00025451" w:rsidRPr="00B20A96" w:rsidRDefault="00EA27D5" w:rsidP="0088378B">
      <w:pPr>
        <w:spacing w:line="360" w:lineRule="auto"/>
        <w:jc w:val="both"/>
        <w:rPr>
          <w:rFonts w:ascii="Times New Roman" w:hAnsi="Times New Roman" w:cs="Times New Roman"/>
          <w:b/>
          <w:sz w:val="28"/>
          <w:lang w:val="en-IN"/>
        </w:rPr>
      </w:pPr>
      <w:r w:rsidRPr="00B20A96">
        <w:rPr>
          <w:rFonts w:ascii="Times New Roman" w:hAnsi="Times New Roman" w:cs="Times New Roman"/>
          <w:b/>
          <w:sz w:val="28"/>
          <w:lang w:val="en-IN"/>
        </w:rPr>
        <w:t xml:space="preserve">Project c </w:t>
      </w:r>
    </w:p>
    <w:tbl>
      <w:tblPr>
        <w:tblW w:w="9209" w:type="dxa"/>
        <w:tblInd w:w="-5" w:type="dxa"/>
        <w:tblLook w:val="04A0" w:firstRow="1" w:lastRow="0" w:firstColumn="1" w:lastColumn="0" w:noHBand="0" w:noVBand="1"/>
      </w:tblPr>
      <w:tblGrid>
        <w:gridCol w:w="1289"/>
        <w:gridCol w:w="2822"/>
        <w:gridCol w:w="2126"/>
        <w:gridCol w:w="1418"/>
        <w:gridCol w:w="1554"/>
      </w:tblGrid>
      <w:tr w:rsidR="00EA27D5" w:rsidRPr="00EA27D5" w:rsidTr="00560DBC">
        <w:trPr>
          <w:trHeight w:val="1125"/>
        </w:trPr>
        <w:tc>
          <w:tcPr>
            <w:tcW w:w="12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Year</w:t>
            </w:r>
          </w:p>
        </w:tc>
        <w:tc>
          <w:tcPr>
            <w:tcW w:w="2822" w:type="dxa"/>
            <w:tcBorders>
              <w:top w:val="single" w:sz="4" w:space="0" w:color="auto"/>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Operating CF (£)</w:t>
            </w:r>
          </w:p>
        </w:tc>
        <w:tc>
          <w:tcPr>
            <w:tcW w:w="2126" w:type="dxa"/>
            <w:tcBorders>
              <w:top w:val="single" w:sz="4" w:space="0" w:color="auto"/>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After</w:t>
            </w:r>
            <w:r w:rsidRPr="00560DBC">
              <w:rPr>
                <w:rFonts w:ascii="Times New Roman" w:eastAsia="Times New Roman" w:hAnsi="Times New Roman" w:cs="Times New Roman"/>
                <w:b/>
                <w:bCs/>
                <w:color w:val="000000"/>
                <w:sz w:val="24"/>
                <w:lang w:val="en-IN" w:eastAsia="en-IN"/>
              </w:rPr>
              <w:noBreakHyphen/>
              <w:t>tax CF (£)</w:t>
            </w:r>
          </w:p>
        </w:tc>
        <w:tc>
          <w:tcPr>
            <w:tcW w:w="1418" w:type="dxa"/>
            <w:tcBorders>
              <w:top w:val="single" w:sz="4" w:space="0" w:color="auto"/>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Factor</w:t>
            </w:r>
          </w:p>
        </w:tc>
        <w:tc>
          <w:tcPr>
            <w:tcW w:w="1554" w:type="dxa"/>
            <w:tcBorders>
              <w:top w:val="single" w:sz="4" w:space="0" w:color="auto"/>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Present value (£)</w:t>
            </w:r>
          </w:p>
        </w:tc>
      </w:tr>
      <w:tr w:rsidR="00EA27D5" w:rsidRPr="00EA27D5" w:rsidTr="00560DBC">
        <w:trPr>
          <w:trHeight w:val="500"/>
        </w:trPr>
        <w:tc>
          <w:tcPr>
            <w:tcW w:w="1289" w:type="dxa"/>
            <w:tcBorders>
              <w:top w:val="nil"/>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1</w:t>
            </w:r>
          </w:p>
        </w:tc>
        <w:tc>
          <w:tcPr>
            <w:tcW w:w="2822"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4,00,000</w:t>
            </w:r>
          </w:p>
        </w:tc>
        <w:tc>
          <w:tcPr>
            <w:tcW w:w="2126"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3,80,000</w:t>
            </w:r>
          </w:p>
        </w:tc>
        <w:tc>
          <w:tcPr>
            <w:tcW w:w="1418" w:type="dxa"/>
            <w:tcBorders>
              <w:top w:val="nil"/>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0.943</w:t>
            </w:r>
          </w:p>
        </w:tc>
        <w:tc>
          <w:tcPr>
            <w:tcW w:w="1554" w:type="dxa"/>
            <w:tcBorders>
              <w:top w:val="nil"/>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3,58,340</w:t>
            </w:r>
          </w:p>
        </w:tc>
      </w:tr>
      <w:tr w:rsidR="00EA27D5" w:rsidRPr="00EA27D5" w:rsidTr="00560DBC">
        <w:trPr>
          <w:trHeight w:val="500"/>
        </w:trPr>
        <w:tc>
          <w:tcPr>
            <w:tcW w:w="1289" w:type="dxa"/>
            <w:tcBorders>
              <w:top w:val="nil"/>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2</w:t>
            </w:r>
          </w:p>
        </w:tc>
        <w:tc>
          <w:tcPr>
            <w:tcW w:w="2822"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7,00,000</w:t>
            </w:r>
          </w:p>
        </w:tc>
        <w:tc>
          <w:tcPr>
            <w:tcW w:w="2126"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6,05,000</w:t>
            </w:r>
          </w:p>
        </w:tc>
        <w:tc>
          <w:tcPr>
            <w:tcW w:w="1418"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0.89</w:t>
            </w:r>
          </w:p>
        </w:tc>
        <w:tc>
          <w:tcPr>
            <w:tcW w:w="1554" w:type="dxa"/>
            <w:tcBorders>
              <w:top w:val="nil"/>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5,38,450</w:t>
            </w:r>
          </w:p>
        </w:tc>
      </w:tr>
      <w:tr w:rsidR="00EA27D5" w:rsidRPr="00EA27D5" w:rsidTr="00560DBC">
        <w:trPr>
          <w:trHeight w:val="500"/>
        </w:trPr>
        <w:tc>
          <w:tcPr>
            <w:tcW w:w="1289" w:type="dxa"/>
            <w:tcBorders>
              <w:top w:val="nil"/>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3</w:t>
            </w:r>
          </w:p>
        </w:tc>
        <w:tc>
          <w:tcPr>
            <w:tcW w:w="2822"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8,50,000</w:t>
            </w:r>
          </w:p>
        </w:tc>
        <w:tc>
          <w:tcPr>
            <w:tcW w:w="2126"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7,17,500</w:t>
            </w:r>
          </w:p>
        </w:tc>
        <w:tc>
          <w:tcPr>
            <w:tcW w:w="1418" w:type="dxa"/>
            <w:tcBorders>
              <w:top w:val="nil"/>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0.839</w:t>
            </w:r>
          </w:p>
        </w:tc>
        <w:tc>
          <w:tcPr>
            <w:tcW w:w="1554" w:type="dxa"/>
            <w:tcBorders>
              <w:top w:val="nil"/>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6,01,983</w:t>
            </w:r>
          </w:p>
        </w:tc>
      </w:tr>
      <w:tr w:rsidR="00EA27D5" w:rsidRPr="00EA27D5" w:rsidTr="00560DBC">
        <w:trPr>
          <w:trHeight w:val="500"/>
        </w:trPr>
        <w:tc>
          <w:tcPr>
            <w:tcW w:w="1289" w:type="dxa"/>
            <w:tcBorders>
              <w:top w:val="nil"/>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4</w:t>
            </w:r>
          </w:p>
        </w:tc>
        <w:tc>
          <w:tcPr>
            <w:tcW w:w="2822"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11,00,000</w:t>
            </w:r>
          </w:p>
        </w:tc>
        <w:tc>
          <w:tcPr>
            <w:tcW w:w="2126" w:type="dxa"/>
            <w:tcBorders>
              <w:top w:val="nil"/>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9,05,000</w:t>
            </w:r>
          </w:p>
        </w:tc>
        <w:tc>
          <w:tcPr>
            <w:tcW w:w="1418" w:type="dxa"/>
            <w:tcBorders>
              <w:top w:val="nil"/>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0.792</w:t>
            </w:r>
          </w:p>
        </w:tc>
        <w:tc>
          <w:tcPr>
            <w:tcW w:w="1554" w:type="dxa"/>
            <w:tcBorders>
              <w:top w:val="nil"/>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both"/>
              <w:rPr>
                <w:rFonts w:ascii="Times New Roman" w:eastAsia="Times New Roman" w:hAnsi="Times New Roman" w:cs="Times New Roman"/>
                <w:color w:val="000000"/>
                <w:sz w:val="24"/>
                <w:lang w:val="en-IN" w:eastAsia="en-IN"/>
              </w:rPr>
            </w:pPr>
            <w:r>
              <w:rPr>
                <w:rFonts w:ascii="Times New Roman" w:eastAsia="Times New Roman" w:hAnsi="Times New Roman" w:cs="Times New Roman"/>
                <w:color w:val="000000"/>
                <w:sz w:val="24"/>
                <w:lang w:val="en-IN" w:eastAsia="en-IN"/>
              </w:rPr>
              <w:t>7,16,760</w:t>
            </w:r>
          </w:p>
        </w:tc>
      </w:tr>
      <w:tr w:rsidR="00EA27D5" w:rsidRPr="00EA27D5" w:rsidTr="00560DBC">
        <w:trPr>
          <w:trHeight w:val="500"/>
        </w:trPr>
        <w:tc>
          <w:tcPr>
            <w:tcW w:w="1289" w:type="dxa"/>
            <w:tcBorders>
              <w:top w:val="nil"/>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Total PV</w:t>
            </w:r>
          </w:p>
        </w:tc>
        <w:tc>
          <w:tcPr>
            <w:tcW w:w="7920" w:type="dxa"/>
            <w:gridSpan w:val="4"/>
            <w:tcBorders>
              <w:top w:val="single" w:sz="4" w:space="0" w:color="auto"/>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right"/>
              <w:rPr>
                <w:rFonts w:ascii="Times New Roman" w:eastAsia="Times New Roman" w:hAnsi="Times New Roman" w:cs="Times New Roman"/>
                <w:b/>
                <w:bCs/>
                <w:color w:val="000000"/>
                <w:sz w:val="24"/>
                <w:lang w:val="en-IN" w:eastAsia="en-IN"/>
              </w:rPr>
            </w:pPr>
            <w:r>
              <w:rPr>
                <w:rFonts w:ascii="Times New Roman" w:eastAsia="Times New Roman" w:hAnsi="Times New Roman" w:cs="Times New Roman"/>
                <w:b/>
                <w:bCs/>
                <w:color w:val="000000"/>
                <w:sz w:val="24"/>
                <w:lang w:val="en-IN" w:eastAsia="en-IN"/>
              </w:rPr>
              <w:t>22,15,533</w:t>
            </w:r>
          </w:p>
        </w:tc>
      </w:tr>
      <w:tr w:rsidR="00EA27D5" w:rsidRPr="00EA27D5" w:rsidTr="00560DBC">
        <w:trPr>
          <w:trHeight w:val="1000"/>
        </w:trPr>
        <w:tc>
          <w:tcPr>
            <w:tcW w:w="1289" w:type="dxa"/>
            <w:tcBorders>
              <w:top w:val="nil"/>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color w:val="000000"/>
                <w:sz w:val="24"/>
                <w:lang w:val="en-IN" w:eastAsia="en-IN"/>
              </w:rPr>
            </w:pPr>
            <w:r w:rsidRPr="00560DBC">
              <w:rPr>
                <w:rFonts w:ascii="Times New Roman" w:eastAsia="Times New Roman" w:hAnsi="Times New Roman" w:cs="Times New Roman"/>
                <w:color w:val="000000"/>
                <w:sz w:val="24"/>
                <w:lang w:val="en-IN" w:eastAsia="en-IN"/>
              </w:rPr>
              <w:t>Less initial outlay</w:t>
            </w:r>
          </w:p>
        </w:tc>
        <w:tc>
          <w:tcPr>
            <w:tcW w:w="7920" w:type="dxa"/>
            <w:gridSpan w:val="4"/>
            <w:tcBorders>
              <w:top w:val="single" w:sz="4" w:space="0" w:color="auto"/>
              <w:left w:val="nil"/>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right"/>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-16,00,000</w:t>
            </w:r>
          </w:p>
        </w:tc>
      </w:tr>
      <w:tr w:rsidR="00EA27D5" w:rsidRPr="00EA27D5" w:rsidTr="00560DBC">
        <w:trPr>
          <w:trHeight w:val="500"/>
        </w:trPr>
        <w:tc>
          <w:tcPr>
            <w:tcW w:w="1289" w:type="dxa"/>
            <w:tcBorders>
              <w:top w:val="nil"/>
              <w:left w:val="single" w:sz="4" w:space="0" w:color="auto"/>
              <w:bottom w:val="single" w:sz="4" w:space="0" w:color="auto"/>
              <w:right w:val="single" w:sz="4" w:space="0" w:color="auto"/>
            </w:tcBorders>
            <w:shd w:val="clear" w:color="auto" w:fill="auto"/>
            <w:vAlign w:val="center"/>
            <w:hideMark/>
          </w:tcPr>
          <w:p w:rsidR="00EA27D5" w:rsidRPr="00560DBC" w:rsidRDefault="00EA27D5" w:rsidP="0088378B">
            <w:pPr>
              <w:spacing w:after="0" w:line="360" w:lineRule="auto"/>
              <w:jc w:val="both"/>
              <w:rPr>
                <w:rFonts w:ascii="Times New Roman" w:eastAsia="Times New Roman" w:hAnsi="Times New Roman" w:cs="Times New Roman"/>
                <w:b/>
                <w:bCs/>
                <w:color w:val="000000"/>
                <w:sz w:val="24"/>
                <w:lang w:val="en-IN" w:eastAsia="en-IN"/>
              </w:rPr>
            </w:pPr>
            <w:r w:rsidRPr="00560DBC">
              <w:rPr>
                <w:rFonts w:ascii="Times New Roman" w:eastAsia="Times New Roman" w:hAnsi="Times New Roman" w:cs="Times New Roman"/>
                <w:b/>
                <w:bCs/>
                <w:color w:val="000000"/>
                <w:sz w:val="24"/>
                <w:lang w:val="en-IN" w:eastAsia="en-IN"/>
              </w:rPr>
              <w:t>NPV</w:t>
            </w:r>
          </w:p>
        </w:tc>
        <w:tc>
          <w:tcPr>
            <w:tcW w:w="7920" w:type="dxa"/>
            <w:gridSpan w:val="4"/>
            <w:tcBorders>
              <w:top w:val="single" w:sz="4" w:space="0" w:color="auto"/>
              <w:left w:val="nil"/>
              <w:bottom w:val="single" w:sz="4" w:space="0" w:color="auto"/>
              <w:right w:val="single" w:sz="4" w:space="0" w:color="auto"/>
            </w:tcBorders>
            <w:shd w:val="clear" w:color="auto" w:fill="auto"/>
            <w:vAlign w:val="center"/>
            <w:hideMark/>
          </w:tcPr>
          <w:p w:rsidR="00EA27D5" w:rsidRPr="00560DBC" w:rsidRDefault="00560DBC" w:rsidP="0088378B">
            <w:pPr>
              <w:spacing w:after="0" w:line="360" w:lineRule="auto"/>
              <w:jc w:val="right"/>
              <w:rPr>
                <w:rFonts w:ascii="Times New Roman" w:eastAsia="Times New Roman" w:hAnsi="Times New Roman" w:cs="Times New Roman"/>
                <w:b/>
                <w:bCs/>
                <w:color w:val="000000"/>
                <w:sz w:val="24"/>
                <w:lang w:val="en-IN" w:eastAsia="en-IN"/>
              </w:rPr>
            </w:pPr>
            <w:r>
              <w:rPr>
                <w:rFonts w:ascii="Times New Roman" w:eastAsia="Times New Roman" w:hAnsi="Times New Roman" w:cs="Times New Roman"/>
                <w:b/>
                <w:bCs/>
                <w:color w:val="000000"/>
                <w:sz w:val="24"/>
                <w:lang w:val="en-IN" w:eastAsia="en-IN"/>
              </w:rPr>
              <w:t>£615,533</w:t>
            </w:r>
          </w:p>
        </w:tc>
      </w:tr>
    </w:tbl>
    <w:p w:rsidR="003633F4" w:rsidRDefault="003633F4" w:rsidP="0088378B">
      <w:pPr>
        <w:spacing w:line="360" w:lineRule="auto"/>
        <w:jc w:val="both"/>
        <w:rPr>
          <w:rFonts w:ascii="Times New Roman" w:hAnsi="Times New Roman" w:cs="Times New Roman"/>
          <w:b/>
          <w:sz w:val="24"/>
          <w:lang w:val="en-IN"/>
        </w:rPr>
      </w:pPr>
    </w:p>
    <w:p w:rsidR="003633F4" w:rsidRDefault="003633F4" w:rsidP="0088378B">
      <w:pPr>
        <w:spacing w:line="360" w:lineRule="auto"/>
        <w:jc w:val="both"/>
        <w:rPr>
          <w:rFonts w:ascii="Times New Roman" w:hAnsi="Times New Roman" w:cs="Times New Roman"/>
          <w:b/>
          <w:sz w:val="24"/>
          <w:lang w:val="en-IN"/>
        </w:rPr>
      </w:pPr>
    </w:p>
    <w:p w:rsidR="003633F4" w:rsidRDefault="003633F4" w:rsidP="0088378B">
      <w:pPr>
        <w:spacing w:line="360" w:lineRule="auto"/>
        <w:jc w:val="both"/>
        <w:rPr>
          <w:rFonts w:ascii="Times New Roman" w:hAnsi="Times New Roman" w:cs="Times New Roman"/>
          <w:b/>
          <w:sz w:val="24"/>
          <w:lang w:val="en-IN"/>
        </w:rPr>
      </w:pPr>
      <w:r>
        <w:rPr>
          <w:rFonts w:ascii="Times New Roman" w:hAnsi="Times New Roman" w:cs="Times New Roman"/>
          <w:b/>
          <w:sz w:val="24"/>
          <w:lang w:val="en-IN"/>
        </w:rPr>
        <w:t>Now calculating profitability index</w:t>
      </w:r>
    </w:p>
    <w:p w:rsidR="003633F4" w:rsidRDefault="003633F4" w:rsidP="0088378B">
      <w:pPr>
        <w:spacing w:line="360" w:lineRule="auto"/>
        <w:jc w:val="both"/>
        <w:rPr>
          <w:rFonts w:ascii="Times New Roman" w:hAnsi="Times New Roman" w:cs="Times New Roman"/>
          <w:b/>
          <w:sz w:val="24"/>
          <w:lang w:val="en-IN"/>
        </w:rPr>
      </w:pPr>
      <w:r>
        <w:rPr>
          <w:rFonts w:ascii="Times New Roman" w:hAnsi="Times New Roman" w:cs="Times New Roman"/>
          <w:b/>
          <w:sz w:val="24"/>
          <w:lang w:val="en-IN"/>
        </w:rPr>
        <w:t xml:space="preserve">1. Project A: - </w:t>
      </w:r>
    </w:p>
    <w:p w:rsidR="003633F4" w:rsidRDefault="003633F4" w:rsidP="0088378B">
      <w:pPr>
        <w:spacing w:line="360" w:lineRule="auto"/>
        <w:jc w:val="both"/>
        <w:rPr>
          <w:rFonts w:ascii="Times New Roman" w:hAnsi="Times New Roman" w:cs="Times New Roman"/>
          <w:sz w:val="24"/>
          <w:lang w:val="en-IN"/>
        </w:rPr>
      </w:pPr>
      <w:r>
        <w:rPr>
          <w:rFonts w:ascii="Times New Roman" w:hAnsi="Times New Roman" w:cs="Times New Roman"/>
          <w:b/>
          <w:sz w:val="24"/>
          <w:lang w:val="en-IN"/>
        </w:rPr>
        <w:t xml:space="preserve">Net Present value: - </w:t>
      </w:r>
      <w:r w:rsidRPr="003633F4">
        <w:rPr>
          <w:rFonts w:ascii="Times New Roman" w:hAnsi="Times New Roman" w:cs="Times New Roman"/>
          <w:sz w:val="24"/>
          <w:lang w:val="en-IN"/>
        </w:rPr>
        <w:t>£3, 94,320</w:t>
      </w:r>
    </w:p>
    <w:p w:rsidR="003633F4" w:rsidRDefault="003633F4" w:rsidP="0088378B">
      <w:pPr>
        <w:spacing w:line="360" w:lineRule="auto"/>
        <w:jc w:val="both"/>
        <w:rPr>
          <w:rFonts w:ascii="Times New Roman" w:hAnsi="Times New Roman" w:cs="Times New Roman"/>
          <w:b/>
          <w:sz w:val="24"/>
          <w:lang w:val="en-IN"/>
        </w:rPr>
      </w:pPr>
      <w:r w:rsidRPr="003633F4">
        <w:rPr>
          <w:rFonts w:ascii="Times New Roman" w:hAnsi="Times New Roman" w:cs="Times New Roman"/>
          <w:b/>
          <w:sz w:val="24"/>
          <w:lang w:val="en-IN"/>
        </w:rPr>
        <w:t>Initial cost: -</w:t>
      </w:r>
      <w:r>
        <w:rPr>
          <w:rFonts w:ascii="Times New Roman" w:hAnsi="Times New Roman" w:cs="Times New Roman"/>
          <w:sz w:val="24"/>
          <w:lang w:val="en-IN"/>
        </w:rPr>
        <w:t xml:space="preserve"> </w:t>
      </w:r>
      <w:r w:rsidR="00CC4F06" w:rsidRPr="003633F4">
        <w:rPr>
          <w:rFonts w:ascii="Times New Roman" w:hAnsi="Times New Roman" w:cs="Times New Roman"/>
          <w:sz w:val="24"/>
          <w:lang w:val="en-IN"/>
        </w:rPr>
        <w:t>£</w:t>
      </w:r>
      <w:r w:rsidR="00CC4F06">
        <w:rPr>
          <w:rFonts w:ascii="Times New Roman" w:hAnsi="Times New Roman" w:cs="Times New Roman"/>
          <w:sz w:val="24"/>
          <w:lang w:val="en-IN"/>
        </w:rPr>
        <w:t xml:space="preserve"> </w:t>
      </w:r>
      <w:r>
        <w:rPr>
          <w:rFonts w:ascii="Times New Roman" w:hAnsi="Times New Roman" w:cs="Times New Roman"/>
          <w:sz w:val="24"/>
          <w:lang w:val="en-IN"/>
        </w:rPr>
        <w:t>6, 00,000</w:t>
      </w:r>
    </w:p>
    <w:p w:rsidR="003633F4" w:rsidRPr="003633F4" w:rsidRDefault="003633F4" w:rsidP="0088378B">
      <w:pPr>
        <w:spacing w:line="360" w:lineRule="auto"/>
        <w:jc w:val="center"/>
        <w:rPr>
          <w:rFonts w:ascii="Times New Roman" w:hAnsi="Times New Roman" w:cs="Times New Roman"/>
          <w:b/>
          <w:sz w:val="24"/>
          <w:u w:val="single"/>
          <w:lang w:val="en-IN"/>
        </w:rPr>
      </w:pPr>
      <w:r w:rsidRPr="003633F4">
        <w:rPr>
          <w:rFonts w:ascii="Times New Roman" w:hAnsi="Times New Roman" w:cs="Times New Roman"/>
          <w:b/>
          <w:sz w:val="24"/>
          <w:u w:val="single"/>
          <w:lang w:val="en-IN"/>
        </w:rPr>
        <w:t>Net present value + initial cost</w:t>
      </w:r>
    </w:p>
    <w:p w:rsidR="00EA27D5" w:rsidRPr="003633F4" w:rsidRDefault="003633F4" w:rsidP="0088378B">
      <w:pPr>
        <w:spacing w:line="360" w:lineRule="auto"/>
        <w:jc w:val="center"/>
        <w:rPr>
          <w:rFonts w:ascii="Times New Roman" w:hAnsi="Times New Roman" w:cs="Times New Roman"/>
          <w:b/>
          <w:sz w:val="24"/>
          <w:lang w:val="en-IN"/>
        </w:rPr>
      </w:pPr>
      <w:r w:rsidRPr="003633F4">
        <w:rPr>
          <w:rFonts w:ascii="Times New Roman" w:hAnsi="Times New Roman" w:cs="Times New Roman"/>
          <w:b/>
          <w:sz w:val="24"/>
          <w:lang w:val="en-IN"/>
        </w:rPr>
        <w:t>Initial cost</w:t>
      </w:r>
    </w:p>
    <w:p w:rsidR="003633F4" w:rsidRPr="003633F4" w:rsidRDefault="003633F4" w:rsidP="0088378B">
      <w:pPr>
        <w:spacing w:line="360" w:lineRule="auto"/>
        <w:jc w:val="center"/>
        <w:rPr>
          <w:rFonts w:ascii="Times New Roman" w:hAnsi="Times New Roman" w:cs="Times New Roman"/>
          <w:sz w:val="24"/>
          <w:u w:val="single"/>
          <w:lang w:val="en-IN"/>
        </w:rPr>
      </w:pPr>
      <w:r w:rsidRPr="003633F4">
        <w:rPr>
          <w:rFonts w:ascii="Times New Roman" w:hAnsi="Times New Roman" w:cs="Times New Roman"/>
          <w:sz w:val="24"/>
          <w:lang w:val="en-IN"/>
        </w:rPr>
        <w:t xml:space="preserve">= </w:t>
      </w:r>
      <w:r w:rsidR="00CC4F06" w:rsidRPr="00CC4F06">
        <w:rPr>
          <w:rFonts w:ascii="Times New Roman" w:hAnsi="Times New Roman" w:cs="Times New Roman"/>
          <w:sz w:val="24"/>
          <w:u w:val="single"/>
          <w:lang w:val="en-IN"/>
        </w:rPr>
        <w:t xml:space="preserve">£ </w:t>
      </w:r>
      <w:r w:rsidRPr="00CC4F06">
        <w:rPr>
          <w:rFonts w:ascii="Times New Roman" w:hAnsi="Times New Roman" w:cs="Times New Roman"/>
          <w:sz w:val="24"/>
          <w:u w:val="single"/>
          <w:lang w:val="en-IN"/>
        </w:rPr>
        <w:t xml:space="preserve">394320 + </w:t>
      </w:r>
      <w:r w:rsidR="00CC4F06" w:rsidRPr="00CC4F06">
        <w:rPr>
          <w:rFonts w:ascii="Times New Roman" w:hAnsi="Times New Roman" w:cs="Times New Roman"/>
          <w:sz w:val="24"/>
          <w:u w:val="single"/>
          <w:lang w:val="en-IN"/>
        </w:rPr>
        <w:t xml:space="preserve">£ </w:t>
      </w:r>
      <w:r w:rsidRPr="00CC4F06">
        <w:rPr>
          <w:rFonts w:ascii="Times New Roman" w:hAnsi="Times New Roman" w:cs="Times New Roman"/>
          <w:sz w:val="24"/>
          <w:u w:val="single"/>
          <w:lang w:val="en-IN"/>
        </w:rPr>
        <w:t>600000</w:t>
      </w:r>
    </w:p>
    <w:p w:rsidR="003633F4" w:rsidRPr="003633F4" w:rsidRDefault="00CC4F06" w:rsidP="0088378B">
      <w:pPr>
        <w:spacing w:line="360" w:lineRule="auto"/>
        <w:jc w:val="center"/>
        <w:rPr>
          <w:rFonts w:ascii="Times New Roman" w:hAnsi="Times New Roman" w:cs="Times New Roman"/>
          <w:sz w:val="24"/>
          <w:lang w:val="en-IN"/>
        </w:rPr>
      </w:pPr>
      <w:r w:rsidRPr="00CC4F06">
        <w:rPr>
          <w:rFonts w:ascii="Times New Roman" w:hAnsi="Times New Roman" w:cs="Times New Roman"/>
          <w:sz w:val="24"/>
          <w:lang w:val="en-IN"/>
        </w:rPr>
        <w:t>£</w:t>
      </w:r>
      <w:r>
        <w:rPr>
          <w:rFonts w:ascii="Times New Roman" w:hAnsi="Times New Roman" w:cs="Times New Roman"/>
          <w:sz w:val="24"/>
          <w:u w:val="single"/>
          <w:lang w:val="en-IN"/>
        </w:rPr>
        <w:t xml:space="preserve"> </w:t>
      </w:r>
      <w:r w:rsidR="003633F4" w:rsidRPr="003633F4">
        <w:rPr>
          <w:rFonts w:ascii="Times New Roman" w:hAnsi="Times New Roman" w:cs="Times New Roman"/>
          <w:sz w:val="24"/>
          <w:lang w:val="en-IN"/>
        </w:rPr>
        <w:t>600000</w:t>
      </w:r>
    </w:p>
    <w:p w:rsidR="003633F4" w:rsidRDefault="003633F4" w:rsidP="0088378B">
      <w:pPr>
        <w:spacing w:line="360" w:lineRule="auto"/>
        <w:jc w:val="center"/>
        <w:rPr>
          <w:rFonts w:ascii="Times New Roman" w:hAnsi="Times New Roman" w:cs="Times New Roman"/>
          <w:sz w:val="24"/>
          <w:lang w:val="en-IN"/>
        </w:rPr>
      </w:pPr>
      <w:r w:rsidRPr="003633F4">
        <w:rPr>
          <w:rFonts w:ascii="Times New Roman" w:hAnsi="Times New Roman" w:cs="Times New Roman"/>
          <w:sz w:val="24"/>
          <w:lang w:val="en-IN"/>
        </w:rPr>
        <w:t>= 1.65</w:t>
      </w:r>
      <w:r w:rsidR="00CC4F06">
        <w:rPr>
          <w:rFonts w:ascii="Times New Roman" w:hAnsi="Times New Roman" w:cs="Times New Roman"/>
          <w:sz w:val="24"/>
          <w:lang w:val="en-IN"/>
        </w:rPr>
        <w:t xml:space="preserve"> </w:t>
      </w:r>
    </w:p>
    <w:p w:rsidR="003633F4" w:rsidRPr="00CC4F06" w:rsidRDefault="003633F4" w:rsidP="0088378B">
      <w:pPr>
        <w:spacing w:line="360" w:lineRule="auto"/>
        <w:rPr>
          <w:rFonts w:ascii="Times New Roman" w:hAnsi="Times New Roman" w:cs="Times New Roman"/>
          <w:b/>
          <w:sz w:val="24"/>
          <w:lang w:val="en-IN"/>
        </w:rPr>
      </w:pPr>
      <w:r w:rsidRPr="00CC4F06">
        <w:rPr>
          <w:rFonts w:ascii="Times New Roman" w:hAnsi="Times New Roman" w:cs="Times New Roman"/>
          <w:b/>
          <w:sz w:val="24"/>
          <w:lang w:val="en-IN"/>
        </w:rPr>
        <w:t xml:space="preserve">Project B </w:t>
      </w:r>
    </w:p>
    <w:p w:rsidR="003633F4" w:rsidRDefault="003633F4" w:rsidP="0088378B">
      <w:pPr>
        <w:spacing w:line="360" w:lineRule="auto"/>
        <w:rPr>
          <w:rFonts w:ascii="Times New Roman" w:hAnsi="Times New Roman" w:cs="Times New Roman"/>
          <w:sz w:val="24"/>
          <w:lang w:val="en-IN"/>
        </w:rPr>
      </w:pPr>
      <w:r w:rsidRPr="00CC4F06">
        <w:rPr>
          <w:rFonts w:ascii="Times New Roman" w:hAnsi="Times New Roman" w:cs="Times New Roman"/>
          <w:b/>
          <w:sz w:val="24"/>
          <w:lang w:val="en-IN"/>
        </w:rPr>
        <w:t>Net present value: -</w:t>
      </w:r>
      <w:r>
        <w:rPr>
          <w:rFonts w:ascii="Times New Roman" w:hAnsi="Times New Roman" w:cs="Times New Roman"/>
          <w:sz w:val="24"/>
          <w:lang w:val="en-IN"/>
        </w:rPr>
        <w:t xml:space="preserve"> </w:t>
      </w:r>
      <w:r w:rsidR="00CC4F06" w:rsidRPr="003633F4">
        <w:rPr>
          <w:rFonts w:ascii="Times New Roman" w:hAnsi="Times New Roman" w:cs="Times New Roman"/>
          <w:sz w:val="24"/>
          <w:lang w:val="en-IN"/>
        </w:rPr>
        <w:t>£</w:t>
      </w:r>
      <w:r w:rsidR="00CC4F06">
        <w:rPr>
          <w:rFonts w:ascii="Times New Roman" w:hAnsi="Times New Roman" w:cs="Times New Roman"/>
          <w:sz w:val="24"/>
          <w:lang w:val="en-IN"/>
        </w:rPr>
        <w:t xml:space="preserve"> </w:t>
      </w:r>
      <w:r>
        <w:rPr>
          <w:rFonts w:ascii="Times New Roman" w:hAnsi="Times New Roman" w:cs="Times New Roman"/>
          <w:sz w:val="24"/>
          <w:lang w:val="en-IN"/>
        </w:rPr>
        <w:t>747,608</w:t>
      </w:r>
    </w:p>
    <w:p w:rsidR="003633F4" w:rsidRDefault="003633F4" w:rsidP="0088378B">
      <w:pPr>
        <w:spacing w:line="360" w:lineRule="auto"/>
        <w:rPr>
          <w:rFonts w:ascii="Times New Roman" w:hAnsi="Times New Roman" w:cs="Times New Roman"/>
          <w:sz w:val="24"/>
          <w:lang w:val="en-IN"/>
        </w:rPr>
      </w:pPr>
      <w:r w:rsidRPr="00CC4F06">
        <w:rPr>
          <w:rFonts w:ascii="Times New Roman" w:hAnsi="Times New Roman" w:cs="Times New Roman"/>
          <w:b/>
          <w:sz w:val="24"/>
          <w:lang w:val="en-IN"/>
        </w:rPr>
        <w:t>Initial cost: -</w:t>
      </w:r>
      <w:r>
        <w:rPr>
          <w:rFonts w:ascii="Times New Roman" w:hAnsi="Times New Roman" w:cs="Times New Roman"/>
          <w:sz w:val="24"/>
          <w:lang w:val="en-IN"/>
        </w:rPr>
        <w:t xml:space="preserve"> </w:t>
      </w:r>
      <w:r w:rsidR="00CC4F06" w:rsidRPr="003633F4">
        <w:rPr>
          <w:rFonts w:ascii="Times New Roman" w:hAnsi="Times New Roman" w:cs="Times New Roman"/>
          <w:sz w:val="24"/>
          <w:lang w:val="en-IN"/>
        </w:rPr>
        <w:t>£</w:t>
      </w:r>
      <w:r w:rsidR="00CC4F06">
        <w:rPr>
          <w:rFonts w:ascii="Times New Roman" w:hAnsi="Times New Roman" w:cs="Times New Roman"/>
          <w:sz w:val="24"/>
          <w:lang w:val="en-IN"/>
        </w:rPr>
        <w:t>10, 00,000</w:t>
      </w:r>
    </w:p>
    <w:p w:rsidR="00CC4F06" w:rsidRPr="003633F4" w:rsidRDefault="00CC4F06" w:rsidP="0088378B">
      <w:pPr>
        <w:spacing w:line="360" w:lineRule="auto"/>
        <w:jc w:val="center"/>
        <w:rPr>
          <w:rFonts w:ascii="Times New Roman" w:hAnsi="Times New Roman" w:cs="Times New Roman"/>
          <w:b/>
          <w:sz w:val="24"/>
          <w:u w:val="single"/>
          <w:lang w:val="en-IN"/>
        </w:rPr>
      </w:pPr>
      <w:r w:rsidRPr="003633F4">
        <w:rPr>
          <w:rFonts w:ascii="Times New Roman" w:hAnsi="Times New Roman" w:cs="Times New Roman"/>
          <w:b/>
          <w:sz w:val="24"/>
          <w:u w:val="single"/>
          <w:lang w:val="en-IN"/>
        </w:rPr>
        <w:t>Net present value + initial cost</w:t>
      </w:r>
    </w:p>
    <w:p w:rsidR="00CC4F06" w:rsidRDefault="00CC4F06" w:rsidP="0088378B">
      <w:pPr>
        <w:spacing w:line="360" w:lineRule="auto"/>
        <w:jc w:val="center"/>
        <w:rPr>
          <w:rFonts w:ascii="Times New Roman" w:hAnsi="Times New Roman" w:cs="Times New Roman"/>
          <w:b/>
          <w:sz w:val="24"/>
          <w:lang w:val="en-IN"/>
        </w:rPr>
      </w:pPr>
      <w:r w:rsidRPr="003633F4">
        <w:rPr>
          <w:rFonts w:ascii="Times New Roman" w:hAnsi="Times New Roman" w:cs="Times New Roman"/>
          <w:b/>
          <w:sz w:val="24"/>
          <w:lang w:val="en-IN"/>
        </w:rPr>
        <w:t>Initial cost</w:t>
      </w:r>
    </w:p>
    <w:p w:rsidR="00CC4F06" w:rsidRPr="003633F4" w:rsidRDefault="00CC4F06" w:rsidP="0088378B">
      <w:pPr>
        <w:spacing w:line="360" w:lineRule="auto"/>
        <w:jc w:val="center"/>
        <w:rPr>
          <w:rFonts w:ascii="Times New Roman" w:hAnsi="Times New Roman" w:cs="Times New Roman"/>
          <w:sz w:val="24"/>
          <w:u w:val="single"/>
          <w:lang w:val="en-IN"/>
        </w:rPr>
      </w:pPr>
      <w:r w:rsidRPr="00CC4F06">
        <w:rPr>
          <w:rFonts w:ascii="Times New Roman" w:hAnsi="Times New Roman" w:cs="Times New Roman"/>
          <w:sz w:val="24"/>
          <w:lang w:val="en-IN"/>
        </w:rPr>
        <w:t>=</w:t>
      </w:r>
      <w:r>
        <w:rPr>
          <w:rFonts w:ascii="Times New Roman" w:hAnsi="Times New Roman" w:cs="Times New Roman"/>
          <w:sz w:val="24"/>
          <w:u w:val="single"/>
          <w:lang w:val="en-IN"/>
        </w:rPr>
        <w:t xml:space="preserve"> </w:t>
      </w:r>
      <w:r w:rsidRPr="00CC4F06">
        <w:rPr>
          <w:rFonts w:ascii="Times New Roman" w:hAnsi="Times New Roman" w:cs="Times New Roman"/>
          <w:sz w:val="24"/>
          <w:u w:val="single"/>
          <w:lang w:val="en-IN"/>
        </w:rPr>
        <w:t xml:space="preserve">£ </w:t>
      </w:r>
      <w:r>
        <w:rPr>
          <w:rFonts w:ascii="Times New Roman" w:hAnsi="Times New Roman" w:cs="Times New Roman"/>
          <w:sz w:val="24"/>
          <w:u w:val="single"/>
          <w:lang w:val="en-IN"/>
        </w:rPr>
        <w:t>747608</w:t>
      </w:r>
      <w:r w:rsidRPr="00CC4F06">
        <w:rPr>
          <w:rFonts w:ascii="Times New Roman" w:hAnsi="Times New Roman" w:cs="Times New Roman"/>
          <w:sz w:val="24"/>
          <w:u w:val="single"/>
          <w:lang w:val="en-IN"/>
        </w:rPr>
        <w:t xml:space="preserve"> + £ </w:t>
      </w:r>
      <w:r>
        <w:rPr>
          <w:rFonts w:ascii="Times New Roman" w:hAnsi="Times New Roman" w:cs="Times New Roman"/>
          <w:sz w:val="24"/>
          <w:u w:val="single"/>
          <w:lang w:val="en-IN"/>
        </w:rPr>
        <w:t>10</w:t>
      </w:r>
      <w:r w:rsidRPr="00CC4F06">
        <w:rPr>
          <w:rFonts w:ascii="Times New Roman" w:hAnsi="Times New Roman" w:cs="Times New Roman"/>
          <w:sz w:val="24"/>
          <w:u w:val="single"/>
          <w:lang w:val="en-IN"/>
        </w:rPr>
        <w:t>00000</w:t>
      </w:r>
    </w:p>
    <w:p w:rsidR="00CC4F06" w:rsidRDefault="00CC4F06" w:rsidP="0088378B">
      <w:pPr>
        <w:spacing w:line="360" w:lineRule="auto"/>
        <w:jc w:val="center"/>
        <w:rPr>
          <w:rFonts w:ascii="Times New Roman" w:hAnsi="Times New Roman" w:cs="Times New Roman"/>
          <w:sz w:val="24"/>
          <w:lang w:val="en-IN"/>
        </w:rPr>
      </w:pPr>
      <w:r w:rsidRPr="00CC4F06">
        <w:rPr>
          <w:rFonts w:ascii="Times New Roman" w:hAnsi="Times New Roman" w:cs="Times New Roman"/>
          <w:sz w:val="24"/>
          <w:lang w:val="en-IN"/>
        </w:rPr>
        <w:t>£</w:t>
      </w:r>
      <w:r>
        <w:rPr>
          <w:rFonts w:ascii="Times New Roman" w:hAnsi="Times New Roman" w:cs="Times New Roman"/>
          <w:sz w:val="24"/>
          <w:u w:val="single"/>
          <w:lang w:val="en-IN"/>
        </w:rPr>
        <w:t xml:space="preserve"> </w:t>
      </w:r>
      <w:r>
        <w:rPr>
          <w:rFonts w:ascii="Times New Roman" w:hAnsi="Times New Roman" w:cs="Times New Roman"/>
          <w:sz w:val="24"/>
          <w:lang w:val="en-IN"/>
        </w:rPr>
        <w:t>10</w:t>
      </w:r>
      <w:r w:rsidRPr="003633F4">
        <w:rPr>
          <w:rFonts w:ascii="Times New Roman" w:hAnsi="Times New Roman" w:cs="Times New Roman"/>
          <w:sz w:val="24"/>
          <w:lang w:val="en-IN"/>
        </w:rPr>
        <w:t>00000</w:t>
      </w:r>
    </w:p>
    <w:p w:rsidR="00CC4F06" w:rsidRDefault="00CC4F06" w:rsidP="0088378B">
      <w:pPr>
        <w:spacing w:line="360" w:lineRule="auto"/>
        <w:jc w:val="center"/>
        <w:rPr>
          <w:rFonts w:ascii="Times New Roman" w:hAnsi="Times New Roman" w:cs="Times New Roman"/>
          <w:sz w:val="24"/>
          <w:lang w:val="en-IN"/>
        </w:rPr>
      </w:pPr>
      <w:r>
        <w:rPr>
          <w:rFonts w:ascii="Times New Roman" w:hAnsi="Times New Roman" w:cs="Times New Roman"/>
          <w:sz w:val="24"/>
          <w:lang w:val="en-IN"/>
        </w:rPr>
        <w:t>=1.74</w:t>
      </w:r>
    </w:p>
    <w:p w:rsidR="00CC4F06" w:rsidRPr="00CC4F06" w:rsidRDefault="00CC4F06" w:rsidP="0088378B">
      <w:pPr>
        <w:spacing w:line="360" w:lineRule="auto"/>
        <w:rPr>
          <w:rFonts w:ascii="Times New Roman" w:hAnsi="Times New Roman" w:cs="Times New Roman"/>
          <w:b/>
          <w:sz w:val="24"/>
          <w:lang w:val="en-IN"/>
        </w:rPr>
      </w:pPr>
      <w:r w:rsidRPr="00CC4F06">
        <w:rPr>
          <w:rFonts w:ascii="Times New Roman" w:hAnsi="Times New Roman" w:cs="Times New Roman"/>
          <w:b/>
          <w:sz w:val="24"/>
          <w:lang w:val="en-IN"/>
        </w:rPr>
        <w:t xml:space="preserve">Project c </w:t>
      </w:r>
    </w:p>
    <w:p w:rsidR="00CC4F06" w:rsidRDefault="00CC4F06" w:rsidP="0088378B">
      <w:pPr>
        <w:spacing w:line="360" w:lineRule="auto"/>
        <w:rPr>
          <w:rFonts w:ascii="Times New Roman" w:hAnsi="Times New Roman" w:cs="Times New Roman"/>
          <w:sz w:val="24"/>
          <w:lang w:val="en-IN"/>
        </w:rPr>
      </w:pPr>
      <w:r w:rsidRPr="00CC4F06">
        <w:rPr>
          <w:rFonts w:ascii="Times New Roman" w:hAnsi="Times New Roman" w:cs="Times New Roman"/>
          <w:b/>
          <w:sz w:val="24"/>
          <w:lang w:val="en-IN"/>
        </w:rPr>
        <w:t>Net Present Value: -</w:t>
      </w:r>
      <w:r>
        <w:rPr>
          <w:rFonts w:ascii="Times New Roman" w:hAnsi="Times New Roman" w:cs="Times New Roman"/>
          <w:sz w:val="24"/>
          <w:lang w:val="en-IN"/>
        </w:rPr>
        <w:t xml:space="preserve"> </w:t>
      </w:r>
      <w:r w:rsidRPr="00CC4F06">
        <w:rPr>
          <w:rFonts w:ascii="Times New Roman" w:hAnsi="Times New Roman" w:cs="Times New Roman"/>
          <w:sz w:val="24"/>
          <w:lang w:val="en-IN"/>
        </w:rPr>
        <w:t>£</w:t>
      </w:r>
      <w:r>
        <w:rPr>
          <w:rFonts w:ascii="Times New Roman" w:hAnsi="Times New Roman" w:cs="Times New Roman"/>
          <w:sz w:val="24"/>
          <w:lang w:val="en-IN"/>
        </w:rPr>
        <w:t xml:space="preserve"> 615533</w:t>
      </w:r>
    </w:p>
    <w:p w:rsidR="00CC4F06" w:rsidRPr="003633F4" w:rsidRDefault="00CC4F06" w:rsidP="0088378B">
      <w:pPr>
        <w:spacing w:line="360" w:lineRule="auto"/>
        <w:rPr>
          <w:rFonts w:ascii="Times New Roman" w:hAnsi="Times New Roman" w:cs="Times New Roman"/>
          <w:sz w:val="24"/>
          <w:lang w:val="en-IN"/>
        </w:rPr>
      </w:pPr>
      <w:r w:rsidRPr="00CC4F06">
        <w:rPr>
          <w:rFonts w:ascii="Times New Roman" w:hAnsi="Times New Roman" w:cs="Times New Roman"/>
          <w:b/>
          <w:sz w:val="24"/>
          <w:lang w:val="en-IN"/>
        </w:rPr>
        <w:t>Initial cost: -</w:t>
      </w:r>
      <w:r w:rsidRPr="00CC4F06">
        <w:rPr>
          <w:rFonts w:ascii="Times New Roman" w:hAnsi="Times New Roman" w:cs="Times New Roman"/>
          <w:sz w:val="24"/>
          <w:lang w:val="en-IN"/>
        </w:rPr>
        <w:t>£</w:t>
      </w:r>
      <w:r>
        <w:rPr>
          <w:rFonts w:ascii="Times New Roman" w:hAnsi="Times New Roman" w:cs="Times New Roman"/>
          <w:sz w:val="24"/>
          <w:lang w:val="en-IN"/>
        </w:rPr>
        <w:t>1600000</w:t>
      </w:r>
    </w:p>
    <w:p w:rsidR="00CC4F06" w:rsidRPr="003633F4" w:rsidRDefault="00CC4F06" w:rsidP="0088378B">
      <w:pPr>
        <w:spacing w:line="360" w:lineRule="auto"/>
        <w:jc w:val="center"/>
        <w:rPr>
          <w:rFonts w:ascii="Times New Roman" w:hAnsi="Times New Roman" w:cs="Times New Roman"/>
          <w:b/>
          <w:sz w:val="24"/>
          <w:u w:val="single"/>
          <w:lang w:val="en-IN"/>
        </w:rPr>
      </w:pPr>
      <w:r w:rsidRPr="003633F4">
        <w:rPr>
          <w:rFonts w:ascii="Times New Roman" w:hAnsi="Times New Roman" w:cs="Times New Roman"/>
          <w:b/>
          <w:sz w:val="24"/>
          <w:u w:val="single"/>
          <w:lang w:val="en-IN"/>
        </w:rPr>
        <w:t>Net present value + initial cost</w:t>
      </w:r>
    </w:p>
    <w:p w:rsidR="00CC4F06" w:rsidRDefault="00CC4F06" w:rsidP="0088378B">
      <w:pPr>
        <w:spacing w:line="360" w:lineRule="auto"/>
        <w:jc w:val="center"/>
        <w:rPr>
          <w:rFonts w:ascii="Times New Roman" w:hAnsi="Times New Roman" w:cs="Times New Roman"/>
          <w:b/>
          <w:sz w:val="24"/>
          <w:lang w:val="en-IN"/>
        </w:rPr>
      </w:pPr>
      <w:r w:rsidRPr="003633F4">
        <w:rPr>
          <w:rFonts w:ascii="Times New Roman" w:hAnsi="Times New Roman" w:cs="Times New Roman"/>
          <w:b/>
          <w:sz w:val="24"/>
          <w:lang w:val="en-IN"/>
        </w:rPr>
        <w:t>Initial cost</w:t>
      </w:r>
    </w:p>
    <w:p w:rsidR="00CC4F06" w:rsidRPr="003633F4" w:rsidRDefault="00CC4F06" w:rsidP="0088378B">
      <w:pPr>
        <w:spacing w:line="360" w:lineRule="auto"/>
        <w:jc w:val="center"/>
        <w:rPr>
          <w:rFonts w:ascii="Times New Roman" w:hAnsi="Times New Roman" w:cs="Times New Roman"/>
          <w:sz w:val="24"/>
          <w:u w:val="single"/>
          <w:lang w:val="en-IN"/>
        </w:rPr>
      </w:pPr>
      <w:r w:rsidRPr="00CC4F06">
        <w:rPr>
          <w:rFonts w:ascii="Times New Roman" w:hAnsi="Times New Roman" w:cs="Times New Roman"/>
          <w:sz w:val="24"/>
          <w:lang w:val="en-IN"/>
        </w:rPr>
        <w:t>=</w:t>
      </w:r>
      <w:r>
        <w:rPr>
          <w:rFonts w:ascii="Times New Roman" w:hAnsi="Times New Roman" w:cs="Times New Roman"/>
          <w:sz w:val="24"/>
          <w:u w:val="single"/>
          <w:lang w:val="en-IN"/>
        </w:rPr>
        <w:t xml:space="preserve"> </w:t>
      </w:r>
      <w:r w:rsidRPr="00CC4F06">
        <w:rPr>
          <w:rFonts w:ascii="Times New Roman" w:hAnsi="Times New Roman" w:cs="Times New Roman"/>
          <w:sz w:val="24"/>
          <w:u w:val="single"/>
          <w:lang w:val="en-IN"/>
        </w:rPr>
        <w:t xml:space="preserve">£ </w:t>
      </w:r>
      <w:r>
        <w:rPr>
          <w:rFonts w:ascii="Times New Roman" w:hAnsi="Times New Roman" w:cs="Times New Roman"/>
          <w:sz w:val="24"/>
          <w:u w:val="single"/>
          <w:lang w:val="en-IN"/>
        </w:rPr>
        <w:t>615533</w:t>
      </w:r>
      <w:r w:rsidRPr="00CC4F06">
        <w:rPr>
          <w:rFonts w:ascii="Times New Roman" w:hAnsi="Times New Roman" w:cs="Times New Roman"/>
          <w:sz w:val="24"/>
          <w:u w:val="single"/>
          <w:lang w:val="en-IN"/>
        </w:rPr>
        <w:t xml:space="preserve"> + £ </w:t>
      </w:r>
      <w:r>
        <w:rPr>
          <w:rFonts w:ascii="Times New Roman" w:hAnsi="Times New Roman" w:cs="Times New Roman"/>
          <w:sz w:val="24"/>
          <w:u w:val="single"/>
          <w:lang w:val="en-IN"/>
        </w:rPr>
        <w:t>16</w:t>
      </w:r>
      <w:r w:rsidRPr="00CC4F06">
        <w:rPr>
          <w:rFonts w:ascii="Times New Roman" w:hAnsi="Times New Roman" w:cs="Times New Roman"/>
          <w:sz w:val="24"/>
          <w:u w:val="single"/>
          <w:lang w:val="en-IN"/>
        </w:rPr>
        <w:t>00000</w:t>
      </w:r>
    </w:p>
    <w:p w:rsidR="00CC4F06" w:rsidRDefault="00CC4F06" w:rsidP="0088378B">
      <w:pPr>
        <w:spacing w:line="360" w:lineRule="auto"/>
        <w:jc w:val="center"/>
        <w:rPr>
          <w:rFonts w:ascii="Times New Roman" w:hAnsi="Times New Roman" w:cs="Times New Roman"/>
          <w:sz w:val="24"/>
          <w:lang w:val="en-IN"/>
        </w:rPr>
      </w:pPr>
      <w:r w:rsidRPr="00CC4F06">
        <w:rPr>
          <w:rFonts w:ascii="Times New Roman" w:hAnsi="Times New Roman" w:cs="Times New Roman"/>
          <w:sz w:val="24"/>
          <w:lang w:val="en-IN"/>
        </w:rPr>
        <w:t>£</w:t>
      </w:r>
      <w:r>
        <w:rPr>
          <w:rFonts w:ascii="Times New Roman" w:hAnsi="Times New Roman" w:cs="Times New Roman"/>
          <w:sz w:val="24"/>
          <w:u w:val="single"/>
          <w:lang w:val="en-IN"/>
        </w:rPr>
        <w:t xml:space="preserve"> </w:t>
      </w:r>
      <w:r>
        <w:rPr>
          <w:rFonts w:ascii="Times New Roman" w:hAnsi="Times New Roman" w:cs="Times New Roman"/>
          <w:sz w:val="24"/>
          <w:lang w:val="en-IN"/>
        </w:rPr>
        <w:t>16</w:t>
      </w:r>
      <w:r w:rsidRPr="003633F4">
        <w:rPr>
          <w:rFonts w:ascii="Times New Roman" w:hAnsi="Times New Roman" w:cs="Times New Roman"/>
          <w:sz w:val="24"/>
          <w:lang w:val="en-IN"/>
        </w:rPr>
        <w:t>00000</w:t>
      </w:r>
    </w:p>
    <w:p w:rsidR="00CC4F06" w:rsidRDefault="00CC4F06" w:rsidP="0088378B">
      <w:pPr>
        <w:spacing w:line="360" w:lineRule="auto"/>
        <w:jc w:val="center"/>
        <w:rPr>
          <w:rFonts w:ascii="Times New Roman" w:hAnsi="Times New Roman" w:cs="Times New Roman"/>
          <w:sz w:val="24"/>
          <w:lang w:val="en-IN"/>
        </w:rPr>
      </w:pPr>
      <w:r>
        <w:rPr>
          <w:rFonts w:ascii="Times New Roman" w:hAnsi="Times New Roman" w:cs="Times New Roman"/>
          <w:sz w:val="24"/>
          <w:lang w:val="en-IN"/>
        </w:rPr>
        <w:t>= 1.40</w:t>
      </w:r>
    </w:p>
    <w:p w:rsidR="001609BC" w:rsidRPr="001609BC" w:rsidRDefault="001609BC" w:rsidP="0088378B">
      <w:pPr>
        <w:pStyle w:val="Heading1"/>
        <w:spacing w:line="360" w:lineRule="auto"/>
        <w:jc w:val="both"/>
        <w:rPr>
          <w:rFonts w:ascii="Times New Roman" w:hAnsi="Times New Roman" w:cs="Times New Roman"/>
          <w:b/>
          <w:color w:val="auto"/>
        </w:rPr>
      </w:pPr>
      <w:bookmarkStart w:id="19" w:name="_Toc203646849"/>
      <w:bookmarkStart w:id="20" w:name="_Toc203731983"/>
      <w:r w:rsidRPr="001609BC">
        <w:rPr>
          <w:rFonts w:ascii="Times New Roman" w:hAnsi="Times New Roman" w:cs="Times New Roman"/>
          <w:b/>
          <w:color w:val="auto"/>
        </w:rPr>
        <w:t>Investment Option Evaluation and Recommendation</w:t>
      </w:r>
      <w:bookmarkEnd w:id="19"/>
      <w:bookmarkEnd w:id="20"/>
    </w:p>
    <w:p w:rsidR="001609BC" w:rsidRPr="001609BC" w:rsidRDefault="001609BC" w:rsidP="0088378B">
      <w:pPr>
        <w:spacing w:line="360" w:lineRule="auto"/>
        <w:jc w:val="both"/>
        <w:rPr>
          <w:rFonts w:ascii="Times New Roman" w:hAnsi="Times New Roman" w:cs="Times New Roman"/>
          <w:sz w:val="24"/>
        </w:rPr>
      </w:pPr>
      <w:r w:rsidRPr="001609BC">
        <w:rPr>
          <w:rFonts w:ascii="Times New Roman" w:hAnsi="Times New Roman" w:cs="Times New Roman"/>
          <w:sz w:val="24"/>
        </w:rPr>
        <w:t>After conducting a thorough financial evaluation of the projects proposed, it is recommended that Jordons Plc pursue Project B: Internet Sales Development. This recommendation is made based on a combination of numerical superiority, strategic relevance and operational practicability.</w:t>
      </w:r>
    </w:p>
    <w:p w:rsidR="002A0095" w:rsidRDefault="003A7191" w:rsidP="0088378B">
      <w:pPr>
        <w:pStyle w:val="Heading2"/>
        <w:spacing w:line="360" w:lineRule="auto"/>
        <w:jc w:val="both"/>
        <w:rPr>
          <w:rFonts w:ascii="Times New Roman" w:hAnsi="Times New Roman" w:cs="Times New Roman"/>
          <w:b/>
          <w:color w:val="auto"/>
          <w:sz w:val="28"/>
          <w:lang w:val="en-IN"/>
        </w:rPr>
      </w:pPr>
      <w:bookmarkStart w:id="21" w:name="_Toc203646850"/>
      <w:bookmarkStart w:id="22" w:name="_Toc203731984"/>
      <w:r>
        <w:rPr>
          <w:rFonts w:ascii="Times New Roman" w:hAnsi="Times New Roman" w:cs="Times New Roman"/>
          <w:b/>
          <w:color w:val="auto"/>
          <w:sz w:val="28"/>
          <w:lang w:val="en-IN"/>
        </w:rPr>
        <w:t xml:space="preserve">Approximately </w:t>
      </w:r>
      <w:r w:rsidR="003D1766" w:rsidRPr="003D1766">
        <w:rPr>
          <w:rFonts w:ascii="Times New Roman" w:hAnsi="Times New Roman" w:cs="Times New Roman"/>
          <w:b/>
          <w:color w:val="auto"/>
          <w:sz w:val="28"/>
          <w:lang w:val="en-IN"/>
        </w:rPr>
        <w:t>Internal rate of return</w:t>
      </w:r>
      <w:bookmarkEnd w:id="21"/>
      <w:bookmarkEnd w:id="22"/>
      <w:r w:rsidR="003D1766" w:rsidRPr="003D1766">
        <w:rPr>
          <w:rFonts w:ascii="Times New Roman" w:hAnsi="Times New Roman" w:cs="Times New Roman"/>
          <w:b/>
          <w:color w:val="auto"/>
          <w:sz w:val="28"/>
          <w:lang w:val="en-IN"/>
        </w:rPr>
        <w:t xml:space="preserve"> </w:t>
      </w:r>
    </w:p>
    <w:p w:rsidR="005C3256" w:rsidRDefault="003D1766" w:rsidP="0088378B">
      <w:pPr>
        <w:spacing w:line="360" w:lineRule="auto"/>
        <w:jc w:val="both"/>
        <w:rPr>
          <w:rFonts w:ascii="Times New Roman" w:hAnsi="Times New Roman" w:cs="Times New Roman"/>
          <w:sz w:val="24"/>
          <w:lang w:val="en-IN"/>
        </w:rPr>
      </w:pPr>
      <w:r w:rsidRPr="003D1766">
        <w:rPr>
          <w:rFonts w:ascii="Times New Roman" w:hAnsi="Times New Roman" w:cs="Times New Roman"/>
          <w:sz w:val="24"/>
          <w:lang w:val="en-IN"/>
        </w:rPr>
        <w:t>The Internal Rate of Return (IRR) is the discount rate where a project's Net Present Value (NPV) hits zero. It shows the break-even cost of capital for the project and helps measure how well it performs. A project is usually considered a good investment if the IRR exceeds the company has required rate of return.</w:t>
      </w:r>
    </w:p>
    <w:p w:rsidR="001609BC" w:rsidRPr="005C3256" w:rsidRDefault="006D6036" w:rsidP="0088378B">
      <w:pPr>
        <w:spacing w:line="360" w:lineRule="auto"/>
        <w:jc w:val="both"/>
        <w:rPr>
          <w:rFonts w:ascii="Times New Roman" w:hAnsi="Times New Roman" w:cs="Times New Roman"/>
          <w:sz w:val="24"/>
          <w:lang w:val="en-IN"/>
        </w:rPr>
      </w:pPr>
      <w:r w:rsidRPr="006D6036">
        <w:rPr>
          <w:rFonts w:ascii="Times New Roman" w:hAnsi="Times New Roman" w:cs="Times New Roman"/>
          <w:b/>
          <w:sz w:val="24"/>
          <w:szCs w:val="24"/>
          <w:lang w:val="en-IN"/>
        </w:rPr>
        <w:t xml:space="preserve"> </w:t>
      </w:r>
      <w:r w:rsidRPr="006D6036">
        <w:rPr>
          <w:rFonts w:ascii="Times New Roman" w:hAnsi="Times New Roman" w:cs="Times New Roman"/>
          <w:b/>
          <w:sz w:val="24"/>
          <w:szCs w:val="24"/>
        </w:rPr>
        <w:t>Recalculate NPV using a 34% discount rate for project b’s after-tax cash flows</w:t>
      </w:r>
    </w:p>
    <w:tbl>
      <w:tblPr>
        <w:tblW w:w="9390" w:type="dxa"/>
        <w:tblInd w:w="5" w:type="dxa"/>
        <w:tblLook w:val="04A0" w:firstRow="1" w:lastRow="0" w:firstColumn="1" w:lastColumn="0" w:noHBand="0" w:noVBand="1"/>
      </w:tblPr>
      <w:tblGrid>
        <w:gridCol w:w="1408"/>
        <w:gridCol w:w="1722"/>
        <w:gridCol w:w="3087"/>
        <w:gridCol w:w="3173"/>
      </w:tblGrid>
      <w:tr w:rsidR="006D6036" w:rsidRPr="00FB0DC9" w:rsidTr="00A20170">
        <w:trPr>
          <w:trHeight w:val="989"/>
        </w:trPr>
        <w:tc>
          <w:tcPr>
            <w:tcW w:w="1408"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b/>
                <w:bCs/>
                <w:sz w:val="24"/>
                <w:lang w:val="en-IN" w:eastAsia="en-IN"/>
              </w:rPr>
            </w:pPr>
            <w:r w:rsidRPr="00FB0DC9">
              <w:rPr>
                <w:rFonts w:ascii="Times New Roman" w:eastAsia="Times New Roman" w:hAnsi="Times New Roman" w:cs="Times New Roman"/>
                <w:b/>
                <w:bCs/>
                <w:sz w:val="24"/>
                <w:lang w:val="en-IN" w:eastAsia="en-IN"/>
              </w:rPr>
              <w:t>Year</w:t>
            </w:r>
          </w:p>
        </w:tc>
        <w:tc>
          <w:tcPr>
            <w:tcW w:w="1722" w:type="dxa"/>
            <w:tcBorders>
              <w:top w:val="single" w:sz="4" w:space="0" w:color="auto"/>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b/>
                <w:bCs/>
                <w:sz w:val="24"/>
                <w:lang w:val="en-IN" w:eastAsia="en-IN"/>
              </w:rPr>
            </w:pPr>
            <w:r w:rsidRPr="00FB0DC9">
              <w:rPr>
                <w:rFonts w:ascii="Times New Roman" w:eastAsia="Times New Roman" w:hAnsi="Times New Roman" w:cs="Times New Roman"/>
                <w:b/>
                <w:bCs/>
                <w:sz w:val="24"/>
                <w:lang w:val="en-IN" w:eastAsia="en-IN"/>
              </w:rPr>
              <w:t>Cash Flow (£)</w:t>
            </w:r>
          </w:p>
        </w:tc>
        <w:tc>
          <w:tcPr>
            <w:tcW w:w="3087" w:type="dxa"/>
            <w:tcBorders>
              <w:top w:val="single" w:sz="4" w:space="0" w:color="auto"/>
              <w:left w:val="nil"/>
              <w:bottom w:val="single" w:sz="4" w:space="0" w:color="auto"/>
              <w:right w:val="single" w:sz="4" w:space="0" w:color="auto"/>
            </w:tcBorders>
            <w:shd w:val="clear" w:color="000000" w:fill="FFFFFF"/>
            <w:vAlign w:val="center"/>
            <w:hideMark/>
          </w:tcPr>
          <w:p w:rsidR="006D6036" w:rsidRPr="00FB0DC9" w:rsidRDefault="00E42052" w:rsidP="0088378B">
            <w:pPr>
              <w:spacing w:after="0" w:line="360" w:lineRule="auto"/>
              <w:ind w:firstLineChars="100" w:firstLine="240"/>
              <w:jc w:val="both"/>
              <w:rPr>
                <w:rFonts w:ascii="Times New Roman" w:eastAsia="Times New Roman" w:hAnsi="Times New Roman" w:cs="Times New Roman"/>
                <w:b/>
                <w:bCs/>
                <w:sz w:val="24"/>
                <w:lang w:val="en-IN" w:eastAsia="en-IN"/>
              </w:rPr>
            </w:pPr>
            <w:r>
              <w:rPr>
                <w:rFonts w:ascii="Times New Roman" w:eastAsia="Times New Roman" w:hAnsi="Times New Roman" w:cs="Times New Roman"/>
                <w:b/>
                <w:bCs/>
                <w:sz w:val="24"/>
                <w:lang w:val="en-IN" w:eastAsia="en-IN"/>
              </w:rPr>
              <w:t>Discount Factor (34</w:t>
            </w:r>
            <w:r w:rsidR="006D6036" w:rsidRPr="00FB0DC9">
              <w:rPr>
                <w:rFonts w:ascii="Times New Roman" w:eastAsia="Times New Roman" w:hAnsi="Times New Roman" w:cs="Times New Roman"/>
                <w:b/>
                <w:bCs/>
                <w:sz w:val="24"/>
                <w:lang w:val="en-IN" w:eastAsia="en-IN"/>
              </w:rPr>
              <w:t>%)</w:t>
            </w:r>
          </w:p>
        </w:tc>
        <w:tc>
          <w:tcPr>
            <w:tcW w:w="3173" w:type="dxa"/>
            <w:tcBorders>
              <w:top w:val="single" w:sz="4" w:space="0" w:color="auto"/>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b/>
                <w:bCs/>
                <w:sz w:val="24"/>
                <w:lang w:val="en-IN" w:eastAsia="en-IN"/>
              </w:rPr>
            </w:pPr>
            <w:r w:rsidRPr="00FB0DC9">
              <w:rPr>
                <w:rFonts w:ascii="Times New Roman" w:eastAsia="Times New Roman" w:hAnsi="Times New Roman" w:cs="Times New Roman"/>
                <w:b/>
                <w:bCs/>
                <w:sz w:val="24"/>
                <w:lang w:val="en-IN" w:eastAsia="en-IN"/>
              </w:rPr>
              <w:t>Discounted CF (£)</w:t>
            </w:r>
          </w:p>
        </w:tc>
      </w:tr>
      <w:tr w:rsidR="006D6036" w:rsidRPr="00FB0DC9" w:rsidTr="00A20170">
        <w:trPr>
          <w:trHeight w:val="989"/>
        </w:trPr>
        <w:tc>
          <w:tcPr>
            <w:tcW w:w="1408" w:type="dxa"/>
            <w:tcBorders>
              <w:top w:val="nil"/>
              <w:left w:val="single" w:sz="4" w:space="0" w:color="auto"/>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sidRPr="00FB0DC9">
              <w:rPr>
                <w:rFonts w:ascii="Times New Roman" w:eastAsia="Times New Roman" w:hAnsi="Times New Roman" w:cs="Times New Roman"/>
                <w:sz w:val="24"/>
                <w:szCs w:val="24"/>
                <w:lang w:val="en-IN" w:eastAsia="en-IN"/>
              </w:rPr>
              <w:t>1</w:t>
            </w:r>
          </w:p>
        </w:tc>
        <w:tc>
          <w:tcPr>
            <w:tcW w:w="1722"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sidRPr="00FB0DC9">
              <w:rPr>
                <w:rFonts w:ascii="Times New Roman" w:eastAsia="Times New Roman" w:hAnsi="Times New Roman" w:cs="Times New Roman"/>
                <w:sz w:val="24"/>
                <w:szCs w:val="24"/>
                <w:lang w:val="en-IN" w:eastAsia="en-IN"/>
              </w:rPr>
              <w:t>3,50,000</w:t>
            </w:r>
          </w:p>
        </w:tc>
        <w:tc>
          <w:tcPr>
            <w:tcW w:w="3087"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jc w:val="both"/>
              <w:rPr>
                <w:rFonts w:ascii="Times New Roman" w:eastAsia="Times New Roman" w:hAnsi="Times New Roman" w:cs="Times New Roman"/>
                <w:sz w:val="24"/>
                <w:szCs w:val="24"/>
                <w:lang w:val="en-IN" w:eastAsia="en-IN"/>
              </w:rPr>
            </w:pPr>
            <w:r w:rsidRPr="006D6036">
              <w:rPr>
                <w:rFonts w:ascii="Times New Roman" w:eastAsia="Times New Roman" w:hAnsi="Times New Roman" w:cs="Times New Roman"/>
                <w:sz w:val="24"/>
                <w:szCs w:val="24"/>
                <w:lang w:val="en-IN" w:eastAsia="en-IN"/>
              </w:rPr>
              <w:t>1/(1+</w:t>
            </w:r>
            <w:r>
              <w:rPr>
                <w:rFonts w:ascii="Times New Roman" w:eastAsia="Times New Roman" w:hAnsi="Times New Roman" w:cs="Times New Roman"/>
                <w:sz w:val="24"/>
                <w:szCs w:val="24"/>
                <w:lang w:val="en-IN" w:eastAsia="en-IN"/>
              </w:rPr>
              <w:t>0.34</w:t>
            </w:r>
            <w:r w:rsidRPr="006D6036">
              <w:rPr>
                <w:rFonts w:ascii="Times New Roman" w:eastAsia="Times New Roman" w:hAnsi="Times New Roman" w:cs="Times New Roman"/>
                <w:sz w:val="24"/>
                <w:szCs w:val="24"/>
                <w:lang w:val="en-IN" w:eastAsia="en-IN"/>
              </w:rPr>
              <w:t>) =</w:t>
            </w:r>
            <w:r>
              <w:rPr>
                <w:rFonts w:ascii="Times New Roman" w:eastAsia="Times New Roman" w:hAnsi="Times New Roman" w:cs="Times New Roman"/>
                <w:sz w:val="24"/>
                <w:szCs w:val="24"/>
                <w:lang w:val="en-IN" w:eastAsia="en-IN"/>
              </w:rPr>
              <w:t>0.</w:t>
            </w:r>
            <w:r w:rsidR="00E42052">
              <w:rPr>
                <w:rFonts w:ascii="Times New Roman" w:eastAsia="Times New Roman" w:hAnsi="Times New Roman" w:cs="Times New Roman"/>
                <w:sz w:val="24"/>
                <w:szCs w:val="24"/>
                <w:lang w:val="en-IN" w:eastAsia="en-IN"/>
              </w:rPr>
              <w:t>746</w:t>
            </w:r>
          </w:p>
        </w:tc>
        <w:tc>
          <w:tcPr>
            <w:tcW w:w="3173" w:type="dxa"/>
            <w:tcBorders>
              <w:top w:val="nil"/>
              <w:left w:val="nil"/>
              <w:bottom w:val="single" w:sz="4" w:space="0" w:color="auto"/>
              <w:right w:val="single" w:sz="4" w:space="0" w:color="auto"/>
            </w:tcBorders>
            <w:shd w:val="clear" w:color="000000" w:fill="FFFFFF"/>
            <w:vAlign w:val="center"/>
            <w:hideMark/>
          </w:tcPr>
          <w:p w:rsidR="006D6036" w:rsidRPr="00FB0DC9" w:rsidRDefault="00E42052"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2,61100</w:t>
            </w:r>
          </w:p>
        </w:tc>
      </w:tr>
      <w:tr w:rsidR="006D6036" w:rsidRPr="00FB0DC9" w:rsidTr="00A20170">
        <w:trPr>
          <w:trHeight w:val="650"/>
        </w:trPr>
        <w:tc>
          <w:tcPr>
            <w:tcW w:w="1408" w:type="dxa"/>
            <w:tcBorders>
              <w:top w:val="nil"/>
              <w:left w:val="single" w:sz="4" w:space="0" w:color="auto"/>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sidRPr="00FB0DC9">
              <w:rPr>
                <w:rFonts w:ascii="Times New Roman" w:eastAsia="Times New Roman" w:hAnsi="Times New Roman" w:cs="Times New Roman"/>
                <w:sz w:val="24"/>
                <w:szCs w:val="24"/>
                <w:lang w:val="en-IN" w:eastAsia="en-IN"/>
              </w:rPr>
              <w:t>2</w:t>
            </w:r>
          </w:p>
        </w:tc>
        <w:tc>
          <w:tcPr>
            <w:tcW w:w="1722"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sidRPr="00FB0DC9">
              <w:rPr>
                <w:rFonts w:ascii="Times New Roman" w:eastAsia="Times New Roman" w:hAnsi="Times New Roman" w:cs="Times New Roman"/>
                <w:sz w:val="24"/>
                <w:szCs w:val="24"/>
                <w:lang w:val="en-IN" w:eastAsia="en-IN"/>
              </w:rPr>
              <w:t>3,87,500</w:t>
            </w:r>
          </w:p>
        </w:tc>
        <w:tc>
          <w:tcPr>
            <w:tcW w:w="3087"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jc w:val="both"/>
              <w:rPr>
                <w:rFonts w:ascii="Times New Roman" w:eastAsia="Times New Roman" w:hAnsi="Times New Roman" w:cs="Times New Roman"/>
                <w:sz w:val="24"/>
                <w:szCs w:val="24"/>
                <w:lang w:val="en-IN" w:eastAsia="en-IN"/>
              </w:rPr>
            </w:pPr>
            <w:r w:rsidRPr="006D6036">
              <w:rPr>
                <w:rFonts w:ascii="Times New Roman" w:eastAsia="Times New Roman" w:hAnsi="Times New Roman" w:cs="Times New Roman"/>
                <w:sz w:val="24"/>
                <w:szCs w:val="24"/>
                <w:lang w:val="en-IN" w:eastAsia="en-IN"/>
              </w:rPr>
              <w:t>1/(1+</w:t>
            </w:r>
            <w:r>
              <w:rPr>
                <w:rFonts w:ascii="Times New Roman" w:eastAsia="Times New Roman" w:hAnsi="Times New Roman" w:cs="Times New Roman"/>
                <w:sz w:val="24"/>
                <w:szCs w:val="24"/>
                <w:lang w:val="en-IN" w:eastAsia="en-IN"/>
              </w:rPr>
              <w:t>0.34</w:t>
            </w:r>
            <w:r w:rsidRPr="006D6036">
              <w:rPr>
                <w:rFonts w:ascii="Times New Roman" w:eastAsia="Times New Roman" w:hAnsi="Times New Roman" w:cs="Times New Roman"/>
                <w:sz w:val="24"/>
                <w:szCs w:val="24"/>
                <w:lang w:val="en-IN" w:eastAsia="en-IN"/>
              </w:rPr>
              <w:t xml:space="preserve">)^2= </w:t>
            </w:r>
            <w:r w:rsidR="00E42052">
              <w:rPr>
                <w:rFonts w:ascii="Times New Roman" w:eastAsia="Times New Roman" w:hAnsi="Times New Roman" w:cs="Times New Roman"/>
                <w:sz w:val="24"/>
                <w:szCs w:val="24"/>
                <w:lang w:val="en-IN" w:eastAsia="en-IN"/>
              </w:rPr>
              <w:t>0.557</w:t>
            </w:r>
          </w:p>
        </w:tc>
        <w:tc>
          <w:tcPr>
            <w:tcW w:w="3173"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2,</w:t>
            </w:r>
            <w:r w:rsidR="00E42052">
              <w:rPr>
                <w:rFonts w:ascii="Times New Roman" w:eastAsia="Times New Roman" w:hAnsi="Times New Roman" w:cs="Times New Roman"/>
                <w:sz w:val="24"/>
                <w:szCs w:val="24"/>
                <w:lang w:val="en-IN" w:eastAsia="en-IN"/>
              </w:rPr>
              <w:t>15838</w:t>
            </w:r>
          </w:p>
        </w:tc>
      </w:tr>
      <w:tr w:rsidR="006D6036" w:rsidRPr="00FB0DC9" w:rsidTr="00A20170">
        <w:trPr>
          <w:trHeight w:val="650"/>
        </w:trPr>
        <w:tc>
          <w:tcPr>
            <w:tcW w:w="1408" w:type="dxa"/>
            <w:tcBorders>
              <w:top w:val="nil"/>
              <w:left w:val="single" w:sz="4" w:space="0" w:color="auto"/>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sidRPr="00FB0DC9">
              <w:rPr>
                <w:rFonts w:ascii="Times New Roman" w:eastAsia="Times New Roman" w:hAnsi="Times New Roman" w:cs="Times New Roman"/>
                <w:sz w:val="24"/>
                <w:szCs w:val="24"/>
                <w:lang w:val="en-IN" w:eastAsia="en-IN"/>
              </w:rPr>
              <w:t>3</w:t>
            </w:r>
          </w:p>
        </w:tc>
        <w:tc>
          <w:tcPr>
            <w:tcW w:w="1722"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sidRPr="00FB0DC9">
              <w:rPr>
                <w:rFonts w:ascii="Times New Roman" w:eastAsia="Times New Roman" w:hAnsi="Times New Roman" w:cs="Times New Roman"/>
                <w:sz w:val="24"/>
                <w:szCs w:val="24"/>
                <w:lang w:val="en-IN" w:eastAsia="en-IN"/>
              </w:rPr>
              <w:t>5,37,500</w:t>
            </w:r>
          </w:p>
        </w:tc>
        <w:tc>
          <w:tcPr>
            <w:tcW w:w="3087" w:type="dxa"/>
            <w:tcBorders>
              <w:top w:val="nil"/>
              <w:left w:val="nil"/>
              <w:bottom w:val="single" w:sz="4" w:space="0" w:color="auto"/>
              <w:right w:val="single" w:sz="4" w:space="0" w:color="auto"/>
            </w:tcBorders>
            <w:shd w:val="clear" w:color="000000" w:fill="FFFFFF"/>
            <w:vAlign w:val="center"/>
            <w:hideMark/>
          </w:tcPr>
          <w:p w:rsidR="006D6036" w:rsidRPr="00FB0DC9" w:rsidRDefault="00E42052"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0.416</w:t>
            </w:r>
          </w:p>
        </w:tc>
        <w:tc>
          <w:tcPr>
            <w:tcW w:w="3173"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2,</w:t>
            </w:r>
            <w:r w:rsidR="00E42052">
              <w:rPr>
                <w:rFonts w:ascii="Times New Roman" w:eastAsia="Times New Roman" w:hAnsi="Times New Roman" w:cs="Times New Roman"/>
                <w:sz w:val="24"/>
                <w:szCs w:val="24"/>
                <w:lang w:val="en-IN" w:eastAsia="en-IN"/>
              </w:rPr>
              <w:t>23600</w:t>
            </w:r>
          </w:p>
        </w:tc>
      </w:tr>
      <w:tr w:rsidR="006D6036" w:rsidRPr="00FB0DC9" w:rsidTr="00A20170">
        <w:trPr>
          <w:trHeight w:val="650"/>
        </w:trPr>
        <w:tc>
          <w:tcPr>
            <w:tcW w:w="1408" w:type="dxa"/>
            <w:tcBorders>
              <w:top w:val="nil"/>
              <w:left w:val="single" w:sz="4" w:space="0" w:color="auto"/>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sidRPr="00FB0DC9">
              <w:rPr>
                <w:rFonts w:ascii="Times New Roman" w:eastAsia="Times New Roman" w:hAnsi="Times New Roman" w:cs="Times New Roman"/>
                <w:sz w:val="24"/>
                <w:szCs w:val="24"/>
                <w:lang w:val="en-IN" w:eastAsia="en-IN"/>
              </w:rPr>
              <w:t>4</w:t>
            </w:r>
          </w:p>
        </w:tc>
        <w:tc>
          <w:tcPr>
            <w:tcW w:w="1722" w:type="dxa"/>
            <w:tcBorders>
              <w:top w:val="nil"/>
              <w:left w:val="nil"/>
              <w:bottom w:val="single" w:sz="4" w:space="0" w:color="auto"/>
              <w:right w:val="single" w:sz="4" w:space="0" w:color="auto"/>
            </w:tcBorders>
            <w:shd w:val="clear" w:color="000000" w:fill="FFFFFF"/>
            <w:vAlign w:val="center"/>
            <w:hideMark/>
          </w:tcPr>
          <w:p w:rsidR="006D6036" w:rsidRPr="00FB0DC9" w:rsidRDefault="006D6036"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7,85</w:t>
            </w:r>
            <w:r w:rsidRPr="00FB0DC9">
              <w:rPr>
                <w:rFonts w:ascii="Times New Roman" w:eastAsia="Times New Roman" w:hAnsi="Times New Roman" w:cs="Times New Roman"/>
                <w:sz w:val="24"/>
                <w:szCs w:val="24"/>
                <w:lang w:val="en-IN" w:eastAsia="en-IN"/>
              </w:rPr>
              <w:t>,000</w:t>
            </w:r>
          </w:p>
        </w:tc>
        <w:tc>
          <w:tcPr>
            <w:tcW w:w="3087" w:type="dxa"/>
            <w:tcBorders>
              <w:top w:val="nil"/>
              <w:left w:val="nil"/>
              <w:bottom w:val="single" w:sz="4" w:space="0" w:color="auto"/>
              <w:right w:val="single" w:sz="4" w:space="0" w:color="auto"/>
            </w:tcBorders>
            <w:shd w:val="clear" w:color="000000" w:fill="FFFFFF"/>
            <w:vAlign w:val="center"/>
            <w:hideMark/>
          </w:tcPr>
          <w:p w:rsidR="006D6036" w:rsidRPr="00FB0DC9" w:rsidRDefault="00E42052"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0.310</w:t>
            </w:r>
          </w:p>
        </w:tc>
        <w:tc>
          <w:tcPr>
            <w:tcW w:w="3173" w:type="dxa"/>
            <w:tcBorders>
              <w:top w:val="nil"/>
              <w:left w:val="nil"/>
              <w:bottom w:val="single" w:sz="4" w:space="0" w:color="auto"/>
              <w:right w:val="single" w:sz="4" w:space="0" w:color="auto"/>
            </w:tcBorders>
            <w:shd w:val="clear" w:color="000000" w:fill="FFFFFF"/>
            <w:vAlign w:val="center"/>
            <w:hideMark/>
          </w:tcPr>
          <w:p w:rsidR="006D6036" w:rsidRPr="00FB0DC9" w:rsidRDefault="00E42052" w:rsidP="0088378B">
            <w:pPr>
              <w:spacing w:after="0" w:line="360" w:lineRule="auto"/>
              <w:ind w:firstLineChars="100" w:firstLine="24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2,43,350</w:t>
            </w:r>
          </w:p>
        </w:tc>
      </w:tr>
      <w:tr w:rsidR="006D6036" w:rsidTr="00A20170">
        <w:tblPrEx>
          <w:tblBorders>
            <w:top w:val="single" w:sz="4" w:space="0" w:color="auto"/>
          </w:tblBorders>
          <w:tblLook w:val="0000" w:firstRow="0" w:lastRow="0" w:firstColumn="0" w:lastColumn="0" w:noHBand="0" w:noVBand="0"/>
        </w:tblPrEx>
        <w:trPr>
          <w:trHeight w:val="467"/>
        </w:trPr>
        <w:tc>
          <w:tcPr>
            <w:tcW w:w="1408" w:type="dxa"/>
            <w:tcBorders>
              <w:left w:val="single" w:sz="4" w:space="0" w:color="auto"/>
              <w:bottom w:val="single" w:sz="4" w:space="0" w:color="auto"/>
              <w:right w:val="single" w:sz="4" w:space="0" w:color="auto"/>
            </w:tcBorders>
          </w:tcPr>
          <w:p w:rsidR="006D6036" w:rsidRPr="006D6036" w:rsidRDefault="006D6036" w:rsidP="0088378B">
            <w:pPr>
              <w:spacing w:line="360" w:lineRule="auto"/>
              <w:jc w:val="both"/>
              <w:rPr>
                <w:rFonts w:ascii="Times New Roman" w:hAnsi="Times New Roman" w:cs="Times New Roman"/>
                <w:sz w:val="24"/>
                <w:lang w:val="en-IN"/>
              </w:rPr>
            </w:pPr>
            <w:r w:rsidRPr="006D6036">
              <w:rPr>
                <w:rFonts w:ascii="Times New Roman" w:hAnsi="Times New Roman" w:cs="Times New Roman"/>
                <w:sz w:val="24"/>
                <w:lang w:val="en-IN"/>
              </w:rPr>
              <w:t>TOTAL</w:t>
            </w:r>
          </w:p>
        </w:tc>
        <w:tc>
          <w:tcPr>
            <w:tcW w:w="4809" w:type="dxa"/>
            <w:gridSpan w:val="2"/>
            <w:tcBorders>
              <w:left w:val="single" w:sz="4" w:space="0" w:color="auto"/>
              <w:bottom w:val="single" w:sz="4" w:space="0" w:color="auto"/>
              <w:right w:val="single" w:sz="4" w:space="0" w:color="auto"/>
            </w:tcBorders>
          </w:tcPr>
          <w:p w:rsidR="006D6036" w:rsidRDefault="006D6036" w:rsidP="0088378B">
            <w:pPr>
              <w:spacing w:line="360" w:lineRule="auto"/>
              <w:ind w:left="307"/>
              <w:jc w:val="both"/>
              <w:rPr>
                <w:rFonts w:ascii="Times New Roman" w:hAnsi="Times New Roman" w:cs="Times New Roman"/>
                <w:b/>
                <w:sz w:val="24"/>
                <w:lang w:val="en-IN"/>
              </w:rPr>
            </w:pPr>
          </w:p>
        </w:tc>
        <w:tc>
          <w:tcPr>
            <w:tcW w:w="3173" w:type="dxa"/>
            <w:tcBorders>
              <w:left w:val="single" w:sz="4" w:space="0" w:color="auto"/>
              <w:bottom w:val="single" w:sz="4" w:space="0" w:color="auto"/>
              <w:right w:val="single" w:sz="4" w:space="0" w:color="auto"/>
            </w:tcBorders>
          </w:tcPr>
          <w:p w:rsidR="006D6036" w:rsidRDefault="00E42052" w:rsidP="0088378B">
            <w:pPr>
              <w:spacing w:line="360" w:lineRule="auto"/>
              <w:ind w:left="307"/>
              <w:jc w:val="both"/>
              <w:rPr>
                <w:rFonts w:ascii="Times New Roman" w:hAnsi="Times New Roman" w:cs="Times New Roman"/>
                <w:b/>
                <w:sz w:val="24"/>
                <w:lang w:val="en-IN"/>
              </w:rPr>
            </w:pPr>
            <w:r>
              <w:rPr>
                <w:rFonts w:ascii="Times New Roman" w:hAnsi="Times New Roman" w:cs="Times New Roman"/>
                <w:b/>
                <w:sz w:val="24"/>
                <w:lang w:val="en-IN"/>
              </w:rPr>
              <w:t>9,43, 888</w:t>
            </w:r>
          </w:p>
        </w:tc>
      </w:tr>
      <w:tr w:rsidR="006D6036" w:rsidTr="00A2017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872"/>
        </w:trPr>
        <w:tc>
          <w:tcPr>
            <w:tcW w:w="1408" w:type="dxa"/>
          </w:tcPr>
          <w:p w:rsidR="006D6036" w:rsidRPr="006D6036" w:rsidRDefault="006D6036" w:rsidP="0088378B">
            <w:pPr>
              <w:spacing w:line="360" w:lineRule="auto"/>
              <w:ind w:left="-10"/>
              <w:jc w:val="both"/>
              <w:rPr>
                <w:rFonts w:ascii="Times New Roman" w:hAnsi="Times New Roman" w:cs="Times New Roman"/>
                <w:sz w:val="24"/>
                <w:lang w:val="en-IN"/>
              </w:rPr>
            </w:pPr>
            <w:r w:rsidRPr="006D6036">
              <w:rPr>
                <w:rFonts w:ascii="Times New Roman" w:hAnsi="Times New Roman" w:cs="Times New Roman"/>
                <w:sz w:val="24"/>
                <w:lang w:val="en-IN"/>
              </w:rPr>
              <w:t>`Initially investment</w:t>
            </w:r>
          </w:p>
        </w:tc>
        <w:tc>
          <w:tcPr>
            <w:tcW w:w="4809" w:type="dxa"/>
            <w:gridSpan w:val="2"/>
          </w:tcPr>
          <w:p w:rsidR="006D6036" w:rsidRDefault="006D6036" w:rsidP="0088378B">
            <w:pPr>
              <w:spacing w:line="360" w:lineRule="auto"/>
              <w:ind w:left="-10"/>
              <w:jc w:val="both"/>
              <w:rPr>
                <w:rFonts w:ascii="Times New Roman" w:hAnsi="Times New Roman" w:cs="Times New Roman"/>
                <w:b/>
                <w:sz w:val="24"/>
                <w:lang w:val="en-IN"/>
              </w:rPr>
            </w:pPr>
          </w:p>
        </w:tc>
        <w:tc>
          <w:tcPr>
            <w:tcW w:w="3173" w:type="dxa"/>
          </w:tcPr>
          <w:p w:rsidR="006D6036" w:rsidRDefault="006D6036" w:rsidP="0088378B">
            <w:pPr>
              <w:spacing w:line="360" w:lineRule="auto"/>
              <w:ind w:left="-10"/>
              <w:jc w:val="both"/>
              <w:rPr>
                <w:rFonts w:ascii="Times New Roman" w:hAnsi="Times New Roman" w:cs="Times New Roman"/>
                <w:b/>
                <w:sz w:val="24"/>
                <w:lang w:val="en-IN"/>
              </w:rPr>
            </w:pPr>
            <w:r>
              <w:rPr>
                <w:rFonts w:ascii="Times New Roman" w:hAnsi="Times New Roman" w:cs="Times New Roman"/>
                <w:b/>
                <w:sz w:val="24"/>
                <w:lang w:val="en-IN"/>
              </w:rPr>
              <w:t>10,00,000</w:t>
            </w:r>
          </w:p>
        </w:tc>
      </w:tr>
      <w:tr w:rsidR="006D6036" w:rsidTr="00A2017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872"/>
        </w:trPr>
        <w:tc>
          <w:tcPr>
            <w:tcW w:w="1408" w:type="dxa"/>
          </w:tcPr>
          <w:p w:rsidR="006D6036" w:rsidRPr="006D6036" w:rsidRDefault="006D6036" w:rsidP="0088378B">
            <w:pPr>
              <w:spacing w:line="360" w:lineRule="auto"/>
              <w:ind w:left="-10"/>
              <w:jc w:val="both"/>
              <w:rPr>
                <w:rFonts w:ascii="Times New Roman" w:hAnsi="Times New Roman" w:cs="Times New Roman"/>
                <w:sz w:val="24"/>
                <w:lang w:val="en-IN"/>
              </w:rPr>
            </w:pPr>
            <w:r>
              <w:rPr>
                <w:rFonts w:ascii="Times New Roman" w:hAnsi="Times New Roman" w:cs="Times New Roman"/>
                <w:sz w:val="24"/>
                <w:lang w:val="en-IN"/>
              </w:rPr>
              <w:t>Total NPV</w:t>
            </w:r>
          </w:p>
        </w:tc>
        <w:tc>
          <w:tcPr>
            <w:tcW w:w="4809" w:type="dxa"/>
            <w:gridSpan w:val="2"/>
          </w:tcPr>
          <w:p w:rsidR="006D6036" w:rsidRDefault="006D6036" w:rsidP="0088378B">
            <w:pPr>
              <w:spacing w:line="360" w:lineRule="auto"/>
              <w:ind w:left="-10"/>
              <w:jc w:val="both"/>
              <w:rPr>
                <w:rFonts w:ascii="Times New Roman" w:hAnsi="Times New Roman" w:cs="Times New Roman"/>
                <w:b/>
                <w:sz w:val="24"/>
                <w:lang w:val="en-IN"/>
              </w:rPr>
            </w:pPr>
          </w:p>
        </w:tc>
        <w:tc>
          <w:tcPr>
            <w:tcW w:w="3173" w:type="dxa"/>
          </w:tcPr>
          <w:p w:rsidR="006D6036" w:rsidRPr="00E42052" w:rsidRDefault="00E42052" w:rsidP="0088378B">
            <w:pPr>
              <w:spacing w:line="360" w:lineRule="auto"/>
              <w:jc w:val="both"/>
              <w:rPr>
                <w:rFonts w:ascii="Times New Roman" w:hAnsi="Times New Roman" w:cs="Times New Roman"/>
                <w:b/>
                <w:sz w:val="24"/>
                <w:lang w:val="en-IN"/>
              </w:rPr>
            </w:pPr>
            <w:r w:rsidRPr="00E42052">
              <w:rPr>
                <w:rFonts w:ascii="Times New Roman" w:hAnsi="Times New Roman" w:cs="Times New Roman"/>
                <w:b/>
                <w:sz w:val="24"/>
                <w:lang w:val="en-IN"/>
              </w:rPr>
              <w:t>-56, 112</w:t>
            </w:r>
          </w:p>
        </w:tc>
      </w:tr>
    </w:tbl>
    <w:p w:rsidR="006D6036" w:rsidRDefault="006D6036" w:rsidP="0088378B">
      <w:pPr>
        <w:spacing w:line="360" w:lineRule="auto"/>
        <w:jc w:val="both"/>
        <w:rPr>
          <w:rFonts w:ascii="Times New Roman" w:hAnsi="Times New Roman" w:cs="Times New Roman"/>
          <w:sz w:val="24"/>
          <w:lang w:val="en-IN"/>
        </w:rPr>
      </w:pPr>
    </w:p>
    <w:p w:rsidR="005C3256" w:rsidRPr="003D1766" w:rsidRDefault="005C3256" w:rsidP="0088378B">
      <w:pPr>
        <w:spacing w:line="360" w:lineRule="auto"/>
        <w:jc w:val="both"/>
        <w:rPr>
          <w:rFonts w:ascii="Times New Roman" w:hAnsi="Times New Roman" w:cs="Times New Roman"/>
          <w:sz w:val="24"/>
          <w:lang w:val="en-IN"/>
        </w:rPr>
      </w:pPr>
      <w:r>
        <w:rPr>
          <w:rFonts w:ascii="Times New Roman" w:hAnsi="Times New Roman" w:cs="Times New Roman"/>
          <w:sz w:val="24"/>
          <w:lang w:val="en-IN"/>
        </w:rPr>
        <w:t>Discount factor 6% so NPV £7, 47,608, when assuming discount factor 34% there NPV £-56,112.</w:t>
      </w:r>
    </w:p>
    <w:p w:rsidR="006D6036" w:rsidRDefault="00E42052" w:rsidP="0088378B">
      <w:pPr>
        <w:spacing w:line="360" w:lineRule="auto"/>
        <w:jc w:val="both"/>
        <w:rPr>
          <w:rFonts w:ascii="Times New Roman" w:hAnsi="Times New Roman" w:cs="Times New Roman"/>
          <w:b/>
          <w:sz w:val="24"/>
          <w:szCs w:val="24"/>
          <w:lang w:val="en-IN"/>
        </w:rPr>
      </w:pPr>
      <w:r>
        <w:rPr>
          <w:rFonts w:ascii="Times New Roman" w:hAnsi="Times New Roman" w:cs="Times New Roman"/>
          <w:b/>
          <w:sz w:val="24"/>
          <w:szCs w:val="24"/>
          <w:lang w:val="en-IN"/>
        </w:rPr>
        <w:t>Calculation:-</w:t>
      </w:r>
    </w:p>
    <w:p w:rsidR="00531D9F" w:rsidRPr="00531D9F" w:rsidRDefault="00531D9F" w:rsidP="0088378B">
      <w:pPr>
        <w:spacing w:line="360" w:lineRule="auto"/>
        <w:jc w:val="both"/>
        <w:rPr>
          <w:rFonts w:ascii="Times New Roman" w:eastAsiaTheme="minorEastAsia" w:hAnsi="Times New Roman" w:cs="Times New Roman"/>
          <w:b/>
          <w:sz w:val="24"/>
          <w:szCs w:val="24"/>
          <w:lang w:val="en-IN"/>
        </w:rPr>
      </w:pPr>
      <m:oMathPara>
        <m:oMath>
          <m:r>
            <m:rPr>
              <m:sty m:val="bi"/>
            </m:rPr>
            <w:rPr>
              <w:rFonts w:ascii="Cambria Math" w:hAnsi="Cambria Math" w:cs="Times New Roman"/>
              <w:sz w:val="24"/>
              <w:szCs w:val="24"/>
              <w:lang w:val="en-IN"/>
            </w:rPr>
            <m:t>IRR=6%+(</m:t>
          </m:r>
          <m:f>
            <m:fPr>
              <m:ctrlPr>
                <w:rPr>
                  <w:rFonts w:ascii="Cambria Math" w:hAnsi="Cambria Math" w:cs="Times New Roman"/>
                  <w:b/>
                  <w:i/>
                  <w:sz w:val="24"/>
                  <w:szCs w:val="24"/>
                  <w:lang w:val="en-IN"/>
                </w:rPr>
              </m:ctrlPr>
            </m:fPr>
            <m:num>
              <m:r>
                <m:rPr>
                  <m:sty m:val="bi"/>
                </m:rPr>
                <w:rPr>
                  <w:rFonts w:ascii="Cambria Math" w:hAnsi="Cambria Math" w:cs="Times New Roman"/>
                  <w:sz w:val="24"/>
                  <w:szCs w:val="24"/>
                  <w:lang w:val="en-IN"/>
                </w:rPr>
                <m:t>7,47,608</m:t>
              </m:r>
            </m:num>
            <m:den>
              <m:r>
                <m:rPr>
                  <m:sty m:val="bi"/>
                </m:rPr>
                <w:rPr>
                  <w:rFonts w:ascii="Cambria Math" w:hAnsi="Cambria Math" w:cs="Times New Roman"/>
                  <w:sz w:val="24"/>
                  <w:szCs w:val="24"/>
                  <w:lang w:val="en-IN"/>
                </w:rPr>
                <m:t>7,47,608-</m:t>
              </m:r>
              <m:d>
                <m:dPr>
                  <m:ctrlPr>
                    <w:rPr>
                      <w:rFonts w:ascii="Cambria Math" w:hAnsi="Cambria Math" w:cs="Times New Roman"/>
                      <w:b/>
                      <w:i/>
                      <w:sz w:val="24"/>
                      <w:szCs w:val="24"/>
                      <w:lang w:val="en-IN"/>
                    </w:rPr>
                  </m:ctrlPr>
                </m:dPr>
                <m:e>
                  <m:r>
                    <m:rPr>
                      <m:sty m:val="bi"/>
                    </m:rPr>
                    <w:rPr>
                      <w:rFonts w:ascii="Cambria Math" w:hAnsi="Cambria Math" w:cs="Times New Roman"/>
                      <w:sz w:val="24"/>
                      <w:szCs w:val="24"/>
                      <w:lang w:val="en-IN"/>
                    </w:rPr>
                    <m:t>-56,112</m:t>
                  </m:r>
                </m:e>
              </m:d>
            </m:den>
          </m:f>
          <m:r>
            <m:rPr>
              <m:sty m:val="bi"/>
            </m:rPr>
            <w:rPr>
              <w:rFonts w:ascii="Cambria Math" w:hAnsi="Cambria Math" w:cs="Times New Roman"/>
              <w:sz w:val="24"/>
              <w:szCs w:val="24"/>
              <w:lang w:val="en-IN"/>
            </w:rPr>
            <m:t xml:space="preserve"> X </m:t>
          </m:r>
          <m:d>
            <m:dPr>
              <m:ctrlPr>
                <w:rPr>
                  <w:rFonts w:ascii="Cambria Math" w:hAnsi="Cambria Math" w:cs="Times New Roman"/>
                  <w:b/>
                  <w:i/>
                  <w:sz w:val="24"/>
                  <w:szCs w:val="24"/>
                  <w:lang w:val="en-IN"/>
                </w:rPr>
              </m:ctrlPr>
            </m:dPr>
            <m:e>
              <m:r>
                <m:rPr>
                  <m:sty m:val="bi"/>
                </m:rPr>
                <w:rPr>
                  <w:rFonts w:ascii="Cambria Math" w:hAnsi="Cambria Math" w:cs="Times New Roman"/>
                  <w:sz w:val="24"/>
                  <w:szCs w:val="24"/>
                  <w:lang w:val="en-IN"/>
                </w:rPr>
                <m:t>34%-6%</m:t>
              </m:r>
            </m:e>
          </m:d>
          <m:r>
            <m:rPr>
              <m:sty m:val="bi"/>
            </m:rPr>
            <w:rPr>
              <w:rFonts w:ascii="Cambria Math" w:hAnsi="Cambria Math" w:cs="Times New Roman"/>
              <w:sz w:val="24"/>
              <w:szCs w:val="24"/>
              <w:lang w:val="en-IN"/>
            </w:rPr>
            <m:t>)</m:t>
          </m:r>
        </m:oMath>
      </m:oMathPara>
    </w:p>
    <w:p w:rsidR="00E42052" w:rsidRDefault="00C2275F" w:rsidP="0088378B">
      <w:pPr>
        <w:spacing w:line="360" w:lineRule="auto"/>
        <w:jc w:val="both"/>
        <w:rPr>
          <w:rFonts w:ascii="Times New Roman" w:hAnsi="Times New Roman" w:cs="Times New Roman"/>
          <w:sz w:val="24"/>
          <w:szCs w:val="24"/>
          <w:lang w:val="en-IN"/>
        </w:rPr>
      </w:pPr>
      <w:r w:rsidRPr="00C2275F">
        <w:rPr>
          <w:rFonts w:ascii="Times New Roman" w:hAnsi="Times New Roman" w:cs="Times New Roman"/>
          <w:sz w:val="24"/>
          <w:szCs w:val="24"/>
          <w:lang w:val="en-IN"/>
        </w:rPr>
        <w:t xml:space="preserve">                                    =</w:t>
      </w:r>
      <w:r w:rsidR="005C3256">
        <w:rPr>
          <w:rFonts w:ascii="Times New Roman" w:hAnsi="Times New Roman" w:cs="Times New Roman"/>
          <w:sz w:val="24"/>
          <w:szCs w:val="24"/>
          <w:lang w:val="en-IN"/>
        </w:rPr>
        <w:t xml:space="preserve"> 32.045</w:t>
      </w:r>
      <w:r w:rsidRPr="00C2275F">
        <w:rPr>
          <w:rFonts w:ascii="Times New Roman" w:hAnsi="Times New Roman" w:cs="Times New Roman"/>
          <w:sz w:val="24"/>
          <w:szCs w:val="24"/>
          <w:lang w:val="en-IN"/>
        </w:rPr>
        <w:t>%</w:t>
      </w:r>
    </w:p>
    <w:p w:rsidR="000C31C3" w:rsidRPr="00114968" w:rsidRDefault="000C31C3" w:rsidP="0088378B">
      <w:pPr>
        <w:pStyle w:val="Heading2"/>
        <w:spacing w:line="360" w:lineRule="auto"/>
        <w:jc w:val="both"/>
        <w:rPr>
          <w:rFonts w:ascii="Times New Roman" w:hAnsi="Times New Roman" w:cs="Times New Roman"/>
          <w:b/>
          <w:color w:val="auto"/>
          <w:sz w:val="28"/>
          <w:lang w:val="en-IN"/>
        </w:rPr>
      </w:pPr>
      <w:bookmarkStart w:id="23" w:name="_Toc203646851"/>
      <w:bookmarkStart w:id="24" w:name="_Toc203731985"/>
      <w:r w:rsidRPr="001609BC">
        <w:rPr>
          <w:rFonts w:ascii="Times New Roman" w:hAnsi="Times New Roman" w:cs="Times New Roman"/>
          <w:b/>
          <w:color w:val="auto"/>
          <w:sz w:val="28"/>
          <w:lang w:val="en-IN"/>
        </w:rPr>
        <w:t>Justification</w:t>
      </w:r>
      <w:bookmarkEnd w:id="23"/>
      <w:bookmarkEnd w:id="24"/>
      <w:r w:rsidRPr="001609BC">
        <w:rPr>
          <w:rFonts w:ascii="Times New Roman" w:hAnsi="Times New Roman" w:cs="Times New Roman"/>
          <w:b/>
          <w:color w:val="auto"/>
          <w:sz w:val="28"/>
          <w:lang w:val="en-IN"/>
        </w:rPr>
        <w:t xml:space="preserve"> </w:t>
      </w:r>
      <w:r>
        <w:rPr>
          <w:rFonts w:ascii="Times New Roman" w:hAnsi="Times New Roman" w:cs="Times New Roman"/>
          <w:b/>
          <w:color w:val="auto"/>
          <w:sz w:val="28"/>
          <w:lang w:val="en-IN"/>
        </w:rPr>
        <w:t xml:space="preserve"> </w:t>
      </w:r>
    </w:p>
    <w:p w:rsidR="000C31C3" w:rsidRDefault="000C31C3" w:rsidP="0088378B">
      <w:pPr>
        <w:pStyle w:val="ListParagraph"/>
        <w:numPr>
          <w:ilvl w:val="0"/>
          <w:numId w:val="15"/>
        </w:numPr>
        <w:spacing w:line="360" w:lineRule="auto"/>
        <w:jc w:val="both"/>
        <w:rPr>
          <w:rFonts w:ascii="Times New Roman" w:hAnsi="Times New Roman" w:cs="Times New Roman"/>
          <w:sz w:val="24"/>
          <w:shd w:val="clear" w:color="auto" w:fill="FFFFFF"/>
        </w:rPr>
      </w:pPr>
      <w:r w:rsidRPr="002A0095">
        <w:rPr>
          <w:rFonts w:ascii="Times New Roman" w:hAnsi="Times New Roman" w:cs="Times New Roman"/>
          <w:sz w:val="24"/>
          <w:shd w:val="clear" w:color="auto" w:fill="FFFFFF"/>
        </w:rPr>
        <w:t>Project B appears to be the best choice economically, having call</w:t>
      </w:r>
      <w:r>
        <w:rPr>
          <w:rFonts w:ascii="Times New Roman" w:hAnsi="Times New Roman" w:cs="Times New Roman"/>
          <w:sz w:val="24"/>
          <w:shd w:val="clear" w:color="auto" w:fill="FFFFFF"/>
        </w:rPr>
        <w:t>ed a profitability index of 1.74</w:t>
      </w:r>
      <w:r w:rsidRPr="002A0095">
        <w:rPr>
          <w:rFonts w:ascii="Times New Roman" w:hAnsi="Times New Roman" w:cs="Times New Roman"/>
          <w:sz w:val="24"/>
          <w:shd w:val="clear" w:color="auto" w:fill="FFFFFF"/>
        </w:rPr>
        <w:t>, and net present value of £747,608, meaning it creates substantial value for every pound spent. Furthermore, Project B has an attractive risk-adjusted return. It has an internal ra</w:t>
      </w:r>
      <w:r>
        <w:rPr>
          <w:rFonts w:ascii="Times New Roman" w:hAnsi="Times New Roman" w:cs="Times New Roman"/>
          <w:sz w:val="24"/>
          <w:shd w:val="clear" w:color="auto" w:fill="FFFFFF"/>
        </w:rPr>
        <w:t>te of return of approximately 32.04</w:t>
      </w:r>
      <w:r w:rsidRPr="002A0095">
        <w:rPr>
          <w:rFonts w:ascii="Times New Roman" w:hAnsi="Times New Roman" w:cs="Times New Roman"/>
          <w:sz w:val="24"/>
          <w:shd w:val="clear" w:color="auto" w:fill="FFFFFF"/>
        </w:rPr>
        <w:t>%, which is higher than the cost of capital of 6% (Brealey, Myers &amp; Allen, 2020).</w:t>
      </w:r>
      <w:r>
        <w:rPr>
          <w:rFonts w:ascii="Times New Roman" w:hAnsi="Times New Roman" w:cs="Times New Roman"/>
          <w:sz w:val="24"/>
          <w:shd w:val="clear" w:color="auto" w:fill="FFFFFF"/>
        </w:rPr>
        <w:t xml:space="preserve"> </w:t>
      </w:r>
      <w:r w:rsidRPr="002A0095">
        <w:rPr>
          <w:rFonts w:ascii="Times New Roman" w:hAnsi="Times New Roman" w:cs="Times New Roman"/>
          <w:sz w:val="24"/>
          <w:shd w:val="clear" w:color="auto" w:fill="FFFFFF"/>
        </w:rPr>
        <w:t>Strategically, diversifying into e-commerce fits with current consumer behaviour and allows Jordons Plc to reach new customers and markets at lower levels of fixed costs. Further, this project is also likely to require less implementation risk than others are, as it aligns well with current operations (Atrill &amp; McLaney, 2021).</w:t>
      </w:r>
      <w:r>
        <w:rPr>
          <w:rFonts w:ascii="Times New Roman" w:hAnsi="Times New Roman" w:cs="Times New Roman"/>
          <w:sz w:val="24"/>
          <w:shd w:val="clear" w:color="auto" w:fill="FFFFFF"/>
        </w:rPr>
        <w:t xml:space="preserve"> </w:t>
      </w:r>
    </w:p>
    <w:p w:rsidR="000C31C3" w:rsidRDefault="000C31C3" w:rsidP="0088378B">
      <w:pPr>
        <w:pStyle w:val="ListParagraph"/>
        <w:numPr>
          <w:ilvl w:val="0"/>
          <w:numId w:val="15"/>
        </w:numPr>
        <w:spacing w:line="360" w:lineRule="auto"/>
        <w:jc w:val="both"/>
        <w:rPr>
          <w:rFonts w:ascii="Times New Roman" w:hAnsi="Times New Roman" w:cs="Times New Roman"/>
          <w:sz w:val="24"/>
          <w:shd w:val="clear" w:color="auto" w:fill="FFFFFF"/>
        </w:rPr>
      </w:pPr>
      <w:r w:rsidRPr="000A6BF4">
        <w:rPr>
          <w:rFonts w:ascii="Times New Roman" w:hAnsi="Times New Roman" w:cs="Times New Roman"/>
          <w:sz w:val="24"/>
          <w:shd w:val="clear" w:color="auto" w:fill="FFFFFF"/>
        </w:rPr>
        <w:t>Project A (expansion into retail outlets) has the least capital outlay (£600,000) and ca</w:t>
      </w:r>
      <w:r>
        <w:rPr>
          <w:rFonts w:ascii="Times New Roman" w:hAnsi="Times New Roman" w:cs="Times New Roman"/>
          <w:sz w:val="24"/>
          <w:shd w:val="clear" w:color="auto" w:fill="FFFFFF"/>
        </w:rPr>
        <w:t>rries a positive NPV of £394,320</w:t>
      </w:r>
      <w:r w:rsidRPr="000A6BF4">
        <w:rPr>
          <w:rFonts w:ascii="Times New Roman" w:hAnsi="Times New Roman" w:cs="Times New Roman"/>
          <w:sz w:val="24"/>
          <w:shd w:val="clear" w:color="auto" w:fill="FFFFFF"/>
        </w:rPr>
        <w:t xml:space="preserve">, but it is the least scalable option and geographically limited. The reliance on footfall presents long-term sustainability issues - particularly when consumer preferences are still shifting to online purchasing from physical, and when the profitability of just extending from one retail unit is marginally lower than the strategic importance of building digital capabilities (Drury, 2018). </w:t>
      </w:r>
      <w:r>
        <w:rPr>
          <w:rFonts w:ascii="Times New Roman" w:hAnsi="Times New Roman" w:cs="Times New Roman"/>
          <w:sz w:val="24"/>
          <w:shd w:val="clear" w:color="auto" w:fill="FFFFFF"/>
        </w:rPr>
        <w:t>The profitability index is 1.65</w:t>
      </w:r>
      <w:r w:rsidRPr="000A6BF4">
        <w:rPr>
          <w:rFonts w:ascii="Times New Roman" w:hAnsi="Times New Roman" w:cs="Times New Roman"/>
          <w:sz w:val="24"/>
          <w:shd w:val="clear" w:color="auto" w:fill="FFFFFF"/>
        </w:rPr>
        <w:t>, which is acceptable but less than the projected profitability index in project B.</w:t>
      </w:r>
    </w:p>
    <w:p w:rsidR="000C31C3" w:rsidRPr="00585539" w:rsidRDefault="000C31C3" w:rsidP="0088378B">
      <w:pPr>
        <w:pStyle w:val="ListParagraph"/>
        <w:numPr>
          <w:ilvl w:val="0"/>
          <w:numId w:val="15"/>
        </w:numPr>
        <w:spacing w:line="360" w:lineRule="auto"/>
        <w:jc w:val="both"/>
        <w:rPr>
          <w:rFonts w:ascii="Times New Roman" w:hAnsi="Times New Roman" w:cs="Times New Roman"/>
          <w:sz w:val="24"/>
          <w:shd w:val="clear" w:color="auto" w:fill="FFFFFF"/>
        </w:rPr>
      </w:pPr>
      <w:r w:rsidRPr="00372D19">
        <w:rPr>
          <w:rFonts w:ascii="Times New Roman" w:hAnsi="Times New Roman" w:cs="Times New Roman"/>
          <w:sz w:val="24"/>
          <w:shd w:val="clear" w:color="auto" w:fill="FFFFFF"/>
        </w:rPr>
        <w:t>Project C (the expansion into curtains and Rom</w:t>
      </w:r>
      <w:r>
        <w:rPr>
          <w:rFonts w:ascii="Times New Roman" w:hAnsi="Times New Roman" w:cs="Times New Roman"/>
          <w:sz w:val="24"/>
          <w:shd w:val="clear" w:color="auto" w:fill="FFFFFF"/>
        </w:rPr>
        <w:t>an blinds) has a NPV of £615533</w:t>
      </w:r>
      <w:r w:rsidRPr="00372D19">
        <w:rPr>
          <w:rFonts w:ascii="Times New Roman" w:hAnsi="Times New Roman" w:cs="Times New Roman"/>
          <w:sz w:val="24"/>
          <w:shd w:val="clear" w:color="auto" w:fill="FFFFFF"/>
        </w:rPr>
        <w:t xml:space="preserve">, which is high relative to other projects; however, it requires the largest initial investment (£1.6 million) and has the </w:t>
      </w:r>
      <w:r>
        <w:rPr>
          <w:rFonts w:ascii="Times New Roman" w:hAnsi="Times New Roman" w:cs="Times New Roman"/>
          <w:sz w:val="24"/>
          <w:shd w:val="clear" w:color="auto" w:fill="FFFFFF"/>
        </w:rPr>
        <w:t>lowest profitability index (1.40</w:t>
      </w:r>
      <w:r w:rsidRPr="00372D19">
        <w:rPr>
          <w:rFonts w:ascii="Times New Roman" w:hAnsi="Times New Roman" w:cs="Times New Roman"/>
          <w:sz w:val="24"/>
          <w:shd w:val="clear" w:color="auto" w:fill="FFFFFF"/>
        </w:rPr>
        <w:t>). Shifting into soft furnishings introduces new dynamics with respect to design, production, and supply chain operations, increasing the complexity of operations and diluting focus. Jordons Plc has a core competency around high-quality wooden blinds, and potentially diversifying (furniture, curtains, Roman blinds) is contrary to the core competency of their brand, and may affect other areas within their business (Kaplan &amp; Atkinson, 2015). There are also addition risks simply relating to the requirement of new materials, equipment, and people.</w:t>
      </w:r>
    </w:p>
    <w:p w:rsidR="00C2275F" w:rsidRDefault="00C2275F" w:rsidP="0088378B">
      <w:pPr>
        <w:pStyle w:val="Heading1"/>
        <w:spacing w:line="360" w:lineRule="auto"/>
        <w:rPr>
          <w:rFonts w:ascii="Times New Roman" w:hAnsi="Times New Roman" w:cs="Times New Roman"/>
          <w:b/>
          <w:color w:val="auto"/>
          <w:lang w:val="en-IN"/>
        </w:rPr>
      </w:pPr>
      <w:bookmarkStart w:id="25" w:name="_Toc203646852"/>
      <w:bookmarkStart w:id="26" w:name="_Toc203731986"/>
      <w:r w:rsidRPr="00C2275F">
        <w:rPr>
          <w:rFonts w:ascii="Times New Roman" w:hAnsi="Times New Roman" w:cs="Times New Roman"/>
          <w:b/>
          <w:color w:val="auto"/>
          <w:lang w:val="en-IN"/>
        </w:rPr>
        <w:t>Interpretation and discussion</w:t>
      </w:r>
      <w:bookmarkEnd w:id="25"/>
      <w:bookmarkEnd w:id="26"/>
    </w:p>
    <w:p w:rsidR="0004457A" w:rsidRDefault="0004457A" w:rsidP="0088378B">
      <w:pPr>
        <w:spacing w:line="360" w:lineRule="auto"/>
        <w:jc w:val="both"/>
        <w:rPr>
          <w:rFonts w:ascii="Times New Roman" w:hAnsi="Times New Roman" w:cs="Times New Roman"/>
          <w:sz w:val="24"/>
          <w:szCs w:val="24"/>
          <w:lang w:val="en-IN"/>
        </w:rPr>
      </w:pPr>
      <w:r w:rsidRPr="0004457A">
        <w:rPr>
          <w:rFonts w:ascii="Times New Roman" w:hAnsi="Times New Roman" w:cs="Times New Roman"/>
          <w:sz w:val="24"/>
          <w:szCs w:val="24"/>
          <w:lang w:val="en-IN"/>
        </w:rPr>
        <w:t xml:space="preserve">The investment appraisal results show that, compared to the other two projects, Project B - the internet sales </w:t>
      </w:r>
      <w:r w:rsidR="007D4712">
        <w:rPr>
          <w:rFonts w:ascii="Times New Roman" w:hAnsi="Times New Roman" w:cs="Times New Roman"/>
          <w:sz w:val="24"/>
          <w:szCs w:val="24"/>
          <w:lang w:val="en-IN"/>
        </w:rPr>
        <w:t>(</w:t>
      </w:r>
      <w:r w:rsidRPr="0004457A">
        <w:rPr>
          <w:rFonts w:ascii="Times New Roman" w:hAnsi="Times New Roman" w:cs="Times New Roman"/>
          <w:sz w:val="24"/>
          <w:szCs w:val="24"/>
          <w:lang w:val="en-IN"/>
        </w:rPr>
        <w:t>development project</w:t>
      </w:r>
      <w:r w:rsidR="007D4712">
        <w:rPr>
          <w:rFonts w:ascii="Times New Roman" w:hAnsi="Times New Roman" w:cs="Times New Roman"/>
          <w:sz w:val="24"/>
          <w:szCs w:val="24"/>
          <w:lang w:val="en-IN"/>
        </w:rPr>
        <w:t>)</w:t>
      </w:r>
      <w:r w:rsidRPr="0004457A">
        <w:rPr>
          <w:rFonts w:ascii="Times New Roman" w:hAnsi="Times New Roman" w:cs="Times New Roman"/>
          <w:sz w:val="24"/>
          <w:szCs w:val="24"/>
          <w:lang w:val="en-IN"/>
        </w:rPr>
        <w:t xml:space="preserve"> - has the highest return, with an </w:t>
      </w:r>
      <w:r w:rsidR="00273A77">
        <w:rPr>
          <w:rFonts w:ascii="Times New Roman" w:hAnsi="Times New Roman" w:cs="Times New Roman"/>
          <w:sz w:val="24"/>
          <w:szCs w:val="24"/>
          <w:lang w:val="en-IN"/>
        </w:rPr>
        <w:t>NPV of £747,607 and a PI of 1.7a</w:t>
      </w:r>
      <w:r w:rsidRPr="0004457A">
        <w:rPr>
          <w:rFonts w:ascii="Times New Roman" w:hAnsi="Times New Roman" w:cs="Times New Roman"/>
          <w:sz w:val="24"/>
          <w:szCs w:val="24"/>
          <w:lang w:val="en-IN"/>
        </w:rPr>
        <w:t>. This means that for every £1 invested the company creat</w:t>
      </w:r>
      <w:r w:rsidR="00273A77">
        <w:rPr>
          <w:rFonts w:ascii="Times New Roman" w:hAnsi="Times New Roman" w:cs="Times New Roman"/>
          <w:sz w:val="24"/>
          <w:szCs w:val="24"/>
          <w:lang w:val="en-IN"/>
        </w:rPr>
        <w:t>es £ 1.74</w:t>
      </w:r>
      <w:r w:rsidRPr="0004457A">
        <w:rPr>
          <w:rFonts w:ascii="Times New Roman" w:hAnsi="Times New Roman" w:cs="Times New Roman"/>
          <w:sz w:val="24"/>
          <w:szCs w:val="24"/>
          <w:lang w:val="en-IN"/>
        </w:rPr>
        <w:t xml:space="preserve"> of value. In </w:t>
      </w:r>
      <w:r w:rsidR="007D4712" w:rsidRPr="0004457A">
        <w:rPr>
          <w:rFonts w:ascii="Times New Roman" w:hAnsi="Times New Roman" w:cs="Times New Roman"/>
          <w:sz w:val="24"/>
          <w:szCs w:val="24"/>
          <w:lang w:val="en-IN"/>
        </w:rPr>
        <w:t>summary,</w:t>
      </w:r>
      <w:r w:rsidRPr="0004457A">
        <w:rPr>
          <w:rFonts w:ascii="Times New Roman" w:hAnsi="Times New Roman" w:cs="Times New Roman"/>
          <w:sz w:val="24"/>
          <w:szCs w:val="24"/>
          <w:lang w:val="en-IN"/>
        </w:rPr>
        <w:t xml:space="preserve"> this suggests that the IRR of the project is around 30.52</w:t>
      </w:r>
      <w:r w:rsidR="007D4712" w:rsidRPr="0004457A">
        <w:rPr>
          <w:rFonts w:ascii="Times New Roman" w:hAnsi="Times New Roman" w:cs="Times New Roman"/>
          <w:sz w:val="24"/>
          <w:szCs w:val="24"/>
          <w:lang w:val="en-IN"/>
        </w:rPr>
        <w:t>%, which</w:t>
      </w:r>
      <w:r w:rsidRPr="0004457A">
        <w:rPr>
          <w:rFonts w:ascii="Times New Roman" w:hAnsi="Times New Roman" w:cs="Times New Roman"/>
          <w:sz w:val="24"/>
          <w:szCs w:val="24"/>
          <w:lang w:val="en-IN"/>
        </w:rPr>
        <w:t xml:space="preserve"> is far above the assumed cost of capital of 6%, and therefore strengthens and sustains the </w:t>
      </w:r>
      <w:r w:rsidR="007D4712" w:rsidRPr="0004457A">
        <w:rPr>
          <w:rFonts w:ascii="Times New Roman" w:hAnsi="Times New Roman" w:cs="Times New Roman"/>
          <w:sz w:val="24"/>
          <w:szCs w:val="24"/>
          <w:lang w:val="en-IN"/>
        </w:rPr>
        <w:t>risk-adjusted</w:t>
      </w:r>
      <w:r w:rsidRPr="0004457A">
        <w:rPr>
          <w:rFonts w:ascii="Times New Roman" w:hAnsi="Times New Roman" w:cs="Times New Roman"/>
          <w:sz w:val="24"/>
          <w:szCs w:val="24"/>
          <w:lang w:val="en-IN"/>
        </w:rPr>
        <w:t xml:space="preserve"> profitability of the project.</w:t>
      </w:r>
    </w:p>
    <w:p w:rsidR="0004457A" w:rsidRPr="0004457A" w:rsidRDefault="0004457A" w:rsidP="0088378B">
      <w:pPr>
        <w:spacing w:line="360" w:lineRule="auto"/>
        <w:jc w:val="both"/>
        <w:rPr>
          <w:rFonts w:ascii="Times New Roman" w:hAnsi="Times New Roman" w:cs="Times New Roman"/>
          <w:sz w:val="24"/>
          <w:szCs w:val="24"/>
          <w:lang w:val="en-IN"/>
        </w:rPr>
      </w:pPr>
      <w:r w:rsidRPr="0004457A">
        <w:rPr>
          <w:rFonts w:ascii="Times New Roman" w:hAnsi="Times New Roman" w:cs="Times New Roman"/>
          <w:sz w:val="24"/>
          <w:szCs w:val="24"/>
          <w:lang w:val="en-IN"/>
        </w:rPr>
        <w:t>Unsurprisingly, the NPV method is widely recognised and preferable in financial theory since it accounts for the time value of money, the magnitude of cash flows and the alignment of investment decisions with shareholder wealth maximisation (Brealey, Myers &amp; Allen, 2020). Non-discounting methods, such as payback, are simple and convenient, but do not provide the sophistication to assess long duration investments long-term financial viability (Atrill &amp; McLaney, 2021).</w:t>
      </w:r>
    </w:p>
    <w:p w:rsidR="00C2275F" w:rsidRDefault="0004457A" w:rsidP="0088378B">
      <w:pPr>
        <w:spacing w:line="360" w:lineRule="auto"/>
        <w:jc w:val="both"/>
        <w:rPr>
          <w:rFonts w:ascii="Times New Roman" w:hAnsi="Times New Roman" w:cs="Times New Roman"/>
          <w:sz w:val="24"/>
          <w:szCs w:val="24"/>
          <w:lang w:val="en-IN"/>
        </w:rPr>
      </w:pPr>
      <w:r w:rsidRPr="0004457A">
        <w:rPr>
          <w:rFonts w:ascii="Times New Roman" w:hAnsi="Times New Roman" w:cs="Times New Roman"/>
          <w:sz w:val="24"/>
          <w:szCs w:val="24"/>
          <w:lang w:val="en-IN"/>
        </w:rPr>
        <w:t>Even though Project C exhibits strong cash flows, the complexity of operations and lack of direct relevance to Jordons Plc’s core product line increases operational risk. Project A, although more operationally secure, provides the lowest return from the three Project proposals. Consequently, the most reasonable and financially sound decision is Project B, which has the greatest potential to be financially viable. However, it is important considerations are given to one, strategic alignment, two, capabilities for execution; and three, the funding structure provided to undertake the Project and support implementation.</w:t>
      </w:r>
    </w:p>
    <w:p w:rsidR="007D4712" w:rsidRDefault="007D4712" w:rsidP="0088378B">
      <w:pPr>
        <w:pStyle w:val="Heading1"/>
        <w:spacing w:line="360" w:lineRule="auto"/>
        <w:jc w:val="both"/>
        <w:rPr>
          <w:rFonts w:ascii="Times New Roman" w:hAnsi="Times New Roman" w:cs="Times New Roman"/>
          <w:b/>
          <w:color w:val="auto"/>
        </w:rPr>
      </w:pPr>
      <w:bookmarkStart w:id="27" w:name="_Toc203646853"/>
      <w:bookmarkStart w:id="28" w:name="_Toc203731987"/>
      <w:r w:rsidRPr="007D4712">
        <w:rPr>
          <w:rFonts w:ascii="Times New Roman" w:hAnsi="Times New Roman" w:cs="Times New Roman"/>
          <w:b/>
          <w:color w:val="auto"/>
        </w:rPr>
        <w:t>Capital</w:t>
      </w:r>
      <w:r w:rsidRPr="007D4712">
        <w:rPr>
          <w:rFonts w:ascii="Times New Roman" w:hAnsi="Times New Roman" w:cs="Times New Roman"/>
          <w:b/>
          <w:color w:val="auto"/>
        </w:rPr>
        <w:noBreakHyphen/>
        <w:t>Rationing Scenario</w:t>
      </w:r>
      <w:bookmarkEnd w:id="27"/>
      <w:bookmarkEnd w:id="28"/>
    </w:p>
    <w:p w:rsidR="007D4712" w:rsidRDefault="0045451D" w:rsidP="0088378B">
      <w:pPr>
        <w:spacing w:line="360" w:lineRule="auto"/>
        <w:jc w:val="both"/>
        <w:rPr>
          <w:rFonts w:ascii="Times New Roman" w:hAnsi="Times New Roman" w:cs="Times New Roman"/>
          <w:sz w:val="24"/>
          <w:shd w:val="clear" w:color="auto" w:fill="FFFFFF"/>
        </w:rPr>
      </w:pPr>
      <w:r w:rsidRPr="0045451D">
        <w:rPr>
          <w:rFonts w:ascii="Times New Roman" w:hAnsi="Times New Roman" w:cs="Times New Roman"/>
          <w:sz w:val="24"/>
          <w:shd w:val="clear" w:color="auto" w:fill="FFFFFF"/>
        </w:rPr>
        <w:t>Capital rationing happens when an organisation has binding constraints on its capital resources. As a result, the organisation cannot accept all investment opportunities that have a positive net present value (NPV), even though they would have positive financial implications if accepted. Therefore, the organisation must engage in prioritisation to ensure that it maximises shareholder value when funding is constrained (Arnold &amp; Lewis, 2019).</w:t>
      </w:r>
      <w:r>
        <w:rPr>
          <w:rFonts w:ascii="Times New Roman" w:hAnsi="Times New Roman" w:cs="Times New Roman"/>
          <w:sz w:val="24"/>
          <w:shd w:val="clear" w:color="auto" w:fill="FFFFFF"/>
        </w:rPr>
        <w:t xml:space="preserve"> </w:t>
      </w:r>
      <w:r w:rsidRPr="0045451D">
        <w:rPr>
          <w:rFonts w:ascii="Times New Roman" w:hAnsi="Times New Roman" w:cs="Times New Roman"/>
          <w:sz w:val="24"/>
          <w:shd w:val="clear" w:color="auto" w:fill="FFFFFF"/>
        </w:rPr>
        <w:t>In the case of Jordons Plc, they are limited to a capital budget of £2,000,000 and need to select the projects</w:t>
      </w:r>
      <w:r>
        <w:rPr>
          <w:rFonts w:ascii="Times New Roman" w:hAnsi="Times New Roman" w:cs="Times New Roman"/>
          <w:sz w:val="24"/>
          <w:shd w:val="clear" w:color="auto" w:fill="FFFFFF"/>
        </w:rPr>
        <w:t>,</w:t>
      </w:r>
      <w:r w:rsidR="00670B4D">
        <w:rPr>
          <w:rFonts w:ascii="Times New Roman" w:hAnsi="Times New Roman" w:cs="Times New Roman"/>
          <w:sz w:val="24"/>
          <w:shd w:val="clear" w:color="auto" w:fill="FFFFFF"/>
        </w:rPr>
        <w:t xml:space="preserve"> which maximis</w:t>
      </w:r>
      <w:r w:rsidRPr="0045451D">
        <w:rPr>
          <w:rFonts w:ascii="Times New Roman" w:hAnsi="Times New Roman" w:cs="Times New Roman"/>
          <w:sz w:val="24"/>
          <w:shd w:val="clear" w:color="auto" w:fill="FFFFFF"/>
        </w:rPr>
        <w:t>e the return per pound invested. In this situation, the (PI) Profitability Index works as a logical alternative to ranking the projects from most valuable to least valuable in accordance with the value created per unit of value spent.</w:t>
      </w:r>
    </w:p>
    <w:p w:rsidR="0045451D" w:rsidRDefault="00C0443E" w:rsidP="0088378B">
      <w:pPr>
        <w:spacing w:line="360" w:lineRule="auto"/>
        <w:jc w:val="both"/>
        <w:rPr>
          <w:rFonts w:ascii="Times New Roman" w:hAnsi="Times New Roman" w:cs="Times New Roman"/>
          <w:sz w:val="24"/>
        </w:rPr>
      </w:pPr>
      <w:r w:rsidRPr="00C0443E">
        <w:rPr>
          <w:rFonts w:ascii="Times New Roman" w:hAnsi="Times New Roman" w:cs="Times New Roman"/>
          <w:sz w:val="24"/>
        </w:rPr>
        <w:t>Due to the divisible nature of the investment projects, Jordons Plc can scale back its allocation in a partial manner to optimise value capture, even though it is constrained to £2 million in funding. The Profitability Inde</w:t>
      </w:r>
      <w:r>
        <w:rPr>
          <w:rFonts w:ascii="Times New Roman" w:hAnsi="Times New Roman" w:cs="Times New Roman"/>
          <w:sz w:val="24"/>
        </w:rPr>
        <w:t xml:space="preserve">x (PI), which is calculated as </w:t>
      </w:r>
      <w:r w:rsidRPr="00C0443E">
        <w:rPr>
          <w:rFonts w:ascii="Times New Roman" w:hAnsi="Times New Roman" w:cs="Times New Roman"/>
          <w:sz w:val="24"/>
        </w:rPr>
        <w:t>PI = NPV / Initial Investment, is the key ranking measure for the effective allocation of capital.</w:t>
      </w:r>
    </w:p>
    <w:p w:rsidR="00C0443E" w:rsidRPr="00C0443E" w:rsidRDefault="00C0443E" w:rsidP="0088378B">
      <w:pPr>
        <w:pStyle w:val="ds-markdown-paragraph"/>
        <w:numPr>
          <w:ilvl w:val="0"/>
          <w:numId w:val="20"/>
        </w:numPr>
        <w:shd w:val="clear" w:color="auto" w:fill="FFFFFF"/>
        <w:spacing w:before="0" w:beforeAutospacing="0" w:line="360" w:lineRule="auto"/>
      </w:pPr>
      <w:r w:rsidRPr="00C0443E">
        <w:rPr>
          <w:rStyle w:val="Strong"/>
          <w:rFonts w:eastAsiaTheme="majorEastAsia"/>
        </w:rPr>
        <w:t>Project B</w:t>
      </w:r>
      <w:r w:rsidR="00670B4D">
        <w:t>: PI = 1.74 (indicating £1.74</w:t>
      </w:r>
      <w:r w:rsidRPr="00C0443E">
        <w:t xml:space="preserve"> NPV per £1 invested)</w:t>
      </w:r>
    </w:p>
    <w:p w:rsidR="00C0443E" w:rsidRPr="00C0443E" w:rsidRDefault="00C0443E" w:rsidP="0088378B">
      <w:pPr>
        <w:pStyle w:val="ds-markdown-paragraph"/>
        <w:numPr>
          <w:ilvl w:val="0"/>
          <w:numId w:val="20"/>
        </w:numPr>
        <w:shd w:val="clear" w:color="auto" w:fill="FFFFFF"/>
        <w:spacing w:before="0" w:beforeAutospacing="0" w:line="360" w:lineRule="auto"/>
      </w:pPr>
      <w:r w:rsidRPr="00C0443E">
        <w:rPr>
          <w:rStyle w:val="Strong"/>
          <w:rFonts w:eastAsiaTheme="majorEastAsia"/>
        </w:rPr>
        <w:t>Project A</w:t>
      </w:r>
      <w:r w:rsidR="00670B4D">
        <w:t>: PI = 1.65</w:t>
      </w:r>
    </w:p>
    <w:p w:rsidR="00C0443E" w:rsidRPr="00C0443E" w:rsidRDefault="00C0443E" w:rsidP="0088378B">
      <w:pPr>
        <w:pStyle w:val="ds-markdown-paragraph"/>
        <w:numPr>
          <w:ilvl w:val="0"/>
          <w:numId w:val="20"/>
        </w:numPr>
        <w:shd w:val="clear" w:color="auto" w:fill="FFFFFF"/>
        <w:spacing w:before="0" w:beforeAutospacing="0" w:line="360" w:lineRule="auto"/>
      </w:pPr>
      <w:r w:rsidRPr="00C0443E">
        <w:rPr>
          <w:rStyle w:val="Strong"/>
          <w:rFonts w:eastAsiaTheme="majorEastAsia"/>
        </w:rPr>
        <w:t>Project C</w:t>
      </w:r>
      <w:r w:rsidR="00670B4D">
        <w:t>: PI = 1.40</w:t>
      </w:r>
    </w:p>
    <w:p w:rsidR="00F15C81" w:rsidRPr="001D766C" w:rsidRDefault="00F15C81" w:rsidP="0088378B">
      <w:pPr>
        <w:pStyle w:val="Heading2"/>
        <w:spacing w:line="360" w:lineRule="auto"/>
        <w:jc w:val="both"/>
        <w:rPr>
          <w:rFonts w:ascii="Times New Roman" w:hAnsi="Times New Roman" w:cs="Times New Roman"/>
          <w:b/>
          <w:color w:val="auto"/>
          <w:sz w:val="28"/>
          <w:shd w:val="clear" w:color="auto" w:fill="FFFFFF"/>
        </w:rPr>
      </w:pPr>
      <w:bookmarkStart w:id="29" w:name="_Toc203646854"/>
      <w:bookmarkStart w:id="30" w:name="_Toc203731988"/>
      <w:r w:rsidRPr="001D766C">
        <w:rPr>
          <w:rFonts w:ascii="Times New Roman" w:hAnsi="Times New Roman" w:cs="Times New Roman"/>
          <w:b/>
          <w:color w:val="auto"/>
          <w:sz w:val="28"/>
        </w:rPr>
        <w:t>Resulting Portfolio NPV</w:t>
      </w:r>
      <w:bookmarkEnd w:id="29"/>
      <w:bookmarkEnd w:id="30"/>
    </w:p>
    <w:p w:rsidR="00C0443E" w:rsidRPr="00F15C81" w:rsidRDefault="00F15C81" w:rsidP="0088378B">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E53D10" w:rsidRPr="00F15C81">
        <w:rPr>
          <w:rFonts w:ascii="Times New Roman" w:hAnsi="Times New Roman" w:cs="Times New Roman"/>
          <w:sz w:val="24"/>
          <w:szCs w:val="24"/>
          <w:shd w:val="clear" w:color="auto" w:fill="FFFFFF"/>
        </w:rPr>
        <w:t xml:space="preserve">he optimal investment policy prioritises projects with the highest Profitability Index (PI), resulting in: </w:t>
      </w:r>
      <w:r w:rsidR="00E53D10" w:rsidRPr="00F15C81">
        <w:rPr>
          <w:rStyle w:val="Strong"/>
          <w:rFonts w:ascii="Times New Roman" w:hAnsi="Times New Roman" w:cs="Times New Roman"/>
          <w:b w:val="0"/>
          <w:sz w:val="24"/>
          <w:szCs w:val="24"/>
          <w:shd w:val="clear" w:color="auto" w:fill="FFFFFF"/>
        </w:rPr>
        <w:t xml:space="preserve">full investment in Project B (£1,000,000), full investment in Project </w:t>
      </w:r>
      <w:r>
        <w:rPr>
          <w:rStyle w:val="Strong"/>
          <w:rFonts w:ascii="Times New Roman" w:hAnsi="Times New Roman" w:cs="Times New Roman"/>
          <w:b w:val="0"/>
          <w:sz w:val="24"/>
          <w:szCs w:val="24"/>
          <w:shd w:val="clear" w:color="auto" w:fill="FFFFFF"/>
        </w:rPr>
        <w:t>A</w:t>
      </w:r>
      <w:r w:rsidR="00E53D10" w:rsidRPr="00F15C81">
        <w:rPr>
          <w:rStyle w:val="Strong"/>
          <w:rFonts w:ascii="Times New Roman" w:hAnsi="Times New Roman" w:cs="Times New Roman"/>
          <w:b w:val="0"/>
          <w:sz w:val="24"/>
          <w:szCs w:val="24"/>
          <w:shd w:val="clear" w:color="auto" w:fill="FFFFFF"/>
        </w:rPr>
        <w:t xml:space="preserve"> (£600,000), and a partial 25% allocation to Project C (£400,000) to utilise residual capital efficiently</w:t>
      </w:r>
      <w:r w:rsidR="00E53D10" w:rsidRPr="00F15C81">
        <w:rPr>
          <w:rFonts w:ascii="Times New Roman" w:hAnsi="Times New Roman" w:cs="Times New Roman"/>
          <w:sz w:val="24"/>
          <w:szCs w:val="24"/>
          <w:shd w:val="clear" w:color="auto" w:fill="FFFFFF"/>
        </w:rPr>
        <w:t> (Arnold &amp; Lewis, 2019).</w:t>
      </w:r>
    </w:p>
    <w:p w:rsidR="00F15C81" w:rsidRDefault="00F15C81" w:rsidP="0088378B">
      <w:pPr>
        <w:pStyle w:val="NormalWeb"/>
        <w:numPr>
          <w:ilvl w:val="0"/>
          <w:numId w:val="21"/>
        </w:numPr>
        <w:spacing w:line="360" w:lineRule="auto"/>
        <w:jc w:val="both"/>
      </w:pPr>
      <w:r>
        <w:rPr>
          <w:rStyle w:val="Strong"/>
          <w:rFonts w:eastAsiaTheme="majorEastAsia"/>
        </w:rPr>
        <w:t>Project B (100%)</w:t>
      </w:r>
      <w:r>
        <w:t>: £7,47,608</w:t>
      </w:r>
    </w:p>
    <w:p w:rsidR="00F15C81" w:rsidRDefault="00F15C81" w:rsidP="0088378B">
      <w:pPr>
        <w:pStyle w:val="NormalWeb"/>
        <w:numPr>
          <w:ilvl w:val="0"/>
          <w:numId w:val="21"/>
        </w:numPr>
        <w:spacing w:line="360" w:lineRule="auto"/>
        <w:jc w:val="both"/>
      </w:pPr>
      <w:r>
        <w:rPr>
          <w:rStyle w:val="Strong"/>
          <w:rFonts w:eastAsiaTheme="majorEastAsia"/>
        </w:rPr>
        <w:t>Project A (100%)</w:t>
      </w:r>
      <w:r>
        <w:t xml:space="preserve">: </w:t>
      </w:r>
      <w:r w:rsidRPr="00F15C81">
        <w:rPr>
          <w:bCs/>
        </w:rPr>
        <w:t>£394,320</w:t>
      </w:r>
    </w:p>
    <w:p w:rsidR="00F15C81" w:rsidRDefault="00F15C81" w:rsidP="0088378B">
      <w:pPr>
        <w:pStyle w:val="NormalWeb"/>
        <w:numPr>
          <w:ilvl w:val="0"/>
          <w:numId w:val="21"/>
        </w:numPr>
        <w:spacing w:line="360" w:lineRule="auto"/>
        <w:jc w:val="both"/>
      </w:pPr>
      <w:r>
        <w:rPr>
          <w:rStyle w:val="Strong"/>
          <w:rFonts w:eastAsiaTheme="majorEastAsia"/>
        </w:rPr>
        <w:t>Project C (25%)</w:t>
      </w:r>
      <w:r>
        <w:t>: 25% × £615533 = £1,53,883</w:t>
      </w:r>
    </w:p>
    <w:p w:rsidR="00F15C81" w:rsidRDefault="00FB18E2" w:rsidP="0088378B">
      <w:pPr>
        <w:pStyle w:val="NormalWeb"/>
        <w:spacing w:line="360" w:lineRule="auto"/>
        <w:jc w:val="both"/>
        <w:rPr>
          <w:rStyle w:val="Strong"/>
          <w:rFonts w:eastAsiaTheme="majorEastAsia"/>
          <w:b w:val="0"/>
        </w:rPr>
      </w:pPr>
      <w:r>
        <w:rPr>
          <w:rStyle w:val="Strong"/>
          <w:rFonts w:eastAsiaTheme="majorEastAsia"/>
        </w:rPr>
        <w:t xml:space="preserve">→ Total Portfolio NPV = </w:t>
      </w:r>
      <w:r w:rsidRPr="00FB18E2">
        <w:rPr>
          <w:rStyle w:val="Strong"/>
          <w:rFonts w:eastAsiaTheme="majorEastAsia"/>
          <w:b w:val="0"/>
        </w:rPr>
        <w:t>£747,608 + £3, 94,320 + £1, 53,883 = £12, 95,811</w:t>
      </w:r>
    </w:p>
    <w:p w:rsidR="00FB18E2" w:rsidRDefault="00FB18E2" w:rsidP="0088378B">
      <w:pPr>
        <w:pStyle w:val="NormalWeb"/>
        <w:spacing w:line="360" w:lineRule="auto"/>
        <w:jc w:val="both"/>
      </w:pPr>
      <w:r>
        <w:t>Optimal portfolio allocation ensures that capital used most efficiently by investing in projects with the largest value per pound. It also balances strategic growth options with risk (e.g., project B is facilitating digital expansion, project A is increasing existing retail capacity, and a partial investment in project C allows some limited diversification). This structured approach allows decisions with monetary implications to be systematically aligned with the firm's goal of maximising shareholder wealth subject to funding constraints (Brealey, Myers &amp; Allen, 2020).</w:t>
      </w:r>
    </w:p>
    <w:p w:rsidR="00546538" w:rsidRDefault="00D262F7" w:rsidP="0088378B">
      <w:pPr>
        <w:pStyle w:val="Heading1"/>
        <w:spacing w:line="360" w:lineRule="auto"/>
        <w:jc w:val="both"/>
        <w:rPr>
          <w:rFonts w:ascii="Times New Roman" w:hAnsi="Times New Roman" w:cs="Times New Roman"/>
          <w:b/>
          <w:color w:val="auto"/>
        </w:rPr>
      </w:pPr>
      <w:bookmarkStart w:id="31" w:name="_Toc203646855"/>
      <w:bookmarkStart w:id="32" w:name="_Toc203731989"/>
      <w:r w:rsidRPr="00D262F7">
        <w:rPr>
          <w:rFonts w:ascii="Times New Roman" w:hAnsi="Times New Roman" w:cs="Times New Roman"/>
          <w:b/>
          <w:color w:val="auto"/>
        </w:rPr>
        <w:t>Financing programme</w:t>
      </w:r>
      <w:bookmarkEnd w:id="31"/>
      <w:bookmarkEnd w:id="32"/>
    </w:p>
    <w:p w:rsidR="00D262F7" w:rsidRPr="00D262F7" w:rsidRDefault="00D262F7" w:rsidP="0088378B">
      <w:pPr>
        <w:spacing w:line="360" w:lineRule="auto"/>
        <w:jc w:val="both"/>
        <w:rPr>
          <w:rFonts w:ascii="Times New Roman" w:hAnsi="Times New Roman" w:cs="Times New Roman"/>
          <w:sz w:val="24"/>
        </w:rPr>
      </w:pPr>
      <w:r w:rsidRPr="00D262F7">
        <w:rPr>
          <w:rFonts w:ascii="Times New Roman" w:hAnsi="Times New Roman" w:cs="Times New Roman"/>
          <w:sz w:val="24"/>
        </w:rPr>
        <w:t>In determining an appropriate method of financing to implement the ideal investment portfolio of £2,000,000, Jordons Plc needs to also ensure they are financing and managing the cost, risk, and control effectively. When addressing the cost, risk and control aspects of financing, the sources include retained earnings, debt finance, and equity finance. The sources of finance available to Jordons Plc must align to the company’s capital structure targets, financial ability, and risk tolerance.</w:t>
      </w:r>
    </w:p>
    <w:p w:rsidR="00D262F7" w:rsidRDefault="00D262F7" w:rsidP="0088378B">
      <w:pPr>
        <w:pStyle w:val="ListParagraph"/>
        <w:numPr>
          <w:ilvl w:val="0"/>
          <w:numId w:val="22"/>
        </w:numPr>
        <w:spacing w:line="360" w:lineRule="auto"/>
        <w:jc w:val="both"/>
        <w:rPr>
          <w:rFonts w:ascii="Times New Roman" w:hAnsi="Times New Roman" w:cs="Times New Roman"/>
          <w:sz w:val="24"/>
        </w:rPr>
      </w:pPr>
      <w:r w:rsidRPr="00D262F7">
        <w:rPr>
          <w:rFonts w:ascii="Times New Roman" w:hAnsi="Times New Roman" w:cs="Times New Roman"/>
          <w:sz w:val="24"/>
        </w:rPr>
        <w:t>Retained earnings offer a source that is internal, does avoid an obligation to pay interest or surrender ownership of the firm. It is a common source of funding investment and is preferred due to its cost and any limitations over operational freedom (Arnold, 2019). However, excessive use of internal funds may constrain liquidity and opportunity for future business growth.</w:t>
      </w:r>
    </w:p>
    <w:p w:rsidR="00D262F7" w:rsidRPr="00D262F7" w:rsidRDefault="00D262F7" w:rsidP="0088378B">
      <w:pPr>
        <w:pStyle w:val="ListParagraph"/>
        <w:numPr>
          <w:ilvl w:val="0"/>
          <w:numId w:val="22"/>
        </w:numPr>
        <w:spacing w:line="360" w:lineRule="auto"/>
        <w:jc w:val="both"/>
        <w:rPr>
          <w:rFonts w:ascii="Times New Roman" w:hAnsi="Times New Roman" w:cs="Times New Roman"/>
          <w:sz w:val="24"/>
        </w:rPr>
      </w:pPr>
      <w:r w:rsidRPr="00D262F7">
        <w:rPr>
          <w:rFonts w:ascii="Times New Roman" w:hAnsi="Times New Roman" w:cs="Times New Roman"/>
          <w:sz w:val="24"/>
        </w:rPr>
        <w:t>Bank loans or corporate bonds is debt financing, and the payments of interest is tax-deductible, therefore Jordons Plc may be able to increase equity returns from debt financing (Hillier et al., 2020). However, debt financing also requires repayments, and therefore introduces fixed financial commitments. Financial risk also increases, particularly in the case of poor cash flows.</w:t>
      </w:r>
    </w:p>
    <w:p w:rsidR="00D262F7" w:rsidRPr="00D262F7" w:rsidRDefault="00D262F7" w:rsidP="0088378B">
      <w:pPr>
        <w:pStyle w:val="ListParagraph"/>
        <w:numPr>
          <w:ilvl w:val="0"/>
          <w:numId w:val="22"/>
        </w:numPr>
        <w:spacing w:line="360" w:lineRule="auto"/>
        <w:jc w:val="both"/>
        <w:rPr>
          <w:rFonts w:ascii="Times New Roman" w:hAnsi="Times New Roman" w:cs="Times New Roman"/>
          <w:sz w:val="24"/>
        </w:rPr>
      </w:pPr>
      <w:r w:rsidRPr="00D262F7">
        <w:rPr>
          <w:rFonts w:ascii="Times New Roman" w:hAnsi="Times New Roman" w:cs="Times New Roman"/>
          <w:sz w:val="24"/>
        </w:rPr>
        <w:t>If Jordons Plc uses equity financing, by issuing new shares, it can raise large amounts of capital without repayment obligations associated with debt. However, it dilutes ownership and may affect control or the earnings per share of existing shareholders (Megginson &amp; Smart, 2020).</w:t>
      </w:r>
    </w:p>
    <w:p w:rsidR="00D262F7" w:rsidRPr="00D262F7" w:rsidRDefault="00D262F7" w:rsidP="0088378B">
      <w:pPr>
        <w:pStyle w:val="ListParagraph"/>
        <w:numPr>
          <w:ilvl w:val="0"/>
          <w:numId w:val="22"/>
        </w:numPr>
        <w:spacing w:line="360" w:lineRule="auto"/>
        <w:jc w:val="both"/>
        <w:rPr>
          <w:rFonts w:ascii="Times New Roman" w:hAnsi="Times New Roman" w:cs="Times New Roman"/>
          <w:sz w:val="24"/>
        </w:rPr>
      </w:pPr>
      <w:r w:rsidRPr="00D262F7">
        <w:rPr>
          <w:rFonts w:ascii="Times New Roman" w:hAnsi="Times New Roman" w:cs="Times New Roman"/>
          <w:sz w:val="24"/>
        </w:rPr>
        <w:t>A financing mix of debt and internally generated funds may be the best solution. The mixed financing with that advantage is partly in the best interests of existing shareholders as Jordons Plc can still use effective debt financing to help grow and will not hamper the operational independence of the company. Additionally, using mixed financing can maintain shareholder confidence in the financial independence of the firm.</w:t>
      </w:r>
    </w:p>
    <w:p w:rsidR="00321478" w:rsidRDefault="00321478" w:rsidP="0088378B">
      <w:pPr>
        <w:pStyle w:val="Heading1"/>
        <w:spacing w:line="360" w:lineRule="auto"/>
        <w:jc w:val="both"/>
        <w:rPr>
          <w:rStyle w:val="Strong"/>
          <w:rFonts w:ascii="Times New Roman" w:hAnsi="Times New Roman" w:cs="Times New Roman"/>
          <w:color w:val="auto"/>
        </w:rPr>
      </w:pPr>
      <w:bookmarkStart w:id="33" w:name="_Toc203731990"/>
      <w:r w:rsidRPr="00FA2493">
        <w:rPr>
          <w:rStyle w:val="Strong"/>
          <w:rFonts w:ascii="Times New Roman" w:hAnsi="Times New Roman" w:cs="Times New Roman"/>
          <w:color w:val="auto"/>
        </w:rPr>
        <w:t>Conclusion</w:t>
      </w:r>
      <w:bookmarkEnd w:id="33"/>
    </w:p>
    <w:p w:rsidR="00321478" w:rsidRPr="00321478" w:rsidRDefault="00321478" w:rsidP="0088378B">
      <w:pPr>
        <w:spacing w:line="360" w:lineRule="auto"/>
        <w:rPr>
          <w:rFonts w:ascii="Times New Roman" w:hAnsi="Times New Roman" w:cs="Times New Roman"/>
          <w:b/>
          <w:sz w:val="24"/>
        </w:rPr>
      </w:pPr>
      <w:r w:rsidRPr="00321478">
        <w:rPr>
          <w:rFonts w:ascii="Times New Roman" w:hAnsi="Times New Roman" w:cs="Times New Roman"/>
          <w:b/>
          <w:sz w:val="24"/>
        </w:rPr>
        <w:t>Task 1</w:t>
      </w:r>
    </w:p>
    <w:p w:rsidR="00321478" w:rsidRDefault="00321478" w:rsidP="0088378B">
      <w:pPr>
        <w:spacing w:line="360" w:lineRule="auto"/>
        <w:jc w:val="both"/>
        <w:rPr>
          <w:rFonts w:ascii="Times New Roman" w:hAnsi="Times New Roman" w:cs="Times New Roman"/>
          <w:sz w:val="24"/>
          <w:shd w:val="clear" w:color="auto" w:fill="FFFFFF"/>
        </w:rPr>
      </w:pPr>
      <w:r w:rsidRPr="00164846">
        <w:rPr>
          <w:rFonts w:ascii="Times New Roman" w:hAnsi="Times New Roman" w:cs="Times New Roman"/>
          <w:sz w:val="24"/>
          <w:shd w:val="clear" w:color="auto" w:fill="FFFFFF"/>
        </w:rPr>
        <w:t>This report has provided in depth analysis of BT Group plc's financial performance for both FY2023 &amp; FY2024 through a significant set of financial ratios utilising theoretical bases. BT grew related revenue marginally, but its profitability weakened due to one-off costs, higher operating costs, and increase in financial charges. Liquidity is constrained, with current and quick ratios well below optimal measure. Efficiency ratios showed marginal improvements in receivables, but more inventory holding. Gearing has increased because of continual capital investment in fibre and 5G infrastructure, representing a higher long-term financial risk.</w:t>
      </w:r>
      <w:r>
        <w:rPr>
          <w:rFonts w:ascii="Times New Roman" w:hAnsi="Times New Roman" w:cs="Times New Roman"/>
          <w:sz w:val="24"/>
          <w:shd w:val="clear" w:color="auto" w:fill="FFFFFF"/>
        </w:rPr>
        <w:t xml:space="preserve"> </w:t>
      </w:r>
      <w:r w:rsidRPr="00164846">
        <w:rPr>
          <w:rFonts w:ascii="Times New Roman" w:hAnsi="Times New Roman" w:cs="Times New Roman"/>
          <w:sz w:val="24"/>
          <w:shd w:val="clear" w:color="auto" w:fill="FFFFFF"/>
        </w:rPr>
        <w:t>BT's financials show investor pressure because its earnings per share and dividend coverage keep dropping, even though dividend payments are steady. Therefore, even though BT's investment plans might help it grow later, its current money situation looks tight and limits its options in the near future. To keep investors happy and stay strong financially, BT should really focus on cutting costs, making things run smoother, and managing how it spends money.</w:t>
      </w:r>
    </w:p>
    <w:p w:rsidR="00321478" w:rsidRPr="00321478" w:rsidRDefault="00321478" w:rsidP="0088378B">
      <w:pPr>
        <w:spacing w:line="360" w:lineRule="auto"/>
        <w:rPr>
          <w:rFonts w:ascii="Times New Roman" w:hAnsi="Times New Roman" w:cs="Times New Roman"/>
          <w:b/>
          <w:sz w:val="24"/>
        </w:rPr>
      </w:pPr>
      <w:r w:rsidRPr="00321478">
        <w:rPr>
          <w:rFonts w:ascii="Times New Roman" w:hAnsi="Times New Roman" w:cs="Times New Roman"/>
          <w:b/>
          <w:sz w:val="24"/>
        </w:rPr>
        <w:t>Task 2</w:t>
      </w:r>
    </w:p>
    <w:p w:rsidR="00897B4A" w:rsidRPr="00897B4A" w:rsidRDefault="00897B4A" w:rsidP="0088378B">
      <w:pPr>
        <w:spacing w:line="360" w:lineRule="auto"/>
        <w:jc w:val="both"/>
        <w:rPr>
          <w:rFonts w:ascii="Times New Roman" w:hAnsi="Times New Roman" w:cs="Times New Roman"/>
          <w:sz w:val="24"/>
          <w:lang w:val="en-IN"/>
        </w:rPr>
      </w:pPr>
      <w:r w:rsidRPr="00897B4A">
        <w:rPr>
          <w:rFonts w:ascii="Times New Roman" w:hAnsi="Times New Roman" w:cs="Times New Roman"/>
          <w:sz w:val="24"/>
          <w:lang w:val="en-IN"/>
        </w:rPr>
        <w:t xml:space="preserve">In conclusion, this report examined three investment opportunities for Jordons Plc using Net Present Value (NPV), Internal Rate of Return (IRR), and Profitability Index (PI). Based on the results, it showed that Project B related to increasing internet sales produced the best financial </w:t>
      </w:r>
      <w:r>
        <w:rPr>
          <w:rFonts w:ascii="Times New Roman" w:hAnsi="Times New Roman" w:cs="Times New Roman"/>
          <w:sz w:val="24"/>
          <w:lang w:val="en-IN"/>
        </w:rPr>
        <w:t>case with an overall NPV of £747,608</w:t>
      </w:r>
      <w:r w:rsidRPr="00897B4A">
        <w:rPr>
          <w:rFonts w:ascii="Times New Roman" w:hAnsi="Times New Roman" w:cs="Times New Roman"/>
          <w:sz w:val="24"/>
          <w:lang w:val="en-IN"/>
        </w:rPr>
        <w:t>, an IRR that is much greater than the cost o</w:t>
      </w:r>
      <w:r>
        <w:rPr>
          <w:rFonts w:ascii="Times New Roman" w:hAnsi="Times New Roman" w:cs="Times New Roman"/>
          <w:sz w:val="24"/>
          <w:lang w:val="en-IN"/>
        </w:rPr>
        <w:t>f capital of 6% and a PI of 1.74</w:t>
      </w:r>
      <w:r w:rsidRPr="00897B4A">
        <w:rPr>
          <w:rFonts w:ascii="Times New Roman" w:hAnsi="Times New Roman" w:cs="Times New Roman"/>
          <w:sz w:val="24"/>
          <w:lang w:val="en-IN"/>
        </w:rPr>
        <w:t>. In addition, it also matched the trend of businesses progressing to digital, which may assist the company in the future.</w:t>
      </w:r>
    </w:p>
    <w:p w:rsidR="00B12B35" w:rsidRPr="00897B4A" w:rsidRDefault="00897B4A" w:rsidP="0088378B">
      <w:pPr>
        <w:spacing w:line="360" w:lineRule="auto"/>
        <w:jc w:val="both"/>
        <w:rPr>
          <w:rFonts w:ascii="Times New Roman" w:hAnsi="Times New Roman" w:cs="Times New Roman"/>
          <w:sz w:val="24"/>
          <w:lang w:val="en-IN"/>
        </w:rPr>
      </w:pPr>
      <w:r w:rsidRPr="00897B4A">
        <w:rPr>
          <w:rFonts w:ascii="Times New Roman" w:hAnsi="Times New Roman" w:cs="Times New Roman"/>
          <w:sz w:val="24"/>
          <w:lang w:val="en-IN"/>
        </w:rPr>
        <w:t>If the budget allowance is £2 million and investments can be partial, the above option indicates the best combination would be to invest in full in Projects B and A and at least 25% in Project C. This</w:t>
      </w:r>
      <w:r w:rsidR="00990FB8">
        <w:rPr>
          <w:rFonts w:ascii="Times New Roman" w:hAnsi="Times New Roman" w:cs="Times New Roman"/>
          <w:sz w:val="24"/>
          <w:lang w:val="en-IN"/>
        </w:rPr>
        <w:t xml:space="preserve"> would yield a total NPV of £1,295</w:t>
      </w:r>
      <w:r w:rsidR="00290E38">
        <w:rPr>
          <w:rFonts w:ascii="Times New Roman" w:hAnsi="Times New Roman" w:cs="Times New Roman"/>
          <w:sz w:val="24"/>
          <w:lang w:val="en-IN"/>
        </w:rPr>
        <w:t xml:space="preserve">,311. </w:t>
      </w:r>
      <w:r w:rsidRPr="00897B4A">
        <w:rPr>
          <w:rFonts w:ascii="Times New Roman" w:hAnsi="Times New Roman" w:cs="Times New Roman"/>
          <w:sz w:val="24"/>
          <w:lang w:val="en-IN"/>
        </w:rPr>
        <w:t xml:space="preserve">To support </w:t>
      </w:r>
      <w:r w:rsidR="00585539">
        <w:rPr>
          <w:rFonts w:ascii="Times New Roman" w:hAnsi="Times New Roman" w:cs="Times New Roman"/>
          <w:sz w:val="24"/>
          <w:lang w:val="en-IN"/>
        </w:rPr>
        <w:t xml:space="preserve">this investment strategy, it </w:t>
      </w:r>
      <w:r w:rsidRPr="00897B4A">
        <w:rPr>
          <w:rFonts w:ascii="Times New Roman" w:hAnsi="Times New Roman" w:cs="Times New Roman"/>
          <w:sz w:val="24"/>
          <w:lang w:val="en-IN"/>
        </w:rPr>
        <w:t>intended to fund this from remaining profits, and some borrowing. This method reduces risk and cost, and preserves control whilst giving a comfortable rate of growth.</w:t>
      </w:r>
    </w:p>
    <w:p w:rsidR="00B12B35" w:rsidRDefault="00B12B35"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D6204A" w:rsidRDefault="00D6204A" w:rsidP="0088378B">
      <w:pPr>
        <w:spacing w:line="360" w:lineRule="auto"/>
        <w:rPr>
          <w:lang w:val="en-IN"/>
        </w:rPr>
      </w:pPr>
    </w:p>
    <w:p w:rsidR="00814D4E" w:rsidRDefault="00814D4E" w:rsidP="0088378B">
      <w:pPr>
        <w:spacing w:line="360" w:lineRule="auto"/>
        <w:rPr>
          <w:lang w:val="en-IN"/>
        </w:rPr>
      </w:pPr>
    </w:p>
    <w:p w:rsidR="000D7E28" w:rsidRPr="00814D4E" w:rsidRDefault="000D7E28" w:rsidP="003C2E16">
      <w:pPr>
        <w:pStyle w:val="Heading1"/>
        <w:spacing w:line="360" w:lineRule="auto"/>
        <w:jc w:val="both"/>
        <w:rPr>
          <w:rFonts w:ascii="Times New Roman" w:hAnsi="Times New Roman" w:cs="Times New Roman"/>
          <w:b/>
          <w:sz w:val="24"/>
        </w:rPr>
      </w:pPr>
      <w:bookmarkStart w:id="34" w:name="_Toc203731991"/>
      <w:r w:rsidRPr="00814D4E">
        <w:rPr>
          <w:rFonts w:ascii="Times New Roman" w:hAnsi="Times New Roman" w:cs="Times New Roman"/>
          <w:b/>
          <w:color w:val="auto"/>
        </w:rPr>
        <w:t>References</w:t>
      </w:r>
      <w:bookmarkEnd w:id="34"/>
      <w:r w:rsidRPr="00814D4E">
        <w:rPr>
          <w:rFonts w:ascii="Times New Roman" w:hAnsi="Times New Roman" w:cs="Times New Roman"/>
          <w:b/>
          <w:color w:val="auto"/>
        </w:rPr>
        <w:t xml:space="preserve"> </w:t>
      </w:r>
    </w:p>
    <w:p w:rsidR="007227ED" w:rsidRPr="000D7E28" w:rsidRDefault="000D7E28" w:rsidP="000D7E28">
      <w:pPr>
        <w:jc w:val="both"/>
        <w:rPr>
          <w:rFonts w:ascii="Times New Roman" w:hAnsi="Times New Roman" w:cs="Times New Roman"/>
          <w:sz w:val="24"/>
        </w:rPr>
      </w:pPr>
      <w:r>
        <w:rPr>
          <w:rFonts w:ascii="Times New Roman" w:hAnsi="Times New Roman" w:cs="Times New Roman"/>
          <w:sz w:val="24"/>
        </w:rPr>
        <w:t>Arnold, G. (2019) “Corporate Financial Management”</w:t>
      </w:r>
      <w:r w:rsidR="007227ED" w:rsidRPr="000D7E28">
        <w:rPr>
          <w:rFonts w:ascii="Times New Roman" w:hAnsi="Times New Roman" w:cs="Times New Roman"/>
          <w:sz w:val="24"/>
        </w:rPr>
        <w:t>. 6th edn. Harlow: Pearson Education Limited.</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Arnold, G. and Lew</w:t>
      </w:r>
      <w:r w:rsidR="000D7E28">
        <w:rPr>
          <w:rFonts w:ascii="Times New Roman" w:hAnsi="Times New Roman" w:cs="Times New Roman"/>
          <w:sz w:val="24"/>
        </w:rPr>
        <w:t>is, D. (2019) “</w:t>
      </w:r>
      <w:r w:rsidRPr="007227ED">
        <w:rPr>
          <w:rFonts w:ascii="Times New Roman" w:hAnsi="Times New Roman" w:cs="Times New Roman"/>
          <w:sz w:val="24"/>
        </w:rPr>
        <w:t>Fin</w:t>
      </w:r>
      <w:r w:rsidR="000D7E28">
        <w:rPr>
          <w:rFonts w:ascii="Times New Roman" w:hAnsi="Times New Roman" w:cs="Times New Roman"/>
          <w:sz w:val="24"/>
        </w:rPr>
        <w:t>ancial Times Guide to Investing”</w:t>
      </w:r>
      <w:r w:rsidRPr="007227ED">
        <w:rPr>
          <w:rFonts w:ascii="Times New Roman" w:hAnsi="Times New Roman" w:cs="Times New Roman"/>
          <w:sz w:val="24"/>
        </w:rPr>
        <w:t>. 3rd edn. Harlow: Pearson.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Atr</w:t>
      </w:r>
      <w:r w:rsidR="000D7E28">
        <w:rPr>
          <w:rFonts w:ascii="Times New Roman" w:hAnsi="Times New Roman" w:cs="Times New Roman"/>
          <w:sz w:val="24"/>
        </w:rPr>
        <w:t>ill, P. and McLaney, E. (2021) “</w:t>
      </w:r>
      <w:r w:rsidRPr="007227ED">
        <w:rPr>
          <w:rFonts w:ascii="Times New Roman" w:hAnsi="Times New Roman" w:cs="Times New Roman"/>
          <w:sz w:val="24"/>
        </w:rPr>
        <w:t xml:space="preserve">Accounting </w:t>
      </w:r>
      <w:r w:rsidR="000D7E28">
        <w:rPr>
          <w:rFonts w:ascii="Times New Roman" w:hAnsi="Times New Roman" w:cs="Times New Roman"/>
          <w:sz w:val="24"/>
        </w:rPr>
        <w:t>and Finance for Non-Specialists”</w:t>
      </w:r>
      <w:r w:rsidRPr="007227ED">
        <w:rPr>
          <w:rFonts w:ascii="Times New Roman" w:hAnsi="Times New Roman" w:cs="Times New Roman"/>
          <w:sz w:val="24"/>
        </w:rPr>
        <w:t>. 12th edn. Harlow: Pearson.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Atr</w:t>
      </w:r>
      <w:r w:rsidR="000D7E28">
        <w:rPr>
          <w:rFonts w:ascii="Times New Roman" w:hAnsi="Times New Roman" w:cs="Times New Roman"/>
          <w:sz w:val="24"/>
        </w:rPr>
        <w:t>ill, P. and McLaney, E. (2022) “</w:t>
      </w:r>
      <w:r w:rsidRPr="007227ED">
        <w:rPr>
          <w:rFonts w:ascii="Times New Roman" w:hAnsi="Times New Roman" w:cs="Times New Roman"/>
          <w:sz w:val="24"/>
        </w:rPr>
        <w:t>Financial</w:t>
      </w:r>
      <w:r w:rsidR="000D7E28">
        <w:rPr>
          <w:rFonts w:ascii="Times New Roman" w:hAnsi="Times New Roman" w:cs="Times New Roman"/>
          <w:sz w:val="24"/>
        </w:rPr>
        <w:t xml:space="preserve"> Accounting for Decision Makers”</w:t>
      </w:r>
      <w:r w:rsidRPr="007227ED">
        <w:rPr>
          <w:rFonts w:ascii="Times New Roman" w:hAnsi="Times New Roman" w:cs="Times New Roman"/>
          <w:sz w:val="24"/>
        </w:rPr>
        <w:t>. 10th edn. Harlow: Pearson.</w:t>
      </w:r>
    </w:p>
    <w:p w:rsidR="007227ED" w:rsidRPr="007227ED" w:rsidRDefault="000D7E28" w:rsidP="007227ED">
      <w:pPr>
        <w:spacing w:line="360" w:lineRule="auto"/>
        <w:jc w:val="both"/>
        <w:rPr>
          <w:rFonts w:ascii="Times New Roman" w:hAnsi="Times New Roman" w:cs="Times New Roman"/>
          <w:sz w:val="24"/>
        </w:rPr>
      </w:pPr>
      <w:r>
        <w:rPr>
          <w:rFonts w:ascii="Times New Roman" w:hAnsi="Times New Roman" w:cs="Times New Roman"/>
          <w:sz w:val="24"/>
        </w:rPr>
        <w:t>Bhimani, A. (2022) “</w:t>
      </w:r>
      <w:r w:rsidR="007227ED" w:rsidRPr="007227ED">
        <w:rPr>
          <w:rFonts w:ascii="Times New Roman" w:hAnsi="Times New Roman" w:cs="Times New Roman"/>
          <w:sz w:val="24"/>
        </w:rPr>
        <w:t>Management Acc</w:t>
      </w:r>
      <w:r w:rsidR="00814D4E">
        <w:rPr>
          <w:rFonts w:ascii="Times New Roman" w:hAnsi="Times New Roman" w:cs="Times New Roman"/>
          <w:sz w:val="24"/>
        </w:rPr>
        <w:t>ounting: Performance Evaluation</w:t>
      </w:r>
      <w:r>
        <w:rPr>
          <w:rFonts w:ascii="Times New Roman" w:hAnsi="Times New Roman" w:cs="Times New Roman"/>
          <w:sz w:val="24"/>
        </w:rPr>
        <w:t>”</w:t>
      </w:r>
      <w:r w:rsidR="007227ED" w:rsidRPr="007227ED">
        <w:rPr>
          <w:rFonts w:ascii="Times New Roman" w:hAnsi="Times New Roman" w:cs="Times New Roman"/>
          <w:sz w:val="24"/>
        </w:rPr>
        <w:t>. Oxford: Oxford University Press.</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Brealey, R., </w:t>
      </w:r>
      <w:r w:rsidR="00814D4E">
        <w:rPr>
          <w:rFonts w:ascii="Times New Roman" w:hAnsi="Times New Roman" w:cs="Times New Roman"/>
          <w:sz w:val="24"/>
        </w:rPr>
        <w:t>Myers, S. and Allen, F. (2020) “</w:t>
      </w:r>
      <w:r w:rsidRPr="007227ED">
        <w:rPr>
          <w:rFonts w:ascii="Times New Roman" w:hAnsi="Times New Roman" w:cs="Times New Roman"/>
          <w:sz w:val="24"/>
        </w:rPr>
        <w:t>Principles of Corporate Finan</w:t>
      </w:r>
      <w:r w:rsidR="00814D4E">
        <w:rPr>
          <w:rFonts w:ascii="Times New Roman" w:hAnsi="Times New Roman" w:cs="Times New Roman"/>
          <w:sz w:val="24"/>
        </w:rPr>
        <w:t>ce”</w:t>
      </w:r>
      <w:r w:rsidRPr="007227ED">
        <w:rPr>
          <w:rFonts w:ascii="Times New Roman" w:hAnsi="Times New Roman" w:cs="Times New Roman"/>
          <w:sz w:val="24"/>
        </w:rPr>
        <w:t>. 13th edn. New York: McGraw-Hill Education.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BT Group plc (2024a) </w:t>
      </w:r>
      <w:r w:rsidR="00814D4E">
        <w:rPr>
          <w:rFonts w:ascii="Times New Roman" w:hAnsi="Times New Roman" w:cs="Times New Roman"/>
          <w:sz w:val="24"/>
        </w:rPr>
        <w:t>“</w:t>
      </w:r>
      <w:r w:rsidRPr="007227ED">
        <w:rPr>
          <w:rFonts w:ascii="Times New Roman" w:hAnsi="Times New Roman" w:cs="Times New Roman"/>
          <w:sz w:val="24"/>
        </w:rPr>
        <w:t>Annual Report 2023/24</w:t>
      </w:r>
      <w:r w:rsidR="00814D4E">
        <w:rPr>
          <w:rFonts w:ascii="Times New Roman" w:hAnsi="Times New Roman" w:cs="Times New Roman"/>
          <w:sz w:val="24"/>
        </w:rPr>
        <w:t>”</w:t>
      </w:r>
      <w:r w:rsidRPr="007227ED">
        <w:rPr>
          <w:rFonts w:ascii="Times New Roman" w:hAnsi="Times New Roman" w:cs="Times New Roman"/>
          <w:sz w:val="24"/>
        </w:rPr>
        <w:t>. Available at</w:t>
      </w:r>
      <w:r w:rsidRPr="007227ED">
        <w:rPr>
          <w:rFonts w:ascii="Times New Roman" w:hAnsi="Times New Roman" w:cs="Times New Roman"/>
          <w:color w:val="5B9BD5" w:themeColor="accent1"/>
          <w:sz w:val="24"/>
        </w:rPr>
        <w:t xml:space="preserve">: https://www.bt.com/investors </w:t>
      </w:r>
      <w:r w:rsidRPr="007227ED">
        <w:rPr>
          <w:rFonts w:ascii="Times New Roman" w:hAnsi="Times New Roman" w:cs="Times New Roman"/>
          <w:sz w:val="24"/>
        </w:rPr>
        <w:t>(Accessed: 15 July 2025).</w:t>
      </w:r>
    </w:p>
    <w:p w:rsidR="007227ED" w:rsidRPr="007227ED" w:rsidRDefault="00814D4E" w:rsidP="007227ED">
      <w:pPr>
        <w:spacing w:line="360" w:lineRule="auto"/>
        <w:jc w:val="both"/>
        <w:rPr>
          <w:rFonts w:ascii="Times New Roman" w:hAnsi="Times New Roman" w:cs="Times New Roman"/>
          <w:sz w:val="24"/>
        </w:rPr>
      </w:pPr>
      <w:r>
        <w:rPr>
          <w:rFonts w:ascii="Times New Roman" w:hAnsi="Times New Roman" w:cs="Times New Roman"/>
          <w:sz w:val="24"/>
        </w:rPr>
        <w:t>BT Group plc (2024b) “</w:t>
      </w:r>
      <w:r w:rsidR="007227ED" w:rsidRPr="007227ED">
        <w:rPr>
          <w:rFonts w:ascii="Times New Roman" w:hAnsi="Times New Roman" w:cs="Times New Roman"/>
          <w:sz w:val="24"/>
        </w:rPr>
        <w:t>Sustaina</w:t>
      </w:r>
      <w:r>
        <w:rPr>
          <w:rFonts w:ascii="Times New Roman" w:hAnsi="Times New Roman" w:cs="Times New Roman"/>
          <w:sz w:val="24"/>
        </w:rPr>
        <w:t>bility and Net Zero Commitments”</w:t>
      </w:r>
      <w:r w:rsidR="007227ED" w:rsidRPr="007227ED">
        <w:rPr>
          <w:rFonts w:ascii="Times New Roman" w:hAnsi="Times New Roman" w:cs="Times New Roman"/>
          <w:sz w:val="24"/>
        </w:rPr>
        <w:t xml:space="preserve">. Available at: </w:t>
      </w:r>
      <w:r w:rsidR="007227ED" w:rsidRPr="007227ED">
        <w:rPr>
          <w:rFonts w:ascii="Times New Roman" w:hAnsi="Times New Roman" w:cs="Times New Roman"/>
          <w:color w:val="5B9BD5" w:themeColor="accent1"/>
          <w:sz w:val="24"/>
        </w:rPr>
        <w:t xml:space="preserve">https://www.bt.com/about </w:t>
      </w:r>
      <w:r w:rsidR="007227ED" w:rsidRPr="007227ED">
        <w:rPr>
          <w:rFonts w:ascii="Times New Roman" w:hAnsi="Times New Roman" w:cs="Times New Roman"/>
          <w:sz w:val="24"/>
        </w:rPr>
        <w:t>(Accessed: 15 July 2025).</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Corporate Finance Institute (n.d.) </w:t>
      </w:r>
      <w:r w:rsidR="00814D4E">
        <w:rPr>
          <w:rFonts w:ascii="Times New Roman" w:hAnsi="Times New Roman" w:cs="Times New Roman"/>
          <w:sz w:val="24"/>
        </w:rPr>
        <w:t>“</w:t>
      </w:r>
      <w:r w:rsidRPr="007227ED">
        <w:rPr>
          <w:rFonts w:ascii="Times New Roman" w:hAnsi="Times New Roman" w:cs="Times New Roman"/>
          <w:sz w:val="24"/>
        </w:rPr>
        <w:t>Profitability Ratios</w:t>
      </w:r>
      <w:r w:rsidR="00814D4E">
        <w:rPr>
          <w:rFonts w:ascii="Times New Roman" w:hAnsi="Times New Roman" w:cs="Times New Roman"/>
          <w:sz w:val="24"/>
        </w:rPr>
        <w:t>”</w:t>
      </w:r>
      <w:r w:rsidRPr="007227ED">
        <w:rPr>
          <w:rFonts w:ascii="Times New Roman" w:hAnsi="Times New Roman" w:cs="Times New Roman"/>
          <w:sz w:val="24"/>
        </w:rPr>
        <w:t>. Available at: https://corporatefinanceinstitute.com/resources/knowledge/finance/profitability-ratios/ (Accessed: 15 July 2025).</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Drury, C. (2018) </w:t>
      </w:r>
      <w:r w:rsidR="00814D4E">
        <w:rPr>
          <w:rFonts w:ascii="Times New Roman" w:hAnsi="Times New Roman" w:cs="Times New Roman"/>
          <w:sz w:val="24"/>
        </w:rPr>
        <w:t>“</w:t>
      </w:r>
      <w:r w:rsidRPr="007227ED">
        <w:rPr>
          <w:rFonts w:ascii="Times New Roman" w:hAnsi="Times New Roman" w:cs="Times New Roman"/>
          <w:sz w:val="24"/>
        </w:rPr>
        <w:t>Management and Cost Accounting</w:t>
      </w:r>
      <w:r w:rsidR="00814D4E">
        <w:rPr>
          <w:rFonts w:ascii="Times New Roman" w:hAnsi="Times New Roman" w:cs="Times New Roman"/>
          <w:sz w:val="24"/>
        </w:rPr>
        <w:t>”</w:t>
      </w:r>
      <w:r w:rsidRPr="007227ED">
        <w:rPr>
          <w:rFonts w:ascii="Times New Roman" w:hAnsi="Times New Roman" w:cs="Times New Roman"/>
          <w:sz w:val="24"/>
        </w:rPr>
        <w:t>. 10th edn. Andover: Cengage Learning.</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Drury, C. (2021) </w:t>
      </w:r>
      <w:r w:rsidR="00814D4E">
        <w:rPr>
          <w:rFonts w:ascii="Times New Roman" w:hAnsi="Times New Roman" w:cs="Times New Roman"/>
          <w:sz w:val="24"/>
        </w:rPr>
        <w:t>“</w:t>
      </w:r>
      <w:r w:rsidRPr="007227ED">
        <w:rPr>
          <w:rFonts w:ascii="Times New Roman" w:hAnsi="Times New Roman" w:cs="Times New Roman"/>
          <w:sz w:val="24"/>
        </w:rPr>
        <w:t>Management Accounting for Business</w:t>
      </w:r>
      <w:r w:rsidR="00814D4E">
        <w:rPr>
          <w:rFonts w:ascii="Times New Roman" w:hAnsi="Times New Roman" w:cs="Times New Roman"/>
          <w:sz w:val="24"/>
        </w:rPr>
        <w:t>”</w:t>
      </w:r>
      <w:r w:rsidRPr="007227ED">
        <w:rPr>
          <w:rFonts w:ascii="Times New Roman" w:hAnsi="Times New Roman" w:cs="Times New Roman"/>
          <w:sz w:val="24"/>
        </w:rPr>
        <w:t>. 7th edn. Andover: Cengage Learning.</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GlobalData (2024) </w:t>
      </w:r>
      <w:r w:rsidR="00814D4E">
        <w:rPr>
          <w:rFonts w:ascii="Times New Roman" w:hAnsi="Times New Roman" w:cs="Times New Roman"/>
          <w:sz w:val="24"/>
        </w:rPr>
        <w:t>“</w:t>
      </w:r>
      <w:r w:rsidRPr="007227ED">
        <w:rPr>
          <w:rFonts w:ascii="Times New Roman" w:hAnsi="Times New Roman" w:cs="Times New Roman"/>
          <w:sz w:val="24"/>
        </w:rPr>
        <w:t>BT Group Company Profile</w:t>
      </w:r>
      <w:r w:rsidR="00814D4E">
        <w:rPr>
          <w:rFonts w:ascii="Times New Roman" w:hAnsi="Times New Roman" w:cs="Times New Roman"/>
          <w:sz w:val="24"/>
        </w:rPr>
        <w:t>”</w:t>
      </w:r>
      <w:r w:rsidRPr="007227ED">
        <w:rPr>
          <w:rFonts w:ascii="Times New Roman" w:hAnsi="Times New Roman" w:cs="Times New Roman"/>
          <w:sz w:val="24"/>
        </w:rPr>
        <w:t>. Available at: https://www.globaldata.com (Accessed: 15 July 2025).</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Hillier, D., Ross, S.A., Westerfield, R.W., Jaffe, J. and Jordan, B. (2020) </w:t>
      </w:r>
      <w:r w:rsidR="00814D4E">
        <w:rPr>
          <w:rFonts w:ascii="Times New Roman" w:hAnsi="Times New Roman" w:cs="Times New Roman"/>
          <w:sz w:val="24"/>
        </w:rPr>
        <w:t>“</w:t>
      </w:r>
      <w:r w:rsidRPr="007227ED">
        <w:rPr>
          <w:rFonts w:ascii="Times New Roman" w:hAnsi="Times New Roman" w:cs="Times New Roman"/>
          <w:sz w:val="24"/>
        </w:rPr>
        <w:t>Corporate Finance</w:t>
      </w:r>
      <w:r w:rsidR="00814D4E">
        <w:rPr>
          <w:rFonts w:ascii="Times New Roman" w:hAnsi="Times New Roman" w:cs="Times New Roman"/>
          <w:sz w:val="24"/>
        </w:rPr>
        <w:t>”</w:t>
      </w:r>
      <w:r w:rsidRPr="007227ED">
        <w:rPr>
          <w:rFonts w:ascii="Times New Roman" w:hAnsi="Times New Roman" w:cs="Times New Roman"/>
          <w:sz w:val="24"/>
        </w:rPr>
        <w:t>. 4th European edn. London: McGraw-Hill Education.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Horngren, C.T., Datar, S.M., Rajan, M.V. and Foster, G. (2019) </w:t>
      </w:r>
      <w:r w:rsidR="00814D4E">
        <w:rPr>
          <w:rFonts w:ascii="Times New Roman" w:hAnsi="Times New Roman" w:cs="Times New Roman"/>
          <w:sz w:val="24"/>
        </w:rPr>
        <w:t>“</w:t>
      </w:r>
      <w:r w:rsidRPr="007227ED">
        <w:rPr>
          <w:rFonts w:ascii="Times New Roman" w:hAnsi="Times New Roman" w:cs="Times New Roman"/>
          <w:sz w:val="24"/>
        </w:rPr>
        <w:t>Cost Accounting: A Managerial Emphasis</w:t>
      </w:r>
      <w:r w:rsidR="00814D4E">
        <w:rPr>
          <w:rFonts w:ascii="Times New Roman" w:hAnsi="Times New Roman" w:cs="Times New Roman"/>
          <w:sz w:val="24"/>
        </w:rPr>
        <w:t>”</w:t>
      </w:r>
      <w:r w:rsidRPr="007227ED">
        <w:rPr>
          <w:rFonts w:ascii="Times New Roman" w:hAnsi="Times New Roman" w:cs="Times New Roman"/>
          <w:sz w:val="24"/>
        </w:rPr>
        <w:t>. 16th edn. Harlow: Pearson.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Kaplan, R.S. and Atkinson, A.A. (2015) </w:t>
      </w:r>
      <w:r w:rsidR="00814D4E">
        <w:rPr>
          <w:rFonts w:ascii="Times New Roman" w:hAnsi="Times New Roman" w:cs="Times New Roman"/>
          <w:sz w:val="24"/>
        </w:rPr>
        <w:t>“</w:t>
      </w:r>
      <w:r w:rsidRPr="007227ED">
        <w:rPr>
          <w:rFonts w:ascii="Times New Roman" w:hAnsi="Times New Roman" w:cs="Times New Roman"/>
          <w:sz w:val="24"/>
        </w:rPr>
        <w:t>Advanced Management Accounting</w:t>
      </w:r>
      <w:r w:rsidR="00814D4E">
        <w:rPr>
          <w:rFonts w:ascii="Times New Roman" w:hAnsi="Times New Roman" w:cs="Times New Roman"/>
          <w:sz w:val="24"/>
        </w:rPr>
        <w:t>”</w:t>
      </w:r>
      <w:r w:rsidRPr="007227ED">
        <w:rPr>
          <w:rFonts w:ascii="Times New Roman" w:hAnsi="Times New Roman" w:cs="Times New Roman"/>
          <w:sz w:val="24"/>
        </w:rPr>
        <w:t>. 3rd edn. Harlow: Pearson.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Kersten, P.H., Goss, R. and Neal, M. (2017) ‘Managing working capital in telecoms: The invisible crisis’, </w:t>
      </w:r>
      <w:r w:rsidR="00814D4E">
        <w:rPr>
          <w:rFonts w:ascii="Times New Roman" w:hAnsi="Times New Roman" w:cs="Times New Roman"/>
          <w:sz w:val="24"/>
        </w:rPr>
        <w:t>“</w:t>
      </w:r>
      <w:r w:rsidRPr="007227ED">
        <w:rPr>
          <w:rFonts w:ascii="Times New Roman" w:hAnsi="Times New Roman" w:cs="Times New Roman"/>
          <w:sz w:val="24"/>
        </w:rPr>
        <w:t>Telecoms Review</w:t>
      </w:r>
      <w:r w:rsidR="00814D4E">
        <w:rPr>
          <w:rFonts w:ascii="Times New Roman" w:hAnsi="Times New Roman" w:cs="Times New Roman"/>
          <w:sz w:val="24"/>
        </w:rPr>
        <w:t>”</w:t>
      </w:r>
      <w:r w:rsidRPr="007227ED">
        <w:rPr>
          <w:rFonts w:ascii="Times New Roman" w:hAnsi="Times New Roman" w:cs="Times New Roman"/>
          <w:sz w:val="24"/>
        </w:rPr>
        <w:t>, 42(1), pp. 335–348.</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Kieso, D.E., Weygandt, J.J. and Warfield, T.D. (2020) </w:t>
      </w:r>
      <w:r w:rsidR="00814D4E">
        <w:rPr>
          <w:rFonts w:ascii="Times New Roman" w:hAnsi="Times New Roman" w:cs="Times New Roman"/>
          <w:sz w:val="24"/>
        </w:rPr>
        <w:t>“</w:t>
      </w:r>
      <w:r w:rsidRPr="007227ED">
        <w:rPr>
          <w:rFonts w:ascii="Times New Roman" w:hAnsi="Times New Roman" w:cs="Times New Roman"/>
          <w:sz w:val="24"/>
        </w:rPr>
        <w:t>Intermediate Accounting: IFRS Edition</w:t>
      </w:r>
      <w:r w:rsidR="00814D4E">
        <w:rPr>
          <w:rFonts w:ascii="Times New Roman" w:hAnsi="Times New Roman" w:cs="Times New Roman"/>
          <w:sz w:val="24"/>
        </w:rPr>
        <w:t>”</w:t>
      </w:r>
      <w:r w:rsidRPr="007227ED">
        <w:rPr>
          <w:rFonts w:ascii="Times New Roman" w:hAnsi="Times New Roman" w:cs="Times New Roman"/>
          <w:sz w:val="24"/>
        </w:rPr>
        <w:t>. 3rd edn. Hoboken: Wiley.</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London Stock Exchange Group (2024) </w:t>
      </w:r>
      <w:r w:rsidR="00814D4E">
        <w:rPr>
          <w:rFonts w:ascii="Times New Roman" w:hAnsi="Times New Roman" w:cs="Times New Roman"/>
          <w:sz w:val="24"/>
        </w:rPr>
        <w:t>“</w:t>
      </w:r>
      <w:r w:rsidRPr="007227ED">
        <w:rPr>
          <w:rFonts w:ascii="Times New Roman" w:hAnsi="Times New Roman" w:cs="Times New Roman"/>
          <w:sz w:val="24"/>
        </w:rPr>
        <w:t>BT Group Share Information</w:t>
      </w:r>
      <w:r w:rsidR="00814D4E">
        <w:rPr>
          <w:rFonts w:ascii="Times New Roman" w:hAnsi="Times New Roman" w:cs="Times New Roman"/>
          <w:sz w:val="24"/>
        </w:rPr>
        <w:t>”</w:t>
      </w:r>
      <w:r w:rsidRPr="007227ED">
        <w:rPr>
          <w:rFonts w:ascii="Times New Roman" w:hAnsi="Times New Roman" w:cs="Times New Roman"/>
          <w:sz w:val="24"/>
        </w:rPr>
        <w:t xml:space="preserve">. Available at: </w:t>
      </w:r>
      <w:r w:rsidRPr="007227ED">
        <w:rPr>
          <w:rFonts w:ascii="Times New Roman" w:hAnsi="Times New Roman" w:cs="Times New Roman"/>
          <w:color w:val="5B9BD5" w:themeColor="accent1"/>
          <w:sz w:val="24"/>
        </w:rPr>
        <w:t xml:space="preserve">https://www.londonstockexchange.com </w:t>
      </w:r>
      <w:r w:rsidRPr="007227ED">
        <w:rPr>
          <w:rFonts w:ascii="Times New Roman" w:hAnsi="Times New Roman" w:cs="Times New Roman"/>
          <w:sz w:val="24"/>
        </w:rPr>
        <w:t>(Accessed: 15 July 2025).</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Marr, B. (2012) </w:t>
      </w:r>
      <w:r w:rsidR="00814D4E">
        <w:rPr>
          <w:rFonts w:ascii="Times New Roman" w:hAnsi="Times New Roman" w:cs="Times New Roman"/>
          <w:sz w:val="24"/>
        </w:rPr>
        <w:t>“</w:t>
      </w:r>
      <w:r w:rsidRPr="007227ED">
        <w:rPr>
          <w:rFonts w:ascii="Times New Roman" w:hAnsi="Times New Roman" w:cs="Times New Roman"/>
          <w:sz w:val="24"/>
        </w:rPr>
        <w:t>Key Performance Indicators: The 75 Measures Every Manager Needs to Know</w:t>
      </w:r>
      <w:r w:rsidR="00814D4E">
        <w:rPr>
          <w:rFonts w:ascii="Times New Roman" w:hAnsi="Times New Roman" w:cs="Times New Roman"/>
          <w:sz w:val="24"/>
        </w:rPr>
        <w:t>”</w:t>
      </w:r>
      <w:r w:rsidRPr="007227ED">
        <w:rPr>
          <w:rFonts w:ascii="Times New Roman" w:hAnsi="Times New Roman" w:cs="Times New Roman"/>
          <w:sz w:val="24"/>
        </w:rPr>
        <w:t>. 2nd edn. Harlow: Pearson.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McKinsey &amp; Company (2023) </w:t>
      </w:r>
      <w:r w:rsidR="00814D4E">
        <w:rPr>
          <w:rFonts w:ascii="Times New Roman" w:hAnsi="Times New Roman" w:cs="Times New Roman"/>
          <w:sz w:val="24"/>
        </w:rPr>
        <w:t>“</w:t>
      </w:r>
      <w:r w:rsidRPr="007227ED">
        <w:rPr>
          <w:rFonts w:ascii="Times New Roman" w:hAnsi="Times New Roman" w:cs="Times New Roman"/>
          <w:sz w:val="24"/>
        </w:rPr>
        <w:t>Telecoms Value Creation in Inflationary Times</w:t>
      </w:r>
      <w:r w:rsidR="00814D4E">
        <w:rPr>
          <w:rFonts w:ascii="Times New Roman" w:hAnsi="Times New Roman" w:cs="Times New Roman"/>
          <w:sz w:val="24"/>
        </w:rPr>
        <w:t>”</w:t>
      </w:r>
      <w:r w:rsidRPr="007227ED">
        <w:rPr>
          <w:rFonts w:ascii="Times New Roman" w:hAnsi="Times New Roman" w:cs="Times New Roman"/>
          <w:sz w:val="24"/>
        </w:rPr>
        <w:t xml:space="preserve">. Available at: </w:t>
      </w:r>
      <w:r w:rsidRPr="007227ED">
        <w:rPr>
          <w:rFonts w:ascii="Times New Roman" w:hAnsi="Times New Roman" w:cs="Times New Roman"/>
          <w:color w:val="5B9BD5" w:themeColor="accent1"/>
          <w:sz w:val="24"/>
        </w:rPr>
        <w:t xml:space="preserve">https://www.mckinsey.com </w:t>
      </w:r>
      <w:r w:rsidRPr="007227ED">
        <w:rPr>
          <w:rFonts w:ascii="Times New Roman" w:hAnsi="Times New Roman" w:cs="Times New Roman"/>
          <w:sz w:val="24"/>
        </w:rPr>
        <w:t>(Accessed: 15 July 2025).</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Megginson, W.L. and Smart, S.B. (2020) </w:t>
      </w:r>
      <w:r w:rsidR="00814D4E">
        <w:rPr>
          <w:rFonts w:ascii="Times New Roman" w:hAnsi="Times New Roman" w:cs="Times New Roman"/>
          <w:sz w:val="24"/>
        </w:rPr>
        <w:t>“</w:t>
      </w:r>
      <w:r w:rsidRPr="007227ED">
        <w:rPr>
          <w:rFonts w:ascii="Times New Roman" w:hAnsi="Times New Roman" w:cs="Times New Roman"/>
          <w:sz w:val="24"/>
        </w:rPr>
        <w:t>Introduction to Corporate Finance</w:t>
      </w:r>
      <w:r w:rsidR="00814D4E">
        <w:rPr>
          <w:rFonts w:ascii="Times New Roman" w:hAnsi="Times New Roman" w:cs="Times New Roman"/>
          <w:sz w:val="24"/>
        </w:rPr>
        <w:t>”</w:t>
      </w:r>
      <w:r w:rsidRPr="007227ED">
        <w:rPr>
          <w:rFonts w:ascii="Times New Roman" w:hAnsi="Times New Roman" w:cs="Times New Roman"/>
          <w:sz w:val="24"/>
        </w:rPr>
        <w:t>. 5th edn. Boston: Cengage Learning.</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Moody’s (2024) </w:t>
      </w:r>
      <w:r w:rsidR="00814D4E">
        <w:rPr>
          <w:rFonts w:ascii="Times New Roman" w:hAnsi="Times New Roman" w:cs="Times New Roman"/>
          <w:sz w:val="24"/>
        </w:rPr>
        <w:t>“</w:t>
      </w:r>
      <w:r w:rsidRPr="007227ED">
        <w:rPr>
          <w:rFonts w:ascii="Times New Roman" w:hAnsi="Times New Roman" w:cs="Times New Roman"/>
          <w:sz w:val="24"/>
        </w:rPr>
        <w:t>BT Group Credit Rating Report</w:t>
      </w:r>
      <w:r w:rsidR="00814D4E">
        <w:rPr>
          <w:rFonts w:ascii="Times New Roman" w:hAnsi="Times New Roman" w:cs="Times New Roman"/>
          <w:sz w:val="24"/>
        </w:rPr>
        <w:t>”</w:t>
      </w:r>
      <w:r w:rsidRPr="007227ED">
        <w:rPr>
          <w:rFonts w:ascii="Times New Roman" w:hAnsi="Times New Roman" w:cs="Times New Roman"/>
          <w:sz w:val="24"/>
        </w:rPr>
        <w:t>. Available at</w:t>
      </w:r>
      <w:r w:rsidRPr="007227ED">
        <w:rPr>
          <w:rFonts w:ascii="Times New Roman" w:hAnsi="Times New Roman" w:cs="Times New Roman"/>
          <w:color w:val="5B9BD5" w:themeColor="accent1"/>
          <w:sz w:val="24"/>
        </w:rPr>
        <w:t xml:space="preserve">: https://www.moodys.com </w:t>
      </w:r>
      <w:r w:rsidRPr="007227ED">
        <w:rPr>
          <w:rFonts w:ascii="Times New Roman" w:hAnsi="Times New Roman" w:cs="Times New Roman"/>
          <w:sz w:val="24"/>
        </w:rPr>
        <w:t>(Accessed: 15 July 2025).</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Saunders, M., Lewis, P. and Thornhill, A. (2021) </w:t>
      </w:r>
      <w:r w:rsidR="00814D4E">
        <w:rPr>
          <w:rFonts w:ascii="Times New Roman" w:hAnsi="Times New Roman" w:cs="Times New Roman"/>
          <w:sz w:val="24"/>
        </w:rPr>
        <w:t>“</w:t>
      </w:r>
      <w:r w:rsidRPr="007227ED">
        <w:rPr>
          <w:rFonts w:ascii="Times New Roman" w:hAnsi="Times New Roman" w:cs="Times New Roman"/>
          <w:sz w:val="24"/>
        </w:rPr>
        <w:t>Research Methods for Business Students</w:t>
      </w:r>
      <w:r w:rsidR="00814D4E">
        <w:rPr>
          <w:rFonts w:ascii="Times New Roman" w:hAnsi="Times New Roman" w:cs="Times New Roman"/>
          <w:sz w:val="24"/>
        </w:rPr>
        <w:t>”</w:t>
      </w:r>
      <w:r w:rsidRPr="007227ED">
        <w:rPr>
          <w:rFonts w:ascii="Times New Roman" w:hAnsi="Times New Roman" w:cs="Times New Roman"/>
          <w:sz w:val="24"/>
        </w:rPr>
        <w:t>. 8th edn. Harlow: Pearson.</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Srinivasan, V. (2025) </w:t>
      </w:r>
      <w:r w:rsidR="00814D4E">
        <w:rPr>
          <w:rFonts w:ascii="Times New Roman" w:hAnsi="Times New Roman" w:cs="Times New Roman"/>
          <w:sz w:val="24"/>
        </w:rPr>
        <w:t>“</w:t>
      </w:r>
      <w:r w:rsidRPr="007227ED">
        <w:rPr>
          <w:rFonts w:ascii="Times New Roman" w:hAnsi="Times New Roman" w:cs="Times New Roman"/>
          <w:sz w:val="24"/>
        </w:rPr>
        <w:t>Financial Statement Analysis for Strategic Decision-Making</w:t>
      </w:r>
      <w:r w:rsidR="00814D4E">
        <w:rPr>
          <w:rFonts w:ascii="Times New Roman" w:hAnsi="Times New Roman" w:cs="Times New Roman"/>
          <w:sz w:val="24"/>
        </w:rPr>
        <w:t>”</w:t>
      </w:r>
      <w:r w:rsidRPr="007227ED">
        <w:rPr>
          <w:rFonts w:ascii="Times New Roman" w:hAnsi="Times New Roman" w:cs="Times New Roman"/>
          <w:sz w:val="24"/>
        </w:rPr>
        <w:t>. London: Routledge.</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Vernimmen, P., Quiry, P., Le Fur, Y. and Dallocchio, M. (2022) </w:t>
      </w:r>
      <w:r w:rsidR="00814D4E">
        <w:rPr>
          <w:rFonts w:ascii="Times New Roman" w:hAnsi="Times New Roman" w:cs="Times New Roman"/>
          <w:sz w:val="24"/>
        </w:rPr>
        <w:t>“</w:t>
      </w:r>
      <w:r w:rsidRPr="007227ED">
        <w:rPr>
          <w:rFonts w:ascii="Times New Roman" w:hAnsi="Times New Roman" w:cs="Times New Roman"/>
          <w:sz w:val="24"/>
        </w:rPr>
        <w:t>Corporate Finance: Theory and Practice</w:t>
      </w:r>
      <w:r w:rsidR="00814D4E">
        <w:rPr>
          <w:rFonts w:ascii="Times New Roman" w:hAnsi="Times New Roman" w:cs="Times New Roman"/>
          <w:sz w:val="24"/>
        </w:rPr>
        <w:t>”</w:t>
      </w:r>
      <w:r w:rsidRPr="007227ED">
        <w:rPr>
          <w:rFonts w:ascii="Times New Roman" w:hAnsi="Times New Roman" w:cs="Times New Roman"/>
          <w:sz w:val="24"/>
        </w:rPr>
        <w:t>. 6th edn. Chichester: Wiley.</w:t>
      </w:r>
    </w:p>
    <w:p w:rsidR="007227ED" w:rsidRPr="007227ED" w:rsidRDefault="007227ED" w:rsidP="007227ED">
      <w:pPr>
        <w:spacing w:line="360" w:lineRule="auto"/>
        <w:jc w:val="both"/>
        <w:rPr>
          <w:rFonts w:ascii="Times New Roman" w:hAnsi="Times New Roman" w:cs="Times New Roman"/>
          <w:sz w:val="24"/>
        </w:rPr>
      </w:pPr>
      <w:r w:rsidRPr="007227ED">
        <w:rPr>
          <w:rFonts w:ascii="Times New Roman" w:hAnsi="Times New Roman" w:cs="Times New Roman"/>
          <w:sz w:val="24"/>
        </w:rPr>
        <w:t xml:space="preserve">Walsh, C. (2008) </w:t>
      </w:r>
      <w:r w:rsidR="00814D4E">
        <w:rPr>
          <w:rFonts w:ascii="Times New Roman" w:hAnsi="Times New Roman" w:cs="Times New Roman"/>
          <w:sz w:val="24"/>
        </w:rPr>
        <w:t>“</w:t>
      </w:r>
      <w:r w:rsidRPr="007227ED">
        <w:rPr>
          <w:rFonts w:ascii="Times New Roman" w:hAnsi="Times New Roman" w:cs="Times New Roman"/>
          <w:sz w:val="24"/>
        </w:rPr>
        <w:t>Key Management Ratios</w:t>
      </w:r>
      <w:r w:rsidR="00814D4E">
        <w:rPr>
          <w:rFonts w:ascii="Times New Roman" w:hAnsi="Times New Roman" w:cs="Times New Roman"/>
          <w:sz w:val="24"/>
        </w:rPr>
        <w:t>”</w:t>
      </w:r>
      <w:r w:rsidRPr="007227ED">
        <w:rPr>
          <w:rFonts w:ascii="Times New Roman" w:hAnsi="Times New Roman" w:cs="Times New Roman"/>
          <w:sz w:val="24"/>
        </w:rPr>
        <w:t>. 4th edn. Harlow: FT Prentice Hall.</w:t>
      </w:r>
    </w:p>
    <w:p w:rsidR="007227ED" w:rsidRDefault="007227ED" w:rsidP="0088378B">
      <w:pPr>
        <w:spacing w:line="360" w:lineRule="auto"/>
        <w:rPr>
          <w:lang w:val="en-IN"/>
        </w:rPr>
      </w:pPr>
    </w:p>
    <w:p w:rsidR="007227ED" w:rsidRDefault="007227ED" w:rsidP="0088378B">
      <w:pPr>
        <w:spacing w:line="360" w:lineRule="auto"/>
        <w:rPr>
          <w:lang w:val="en-IN"/>
        </w:rPr>
      </w:pPr>
    </w:p>
    <w:p w:rsidR="00FE6D60" w:rsidRDefault="00FE6D60" w:rsidP="0088378B">
      <w:pPr>
        <w:spacing w:line="360" w:lineRule="auto"/>
        <w:rPr>
          <w:lang w:val="en-IN"/>
        </w:rPr>
      </w:pPr>
    </w:p>
    <w:tbl>
      <w:tblPr>
        <w:tblW w:w="9058" w:type="dxa"/>
        <w:tblLook w:val="04A0" w:firstRow="1" w:lastRow="0" w:firstColumn="1" w:lastColumn="0" w:noHBand="0" w:noVBand="1"/>
      </w:tblPr>
      <w:tblGrid>
        <w:gridCol w:w="3153"/>
        <w:gridCol w:w="2003"/>
        <w:gridCol w:w="1314"/>
        <w:gridCol w:w="2588"/>
      </w:tblGrid>
      <w:tr w:rsidR="00D6204A" w:rsidRPr="00D6204A" w:rsidTr="00435F8A">
        <w:trPr>
          <w:trHeight w:val="268"/>
        </w:trPr>
        <w:tc>
          <w:tcPr>
            <w:tcW w:w="5156" w:type="dxa"/>
            <w:gridSpan w:val="2"/>
            <w:tcBorders>
              <w:top w:val="nil"/>
              <w:left w:val="nil"/>
              <w:bottom w:val="nil"/>
              <w:right w:val="nil"/>
            </w:tcBorders>
            <w:shd w:val="clear" w:color="auto" w:fill="auto"/>
            <w:noWrap/>
            <w:vAlign w:val="center"/>
          </w:tcPr>
          <w:p w:rsidR="00D6204A" w:rsidRPr="00435F8A" w:rsidRDefault="00435F8A" w:rsidP="007227ED">
            <w:pPr>
              <w:pStyle w:val="Heading1"/>
              <w:numPr>
                <w:ilvl w:val="0"/>
                <w:numId w:val="0"/>
              </w:numPr>
              <w:rPr>
                <w:rFonts w:ascii="Times New Roman" w:eastAsia="Times New Roman" w:hAnsi="Times New Roman" w:cs="Times New Roman"/>
                <w:b/>
                <w:color w:val="auto"/>
                <w:lang w:val="en-IN" w:eastAsia="en-IN"/>
              </w:rPr>
            </w:pPr>
            <w:bookmarkStart w:id="35" w:name="_Toc203731992"/>
            <w:r w:rsidRPr="00435F8A">
              <w:rPr>
                <w:rFonts w:ascii="Times New Roman" w:eastAsia="Times New Roman" w:hAnsi="Times New Roman" w:cs="Times New Roman"/>
                <w:b/>
                <w:color w:val="auto"/>
                <w:lang w:val="en-IN" w:eastAsia="en-IN"/>
              </w:rPr>
              <w:t>Appendix A Profitability Ratio</w:t>
            </w:r>
            <w:bookmarkEnd w:id="35"/>
          </w:p>
          <w:p w:rsidR="00435F8A" w:rsidRPr="00435F8A" w:rsidRDefault="00435F8A" w:rsidP="00435F8A">
            <w:pPr>
              <w:rPr>
                <w:lang w:val="en-IN" w:eastAsia="en-IN"/>
              </w:rPr>
            </w:pPr>
          </w:p>
        </w:tc>
        <w:tc>
          <w:tcPr>
            <w:tcW w:w="1314" w:type="dxa"/>
            <w:tcBorders>
              <w:top w:val="nil"/>
              <w:left w:val="nil"/>
              <w:bottom w:val="nil"/>
              <w:right w:val="nil"/>
            </w:tcBorders>
            <w:shd w:val="clear" w:color="auto" w:fill="auto"/>
            <w:noWrap/>
            <w:vAlign w:val="bottom"/>
          </w:tcPr>
          <w:p w:rsidR="00D6204A" w:rsidRPr="00D6204A" w:rsidRDefault="00D6204A" w:rsidP="0088378B">
            <w:pPr>
              <w:spacing w:after="0" w:line="360" w:lineRule="auto"/>
              <w:rPr>
                <w:rFonts w:ascii="Times New Roman" w:eastAsia="Times New Roman" w:hAnsi="Times New Roman" w:cs="Times New Roman"/>
                <w:b/>
                <w:bCs/>
                <w:sz w:val="28"/>
                <w:szCs w:val="28"/>
                <w:lang w:val="en-IN" w:eastAsia="en-IN"/>
              </w:rPr>
            </w:pPr>
          </w:p>
        </w:tc>
        <w:tc>
          <w:tcPr>
            <w:tcW w:w="2588" w:type="dxa"/>
            <w:tcBorders>
              <w:top w:val="nil"/>
              <w:left w:val="nil"/>
              <w:bottom w:val="nil"/>
              <w:right w:val="nil"/>
            </w:tcBorders>
            <w:shd w:val="clear" w:color="auto" w:fill="auto"/>
            <w:noWrap/>
            <w:vAlign w:val="bottom"/>
          </w:tcPr>
          <w:p w:rsidR="00D6204A" w:rsidRPr="00D6204A" w:rsidRDefault="00D6204A" w:rsidP="0088378B">
            <w:pPr>
              <w:spacing w:after="0" w:line="360" w:lineRule="auto"/>
              <w:rPr>
                <w:rFonts w:ascii="Times New Roman" w:eastAsia="Times New Roman" w:hAnsi="Times New Roman" w:cs="Times New Roman"/>
                <w:sz w:val="20"/>
                <w:szCs w:val="20"/>
                <w:lang w:val="en-IN" w:eastAsia="en-IN"/>
              </w:rPr>
            </w:pPr>
          </w:p>
        </w:tc>
      </w:tr>
      <w:tr w:rsidR="00D6204A" w:rsidRPr="00D6204A" w:rsidTr="00DB7D20">
        <w:trPr>
          <w:trHeight w:val="225"/>
        </w:trPr>
        <w:tc>
          <w:tcPr>
            <w:tcW w:w="315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Ratio</w:t>
            </w:r>
          </w:p>
        </w:tc>
        <w:tc>
          <w:tcPr>
            <w:tcW w:w="2003"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2023</w:t>
            </w:r>
          </w:p>
        </w:tc>
        <w:tc>
          <w:tcPr>
            <w:tcW w:w="1314"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2024</w:t>
            </w:r>
          </w:p>
        </w:tc>
        <w:tc>
          <w:tcPr>
            <w:tcW w:w="2588"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Formula / Calculation</w:t>
            </w:r>
          </w:p>
        </w:tc>
      </w:tr>
      <w:tr w:rsidR="00D6204A" w:rsidRPr="00D6204A" w:rsidTr="00DB7D20">
        <w:trPr>
          <w:trHeight w:val="1357"/>
        </w:trPr>
        <w:tc>
          <w:tcPr>
            <w:tcW w:w="3153"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Return on Capital Employed (ROCE)</w:t>
            </w:r>
          </w:p>
        </w:tc>
        <w:tc>
          <w:tcPr>
            <w:tcW w:w="2003"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6.18%</w:t>
            </w:r>
          </w:p>
        </w:tc>
        <w:tc>
          <w:tcPr>
            <w:tcW w:w="1314"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5.28%</w:t>
            </w:r>
          </w:p>
        </w:tc>
        <w:tc>
          <w:tcPr>
            <w:tcW w:w="2588"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(Operating Profit / Capital Employed) x 100</w:t>
            </w:r>
          </w:p>
        </w:tc>
      </w:tr>
      <w:tr w:rsidR="00D6204A" w:rsidRPr="00D6204A" w:rsidTr="00DB7D20">
        <w:trPr>
          <w:trHeight w:val="904"/>
        </w:trPr>
        <w:tc>
          <w:tcPr>
            <w:tcW w:w="3153"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Net Profit Margin</w:t>
            </w:r>
          </w:p>
        </w:tc>
        <w:tc>
          <w:tcPr>
            <w:tcW w:w="2003"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9.21%</w:t>
            </w:r>
          </w:p>
        </w:tc>
        <w:tc>
          <w:tcPr>
            <w:tcW w:w="1314"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4.11%</w:t>
            </w:r>
          </w:p>
        </w:tc>
        <w:tc>
          <w:tcPr>
            <w:tcW w:w="2588"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(Net Profit / Revenue) x 100</w:t>
            </w:r>
          </w:p>
        </w:tc>
      </w:tr>
      <w:tr w:rsidR="00D6204A" w:rsidRPr="00D6204A" w:rsidTr="00DB7D20">
        <w:trPr>
          <w:trHeight w:val="1131"/>
        </w:trPr>
        <w:tc>
          <w:tcPr>
            <w:tcW w:w="3153"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Operating Profit Margin</w:t>
            </w:r>
          </w:p>
        </w:tc>
        <w:tc>
          <w:tcPr>
            <w:tcW w:w="2003"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12.67%</w:t>
            </w:r>
          </w:p>
        </w:tc>
        <w:tc>
          <w:tcPr>
            <w:tcW w:w="1314"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10.65%</w:t>
            </w:r>
          </w:p>
        </w:tc>
        <w:tc>
          <w:tcPr>
            <w:tcW w:w="2588"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(Operating Profit / Revenue) x 100</w:t>
            </w:r>
          </w:p>
        </w:tc>
      </w:tr>
      <w:tr w:rsidR="00D6204A" w:rsidRPr="00D6204A" w:rsidTr="00DB7D20">
        <w:trPr>
          <w:trHeight w:val="904"/>
        </w:trPr>
        <w:tc>
          <w:tcPr>
            <w:tcW w:w="3153"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Gross Profit Margin</w:t>
            </w:r>
          </w:p>
        </w:tc>
        <w:tc>
          <w:tcPr>
            <w:tcW w:w="2003"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12.67%</w:t>
            </w:r>
          </w:p>
        </w:tc>
        <w:tc>
          <w:tcPr>
            <w:tcW w:w="1314"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10.65%</w:t>
            </w:r>
          </w:p>
        </w:tc>
        <w:tc>
          <w:tcPr>
            <w:tcW w:w="2588"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(Gross Profit / Revenue) x 100</w:t>
            </w:r>
          </w:p>
        </w:tc>
      </w:tr>
      <w:tr w:rsidR="00D6204A" w:rsidRPr="00D6204A" w:rsidTr="00DB7D20">
        <w:trPr>
          <w:trHeight w:val="1357"/>
        </w:trPr>
        <w:tc>
          <w:tcPr>
            <w:tcW w:w="3153"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Return on Equity (ROE)</w:t>
            </w:r>
          </w:p>
        </w:tc>
        <w:tc>
          <w:tcPr>
            <w:tcW w:w="2003"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13.15%</w:t>
            </w:r>
          </w:p>
        </w:tc>
        <w:tc>
          <w:tcPr>
            <w:tcW w:w="1314"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6.83%</w:t>
            </w:r>
          </w:p>
        </w:tc>
        <w:tc>
          <w:tcPr>
            <w:tcW w:w="2588"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(Net Profit / Shareholders' Equity) x 100</w:t>
            </w:r>
          </w:p>
        </w:tc>
      </w:tr>
    </w:tbl>
    <w:p w:rsidR="00D6204A" w:rsidRDefault="00D6204A" w:rsidP="0088378B">
      <w:pPr>
        <w:spacing w:line="360" w:lineRule="auto"/>
        <w:rPr>
          <w:lang w:val="en-IN"/>
        </w:rPr>
      </w:pPr>
    </w:p>
    <w:p w:rsidR="00D6204A" w:rsidRPr="00D6204A" w:rsidRDefault="00D6204A" w:rsidP="0088378B">
      <w:pPr>
        <w:pStyle w:val="Heading1"/>
        <w:numPr>
          <w:ilvl w:val="0"/>
          <w:numId w:val="0"/>
        </w:numPr>
        <w:spacing w:line="360" w:lineRule="auto"/>
        <w:ind w:left="432" w:hanging="432"/>
        <w:rPr>
          <w:rFonts w:ascii="Times New Roman" w:hAnsi="Times New Roman" w:cs="Times New Roman"/>
          <w:b/>
          <w:color w:val="auto"/>
          <w:lang w:val="en-IN"/>
        </w:rPr>
      </w:pPr>
      <w:bookmarkStart w:id="36" w:name="_Toc203731993"/>
      <w:r w:rsidRPr="00D6204A">
        <w:rPr>
          <w:rFonts w:ascii="Times New Roman" w:hAnsi="Times New Roman" w:cs="Times New Roman"/>
          <w:b/>
          <w:color w:val="auto"/>
          <w:lang w:val="en-IN"/>
        </w:rPr>
        <w:t>Appendix B Liquidity</w:t>
      </w:r>
      <w:r w:rsidRPr="00D6204A">
        <w:rPr>
          <w:rFonts w:ascii="Times New Roman" w:eastAsia="Times New Roman" w:hAnsi="Times New Roman" w:cs="Times New Roman"/>
          <w:b/>
          <w:color w:val="auto"/>
          <w:szCs w:val="24"/>
          <w:lang w:val="en-US" w:eastAsia="en-IN"/>
        </w:rPr>
        <w:t xml:space="preserve"> Ratios</w:t>
      </w:r>
      <w:bookmarkEnd w:id="36"/>
    </w:p>
    <w:tbl>
      <w:tblPr>
        <w:tblW w:w="8960" w:type="dxa"/>
        <w:tblLook w:val="04A0" w:firstRow="1" w:lastRow="0" w:firstColumn="1" w:lastColumn="0" w:noHBand="0" w:noVBand="1"/>
      </w:tblPr>
      <w:tblGrid>
        <w:gridCol w:w="2268"/>
        <w:gridCol w:w="1492"/>
        <w:gridCol w:w="703"/>
        <w:gridCol w:w="1937"/>
        <w:gridCol w:w="2560"/>
      </w:tblGrid>
      <w:tr w:rsidR="00D6204A" w:rsidRPr="00D6204A" w:rsidTr="00D6204A">
        <w:trPr>
          <w:trHeight w:val="315"/>
        </w:trPr>
        <w:tc>
          <w:tcPr>
            <w:tcW w:w="2268" w:type="dxa"/>
            <w:tcBorders>
              <w:top w:val="nil"/>
              <w:left w:val="nil"/>
              <w:bottom w:val="nil"/>
              <w:right w:val="nil"/>
            </w:tcBorders>
            <w:shd w:val="clear" w:color="auto" w:fill="auto"/>
            <w:noWrap/>
            <w:vAlign w:val="center"/>
          </w:tcPr>
          <w:p w:rsidR="00D6204A" w:rsidRPr="00D6204A" w:rsidRDefault="00D6204A" w:rsidP="0088378B">
            <w:pPr>
              <w:spacing w:after="0" w:line="360" w:lineRule="auto"/>
              <w:rPr>
                <w:rFonts w:ascii="Times New Roman" w:eastAsia="Times New Roman" w:hAnsi="Times New Roman" w:cs="Times New Roman"/>
                <w:b/>
                <w:sz w:val="24"/>
                <w:szCs w:val="24"/>
                <w:lang w:val="en-IN" w:eastAsia="en-IN"/>
              </w:rPr>
            </w:pPr>
          </w:p>
        </w:tc>
        <w:tc>
          <w:tcPr>
            <w:tcW w:w="1492" w:type="dxa"/>
            <w:tcBorders>
              <w:top w:val="nil"/>
              <w:left w:val="nil"/>
              <w:bottom w:val="nil"/>
              <w:right w:val="nil"/>
            </w:tcBorders>
          </w:tcPr>
          <w:p w:rsidR="00D6204A" w:rsidRPr="00D6204A" w:rsidRDefault="00D6204A" w:rsidP="0088378B">
            <w:pPr>
              <w:spacing w:after="0" w:line="360" w:lineRule="auto"/>
              <w:rPr>
                <w:rFonts w:ascii="Times New Roman" w:eastAsia="Times New Roman" w:hAnsi="Times New Roman" w:cs="Times New Roman"/>
                <w:sz w:val="24"/>
                <w:szCs w:val="24"/>
                <w:lang w:val="en-IN" w:eastAsia="en-IN"/>
              </w:rPr>
            </w:pPr>
          </w:p>
        </w:tc>
        <w:tc>
          <w:tcPr>
            <w:tcW w:w="703" w:type="dxa"/>
            <w:tcBorders>
              <w:top w:val="nil"/>
              <w:left w:val="nil"/>
              <w:bottom w:val="nil"/>
              <w:right w:val="nil"/>
            </w:tcBorders>
            <w:shd w:val="clear" w:color="auto" w:fill="auto"/>
            <w:noWrap/>
            <w:vAlign w:val="bottom"/>
          </w:tcPr>
          <w:p w:rsidR="00D6204A" w:rsidRPr="00D6204A" w:rsidRDefault="00D6204A" w:rsidP="0088378B">
            <w:pPr>
              <w:spacing w:after="0" w:line="360" w:lineRule="auto"/>
              <w:rPr>
                <w:rFonts w:ascii="Times New Roman" w:eastAsia="Times New Roman" w:hAnsi="Times New Roman" w:cs="Times New Roman"/>
                <w:sz w:val="24"/>
                <w:szCs w:val="24"/>
                <w:lang w:val="en-IN" w:eastAsia="en-IN"/>
              </w:rPr>
            </w:pPr>
          </w:p>
        </w:tc>
        <w:tc>
          <w:tcPr>
            <w:tcW w:w="1937" w:type="dxa"/>
            <w:tcBorders>
              <w:top w:val="nil"/>
              <w:left w:val="nil"/>
              <w:bottom w:val="nil"/>
              <w:right w:val="nil"/>
            </w:tcBorders>
            <w:shd w:val="clear" w:color="auto" w:fill="auto"/>
            <w:noWrap/>
            <w:vAlign w:val="bottom"/>
          </w:tcPr>
          <w:p w:rsidR="00D6204A" w:rsidRPr="00D6204A" w:rsidRDefault="00D6204A" w:rsidP="0088378B">
            <w:pPr>
              <w:spacing w:after="0" w:line="360" w:lineRule="auto"/>
              <w:rPr>
                <w:rFonts w:ascii="Times New Roman" w:eastAsia="Times New Roman" w:hAnsi="Times New Roman" w:cs="Times New Roman"/>
                <w:sz w:val="20"/>
                <w:szCs w:val="20"/>
                <w:lang w:val="en-IN" w:eastAsia="en-IN"/>
              </w:rPr>
            </w:pPr>
          </w:p>
        </w:tc>
        <w:tc>
          <w:tcPr>
            <w:tcW w:w="2560" w:type="dxa"/>
            <w:tcBorders>
              <w:top w:val="nil"/>
              <w:left w:val="nil"/>
              <w:bottom w:val="nil"/>
              <w:right w:val="nil"/>
            </w:tcBorders>
            <w:shd w:val="clear" w:color="auto" w:fill="auto"/>
            <w:noWrap/>
            <w:vAlign w:val="bottom"/>
          </w:tcPr>
          <w:p w:rsidR="00D6204A" w:rsidRPr="00D6204A" w:rsidRDefault="00D6204A" w:rsidP="0088378B">
            <w:pPr>
              <w:spacing w:after="0" w:line="360" w:lineRule="auto"/>
              <w:rPr>
                <w:rFonts w:ascii="Times New Roman" w:eastAsia="Times New Roman" w:hAnsi="Times New Roman" w:cs="Times New Roman"/>
                <w:sz w:val="20"/>
                <w:szCs w:val="20"/>
                <w:lang w:val="en-IN" w:eastAsia="en-IN"/>
              </w:rPr>
            </w:pPr>
          </w:p>
        </w:tc>
      </w:tr>
      <w:tr w:rsidR="00D6204A" w:rsidRPr="00D6204A" w:rsidTr="00D6204A">
        <w:trPr>
          <w:trHeight w:val="315"/>
        </w:trPr>
        <w:tc>
          <w:tcPr>
            <w:tcW w:w="226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Ratio</w:t>
            </w:r>
          </w:p>
        </w:tc>
        <w:tc>
          <w:tcPr>
            <w:tcW w:w="1492" w:type="dxa"/>
            <w:tcBorders>
              <w:top w:val="single" w:sz="4" w:space="0" w:color="auto"/>
              <w:left w:val="nil"/>
              <w:bottom w:val="single" w:sz="4" w:space="0" w:color="auto"/>
              <w:right w:val="nil"/>
            </w:tcBorders>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US" w:eastAsia="en-IN"/>
              </w:rPr>
            </w:pPr>
          </w:p>
        </w:tc>
        <w:tc>
          <w:tcPr>
            <w:tcW w:w="703"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2023</w:t>
            </w:r>
          </w:p>
        </w:tc>
        <w:tc>
          <w:tcPr>
            <w:tcW w:w="1937"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2024</w:t>
            </w:r>
          </w:p>
        </w:tc>
        <w:tc>
          <w:tcPr>
            <w:tcW w:w="2560"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Formula / Calculation</w:t>
            </w:r>
          </w:p>
        </w:tc>
      </w:tr>
      <w:tr w:rsidR="00D6204A" w:rsidRPr="00D6204A" w:rsidTr="00D6204A">
        <w:trPr>
          <w:trHeight w:val="1260"/>
        </w:trPr>
        <w:tc>
          <w:tcPr>
            <w:tcW w:w="2268"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Current Ratio</w:t>
            </w:r>
          </w:p>
        </w:tc>
        <w:tc>
          <w:tcPr>
            <w:tcW w:w="1492" w:type="dxa"/>
            <w:tcBorders>
              <w:top w:val="nil"/>
              <w:left w:val="nil"/>
              <w:bottom w:val="single" w:sz="4" w:space="0" w:color="auto"/>
              <w:right w:val="nil"/>
            </w:tcBorders>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US" w:eastAsia="en-IN"/>
              </w:rPr>
            </w:pPr>
          </w:p>
        </w:tc>
        <w:tc>
          <w:tcPr>
            <w:tcW w:w="703"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0.85</w:t>
            </w:r>
          </w:p>
        </w:tc>
        <w:tc>
          <w:tcPr>
            <w:tcW w:w="1937"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0.85</w:t>
            </w:r>
          </w:p>
        </w:tc>
        <w:tc>
          <w:tcPr>
            <w:tcW w:w="2560"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Current Assets / Current Liabilities</w:t>
            </w:r>
          </w:p>
        </w:tc>
      </w:tr>
      <w:tr w:rsidR="00D6204A" w:rsidRPr="00D6204A" w:rsidTr="00D6204A">
        <w:trPr>
          <w:trHeight w:val="1273"/>
        </w:trPr>
        <w:tc>
          <w:tcPr>
            <w:tcW w:w="2268"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Quick Ratio</w:t>
            </w:r>
          </w:p>
        </w:tc>
        <w:tc>
          <w:tcPr>
            <w:tcW w:w="1492" w:type="dxa"/>
            <w:tcBorders>
              <w:top w:val="nil"/>
              <w:left w:val="nil"/>
              <w:bottom w:val="single" w:sz="4" w:space="0" w:color="auto"/>
              <w:right w:val="nil"/>
            </w:tcBorders>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US" w:eastAsia="en-IN"/>
              </w:rPr>
            </w:pPr>
          </w:p>
        </w:tc>
        <w:tc>
          <w:tcPr>
            <w:tcW w:w="703"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0.82</w:t>
            </w:r>
          </w:p>
        </w:tc>
        <w:tc>
          <w:tcPr>
            <w:tcW w:w="1937"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0.81</w:t>
            </w:r>
          </w:p>
        </w:tc>
        <w:tc>
          <w:tcPr>
            <w:tcW w:w="2560"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(Current Assets – Inventory) / Current Liabilities</w:t>
            </w:r>
          </w:p>
        </w:tc>
      </w:tr>
    </w:tbl>
    <w:p w:rsidR="00114968" w:rsidRDefault="00114968" w:rsidP="00114968">
      <w:pPr>
        <w:rPr>
          <w:lang w:val="en-IN"/>
        </w:rPr>
      </w:pPr>
    </w:p>
    <w:p w:rsidR="00114968" w:rsidRDefault="00114968" w:rsidP="00114968">
      <w:pPr>
        <w:rPr>
          <w:lang w:val="en-IN"/>
        </w:rPr>
      </w:pPr>
    </w:p>
    <w:p w:rsidR="00114968" w:rsidRPr="00114968" w:rsidRDefault="00114968" w:rsidP="00114968">
      <w:pPr>
        <w:rPr>
          <w:lang w:val="en-IN"/>
        </w:rPr>
      </w:pPr>
    </w:p>
    <w:p w:rsidR="00D6204A" w:rsidRPr="00114968" w:rsidRDefault="00D6204A" w:rsidP="00114968">
      <w:pPr>
        <w:pStyle w:val="Heading1"/>
        <w:numPr>
          <w:ilvl w:val="0"/>
          <w:numId w:val="0"/>
        </w:numPr>
        <w:spacing w:line="360" w:lineRule="auto"/>
        <w:rPr>
          <w:rFonts w:ascii="Times New Roman" w:hAnsi="Times New Roman" w:cs="Times New Roman"/>
          <w:b/>
          <w:color w:val="auto"/>
          <w:lang w:val="en-IN"/>
        </w:rPr>
      </w:pPr>
      <w:bookmarkStart w:id="37" w:name="_Toc203731994"/>
      <w:r w:rsidRPr="00D6204A">
        <w:rPr>
          <w:rFonts w:ascii="Times New Roman" w:hAnsi="Times New Roman" w:cs="Times New Roman"/>
          <w:b/>
          <w:color w:val="auto"/>
          <w:lang w:val="en-IN"/>
        </w:rPr>
        <w:t>Appendix c Efficiency Ratio</w:t>
      </w:r>
      <w:bookmarkEnd w:id="37"/>
      <w:r w:rsidRPr="00D6204A">
        <w:rPr>
          <w:rFonts w:ascii="Times New Roman" w:hAnsi="Times New Roman" w:cs="Times New Roman"/>
          <w:b/>
          <w:color w:val="auto"/>
          <w:lang w:val="en-IN"/>
        </w:rPr>
        <w:t xml:space="preserve"> </w:t>
      </w:r>
    </w:p>
    <w:tbl>
      <w:tblPr>
        <w:tblW w:w="8941" w:type="dxa"/>
        <w:tblInd w:w="-5" w:type="dxa"/>
        <w:tblLook w:val="04A0" w:firstRow="1" w:lastRow="0" w:firstColumn="1" w:lastColumn="0" w:noHBand="0" w:noVBand="1"/>
      </w:tblPr>
      <w:tblGrid>
        <w:gridCol w:w="2840"/>
        <w:gridCol w:w="1572"/>
        <w:gridCol w:w="1525"/>
        <w:gridCol w:w="3004"/>
      </w:tblGrid>
      <w:tr w:rsidR="00D6204A" w:rsidRPr="00D6204A" w:rsidTr="00D6204A">
        <w:trPr>
          <w:trHeight w:val="327"/>
        </w:trPr>
        <w:tc>
          <w:tcPr>
            <w:tcW w:w="28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Ratio</w:t>
            </w:r>
          </w:p>
        </w:tc>
        <w:tc>
          <w:tcPr>
            <w:tcW w:w="1572"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2023</w:t>
            </w:r>
          </w:p>
        </w:tc>
        <w:tc>
          <w:tcPr>
            <w:tcW w:w="1525"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2024</w:t>
            </w:r>
          </w:p>
        </w:tc>
        <w:tc>
          <w:tcPr>
            <w:tcW w:w="3004" w:type="dxa"/>
            <w:tcBorders>
              <w:top w:val="single" w:sz="4" w:space="0" w:color="auto"/>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b/>
                <w:bCs/>
                <w:color w:val="000000"/>
                <w:sz w:val="24"/>
                <w:szCs w:val="24"/>
                <w:lang w:val="en-IN" w:eastAsia="en-IN"/>
              </w:rPr>
            </w:pPr>
            <w:r w:rsidRPr="00D6204A">
              <w:rPr>
                <w:rFonts w:ascii="Times New Roman" w:eastAsia="Times New Roman" w:hAnsi="Times New Roman" w:cs="Times New Roman"/>
                <w:b/>
                <w:bCs/>
                <w:color w:val="000000"/>
                <w:sz w:val="24"/>
                <w:szCs w:val="24"/>
                <w:lang w:val="en-US" w:eastAsia="en-IN"/>
              </w:rPr>
              <w:t>Formula / Calculation</w:t>
            </w:r>
          </w:p>
        </w:tc>
      </w:tr>
      <w:tr w:rsidR="00D6204A" w:rsidRPr="00D6204A" w:rsidTr="00D6204A">
        <w:trPr>
          <w:trHeight w:val="1311"/>
        </w:trPr>
        <w:tc>
          <w:tcPr>
            <w:tcW w:w="2840"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Debtor Collection Period</w:t>
            </w:r>
          </w:p>
        </w:tc>
        <w:tc>
          <w:tcPr>
            <w:tcW w:w="1572"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60.2 days</w:t>
            </w:r>
          </w:p>
        </w:tc>
        <w:tc>
          <w:tcPr>
            <w:tcW w:w="1525"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59.6 days</w:t>
            </w:r>
          </w:p>
        </w:tc>
        <w:tc>
          <w:tcPr>
            <w:tcW w:w="3004"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(Receivables / Revenue) x 365</w:t>
            </w:r>
          </w:p>
        </w:tc>
      </w:tr>
      <w:tr w:rsidR="00D6204A" w:rsidRPr="00D6204A" w:rsidTr="00D6204A">
        <w:trPr>
          <w:trHeight w:val="1311"/>
        </w:trPr>
        <w:tc>
          <w:tcPr>
            <w:tcW w:w="2840" w:type="dxa"/>
            <w:tcBorders>
              <w:top w:val="nil"/>
              <w:left w:val="single" w:sz="4" w:space="0" w:color="auto"/>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Creditor Payment Period</w:t>
            </w:r>
          </w:p>
        </w:tc>
        <w:tc>
          <w:tcPr>
            <w:tcW w:w="1572"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180.2 days</w:t>
            </w:r>
          </w:p>
        </w:tc>
        <w:tc>
          <w:tcPr>
            <w:tcW w:w="1525"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195.4 days</w:t>
            </w:r>
          </w:p>
        </w:tc>
        <w:tc>
          <w:tcPr>
            <w:tcW w:w="3004" w:type="dxa"/>
            <w:tcBorders>
              <w:top w:val="nil"/>
              <w:left w:val="nil"/>
              <w:bottom w:val="single" w:sz="4" w:space="0" w:color="auto"/>
              <w:right w:val="single" w:sz="4" w:space="0" w:color="auto"/>
            </w:tcBorders>
            <w:shd w:val="clear" w:color="auto" w:fill="auto"/>
            <w:vAlign w:val="center"/>
            <w:hideMark/>
          </w:tcPr>
          <w:p w:rsidR="00D6204A" w:rsidRPr="00D6204A" w:rsidRDefault="00D6204A" w:rsidP="0088378B">
            <w:pPr>
              <w:spacing w:after="0" w:line="360" w:lineRule="auto"/>
              <w:jc w:val="both"/>
              <w:rPr>
                <w:rFonts w:ascii="Times New Roman" w:eastAsia="Times New Roman" w:hAnsi="Times New Roman" w:cs="Times New Roman"/>
                <w:color w:val="000000"/>
                <w:sz w:val="24"/>
                <w:szCs w:val="24"/>
                <w:lang w:val="en-IN" w:eastAsia="en-IN"/>
              </w:rPr>
            </w:pPr>
            <w:r w:rsidRPr="00D6204A">
              <w:rPr>
                <w:rFonts w:ascii="Times New Roman" w:eastAsia="Times New Roman" w:hAnsi="Times New Roman" w:cs="Times New Roman"/>
                <w:color w:val="000000"/>
                <w:sz w:val="24"/>
                <w:szCs w:val="24"/>
                <w:lang w:val="en-US" w:eastAsia="en-IN"/>
              </w:rPr>
              <w:t>(Payables / COGS) x 365</w:t>
            </w:r>
          </w:p>
        </w:tc>
      </w:tr>
    </w:tbl>
    <w:p w:rsidR="00D6204A" w:rsidRDefault="00D6204A" w:rsidP="0088378B">
      <w:pPr>
        <w:spacing w:line="360" w:lineRule="auto"/>
        <w:rPr>
          <w:lang w:val="en-IN"/>
        </w:rPr>
      </w:pPr>
    </w:p>
    <w:p w:rsidR="00D6204A" w:rsidRPr="00DB7D20" w:rsidRDefault="00DB7D20" w:rsidP="0088378B">
      <w:pPr>
        <w:pStyle w:val="Heading1"/>
        <w:numPr>
          <w:ilvl w:val="0"/>
          <w:numId w:val="0"/>
        </w:numPr>
        <w:spacing w:line="360" w:lineRule="auto"/>
        <w:ind w:left="432" w:hanging="432"/>
        <w:rPr>
          <w:rFonts w:ascii="Times New Roman" w:hAnsi="Times New Roman" w:cs="Times New Roman"/>
          <w:b/>
          <w:color w:val="auto"/>
          <w:lang w:val="en-IN"/>
        </w:rPr>
      </w:pPr>
      <w:bookmarkStart w:id="38" w:name="_Toc203731995"/>
      <w:r w:rsidRPr="00DB7D20">
        <w:rPr>
          <w:rFonts w:ascii="Times New Roman" w:hAnsi="Times New Roman" w:cs="Times New Roman"/>
          <w:b/>
          <w:color w:val="auto"/>
          <w:lang w:val="en-IN"/>
        </w:rPr>
        <w:t>Appendix D Gearing Ratio</w:t>
      </w:r>
      <w:bookmarkEnd w:id="38"/>
    </w:p>
    <w:p w:rsidR="00DB7D20" w:rsidRDefault="00DB7D20" w:rsidP="0088378B">
      <w:pPr>
        <w:spacing w:line="360" w:lineRule="auto"/>
        <w:rPr>
          <w:lang w:val="en-IN"/>
        </w:rPr>
      </w:pPr>
    </w:p>
    <w:tbl>
      <w:tblPr>
        <w:tblW w:w="8873" w:type="dxa"/>
        <w:tblInd w:w="-5" w:type="dxa"/>
        <w:tblLook w:val="04A0" w:firstRow="1" w:lastRow="0" w:firstColumn="1" w:lastColumn="0" w:noHBand="0" w:noVBand="1"/>
      </w:tblPr>
      <w:tblGrid>
        <w:gridCol w:w="2818"/>
        <w:gridCol w:w="1560"/>
        <w:gridCol w:w="1514"/>
        <w:gridCol w:w="2981"/>
      </w:tblGrid>
      <w:tr w:rsidR="00DB7D20" w:rsidRPr="00DB7D20" w:rsidTr="00DB7D20">
        <w:trPr>
          <w:trHeight w:val="267"/>
        </w:trPr>
        <w:tc>
          <w:tcPr>
            <w:tcW w:w="281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Ratio</w:t>
            </w:r>
          </w:p>
        </w:tc>
        <w:tc>
          <w:tcPr>
            <w:tcW w:w="1560" w:type="dxa"/>
            <w:tcBorders>
              <w:top w:val="single" w:sz="4" w:space="0" w:color="auto"/>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2023</w:t>
            </w:r>
          </w:p>
        </w:tc>
        <w:tc>
          <w:tcPr>
            <w:tcW w:w="1514" w:type="dxa"/>
            <w:tcBorders>
              <w:top w:val="single" w:sz="4" w:space="0" w:color="auto"/>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2024</w:t>
            </w:r>
          </w:p>
        </w:tc>
        <w:tc>
          <w:tcPr>
            <w:tcW w:w="2981" w:type="dxa"/>
            <w:tcBorders>
              <w:top w:val="single" w:sz="4" w:space="0" w:color="auto"/>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Formula / Calculation</w:t>
            </w:r>
          </w:p>
        </w:tc>
      </w:tr>
      <w:tr w:rsidR="00DB7D20" w:rsidRPr="00DB7D20" w:rsidTr="00DB7D20">
        <w:trPr>
          <w:trHeight w:val="1293"/>
        </w:trPr>
        <w:tc>
          <w:tcPr>
            <w:tcW w:w="2818" w:type="dxa"/>
            <w:tcBorders>
              <w:top w:val="nil"/>
              <w:left w:val="single" w:sz="4" w:space="0" w:color="auto"/>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Gearing Ratio</w:t>
            </w:r>
          </w:p>
        </w:tc>
        <w:tc>
          <w:tcPr>
            <w:tcW w:w="156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56.50%</w:t>
            </w:r>
          </w:p>
        </w:tc>
        <w:tc>
          <w:tcPr>
            <w:tcW w:w="1514"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60.88%</w:t>
            </w:r>
          </w:p>
        </w:tc>
        <w:tc>
          <w:tcPr>
            <w:tcW w:w="2981"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(Net Debt / (Net Debt + Equity)) x 100</w:t>
            </w:r>
          </w:p>
        </w:tc>
      </w:tr>
    </w:tbl>
    <w:p w:rsidR="00DB7D20" w:rsidRDefault="00DB7D20" w:rsidP="0088378B">
      <w:pPr>
        <w:spacing w:line="360" w:lineRule="auto"/>
        <w:rPr>
          <w:lang w:val="en-IN"/>
        </w:rPr>
      </w:pPr>
    </w:p>
    <w:p w:rsidR="00DB7D20" w:rsidRPr="00DB7D20" w:rsidRDefault="00DB7D20" w:rsidP="0088378B">
      <w:pPr>
        <w:pStyle w:val="Heading1"/>
        <w:numPr>
          <w:ilvl w:val="0"/>
          <w:numId w:val="0"/>
        </w:numPr>
        <w:spacing w:line="360" w:lineRule="auto"/>
        <w:ind w:left="432" w:hanging="432"/>
        <w:rPr>
          <w:rFonts w:ascii="Times New Roman" w:hAnsi="Times New Roman" w:cs="Times New Roman"/>
          <w:b/>
          <w:color w:val="auto"/>
          <w:lang w:val="en-IN"/>
        </w:rPr>
      </w:pPr>
      <w:bookmarkStart w:id="39" w:name="_Toc203731996"/>
      <w:r w:rsidRPr="00DB7D20">
        <w:rPr>
          <w:rFonts w:ascii="Times New Roman" w:hAnsi="Times New Roman" w:cs="Times New Roman"/>
          <w:b/>
          <w:color w:val="auto"/>
          <w:lang w:val="en-IN"/>
        </w:rPr>
        <w:t>Appendix E Investment Ratio</w:t>
      </w:r>
      <w:bookmarkEnd w:id="39"/>
    </w:p>
    <w:p w:rsidR="00DB7D20" w:rsidRDefault="00DB7D20" w:rsidP="0088378B">
      <w:pPr>
        <w:spacing w:line="360" w:lineRule="auto"/>
        <w:rPr>
          <w:lang w:val="en-IN"/>
        </w:rPr>
      </w:pPr>
    </w:p>
    <w:tbl>
      <w:tblPr>
        <w:tblW w:w="8304" w:type="dxa"/>
        <w:tblInd w:w="-5" w:type="dxa"/>
        <w:tblLook w:val="04A0" w:firstRow="1" w:lastRow="0" w:firstColumn="1" w:lastColumn="0" w:noHBand="0" w:noVBand="1"/>
      </w:tblPr>
      <w:tblGrid>
        <w:gridCol w:w="2637"/>
        <w:gridCol w:w="1460"/>
        <w:gridCol w:w="1417"/>
        <w:gridCol w:w="2790"/>
      </w:tblGrid>
      <w:tr w:rsidR="00DB7D20" w:rsidRPr="00DB7D20" w:rsidTr="00DB7D20">
        <w:trPr>
          <w:trHeight w:val="304"/>
        </w:trPr>
        <w:tc>
          <w:tcPr>
            <w:tcW w:w="2637"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Ratio</w:t>
            </w:r>
          </w:p>
        </w:tc>
        <w:tc>
          <w:tcPr>
            <w:tcW w:w="1460" w:type="dxa"/>
            <w:tcBorders>
              <w:top w:val="single" w:sz="4" w:space="0" w:color="auto"/>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2023</w:t>
            </w:r>
          </w:p>
        </w:tc>
        <w:tc>
          <w:tcPr>
            <w:tcW w:w="1417" w:type="dxa"/>
            <w:tcBorders>
              <w:top w:val="single" w:sz="4" w:space="0" w:color="auto"/>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2024</w:t>
            </w:r>
          </w:p>
        </w:tc>
        <w:tc>
          <w:tcPr>
            <w:tcW w:w="2790" w:type="dxa"/>
            <w:tcBorders>
              <w:top w:val="single" w:sz="4" w:space="0" w:color="auto"/>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b/>
                <w:bCs/>
                <w:color w:val="000000"/>
                <w:sz w:val="24"/>
                <w:szCs w:val="24"/>
                <w:lang w:val="en-IN" w:eastAsia="en-IN"/>
              </w:rPr>
            </w:pPr>
            <w:r w:rsidRPr="00DB7D20">
              <w:rPr>
                <w:rFonts w:ascii="Times New Roman" w:eastAsia="Times New Roman" w:hAnsi="Times New Roman" w:cs="Times New Roman"/>
                <w:b/>
                <w:bCs/>
                <w:color w:val="000000"/>
                <w:sz w:val="24"/>
                <w:szCs w:val="24"/>
                <w:lang w:val="en-US" w:eastAsia="en-IN"/>
              </w:rPr>
              <w:t>Formula / Calculation</w:t>
            </w:r>
          </w:p>
        </w:tc>
      </w:tr>
      <w:tr w:rsidR="00DB7D20" w:rsidRPr="00DB7D20" w:rsidTr="00DB7D20">
        <w:trPr>
          <w:trHeight w:val="1218"/>
        </w:trPr>
        <w:tc>
          <w:tcPr>
            <w:tcW w:w="2637" w:type="dxa"/>
            <w:tcBorders>
              <w:top w:val="nil"/>
              <w:left w:val="single" w:sz="4" w:space="0" w:color="auto"/>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Earnings Per Share (EPS)</w:t>
            </w:r>
          </w:p>
        </w:tc>
        <w:tc>
          <w:tcPr>
            <w:tcW w:w="146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19.1p</w:t>
            </w:r>
          </w:p>
        </w:tc>
        <w:tc>
          <w:tcPr>
            <w:tcW w:w="1417"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8.6p</w:t>
            </w:r>
          </w:p>
        </w:tc>
        <w:tc>
          <w:tcPr>
            <w:tcW w:w="279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Net Profit / No. of Shares</w:t>
            </w:r>
          </w:p>
        </w:tc>
      </w:tr>
      <w:tr w:rsidR="00DB7D20" w:rsidRPr="00DB7D20" w:rsidTr="00DB7D20">
        <w:trPr>
          <w:trHeight w:val="609"/>
        </w:trPr>
        <w:tc>
          <w:tcPr>
            <w:tcW w:w="2637" w:type="dxa"/>
            <w:tcBorders>
              <w:top w:val="nil"/>
              <w:left w:val="single" w:sz="4" w:space="0" w:color="auto"/>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Dividend Cover</w:t>
            </w:r>
          </w:p>
        </w:tc>
        <w:tc>
          <w:tcPr>
            <w:tcW w:w="146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2.48x</w:t>
            </w:r>
          </w:p>
        </w:tc>
        <w:tc>
          <w:tcPr>
            <w:tcW w:w="1417"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1.07x</w:t>
            </w:r>
          </w:p>
        </w:tc>
        <w:tc>
          <w:tcPr>
            <w:tcW w:w="279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EPS / DPS</w:t>
            </w:r>
          </w:p>
        </w:tc>
      </w:tr>
      <w:tr w:rsidR="00DB7D20" w:rsidRPr="00DB7D20" w:rsidTr="00DB7D20">
        <w:trPr>
          <w:trHeight w:val="1218"/>
        </w:trPr>
        <w:tc>
          <w:tcPr>
            <w:tcW w:w="2637" w:type="dxa"/>
            <w:tcBorders>
              <w:top w:val="nil"/>
              <w:left w:val="single" w:sz="4" w:space="0" w:color="auto"/>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Dividend Yield</w:t>
            </w:r>
          </w:p>
        </w:tc>
        <w:tc>
          <w:tcPr>
            <w:tcW w:w="146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5.31%</w:t>
            </w:r>
          </w:p>
        </w:tc>
        <w:tc>
          <w:tcPr>
            <w:tcW w:w="1417"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4.95%</w:t>
            </w:r>
          </w:p>
        </w:tc>
        <w:tc>
          <w:tcPr>
            <w:tcW w:w="279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(DPS / Share Price) x 100</w:t>
            </w:r>
          </w:p>
        </w:tc>
      </w:tr>
      <w:tr w:rsidR="00DB7D20" w:rsidRPr="00DB7D20" w:rsidTr="00DB7D20">
        <w:trPr>
          <w:trHeight w:val="913"/>
        </w:trPr>
        <w:tc>
          <w:tcPr>
            <w:tcW w:w="2637" w:type="dxa"/>
            <w:tcBorders>
              <w:top w:val="nil"/>
              <w:left w:val="single" w:sz="4" w:space="0" w:color="auto"/>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Interest Cover</w:t>
            </w:r>
          </w:p>
        </w:tc>
        <w:tc>
          <w:tcPr>
            <w:tcW w:w="146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3.39x</w:t>
            </w:r>
          </w:p>
        </w:tc>
        <w:tc>
          <w:tcPr>
            <w:tcW w:w="1417"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2.61x</w:t>
            </w:r>
          </w:p>
        </w:tc>
        <w:tc>
          <w:tcPr>
            <w:tcW w:w="2790" w:type="dxa"/>
            <w:tcBorders>
              <w:top w:val="nil"/>
              <w:left w:val="nil"/>
              <w:bottom w:val="single" w:sz="4" w:space="0" w:color="auto"/>
              <w:right w:val="single" w:sz="4" w:space="0" w:color="auto"/>
            </w:tcBorders>
            <w:shd w:val="clear" w:color="auto" w:fill="auto"/>
            <w:vAlign w:val="center"/>
            <w:hideMark/>
          </w:tcPr>
          <w:p w:rsidR="00DB7D20" w:rsidRPr="00DB7D20" w:rsidRDefault="00DB7D20" w:rsidP="0088378B">
            <w:pPr>
              <w:spacing w:after="0" w:line="360" w:lineRule="auto"/>
              <w:jc w:val="both"/>
              <w:rPr>
                <w:rFonts w:ascii="Times New Roman" w:eastAsia="Times New Roman" w:hAnsi="Times New Roman" w:cs="Times New Roman"/>
                <w:color w:val="000000"/>
                <w:sz w:val="24"/>
                <w:szCs w:val="24"/>
                <w:lang w:val="en-IN" w:eastAsia="en-IN"/>
              </w:rPr>
            </w:pPr>
            <w:r w:rsidRPr="00DB7D20">
              <w:rPr>
                <w:rFonts w:ascii="Times New Roman" w:eastAsia="Times New Roman" w:hAnsi="Times New Roman" w:cs="Times New Roman"/>
                <w:color w:val="000000"/>
                <w:sz w:val="24"/>
                <w:szCs w:val="24"/>
                <w:lang w:val="en-US" w:eastAsia="en-IN"/>
              </w:rPr>
              <w:t>PBIT / Interest Expense</w:t>
            </w:r>
          </w:p>
        </w:tc>
      </w:tr>
    </w:tbl>
    <w:p w:rsidR="0088378B" w:rsidRPr="0088378B" w:rsidRDefault="0088378B" w:rsidP="002E1901">
      <w:pPr>
        <w:pStyle w:val="Heading1"/>
        <w:numPr>
          <w:ilvl w:val="0"/>
          <w:numId w:val="0"/>
        </w:numPr>
        <w:spacing w:line="360" w:lineRule="auto"/>
        <w:jc w:val="both"/>
        <w:rPr>
          <w:rFonts w:ascii="Times New Roman" w:hAnsi="Times New Roman" w:cs="Times New Roman"/>
          <w:b/>
          <w:color w:val="auto"/>
          <w:lang w:val="en-IN"/>
        </w:rPr>
      </w:pPr>
      <w:bookmarkStart w:id="40" w:name="_Toc203731997"/>
      <w:r w:rsidRPr="0088378B">
        <w:rPr>
          <w:rFonts w:ascii="Times New Roman" w:hAnsi="Times New Roman" w:cs="Times New Roman"/>
          <w:b/>
          <w:color w:val="auto"/>
          <w:lang w:val="en-IN"/>
        </w:rPr>
        <w:t>Appendix F Balance sheet</w:t>
      </w:r>
      <w:bookmarkEnd w:id="40"/>
    </w:p>
    <w:p w:rsidR="0088378B" w:rsidRPr="0088378B" w:rsidRDefault="0088378B" w:rsidP="0088378B">
      <w:pPr>
        <w:spacing w:line="360" w:lineRule="auto"/>
        <w:rPr>
          <w:lang w:val="en-IN"/>
        </w:rPr>
      </w:pPr>
    </w:p>
    <w:tbl>
      <w:tblPr>
        <w:tblW w:w="8886" w:type="dxa"/>
        <w:tblInd w:w="-5" w:type="dxa"/>
        <w:tblLook w:val="04A0" w:firstRow="1" w:lastRow="0" w:firstColumn="1" w:lastColumn="0" w:noHBand="0" w:noVBand="1"/>
      </w:tblPr>
      <w:tblGrid>
        <w:gridCol w:w="5293"/>
        <w:gridCol w:w="1568"/>
        <w:gridCol w:w="2025"/>
      </w:tblGrid>
      <w:tr w:rsidR="0088378B" w:rsidRPr="0088378B" w:rsidTr="0088378B">
        <w:trPr>
          <w:trHeight w:val="451"/>
        </w:trPr>
        <w:tc>
          <w:tcPr>
            <w:tcW w:w="529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b/>
                <w:bCs/>
                <w:sz w:val="24"/>
                <w:szCs w:val="24"/>
                <w:lang w:val="en-IN" w:eastAsia="en-IN"/>
              </w:rPr>
            </w:pPr>
            <w:r w:rsidRPr="0088378B">
              <w:rPr>
                <w:rFonts w:ascii="Times New Roman" w:eastAsia="Times New Roman" w:hAnsi="Times New Roman" w:cs="Times New Roman"/>
                <w:b/>
                <w:bCs/>
                <w:sz w:val="24"/>
                <w:szCs w:val="24"/>
                <w:lang w:val="en-US" w:eastAsia="en-IN"/>
              </w:rPr>
              <w:t>Item</w:t>
            </w:r>
          </w:p>
        </w:tc>
        <w:tc>
          <w:tcPr>
            <w:tcW w:w="1568" w:type="dxa"/>
            <w:tcBorders>
              <w:top w:val="single" w:sz="4" w:space="0" w:color="auto"/>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b/>
                <w:bCs/>
                <w:sz w:val="24"/>
                <w:szCs w:val="24"/>
                <w:lang w:val="en-IN" w:eastAsia="en-IN"/>
              </w:rPr>
            </w:pPr>
            <w:r w:rsidRPr="0088378B">
              <w:rPr>
                <w:rFonts w:ascii="Times New Roman" w:eastAsia="Times New Roman" w:hAnsi="Times New Roman" w:cs="Times New Roman"/>
                <w:b/>
                <w:bCs/>
                <w:sz w:val="24"/>
                <w:szCs w:val="24"/>
                <w:lang w:val="en-US" w:eastAsia="en-IN"/>
              </w:rPr>
              <w:t>FY 2023</w:t>
            </w:r>
            <w:r w:rsidR="000D6E54">
              <w:rPr>
                <w:rFonts w:ascii="Times New Roman" w:eastAsia="Times New Roman" w:hAnsi="Times New Roman" w:cs="Times New Roman"/>
                <w:b/>
                <w:bCs/>
                <w:sz w:val="24"/>
                <w:szCs w:val="24"/>
                <w:lang w:val="en-US" w:eastAsia="en-IN"/>
              </w:rPr>
              <w:t xml:space="preserve"> (£)</w:t>
            </w:r>
          </w:p>
        </w:tc>
        <w:tc>
          <w:tcPr>
            <w:tcW w:w="2025" w:type="dxa"/>
            <w:tcBorders>
              <w:top w:val="single" w:sz="4" w:space="0" w:color="auto"/>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b/>
                <w:bCs/>
                <w:sz w:val="24"/>
                <w:szCs w:val="24"/>
                <w:lang w:val="en-IN" w:eastAsia="en-IN"/>
              </w:rPr>
            </w:pPr>
            <w:r w:rsidRPr="0088378B">
              <w:rPr>
                <w:rFonts w:ascii="Times New Roman" w:eastAsia="Times New Roman" w:hAnsi="Times New Roman" w:cs="Times New Roman"/>
                <w:b/>
                <w:bCs/>
                <w:sz w:val="24"/>
                <w:szCs w:val="24"/>
                <w:lang w:val="en-US" w:eastAsia="en-IN"/>
              </w:rPr>
              <w:t>FY 2024</w:t>
            </w:r>
            <w:r w:rsidR="000D6E54">
              <w:rPr>
                <w:rFonts w:ascii="Times New Roman" w:eastAsia="Times New Roman" w:hAnsi="Times New Roman" w:cs="Times New Roman"/>
                <w:b/>
                <w:bCs/>
                <w:sz w:val="24"/>
                <w:szCs w:val="24"/>
                <w:lang w:val="en-US" w:eastAsia="en-IN"/>
              </w:rPr>
              <w:t xml:space="preserve"> (£)</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Assets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Non-Current Assets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43,367</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42,263</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Current Assets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8,372</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8,719</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Total Assets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51,739</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50,982</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Liabilities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Current Liabilities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9,818</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10,285</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Non-Current Liabilities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27,431</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28,184</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Total Liabilities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37,249</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38,469</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Equity</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Share Capital</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499</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499</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Reserves (Retained Earnings)</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9,722</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9,633</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Other Equity</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4,269</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2,381</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Total Equity</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14,490</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12,513</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 </w:t>
            </w:r>
          </w:p>
        </w:tc>
      </w:tr>
      <w:tr w:rsidR="0088378B" w:rsidRPr="0088378B" w:rsidTr="0088378B">
        <w:trPr>
          <w:trHeight w:val="451"/>
        </w:trPr>
        <w:tc>
          <w:tcPr>
            <w:tcW w:w="5293" w:type="dxa"/>
            <w:tcBorders>
              <w:top w:val="nil"/>
              <w:left w:val="single" w:sz="4" w:space="0" w:color="auto"/>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Total Liabilities and Equity</w:t>
            </w:r>
          </w:p>
        </w:tc>
        <w:tc>
          <w:tcPr>
            <w:tcW w:w="1568"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51,739</w:t>
            </w:r>
          </w:p>
        </w:tc>
        <w:tc>
          <w:tcPr>
            <w:tcW w:w="2025" w:type="dxa"/>
            <w:tcBorders>
              <w:top w:val="nil"/>
              <w:left w:val="nil"/>
              <w:bottom w:val="single" w:sz="4" w:space="0" w:color="auto"/>
              <w:right w:val="single" w:sz="4" w:space="0" w:color="auto"/>
            </w:tcBorders>
            <w:shd w:val="clear" w:color="auto" w:fill="auto"/>
            <w:vAlign w:val="center"/>
            <w:hideMark/>
          </w:tcPr>
          <w:p w:rsidR="0088378B" w:rsidRPr="0088378B" w:rsidRDefault="0088378B" w:rsidP="0088378B">
            <w:pPr>
              <w:spacing w:after="0" w:line="360" w:lineRule="auto"/>
              <w:jc w:val="both"/>
              <w:rPr>
                <w:rFonts w:ascii="Times New Roman" w:eastAsia="Times New Roman" w:hAnsi="Times New Roman" w:cs="Times New Roman"/>
                <w:sz w:val="24"/>
                <w:szCs w:val="24"/>
                <w:lang w:val="en-IN" w:eastAsia="en-IN"/>
              </w:rPr>
            </w:pPr>
            <w:r w:rsidRPr="0088378B">
              <w:rPr>
                <w:rFonts w:ascii="Times New Roman" w:eastAsia="Times New Roman" w:hAnsi="Times New Roman" w:cs="Times New Roman"/>
                <w:sz w:val="24"/>
                <w:szCs w:val="24"/>
                <w:lang w:val="en-US" w:eastAsia="en-IN"/>
              </w:rPr>
              <w:t>50,982</w:t>
            </w:r>
          </w:p>
        </w:tc>
      </w:tr>
    </w:tbl>
    <w:p w:rsidR="0088378B" w:rsidRPr="00DB7D20" w:rsidRDefault="0088378B" w:rsidP="0088378B">
      <w:pPr>
        <w:spacing w:line="360" w:lineRule="auto"/>
        <w:rPr>
          <w:lang w:val="en-IN"/>
        </w:rPr>
      </w:pPr>
    </w:p>
    <w:sectPr w:rsidR="0088378B" w:rsidRPr="00DB7D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7B38" w:rsidRDefault="00377B38" w:rsidP="000E1989">
      <w:pPr>
        <w:spacing w:after="0" w:line="240" w:lineRule="auto"/>
      </w:pPr>
      <w:r>
        <w:separator/>
      </w:r>
    </w:p>
  </w:endnote>
  <w:endnote w:type="continuationSeparator" w:id="0">
    <w:p w:rsidR="00377B38" w:rsidRDefault="00377B38" w:rsidP="000E1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5517851"/>
      <w:docPartObj>
        <w:docPartGallery w:val="Page Numbers (Bottom of Page)"/>
        <w:docPartUnique/>
      </w:docPartObj>
    </w:sdtPr>
    <w:sdtEndPr>
      <w:rPr>
        <w:noProof/>
      </w:rPr>
    </w:sdtEndPr>
    <w:sdtContent>
      <w:p w:rsidR="003C2E16" w:rsidRDefault="003C2E16">
        <w:pPr>
          <w:pStyle w:val="Footer"/>
          <w:jc w:val="right"/>
        </w:pPr>
        <w:r>
          <w:fldChar w:fldCharType="begin"/>
        </w:r>
        <w:r>
          <w:instrText xml:space="preserve"> PAGE   \* MERGEFORMAT </w:instrText>
        </w:r>
        <w:r>
          <w:fldChar w:fldCharType="separate"/>
        </w:r>
        <w:r w:rsidR="00377B38">
          <w:rPr>
            <w:noProof/>
          </w:rPr>
          <w:t>1</w:t>
        </w:r>
        <w:r>
          <w:rPr>
            <w:noProof/>
          </w:rPr>
          <w:fldChar w:fldCharType="end"/>
        </w:r>
      </w:p>
    </w:sdtContent>
  </w:sdt>
  <w:p w:rsidR="003C2E16" w:rsidRDefault="003C2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7B38" w:rsidRDefault="00377B38" w:rsidP="000E1989">
      <w:pPr>
        <w:spacing w:after="0" w:line="240" w:lineRule="auto"/>
      </w:pPr>
      <w:r>
        <w:separator/>
      </w:r>
    </w:p>
  </w:footnote>
  <w:footnote w:type="continuationSeparator" w:id="0">
    <w:p w:rsidR="00377B38" w:rsidRDefault="00377B38" w:rsidP="000E19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002412DF"/>
    <w:multiLevelType w:val="multilevel"/>
    <w:tmpl w:val="3C44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F2756"/>
    <w:multiLevelType w:val="multilevel"/>
    <w:tmpl w:val="28EC3070"/>
    <w:lvl w:ilvl="0">
      <w:start w:val="1"/>
      <w:numFmt w:val="decimal"/>
      <w:pStyle w:val="Heading1"/>
      <w:lvlText w:val="%1"/>
      <w:lvlJc w:val="left"/>
      <w:pPr>
        <w:ind w:left="432" w:hanging="432"/>
      </w:pPr>
      <w:rPr>
        <w:b/>
        <w:color w:val="auto"/>
        <w:sz w:val="32"/>
      </w:rPr>
    </w:lvl>
    <w:lvl w:ilvl="1">
      <w:start w:val="1"/>
      <w:numFmt w:val="decimal"/>
      <w:pStyle w:val="Heading2"/>
      <w:lvlText w:val="%1.%2"/>
      <w:lvlJc w:val="left"/>
      <w:pPr>
        <w:ind w:left="576" w:hanging="576"/>
      </w:pPr>
      <w:rPr>
        <w:color w:val="auto"/>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05C43BB"/>
    <w:multiLevelType w:val="hybridMultilevel"/>
    <w:tmpl w:val="32E623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4C217D"/>
    <w:multiLevelType w:val="hybridMultilevel"/>
    <w:tmpl w:val="E24C1D7A"/>
    <w:lvl w:ilvl="0" w:tplc="40090001">
      <w:start w:val="1"/>
      <w:numFmt w:val="bullet"/>
      <w:lvlText w:val=""/>
      <w:lvlJc w:val="left"/>
      <w:pPr>
        <w:ind w:left="787" w:hanging="360"/>
      </w:pPr>
      <w:rPr>
        <w:rFonts w:ascii="Symbol" w:hAnsi="Symbol" w:hint="default"/>
      </w:rPr>
    </w:lvl>
    <w:lvl w:ilvl="1" w:tplc="40090003" w:tentative="1">
      <w:start w:val="1"/>
      <w:numFmt w:val="bullet"/>
      <w:lvlText w:val="o"/>
      <w:lvlJc w:val="left"/>
      <w:pPr>
        <w:ind w:left="1507" w:hanging="360"/>
      </w:pPr>
      <w:rPr>
        <w:rFonts w:ascii="Courier New" w:hAnsi="Courier New" w:cs="Courier New" w:hint="default"/>
      </w:rPr>
    </w:lvl>
    <w:lvl w:ilvl="2" w:tplc="40090005" w:tentative="1">
      <w:start w:val="1"/>
      <w:numFmt w:val="bullet"/>
      <w:lvlText w:val=""/>
      <w:lvlJc w:val="left"/>
      <w:pPr>
        <w:ind w:left="2227" w:hanging="360"/>
      </w:pPr>
      <w:rPr>
        <w:rFonts w:ascii="Wingdings" w:hAnsi="Wingdings" w:hint="default"/>
      </w:rPr>
    </w:lvl>
    <w:lvl w:ilvl="3" w:tplc="40090001" w:tentative="1">
      <w:start w:val="1"/>
      <w:numFmt w:val="bullet"/>
      <w:lvlText w:val=""/>
      <w:lvlJc w:val="left"/>
      <w:pPr>
        <w:ind w:left="2947" w:hanging="360"/>
      </w:pPr>
      <w:rPr>
        <w:rFonts w:ascii="Symbol" w:hAnsi="Symbol" w:hint="default"/>
      </w:rPr>
    </w:lvl>
    <w:lvl w:ilvl="4" w:tplc="40090003" w:tentative="1">
      <w:start w:val="1"/>
      <w:numFmt w:val="bullet"/>
      <w:lvlText w:val="o"/>
      <w:lvlJc w:val="left"/>
      <w:pPr>
        <w:ind w:left="3667" w:hanging="360"/>
      </w:pPr>
      <w:rPr>
        <w:rFonts w:ascii="Courier New" w:hAnsi="Courier New" w:cs="Courier New" w:hint="default"/>
      </w:rPr>
    </w:lvl>
    <w:lvl w:ilvl="5" w:tplc="40090005" w:tentative="1">
      <w:start w:val="1"/>
      <w:numFmt w:val="bullet"/>
      <w:lvlText w:val=""/>
      <w:lvlJc w:val="left"/>
      <w:pPr>
        <w:ind w:left="4387" w:hanging="360"/>
      </w:pPr>
      <w:rPr>
        <w:rFonts w:ascii="Wingdings" w:hAnsi="Wingdings" w:hint="default"/>
      </w:rPr>
    </w:lvl>
    <w:lvl w:ilvl="6" w:tplc="40090001" w:tentative="1">
      <w:start w:val="1"/>
      <w:numFmt w:val="bullet"/>
      <w:lvlText w:val=""/>
      <w:lvlJc w:val="left"/>
      <w:pPr>
        <w:ind w:left="5107" w:hanging="360"/>
      </w:pPr>
      <w:rPr>
        <w:rFonts w:ascii="Symbol" w:hAnsi="Symbol" w:hint="default"/>
      </w:rPr>
    </w:lvl>
    <w:lvl w:ilvl="7" w:tplc="40090003" w:tentative="1">
      <w:start w:val="1"/>
      <w:numFmt w:val="bullet"/>
      <w:lvlText w:val="o"/>
      <w:lvlJc w:val="left"/>
      <w:pPr>
        <w:ind w:left="5827" w:hanging="360"/>
      </w:pPr>
      <w:rPr>
        <w:rFonts w:ascii="Courier New" w:hAnsi="Courier New" w:cs="Courier New" w:hint="default"/>
      </w:rPr>
    </w:lvl>
    <w:lvl w:ilvl="8" w:tplc="40090005" w:tentative="1">
      <w:start w:val="1"/>
      <w:numFmt w:val="bullet"/>
      <w:lvlText w:val=""/>
      <w:lvlJc w:val="left"/>
      <w:pPr>
        <w:ind w:left="6547" w:hanging="360"/>
      </w:pPr>
      <w:rPr>
        <w:rFonts w:ascii="Wingdings" w:hAnsi="Wingdings" w:hint="default"/>
      </w:rPr>
    </w:lvl>
  </w:abstractNum>
  <w:abstractNum w:abstractNumId="5" w15:restartNumberingAfterBreak="0">
    <w:nsid w:val="1A8F285D"/>
    <w:multiLevelType w:val="multilevel"/>
    <w:tmpl w:val="7C52E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1528D9"/>
    <w:multiLevelType w:val="hybridMultilevel"/>
    <w:tmpl w:val="F5B6F256"/>
    <w:lvl w:ilvl="0" w:tplc="628CED86">
      <w:numFmt w:val="bullet"/>
      <w:lvlText w:val="-"/>
      <w:lvlJc w:val="left"/>
      <w:pPr>
        <w:ind w:left="350" w:hanging="360"/>
      </w:pPr>
      <w:rPr>
        <w:rFonts w:ascii="Times New Roman" w:eastAsiaTheme="minorHAnsi" w:hAnsi="Times New Roman" w:cs="Times New Roman" w:hint="default"/>
      </w:rPr>
    </w:lvl>
    <w:lvl w:ilvl="1" w:tplc="40090003" w:tentative="1">
      <w:start w:val="1"/>
      <w:numFmt w:val="bullet"/>
      <w:lvlText w:val="o"/>
      <w:lvlJc w:val="left"/>
      <w:pPr>
        <w:ind w:left="1070" w:hanging="360"/>
      </w:pPr>
      <w:rPr>
        <w:rFonts w:ascii="Courier New" w:hAnsi="Courier New" w:cs="Courier New" w:hint="default"/>
      </w:rPr>
    </w:lvl>
    <w:lvl w:ilvl="2" w:tplc="40090005" w:tentative="1">
      <w:start w:val="1"/>
      <w:numFmt w:val="bullet"/>
      <w:lvlText w:val=""/>
      <w:lvlJc w:val="left"/>
      <w:pPr>
        <w:ind w:left="1790" w:hanging="360"/>
      </w:pPr>
      <w:rPr>
        <w:rFonts w:ascii="Wingdings" w:hAnsi="Wingdings" w:hint="default"/>
      </w:rPr>
    </w:lvl>
    <w:lvl w:ilvl="3" w:tplc="40090001" w:tentative="1">
      <w:start w:val="1"/>
      <w:numFmt w:val="bullet"/>
      <w:lvlText w:val=""/>
      <w:lvlJc w:val="left"/>
      <w:pPr>
        <w:ind w:left="2510" w:hanging="360"/>
      </w:pPr>
      <w:rPr>
        <w:rFonts w:ascii="Symbol" w:hAnsi="Symbol" w:hint="default"/>
      </w:rPr>
    </w:lvl>
    <w:lvl w:ilvl="4" w:tplc="40090003" w:tentative="1">
      <w:start w:val="1"/>
      <w:numFmt w:val="bullet"/>
      <w:lvlText w:val="o"/>
      <w:lvlJc w:val="left"/>
      <w:pPr>
        <w:ind w:left="3230" w:hanging="360"/>
      </w:pPr>
      <w:rPr>
        <w:rFonts w:ascii="Courier New" w:hAnsi="Courier New" w:cs="Courier New" w:hint="default"/>
      </w:rPr>
    </w:lvl>
    <w:lvl w:ilvl="5" w:tplc="40090005" w:tentative="1">
      <w:start w:val="1"/>
      <w:numFmt w:val="bullet"/>
      <w:lvlText w:val=""/>
      <w:lvlJc w:val="left"/>
      <w:pPr>
        <w:ind w:left="3950" w:hanging="360"/>
      </w:pPr>
      <w:rPr>
        <w:rFonts w:ascii="Wingdings" w:hAnsi="Wingdings" w:hint="default"/>
      </w:rPr>
    </w:lvl>
    <w:lvl w:ilvl="6" w:tplc="40090001" w:tentative="1">
      <w:start w:val="1"/>
      <w:numFmt w:val="bullet"/>
      <w:lvlText w:val=""/>
      <w:lvlJc w:val="left"/>
      <w:pPr>
        <w:ind w:left="4670" w:hanging="360"/>
      </w:pPr>
      <w:rPr>
        <w:rFonts w:ascii="Symbol" w:hAnsi="Symbol" w:hint="default"/>
      </w:rPr>
    </w:lvl>
    <w:lvl w:ilvl="7" w:tplc="40090003" w:tentative="1">
      <w:start w:val="1"/>
      <w:numFmt w:val="bullet"/>
      <w:lvlText w:val="o"/>
      <w:lvlJc w:val="left"/>
      <w:pPr>
        <w:ind w:left="5390" w:hanging="360"/>
      </w:pPr>
      <w:rPr>
        <w:rFonts w:ascii="Courier New" w:hAnsi="Courier New" w:cs="Courier New" w:hint="default"/>
      </w:rPr>
    </w:lvl>
    <w:lvl w:ilvl="8" w:tplc="40090005" w:tentative="1">
      <w:start w:val="1"/>
      <w:numFmt w:val="bullet"/>
      <w:lvlText w:val=""/>
      <w:lvlJc w:val="left"/>
      <w:pPr>
        <w:ind w:left="6110" w:hanging="360"/>
      </w:pPr>
      <w:rPr>
        <w:rFonts w:ascii="Wingdings" w:hAnsi="Wingdings" w:hint="default"/>
      </w:rPr>
    </w:lvl>
  </w:abstractNum>
  <w:abstractNum w:abstractNumId="7" w15:restartNumberingAfterBreak="0">
    <w:nsid w:val="20EC23DA"/>
    <w:multiLevelType w:val="multilevel"/>
    <w:tmpl w:val="1EB66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460327"/>
    <w:multiLevelType w:val="multilevel"/>
    <w:tmpl w:val="606EF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7D52BC"/>
    <w:multiLevelType w:val="hybridMultilevel"/>
    <w:tmpl w:val="825EC7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2BC1720"/>
    <w:multiLevelType w:val="hybridMultilevel"/>
    <w:tmpl w:val="DBC0D95E"/>
    <w:lvl w:ilvl="0" w:tplc="628CED86">
      <w:numFmt w:val="bullet"/>
      <w:lvlText w:val="-"/>
      <w:lvlJc w:val="left"/>
      <w:pPr>
        <w:ind w:left="35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5D43E45"/>
    <w:multiLevelType w:val="hybridMultilevel"/>
    <w:tmpl w:val="5660FF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937208B"/>
    <w:multiLevelType w:val="multilevel"/>
    <w:tmpl w:val="45EE2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4B7CEA"/>
    <w:multiLevelType w:val="hybridMultilevel"/>
    <w:tmpl w:val="C9F69B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40818BB"/>
    <w:multiLevelType w:val="hybridMultilevel"/>
    <w:tmpl w:val="E5661BCC"/>
    <w:lvl w:ilvl="0" w:tplc="40090001">
      <w:start w:val="1"/>
      <w:numFmt w:val="bullet"/>
      <w:lvlText w:val=""/>
      <w:lvlJc w:val="left"/>
      <w:pPr>
        <w:ind w:left="35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C076CA"/>
    <w:multiLevelType w:val="multilevel"/>
    <w:tmpl w:val="DAA8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614E59"/>
    <w:multiLevelType w:val="hybridMultilevel"/>
    <w:tmpl w:val="D1CC3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7576610"/>
    <w:multiLevelType w:val="hybridMultilevel"/>
    <w:tmpl w:val="789A3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2176384"/>
    <w:multiLevelType w:val="hybridMultilevel"/>
    <w:tmpl w:val="15C690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D7D1F51"/>
    <w:multiLevelType w:val="multilevel"/>
    <w:tmpl w:val="613E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D909B4"/>
    <w:multiLevelType w:val="hybridMultilevel"/>
    <w:tmpl w:val="1F08E4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3457CBE"/>
    <w:multiLevelType w:val="hybridMultilevel"/>
    <w:tmpl w:val="A60A4B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F9414D1"/>
    <w:multiLevelType w:val="multilevel"/>
    <w:tmpl w:val="B6D8E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2"/>
  </w:num>
  <w:num w:numId="2">
    <w:abstractNumId w:val="2"/>
  </w:num>
  <w:num w:numId="3">
    <w:abstractNumId w:val="16"/>
  </w:num>
  <w:num w:numId="4">
    <w:abstractNumId w:val="19"/>
  </w:num>
  <w:num w:numId="5">
    <w:abstractNumId w:val="18"/>
  </w:num>
  <w:num w:numId="6">
    <w:abstractNumId w:val="8"/>
  </w:num>
  <w:num w:numId="7">
    <w:abstractNumId w:val="9"/>
  </w:num>
  <w:num w:numId="8">
    <w:abstractNumId w:val="3"/>
  </w:num>
  <w:num w:numId="9">
    <w:abstractNumId w:val="11"/>
  </w:num>
  <w:num w:numId="10">
    <w:abstractNumId w:val="1"/>
  </w:num>
  <w:num w:numId="11">
    <w:abstractNumId w:val="15"/>
  </w:num>
  <w:num w:numId="12">
    <w:abstractNumId w:val="17"/>
  </w:num>
  <w:num w:numId="13">
    <w:abstractNumId w:val="20"/>
  </w:num>
  <w:num w:numId="14">
    <w:abstractNumId w:val="4"/>
  </w:num>
  <w:num w:numId="15">
    <w:abstractNumId w:val="21"/>
  </w:num>
  <w:num w:numId="16">
    <w:abstractNumId w:val="5"/>
  </w:num>
  <w:num w:numId="17">
    <w:abstractNumId w:val="6"/>
  </w:num>
  <w:num w:numId="18">
    <w:abstractNumId w:val="10"/>
  </w:num>
  <w:num w:numId="19">
    <w:abstractNumId w:val="7"/>
  </w:num>
  <w:num w:numId="20">
    <w:abstractNumId w:val="14"/>
  </w:num>
  <w:num w:numId="21">
    <w:abstractNumId w:val="12"/>
  </w:num>
  <w:num w:numId="22">
    <w:abstractNumId w:val="13"/>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78BD"/>
    <w:rsid w:val="00020C01"/>
    <w:rsid w:val="000232FE"/>
    <w:rsid w:val="000242FA"/>
    <w:rsid w:val="00025451"/>
    <w:rsid w:val="0004457A"/>
    <w:rsid w:val="000518ED"/>
    <w:rsid w:val="00055D2A"/>
    <w:rsid w:val="000778BD"/>
    <w:rsid w:val="000906C6"/>
    <w:rsid w:val="000A6BF4"/>
    <w:rsid w:val="000B214B"/>
    <w:rsid w:val="000C31C3"/>
    <w:rsid w:val="000C52AC"/>
    <w:rsid w:val="000D6E54"/>
    <w:rsid w:val="000D7E28"/>
    <w:rsid w:val="000E1989"/>
    <w:rsid w:val="00103B7A"/>
    <w:rsid w:val="001118CD"/>
    <w:rsid w:val="00114968"/>
    <w:rsid w:val="0014693D"/>
    <w:rsid w:val="0015163C"/>
    <w:rsid w:val="00153CA5"/>
    <w:rsid w:val="001609BC"/>
    <w:rsid w:val="00160A5F"/>
    <w:rsid w:val="00164846"/>
    <w:rsid w:val="00167AB0"/>
    <w:rsid w:val="001704E4"/>
    <w:rsid w:val="001D766C"/>
    <w:rsid w:val="001E3B5A"/>
    <w:rsid w:val="00223332"/>
    <w:rsid w:val="002649EF"/>
    <w:rsid w:val="00273A77"/>
    <w:rsid w:val="00283F71"/>
    <w:rsid w:val="00290E38"/>
    <w:rsid w:val="002A0095"/>
    <w:rsid w:val="002B34C3"/>
    <w:rsid w:val="002D4622"/>
    <w:rsid w:val="002E1901"/>
    <w:rsid w:val="002F0AF6"/>
    <w:rsid w:val="002F71F5"/>
    <w:rsid w:val="00321478"/>
    <w:rsid w:val="003420A4"/>
    <w:rsid w:val="003633F4"/>
    <w:rsid w:val="00366D5B"/>
    <w:rsid w:val="00372D19"/>
    <w:rsid w:val="00377B38"/>
    <w:rsid w:val="00383297"/>
    <w:rsid w:val="003A34D3"/>
    <w:rsid w:val="003A7191"/>
    <w:rsid w:val="003C2E16"/>
    <w:rsid w:val="003D1766"/>
    <w:rsid w:val="003D67FA"/>
    <w:rsid w:val="003E2E64"/>
    <w:rsid w:val="00411BE3"/>
    <w:rsid w:val="00416744"/>
    <w:rsid w:val="00422DA9"/>
    <w:rsid w:val="004242C9"/>
    <w:rsid w:val="00435F8A"/>
    <w:rsid w:val="0045451D"/>
    <w:rsid w:val="00466A49"/>
    <w:rsid w:val="004A638D"/>
    <w:rsid w:val="004C3BC5"/>
    <w:rsid w:val="004C66E0"/>
    <w:rsid w:val="004C6936"/>
    <w:rsid w:val="004D1C26"/>
    <w:rsid w:val="004E42B7"/>
    <w:rsid w:val="00505C9F"/>
    <w:rsid w:val="00512483"/>
    <w:rsid w:val="00531D9F"/>
    <w:rsid w:val="00546538"/>
    <w:rsid w:val="00560DBC"/>
    <w:rsid w:val="00585539"/>
    <w:rsid w:val="005B599B"/>
    <w:rsid w:val="005C1788"/>
    <w:rsid w:val="005C2EAA"/>
    <w:rsid w:val="005C3256"/>
    <w:rsid w:val="005D0CCD"/>
    <w:rsid w:val="005D60EF"/>
    <w:rsid w:val="005E02A3"/>
    <w:rsid w:val="005F6A06"/>
    <w:rsid w:val="006015C5"/>
    <w:rsid w:val="00636ECF"/>
    <w:rsid w:val="006441F0"/>
    <w:rsid w:val="00650026"/>
    <w:rsid w:val="006633CA"/>
    <w:rsid w:val="0066463C"/>
    <w:rsid w:val="00670B4D"/>
    <w:rsid w:val="00671DD4"/>
    <w:rsid w:val="00691181"/>
    <w:rsid w:val="006933B2"/>
    <w:rsid w:val="006976F7"/>
    <w:rsid w:val="006B5A83"/>
    <w:rsid w:val="006B75B0"/>
    <w:rsid w:val="006C4E7F"/>
    <w:rsid w:val="006D6036"/>
    <w:rsid w:val="006E7C30"/>
    <w:rsid w:val="006F2559"/>
    <w:rsid w:val="00721240"/>
    <w:rsid w:val="007227ED"/>
    <w:rsid w:val="007400E9"/>
    <w:rsid w:val="00771F68"/>
    <w:rsid w:val="007A1DCF"/>
    <w:rsid w:val="007D273A"/>
    <w:rsid w:val="007D4712"/>
    <w:rsid w:val="007E507D"/>
    <w:rsid w:val="00814D4E"/>
    <w:rsid w:val="0082359F"/>
    <w:rsid w:val="0084368B"/>
    <w:rsid w:val="00843F85"/>
    <w:rsid w:val="0088378B"/>
    <w:rsid w:val="00897B4A"/>
    <w:rsid w:val="00913CC7"/>
    <w:rsid w:val="00915A7B"/>
    <w:rsid w:val="009173CF"/>
    <w:rsid w:val="00932CE0"/>
    <w:rsid w:val="00936CB9"/>
    <w:rsid w:val="00967169"/>
    <w:rsid w:val="0096791E"/>
    <w:rsid w:val="009818EB"/>
    <w:rsid w:val="009853E0"/>
    <w:rsid w:val="00990FB8"/>
    <w:rsid w:val="009B3B0B"/>
    <w:rsid w:val="009D7339"/>
    <w:rsid w:val="009F6B4A"/>
    <w:rsid w:val="00A007A2"/>
    <w:rsid w:val="00A20170"/>
    <w:rsid w:val="00A3218A"/>
    <w:rsid w:val="00A5205A"/>
    <w:rsid w:val="00A6064F"/>
    <w:rsid w:val="00A63A5C"/>
    <w:rsid w:val="00A65CE1"/>
    <w:rsid w:val="00A8501D"/>
    <w:rsid w:val="00A928D8"/>
    <w:rsid w:val="00AB0D03"/>
    <w:rsid w:val="00AB7B37"/>
    <w:rsid w:val="00AD078D"/>
    <w:rsid w:val="00AE044B"/>
    <w:rsid w:val="00B12B35"/>
    <w:rsid w:val="00B1361B"/>
    <w:rsid w:val="00B20A96"/>
    <w:rsid w:val="00B428AE"/>
    <w:rsid w:val="00B46BCE"/>
    <w:rsid w:val="00B74863"/>
    <w:rsid w:val="00B97900"/>
    <w:rsid w:val="00BB0893"/>
    <w:rsid w:val="00BB2325"/>
    <w:rsid w:val="00BC512E"/>
    <w:rsid w:val="00BC7EF4"/>
    <w:rsid w:val="00BE600C"/>
    <w:rsid w:val="00BF5B0F"/>
    <w:rsid w:val="00BF622F"/>
    <w:rsid w:val="00C0443E"/>
    <w:rsid w:val="00C1349D"/>
    <w:rsid w:val="00C14AFE"/>
    <w:rsid w:val="00C2275F"/>
    <w:rsid w:val="00C22F3A"/>
    <w:rsid w:val="00C23C7C"/>
    <w:rsid w:val="00C23E89"/>
    <w:rsid w:val="00C353FA"/>
    <w:rsid w:val="00C84E01"/>
    <w:rsid w:val="00C97DDE"/>
    <w:rsid w:val="00CC4F06"/>
    <w:rsid w:val="00CC5074"/>
    <w:rsid w:val="00CE0F49"/>
    <w:rsid w:val="00D010CF"/>
    <w:rsid w:val="00D262F7"/>
    <w:rsid w:val="00D5074F"/>
    <w:rsid w:val="00D55009"/>
    <w:rsid w:val="00D5652B"/>
    <w:rsid w:val="00D6204A"/>
    <w:rsid w:val="00D860F3"/>
    <w:rsid w:val="00D9623F"/>
    <w:rsid w:val="00D96F30"/>
    <w:rsid w:val="00D9792C"/>
    <w:rsid w:val="00DA1565"/>
    <w:rsid w:val="00DB7881"/>
    <w:rsid w:val="00DB7D20"/>
    <w:rsid w:val="00DC42E6"/>
    <w:rsid w:val="00DD2829"/>
    <w:rsid w:val="00DD715A"/>
    <w:rsid w:val="00DF3090"/>
    <w:rsid w:val="00E02E7C"/>
    <w:rsid w:val="00E32B6B"/>
    <w:rsid w:val="00E42052"/>
    <w:rsid w:val="00E47C1D"/>
    <w:rsid w:val="00E53D10"/>
    <w:rsid w:val="00E557AE"/>
    <w:rsid w:val="00E6342E"/>
    <w:rsid w:val="00E665A3"/>
    <w:rsid w:val="00E67E00"/>
    <w:rsid w:val="00E737C6"/>
    <w:rsid w:val="00E9195D"/>
    <w:rsid w:val="00EA22F5"/>
    <w:rsid w:val="00EA27D5"/>
    <w:rsid w:val="00EA47E0"/>
    <w:rsid w:val="00ED292D"/>
    <w:rsid w:val="00F15C81"/>
    <w:rsid w:val="00F224C9"/>
    <w:rsid w:val="00F26E15"/>
    <w:rsid w:val="00FA2493"/>
    <w:rsid w:val="00FB0DC9"/>
    <w:rsid w:val="00FB17B2"/>
    <w:rsid w:val="00FB18E2"/>
    <w:rsid w:val="00FE6D60"/>
    <w:rsid w:val="00FE78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CA970"/>
  <w15:chartTrackingRefBased/>
  <w15:docId w15:val="{33F80C37-5A3D-45FA-ADAB-8B754610E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2DA9"/>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22DA9"/>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22DA9"/>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22DA9"/>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22DA9"/>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22DA9"/>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22DA9"/>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22DA9"/>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22DA9"/>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markdown-paragraph">
    <w:name w:val="ds-markdown-paragraph"/>
    <w:basedOn w:val="Normal"/>
    <w:rsid w:val="000778B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0778BD"/>
    <w:rPr>
      <w:b/>
      <w:bCs/>
    </w:rPr>
  </w:style>
  <w:style w:type="character" w:customStyle="1" w:styleId="Heading1Char">
    <w:name w:val="Heading 1 Char"/>
    <w:basedOn w:val="DefaultParagraphFont"/>
    <w:link w:val="Heading1"/>
    <w:uiPriority w:val="9"/>
    <w:rsid w:val="00422DA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422DA9"/>
    <w:pPr>
      <w:outlineLvl w:val="9"/>
    </w:pPr>
    <w:rPr>
      <w:lang w:val="en-US"/>
    </w:rPr>
  </w:style>
  <w:style w:type="character" w:customStyle="1" w:styleId="Heading2Char">
    <w:name w:val="Heading 2 Char"/>
    <w:basedOn w:val="DefaultParagraphFont"/>
    <w:link w:val="Heading2"/>
    <w:uiPriority w:val="9"/>
    <w:rsid w:val="00422DA9"/>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422DA9"/>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422DA9"/>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422DA9"/>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422DA9"/>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422DA9"/>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422DA9"/>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22DA9"/>
    <w:rPr>
      <w:rFonts w:asciiTheme="majorHAnsi" w:eastAsiaTheme="majorEastAsia" w:hAnsiTheme="majorHAnsi" w:cstheme="majorBidi"/>
      <w:i/>
      <w:iCs/>
      <w:color w:val="272727" w:themeColor="text1" w:themeTint="D8"/>
      <w:sz w:val="21"/>
      <w:szCs w:val="21"/>
      <w:lang w:val="en-GB"/>
    </w:rPr>
  </w:style>
  <w:style w:type="character" w:customStyle="1" w:styleId="diff-highlight">
    <w:name w:val="diff-highlight"/>
    <w:basedOn w:val="DefaultParagraphFont"/>
    <w:rsid w:val="00E32B6B"/>
  </w:style>
  <w:style w:type="paragraph" w:styleId="TOC1">
    <w:name w:val="toc 1"/>
    <w:basedOn w:val="Normal"/>
    <w:next w:val="Normal"/>
    <w:autoRedefine/>
    <w:uiPriority w:val="39"/>
    <w:unhideWhenUsed/>
    <w:rsid w:val="00D5652B"/>
    <w:pPr>
      <w:spacing w:after="100"/>
    </w:pPr>
  </w:style>
  <w:style w:type="character" w:styleId="Hyperlink">
    <w:name w:val="Hyperlink"/>
    <w:basedOn w:val="DefaultParagraphFont"/>
    <w:uiPriority w:val="99"/>
    <w:unhideWhenUsed/>
    <w:rsid w:val="00D5652B"/>
    <w:rPr>
      <w:color w:val="0563C1" w:themeColor="hyperlink"/>
      <w:u w:val="single"/>
    </w:rPr>
  </w:style>
  <w:style w:type="paragraph" w:styleId="ListParagraph">
    <w:name w:val="List Paragraph"/>
    <w:basedOn w:val="Normal"/>
    <w:uiPriority w:val="34"/>
    <w:qFormat/>
    <w:rsid w:val="00D5652B"/>
    <w:pPr>
      <w:ind w:left="720"/>
      <w:contextualSpacing/>
    </w:pPr>
  </w:style>
  <w:style w:type="table" w:styleId="TableGrid">
    <w:name w:val="Table Grid"/>
    <w:basedOn w:val="TableNormal"/>
    <w:uiPriority w:val="39"/>
    <w:rsid w:val="00BC51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C512E"/>
    <w:rPr>
      <w:color w:val="808080"/>
    </w:rPr>
  </w:style>
  <w:style w:type="character" w:customStyle="1" w:styleId="ms-1">
    <w:name w:val="ms-1"/>
    <w:basedOn w:val="DefaultParagraphFont"/>
    <w:rsid w:val="00B74863"/>
  </w:style>
  <w:style w:type="character" w:customStyle="1" w:styleId="max-w-full">
    <w:name w:val="max-w-full"/>
    <w:basedOn w:val="DefaultParagraphFont"/>
    <w:rsid w:val="00B74863"/>
  </w:style>
  <w:style w:type="character" w:customStyle="1" w:styleId="-me-1">
    <w:name w:val="-me-1"/>
    <w:basedOn w:val="DefaultParagraphFont"/>
    <w:rsid w:val="00B74863"/>
  </w:style>
  <w:style w:type="paragraph" w:styleId="Header">
    <w:name w:val="header"/>
    <w:basedOn w:val="Normal"/>
    <w:link w:val="HeaderChar"/>
    <w:uiPriority w:val="99"/>
    <w:unhideWhenUsed/>
    <w:rsid w:val="000E1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989"/>
    <w:rPr>
      <w:lang w:val="en-GB"/>
    </w:rPr>
  </w:style>
  <w:style w:type="paragraph" w:styleId="Footer">
    <w:name w:val="footer"/>
    <w:basedOn w:val="Normal"/>
    <w:link w:val="FooterChar"/>
    <w:uiPriority w:val="99"/>
    <w:unhideWhenUsed/>
    <w:rsid w:val="000E1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989"/>
    <w:rPr>
      <w:lang w:val="en-GB"/>
    </w:rPr>
  </w:style>
  <w:style w:type="character" w:customStyle="1" w:styleId="mord">
    <w:name w:val="mord"/>
    <w:basedOn w:val="DefaultParagraphFont"/>
    <w:rsid w:val="00E42052"/>
  </w:style>
  <w:style w:type="character" w:customStyle="1" w:styleId="mrel">
    <w:name w:val="mrel"/>
    <w:basedOn w:val="DefaultParagraphFont"/>
    <w:rsid w:val="00E42052"/>
  </w:style>
  <w:style w:type="character" w:customStyle="1" w:styleId="mbin">
    <w:name w:val="mbin"/>
    <w:basedOn w:val="DefaultParagraphFont"/>
    <w:rsid w:val="00E42052"/>
  </w:style>
  <w:style w:type="character" w:customStyle="1" w:styleId="mopen">
    <w:name w:val="mopen"/>
    <w:basedOn w:val="DefaultParagraphFont"/>
    <w:rsid w:val="00E42052"/>
  </w:style>
  <w:style w:type="character" w:customStyle="1" w:styleId="delimsizing">
    <w:name w:val="delimsizing"/>
    <w:basedOn w:val="DefaultParagraphFont"/>
    <w:rsid w:val="00E42052"/>
  </w:style>
  <w:style w:type="character" w:customStyle="1" w:styleId="mpunct">
    <w:name w:val="mpunct"/>
    <w:basedOn w:val="DefaultParagraphFont"/>
    <w:rsid w:val="00E42052"/>
  </w:style>
  <w:style w:type="character" w:customStyle="1" w:styleId="mclose">
    <w:name w:val="mclose"/>
    <w:basedOn w:val="DefaultParagraphFont"/>
    <w:rsid w:val="00E42052"/>
  </w:style>
  <w:style w:type="character" w:customStyle="1" w:styleId="vlist-s">
    <w:name w:val="vlist-s"/>
    <w:basedOn w:val="DefaultParagraphFont"/>
    <w:rsid w:val="00E42052"/>
  </w:style>
  <w:style w:type="character" w:customStyle="1" w:styleId="katex-mathml">
    <w:name w:val="katex-mathml"/>
    <w:basedOn w:val="DefaultParagraphFont"/>
    <w:rsid w:val="00E42052"/>
  </w:style>
  <w:style w:type="paragraph" w:styleId="TOC2">
    <w:name w:val="toc 2"/>
    <w:basedOn w:val="Normal"/>
    <w:next w:val="Normal"/>
    <w:autoRedefine/>
    <w:uiPriority w:val="39"/>
    <w:unhideWhenUsed/>
    <w:rsid w:val="00411BE3"/>
    <w:pPr>
      <w:spacing w:after="100"/>
      <w:ind w:left="220"/>
    </w:pPr>
  </w:style>
  <w:style w:type="paragraph" w:styleId="NormalWeb">
    <w:name w:val="Normal (Web)"/>
    <w:basedOn w:val="Normal"/>
    <w:uiPriority w:val="99"/>
    <w:semiHidden/>
    <w:unhideWhenUsed/>
    <w:rsid w:val="00F15C81"/>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Bullet2">
    <w:name w:val="List Bullet 2"/>
    <w:basedOn w:val="Normal"/>
    <w:uiPriority w:val="99"/>
    <w:unhideWhenUsed/>
    <w:rsid w:val="007227ED"/>
    <w:pPr>
      <w:numPr>
        <w:numId w:val="23"/>
      </w:numPr>
      <w:spacing w:after="200" w:line="276" w:lineRule="auto"/>
      <w:contextualSpacing/>
    </w:pPr>
    <w:rPr>
      <w:rFonts w:eastAsiaTheme="minorEastAsia"/>
      <w:lang w:val="en-US"/>
    </w:rPr>
  </w:style>
  <w:style w:type="character" w:styleId="Emphasis">
    <w:name w:val="Emphasis"/>
    <w:basedOn w:val="DefaultParagraphFont"/>
    <w:uiPriority w:val="20"/>
    <w:qFormat/>
    <w:rsid w:val="000906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47219">
      <w:bodyDiv w:val="1"/>
      <w:marLeft w:val="0"/>
      <w:marRight w:val="0"/>
      <w:marTop w:val="0"/>
      <w:marBottom w:val="0"/>
      <w:divBdr>
        <w:top w:val="none" w:sz="0" w:space="0" w:color="auto"/>
        <w:left w:val="none" w:sz="0" w:space="0" w:color="auto"/>
        <w:bottom w:val="none" w:sz="0" w:space="0" w:color="auto"/>
        <w:right w:val="none" w:sz="0" w:space="0" w:color="auto"/>
      </w:divBdr>
    </w:div>
    <w:div w:id="185096816">
      <w:bodyDiv w:val="1"/>
      <w:marLeft w:val="0"/>
      <w:marRight w:val="0"/>
      <w:marTop w:val="0"/>
      <w:marBottom w:val="0"/>
      <w:divBdr>
        <w:top w:val="none" w:sz="0" w:space="0" w:color="auto"/>
        <w:left w:val="none" w:sz="0" w:space="0" w:color="auto"/>
        <w:bottom w:val="none" w:sz="0" w:space="0" w:color="auto"/>
        <w:right w:val="none" w:sz="0" w:space="0" w:color="auto"/>
      </w:divBdr>
    </w:div>
    <w:div w:id="200946304">
      <w:bodyDiv w:val="1"/>
      <w:marLeft w:val="0"/>
      <w:marRight w:val="0"/>
      <w:marTop w:val="0"/>
      <w:marBottom w:val="0"/>
      <w:divBdr>
        <w:top w:val="none" w:sz="0" w:space="0" w:color="auto"/>
        <w:left w:val="none" w:sz="0" w:space="0" w:color="auto"/>
        <w:bottom w:val="none" w:sz="0" w:space="0" w:color="auto"/>
        <w:right w:val="none" w:sz="0" w:space="0" w:color="auto"/>
      </w:divBdr>
    </w:div>
    <w:div w:id="281771434">
      <w:bodyDiv w:val="1"/>
      <w:marLeft w:val="0"/>
      <w:marRight w:val="0"/>
      <w:marTop w:val="0"/>
      <w:marBottom w:val="0"/>
      <w:divBdr>
        <w:top w:val="none" w:sz="0" w:space="0" w:color="auto"/>
        <w:left w:val="none" w:sz="0" w:space="0" w:color="auto"/>
        <w:bottom w:val="none" w:sz="0" w:space="0" w:color="auto"/>
        <w:right w:val="none" w:sz="0" w:space="0" w:color="auto"/>
      </w:divBdr>
    </w:div>
    <w:div w:id="286741242">
      <w:bodyDiv w:val="1"/>
      <w:marLeft w:val="0"/>
      <w:marRight w:val="0"/>
      <w:marTop w:val="0"/>
      <w:marBottom w:val="0"/>
      <w:divBdr>
        <w:top w:val="none" w:sz="0" w:space="0" w:color="auto"/>
        <w:left w:val="none" w:sz="0" w:space="0" w:color="auto"/>
        <w:bottom w:val="none" w:sz="0" w:space="0" w:color="auto"/>
        <w:right w:val="none" w:sz="0" w:space="0" w:color="auto"/>
      </w:divBdr>
    </w:div>
    <w:div w:id="296374858">
      <w:bodyDiv w:val="1"/>
      <w:marLeft w:val="0"/>
      <w:marRight w:val="0"/>
      <w:marTop w:val="0"/>
      <w:marBottom w:val="0"/>
      <w:divBdr>
        <w:top w:val="none" w:sz="0" w:space="0" w:color="auto"/>
        <w:left w:val="none" w:sz="0" w:space="0" w:color="auto"/>
        <w:bottom w:val="none" w:sz="0" w:space="0" w:color="auto"/>
        <w:right w:val="none" w:sz="0" w:space="0" w:color="auto"/>
      </w:divBdr>
    </w:div>
    <w:div w:id="415447132">
      <w:bodyDiv w:val="1"/>
      <w:marLeft w:val="0"/>
      <w:marRight w:val="0"/>
      <w:marTop w:val="0"/>
      <w:marBottom w:val="0"/>
      <w:divBdr>
        <w:top w:val="none" w:sz="0" w:space="0" w:color="auto"/>
        <w:left w:val="none" w:sz="0" w:space="0" w:color="auto"/>
        <w:bottom w:val="none" w:sz="0" w:space="0" w:color="auto"/>
        <w:right w:val="none" w:sz="0" w:space="0" w:color="auto"/>
      </w:divBdr>
    </w:div>
    <w:div w:id="445388047">
      <w:bodyDiv w:val="1"/>
      <w:marLeft w:val="0"/>
      <w:marRight w:val="0"/>
      <w:marTop w:val="0"/>
      <w:marBottom w:val="0"/>
      <w:divBdr>
        <w:top w:val="none" w:sz="0" w:space="0" w:color="auto"/>
        <w:left w:val="none" w:sz="0" w:space="0" w:color="auto"/>
        <w:bottom w:val="none" w:sz="0" w:space="0" w:color="auto"/>
        <w:right w:val="none" w:sz="0" w:space="0" w:color="auto"/>
      </w:divBdr>
    </w:div>
    <w:div w:id="482938005">
      <w:bodyDiv w:val="1"/>
      <w:marLeft w:val="0"/>
      <w:marRight w:val="0"/>
      <w:marTop w:val="0"/>
      <w:marBottom w:val="0"/>
      <w:divBdr>
        <w:top w:val="none" w:sz="0" w:space="0" w:color="auto"/>
        <w:left w:val="none" w:sz="0" w:space="0" w:color="auto"/>
        <w:bottom w:val="none" w:sz="0" w:space="0" w:color="auto"/>
        <w:right w:val="none" w:sz="0" w:space="0" w:color="auto"/>
      </w:divBdr>
    </w:div>
    <w:div w:id="546572349">
      <w:bodyDiv w:val="1"/>
      <w:marLeft w:val="0"/>
      <w:marRight w:val="0"/>
      <w:marTop w:val="0"/>
      <w:marBottom w:val="0"/>
      <w:divBdr>
        <w:top w:val="none" w:sz="0" w:space="0" w:color="auto"/>
        <w:left w:val="none" w:sz="0" w:space="0" w:color="auto"/>
        <w:bottom w:val="none" w:sz="0" w:space="0" w:color="auto"/>
        <w:right w:val="none" w:sz="0" w:space="0" w:color="auto"/>
      </w:divBdr>
    </w:div>
    <w:div w:id="606543975">
      <w:bodyDiv w:val="1"/>
      <w:marLeft w:val="0"/>
      <w:marRight w:val="0"/>
      <w:marTop w:val="0"/>
      <w:marBottom w:val="0"/>
      <w:divBdr>
        <w:top w:val="none" w:sz="0" w:space="0" w:color="auto"/>
        <w:left w:val="none" w:sz="0" w:space="0" w:color="auto"/>
        <w:bottom w:val="none" w:sz="0" w:space="0" w:color="auto"/>
        <w:right w:val="none" w:sz="0" w:space="0" w:color="auto"/>
      </w:divBdr>
    </w:div>
    <w:div w:id="642002411">
      <w:bodyDiv w:val="1"/>
      <w:marLeft w:val="0"/>
      <w:marRight w:val="0"/>
      <w:marTop w:val="0"/>
      <w:marBottom w:val="0"/>
      <w:divBdr>
        <w:top w:val="none" w:sz="0" w:space="0" w:color="auto"/>
        <w:left w:val="none" w:sz="0" w:space="0" w:color="auto"/>
        <w:bottom w:val="none" w:sz="0" w:space="0" w:color="auto"/>
        <w:right w:val="none" w:sz="0" w:space="0" w:color="auto"/>
      </w:divBdr>
    </w:div>
    <w:div w:id="707414804">
      <w:bodyDiv w:val="1"/>
      <w:marLeft w:val="0"/>
      <w:marRight w:val="0"/>
      <w:marTop w:val="0"/>
      <w:marBottom w:val="0"/>
      <w:divBdr>
        <w:top w:val="none" w:sz="0" w:space="0" w:color="auto"/>
        <w:left w:val="none" w:sz="0" w:space="0" w:color="auto"/>
        <w:bottom w:val="none" w:sz="0" w:space="0" w:color="auto"/>
        <w:right w:val="none" w:sz="0" w:space="0" w:color="auto"/>
      </w:divBdr>
    </w:div>
    <w:div w:id="707684712">
      <w:bodyDiv w:val="1"/>
      <w:marLeft w:val="0"/>
      <w:marRight w:val="0"/>
      <w:marTop w:val="0"/>
      <w:marBottom w:val="0"/>
      <w:divBdr>
        <w:top w:val="none" w:sz="0" w:space="0" w:color="auto"/>
        <w:left w:val="none" w:sz="0" w:space="0" w:color="auto"/>
        <w:bottom w:val="none" w:sz="0" w:space="0" w:color="auto"/>
        <w:right w:val="none" w:sz="0" w:space="0" w:color="auto"/>
      </w:divBdr>
    </w:div>
    <w:div w:id="750736446">
      <w:bodyDiv w:val="1"/>
      <w:marLeft w:val="0"/>
      <w:marRight w:val="0"/>
      <w:marTop w:val="0"/>
      <w:marBottom w:val="0"/>
      <w:divBdr>
        <w:top w:val="none" w:sz="0" w:space="0" w:color="auto"/>
        <w:left w:val="none" w:sz="0" w:space="0" w:color="auto"/>
        <w:bottom w:val="none" w:sz="0" w:space="0" w:color="auto"/>
        <w:right w:val="none" w:sz="0" w:space="0" w:color="auto"/>
      </w:divBdr>
    </w:div>
    <w:div w:id="807626374">
      <w:bodyDiv w:val="1"/>
      <w:marLeft w:val="0"/>
      <w:marRight w:val="0"/>
      <w:marTop w:val="0"/>
      <w:marBottom w:val="0"/>
      <w:divBdr>
        <w:top w:val="none" w:sz="0" w:space="0" w:color="auto"/>
        <w:left w:val="none" w:sz="0" w:space="0" w:color="auto"/>
        <w:bottom w:val="none" w:sz="0" w:space="0" w:color="auto"/>
        <w:right w:val="none" w:sz="0" w:space="0" w:color="auto"/>
      </w:divBdr>
    </w:div>
    <w:div w:id="874542474">
      <w:bodyDiv w:val="1"/>
      <w:marLeft w:val="0"/>
      <w:marRight w:val="0"/>
      <w:marTop w:val="0"/>
      <w:marBottom w:val="0"/>
      <w:divBdr>
        <w:top w:val="none" w:sz="0" w:space="0" w:color="auto"/>
        <w:left w:val="none" w:sz="0" w:space="0" w:color="auto"/>
        <w:bottom w:val="none" w:sz="0" w:space="0" w:color="auto"/>
        <w:right w:val="none" w:sz="0" w:space="0" w:color="auto"/>
      </w:divBdr>
    </w:div>
    <w:div w:id="929200342">
      <w:bodyDiv w:val="1"/>
      <w:marLeft w:val="0"/>
      <w:marRight w:val="0"/>
      <w:marTop w:val="0"/>
      <w:marBottom w:val="0"/>
      <w:divBdr>
        <w:top w:val="none" w:sz="0" w:space="0" w:color="auto"/>
        <w:left w:val="none" w:sz="0" w:space="0" w:color="auto"/>
        <w:bottom w:val="none" w:sz="0" w:space="0" w:color="auto"/>
        <w:right w:val="none" w:sz="0" w:space="0" w:color="auto"/>
      </w:divBdr>
    </w:div>
    <w:div w:id="1109592649">
      <w:bodyDiv w:val="1"/>
      <w:marLeft w:val="0"/>
      <w:marRight w:val="0"/>
      <w:marTop w:val="0"/>
      <w:marBottom w:val="0"/>
      <w:divBdr>
        <w:top w:val="none" w:sz="0" w:space="0" w:color="auto"/>
        <w:left w:val="none" w:sz="0" w:space="0" w:color="auto"/>
        <w:bottom w:val="none" w:sz="0" w:space="0" w:color="auto"/>
        <w:right w:val="none" w:sz="0" w:space="0" w:color="auto"/>
      </w:divBdr>
    </w:div>
    <w:div w:id="1223177286">
      <w:bodyDiv w:val="1"/>
      <w:marLeft w:val="0"/>
      <w:marRight w:val="0"/>
      <w:marTop w:val="0"/>
      <w:marBottom w:val="0"/>
      <w:divBdr>
        <w:top w:val="none" w:sz="0" w:space="0" w:color="auto"/>
        <w:left w:val="none" w:sz="0" w:space="0" w:color="auto"/>
        <w:bottom w:val="none" w:sz="0" w:space="0" w:color="auto"/>
        <w:right w:val="none" w:sz="0" w:space="0" w:color="auto"/>
      </w:divBdr>
    </w:div>
    <w:div w:id="1240561551">
      <w:bodyDiv w:val="1"/>
      <w:marLeft w:val="0"/>
      <w:marRight w:val="0"/>
      <w:marTop w:val="0"/>
      <w:marBottom w:val="0"/>
      <w:divBdr>
        <w:top w:val="none" w:sz="0" w:space="0" w:color="auto"/>
        <w:left w:val="none" w:sz="0" w:space="0" w:color="auto"/>
        <w:bottom w:val="none" w:sz="0" w:space="0" w:color="auto"/>
        <w:right w:val="none" w:sz="0" w:space="0" w:color="auto"/>
      </w:divBdr>
    </w:div>
    <w:div w:id="1281450802">
      <w:bodyDiv w:val="1"/>
      <w:marLeft w:val="0"/>
      <w:marRight w:val="0"/>
      <w:marTop w:val="0"/>
      <w:marBottom w:val="0"/>
      <w:divBdr>
        <w:top w:val="none" w:sz="0" w:space="0" w:color="auto"/>
        <w:left w:val="none" w:sz="0" w:space="0" w:color="auto"/>
        <w:bottom w:val="none" w:sz="0" w:space="0" w:color="auto"/>
        <w:right w:val="none" w:sz="0" w:space="0" w:color="auto"/>
      </w:divBdr>
    </w:div>
    <w:div w:id="1341393322">
      <w:bodyDiv w:val="1"/>
      <w:marLeft w:val="0"/>
      <w:marRight w:val="0"/>
      <w:marTop w:val="0"/>
      <w:marBottom w:val="0"/>
      <w:divBdr>
        <w:top w:val="none" w:sz="0" w:space="0" w:color="auto"/>
        <w:left w:val="none" w:sz="0" w:space="0" w:color="auto"/>
        <w:bottom w:val="none" w:sz="0" w:space="0" w:color="auto"/>
        <w:right w:val="none" w:sz="0" w:space="0" w:color="auto"/>
      </w:divBdr>
    </w:div>
    <w:div w:id="1355694605">
      <w:bodyDiv w:val="1"/>
      <w:marLeft w:val="0"/>
      <w:marRight w:val="0"/>
      <w:marTop w:val="0"/>
      <w:marBottom w:val="0"/>
      <w:divBdr>
        <w:top w:val="none" w:sz="0" w:space="0" w:color="auto"/>
        <w:left w:val="none" w:sz="0" w:space="0" w:color="auto"/>
        <w:bottom w:val="none" w:sz="0" w:space="0" w:color="auto"/>
        <w:right w:val="none" w:sz="0" w:space="0" w:color="auto"/>
      </w:divBdr>
    </w:div>
    <w:div w:id="1399328609">
      <w:bodyDiv w:val="1"/>
      <w:marLeft w:val="0"/>
      <w:marRight w:val="0"/>
      <w:marTop w:val="0"/>
      <w:marBottom w:val="0"/>
      <w:divBdr>
        <w:top w:val="none" w:sz="0" w:space="0" w:color="auto"/>
        <w:left w:val="none" w:sz="0" w:space="0" w:color="auto"/>
        <w:bottom w:val="none" w:sz="0" w:space="0" w:color="auto"/>
        <w:right w:val="none" w:sz="0" w:space="0" w:color="auto"/>
      </w:divBdr>
    </w:div>
    <w:div w:id="1470241438">
      <w:bodyDiv w:val="1"/>
      <w:marLeft w:val="0"/>
      <w:marRight w:val="0"/>
      <w:marTop w:val="0"/>
      <w:marBottom w:val="0"/>
      <w:divBdr>
        <w:top w:val="none" w:sz="0" w:space="0" w:color="auto"/>
        <w:left w:val="none" w:sz="0" w:space="0" w:color="auto"/>
        <w:bottom w:val="none" w:sz="0" w:space="0" w:color="auto"/>
        <w:right w:val="none" w:sz="0" w:space="0" w:color="auto"/>
      </w:divBdr>
    </w:div>
    <w:div w:id="1473593411">
      <w:bodyDiv w:val="1"/>
      <w:marLeft w:val="0"/>
      <w:marRight w:val="0"/>
      <w:marTop w:val="0"/>
      <w:marBottom w:val="0"/>
      <w:divBdr>
        <w:top w:val="none" w:sz="0" w:space="0" w:color="auto"/>
        <w:left w:val="none" w:sz="0" w:space="0" w:color="auto"/>
        <w:bottom w:val="none" w:sz="0" w:space="0" w:color="auto"/>
        <w:right w:val="none" w:sz="0" w:space="0" w:color="auto"/>
      </w:divBdr>
    </w:div>
    <w:div w:id="1477645287">
      <w:bodyDiv w:val="1"/>
      <w:marLeft w:val="0"/>
      <w:marRight w:val="0"/>
      <w:marTop w:val="0"/>
      <w:marBottom w:val="0"/>
      <w:divBdr>
        <w:top w:val="none" w:sz="0" w:space="0" w:color="auto"/>
        <w:left w:val="none" w:sz="0" w:space="0" w:color="auto"/>
        <w:bottom w:val="none" w:sz="0" w:space="0" w:color="auto"/>
        <w:right w:val="none" w:sz="0" w:space="0" w:color="auto"/>
      </w:divBdr>
    </w:div>
    <w:div w:id="1526672356">
      <w:bodyDiv w:val="1"/>
      <w:marLeft w:val="0"/>
      <w:marRight w:val="0"/>
      <w:marTop w:val="0"/>
      <w:marBottom w:val="0"/>
      <w:divBdr>
        <w:top w:val="none" w:sz="0" w:space="0" w:color="auto"/>
        <w:left w:val="none" w:sz="0" w:space="0" w:color="auto"/>
        <w:bottom w:val="none" w:sz="0" w:space="0" w:color="auto"/>
        <w:right w:val="none" w:sz="0" w:space="0" w:color="auto"/>
      </w:divBdr>
    </w:div>
    <w:div w:id="1715621712">
      <w:bodyDiv w:val="1"/>
      <w:marLeft w:val="0"/>
      <w:marRight w:val="0"/>
      <w:marTop w:val="0"/>
      <w:marBottom w:val="0"/>
      <w:divBdr>
        <w:top w:val="none" w:sz="0" w:space="0" w:color="auto"/>
        <w:left w:val="none" w:sz="0" w:space="0" w:color="auto"/>
        <w:bottom w:val="none" w:sz="0" w:space="0" w:color="auto"/>
        <w:right w:val="none" w:sz="0" w:space="0" w:color="auto"/>
      </w:divBdr>
    </w:div>
    <w:div w:id="1784690871">
      <w:bodyDiv w:val="1"/>
      <w:marLeft w:val="0"/>
      <w:marRight w:val="0"/>
      <w:marTop w:val="0"/>
      <w:marBottom w:val="0"/>
      <w:divBdr>
        <w:top w:val="none" w:sz="0" w:space="0" w:color="auto"/>
        <w:left w:val="none" w:sz="0" w:space="0" w:color="auto"/>
        <w:bottom w:val="none" w:sz="0" w:space="0" w:color="auto"/>
        <w:right w:val="none" w:sz="0" w:space="0" w:color="auto"/>
      </w:divBdr>
    </w:div>
    <w:div w:id="1800220365">
      <w:bodyDiv w:val="1"/>
      <w:marLeft w:val="0"/>
      <w:marRight w:val="0"/>
      <w:marTop w:val="0"/>
      <w:marBottom w:val="0"/>
      <w:divBdr>
        <w:top w:val="none" w:sz="0" w:space="0" w:color="auto"/>
        <w:left w:val="none" w:sz="0" w:space="0" w:color="auto"/>
        <w:bottom w:val="none" w:sz="0" w:space="0" w:color="auto"/>
        <w:right w:val="none" w:sz="0" w:space="0" w:color="auto"/>
      </w:divBdr>
    </w:div>
    <w:div w:id="1819758586">
      <w:bodyDiv w:val="1"/>
      <w:marLeft w:val="0"/>
      <w:marRight w:val="0"/>
      <w:marTop w:val="0"/>
      <w:marBottom w:val="0"/>
      <w:divBdr>
        <w:top w:val="none" w:sz="0" w:space="0" w:color="auto"/>
        <w:left w:val="none" w:sz="0" w:space="0" w:color="auto"/>
        <w:bottom w:val="none" w:sz="0" w:space="0" w:color="auto"/>
        <w:right w:val="none" w:sz="0" w:space="0" w:color="auto"/>
      </w:divBdr>
    </w:div>
    <w:div w:id="1828131059">
      <w:bodyDiv w:val="1"/>
      <w:marLeft w:val="0"/>
      <w:marRight w:val="0"/>
      <w:marTop w:val="0"/>
      <w:marBottom w:val="0"/>
      <w:divBdr>
        <w:top w:val="none" w:sz="0" w:space="0" w:color="auto"/>
        <w:left w:val="none" w:sz="0" w:space="0" w:color="auto"/>
        <w:bottom w:val="none" w:sz="0" w:space="0" w:color="auto"/>
        <w:right w:val="none" w:sz="0" w:space="0" w:color="auto"/>
      </w:divBdr>
    </w:div>
    <w:div w:id="1831873608">
      <w:bodyDiv w:val="1"/>
      <w:marLeft w:val="0"/>
      <w:marRight w:val="0"/>
      <w:marTop w:val="0"/>
      <w:marBottom w:val="0"/>
      <w:divBdr>
        <w:top w:val="none" w:sz="0" w:space="0" w:color="auto"/>
        <w:left w:val="none" w:sz="0" w:space="0" w:color="auto"/>
        <w:bottom w:val="none" w:sz="0" w:space="0" w:color="auto"/>
        <w:right w:val="none" w:sz="0" w:space="0" w:color="auto"/>
      </w:divBdr>
    </w:div>
    <w:div w:id="1839927387">
      <w:bodyDiv w:val="1"/>
      <w:marLeft w:val="0"/>
      <w:marRight w:val="0"/>
      <w:marTop w:val="0"/>
      <w:marBottom w:val="0"/>
      <w:divBdr>
        <w:top w:val="none" w:sz="0" w:space="0" w:color="auto"/>
        <w:left w:val="none" w:sz="0" w:space="0" w:color="auto"/>
        <w:bottom w:val="none" w:sz="0" w:space="0" w:color="auto"/>
        <w:right w:val="none" w:sz="0" w:space="0" w:color="auto"/>
      </w:divBdr>
    </w:div>
    <w:div w:id="1854175781">
      <w:bodyDiv w:val="1"/>
      <w:marLeft w:val="0"/>
      <w:marRight w:val="0"/>
      <w:marTop w:val="0"/>
      <w:marBottom w:val="0"/>
      <w:divBdr>
        <w:top w:val="none" w:sz="0" w:space="0" w:color="auto"/>
        <w:left w:val="none" w:sz="0" w:space="0" w:color="auto"/>
        <w:bottom w:val="none" w:sz="0" w:space="0" w:color="auto"/>
        <w:right w:val="none" w:sz="0" w:space="0" w:color="auto"/>
      </w:divBdr>
    </w:div>
    <w:div w:id="1986082732">
      <w:bodyDiv w:val="1"/>
      <w:marLeft w:val="0"/>
      <w:marRight w:val="0"/>
      <w:marTop w:val="0"/>
      <w:marBottom w:val="0"/>
      <w:divBdr>
        <w:top w:val="none" w:sz="0" w:space="0" w:color="auto"/>
        <w:left w:val="none" w:sz="0" w:space="0" w:color="auto"/>
        <w:bottom w:val="none" w:sz="0" w:space="0" w:color="auto"/>
        <w:right w:val="none" w:sz="0" w:space="0" w:color="auto"/>
      </w:divBdr>
    </w:div>
    <w:div w:id="2077581073">
      <w:bodyDiv w:val="1"/>
      <w:marLeft w:val="0"/>
      <w:marRight w:val="0"/>
      <w:marTop w:val="0"/>
      <w:marBottom w:val="0"/>
      <w:divBdr>
        <w:top w:val="none" w:sz="0" w:space="0" w:color="auto"/>
        <w:left w:val="none" w:sz="0" w:space="0" w:color="auto"/>
        <w:bottom w:val="none" w:sz="0" w:space="0" w:color="auto"/>
        <w:right w:val="none" w:sz="0" w:space="0" w:color="auto"/>
      </w:divBdr>
    </w:div>
    <w:div w:id="2092312425">
      <w:bodyDiv w:val="1"/>
      <w:marLeft w:val="0"/>
      <w:marRight w:val="0"/>
      <w:marTop w:val="0"/>
      <w:marBottom w:val="0"/>
      <w:divBdr>
        <w:top w:val="none" w:sz="0" w:space="0" w:color="auto"/>
        <w:left w:val="none" w:sz="0" w:space="0" w:color="auto"/>
        <w:bottom w:val="none" w:sz="0" w:space="0" w:color="auto"/>
        <w:right w:val="none" w:sz="0" w:space="0" w:color="auto"/>
      </w:divBdr>
    </w:div>
    <w:div w:id="2115855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7567F4-9EF7-4AE6-B599-78179F408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2427</TotalTime>
  <Pages>28</Pages>
  <Words>7078</Words>
  <Characters>40351</Characters>
  <Application>Microsoft Office Word</Application>
  <DocSecurity>0</DocSecurity>
  <Lines>336</Lines>
  <Paragraphs>94</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    Executive Summary</vt:lpstr>
      <vt:lpstr>Introduction</vt:lpstr>
      <vt:lpstr>Methodology and Theoretical Framework</vt:lpstr>
      <vt:lpstr>Financial ratio Analysis with explanation </vt:lpstr>
      <vt:lpstr>BT Group vs. Industry (FY 2024)</vt:lpstr>
      <vt:lpstr>Critical Evaluation</vt:lpstr>
      <vt:lpstr>    Limitations of ratio analysis</vt:lpstr>
      <vt:lpstr>Application of Financial Theories to BT’s Strategic Environment</vt:lpstr>
      <vt:lpstr>Emerging Financial Perspectives in Capital Planning</vt:lpstr>
      <vt:lpstr>Recommendation</vt:lpstr>
      <vt:lpstr>Task 2</vt:lpstr>
      <vt:lpstr>Investment Appraisal</vt:lpstr>
      <vt:lpstr>Investment Option Evaluation and Recommendation</vt:lpstr>
      <vt:lpstr>    Approximately Internal rate of return </vt:lpstr>
      <vt:lpstr>    Justification  </vt:lpstr>
      <vt:lpstr>Interpretation and discussion</vt:lpstr>
      <vt:lpstr>Capital-Rationing Scenario</vt:lpstr>
      <vt:lpstr>    Resulting Portfolio NPV</vt:lpstr>
      <vt:lpstr>Financing programme</vt:lpstr>
      <vt:lpstr>Conclusion</vt:lpstr>
      <vt:lpstr>References </vt:lpstr>
      <vt:lpstr>Appendix B Liquidity Ratios</vt:lpstr>
      <vt:lpstr>Appendix c Efficiency Ratio </vt:lpstr>
      <vt:lpstr>Appendix D Gearing Ratio</vt:lpstr>
      <vt:lpstr>Appendix E Investment Ratio</vt:lpstr>
      <vt:lpstr>Appendix F Balance sheet</vt:lpstr>
    </vt:vector>
  </TitlesOfParts>
  <Company/>
  <LinksUpToDate>false</LinksUpToDate>
  <CharactersWithSpaces>47335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Shree Vi</dc:creator>
  <cp:keywords/>
  <dc:description/>
  <cp:lastModifiedBy>Shree Vi</cp:lastModifiedBy>
  <cp:revision>78</cp:revision>
  <dcterms:created xsi:type="dcterms:W3CDTF">2025-07-10T20:41:00Z</dcterms:created>
  <dcterms:modified xsi:type="dcterms:W3CDTF">2025-07-18T10:53:00Z</dcterms:modified>
</cp:coreProperties>
</file>