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666EFB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C53D2" w:rsidRPr="00CC53D2">
              <w:rPr>
                <w:rFonts w:ascii="Times New Roman" w:hAnsi="Times New Roman" w:cs="Times New Roman"/>
                <w:b/>
                <w:color w:val="auto"/>
                <w:sz w:val="48"/>
              </w:rPr>
              <w:t>Paul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6D012C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C53D2">
              <w:rPr>
                <w:rFonts w:ascii="Times New Roman" w:hAnsi="Times New Roman" w:cs="Times New Roman"/>
                <w:b/>
                <w:color w:val="auto"/>
                <w:sz w:val="48"/>
              </w:rPr>
              <w:t xml:space="preserve"> paul.Evans4@ceredigion.gov.uk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C739580" w14:textId="77777777" w:rsidR="00CC53D2"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C53D2">
              <w:rPr>
                <w:rFonts w:ascii="Times New Roman" w:hAnsi="Times New Roman" w:cs="Times New Roman"/>
                <w:b/>
                <w:color w:val="auto"/>
                <w:sz w:val="48"/>
              </w:rPr>
              <w:t xml:space="preserve"> </w:t>
            </w:r>
          </w:p>
          <w:p w14:paraId="0DE696B2" w14:textId="67D2C8F0" w:rsidR="00F927A1" w:rsidRPr="005D3F07" w:rsidRDefault="00CC53D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1202546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431DBE56" w14:textId="77777777" w:rsidR="00602F73" w:rsidRPr="00EE5BC3" w:rsidRDefault="00602F73" w:rsidP="00602F73">
      <w:pPr>
        <w:jc w:val="center"/>
        <w:rPr>
          <w:b/>
          <w:sz w:val="28"/>
          <w:szCs w:val="28"/>
        </w:rPr>
      </w:pPr>
      <w:r w:rsidRPr="00EE5BC3">
        <w:rPr>
          <w:b/>
          <w:sz w:val="28"/>
          <w:szCs w:val="28"/>
        </w:rPr>
        <w:t>Task 4</w:t>
      </w:r>
    </w:p>
    <w:p w14:paraId="671BB9F0" w14:textId="77777777" w:rsidR="00602F73" w:rsidRPr="00EE5BC3" w:rsidRDefault="00602F73" w:rsidP="00602F73">
      <w:pPr>
        <w:jc w:val="center"/>
        <w:rPr>
          <w:b/>
          <w:sz w:val="28"/>
          <w:szCs w:val="28"/>
        </w:rPr>
      </w:pPr>
    </w:p>
    <w:p w14:paraId="2DB91E14" w14:textId="77777777" w:rsidR="00602F73" w:rsidRPr="00EE5BC3" w:rsidRDefault="00602F73" w:rsidP="00602F73">
      <w:pPr>
        <w:jc w:val="center"/>
        <w:rPr>
          <w:b/>
          <w:sz w:val="28"/>
          <w:szCs w:val="28"/>
        </w:rPr>
      </w:pPr>
      <w:r w:rsidRPr="00EE5BC3">
        <w:rPr>
          <w:b/>
          <w:sz w:val="28"/>
          <w:szCs w:val="28"/>
        </w:rPr>
        <w:t>Safeguarding</w:t>
      </w:r>
      <w:r>
        <w:rPr>
          <w:b/>
          <w:sz w:val="28"/>
          <w:szCs w:val="28"/>
        </w:rPr>
        <w:t xml:space="preserve"> in an area which is not your main area of work</w:t>
      </w:r>
    </w:p>
    <w:p w14:paraId="31C3C2B4" w14:textId="77777777" w:rsidR="00602F73" w:rsidRPr="008B28E7" w:rsidRDefault="00602F73" w:rsidP="00602F73">
      <w:pPr>
        <w:jc w:val="both"/>
        <w:rPr>
          <w:b/>
          <w:sz w:val="24"/>
          <w:szCs w:val="24"/>
        </w:rPr>
      </w:pPr>
    </w:p>
    <w:p w14:paraId="3E113A46" w14:textId="77777777" w:rsidR="00602F73" w:rsidRPr="00EE5BC3" w:rsidRDefault="00602F73" w:rsidP="00602F73">
      <w:pPr>
        <w:ind w:left="-90"/>
        <w:jc w:val="both"/>
        <w:rPr>
          <w:b/>
          <w:i/>
          <w:sz w:val="24"/>
          <w:szCs w:val="24"/>
        </w:rPr>
      </w:pPr>
      <w:r w:rsidRPr="00EE5BC3">
        <w:rPr>
          <w:b/>
          <w:i/>
          <w:sz w:val="24"/>
          <w:szCs w:val="24"/>
        </w:rPr>
        <w:t xml:space="preserve">Guidance: </w:t>
      </w:r>
    </w:p>
    <w:p w14:paraId="35F562D3" w14:textId="77777777" w:rsidR="00602F73" w:rsidRPr="00706BB5" w:rsidRDefault="00602F73" w:rsidP="00602F73">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14:paraId="21DD18DD" w14:textId="77777777" w:rsidR="00602F73" w:rsidRPr="008B28E7" w:rsidRDefault="00602F73" w:rsidP="00602F73">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02F73" w:rsidRPr="008B28E7" w14:paraId="79F6F13D" w14:textId="77777777" w:rsidTr="00AB2262">
        <w:tc>
          <w:tcPr>
            <w:tcW w:w="10188" w:type="dxa"/>
            <w:shd w:val="clear" w:color="auto" w:fill="auto"/>
          </w:tcPr>
          <w:p w14:paraId="3A0F9274" w14:textId="77777777" w:rsidR="00602F73" w:rsidRPr="00EB695F" w:rsidRDefault="00602F73" w:rsidP="00AB2262">
            <w:pPr>
              <w:jc w:val="both"/>
              <w:rPr>
                <w:b/>
                <w:sz w:val="24"/>
                <w:szCs w:val="24"/>
              </w:rPr>
            </w:pPr>
            <w:r w:rsidRPr="00EB695F">
              <w:rPr>
                <w:b/>
                <w:sz w:val="24"/>
                <w:szCs w:val="24"/>
              </w:rPr>
              <w:t>Question</w:t>
            </w:r>
            <w:r>
              <w:rPr>
                <w:b/>
                <w:sz w:val="24"/>
                <w:szCs w:val="24"/>
              </w:rPr>
              <w:t xml:space="preserve"> a:</w:t>
            </w:r>
          </w:p>
          <w:p w14:paraId="02724084" w14:textId="77777777" w:rsidR="00602F73" w:rsidRPr="009924D6" w:rsidRDefault="00602F73" w:rsidP="00AB2262">
            <w:pPr>
              <w:jc w:val="both"/>
              <w:rPr>
                <w:b/>
                <w:bCs/>
                <w:sz w:val="24"/>
                <w:szCs w:val="24"/>
              </w:rPr>
            </w:pPr>
            <w:r w:rsidRPr="009924D6">
              <w:rPr>
                <w:b/>
                <w:bCs/>
                <w:sz w:val="24"/>
                <w:szCs w:val="24"/>
              </w:rPr>
              <w:t>In an area that is not your main focus of work (see guidance above), explain the relevant legislation, and the national, local and organisational policies and procedures for safeguarding.</w:t>
            </w:r>
          </w:p>
          <w:p w14:paraId="7421A94B" w14:textId="77777777" w:rsidR="00602F73" w:rsidRPr="009924D6" w:rsidRDefault="00602F73" w:rsidP="00AB2262">
            <w:pPr>
              <w:jc w:val="both"/>
              <w:rPr>
                <w:b/>
                <w:bCs/>
                <w:sz w:val="24"/>
                <w:szCs w:val="24"/>
              </w:rPr>
            </w:pPr>
          </w:p>
          <w:p w14:paraId="4A689BEF" w14:textId="77777777" w:rsidR="00602F73" w:rsidRPr="009924D6" w:rsidRDefault="00602F73" w:rsidP="00AB2262">
            <w:pPr>
              <w:jc w:val="both"/>
              <w:rPr>
                <w:b/>
                <w:bCs/>
                <w:sz w:val="24"/>
                <w:szCs w:val="24"/>
              </w:rPr>
            </w:pPr>
            <w:r w:rsidRPr="009924D6">
              <w:rPr>
                <w:b/>
                <w:bCs/>
                <w:sz w:val="24"/>
                <w:szCs w:val="24"/>
              </w:rPr>
              <w:t xml:space="preserve"> 500 words (+/- 10%: include your actual word count at the end of each section).</w:t>
            </w:r>
          </w:p>
          <w:p w14:paraId="2A32E9C8" w14:textId="77777777" w:rsidR="00602F73" w:rsidRPr="00C966B2" w:rsidRDefault="00602F73" w:rsidP="00AB2262">
            <w:pPr>
              <w:jc w:val="both"/>
              <w:rPr>
                <w:sz w:val="24"/>
                <w:szCs w:val="24"/>
              </w:rPr>
            </w:pPr>
          </w:p>
          <w:p w14:paraId="7E3F5BD8" w14:textId="77777777" w:rsidR="00602F73" w:rsidRPr="00602F73" w:rsidRDefault="00602F73" w:rsidP="00602F73">
            <w:pPr>
              <w:spacing w:line="360" w:lineRule="auto"/>
              <w:jc w:val="both"/>
            </w:pPr>
            <w:r w:rsidRPr="00602F73">
              <w:t>Adults who are at a higher risk of abuse or neglect are those with care and support needs such as those with disabilities or older people. They are often targeted due to their vulnerabilities and may not understand that they are victims of abuse; and are less likely to report it. Also, at risk are those with communication difficulties, as they may not be able to tell anyone if they are being abused (SCIE, 2023).</w:t>
            </w:r>
          </w:p>
          <w:p w14:paraId="0AF259F2" w14:textId="77777777" w:rsidR="00602F73" w:rsidRDefault="00602F73" w:rsidP="00602F73">
            <w:pPr>
              <w:spacing w:line="360" w:lineRule="auto"/>
              <w:jc w:val="both"/>
            </w:pPr>
            <w:r w:rsidRPr="00602F73">
              <w:t xml:space="preserve"> Safeguarding legislation for adults is included in the Social Services and Wellbeing (Wales) Act (2014). The procedures to be followed for this legislation are set out in the Wales Safeguarding Procedures. Professionals have a statutory duty to report to the local authority where there is cause to suspect that an adult may be at risk of or experiencing abuse or neglect, or has care and support needs and as a result are not able to protect themselves from abuse or neglect.</w:t>
            </w:r>
          </w:p>
          <w:p w14:paraId="5FB36487" w14:textId="3294A107" w:rsidR="00602F73" w:rsidRPr="00602F73" w:rsidRDefault="00602F73" w:rsidP="00602F73">
            <w:pPr>
              <w:spacing w:line="360" w:lineRule="auto"/>
              <w:jc w:val="both"/>
            </w:pPr>
            <w:r w:rsidRPr="00602F73">
              <w:t xml:space="preserve"> </w:t>
            </w:r>
          </w:p>
          <w:p w14:paraId="13760E22" w14:textId="53F1C95A" w:rsidR="00602F73" w:rsidRDefault="00602F73" w:rsidP="00602F73">
            <w:pPr>
              <w:spacing w:line="360" w:lineRule="auto"/>
              <w:jc w:val="both"/>
            </w:pPr>
            <w:r w:rsidRPr="00602F73">
              <w:t xml:space="preserve">Abuse is understood in eight forms of maltreatment </w:t>
            </w:r>
            <w:r w:rsidRPr="00602F73">
              <w:rPr>
                <w:color w:val="auto"/>
              </w:rPr>
              <w:t>but within each of these category’s maltreatment has many indicators. P</w:t>
            </w:r>
            <w:r w:rsidRPr="00602F73">
              <w:t>hysical abuse, for example, which is not limited to slapping and kicking but can include inappropriate or unlawful use of restraint can have indicators which might include unexplained injuries or injuries that are inconsistent with the explanation of what happened. Sexual abuse can range from any non-consensual sexual activity to sexual harassment with some possible indicators being bruising in areas such as upper arms, thighs, buttocks and neck. Psychological and emotional abuse, examples of this are preventing someone meeting their religious and cultural needs or cyber bullying. Domestic violence examples include coercive behaviour or ‘honour-based violence and female genital mutilation. Other types of abuse are financial, neglect, self-neglect and modern slavery (SCIE, 2023).</w:t>
            </w:r>
            <w:r>
              <w:t xml:space="preserve"> </w:t>
            </w:r>
            <w:r w:rsidRPr="00602F73">
              <w:t xml:space="preserve">After initial screening where it is decided that there are concerns of abuse or neglect, there is a duty on the Local Authority to carry out further enquiries under S126(2) SSWBA (2014) to establish if abuse or neglect has occurred. These should happen within 7 working days. The enquiries should determine the facts </w:t>
            </w:r>
            <w:r w:rsidRPr="00602F73">
              <w:lastRenderedPageBreak/>
              <w:t xml:space="preserve">of what has happened. The evaluation needs to be person centred and continuously consider if the adult has capacity to make decisions to protect themselves from abuse. Where it is suspected that a crime has taken place, this should be reported to the police. </w:t>
            </w:r>
          </w:p>
          <w:p w14:paraId="7DC67621" w14:textId="77777777" w:rsidR="00602F73" w:rsidRPr="00602F73" w:rsidRDefault="00602F73" w:rsidP="00602F73">
            <w:pPr>
              <w:spacing w:line="360" w:lineRule="auto"/>
              <w:jc w:val="both"/>
            </w:pPr>
          </w:p>
          <w:p w14:paraId="3308F11E" w14:textId="77777777" w:rsidR="00602F73" w:rsidRPr="00602F73" w:rsidRDefault="00602F73" w:rsidP="00602F73">
            <w:pPr>
              <w:spacing w:line="360" w:lineRule="auto"/>
              <w:jc w:val="both"/>
            </w:pPr>
            <w:r w:rsidRPr="00602F73">
              <w:t xml:space="preserve">The outcome of S.126 enquiries will have three determinations 1. ‘Immediate protection’, 2. ‘The adult is not at risk but may have support needs. 3. ‘Adult at risk and action to protect needed’. Where an adult is a risk and action </w:t>
            </w:r>
            <w:proofErr w:type="gramStart"/>
            <w:r w:rsidRPr="00602F73">
              <w:t>is</w:t>
            </w:r>
            <w:proofErr w:type="gramEnd"/>
            <w:r w:rsidRPr="00602F73">
              <w:t xml:space="preserve"> needed, a multiagency strategy meeting is held. If the risks can be addressed through planning strategy meetings, then no further action is needed. Otherwise, if the person still has care and support protection needs it is the duty of the local authority and S35 SSWBA 2014 to take action to protect them from abuse or neglect. A protection conference would be necessary to agree a care and support protection plan to ensure the adults safety and reduce any risks. This plan must be reviewed regularly. Once it is agreed by all parties of the protection conference that the risks are reduced, then the safeguarding process comes to an end.</w:t>
            </w:r>
          </w:p>
          <w:p w14:paraId="7916C7AB" w14:textId="77777777" w:rsidR="00602F73" w:rsidRPr="008B28E7" w:rsidRDefault="00602F73" w:rsidP="00602F73">
            <w:pPr>
              <w:spacing w:line="360" w:lineRule="auto"/>
              <w:jc w:val="both"/>
              <w:rPr>
                <w:b/>
                <w:sz w:val="24"/>
                <w:szCs w:val="24"/>
              </w:rPr>
            </w:pPr>
            <w:r w:rsidRPr="00602F73">
              <w:t>Word count 535</w:t>
            </w:r>
          </w:p>
        </w:tc>
      </w:tr>
    </w:tbl>
    <w:p w14:paraId="1191B6C3" w14:textId="77777777" w:rsidR="00602F73" w:rsidRPr="008B28E7" w:rsidRDefault="00602F73" w:rsidP="00602F73">
      <w:pPr>
        <w:jc w:val="both"/>
        <w:rPr>
          <w:sz w:val="24"/>
          <w:szCs w:val="24"/>
        </w:rPr>
      </w:pPr>
    </w:p>
    <w:p w14:paraId="1E1D0539" w14:textId="77777777" w:rsidR="00602F73" w:rsidRPr="008B28E7" w:rsidRDefault="00602F73" w:rsidP="00602F73">
      <w:pPr>
        <w:jc w:val="both"/>
        <w:rPr>
          <w:sz w:val="24"/>
          <w:szCs w:val="24"/>
        </w:rPr>
      </w:pPr>
    </w:p>
    <w:p w14:paraId="5A5E1FE4" w14:textId="77777777" w:rsidR="00602F73" w:rsidRDefault="00602F73" w:rsidP="00602F73">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02F73" w:rsidRPr="008B28E7" w14:paraId="7B57623E" w14:textId="77777777" w:rsidTr="00AB2262">
        <w:tc>
          <w:tcPr>
            <w:tcW w:w="10278" w:type="dxa"/>
            <w:shd w:val="clear" w:color="auto" w:fill="auto"/>
          </w:tcPr>
          <w:p w14:paraId="67FA52E7" w14:textId="77777777" w:rsidR="00602F73" w:rsidRPr="00EB695F" w:rsidRDefault="00602F73" w:rsidP="00AB2262">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094B6966" w14:textId="77777777" w:rsidR="00602F73" w:rsidRPr="009924D6" w:rsidRDefault="00602F73" w:rsidP="00AB2262">
            <w:pPr>
              <w:jc w:val="both"/>
              <w:rPr>
                <w:b/>
                <w:bCs/>
                <w:sz w:val="24"/>
                <w:szCs w:val="24"/>
              </w:rPr>
            </w:pPr>
            <w:r w:rsidRPr="009924D6">
              <w:rPr>
                <w:b/>
                <w:bCs/>
                <w:sz w:val="24"/>
                <w:szCs w:val="24"/>
              </w:rPr>
              <w:t>Reflect on the difference between safeguarding in adults’ and children’s work</w:t>
            </w:r>
          </w:p>
          <w:p w14:paraId="2D171CBD" w14:textId="77777777" w:rsidR="00602F73" w:rsidRPr="009924D6" w:rsidRDefault="00602F73" w:rsidP="00AB2262">
            <w:pPr>
              <w:jc w:val="both"/>
              <w:rPr>
                <w:b/>
                <w:bCs/>
                <w:i/>
                <w:sz w:val="24"/>
                <w:szCs w:val="24"/>
              </w:rPr>
            </w:pPr>
            <w:r w:rsidRPr="009924D6">
              <w:rPr>
                <w:b/>
                <w:bCs/>
                <w:i/>
                <w:sz w:val="24"/>
                <w:szCs w:val="24"/>
              </w:rPr>
              <w:t>400 words</w:t>
            </w:r>
            <w:r w:rsidRPr="009924D6">
              <w:rPr>
                <w:b/>
                <w:bCs/>
                <w:sz w:val="24"/>
                <w:szCs w:val="24"/>
              </w:rPr>
              <w:t xml:space="preserve"> </w:t>
            </w:r>
            <w:r w:rsidRPr="009924D6">
              <w:rPr>
                <w:b/>
                <w:bCs/>
                <w:i/>
                <w:sz w:val="24"/>
                <w:szCs w:val="24"/>
              </w:rPr>
              <w:t>(+/- 10%: include your actual word count at the end of each section).</w:t>
            </w:r>
          </w:p>
          <w:p w14:paraId="6AB6385A" w14:textId="77777777" w:rsidR="00602F73" w:rsidRPr="005D6457" w:rsidRDefault="00602F73" w:rsidP="00AB2262">
            <w:pPr>
              <w:jc w:val="both"/>
              <w:rPr>
                <w:b/>
                <w:bCs/>
                <w:sz w:val="24"/>
                <w:szCs w:val="24"/>
              </w:rPr>
            </w:pPr>
          </w:p>
          <w:p w14:paraId="6B9CCFA6" w14:textId="77777777" w:rsidR="00602F73" w:rsidRDefault="00602F73" w:rsidP="00AB2262">
            <w:pPr>
              <w:jc w:val="both"/>
              <w:rPr>
                <w:sz w:val="24"/>
                <w:szCs w:val="24"/>
              </w:rPr>
            </w:pPr>
          </w:p>
          <w:p w14:paraId="79D71647" w14:textId="77777777" w:rsidR="00602F73" w:rsidRPr="00602F73" w:rsidRDefault="00602F73" w:rsidP="00602F73">
            <w:pPr>
              <w:spacing w:line="360" w:lineRule="auto"/>
              <w:jc w:val="both"/>
            </w:pPr>
            <w:r w:rsidRPr="00602F73">
              <w:t xml:space="preserve">The Social Services and Well-being (Wales) Act 2014 and define a ‘child’ as a person who is aged under 18. The main differences found between adult and children safeguarding is around capacity to consent to intervention by social services. Practitioners should seek the parents’ consent before talking with their child unless there are safeguarding concerns and by doing so could place the child at greater risk. </w:t>
            </w:r>
          </w:p>
          <w:p w14:paraId="4B7E8F1D" w14:textId="77777777" w:rsidR="00602F73" w:rsidRPr="00602F73" w:rsidRDefault="00602F73" w:rsidP="00602F73">
            <w:pPr>
              <w:spacing w:line="360" w:lineRule="auto"/>
              <w:jc w:val="both"/>
            </w:pPr>
          </w:p>
          <w:p w14:paraId="514525F9" w14:textId="77777777" w:rsidR="00602F73" w:rsidRPr="00602F73" w:rsidRDefault="00602F73" w:rsidP="00602F73">
            <w:pPr>
              <w:spacing w:line="360" w:lineRule="auto"/>
              <w:jc w:val="both"/>
            </w:pPr>
            <w:r w:rsidRPr="00602F73">
              <w:t xml:space="preserve">A guiding principle of the Safeguarding Wales Procedures is the mental capacity act 2005 which is embedded within safeguarding procedures for adults at risk. The Act sets out that an adult has the right to make their own decisions and it must be presumed that they have capacity, unless there is cause to believe otherwise. An adult has the right to refuse an assessment, but in situations where they lack the capacity to make informed decisions and professionals believe it would be in their best interests then professionals must be able to show that they have tried to support the person to make the decision themselves. Another exception would be if the adult is experiencing (or at risk of experiencing) abuse or neglect but has capacity and is accepting of the situation, then the local authority must assess the situation using the information that it has available to them. These conditions also apply to a child who is aged 16 or 17 years old.  </w:t>
            </w:r>
          </w:p>
          <w:p w14:paraId="64CEA483" w14:textId="77777777" w:rsidR="00602F73" w:rsidRPr="00602F73" w:rsidRDefault="00602F73" w:rsidP="00602F73">
            <w:pPr>
              <w:spacing w:line="360" w:lineRule="auto"/>
              <w:jc w:val="both"/>
            </w:pPr>
          </w:p>
          <w:p w14:paraId="668A145F" w14:textId="0949F6BE" w:rsidR="00602F73" w:rsidRPr="00602F73" w:rsidRDefault="00602F73" w:rsidP="00602F73">
            <w:pPr>
              <w:spacing w:line="360" w:lineRule="auto"/>
              <w:jc w:val="both"/>
            </w:pPr>
            <w:r w:rsidRPr="00602F73">
              <w:t xml:space="preserve">Where a child under the age of sixteen refuses an assessment there is no presumption of capacity. For the local authority to discharge duty to carry out the assessment it must be satisfied that the child is not at risk of or experiencing significant harm and is capable of making an informed decision SSWBA (Welsh Gov, 2014). The </w:t>
            </w:r>
            <w:r w:rsidRPr="00602F73">
              <w:lastRenderedPageBreak/>
              <w:t xml:space="preserve">Gillick Competency from the case of </w:t>
            </w:r>
            <w:bookmarkStart w:id="0" w:name="_Hlk148265279"/>
            <w:r w:rsidRPr="00602F73">
              <w:t>Gillick v West Norfolk (198</w:t>
            </w:r>
            <w:bookmarkEnd w:id="0"/>
            <w:r w:rsidR="007551A4">
              <w:t>6</w:t>
            </w:r>
            <w:r w:rsidRPr="00602F73">
              <w:t xml:space="preserve">) sets out that a child has the right to make their own decisions where there is sufficient understanding and intelligence to make their own mind up about decisions that affect them depending on the child’s understanding of the nature of the situation and their level of maturity, in this case the Fraser </w:t>
            </w:r>
            <w:r w:rsidR="007551A4">
              <w:t>g</w:t>
            </w:r>
            <w:r w:rsidRPr="00602F73">
              <w:t>uidelines apply (NSPCC,</w:t>
            </w:r>
            <w:r w:rsidR="007551A4">
              <w:t xml:space="preserve"> </w:t>
            </w:r>
            <w:r w:rsidRPr="00602F73">
              <w:t>2022). If it’s believed the child is at risk of significant harm the LA must carry out a s47 CA 1989 assessment. However, there is still a duty on the LA to seek the child’s wishes and feelings and consider their views as children have the right to have their views and wishes heard on decisions that affect them under Article 12 UNCRC (1989).</w:t>
            </w:r>
          </w:p>
          <w:p w14:paraId="5A3C7819" w14:textId="77777777" w:rsidR="00602F73" w:rsidRPr="00602F73" w:rsidRDefault="00602F73" w:rsidP="00602F73">
            <w:pPr>
              <w:spacing w:line="360" w:lineRule="auto"/>
              <w:jc w:val="both"/>
            </w:pPr>
          </w:p>
          <w:p w14:paraId="5CD82D06" w14:textId="77777777" w:rsidR="00602F73" w:rsidRPr="00602F73" w:rsidRDefault="00602F73" w:rsidP="00602F73">
            <w:pPr>
              <w:spacing w:line="360" w:lineRule="auto"/>
              <w:jc w:val="both"/>
            </w:pPr>
            <w:r w:rsidRPr="00602F73">
              <w:t xml:space="preserve">Wordcount 428  </w:t>
            </w:r>
          </w:p>
          <w:p w14:paraId="6C442621" w14:textId="77777777" w:rsidR="00602F73" w:rsidRDefault="00602F73" w:rsidP="00AB2262">
            <w:pPr>
              <w:jc w:val="both"/>
              <w:rPr>
                <w:sz w:val="24"/>
                <w:szCs w:val="24"/>
              </w:rPr>
            </w:pPr>
          </w:p>
          <w:p w14:paraId="0D77AFDC" w14:textId="77777777" w:rsidR="00602F73" w:rsidRDefault="00602F73" w:rsidP="00AB2262">
            <w:pPr>
              <w:jc w:val="both"/>
              <w:rPr>
                <w:sz w:val="24"/>
                <w:szCs w:val="24"/>
              </w:rPr>
            </w:pPr>
          </w:p>
          <w:p w14:paraId="43A245BE" w14:textId="77777777" w:rsidR="00602F73" w:rsidRPr="006108C9" w:rsidRDefault="00602F73" w:rsidP="00AB2262">
            <w:pPr>
              <w:jc w:val="both"/>
              <w:rPr>
                <w:sz w:val="24"/>
                <w:szCs w:val="24"/>
              </w:rPr>
            </w:pPr>
          </w:p>
          <w:p w14:paraId="435A540D" w14:textId="77777777" w:rsidR="00602F73" w:rsidRPr="006108C9" w:rsidRDefault="00602F73" w:rsidP="00AB2262">
            <w:pPr>
              <w:jc w:val="both"/>
              <w:rPr>
                <w:sz w:val="24"/>
                <w:szCs w:val="24"/>
              </w:rPr>
            </w:pPr>
          </w:p>
        </w:tc>
      </w:tr>
    </w:tbl>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89A3087" w:rsidR="00A5656A" w:rsidRDefault="00A5656A">
    <w:pPr>
      <w:pStyle w:val="Footer"/>
      <w:jc w:val="right"/>
    </w:pPr>
    <w:r>
      <w:fldChar w:fldCharType="begin"/>
    </w:r>
    <w:r>
      <w:instrText xml:space="preserve"> PAGE   \* MERGEFORMAT </w:instrText>
    </w:r>
    <w:r>
      <w:fldChar w:fldCharType="separate"/>
    </w:r>
    <w:r w:rsidR="00F57284">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7746435">
    <w:abstractNumId w:val="1"/>
    <w:lvlOverride w:ilvl="0">
      <w:lvl w:ilvl="0">
        <w:start w:val="1"/>
        <w:numFmt w:val="bullet"/>
        <w:lvlText w:val=""/>
        <w:lvlJc w:val="left"/>
        <w:pPr>
          <w:ind w:left="720" w:hanging="360"/>
        </w:pPr>
        <w:rPr>
          <w:rFonts w:ascii="Symbol" w:hAnsi="Symbol" w:hint="default"/>
        </w:rPr>
      </w:lvl>
    </w:lvlOverride>
  </w:num>
  <w:num w:numId="2" w16cid:durableId="2132436149">
    <w:abstractNumId w:val="22"/>
  </w:num>
  <w:num w:numId="3" w16cid:durableId="1714816037">
    <w:abstractNumId w:val="45"/>
  </w:num>
  <w:num w:numId="4" w16cid:durableId="1888373769">
    <w:abstractNumId w:val="47"/>
  </w:num>
  <w:num w:numId="5" w16cid:durableId="1475757329">
    <w:abstractNumId w:val="34"/>
  </w:num>
  <w:num w:numId="6" w16cid:durableId="307168255">
    <w:abstractNumId w:val="32"/>
  </w:num>
  <w:num w:numId="7" w16cid:durableId="1065032454">
    <w:abstractNumId w:val="29"/>
  </w:num>
  <w:num w:numId="8" w16cid:durableId="1957055688">
    <w:abstractNumId w:val="30"/>
  </w:num>
  <w:num w:numId="9" w16cid:durableId="1971208243">
    <w:abstractNumId w:val="10"/>
  </w:num>
  <w:num w:numId="10" w16cid:durableId="1527909574">
    <w:abstractNumId w:val="33"/>
  </w:num>
  <w:num w:numId="11" w16cid:durableId="138890946">
    <w:abstractNumId w:val="17"/>
  </w:num>
  <w:num w:numId="12" w16cid:durableId="2115977412">
    <w:abstractNumId w:val="16"/>
  </w:num>
  <w:num w:numId="13" w16cid:durableId="1529298793">
    <w:abstractNumId w:val="27"/>
  </w:num>
  <w:num w:numId="14" w16cid:durableId="477384669">
    <w:abstractNumId w:val="8"/>
  </w:num>
  <w:num w:numId="15" w16cid:durableId="835611169">
    <w:abstractNumId w:val="26"/>
  </w:num>
  <w:num w:numId="16" w16cid:durableId="2016763709">
    <w:abstractNumId w:val="15"/>
  </w:num>
  <w:num w:numId="17" w16cid:durableId="1873230581">
    <w:abstractNumId w:val="13"/>
  </w:num>
  <w:num w:numId="18" w16cid:durableId="8513815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57023880">
    <w:abstractNumId w:val="23"/>
  </w:num>
  <w:num w:numId="20" w16cid:durableId="828668735">
    <w:abstractNumId w:val="18"/>
  </w:num>
  <w:num w:numId="21" w16cid:durableId="371660307">
    <w:abstractNumId w:val="14"/>
  </w:num>
  <w:num w:numId="22" w16cid:durableId="1222257070">
    <w:abstractNumId w:val="11"/>
  </w:num>
  <w:num w:numId="23" w16cid:durableId="544029831">
    <w:abstractNumId w:val="28"/>
  </w:num>
  <w:num w:numId="24" w16cid:durableId="444738082">
    <w:abstractNumId w:val="19"/>
  </w:num>
  <w:num w:numId="25" w16cid:durableId="1475684638">
    <w:abstractNumId w:val="41"/>
  </w:num>
  <w:num w:numId="26" w16cid:durableId="917787913">
    <w:abstractNumId w:val="35"/>
  </w:num>
  <w:num w:numId="27" w16cid:durableId="1366130649">
    <w:abstractNumId w:val="40"/>
  </w:num>
  <w:num w:numId="28" w16cid:durableId="62681967">
    <w:abstractNumId w:val="20"/>
  </w:num>
  <w:num w:numId="29" w16cid:durableId="505248163">
    <w:abstractNumId w:val="43"/>
  </w:num>
  <w:num w:numId="30" w16cid:durableId="1931156926">
    <w:abstractNumId w:val="31"/>
  </w:num>
  <w:num w:numId="31" w16cid:durableId="904872272">
    <w:abstractNumId w:val="12"/>
  </w:num>
  <w:num w:numId="32" w16cid:durableId="1130321648">
    <w:abstractNumId w:val="44"/>
  </w:num>
  <w:num w:numId="33" w16cid:durableId="115686651">
    <w:abstractNumId w:val="39"/>
  </w:num>
  <w:num w:numId="34" w16cid:durableId="133379495">
    <w:abstractNumId w:val="5"/>
  </w:num>
  <w:num w:numId="35" w16cid:durableId="1367679727">
    <w:abstractNumId w:val="46"/>
  </w:num>
  <w:num w:numId="36" w16cid:durableId="1789348192">
    <w:abstractNumId w:val="42"/>
  </w:num>
  <w:num w:numId="37" w16cid:durableId="998532685">
    <w:abstractNumId w:val="36"/>
  </w:num>
  <w:num w:numId="38" w16cid:durableId="63112165">
    <w:abstractNumId w:val="37"/>
  </w:num>
  <w:num w:numId="39" w16cid:durableId="227738400">
    <w:abstractNumId w:val="4"/>
  </w:num>
  <w:num w:numId="40" w16cid:durableId="331224676">
    <w:abstractNumId w:val="6"/>
  </w:num>
  <w:num w:numId="41" w16cid:durableId="1877234652">
    <w:abstractNumId w:val="25"/>
  </w:num>
  <w:num w:numId="42" w16cid:durableId="594675906">
    <w:abstractNumId w:val="7"/>
  </w:num>
  <w:num w:numId="43" w16cid:durableId="238448904">
    <w:abstractNumId w:val="3"/>
  </w:num>
  <w:num w:numId="44" w16cid:durableId="1403407814">
    <w:abstractNumId w:val="38"/>
  </w:num>
  <w:num w:numId="45" w16cid:durableId="1872842920">
    <w:abstractNumId w:val="0"/>
  </w:num>
  <w:num w:numId="46" w16cid:durableId="1942912546">
    <w:abstractNumId w:val="14"/>
  </w:num>
  <w:num w:numId="47" w16cid:durableId="39332711">
    <w:abstractNumId w:val="48"/>
  </w:num>
  <w:num w:numId="48" w16cid:durableId="9736085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68350293">
    <w:abstractNumId w:val="11"/>
  </w:num>
  <w:num w:numId="50" w16cid:durableId="656617521">
    <w:abstractNumId w:val="28"/>
  </w:num>
  <w:num w:numId="51" w16cid:durableId="134613276">
    <w:abstractNumId w:val="24"/>
  </w:num>
  <w:num w:numId="52" w16cid:durableId="1095904615">
    <w:abstractNumId w:val="21"/>
  </w:num>
  <w:num w:numId="53" w16cid:durableId="129370945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A2F11C-2DC3-4D6D-8977-7D0FF2F5A4F9}"/>
    <w:docVar w:name="dgnword-eventsink" w:val="2514882507504"/>
  </w:docVars>
  <w:rsids>
    <w:rsidRoot w:val="002B1701"/>
    <w:rsid w:val="0000138E"/>
    <w:rsid w:val="00002C7A"/>
    <w:rsid w:val="000045B8"/>
    <w:rsid w:val="00011F6E"/>
    <w:rsid w:val="00012B16"/>
    <w:rsid w:val="00020C91"/>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2F73"/>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1507"/>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1A4"/>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6DF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37C"/>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0730"/>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544"/>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6B2"/>
    <w:rsid w:val="00CA0894"/>
    <w:rsid w:val="00CA3593"/>
    <w:rsid w:val="00CA5726"/>
    <w:rsid w:val="00CA7E6A"/>
    <w:rsid w:val="00CB258E"/>
    <w:rsid w:val="00CB3C8F"/>
    <w:rsid w:val="00CC02F1"/>
    <w:rsid w:val="00CC1122"/>
    <w:rsid w:val="00CC11A6"/>
    <w:rsid w:val="00CC135E"/>
    <w:rsid w:val="00CC53D2"/>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284"/>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27C"/>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UnresolvedMention1">
    <w:name w:val="Unresolved Mention1"/>
    <w:basedOn w:val="DefaultParagraphFont"/>
    <w:uiPriority w:val="99"/>
    <w:semiHidden/>
    <w:unhideWhenUsed/>
    <w:rsid w:val="00CC53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4B2111-0D0E-46AA-A393-88A8383200FD}">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1159</Words>
  <Characters>5898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 Evans</cp:lastModifiedBy>
  <cp:revision>3</cp:revision>
  <cp:lastPrinted>2020-02-11T19:20:00Z</cp:lastPrinted>
  <dcterms:created xsi:type="dcterms:W3CDTF">2023-10-16T12:03:00Z</dcterms:created>
  <dcterms:modified xsi:type="dcterms:W3CDTF">2023-10-16T12:58:00Z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