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251DD" w14:textId="52AAE25A" w:rsidR="00E5413A" w:rsidRDefault="00E5413A" w:rsidP="00E5413A">
      <w:pPr>
        <w:jc w:val="center"/>
        <w:rPr>
          <w:rFonts w:eastAsiaTheme="majorEastAsia"/>
          <w:sz w:val="36"/>
          <w:szCs w:val="36"/>
        </w:rPr>
      </w:pPr>
      <w:r w:rsidRPr="00E5413A">
        <w:rPr>
          <w:rFonts w:eastAsiaTheme="majorEastAsia"/>
          <w:sz w:val="36"/>
          <w:szCs w:val="36"/>
        </w:rPr>
        <w:t>University of Wales Trinity Saint David Birmingham</w:t>
      </w:r>
    </w:p>
    <w:p w14:paraId="52FFE512" w14:textId="77777777" w:rsidR="00E5413A" w:rsidRDefault="00E5413A" w:rsidP="00E5413A">
      <w:pPr>
        <w:rPr>
          <w:rFonts w:eastAsiaTheme="majorEastAsia"/>
          <w:b/>
          <w:bCs/>
          <w:sz w:val="32"/>
          <w:szCs w:val="32"/>
        </w:rPr>
      </w:pPr>
      <w:r>
        <w:rPr>
          <w:rFonts w:eastAsiaTheme="majorEastAsia"/>
          <w:noProof/>
        </w:rPr>
        <w:drawing>
          <wp:inline distT="0" distB="0" distL="0" distR="0" wp14:anchorId="2EA1609C" wp14:editId="7A016029">
            <wp:extent cx="5760720" cy="1127760"/>
            <wp:effectExtent l="0" t="0" r="0" b="0"/>
            <wp:docPr id="1299092755" name="Picture 2"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92755" name="Picture 2" descr="A logo of a university"/>
                    <pic:cNvPicPr/>
                  </pic:nvPicPr>
                  <pic:blipFill>
                    <a:blip r:embed="rId8">
                      <a:extLst>
                        <a:ext uri="{28A0092B-C50C-407E-A947-70E740481C1C}">
                          <a14:useLocalDpi xmlns:a14="http://schemas.microsoft.com/office/drawing/2010/main" val="0"/>
                        </a:ext>
                      </a:extLst>
                    </a:blip>
                    <a:stretch>
                      <a:fillRect/>
                    </a:stretch>
                  </pic:blipFill>
                  <pic:spPr>
                    <a:xfrm>
                      <a:off x="0" y="0"/>
                      <a:ext cx="5760720" cy="1127760"/>
                    </a:xfrm>
                    <a:prstGeom prst="rect">
                      <a:avLst/>
                    </a:prstGeom>
                  </pic:spPr>
                </pic:pic>
              </a:graphicData>
            </a:graphic>
          </wp:inline>
        </w:drawing>
      </w:r>
    </w:p>
    <w:p w14:paraId="7290A564" w14:textId="3A6AD8A4" w:rsidR="00E5413A" w:rsidRPr="008A619B" w:rsidRDefault="00E5413A" w:rsidP="00E5413A">
      <w:pPr>
        <w:rPr>
          <w:rFonts w:eastAsiaTheme="majorEastAsia"/>
          <w:szCs w:val="24"/>
        </w:rPr>
      </w:pPr>
      <w:r w:rsidRPr="008A619B">
        <w:rPr>
          <w:rFonts w:eastAsiaTheme="majorEastAsia"/>
          <w:b/>
          <w:bCs/>
          <w:szCs w:val="24"/>
        </w:rPr>
        <w:t>Programme:</w:t>
      </w:r>
      <w:r w:rsidRPr="008A619B">
        <w:rPr>
          <w:rFonts w:eastAsiaTheme="majorEastAsia"/>
          <w:szCs w:val="24"/>
        </w:rPr>
        <w:br/>
        <w:t>Master of Business Administration</w:t>
      </w:r>
    </w:p>
    <w:p w14:paraId="34AF48FB" w14:textId="77777777" w:rsidR="00E5413A" w:rsidRPr="008A619B" w:rsidRDefault="00E5413A" w:rsidP="00E5413A">
      <w:pPr>
        <w:rPr>
          <w:rFonts w:eastAsiaTheme="majorEastAsia"/>
          <w:szCs w:val="24"/>
        </w:rPr>
      </w:pPr>
      <w:r w:rsidRPr="008A619B">
        <w:rPr>
          <w:rFonts w:eastAsiaTheme="majorEastAsia"/>
          <w:b/>
          <w:bCs/>
          <w:szCs w:val="24"/>
        </w:rPr>
        <w:t>Module Name:</w:t>
      </w:r>
      <w:r w:rsidRPr="008A619B">
        <w:rPr>
          <w:rFonts w:eastAsiaTheme="majorEastAsia"/>
          <w:szCs w:val="24"/>
        </w:rPr>
        <w:br/>
        <w:t>International Business Concepts</w:t>
      </w:r>
    </w:p>
    <w:p w14:paraId="022CDFE7" w14:textId="77777777" w:rsidR="00E5413A" w:rsidRDefault="00E5413A" w:rsidP="00E5413A">
      <w:pPr>
        <w:rPr>
          <w:rFonts w:eastAsiaTheme="majorEastAsia"/>
          <w:szCs w:val="24"/>
        </w:rPr>
      </w:pPr>
      <w:r w:rsidRPr="008A619B">
        <w:rPr>
          <w:rFonts w:eastAsiaTheme="majorEastAsia"/>
          <w:b/>
          <w:bCs/>
          <w:szCs w:val="24"/>
        </w:rPr>
        <w:t>Module Code:</w:t>
      </w:r>
      <w:r w:rsidRPr="008A619B">
        <w:rPr>
          <w:rFonts w:eastAsiaTheme="majorEastAsia"/>
          <w:szCs w:val="24"/>
        </w:rPr>
        <w:br/>
        <w:t>LCMB7034</w:t>
      </w:r>
    </w:p>
    <w:p w14:paraId="368D7445" w14:textId="30D25816" w:rsidR="008A619B" w:rsidRPr="008A619B" w:rsidRDefault="008A619B" w:rsidP="00E5413A">
      <w:pPr>
        <w:rPr>
          <w:rFonts w:eastAsiaTheme="majorEastAsia"/>
          <w:szCs w:val="24"/>
        </w:rPr>
      </w:pPr>
      <w:r>
        <w:rPr>
          <w:rFonts w:eastAsiaTheme="majorEastAsia"/>
          <w:noProof/>
          <w:szCs w:val="24"/>
        </w:rPr>
        <w:drawing>
          <wp:inline distT="0" distB="0" distL="0" distR="0" wp14:anchorId="108A1E95" wp14:editId="4BAB7052">
            <wp:extent cx="5731510" cy="2727960"/>
            <wp:effectExtent l="0" t="0" r="2540" b="0"/>
            <wp:docPr id="1241711745" name="Picture 4" descr="A green and yellow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11745" name="Picture 4" descr="A green and yellow flower"/>
                    <pic:cNvPicPr/>
                  </pic:nvPicPr>
                  <pic:blipFill>
                    <a:blip r:embed="rId9">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419FD432" w14:textId="77777777" w:rsidR="00E75C43" w:rsidRPr="00AD49E0" w:rsidRDefault="00E5413A" w:rsidP="00E5413A">
      <w:pPr>
        <w:rPr>
          <w:rFonts w:eastAsiaTheme="majorEastAsia"/>
          <w:b/>
          <w:bCs/>
          <w:i/>
          <w:iCs/>
          <w:szCs w:val="24"/>
        </w:rPr>
      </w:pPr>
      <w:r w:rsidRPr="008A619B">
        <w:rPr>
          <w:rFonts w:eastAsiaTheme="majorEastAsia"/>
          <w:b/>
          <w:bCs/>
          <w:szCs w:val="24"/>
        </w:rPr>
        <w:t>Assignment Title:</w:t>
      </w:r>
      <w:r w:rsidRPr="008A619B">
        <w:rPr>
          <w:rFonts w:eastAsiaTheme="majorEastAsia"/>
          <w:szCs w:val="24"/>
        </w:rPr>
        <w:br/>
      </w:r>
      <w:r w:rsidRPr="008A619B">
        <w:rPr>
          <w:rFonts w:eastAsiaTheme="majorEastAsia"/>
          <w:i/>
          <w:iCs/>
          <w:szCs w:val="24"/>
        </w:rPr>
        <w:t xml:space="preserve">International Business Consultancy Report: </w:t>
      </w:r>
      <w:r w:rsidR="00BE5030" w:rsidRPr="00AD49E0">
        <w:rPr>
          <w:rFonts w:eastAsiaTheme="majorEastAsia"/>
          <w:b/>
          <w:bCs/>
          <w:i/>
          <w:iCs/>
          <w:szCs w:val="24"/>
        </w:rPr>
        <w:t>BP’s Strategic Operations in India:</w:t>
      </w:r>
    </w:p>
    <w:p w14:paraId="07A9F394" w14:textId="19C1F9FB" w:rsidR="00E5413A" w:rsidRPr="00AD49E0" w:rsidRDefault="00BE5030" w:rsidP="00E5413A">
      <w:pPr>
        <w:rPr>
          <w:rFonts w:eastAsiaTheme="majorEastAsia"/>
          <w:b/>
          <w:bCs/>
          <w:i/>
          <w:iCs/>
          <w:szCs w:val="24"/>
        </w:rPr>
      </w:pPr>
      <w:r w:rsidRPr="00AD49E0">
        <w:rPr>
          <w:rFonts w:eastAsiaTheme="majorEastAsia"/>
          <w:b/>
          <w:bCs/>
          <w:i/>
          <w:iCs/>
          <w:szCs w:val="24"/>
        </w:rPr>
        <w:t xml:space="preserve"> A Comparative Study with Brazil and Vietnam</w:t>
      </w:r>
    </w:p>
    <w:p w14:paraId="50C366A1" w14:textId="35C9540B" w:rsidR="00E5413A" w:rsidRPr="008A619B" w:rsidRDefault="00E5413A" w:rsidP="00E5413A">
      <w:pPr>
        <w:rPr>
          <w:rFonts w:eastAsiaTheme="majorEastAsia"/>
          <w:szCs w:val="24"/>
        </w:rPr>
      </w:pPr>
      <w:r w:rsidRPr="008A619B">
        <w:rPr>
          <w:rFonts w:eastAsiaTheme="majorEastAsia"/>
          <w:b/>
          <w:bCs/>
          <w:szCs w:val="24"/>
        </w:rPr>
        <w:t>Lecturer’s Name:</w:t>
      </w:r>
      <w:r w:rsidRPr="008A619B">
        <w:rPr>
          <w:rFonts w:eastAsiaTheme="majorEastAsia"/>
          <w:szCs w:val="24"/>
        </w:rPr>
        <w:br/>
        <w:t>Babar Syed</w:t>
      </w:r>
    </w:p>
    <w:p w14:paraId="7344FF09" w14:textId="77777777" w:rsidR="00E5413A" w:rsidRPr="008A619B" w:rsidRDefault="00E5413A" w:rsidP="00E5413A">
      <w:pPr>
        <w:rPr>
          <w:rFonts w:eastAsiaTheme="majorEastAsia"/>
          <w:szCs w:val="24"/>
        </w:rPr>
      </w:pPr>
      <w:r w:rsidRPr="008A619B">
        <w:rPr>
          <w:rFonts w:eastAsiaTheme="majorEastAsia"/>
          <w:b/>
          <w:bCs/>
          <w:szCs w:val="24"/>
        </w:rPr>
        <w:t>Student Name:</w:t>
      </w:r>
      <w:r w:rsidRPr="008A619B">
        <w:rPr>
          <w:rFonts w:eastAsiaTheme="majorEastAsia"/>
          <w:szCs w:val="24"/>
        </w:rPr>
        <w:br/>
        <w:t>Radoslav Nikolov</w:t>
      </w:r>
    </w:p>
    <w:p w14:paraId="38F8E03A" w14:textId="77777777" w:rsidR="00E5413A" w:rsidRPr="008A619B" w:rsidRDefault="00E5413A" w:rsidP="00E5413A">
      <w:pPr>
        <w:rPr>
          <w:rFonts w:eastAsiaTheme="majorEastAsia"/>
          <w:szCs w:val="24"/>
        </w:rPr>
      </w:pPr>
      <w:r w:rsidRPr="008A619B">
        <w:rPr>
          <w:rFonts w:eastAsiaTheme="majorEastAsia"/>
          <w:b/>
          <w:bCs/>
          <w:szCs w:val="24"/>
        </w:rPr>
        <w:t>Student ID:</w:t>
      </w:r>
      <w:r w:rsidRPr="008A619B">
        <w:rPr>
          <w:rFonts w:eastAsiaTheme="majorEastAsia"/>
          <w:szCs w:val="24"/>
        </w:rPr>
        <w:br/>
        <w:t>2118366</w:t>
      </w:r>
    </w:p>
    <w:p w14:paraId="3EBED089" w14:textId="1F35EFDF" w:rsidR="00E5413A" w:rsidRPr="008A619B" w:rsidRDefault="00E5413A" w:rsidP="00E5413A">
      <w:pPr>
        <w:rPr>
          <w:rFonts w:eastAsiaTheme="majorEastAsia"/>
          <w:szCs w:val="24"/>
        </w:rPr>
      </w:pPr>
      <w:r w:rsidRPr="008A619B">
        <w:rPr>
          <w:rFonts w:eastAsiaTheme="majorEastAsia"/>
          <w:b/>
          <w:bCs/>
          <w:szCs w:val="24"/>
        </w:rPr>
        <w:t>Word Count:</w:t>
      </w:r>
      <w:r w:rsidRPr="008A619B">
        <w:rPr>
          <w:rFonts w:eastAsiaTheme="majorEastAsia"/>
          <w:szCs w:val="24"/>
        </w:rPr>
        <w:br/>
      </w:r>
      <w:r w:rsidR="000255FE">
        <w:rPr>
          <w:rFonts w:eastAsiaTheme="majorEastAsia"/>
          <w:szCs w:val="24"/>
        </w:rPr>
        <w:t>502</w:t>
      </w:r>
      <w:r w:rsidR="00CE3AB0">
        <w:rPr>
          <w:rFonts w:eastAsiaTheme="majorEastAsia"/>
          <w:szCs w:val="24"/>
        </w:rPr>
        <w:t>8</w:t>
      </w:r>
    </w:p>
    <w:p w14:paraId="3952EBD7" w14:textId="2BA0B4DE" w:rsidR="00E5598B" w:rsidRDefault="00E5413A" w:rsidP="00E5413A">
      <w:pPr>
        <w:rPr>
          <w:rFonts w:eastAsiaTheme="majorEastAsia"/>
          <w:szCs w:val="24"/>
        </w:rPr>
      </w:pPr>
      <w:r w:rsidRPr="008A619B">
        <w:rPr>
          <w:rFonts w:eastAsiaTheme="majorEastAsia"/>
          <w:b/>
          <w:bCs/>
          <w:szCs w:val="24"/>
        </w:rPr>
        <w:t>Submission Date:</w:t>
      </w:r>
      <w:r w:rsidRPr="008A619B">
        <w:rPr>
          <w:rFonts w:eastAsiaTheme="majorEastAsia"/>
          <w:szCs w:val="24"/>
        </w:rPr>
        <w:br/>
        <w:t>22 November 2025</w:t>
      </w:r>
    </w:p>
    <w:p w14:paraId="4A6DAF07" w14:textId="1751EF7C" w:rsidR="00D37661" w:rsidRDefault="0007018A" w:rsidP="0007018A">
      <w:pPr>
        <w:pStyle w:val="Heading1"/>
      </w:pPr>
      <w:bookmarkStart w:id="0" w:name="_Toc214641452"/>
      <w:r w:rsidRPr="0007018A">
        <w:lastRenderedPageBreak/>
        <w:t>Executive Summary</w:t>
      </w:r>
      <w:bookmarkEnd w:id="0"/>
    </w:p>
    <w:p w14:paraId="3ED3EE2C" w14:textId="77777777" w:rsidR="002128C9" w:rsidRDefault="002128C9">
      <w:pPr>
        <w:rPr>
          <w:rFonts w:eastAsiaTheme="majorEastAsia"/>
          <w:szCs w:val="24"/>
        </w:rPr>
      </w:pPr>
    </w:p>
    <w:p w14:paraId="54CA6A21" w14:textId="56FF0496" w:rsidR="00D37661" w:rsidRDefault="002128C9">
      <w:pPr>
        <w:rPr>
          <w:rFonts w:eastAsiaTheme="majorEastAsia"/>
          <w:szCs w:val="24"/>
        </w:rPr>
      </w:pPr>
      <w:r w:rsidRPr="002128C9">
        <w:rPr>
          <w:rFonts w:eastAsiaTheme="majorEastAsia"/>
          <w:szCs w:val="24"/>
        </w:rPr>
        <w:t>This report presents a strategic evaluation of BP's expansion into the Indian energy market, with comparative analysis against Brazil and Vietnam to contextualise the strategic choice. The study examines BP's existing global capabilities and explores how these can be leveraged through the Jio-bp joint venture to meet growing demand for sustainable energy solutions in India. A comprehensive strategic analysis was conducted using multiple frameworks including PESTLE, Porter's Five Forces, VRIO, and OLI paradigm to assess external conditions, internal resources, and strategic fit. The analysis identifies India's unique combination of scale, growth trajectory, and policy support as key differentiators compared to other emerging markets. Based on this analysis, the report recommends phased strategic investment in EV charging infrastructure, digital energy services, and green retail expansion, with performance metrics defined through a Balanced Scorecard framework.</w:t>
      </w:r>
      <w:r w:rsidR="00D37661">
        <w:rPr>
          <w:rFonts w:eastAsiaTheme="majorEastAsia"/>
          <w:szCs w:val="24"/>
        </w:rPr>
        <w:br w:type="page"/>
      </w:r>
    </w:p>
    <w:sdt>
      <w:sdtPr>
        <w:rPr>
          <w:rFonts w:eastAsiaTheme="minorEastAsia" w:cstheme="minorBidi"/>
          <w:color w:val="auto"/>
          <w:sz w:val="21"/>
          <w:szCs w:val="21"/>
        </w:rPr>
        <w:id w:val="1505159169"/>
        <w:docPartObj>
          <w:docPartGallery w:val="Table of Contents"/>
          <w:docPartUnique/>
        </w:docPartObj>
      </w:sdtPr>
      <w:sdtEndPr>
        <w:rPr>
          <w:b/>
          <w:bCs/>
          <w:noProof/>
          <w:sz w:val="24"/>
        </w:rPr>
      </w:sdtEndPr>
      <w:sdtContent>
        <w:p w14:paraId="33263EB2" w14:textId="5DE58716" w:rsidR="00E5598B" w:rsidRDefault="00E5598B">
          <w:pPr>
            <w:pStyle w:val="TOCHeading"/>
          </w:pPr>
          <w:r>
            <w:t>Table of Contents</w:t>
          </w:r>
        </w:p>
        <w:p w14:paraId="390FDDAA" w14:textId="0619396F" w:rsidR="000B6E56" w:rsidRDefault="00E5598B">
          <w:pPr>
            <w:pStyle w:val="TOC1"/>
            <w:tabs>
              <w:tab w:val="right" w:leader="dot" w:pos="9016"/>
            </w:tabs>
            <w:rPr>
              <w:noProof/>
              <w:kern w:val="2"/>
              <w:szCs w:val="24"/>
              <w:lang w:eastAsia="en-GB"/>
              <w14:ligatures w14:val="standardContextual"/>
            </w:rPr>
          </w:pPr>
          <w:r>
            <w:fldChar w:fldCharType="begin"/>
          </w:r>
          <w:r>
            <w:instrText xml:space="preserve"> TOC \o "1-3" \h \z \u </w:instrText>
          </w:r>
          <w:r>
            <w:fldChar w:fldCharType="separate"/>
          </w:r>
          <w:hyperlink w:anchor="_Toc214641452" w:history="1">
            <w:r w:rsidR="000B6E56" w:rsidRPr="00906F18">
              <w:rPr>
                <w:rStyle w:val="Hyperlink"/>
                <w:noProof/>
              </w:rPr>
              <w:t>Executive Summary</w:t>
            </w:r>
            <w:r w:rsidR="000B6E56">
              <w:rPr>
                <w:noProof/>
                <w:webHidden/>
              </w:rPr>
              <w:tab/>
            </w:r>
            <w:r w:rsidR="000B6E56">
              <w:rPr>
                <w:noProof/>
                <w:webHidden/>
              </w:rPr>
              <w:fldChar w:fldCharType="begin"/>
            </w:r>
            <w:r w:rsidR="000B6E56">
              <w:rPr>
                <w:noProof/>
                <w:webHidden/>
              </w:rPr>
              <w:instrText xml:space="preserve"> PAGEREF _Toc214641452 \h </w:instrText>
            </w:r>
            <w:r w:rsidR="000B6E56">
              <w:rPr>
                <w:noProof/>
                <w:webHidden/>
              </w:rPr>
            </w:r>
            <w:r w:rsidR="000B6E56">
              <w:rPr>
                <w:noProof/>
                <w:webHidden/>
              </w:rPr>
              <w:fldChar w:fldCharType="separate"/>
            </w:r>
            <w:r w:rsidR="000B6E56">
              <w:rPr>
                <w:noProof/>
                <w:webHidden/>
              </w:rPr>
              <w:t>2</w:t>
            </w:r>
            <w:r w:rsidR="000B6E56">
              <w:rPr>
                <w:noProof/>
                <w:webHidden/>
              </w:rPr>
              <w:fldChar w:fldCharType="end"/>
            </w:r>
          </w:hyperlink>
        </w:p>
        <w:p w14:paraId="30B7A0CB" w14:textId="40D83AB0" w:rsidR="000B6E56" w:rsidRDefault="000B6E56">
          <w:pPr>
            <w:pStyle w:val="TOC1"/>
            <w:tabs>
              <w:tab w:val="left" w:pos="480"/>
              <w:tab w:val="right" w:leader="dot" w:pos="9016"/>
            </w:tabs>
            <w:rPr>
              <w:noProof/>
              <w:kern w:val="2"/>
              <w:szCs w:val="24"/>
              <w:lang w:eastAsia="en-GB"/>
              <w14:ligatures w14:val="standardContextual"/>
            </w:rPr>
          </w:pPr>
          <w:hyperlink w:anchor="_Toc214641453" w:history="1">
            <w:r w:rsidRPr="00906F18">
              <w:rPr>
                <w:rStyle w:val="Hyperlink"/>
                <w:noProof/>
              </w:rPr>
              <w:t>1.</w:t>
            </w:r>
            <w:r>
              <w:rPr>
                <w:noProof/>
                <w:kern w:val="2"/>
                <w:szCs w:val="24"/>
                <w:lang w:eastAsia="en-GB"/>
                <w14:ligatures w14:val="standardContextual"/>
              </w:rPr>
              <w:tab/>
            </w:r>
            <w:r w:rsidRPr="00906F18">
              <w:rPr>
                <w:rStyle w:val="Hyperlink"/>
                <w:noProof/>
              </w:rPr>
              <w:t>Introduction</w:t>
            </w:r>
            <w:r>
              <w:rPr>
                <w:noProof/>
                <w:webHidden/>
              </w:rPr>
              <w:tab/>
            </w:r>
            <w:r>
              <w:rPr>
                <w:noProof/>
                <w:webHidden/>
              </w:rPr>
              <w:fldChar w:fldCharType="begin"/>
            </w:r>
            <w:r>
              <w:rPr>
                <w:noProof/>
                <w:webHidden/>
              </w:rPr>
              <w:instrText xml:space="preserve"> PAGEREF _Toc214641453 \h </w:instrText>
            </w:r>
            <w:r>
              <w:rPr>
                <w:noProof/>
                <w:webHidden/>
              </w:rPr>
            </w:r>
            <w:r>
              <w:rPr>
                <w:noProof/>
                <w:webHidden/>
              </w:rPr>
              <w:fldChar w:fldCharType="separate"/>
            </w:r>
            <w:r>
              <w:rPr>
                <w:noProof/>
                <w:webHidden/>
              </w:rPr>
              <w:t>4</w:t>
            </w:r>
            <w:r>
              <w:rPr>
                <w:noProof/>
                <w:webHidden/>
              </w:rPr>
              <w:fldChar w:fldCharType="end"/>
            </w:r>
          </w:hyperlink>
        </w:p>
        <w:p w14:paraId="0FA06404" w14:textId="1A83E4FB" w:rsidR="000B6E56" w:rsidRDefault="000B6E56">
          <w:pPr>
            <w:pStyle w:val="TOC1"/>
            <w:tabs>
              <w:tab w:val="right" w:leader="dot" w:pos="9016"/>
            </w:tabs>
            <w:rPr>
              <w:noProof/>
              <w:kern w:val="2"/>
              <w:szCs w:val="24"/>
              <w:lang w:eastAsia="en-GB"/>
              <w14:ligatures w14:val="standardContextual"/>
            </w:rPr>
          </w:pPr>
          <w:hyperlink w:anchor="_Toc214641454" w:history="1">
            <w:r w:rsidRPr="00906F18">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_Toc214641454 \h </w:instrText>
            </w:r>
            <w:r>
              <w:rPr>
                <w:noProof/>
                <w:webHidden/>
              </w:rPr>
            </w:r>
            <w:r>
              <w:rPr>
                <w:noProof/>
                <w:webHidden/>
              </w:rPr>
              <w:fldChar w:fldCharType="separate"/>
            </w:r>
            <w:r>
              <w:rPr>
                <w:noProof/>
                <w:webHidden/>
              </w:rPr>
              <w:t>5</w:t>
            </w:r>
            <w:r>
              <w:rPr>
                <w:noProof/>
                <w:webHidden/>
              </w:rPr>
              <w:fldChar w:fldCharType="end"/>
            </w:r>
          </w:hyperlink>
        </w:p>
        <w:p w14:paraId="17299FE2" w14:textId="4290C929" w:rsidR="000B6E56" w:rsidRDefault="000B6E56">
          <w:pPr>
            <w:pStyle w:val="TOC2"/>
            <w:tabs>
              <w:tab w:val="right" w:leader="dot" w:pos="9016"/>
            </w:tabs>
            <w:rPr>
              <w:noProof/>
              <w:kern w:val="2"/>
              <w:szCs w:val="24"/>
              <w:lang w:eastAsia="en-GB"/>
              <w14:ligatures w14:val="standardContextual"/>
            </w:rPr>
          </w:pPr>
          <w:hyperlink w:anchor="_Toc214641455" w:history="1">
            <w:r w:rsidRPr="00906F18">
              <w:rPr>
                <w:rStyle w:val="Hyperlink"/>
                <w:noProof/>
              </w:rPr>
              <w:t>2.1 BP as a Multinational Corporation</w:t>
            </w:r>
            <w:r>
              <w:rPr>
                <w:noProof/>
                <w:webHidden/>
              </w:rPr>
              <w:tab/>
            </w:r>
            <w:r>
              <w:rPr>
                <w:noProof/>
                <w:webHidden/>
              </w:rPr>
              <w:fldChar w:fldCharType="begin"/>
            </w:r>
            <w:r>
              <w:rPr>
                <w:noProof/>
                <w:webHidden/>
              </w:rPr>
              <w:instrText xml:space="preserve"> PAGEREF _Toc214641455 \h </w:instrText>
            </w:r>
            <w:r>
              <w:rPr>
                <w:noProof/>
                <w:webHidden/>
              </w:rPr>
            </w:r>
            <w:r>
              <w:rPr>
                <w:noProof/>
                <w:webHidden/>
              </w:rPr>
              <w:fldChar w:fldCharType="separate"/>
            </w:r>
            <w:r>
              <w:rPr>
                <w:noProof/>
                <w:webHidden/>
              </w:rPr>
              <w:t>5</w:t>
            </w:r>
            <w:r>
              <w:rPr>
                <w:noProof/>
                <w:webHidden/>
              </w:rPr>
              <w:fldChar w:fldCharType="end"/>
            </w:r>
          </w:hyperlink>
        </w:p>
        <w:p w14:paraId="32E75DF2" w14:textId="608B83D7" w:rsidR="000B6E56" w:rsidRDefault="000B6E56">
          <w:pPr>
            <w:pStyle w:val="TOC2"/>
            <w:tabs>
              <w:tab w:val="right" w:leader="dot" w:pos="9016"/>
            </w:tabs>
            <w:rPr>
              <w:noProof/>
              <w:kern w:val="2"/>
              <w:szCs w:val="24"/>
              <w:lang w:eastAsia="en-GB"/>
              <w14:ligatures w14:val="standardContextual"/>
            </w:rPr>
          </w:pPr>
          <w:hyperlink w:anchor="_Toc214641456" w:history="1">
            <w:r w:rsidRPr="00906F18">
              <w:rPr>
                <w:rStyle w:val="Hyperlink"/>
                <w:noProof/>
              </w:rPr>
              <w:t>2.2 Global Value Chain Overview</w:t>
            </w:r>
            <w:r>
              <w:rPr>
                <w:noProof/>
                <w:webHidden/>
              </w:rPr>
              <w:tab/>
            </w:r>
            <w:r>
              <w:rPr>
                <w:noProof/>
                <w:webHidden/>
              </w:rPr>
              <w:fldChar w:fldCharType="begin"/>
            </w:r>
            <w:r>
              <w:rPr>
                <w:noProof/>
                <w:webHidden/>
              </w:rPr>
              <w:instrText xml:space="preserve"> PAGEREF _Toc214641456 \h </w:instrText>
            </w:r>
            <w:r>
              <w:rPr>
                <w:noProof/>
                <w:webHidden/>
              </w:rPr>
            </w:r>
            <w:r>
              <w:rPr>
                <w:noProof/>
                <w:webHidden/>
              </w:rPr>
              <w:fldChar w:fldCharType="separate"/>
            </w:r>
            <w:r>
              <w:rPr>
                <w:noProof/>
                <w:webHidden/>
              </w:rPr>
              <w:t>6</w:t>
            </w:r>
            <w:r>
              <w:rPr>
                <w:noProof/>
                <w:webHidden/>
              </w:rPr>
              <w:fldChar w:fldCharType="end"/>
            </w:r>
          </w:hyperlink>
        </w:p>
        <w:p w14:paraId="710BD345" w14:textId="374E26F4" w:rsidR="000B6E56" w:rsidRDefault="000B6E56">
          <w:pPr>
            <w:pStyle w:val="TOC2"/>
            <w:tabs>
              <w:tab w:val="right" w:leader="dot" w:pos="9016"/>
            </w:tabs>
            <w:rPr>
              <w:noProof/>
              <w:kern w:val="2"/>
              <w:szCs w:val="24"/>
              <w:lang w:eastAsia="en-GB"/>
              <w14:ligatures w14:val="standardContextual"/>
            </w:rPr>
          </w:pPr>
          <w:hyperlink w:anchor="_Toc214641457" w:history="1">
            <w:r w:rsidRPr="00906F18">
              <w:rPr>
                <w:rStyle w:val="Hyperlink"/>
                <w:noProof/>
              </w:rPr>
              <w:t>2.3 Entry Modes into International Markets</w:t>
            </w:r>
            <w:r>
              <w:rPr>
                <w:noProof/>
                <w:webHidden/>
              </w:rPr>
              <w:tab/>
            </w:r>
            <w:r>
              <w:rPr>
                <w:noProof/>
                <w:webHidden/>
              </w:rPr>
              <w:fldChar w:fldCharType="begin"/>
            </w:r>
            <w:r>
              <w:rPr>
                <w:noProof/>
                <w:webHidden/>
              </w:rPr>
              <w:instrText xml:space="preserve"> PAGEREF _Toc214641457 \h </w:instrText>
            </w:r>
            <w:r>
              <w:rPr>
                <w:noProof/>
                <w:webHidden/>
              </w:rPr>
            </w:r>
            <w:r>
              <w:rPr>
                <w:noProof/>
                <w:webHidden/>
              </w:rPr>
              <w:fldChar w:fldCharType="separate"/>
            </w:r>
            <w:r>
              <w:rPr>
                <w:noProof/>
                <w:webHidden/>
              </w:rPr>
              <w:t>6</w:t>
            </w:r>
            <w:r>
              <w:rPr>
                <w:noProof/>
                <w:webHidden/>
              </w:rPr>
              <w:fldChar w:fldCharType="end"/>
            </w:r>
          </w:hyperlink>
        </w:p>
        <w:p w14:paraId="6DB4ED68" w14:textId="4B4F6BCF" w:rsidR="000B6E56" w:rsidRDefault="000B6E56">
          <w:pPr>
            <w:pStyle w:val="TOC2"/>
            <w:tabs>
              <w:tab w:val="right" w:leader="dot" w:pos="9016"/>
            </w:tabs>
            <w:rPr>
              <w:noProof/>
              <w:kern w:val="2"/>
              <w:szCs w:val="24"/>
              <w:lang w:eastAsia="en-GB"/>
              <w14:ligatures w14:val="standardContextual"/>
            </w:rPr>
          </w:pPr>
          <w:hyperlink w:anchor="_Toc214641458" w:history="1">
            <w:r w:rsidRPr="00906F18">
              <w:rPr>
                <w:rStyle w:val="Hyperlink"/>
                <w:noProof/>
              </w:rPr>
              <w:t>2.4 Benefits of Internationalisation</w:t>
            </w:r>
            <w:r>
              <w:rPr>
                <w:noProof/>
                <w:webHidden/>
              </w:rPr>
              <w:tab/>
            </w:r>
            <w:r>
              <w:rPr>
                <w:noProof/>
                <w:webHidden/>
              </w:rPr>
              <w:fldChar w:fldCharType="begin"/>
            </w:r>
            <w:r>
              <w:rPr>
                <w:noProof/>
                <w:webHidden/>
              </w:rPr>
              <w:instrText xml:space="preserve"> PAGEREF _Toc214641458 \h </w:instrText>
            </w:r>
            <w:r>
              <w:rPr>
                <w:noProof/>
                <w:webHidden/>
              </w:rPr>
            </w:r>
            <w:r>
              <w:rPr>
                <w:noProof/>
                <w:webHidden/>
              </w:rPr>
              <w:fldChar w:fldCharType="separate"/>
            </w:r>
            <w:r>
              <w:rPr>
                <w:noProof/>
                <w:webHidden/>
              </w:rPr>
              <w:t>8</w:t>
            </w:r>
            <w:r>
              <w:rPr>
                <w:noProof/>
                <w:webHidden/>
              </w:rPr>
              <w:fldChar w:fldCharType="end"/>
            </w:r>
          </w:hyperlink>
        </w:p>
        <w:p w14:paraId="5104ABFC" w14:textId="18B6D1AC" w:rsidR="000B6E56" w:rsidRDefault="000B6E56">
          <w:pPr>
            <w:pStyle w:val="TOC2"/>
            <w:tabs>
              <w:tab w:val="right" w:leader="dot" w:pos="9016"/>
            </w:tabs>
            <w:rPr>
              <w:noProof/>
              <w:kern w:val="2"/>
              <w:szCs w:val="24"/>
              <w:lang w:eastAsia="en-GB"/>
              <w14:ligatures w14:val="standardContextual"/>
            </w:rPr>
          </w:pPr>
          <w:hyperlink w:anchor="_Toc214641459" w:history="1">
            <w:r w:rsidRPr="00906F18">
              <w:rPr>
                <w:rStyle w:val="Hyperlink"/>
                <w:noProof/>
              </w:rPr>
              <w:t>2.5 Key Challenges</w:t>
            </w:r>
            <w:r>
              <w:rPr>
                <w:noProof/>
                <w:webHidden/>
              </w:rPr>
              <w:tab/>
            </w:r>
            <w:r>
              <w:rPr>
                <w:noProof/>
                <w:webHidden/>
              </w:rPr>
              <w:fldChar w:fldCharType="begin"/>
            </w:r>
            <w:r>
              <w:rPr>
                <w:noProof/>
                <w:webHidden/>
              </w:rPr>
              <w:instrText xml:space="preserve"> PAGEREF _Toc214641459 \h </w:instrText>
            </w:r>
            <w:r>
              <w:rPr>
                <w:noProof/>
                <w:webHidden/>
              </w:rPr>
            </w:r>
            <w:r>
              <w:rPr>
                <w:noProof/>
                <w:webHidden/>
              </w:rPr>
              <w:fldChar w:fldCharType="separate"/>
            </w:r>
            <w:r>
              <w:rPr>
                <w:noProof/>
                <w:webHidden/>
              </w:rPr>
              <w:t>9</w:t>
            </w:r>
            <w:r>
              <w:rPr>
                <w:noProof/>
                <w:webHidden/>
              </w:rPr>
              <w:fldChar w:fldCharType="end"/>
            </w:r>
          </w:hyperlink>
        </w:p>
        <w:p w14:paraId="3B46D078" w14:textId="0128ECCE" w:rsidR="000B6E56" w:rsidRDefault="000B6E56">
          <w:pPr>
            <w:pStyle w:val="TOC2"/>
            <w:tabs>
              <w:tab w:val="right" w:leader="dot" w:pos="9016"/>
            </w:tabs>
            <w:rPr>
              <w:noProof/>
              <w:kern w:val="2"/>
              <w:szCs w:val="24"/>
              <w:lang w:eastAsia="en-GB"/>
              <w14:ligatures w14:val="standardContextual"/>
            </w:rPr>
          </w:pPr>
          <w:hyperlink w:anchor="_Toc214641460" w:history="1">
            <w:r w:rsidRPr="00906F18">
              <w:rPr>
                <w:rStyle w:val="Hyperlink"/>
                <w:noProof/>
              </w:rPr>
              <w:t>2.6 Summary of Section</w:t>
            </w:r>
            <w:r>
              <w:rPr>
                <w:noProof/>
                <w:webHidden/>
              </w:rPr>
              <w:tab/>
            </w:r>
            <w:r>
              <w:rPr>
                <w:noProof/>
                <w:webHidden/>
              </w:rPr>
              <w:fldChar w:fldCharType="begin"/>
            </w:r>
            <w:r>
              <w:rPr>
                <w:noProof/>
                <w:webHidden/>
              </w:rPr>
              <w:instrText xml:space="preserve"> PAGEREF _Toc214641460 \h </w:instrText>
            </w:r>
            <w:r>
              <w:rPr>
                <w:noProof/>
                <w:webHidden/>
              </w:rPr>
            </w:r>
            <w:r>
              <w:rPr>
                <w:noProof/>
                <w:webHidden/>
              </w:rPr>
              <w:fldChar w:fldCharType="separate"/>
            </w:r>
            <w:r>
              <w:rPr>
                <w:noProof/>
                <w:webHidden/>
              </w:rPr>
              <w:t>10</w:t>
            </w:r>
            <w:r>
              <w:rPr>
                <w:noProof/>
                <w:webHidden/>
              </w:rPr>
              <w:fldChar w:fldCharType="end"/>
            </w:r>
          </w:hyperlink>
        </w:p>
        <w:p w14:paraId="26B850FB" w14:textId="24804A0A" w:rsidR="000B6E56" w:rsidRDefault="000B6E56">
          <w:pPr>
            <w:pStyle w:val="TOC1"/>
            <w:tabs>
              <w:tab w:val="right" w:leader="dot" w:pos="9016"/>
            </w:tabs>
            <w:rPr>
              <w:noProof/>
              <w:kern w:val="2"/>
              <w:szCs w:val="24"/>
              <w:lang w:eastAsia="en-GB"/>
              <w14:ligatures w14:val="standardContextual"/>
            </w:rPr>
          </w:pPr>
          <w:hyperlink w:anchor="_Toc214641461" w:history="1">
            <w:r w:rsidRPr="00906F18">
              <w:rPr>
                <w:rStyle w:val="Hyperlink"/>
                <w:noProof/>
              </w:rPr>
              <w:t>3. OLI Analysis: BP’s Market Entry into India</w:t>
            </w:r>
            <w:r>
              <w:rPr>
                <w:noProof/>
                <w:webHidden/>
              </w:rPr>
              <w:tab/>
            </w:r>
            <w:r>
              <w:rPr>
                <w:noProof/>
                <w:webHidden/>
              </w:rPr>
              <w:fldChar w:fldCharType="begin"/>
            </w:r>
            <w:r>
              <w:rPr>
                <w:noProof/>
                <w:webHidden/>
              </w:rPr>
              <w:instrText xml:space="preserve"> PAGEREF _Toc214641461 \h </w:instrText>
            </w:r>
            <w:r>
              <w:rPr>
                <w:noProof/>
                <w:webHidden/>
              </w:rPr>
            </w:r>
            <w:r>
              <w:rPr>
                <w:noProof/>
                <w:webHidden/>
              </w:rPr>
              <w:fldChar w:fldCharType="separate"/>
            </w:r>
            <w:r>
              <w:rPr>
                <w:noProof/>
                <w:webHidden/>
              </w:rPr>
              <w:t>11</w:t>
            </w:r>
            <w:r>
              <w:rPr>
                <w:noProof/>
                <w:webHidden/>
              </w:rPr>
              <w:fldChar w:fldCharType="end"/>
            </w:r>
          </w:hyperlink>
        </w:p>
        <w:p w14:paraId="0807684E" w14:textId="2422A700" w:rsidR="000B6E56" w:rsidRDefault="000B6E56">
          <w:pPr>
            <w:pStyle w:val="TOC2"/>
            <w:tabs>
              <w:tab w:val="right" w:leader="dot" w:pos="9016"/>
            </w:tabs>
            <w:rPr>
              <w:noProof/>
              <w:kern w:val="2"/>
              <w:szCs w:val="24"/>
              <w:lang w:eastAsia="en-GB"/>
              <w14:ligatures w14:val="standardContextual"/>
            </w:rPr>
          </w:pPr>
          <w:hyperlink w:anchor="_Toc214641462" w:history="1">
            <w:r w:rsidRPr="00906F18">
              <w:rPr>
                <w:rStyle w:val="Hyperlink"/>
                <w:noProof/>
              </w:rPr>
              <w:t>3.1 Ownership Advantages (O)</w:t>
            </w:r>
            <w:r>
              <w:rPr>
                <w:noProof/>
                <w:webHidden/>
              </w:rPr>
              <w:tab/>
            </w:r>
            <w:r>
              <w:rPr>
                <w:noProof/>
                <w:webHidden/>
              </w:rPr>
              <w:fldChar w:fldCharType="begin"/>
            </w:r>
            <w:r>
              <w:rPr>
                <w:noProof/>
                <w:webHidden/>
              </w:rPr>
              <w:instrText xml:space="preserve"> PAGEREF _Toc214641462 \h </w:instrText>
            </w:r>
            <w:r>
              <w:rPr>
                <w:noProof/>
                <w:webHidden/>
              </w:rPr>
            </w:r>
            <w:r>
              <w:rPr>
                <w:noProof/>
                <w:webHidden/>
              </w:rPr>
              <w:fldChar w:fldCharType="separate"/>
            </w:r>
            <w:r>
              <w:rPr>
                <w:noProof/>
                <w:webHidden/>
              </w:rPr>
              <w:t>11</w:t>
            </w:r>
            <w:r>
              <w:rPr>
                <w:noProof/>
                <w:webHidden/>
              </w:rPr>
              <w:fldChar w:fldCharType="end"/>
            </w:r>
          </w:hyperlink>
        </w:p>
        <w:p w14:paraId="1F3937E1" w14:textId="612704F6" w:rsidR="000B6E56" w:rsidRDefault="000B6E56">
          <w:pPr>
            <w:pStyle w:val="TOC2"/>
            <w:tabs>
              <w:tab w:val="right" w:leader="dot" w:pos="9016"/>
            </w:tabs>
            <w:rPr>
              <w:noProof/>
              <w:kern w:val="2"/>
              <w:szCs w:val="24"/>
              <w:lang w:eastAsia="en-GB"/>
              <w14:ligatures w14:val="standardContextual"/>
            </w:rPr>
          </w:pPr>
          <w:hyperlink w:anchor="_Toc214641463" w:history="1">
            <w:r w:rsidRPr="00906F18">
              <w:rPr>
                <w:rStyle w:val="Hyperlink"/>
                <w:noProof/>
              </w:rPr>
              <w:t>3.2 Location Advantages (L)</w:t>
            </w:r>
            <w:r>
              <w:rPr>
                <w:noProof/>
                <w:webHidden/>
              </w:rPr>
              <w:tab/>
            </w:r>
            <w:r>
              <w:rPr>
                <w:noProof/>
                <w:webHidden/>
              </w:rPr>
              <w:fldChar w:fldCharType="begin"/>
            </w:r>
            <w:r>
              <w:rPr>
                <w:noProof/>
                <w:webHidden/>
              </w:rPr>
              <w:instrText xml:space="preserve"> PAGEREF _Toc214641463 \h </w:instrText>
            </w:r>
            <w:r>
              <w:rPr>
                <w:noProof/>
                <w:webHidden/>
              </w:rPr>
            </w:r>
            <w:r>
              <w:rPr>
                <w:noProof/>
                <w:webHidden/>
              </w:rPr>
              <w:fldChar w:fldCharType="separate"/>
            </w:r>
            <w:r>
              <w:rPr>
                <w:noProof/>
                <w:webHidden/>
              </w:rPr>
              <w:t>11</w:t>
            </w:r>
            <w:r>
              <w:rPr>
                <w:noProof/>
                <w:webHidden/>
              </w:rPr>
              <w:fldChar w:fldCharType="end"/>
            </w:r>
          </w:hyperlink>
        </w:p>
        <w:p w14:paraId="71216769" w14:textId="71FADE5C" w:rsidR="000B6E56" w:rsidRDefault="000B6E56">
          <w:pPr>
            <w:pStyle w:val="TOC2"/>
            <w:tabs>
              <w:tab w:val="right" w:leader="dot" w:pos="9016"/>
            </w:tabs>
            <w:rPr>
              <w:noProof/>
              <w:kern w:val="2"/>
              <w:szCs w:val="24"/>
              <w:lang w:eastAsia="en-GB"/>
              <w14:ligatures w14:val="standardContextual"/>
            </w:rPr>
          </w:pPr>
          <w:hyperlink w:anchor="_Toc214641464" w:history="1">
            <w:r w:rsidRPr="00906F18">
              <w:rPr>
                <w:rStyle w:val="Hyperlink"/>
                <w:noProof/>
              </w:rPr>
              <w:t>3.3 Internalisation Advantages (I)</w:t>
            </w:r>
            <w:r>
              <w:rPr>
                <w:noProof/>
                <w:webHidden/>
              </w:rPr>
              <w:tab/>
            </w:r>
            <w:r>
              <w:rPr>
                <w:noProof/>
                <w:webHidden/>
              </w:rPr>
              <w:fldChar w:fldCharType="begin"/>
            </w:r>
            <w:r>
              <w:rPr>
                <w:noProof/>
                <w:webHidden/>
              </w:rPr>
              <w:instrText xml:space="preserve"> PAGEREF _Toc214641464 \h </w:instrText>
            </w:r>
            <w:r>
              <w:rPr>
                <w:noProof/>
                <w:webHidden/>
              </w:rPr>
            </w:r>
            <w:r>
              <w:rPr>
                <w:noProof/>
                <w:webHidden/>
              </w:rPr>
              <w:fldChar w:fldCharType="separate"/>
            </w:r>
            <w:r>
              <w:rPr>
                <w:noProof/>
                <w:webHidden/>
              </w:rPr>
              <w:t>11</w:t>
            </w:r>
            <w:r>
              <w:rPr>
                <w:noProof/>
                <w:webHidden/>
              </w:rPr>
              <w:fldChar w:fldCharType="end"/>
            </w:r>
          </w:hyperlink>
        </w:p>
        <w:p w14:paraId="29891B96" w14:textId="4066A365" w:rsidR="000B6E56" w:rsidRDefault="000B6E56">
          <w:pPr>
            <w:pStyle w:val="TOC2"/>
            <w:tabs>
              <w:tab w:val="right" w:leader="dot" w:pos="9016"/>
            </w:tabs>
            <w:rPr>
              <w:noProof/>
              <w:kern w:val="2"/>
              <w:szCs w:val="24"/>
              <w:lang w:eastAsia="en-GB"/>
              <w14:ligatures w14:val="standardContextual"/>
            </w:rPr>
          </w:pPr>
          <w:hyperlink w:anchor="_Toc214641465" w:history="1">
            <w:r w:rsidRPr="00906F18">
              <w:rPr>
                <w:rStyle w:val="Hyperlink"/>
                <w:noProof/>
              </w:rPr>
              <w:t>3.4 Dominant Entry Mode Discussion</w:t>
            </w:r>
            <w:r>
              <w:rPr>
                <w:noProof/>
                <w:webHidden/>
              </w:rPr>
              <w:tab/>
            </w:r>
            <w:r>
              <w:rPr>
                <w:noProof/>
                <w:webHidden/>
              </w:rPr>
              <w:fldChar w:fldCharType="begin"/>
            </w:r>
            <w:r>
              <w:rPr>
                <w:noProof/>
                <w:webHidden/>
              </w:rPr>
              <w:instrText xml:space="preserve"> PAGEREF _Toc214641465 \h </w:instrText>
            </w:r>
            <w:r>
              <w:rPr>
                <w:noProof/>
                <w:webHidden/>
              </w:rPr>
            </w:r>
            <w:r>
              <w:rPr>
                <w:noProof/>
                <w:webHidden/>
              </w:rPr>
              <w:fldChar w:fldCharType="separate"/>
            </w:r>
            <w:r>
              <w:rPr>
                <w:noProof/>
                <w:webHidden/>
              </w:rPr>
              <w:t>12</w:t>
            </w:r>
            <w:r>
              <w:rPr>
                <w:noProof/>
                <w:webHidden/>
              </w:rPr>
              <w:fldChar w:fldCharType="end"/>
            </w:r>
          </w:hyperlink>
        </w:p>
        <w:p w14:paraId="0BF40776" w14:textId="11DCC058" w:rsidR="000B6E56" w:rsidRDefault="000B6E56">
          <w:pPr>
            <w:pStyle w:val="TOC2"/>
            <w:tabs>
              <w:tab w:val="right" w:leader="dot" w:pos="9016"/>
            </w:tabs>
            <w:rPr>
              <w:noProof/>
              <w:kern w:val="2"/>
              <w:szCs w:val="24"/>
              <w:lang w:eastAsia="en-GB"/>
              <w14:ligatures w14:val="standardContextual"/>
            </w:rPr>
          </w:pPr>
          <w:hyperlink w:anchor="_Toc214641466" w:history="1">
            <w:r w:rsidRPr="00906F18">
              <w:rPr>
                <w:rStyle w:val="Hyperlink"/>
                <w:noProof/>
              </w:rPr>
              <w:t>3.5 Comparative Case: Shell’s Entry Strategy in India</w:t>
            </w:r>
            <w:r>
              <w:rPr>
                <w:noProof/>
                <w:webHidden/>
              </w:rPr>
              <w:tab/>
            </w:r>
            <w:r>
              <w:rPr>
                <w:noProof/>
                <w:webHidden/>
              </w:rPr>
              <w:fldChar w:fldCharType="begin"/>
            </w:r>
            <w:r>
              <w:rPr>
                <w:noProof/>
                <w:webHidden/>
              </w:rPr>
              <w:instrText xml:space="preserve"> PAGEREF _Toc214641466 \h </w:instrText>
            </w:r>
            <w:r>
              <w:rPr>
                <w:noProof/>
                <w:webHidden/>
              </w:rPr>
            </w:r>
            <w:r>
              <w:rPr>
                <w:noProof/>
                <w:webHidden/>
              </w:rPr>
              <w:fldChar w:fldCharType="separate"/>
            </w:r>
            <w:r>
              <w:rPr>
                <w:noProof/>
                <w:webHidden/>
              </w:rPr>
              <w:t>14</w:t>
            </w:r>
            <w:r>
              <w:rPr>
                <w:noProof/>
                <w:webHidden/>
              </w:rPr>
              <w:fldChar w:fldCharType="end"/>
            </w:r>
          </w:hyperlink>
        </w:p>
        <w:p w14:paraId="2BCEF5A9" w14:textId="0ECDD59C" w:rsidR="000B6E56" w:rsidRDefault="000B6E56">
          <w:pPr>
            <w:pStyle w:val="TOC1"/>
            <w:tabs>
              <w:tab w:val="right" w:leader="dot" w:pos="9016"/>
            </w:tabs>
            <w:rPr>
              <w:noProof/>
              <w:kern w:val="2"/>
              <w:szCs w:val="24"/>
              <w:lang w:eastAsia="en-GB"/>
              <w14:ligatures w14:val="standardContextual"/>
            </w:rPr>
          </w:pPr>
          <w:hyperlink w:anchor="_Toc214641467" w:history="1">
            <w:r w:rsidRPr="00906F18">
              <w:rPr>
                <w:rStyle w:val="Hyperlink"/>
                <w:noProof/>
              </w:rPr>
              <w:t>4. Critical Evaluation of Cultural Differences and Market Entry Impact</w:t>
            </w:r>
            <w:r>
              <w:rPr>
                <w:noProof/>
                <w:webHidden/>
              </w:rPr>
              <w:tab/>
            </w:r>
            <w:r>
              <w:rPr>
                <w:noProof/>
                <w:webHidden/>
              </w:rPr>
              <w:fldChar w:fldCharType="begin"/>
            </w:r>
            <w:r>
              <w:rPr>
                <w:noProof/>
                <w:webHidden/>
              </w:rPr>
              <w:instrText xml:space="preserve"> PAGEREF _Toc214641467 \h </w:instrText>
            </w:r>
            <w:r>
              <w:rPr>
                <w:noProof/>
                <w:webHidden/>
              </w:rPr>
            </w:r>
            <w:r>
              <w:rPr>
                <w:noProof/>
                <w:webHidden/>
              </w:rPr>
              <w:fldChar w:fldCharType="separate"/>
            </w:r>
            <w:r>
              <w:rPr>
                <w:noProof/>
                <w:webHidden/>
              </w:rPr>
              <w:t>15</w:t>
            </w:r>
            <w:r>
              <w:rPr>
                <w:noProof/>
                <w:webHidden/>
              </w:rPr>
              <w:fldChar w:fldCharType="end"/>
            </w:r>
          </w:hyperlink>
        </w:p>
        <w:p w14:paraId="3DB32C49" w14:textId="551C8C4B" w:rsidR="000B6E56" w:rsidRDefault="000B6E56">
          <w:pPr>
            <w:pStyle w:val="TOC2"/>
            <w:tabs>
              <w:tab w:val="right" w:leader="dot" w:pos="9016"/>
            </w:tabs>
            <w:rPr>
              <w:noProof/>
              <w:kern w:val="2"/>
              <w:szCs w:val="24"/>
              <w:lang w:eastAsia="en-GB"/>
              <w14:ligatures w14:val="standardContextual"/>
            </w:rPr>
          </w:pPr>
          <w:hyperlink w:anchor="_Toc214641468" w:history="1">
            <w:r w:rsidRPr="00906F18">
              <w:rPr>
                <w:rStyle w:val="Hyperlink"/>
                <w:noProof/>
              </w:rPr>
              <w:t>4.1 Theoretical Framework and Comparative Context</w:t>
            </w:r>
            <w:r>
              <w:rPr>
                <w:noProof/>
                <w:webHidden/>
              </w:rPr>
              <w:tab/>
            </w:r>
            <w:r>
              <w:rPr>
                <w:noProof/>
                <w:webHidden/>
              </w:rPr>
              <w:fldChar w:fldCharType="begin"/>
            </w:r>
            <w:r>
              <w:rPr>
                <w:noProof/>
                <w:webHidden/>
              </w:rPr>
              <w:instrText xml:space="preserve"> PAGEREF _Toc214641468 \h </w:instrText>
            </w:r>
            <w:r>
              <w:rPr>
                <w:noProof/>
                <w:webHidden/>
              </w:rPr>
            </w:r>
            <w:r>
              <w:rPr>
                <w:noProof/>
                <w:webHidden/>
              </w:rPr>
              <w:fldChar w:fldCharType="separate"/>
            </w:r>
            <w:r>
              <w:rPr>
                <w:noProof/>
                <w:webHidden/>
              </w:rPr>
              <w:t>15</w:t>
            </w:r>
            <w:r>
              <w:rPr>
                <w:noProof/>
                <w:webHidden/>
              </w:rPr>
              <w:fldChar w:fldCharType="end"/>
            </w:r>
          </w:hyperlink>
        </w:p>
        <w:p w14:paraId="1DB6C8D5" w14:textId="606DCB42" w:rsidR="000B6E56" w:rsidRDefault="000B6E56">
          <w:pPr>
            <w:pStyle w:val="TOC2"/>
            <w:tabs>
              <w:tab w:val="right" w:leader="dot" w:pos="9016"/>
            </w:tabs>
            <w:rPr>
              <w:noProof/>
              <w:kern w:val="2"/>
              <w:szCs w:val="24"/>
              <w:lang w:eastAsia="en-GB"/>
              <w14:ligatures w14:val="standardContextual"/>
            </w:rPr>
          </w:pPr>
          <w:hyperlink w:anchor="_Toc214641469" w:history="1">
            <w:r w:rsidRPr="00906F18">
              <w:rPr>
                <w:rStyle w:val="Hyperlink"/>
                <w:rFonts w:asciiTheme="majorHAnsi" w:hAnsiTheme="majorHAnsi"/>
                <w:noProof/>
              </w:rPr>
              <w:t>4.2 Comparative Cultural Dimensions Analysis</w:t>
            </w:r>
            <w:r>
              <w:rPr>
                <w:noProof/>
                <w:webHidden/>
              </w:rPr>
              <w:tab/>
            </w:r>
            <w:r>
              <w:rPr>
                <w:noProof/>
                <w:webHidden/>
              </w:rPr>
              <w:fldChar w:fldCharType="begin"/>
            </w:r>
            <w:r>
              <w:rPr>
                <w:noProof/>
                <w:webHidden/>
              </w:rPr>
              <w:instrText xml:space="preserve"> PAGEREF _Toc214641469 \h </w:instrText>
            </w:r>
            <w:r>
              <w:rPr>
                <w:noProof/>
                <w:webHidden/>
              </w:rPr>
            </w:r>
            <w:r>
              <w:rPr>
                <w:noProof/>
                <w:webHidden/>
              </w:rPr>
              <w:fldChar w:fldCharType="separate"/>
            </w:r>
            <w:r>
              <w:rPr>
                <w:noProof/>
                <w:webHidden/>
              </w:rPr>
              <w:t>15</w:t>
            </w:r>
            <w:r>
              <w:rPr>
                <w:noProof/>
                <w:webHidden/>
              </w:rPr>
              <w:fldChar w:fldCharType="end"/>
            </w:r>
          </w:hyperlink>
        </w:p>
        <w:p w14:paraId="084364D4" w14:textId="0F3F30B1" w:rsidR="000B6E56" w:rsidRDefault="000B6E56">
          <w:pPr>
            <w:pStyle w:val="TOC2"/>
            <w:tabs>
              <w:tab w:val="right" w:leader="dot" w:pos="9016"/>
            </w:tabs>
            <w:rPr>
              <w:noProof/>
              <w:kern w:val="2"/>
              <w:szCs w:val="24"/>
              <w:lang w:eastAsia="en-GB"/>
              <w14:ligatures w14:val="standardContextual"/>
            </w:rPr>
          </w:pPr>
          <w:hyperlink w:anchor="_Toc214641470" w:history="1">
            <w:r w:rsidRPr="00906F18">
              <w:rPr>
                <w:rStyle w:val="Hyperlink"/>
                <w:noProof/>
              </w:rPr>
              <w:t>4.3 Implications for Organisational Success</w:t>
            </w:r>
            <w:r>
              <w:rPr>
                <w:noProof/>
                <w:webHidden/>
              </w:rPr>
              <w:tab/>
            </w:r>
            <w:r>
              <w:rPr>
                <w:noProof/>
                <w:webHidden/>
              </w:rPr>
              <w:fldChar w:fldCharType="begin"/>
            </w:r>
            <w:r>
              <w:rPr>
                <w:noProof/>
                <w:webHidden/>
              </w:rPr>
              <w:instrText xml:space="preserve"> PAGEREF _Toc214641470 \h </w:instrText>
            </w:r>
            <w:r>
              <w:rPr>
                <w:noProof/>
                <w:webHidden/>
              </w:rPr>
            </w:r>
            <w:r>
              <w:rPr>
                <w:noProof/>
                <w:webHidden/>
              </w:rPr>
              <w:fldChar w:fldCharType="separate"/>
            </w:r>
            <w:r>
              <w:rPr>
                <w:noProof/>
                <w:webHidden/>
              </w:rPr>
              <w:t>15</w:t>
            </w:r>
            <w:r>
              <w:rPr>
                <w:noProof/>
                <w:webHidden/>
              </w:rPr>
              <w:fldChar w:fldCharType="end"/>
            </w:r>
          </w:hyperlink>
        </w:p>
        <w:p w14:paraId="1C7FDD81" w14:textId="3BBEB404" w:rsidR="000B6E56" w:rsidRDefault="000B6E56">
          <w:pPr>
            <w:pStyle w:val="TOC1"/>
            <w:tabs>
              <w:tab w:val="right" w:leader="dot" w:pos="9016"/>
            </w:tabs>
            <w:rPr>
              <w:noProof/>
              <w:kern w:val="2"/>
              <w:szCs w:val="24"/>
              <w:lang w:eastAsia="en-GB"/>
              <w14:ligatures w14:val="standardContextual"/>
            </w:rPr>
          </w:pPr>
          <w:hyperlink w:anchor="_Toc214641471" w:history="1">
            <w:r w:rsidRPr="00906F18">
              <w:rPr>
                <w:rStyle w:val="Hyperlink"/>
                <w:noProof/>
              </w:rPr>
              <w:t>5. Recommendations: Adjustments to Standard Operating Procedures (SOPs)</w:t>
            </w:r>
            <w:r>
              <w:rPr>
                <w:noProof/>
                <w:webHidden/>
              </w:rPr>
              <w:tab/>
            </w:r>
            <w:r>
              <w:rPr>
                <w:noProof/>
                <w:webHidden/>
              </w:rPr>
              <w:fldChar w:fldCharType="begin"/>
            </w:r>
            <w:r>
              <w:rPr>
                <w:noProof/>
                <w:webHidden/>
              </w:rPr>
              <w:instrText xml:space="preserve"> PAGEREF _Toc214641471 \h </w:instrText>
            </w:r>
            <w:r>
              <w:rPr>
                <w:noProof/>
                <w:webHidden/>
              </w:rPr>
            </w:r>
            <w:r>
              <w:rPr>
                <w:noProof/>
                <w:webHidden/>
              </w:rPr>
              <w:fldChar w:fldCharType="separate"/>
            </w:r>
            <w:r>
              <w:rPr>
                <w:noProof/>
                <w:webHidden/>
              </w:rPr>
              <w:t>17</w:t>
            </w:r>
            <w:r>
              <w:rPr>
                <w:noProof/>
                <w:webHidden/>
              </w:rPr>
              <w:fldChar w:fldCharType="end"/>
            </w:r>
          </w:hyperlink>
        </w:p>
        <w:p w14:paraId="70615216" w14:textId="6B4AC555" w:rsidR="000B6E56" w:rsidRDefault="000B6E56">
          <w:pPr>
            <w:pStyle w:val="TOC2"/>
            <w:tabs>
              <w:tab w:val="right" w:leader="dot" w:pos="9016"/>
            </w:tabs>
            <w:rPr>
              <w:noProof/>
              <w:kern w:val="2"/>
              <w:szCs w:val="24"/>
              <w:lang w:eastAsia="en-GB"/>
              <w14:ligatures w14:val="standardContextual"/>
            </w:rPr>
          </w:pPr>
          <w:hyperlink w:anchor="_Toc214641472" w:history="1">
            <w:r w:rsidRPr="00906F18">
              <w:rPr>
                <w:rStyle w:val="Hyperlink"/>
                <w:noProof/>
              </w:rPr>
              <w:t>5.1 Recommendation 1: HR and Leadership Adaptation</w:t>
            </w:r>
            <w:r>
              <w:rPr>
                <w:noProof/>
                <w:webHidden/>
              </w:rPr>
              <w:tab/>
            </w:r>
            <w:r>
              <w:rPr>
                <w:noProof/>
                <w:webHidden/>
              </w:rPr>
              <w:fldChar w:fldCharType="begin"/>
            </w:r>
            <w:r>
              <w:rPr>
                <w:noProof/>
                <w:webHidden/>
              </w:rPr>
              <w:instrText xml:space="preserve"> PAGEREF _Toc214641472 \h </w:instrText>
            </w:r>
            <w:r>
              <w:rPr>
                <w:noProof/>
                <w:webHidden/>
              </w:rPr>
            </w:r>
            <w:r>
              <w:rPr>
                <w:noProof/>
                <w:webHidden/>
              </w:rPr>
              <w:fldChar w:fldCharType="separate"/>
            </w:r>
            <w:r>
              <w:rPr>
                <w:noProof/>
                <w:webHidden/>
              </w:rPr>
              <w:t>17</w:t>
            </w:r>
            <w:r>
              <w:rPr>
                <w:noProof/>
                <w:webHidden/>
              </w:rPr>
              <w:fldChar w:fldCharType="end"/>
            </w:r>
          </w:hyperlink>
        </w:p>
        <w:p w14:paraId="609706FB" w14:textId="303E9D28" w:rsidR="000B6E56" w:rsidRDefault="000B6E56">
          <w:pPr>
            <w:pStyle w:val="TOC2"/>
            <w:tabs>
              <w:tab w:val="right" w:leader="dot" w:pos="9016"/>
            </w:tabs>
            <w:rPr>
              <w:noProof/>
              <w:kern w:val="2"/>
              <w:szCs w:val="24"/>
              <w:lang w:eastAsia="en-GB"/>
              <w14:ligatures w14:val="standardContextual"/>
            </w:rPr>
          </w:pPr>
          <w:hyperlink w:anchor="_Toc214641473" w:history="1">
            <w:r w:rsidRPr="00906F18">
              <w:rPr>
                <w:rStyle w:val="Hyperlink"/>
                <w:noProof/>
              </w:rPr>
              <w:t>5.2 Recommendation 2: Sustainability and Regulatory Compliance</w:t>
            </w:r>
            <w:r>
              <w:rPr>
                <w:noProof/>
                <w:webHidden/>
              </w:rPr>
              <w:tab/>
            </w:r>
            <w:r>
              <w:rPr>
                <w:noProof/>
                <w:webHidden/>
              </w:rPr>
              <w:fldChar w:fldCharType="begin"/>
            </w:r>
            <w:r>
              <w:rPr>
                <w:noProof/>
                <w:webHidden/>
              </w:rPr>
              <w:instrText xml:space="preserve"> PAGEREF _Toc214641473 \h </w:instrText>
            </w:r>
            <w:r>
              <w:rPr>
                <w:noProof/>
                <w:webHidden/>
              </w:rPr>
            </w:r>
            <w:r>
              <w:rPr>
                <w:noProof/>
                <w:webHidden/>
              </w:rPr>
              <w:fldChar w:fldCharType="separate"/>
            </w:r>
            <w:r>
              <w:rPr>
                <w:noProof/>
                <w:webHidden/>
              </w:rPr>
              <w:t>21</w:t>
            </w:r>
            <w:r>
              <w:rPr>
                <w:noProof/>
                <w:webHidden/>
              </w:rPr>
              <w:fldChar w:fldCharType="end"/>
            </w:r>
          </w:hyperlink>
        </w:p>
        <w:p w14:paraId="1CF3C817" w14:textId="76EB5B29" w:rsidR="000B6E56" w:rsidRDefault="000B6E56">
          <w:pPr>
            <w:pStyle w:val="TOC2"/>
            <w:tabs>
              <w:tab w:val="right" w:leader="dot" w:pos="9016"/>
            </w:tabs>
            <w:rPr>
              <w:noProof/>
              <w:kern w:val="2"/>
              <w:szCs w:val="24"/>
              <w:lang w:eastAsia="en-GB"/>
              <w14:ligatures w14:val="standardContextual"/>
            </w:rPr>
          </w:pPr>
          <w:hyperlink w:anchor="_Toc214641474" w:history="1">
            <w:r w:rsidRPr="00906F18">
              <w:rPr>
                <w:rStyle w:val="Hyperlink"/>
                <w:noProof/>
              </w:rPr>
              <w:t>5.3 Recommendation 3: Strategic Partnership Enhancement</w:t>
            </w:r>
            <w:r>
              <w:rPr>
                <w:noProof/>
                <w:webHidden/>
              </w:rPr>
              <w:tab/>
            </w:r>
            <w:r>
              <w:rPr>
                <w:noProof/>
                <w:webHidden/>
              </w:rPr>
              <w:fldChar w:fldCharType="begin"/>
            </w:r>
            <w:r>
              <w:rPr>
                <w:noProof/>
                <w:webHidden/>
              </w:rPr>
              <w:instrText xml:space="preserve"> PAGEREF _Toc214641474 \h </w:instrText>
            </w:r>
            <w:r>
              <w:rPr>
                <w:noProof/>
                <w:webHidden/>
              </w:rPr>
            </w:r>
            <w:r>
              <w:rPr>
                <w:noProof/>
                <w:webHidden/>
              </w:rPr>
              <w:fldChar w:fldCharType="separate"/>
            </w:r>
            <w:r>
              <w:rPr>
                <w:noProof/>
                <w:webHidden/>
              </w:rPr>
              <w:t>23</w:t>
            </w:r>
            <w:r>
              <w:rPr>
                <w:noProof/>
                <w:webHidden/>
              </w:rPr>
              <w:fldChar w:fldCharType="end"/>
            </w:r>
          </w:hyperlink>
        </w:p>
        <w:p w14:paraId="4F4FEC54" w14:textId="4D967F2D" w:rsidR="000B6E56" w:rsidRDefault="000B6E56">
          <w:pPr>
            <w:pStyle w:val="TOC1"/>
            <w:tabs>
              <w:tab w:val="right" w:leader="dot" w:pos="9016"/>
            </w:tabs>
            <w:rPr>
              <w:noProof/>
              <w:kern w:val="2"/>
              <w:szCs w:val="24"/>
              <w:lang w:eastAsia="en-GB"/>
              <w14:ligatures w14:val="standardContextual"/>
            </w:rPr>
          </w:pPr>
          <w:hyperlink w:anchor="_Toc214641475" w:history="1">
            <w:r w:rsidRPr="00906F18">
              <w:rPr>
                <w:rStyle w:val="Hyperlink"/>
                <w:noProof/>
              </w:rPr>
              <w:t>6. Implementation and Performance Evaluation</w:t>
            </w:r>
            <w:r>
              <w:rPr>
                <w:noProof/>
                <w:webHidden/>
              </w:rPr>
              <w:tab/>
            </w:r>
            <w:r>
              <w:rPr>
                <w:noProof/>
                <w:webHidden/>
              </w:rPr>
              <w:fldChar w:fldCharType="begin"/>
            </w:r>
            <w:r>
              <w:rPr>
                <w:noProof/>
                <w:webHidden/>
              </w:rPr>
              <w:instrText xml:space="preserve"> PAGEREF _Toc214641475 \h </w:instrText>
            </w:r>
            <w:r>
              <w:rPr>
                <w:noProof/>
                <w:webHidden/>
              </w:rPr>
            </w:r>
            <w:r>
              <w:rPr>
                <w:noProof/>
                <w:webHidden/>
              </w:rPr>
              <w:fldChar w:fldCharType="separate"/>
            </w:r>
            <w:r>
              <w:rPr>
                <w:noProof/>
                <w:webHidden/>
              </w:rPr>
              <w:t>25</w:t>
            </w:r>
            <w:r>
              <w:rPr>
                <w:noProof/>
                <w:webHidden/>
              </w:rPr>
              <w:fldChar w:fldCharType="end"/>
            </w:r>
          </w:hyperlink>
        </w:p>
        <w:p w14:paraId="482A216A" w14:textId="205321C3" w:rsidR="000B6E56" w:rsidRDefault="000B6E56">
          <w:pPr>
            <w:pStyle w:val="TOC2"/>
            <w:tabs>
              <w:tab w:val="right" w:leader="dot" w:pos="9016"/>
            </w:tabs>
            <w:rPr>
              <w:noProof/>
              <w:kern w:val="2"/>
              <w:szCs w:val="24"/>
              <w:lang w:eastAsia="en-GB"/>
              <w14:ligatures w14:val="standardContextual"/>
            </w:rPr>
          </w:pPr>
          <w:hyperlink w:anchor="_Toc214641476" w:history="1">
            <w:r w:rsidRPr="00906F18">
              <w:rPr>
                <w:rStyle w:val="Hyperlink"/>
                <w:noProof/>
              </w:rPr>
              <w:t>6.1 Implementation Framework</w:t>
            </w:r>
            <w:r>
              <w:rPr>
                <w:noProof/>
                <w:webHidden/>
              </w:rPr>
              <w:tab/>
            </w:r>
            <w:r>
              <w:rPr>
                <w:noProof/>
                <w:webHidden/>
              </w:rPr>
              <w:fldChar w:fldCharType="begin"/>
            </w:r>
            <w:r>
              <w:rPr>
                <w:noProof/>
                <w:webHidden/>
              </w:rPr>
              <w:instrText xml:space="preserve"> PAGEREF _Toc214641476 \h </w:instrText>
            </w:r>
            <w:r>
              <w:rPr>
                <w:noProof/>
                <w:webHidden/>
              </w:rPr>
            </w:r>
            <w:r>
              <w:rPr>
                <w:noProof/>
                <w:webHidden/>
              </w:rPr>
              <w:fldChar w:fldCharType="separate"/>
            </w:r>
            <w:r>
              <w:rPr>
                <w:noProof/>
                <w:webHidden/>
              </w:rPr>
              <w:t>25</w:t>
            </w:r>
            <w:r>
              <w:rPr>
                <w:noProof/>
                <w:webHidden/>
              </w:rPr>
              <w:fldChar w:fldCharType="end"/>
            </w:r>
          </w:hyperlink>
        </w:p>
        <w:p w14:paraId="1350C39D" w14:textId="11E97B02" w:rsidR="000B6E56" w:rsidRDefault="000B6E56">
          <w:pPr>
            <w:pStyle w:val="TOC2"/>
            <w:tabs>
              <w:tab w:val="right" w:leader="dot" w:pos="9016"/>
            </w:tabs>
            <w:rPr>
              <w:noProof/>
              <w:kern w:val="2"/>
              <w:szCs w:val="24"/>
              <w:lang w:eastAsia="en-GB"/>
              <w14:ligatures w14:val="standardContextual"/>
            </w:rPr>
          </w:pPr>
          <w:hyperlink w:anchor="_Toc214641477" w:history="1">
            <w:r w:rsidRPr="00906F18">
              <w:rPr>
                <w:rStyle w:val="Hyperlink"/>
                <w:noProof/>
              </w:rPr>
              <w:t>6.2 Key Performance Indicators (KPIs)</w:t>
            </w:r>
            <w:r>
              <w:rPr>
                <w:noProof/>
                <w:webHidden/>
              </w:rPr>
              <w:tab/>
            </w:r>
            <w:r>
              <w:rPr>
                <w:noProof/>
                <w:webHidden/>
              </w:rPr>
              <w:fldChar w:fldCharType="begin"/>
            </w:r>
            <w:r>
              <w:rPr>
                <w:noProof/>
                <w:webHidden/>
              </w:rPr>
              <w:instrText xml:space="preserve"> PAGEREF _Toc214641477 \h </w:instrText>
            </w:r>
            <w:r>
              <w:rPr>
                <w:noProof/>
                <w:webHidden/>
              </w:rPr>
            </w:r>
            <w:r>
              <w:rPr>
                <w:noProof/>
                <w:webHidden/>
              </w:rPr>
              <w:fldChar w:fldCharType="separate"/>
            </w:r>
            <w:r>
              <w:rPr>
                <w:noProof/>
                <w:webHidden/>
              </w:rPr>
              <w:t>26</w:t>
            </w:r>
            <w:r>
              <w:rPr>
                <w:noProof/>
                <w:webHidden/>
              </w:rPr>
              <w:fldChar w:fldCharType="end"/>
            </w:r>
          </w:hyperlink>
        </w:p>
        <w:p w14:paraId="1C6D2B4A" w14:textId="106FE0C4" w:rsidR="000B6E56" w:rsidRDefault="000B6E56">
          <w:pPr>
            <w:pStyle w:val="TOC2"/>
            <w:tabs>
              <w:tab w:val="right" w:leader="dot" w:pos="9016"/>
            </w:tabs>
            <w:rPr>
              <w:noProof/>
              <w:kern w:val="2"/>
              <w:szCs w:val="24"/>
              <w:lang w:eastAsia="en-GB"/>
              <w14:ligatures w14:val="standardContextual"/>
            </w:rPr>
          </w:pPr>
          <w:hyperlink w:anchor="_Toc214641478" w:history="1">
            <w:r w:rsidRPr="00906F18">
              <w:rPr>
                <w:rStyle w:val="Hyperlink"/>
                <w:noProof/>
              </w:rPr>
              <w:t>6.3 Governance and Accountability</w:t>
            </w:r>
            <w:r>
              <w:rPr>
                <w:noProof/>
                <w:webHidden/>
              </w:rPr>
              <w:tab/>
            </w:r>
            <w:r>
              <w:rPr>
                <w:noProof/>
                <w:webHidden/>
              </w:rPr>
              <w:fldChar w:fldCharType="begin"/>
            </w:r>
            <w:r>
              <w:rPr>
                <w:noProof/>
                <w:webHidden/>
              </w:rPr>
              <w:instrText xml:space="preserve"> PAGEREF _Toc214641478 \h </w:instrText>
            </w:r>
            <w:r>
              <w:rPr>
                <w:noProof/>
                <w:webHidden/>
              </w:rPr>
            </w:r>
            <w:r>
              <w:rPr>
                <w:noProof/>
                <w:webHidden/>
              </w:rPr>
              <w:fldChar w:fldCharType="separate"/>
            </w:r>
            <w:r>
              <w:rPr>
                <w:noProof/>
                <w:webHidden/>
              </w:rPr>
              <w:t>27</w:t>
            </w:r>
            <w:r>
              <w:rPr>
                <w:noProof/>
                <w:webHidden/>
              </w:rPr>
              <w:fldChar w:fldCharType="end"/>
            </w:r>
          </w:hyperlink>
        </w:p>
        <w:p w14:paraId="232273C7" w14:textId="59E79CA6" w:rsidR="000B6E56" w:rsidRDefault="000B6E56">
          <w:pPr>
            <w:pStyle w:val="TOC2"/>
            <w:tabs>
              <w:tab w:val="right" w:leader="dot" w:pos="9016"/>
            </w:tabs>
            <w:rPr>
              <w:noProof/>
              <w:kern w:val="2"/>
              <w:szCs w:val="24"/>
              <w:lang w:eastAsia="en-GB"/>
              <w14:ligatures w14:val="standardContextual"/>
            </w:rPr>
          </w:pPr>
          <w:hyperlink w:anchor="_Toc214641479" w:history="1">
            <w:r w:rsidRPr="00906F18">
              <w:rPr>
                <w:rStyle w:val="Hyperlink"/>
                <w:noProof/>
              </w:rPr>
              <w:t>6.4 Expected Outcomes</w:t>
            </w:r>
            <w:r>
              <w:rPr>
                <w:noProof/>
                <w:webHidden/>
              </w:rPr>
              <w:tab/>
            </w:r>
            <w:r>
              <w:rPr>
                <w:noProof/>
                <w:webHidden/>
              </w:rPr>
              <w:fldChar w:fldCharType="begin"/>
            </w:r>
            <w:r>
              <w:rPr>
                <w:noProof/>
                <w:webHidden/>
              </w:rPr>
              <w:instrText xml:space="preserve"> PAGEREF _Toc214641479 \h </w:instrText>
            </w:r>
            <w:r>
              <w:rPr>
                <w:noProof/>
                <w:webHidden/>
              </w:rPr>
            </w:r>
            <w:r>
              <w:rPr>
                <w:noProof/>
                <w:webHidden/>
              </w:rPr>
              <w:fldChar w:fldCharType="separate"/>
            </w:r>
            <w:r>
              <w:rPr>
                <w:noProof/>
                <w:webHidden/>
              </w:rPr>
              <w:t>27</w:t>
            </w:r>
            <w:r>
              <w:rPr>
                <w:noProof/>
                <w:webHidden/>
              </w:rPr>
              <w:fldChar w:fldCharType="end"/>
            </w:r>
          </w:hyperlink>
        </w:p>
        <w:p w14:paraId="7BC04E1D" w14:textId="097F9598" w:rsidR="000B6E56" w:rsidRDefault="000B6E56">
          <w:pPr>
            <w:pStyle w:val="TOC2"/>
            <w:tabs>
              <w:tab w:val="right" w:leader="dot" w:pos="9016"/>
            </w:tabs>
            <w:rPr>
              <w:noProof/>
              <w:kern w:val="2"/>
              <w:szCs w:val="24"/>
              <w:lang w:eastAsia="en-GB"/>
              <w14:ligatures w14:val="standardContextual"/>
            </w:rPr>
          </w:pPr>
          <w:hyperlink w:anchor="_Toc214641480" w:history="1">
            <w:r w:rsidRPr="00906F18">
              <w:rPr>
                <w:rStyle w:val="Hyperlink"/>
                <w:noProof/>
              </w:rPr>
              <w:t>6.5 Cross-Market Integration Outlook</w:t>
            </w:r>
            <w:r>
              <w:rPr>
                <w:noProof/>
                <w:webHidden/>
              </w:rPr>
              <w:tab/>
            </w:r>
            <w:r>
              <w:rPr>
                <w:noProof/>
                <w:webHidden/>
              </w:rPr>
              <w:fldChar w:fldCharType="begin"/>
            </w:r>
            <w:r>
              <w:rPr>
                <w:noProof/>
                <w:webHidden/>
              </w:rPr>
              <w:instrText xml:space="preserve"> PAGEREF _Toc214641480 \h </w:instrText>
            </w:r>
            <w:r>
              <w:rPr>
                <w:noProof/>
                <w:webHidden/>
              </w:rPr>
            </w:r>
            <w:r>
              <w:rPr>
                <w:noProof/>
                <w:webHidden/>
              </w:rPr>
              <w:fldChar w:fldCharType="separate"/>
            </w:r>
            <w:r>
              <w:rPr>
                <w:noProof/>
                <w:webHidden/>
              </w:rPr>
              <w:t>28</w:t>
            </w:r>
            <w:r>
              <w:rPr>
                <w:noProof/>
                <w:webHidden/>
              </w:rPr>
              <w:fldChar w:fldCharType="end"/>
            </w:r>
          </w:hyperlink>
        </w:p>
        <w:p w14:paraId="1B81B0EA" w14:textId="0A8AC1E7" w:rsidR="000B6E56" w:rsidRDefault="000B6E56">
          <w:pPr>
            <w:pStyle w:val="TOC1"/>
            <w:tabs>
              <w:tab w:val="right" w:leader="dot" w:pos="9016"/>
            </w:tabs>
            <w:rPr>
              <w:noProof/>
              <w:kern w:val="2"/>
              <w:szCs w:val="24"/>
              <w:lang w:eastAsia="en-GB"/>
              <w14:ligatures w14:val="standardContextual"/>
            </w:rPr>
          </w:pPr>
          <w:hyperlink w:anchor="_Toc214641481" w:history="1">
            <w:r w:rsidRPr="00906F18">
              <w:rPr>
                <w:rStyle w:val="Hyperlink"/>
                <w:noProof/>
              </w:rPr>
              <w:t>7. Conclusion and Strategic Outlook</w:t>
            </w:r>
            <w:r>
              <w:rPr>
                <w:noProof/>
                <w:webHidden/>
              </w:rPr>
              <w:tab/>
            </w:r>
            <w:r>
              <w:rPr>
                <w:noProof/>
                <w:webHidden/>
              </w:rPr>
              <w:fldChar w:fldCharType="begin"/>
            </w:r>
            <w:r>
              <w:rPr>
                <w:noProof/>
                <w:webHidden/>
              </w:rPr>
              <w:instrText xml:space="preserve"> PAGEREF _Toc214641481 \h </w:instrText>
            </w:r>
            <w:r>
              <w:rPr>
                <w:noProof/>
                <w:webHidden/>
              </w:rPr>
            </w:r>
            <w:r>
              <w:rPr>
                <w:noProof/>
                <w:webHidden/>
              </w:rPr>
              <w:fldChar w:fldCharType="separate"/>
            </w:r>
            <w:r>
              <w:rPr>
                <w:noProof/>
                <w:webHidden/>
              </w:rPr>
              <w:t>29</w:t>
            </w:r>
            <w:r>
              <w:rPr>
                <w:noProof/>
                <w:webHidden/>
              </w:rPr>
              <w:fldChar w:fldCharType="end"/>
            </w:r>
          </w:hyperlink>
        </w:p>
        <w:p w14:paraId="596CB695" w14:textId="382865B5" w:rsidR="000B6E56" w:rsidRDefault="000B6E56">
          <w:pPr>
            <w:pStyle w:val="TOC1"/>
            <w:tabs>
              <w:tab w:val="right" w:leader="dot" w:pos="9016"/>
            </w:tabs>
            <w:rPr>
              <w:noProof/>
              <w:kern w:val="2"/>
              <w:szCs w:val="24"/>
              <w:lang w:eastAsia="en-GB"/>
              <w14:ligatures w14:val="standardContextual"/>
            </w:rPr>
          </w:pPr>
          <w:hyperlink w:anchor="_Toc214641482" w:history="1">
            <w:r w:rsidRPr="00906F18">
              <w:rPr>
                <w:rStyle w:val="Hyperlink"/>
                <w:noProof/>
              </w:rPr>
              <w:t>8. References</w:t>
            </w:r>
            <w:r>
              <w:rPr>
                <w:noProof/>
                <w:webHidden/>
              </w:rPr>
              <w:tab/>
            </w:r>
            <w:r>
              <w:rPr>
                <w:noProof/>
                <w:webHidden/>
              </w:rPr>
              <w:fldChar w:fldCharType="begin"/>
            </w:r>
            <w:r>
              <w:rPr>
                <w:noProof/>
                <w:webHidden/>
              </w:rPr>
              <w:instrText xml:space="preserve"> PAGEREF _Toc214641482 \h </w:instrText>
            </w:r>
            <w:r>
              <w:rPr>
                <w:noProof/>
                <w:webHidden/>
              </w:rPr>
            </w:r>
            <w:r>
              <w:rPr>
                <w:noProof/>
                <w:webHidden/>
              </w:rPr>
              <w:fldChar w:fldCharType="separate"/>
            </w:r>
            <w:r>
              <w:rPr>
                <w:noProof/>
                <w:webHidden/>
              </w:rPr>
              <w:t>30</w:t>
            </w:r>
            <w:r>
              <w:rPr>
                <w:noProof/>
                <w:webHidden/>
              </w:rPr>
              <w:fldChar w:fldCharType="end"/>
            </w:r>
          </w:hyperlink>
        </w:p>
        <w:p w14:paraId="5D3FEE88" w14:textId="3AA54719" w:rsidR="00E5598B" w:rsidRDefault="00E5598B">
          <w:r>
            <w:rPr>
              <w:b/>
              <w:bCs/>
              <w:noProof/>
            </w:rPr>
            <w:fldChar w:fldCharType="end"/>
          </w:r>
        </w:p>
      </w:sdtContent>
    </w:sdt>
    <w:p w14:paraId="4F47724D" w14:textId="77777777" w:rsidR="00E5598B" w:rsidRDefault="00E5598B">
      <w:pPr>
        <w:rPr>
          <w:rFonts w:eastAsiaTheme="majorEastAsia"/>
          <w:szCs w:val="24"/>
        </w:rPr>
      </w:pPr>
      <w:r>
        <w:rPr>
          <w:rFonts w:eastAsiaTheme="majorEastAsia"/>
          <w:szCs w:val="24"/>
        </w:rPr>
        <w:br w:type="page"/>
      </w:r>
    </w:p>
    <w:p w14:paraId="1BF97C31" w14:textId="213F215B" w:rsidR="00D16EDA" w:rsidRDefault="00E5598B" w:rsidP="00E5598B">
      <w:pPr>
        <w:pStyle w:val="Heading1"/>
        <w:numPr>
          <w:ilvl w:val="0"/>
          <w:numId w:val="1"/>
        </w:numPr>
      </w:pPr>
      <w:bookmarkStart w:id="1" w:name="_Toc214641453"/>
      <w:r>
        <w:lastRenderedPageBreak/>
        <w:t>Introduction</w:t>
      </w:r>
      <w:bookmarkEnd w:id="1"/>
      <w:r>
        <w:t xml:space="preserve"> </w:t>
      </w:r>
    </w:p>
    <w:p w14:paraId="0454B453" w14:textId="77777777" w:rsidR="00E5598B" w:rsidRPr="00E5598B" w:rsidRDefault="00E5598B" w:rsidP="00E5598B"/>
    <w:p w14:paraId="7C903CA9" w14:textId="77777777" w:rsidR="00B42F28" w:rsidRDefault="00B42F28" w:rsidP="00B42F28">
      <w:r>
        <w:t>This international business consultancy report provides a comprehensive analysis of BP plc's strategic expansion into the Indian energy market. BP qualifies as a multinational corporation (MNC) through its operations in over 60 countries, including multiple emerging economies (BP, 2024). The report examines the benefits and challenges of BP's global operations, with particular focus on its value chain activities and market entry modes.</w:t>
      </w:r>
    </w:p>
    <w:p w14:paraId="44742478" w14:textId="77777777" w:rsidR="00B42F28" w:rsidRDefault="00B42F28" w:rsidP="00B42F28"/>
    <w:p w14:paraId="36A7D9D9" w14:textId="77777777" w:rsidR="00B42F28" w:rsidRDefault="00B42F28" w:rsidP="00B42F28">
      <w:r>
        <w:t>Using the OLI paradigm (Dunning, 1988), the analysis critically evaluates how ownership advantages, location-specific factors, and internalisation considerations shape BP's market entry strategy in India. The report further assesses how cultural differences between BP's home country (United Kingdom) and the emerging target market (India) impact both market entry approach and operational success potential (Hofstede, 2011).</w:t>
      </w:r>
    </w:p>
    <w:p w14:paraId="605D33E5" w14:textId="77777777" w:rsidR="00B42F28" w:rsidRDefault="00B42F28" w:rsidP="00B42F28"/>
    <w:p w14:paraId="1CDB6EAB" w14:textId="729CBEC4" w:rsidR="00E5598B" w:rsidRPr="00E5598B" w:rsidRDefault="00B42F28" w:rsidP="00B42F28">
      <w:r>
        <w:t>Based on this analysis, three major adjustments to BP's standard operating procedures are recommended to enhance competitiveness in the Indian market. The conclusion synthesizes key findings and strategic implications for BP's continued international expansion in emerging economies, contextualised against alternative markets such as Brazil and Vietnam (World Bank, 2024).</w:t>
      </w:r>
    </w:p>
    <w:p w14:paraId="638ADC9F" w14:textId="77777777" w:rsidR="00E5598B" w:rsidRPr="00E5598B" w:rsidRDefault="00E5598B" w:rsidP="00E5598B"/>
    <w:p w14:paraId="3D54AF8D" w14:textId="77777777" w:rsidR="00E5598B" w:rsidRPr="00E5598B" w:rsidRDefault="00E5598B" w:rsidP="00E5598B"/>
    <w:p w14:paraId="4098DF21" w14:textId="77777777" w:rsidR="00E5598B" w:rsidRPr="00E5598B" w:rsidRDefault="00E5598B" w:rsidP="00E5598B"/>
    <w:p w14:paraId="0AD1284B" w14:textId="77777777" w:rsidR="00E5598B" w:rsidRPr="00E5598B" w:rsidRDefault="00E5598B" w:rsidP="00E5598B"/>
    <w:p w14:paraId="43298CA3" w14:textId="77777777" w:rsidR="00E5598B" w:rsidRPr="00E5598B" w:rsidRDefault="00E5598B" w:rsidP="00E5598B"/>
    <w:p w14:paraId="59500217" w14:textId="77777777" w:rsidR="00E5598B" w:rsidRPr="00E5598B" w:rsidRDefault="00E5598B" w:rsidP="00E5598B"/>
    <w:p w14:paraId="09AD8830" w14:textId="77777777" w:rsidR="00E5598B" w:rsidRDefault="00E5598B" w:rsidP="00E5598B">
      <w:pPr>
        <w:rPr>
          <w:rFonts w:asciiTheme="majorHAnsi" w:eastAsiaTheme="majorEastAsia" w:hAnsiTheme="majorHAnsi" w:cstheme="majorBidi"/>
          <w:color w:val="3E762A" w:themeColor="accent1" w:themeShade="BF"/>
          <w:sz w:val="36"/>
          <w:szCs w:val="36"/>
        </w:rPr>
      </w:pPr>
    </w:p>
    <w:p w14:paraId="11881A1A" w14:textId="1740E583" w:rsidR="00E5598B" w:rsidRDefault="00E5598B" w:rsidP="00E5598B">
      <w:pPr>
        <w:ind w:firstLine="720"/>
      </w:pPr>
    </w:p>
    <w:p w14:paraId="2FB19979" w14:textId="77777777" w:rsidR="00E5598B" w:rsidRDefault="00E5598B">
      <w:r>
        <w:br w:type="page"/>
      </w:r>
    </w:p>
    <w:p w14:paraId="0A772130" w14:textId="1BA82CE0" w:rsidR="00E5598B" w:rsidRDefault="00E5598B" w:rsidP="00E5598B">
      <w:pPr>
        <w:pStyle w:val="Heading1"/>
      </w:pPr>
      <w:bookmarkStart w:id="2" w:name="_Toc214641454"/>
      <w:r w:rsidRPr="00E5598B">
        <w:lastRenderedPageBreak/>
        <w:t>2. Benefits and Challenges of International Operations</w:t>
      </w:r>
      <w:bookmarkEnd w:id="2"/>
      <w:r w:rsidRPr="00E5598B">
        <w:t xml:space="preserve"> </w:t>
      </w:r>
    </w:p>
    <w:p w14:paraId="3CEA6357" w14:textId="77777777" w:rsidR="00E5598B" w:rsidRPr="00E5598B" w:rsidRDefault="00E5598B" w:rsidP="00E5598B"/>
    <w:p w14:paraId="06872267" w14:textId="287DAA09" w:rsidR="00E5598B" w:rsidRDefault="00E5598B" w:rsidP="00E5598B">
      <w:pPr>
        <w:pStyle w:val="Heading2"/>
      </w:pPr>
      <w:bookmarkStart w:id="3" w:name="_Toc214641455"/>
      <w:r w:rsidRPr="00E5598B">
        <w:t>2.1 BP as a Multinational Corporation</w:t>
      </w:r>
      <w:bookmarkEnd w:id="3"/>
    </w:p>
    <w:p w14:paraId="4E5DF6B4" w14:textId="77777777" w:rsidR="009D2996" w:rsidRDefault="009D2996" w:rsidP="009D2996"/>
    <w:p w14:paraId="60608A97" w14:textId="3B363F40" w:rsidR="009D2996" w:rsidRDefault="00CA160F" w:rsidP="009D2996">
      <w:r w:rsidRPr="00CA160F">
        <w:t>BP is one of the largest multinational energy firms, operating across Europe, North America, Asia, Africa, and the Middle East. It spans the full energy value chain, from exploration to retail (BP, 2024). According to Dunning (1993), an MNC controls value-generating operations in multiple countries—criteria BP meets via its global subsidiaries, joint ventures, and alliances. This network enables geographic diversification and risk mitigation (Rugman &amp; Collinson, 2020).</w:t>
      </w:r>
      <w:r w:rsidRPr="00CA160F">
        <w:br/>
        <w:t>BP’s strategy balances fossil fuel operations with growing investment in renewables. Its 2020 rebranding as an “integrated energy company” reflects a shift toward sustainability (BP, 2023).</w:t>
      </w:r>
    </w:p>
    <w:p w14:paraId="52E39EFF" w14:textId="77777777" w:rsidR="00C7435B" w:rsidRDefault="00C7435B" w:rsidP="009D2996"/>
    <w:p w14:paraId="162098B3" w14:textId="17A92349" w:rsidR="00C7435B" w:rsidRDefault="00C7435B" w:rsidP="009D2996">
      <w:r w:rsidRPr="00C7435B">
        <w:t xml:space="preserve">Figure </w:t>
      </w:r>
      <w:r w:rsidR="00876414">
        <w:t>1</w:t>
      </w:r>
      <w:r w:rsidRPr="00C7435B">
        <w:t>: Strategic Operations Map – BP’s Entry Modes Across Key Markets</w:t>
      </w:r>
    </w:p>
    <w:p w14:paraId="0E11E3C9" w14:textId="52A3991C" w:rsidR="00DC4747" w:rsidRDefault="00CD4BD0" w:rsidP="009D2996">
      <w:pPr>
        <w:rPr>
          <w:noProof/>
        </w:rPr>
      </w:pPr>
      <w:r>
        <w:rPr>
          <w:noProof/>
        </w:rPr>
        <w:drawing>
          <wp:inline distT="0" distB="0" distL="0" distR="0" wp14:anchorId="6935A069" wp14:editId="10AB15D7">
            <wp:extent cx="5731510" cy="3187065"/>
            <wp:effectExtent l="0" t="0" r="2540" b="0"/>
            <wp:docPr id="787813697" name="Picture 3" descr="A map of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13697" name="Picture 3" descr="A map of the worl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87065"/>
                    </a:xfrm>
                    <a:prstGeom prst="rect">
                      <a:avLst/>
                    </a:prstGeom>
                  </pic:spPr>
                </pic:pic>
              </a:graphicData>
            </a:graphic>
          </wp:inline>
        </w:drawing>
      </w:r>
    </w:p>
    <w:p w14:paraId="52D79686" w14:textId="133DB2F8" w:rsidR="00FA6BC3" w:rsidRPr="00FA6BC3" w:rsidRDefault="00187608" w:rsidP="009D2996">
      <w:pPr>
        <w:rPr>
          <w:sz w:val="18"/>
          <w:szCs w:val="18"/>
        </w:rPr>
      </w:pPr>
      <w:r w:rsidRPr="00187608">
        <w:rPr>
          <w:sz w:val="18"/>
          <w:szCs w:val="18"/>
        </w:rPr>
        <w:t>Developed by the author based on BP (2024) and World Bank (2024).</w:t>
      </w:r>
    </w:p>
    <w:p w14:paraId="7EB5DD5F" w14:textId="77777777" w:rsidR="008D6D35" w:rsidRDefault="008D6D35" w:rsidP="009D2996"/>
    <w:p w14:paraId="20170F9E" w14:textId="535FC085" w:rsidR="008D6D35" w:rsidRDefault="008D6D35" w:rsidP="009D2996">
      <w:r w:rsidRPr="008D6D35">
        <w:t>The map illustrates BP’s differentiated market entry strategies. The United Kingdom (blue) serves as the global headquarters. India (green) represents the primary growth market entered via Joint Venture. Brazil and Vietnam (orange) serve as comparative case studies utilizing Acquisition and Trading strategies respectively, adapting to local institutional contexts</w:t>
      </w:r>
    </w:p>
    <w:p w14:paraId="468B2D48" w14:textId="77777777" w:rsidR="008D6D35" w:rsidRDefault="008D6D35" w:rsidP="009D2996"/>
    <w:p w14:paraId="4F3372AE" w14:textId="77777777" w:rsidR="00ED4858" w:rsidRPr="009D2996" w:rsidRDefault="00ED4858" w:rsidP="009D2996"/>
    <w:p w14:paraId="620F013A" w14:textId="621B5A72" w:rsidR="00E5598B" w:rsidRDefault="00E5598B" w:rsidP="00E5598B">
      <w:pPr>
        <w:pStyle w:val="Heading2"/>
      </w:pPr>
      <w:bookmarkStart w:id="4" w:name="_Toc214641456"/>
      <w:r w:rsidRPr="00E5598B">
        <w:lastRenderedPageBreak/>
        <w:t>2.2 Global Value Chain Overview</w:t>
      </w:r>
      <w:bookmarkEnd w:id="4"/>
    </w:p>
    <w:p w14:paraId="2DC03174" w14:textId="77777777" w:rsidR="00E5598B" w:rsidRDefault="00E5598B" w:rsidP="00E5598B"/>
    <w:p w14:paraId="41A8B50E" w14:textId="77777777" w:rsidR="007F2243" w:rsidRDefault="007F2243" w:rsidP="007F2243">
      <w:r w:rsidRPr="007F2243">
        <w:t>BP’s value chain demonstrates the integration of upstream, midstream, and downstream activities, supported by innovation, logistics and financial management.</w:t>
      </w:r>
    </w:p>
    <w:p w14:paraId="72DDBE18" w14:textId="77777777" w:rsidR="00544F7D" w:rsidRPr="007F2243" w:rsidRDefault="00544F7D" w:rsidP="007F2243"/>
    <w:p w14:paraId="0036A398" w14:textId="62A296B5" w:rsidR="007F2243" w:rsidRPr="007F2243" w:rsidRDefault="00436887" w:rsidP="007F2243">
      <w:r>
        <w:t>Table</w:t>
      </w:r>
      <w:r w:rsidR="007F2243" w:rsidRPr="007F2243">
        <w:t xml:space="preserve"> 1: BP’s Global Value Chain</w:t>
      </w:r>
    </w:p>
    <w:tbl>
      <w:tblPr>
        <w:tblStyle w:val="GridTable6Colorful-Accent2"/>
        <w:tblW w:w="0" w:type="auto"/>
        <w:tblLook w:val="04A0" w:firstRow="1" w:lastRow="0" w:firstColumn="1" w:lastColumn="0" w:noHBand="0" w:noVBand="1"/>
      </w:tblPr>
      <w:tblGrid>
        <w:gridCol w:w="2427"/>
        <w:gridCol w:w="3899"/>
        <w:gridCol w:w="2690"/>
      </w:tblGrid>
      <w:tr w:rsidR="003B49A3" w:rsidRPr="003B49A3" w14:paraId="35E487AA" w14:textId="77777777" w:rsidTr="003B49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5BD82" w14:textId="77777777" w:rsidR="003B49A3" w:rsidRPr="003B49A3" w:rsidRDefault="003B49A3" w:rsidP="003B49A3">
            <w:pPr>
              <w:spacing w:after="120" w:line="264" w:lineRule="auto"/>
            </w:pPr>
            <w:r w:rsidRPr="003B49A3">
              <w:t>Segment</w:t>
            </w:r>
          </w:p>
        </w:tc>
        <w:tc>
          <w:tcPr>
            <w:tcW w:w="0" w:type="auto"/>
            <w:hideMark/>
          </w:tcPr>
          <w:p w14:paraId="32C40CC1" w14:textId="77777777" w:rsidR="003B49A3" w:rsidRPr="003B49A3" w:rsidRDefault="003B49A3" w:rsidP="003B49A3">
            <w:pPr>
              <w:spacing w:after="120" w:line="264" w:lineRule="auto"/>
              <w:cnfStyle w:val="100000000000" w:firstRow="1" w:lastRow="0" w:firstColumn="0" w:lastColumn="0" w:oddVBand="0" w:evenVBand="0" w:oddHBand="0" w:evenHBand="0" w:firstRowFirstColumn="0" w:firstRowLastColumn="0" w:lastRowFirstColumn="0" w:lastRowLastColumn="0"/>
            </w:pPr>
            <w:r w:rsidRPr="003B49A3">
              <w:t>Activities</w:t>
            </w:r>
          </w:p>
        </w:tc>
        <w:tc>
          <w:tcPr>
            <w:tcW w:w="0" w:type="auto"/>
            <w:hideMark/>
          </w:tcPr>
          <w:p w14:paraId="262A0A94" w14:textId="77777777" w:rsidR="003B49A3" w:rsidRPr="003B49A3" w:rsidRDefault="003B49A3" w:rsidP="003B49A3">
            <w:pPr>
              <w:spacing w:after="120" w:line="264" w:lineRule="auto"/>
              <w:cnfStyle w:val="100000000000" w:firstRow="1" w:lastRow="0" w:firstColumn="0" w:lastColumn="0" w:oddVBand="0" w:evenVBand="0" w:oddHBand="0" w:evenHBand="0" w:firstRowFirstColumn="0" w:firstRowLastColumn="0" w:lastRowFirstColumn="0" w:lastRowLastColumn="0"/>
            </w:pPr>
            <w:r w:rsidRPr="003B49A3">
              <w:t>Key Regions</w:t>
            </w:r>
          </w:p>
        </w:tc>
      </w:tr>
      <w:tr w:rsidR="003B49A3" w:rsidRPr="003B49A3" w14:paraId="6E830915" w14:textId="77777777" w:rsidTr="003B4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354B91" w14:textId="77777777" w:rsidR="003B49A3" w:rsidRPr="003B49A3" w:rsidRDefault="003B49A3" w:rsidP="003B49A3">
            <w:pPr>
              <w:spacing w:after="120" w:line="264" w:lineRule="auto"/>
            </w:pPr>
            <w:r w:rsidRPr="003B49A3">
              <w:t>Upstream</w:t>
            </w:r>
          </w:p>
        </w:tc>
        <w:tc>
          <w:tcPr>
            <w:tcW w:w="0" w:type="auto"/>
            <w:hideMark/>
          </w:tcPr>
          <w:p w14:paraId="66A0C61A"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Exploration and production of oil and gas</w:t>
            </w:r>
          </w:p>
        </w:tc>
        <w:tc>
          <w:tcPr>
            <w:tcW w:w="0" w:type="auto"/>
            <w:hideMark/>
          </w:tcPr>
          <w:p w14:paraId="40DCB7C6"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North Sea, Gulf of Mexico, Middle East</w:t>
            </w:r>
          </w:p>
        </w:tc>
      </w:tr>
      <w:tr w:rsidR="003B49A3" w:rsidRPr="003B49A3" w14:paraId="4FBAFE61" w14:textId="77777777" w:rsidTr="003B49A3">
        <w:tc>
          <w:tcPr>
            <w:cnfStyle w:val="001000000000" w:firstRow="0" w:lastRow="0" w:firstColumn="1" w:lastColumn="0" w:oddVBand="0" w:evenVBand="0" w:oddHBand="0" w:evenHBand="0" w:firstRowFirstColumn="0" w:firstRowLastColumn="0" w:lastRowFirstColumn="0" w:lastRowLastColumn="0"/>
            <w:tcW w:w="0" w:type="auto"/>
            <w:hideMark/>
          </w:tcPr>
          <w:p w14:paraId="340068E2" w14:textId="77777777" w:rsidR="003B49A3" w:rsidRPr="003B49A3" w:rsidRDefault="003B49A3" w:rsidP="003B49A3">
            <w:pPr>
              <w:spacing w:after="120" w:line="264" w:lineRule="auto"/>
            </w:pPr>
            <w:r w:rsidRPr="003B49A3">
              <w:t>Midstream</w:t>
            </w:r>
          </w:p>
        </w:tc>
        <w:tc>
          <w:tcPr>
            <w:tcW w:w="0" w:type="auto"/>
            <w:hideMark/>
          </w:tcPr>
          <w:p w14:paraId="0EC4827E"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Transportation, storage and trading of crude oil and LNG</w:t>
            </w:r>
          </w:p>
        </w:tc>
        <w:tc>
          <w:tcPr>
            <w:tcW w:w="0" w:type="auto"/>
            <w:hideMark/>
          </w:tcPr>
          <w:p w14:paraId="23CECDD4"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Global logistics hubs</w:t>
            </w:r>
          </w:p>
        </w:tc>
      </w:tr>
      <w:tr w:rsidR="003B49A3" w:rsidRPr="003B49A3" w14:paraId="21EDDC09" w14:textId="77777777" w:rsidTr="003B4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BDAA33" w14:textId="77777777" w:rsidR="003B49A3" w:rsidRPr="003B49A3" w:rsidRDefault="003B49A3" w:rsidP="003B49A3">
            <w:pPr>
              <w:spacing w:after="120" w:line="264" w:lineRule="auto"/>
            </w:pPr>
            <w:r w:rsidRPr="003B49A3">
              <w:t>Downstream</w:t>
            </w:r>
          </w:p>
        </w:tc>
        <w:tc>
          <w:tcPr>
            <w:tcW w:w="0" w:type="auto"/>
            <w:hideMark/>
          </w:tcPr>
          <w:p w14:paraId="2E375400"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Refining, marketing and retail (Castrol, BP-branded fuel)</w:t>
            </w:r>
          </w:p>
        </w:tc>
        <w:tc>
          <w:tcPr>
            <w:tcW w:w="0" w:type="auto"/>
            <w:hideMark/>
          </w:tcPr>
          <w:p w14:paraId="1B9E45F0" w14:textId="77777777" w:rsidR="003B49A3" w:rsidRPr="003B49A3" w:rsidRDefault="003B49A3" w:rsidP="003B49A3">
            <w:pPr>
              <w:spacing w:after="120" w:line="264" w:lineRule="auto"/>
              <w:cnfStyle w:val="000000100000" w:firstRow="0" w:lastRow="0" w:firstColumn="0" w:lastColumn="0" w:oddVBand="0" w:evenVBand="0" w:oddHBand="1" w:evenHBand="0" w:firstRowFirstColumn="0" w:firstRowLastColumn="0" w:lastRowFirstColumn="0" w:lastRowLastColumn="0"/>
            </w:pPr>
            <w:r w:rsidRPr="003B49A3">
              <w:t>Europe, Asia-Pacific, Americas</w:t>
            </w:r>
          </w:p>
        </w:tc>
      </w:tr>
      <w:tr w:rsidR="003B49A3" w:rsidRPr="003B49A3" w14:paraId="639759E4" w14:textId="77777777" w:rsidTr="003B49A3">
        <w:tc>
          <w:tcPr>
            <w:cnfStyle w:val="001000000000" w:firstRow="0" w:lastRow="0" w:firstColumn="1" w:lastColumn="0" w:oddVBand="0" w:evenVBand="0" w:oddHBand="0" w:evenHBand="0" w:firstRowFirstColumn="0" w:firstRowLastColumn="0" w:lastRowFirstColumn="0" w:lastRowLastColumn="0"/>
            <w:tcW w:w="0" w:type="auto"/>
            <w:hideMark/>
          </w:tcPr>
          <w:p w14:paraId="3D1F0290" w14:textId="77777777" w:rsidR="003B49A3" w:rsidRPr="003B49A3" w:rsidRDefault="003B49A3" w:rsidP="003B49A3">
            <w:pPr>
              <w:spacing w:after="120" w:line="264" w:lineRule="auto"/>
            </w:pPr>
            <w:r w:rsidRPr="003B49A3">
              <w:t>Low Carbon &amp; Renewables</w:t>
            </w:r>
          </w:p>
        </w:tc>
        <w:tc>
          <w:tcPr>
            <w:tcW w:w="0" w:type="auto"/>
            <w:hideMark/>
          </w:tcPr>
          <w:p w14:paraId="69B2181D"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Investments in solar, wind, bioenergy, hydrogen</w:t>
            </w:r>
          </w:p>
        </w:tc>
        <w:tc>
          <w:tcPr>
            <w:tcW w:w="0" w:type="auto"/>
            <w:hideMark/>
          </w:tcPr>
          <w:p w14:paraId="70540D83" w14:textId="77777777" w:rsidR="003B49A3" w:rsidRPr="003B49A3" w:rsidRDefault="003B49A3" w:rsidP="003B49A3">
            <w:pPr>
              <w:spacing w:after="120" w:line="264" w:lineRule="auto"/>
              <w:cnfStyle w:val="000000000000" w:firstRow="0" w:lastRow="0" w:firstColumn="0" w:lastColumn="0" w:oddVBand="0" w:evenVBand="0" w:oddHBand="0" w:evenHBand="0" w:firstRowFirstColumn="0" w:firstRowLastColumn="0" w:lastRowFirstColumn="0" w:lastRowLastColumn="0"/>
            </w:pPr>
            <w:r w:rsidRPr="003B49A3">
              <w:t>UK, India, US, Australia</w:t>
            </w:r>
          </w:p>
        </w:tc>
      </w:tr>
    </w:tbl>
    <w:p w14:paraId="19EEAA9B" w14:textId="251C5CFB" w:rsidR="00E5598B" w:rsidRDefault="000A57DF" w:rsidP="00E5598B">
      <w:pPr>
        <w:rPr>
          <w:sz w:val="18"/>
          <w:szCs w:val="18"/>
          <w:lang w:val="bg-BG"/>
        </w:rPr>
      </w:pPr>
      <w:r w:rsidRPr="004A4E2A">
        <w:rPr>
          <w:sz w:val="18"/>
          <w:szCs w:val="18"/>
        </w:rPr>
        <w:t xml:space="preserve">Source: Adapted from BP Annual Report, </w:t>
      </w:r>
      <w:r w:rsidR="00260242" w:rsidRPr="004A4E2A">
        <w:rPr>
          <w:sz w:val="18"/>
          <w:szCs w:val="18"/>
        </w:rPr>
        <w:t>(</w:t>
      </w:r>
      <w:r w:rsidRPr="004A4E2A">
        <w:rPr>
          <w:sz w:val="18"/>
          <w:szCs w:val="18"/>
        </w:rPr>
        <w:t>2024)</w:t>
      </w:r>
    </w:p>
    <w:p w14:paraId="30C5926D" w14:textId="77777777" w:rsidR="009233B0" w:rsidRPr="009233B0" w:rsidRDefault="009233B0" w:rsidP="00E5598B">
      <w:pPr>
        <w:rPr>
          <w:sz w:val="18"/>
          <w:szCs w:val="18"/>
          <w:lang w:val="bg-BG"/>
        </w:rPr>
      </w:pPr>
    </w:p>
    <w:p w14:paraId="3570767C" w14:textId="77777777" w:rsidR="00E5598B" w:rsidRDefault="00E5598B" w:rsidP="00E5598B"/>
    <w:p w14:paraId="247B479B" w14:textId="07B7BA8F" w:rsidR="00E5598B" w:rsidRDefault="008055E2" w:rsidP="00E5598B">
      <w:r w:rsidRPr="008055E2">
        <w:t>BP’s integrated operations enable economies of scale and technological synergies. According to Johnson and Turner (2021), firms with vertically integrated value chains can optimise resource allocation and reduce transaction costs. In BP’s case, global integration facilitates coordination of supply and innovation between regional hubs, enhancing competitiveness.</w:t>
      </w:r>
    </w:p>
    <w:p w14:paraId="182FEB16" w14:textId="77777777" w:rsidR="004A6939" w:rsidRDefault="004A6939" w:rsidP="00E5598B"/>
    <w:p w14:paraId="7E4A114F" w14:textId="3A11BA40" w:rsidR="00E5598B" w:rsidRDefault="00E5598B" w:rsidP="00E5598B">
      <w:pPr>
        <w:pStyle w:val="Heading2"/>
      </w:pPr>
      <w:bookmarkStart w:id="5" w:name="_Toc214641457"/>
      <w:r w:rsidRPr="00E5598B">
        <w:t>2.3 Entry Modes into International Markets</w:t>
      </w:r>
      <w:bookmarkEnd w:id="5"/>
    </w:p>
    <w:p w14:paraId="75B74AD7" w14:textId="77777777" w:rsidR="00E5598B" w:rsidRDefault="00E5598B" w:rsidP="00E5598B"/>
    <w:p w14:paraId="6E24113B" w14:textId="77777777" w:rsidR="00993ACF" w:rsidRDefault="00993ACF" w:rsidP="00593482">
      <w:r w:rsidRPr="00993ACF">
        <w:t>BP employs a combination of entry modes tailored to the regulatory and economic conditions of each market.</w:t>
      </w:r>
      <w:r w:rsidRPr="00993ACF">
        <w:br/>
        <w:t>The primary strategies include joint ventures, strategic alliances, and wholly owned subsidiaries.</w:t>
      </w:r>
    </w:p>
    <w:p w14:paraId="187BD0A8" w14:textId="77777777" w:rsidR="00544F7D" w:rsidRDefault="00544F7D" w:rsidP="00593482"/>
    <w:p w14:paraId="3602BAEA" w14:textId="77777777" w:rsidR="00544F7D" w:rsidRDefault="00544F7D" w:rsidP="00593482"/>
    <w:p w14:paraId="48ECEC55" w14:textId="77777777" w:rsidR="00544F7D" w:rsidRDefault="00544F7D" w:rsidP="00593482"/>
    <w:p w14:paraId="00D9646F" w14:textId="77777777" w:rsidR="00544F7D" w:rsidRDefault="00544F7D" w:rsidP="00593482"/>
    <w:p w14:paraId="12B60904" w14:textId="77777777" w:rsidR="00544F7D" w:rsidRDefault="00544F7D" w:rsidP="00593482"/>
    <w:p w14:paraId="33904833" w14:textId="77777777" w:rsidR="00544F7D" w:rsidRDefault="00544F7D" w:rsidP="00593482"/>
    <w:p w14:paraId="35B6F590" w14:textId="77777777" w:rsidR="00544F7D" w:rsidRPr="00993ACF" w:rsidRDefault="00544F7D" w:rsidP="00593482"/>
    <w:p w14:paraId="78B5F679" w14:textId="1120EE31" w:rsidR="00993ACF" w:rsidRPr="00993ACF" w:rsidRDefault="00993ACF" w:rsidP="00993ACF">
      <w:r w:rsidRPr="00993ACF">
        <w:lastRenderedPageBreak/>
        <w:t xml:space="preserve">Table </w:t>
      </w:r>
      <w:r w:rsidR="002A24C2">
        <w:t>2</w:t>
      </w:r>
      <w:r w:rsidRPr="00993ACF">
        <w:t xml:space="preserve">: </w:t>
      </w:r>
      <w:r w:rsidR="00B41EE8" w:rsidRPr="00B41EE8">
        <w:t>BP's Market Entry Mode Adaptation Across Emerging Economies</w:t>
      </w:r>
    </w:p>
    <w:tbl>
      <w:tblPr>
        <w:tblStyle w:val="GridTable5Dark-Accent2"/>
        <w:tblW w:w="0" w:type="auto"/>
        <w:tblLook w:val="04A0" w:firstRow="1" w:lastRow="0" w:firstColumn="1" w:lastColumn="0" w:noHBand="0" w:noVBand="1"/>
      </w:tblPr>
      <w:tblGrid>
        <w:gridCol w:w="1150"/>
        <w:gridCol w:w="2163"/>
        <w:gridCol w:w="3261"/>
        <w:gridCol w:w="2442"/>
      </w:tblGrid>
      <w:tr w:rsidR="00460659" w:rsidRPr="00993ACF" w14:paraId="7D95CE23" w14:textId="77777777" w:rsidTr="000D65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53F97" w14:textId="567D3596" w:rsidR="00460659" w:rsidRPr="00993ACF" w:rsidRDefault="00460659" w:rsidP="00460659">
            <w:pPr>
              <w:spacing w:after="120" w:line="264" w:lineRule="auto"/>
            </w:pPr>
            <w:r w:rsidRPr="00F7379E">
              <w:t>Country</w:t>
            </w:r>
          </w:p>
        </w:tc>
        <w:tc>
          <w:tcPr>
            <w:tcW w:w="0" w:type="auto"/>
            <w:hideMark/>
          </w:tcPr>
          <w:p w14:paraId="05E53982" w14:textId="19F6229F"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Primary Entry Mode</w:t>
            </w:r>
          </w:p>
        </w:tc>
        <w:tc>
          <w:tcPr>
            <w:tcW w:w="0" w:type="auto"/>
            <w:hideMark/>
          </w:tcPr>
          <w:p w14:paraId="45DBE5CD" w14:textId="5C29E289"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Strategic Rationale</w:t>
            </w:r>
          </w:p>
        </w:tc>
        <w:tc>
          <w:tcPr>
            <w:tcW w:w="0" w:type="auto"/>
            <w:hideMark/>
          </w:tcPr>
          <w:p w14:paraId="200BBE72" w14:textId="5401C357" w:rsidR="00460659" w:rsidRPr="00993ACF" w:rsidRDefault="00460659" w:rsidP="00460659">
            <w:pPr>
              <w:spacing w:after="120" w:line="264" w:lineRule="auto"/>
              <w:cnfStyle w:val="100000000000" w:firstRow="1" w:lastRow="0" w:firstColumn="0" w:lastColumn="0" w:oddVBand="0" w:evenVBand="0" w:oddHBand="0" w:evenHBand="0" w:firstRowFirstColumn="0" w:firstRowLastColumn="0" w:lastRowFirstColumn="0" w:lastRowLastColumn="0"/>
            </w:pPr>
            <w:r w:rsidRPr="00F7379E">
              <w:t>Scale of Operations</w:t>
            </w:r>
          </w:p>
        </w:tc>
      </w:tr>
      <w:tr w:rsidR="00460659" w:rsidRPr="00993ACF" w14:paraId="423BBAE9" w14:textId="77777777" w:rsidTr="000D6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1213CA" w14:textId="0AF234B1" w:rsidR="00460659" w:rsidRPr="00993ACF" w:rsidRDefault="00460659" w:rsidP="00460659">
            <w:pPr>
              <w:spacing w:after="120" w:line="264" w:lineRule="auto"/>
            </w:pPr>
            <w:r w:rsidRPr="00F7379E">
              <w:t>India</w:t>
            </w:r>
          </w:p>
        </w:tc>
        <w:tc>
          <w:tcPr>
            <w:tcW w:w="0" w:type="auto"/>
            <w:hideMark/>
          </w:tcPr>
          <w:p w14:paraId="0B8E2EFD" w14:textId="015D96BA"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Joint Venture (Jio-bp)</w:t>
            </w:r>
          </w:p>
        </w:tc>
        <w:tc>
          <w:tcPr>
            <w:tcW w:w="0" w:type="auto"/>
            <w:hideMark/>
          </w:tcPr>
          <w:p w14:paraId="68AD4419" w14:textId="10082B5E"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Leverage local partner's market access, distribution network, and political influence</w:t>
            </w:r>
          </w:p>
        </w:tc>
        <w:tc>
          <w:tcPr>
            <w:tcW w:w="0" w:type="auto"/>
            <w:hideMark/>
          </w:tcPr>
          <w:p w14:paraId="5A1A6905" w14:textId="21B34A3B"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1,500+ retail stations; growing EV charging network (BP, 2023)</w:t>
            </w:r>
          </w:p>
        </w:tc>
      </w:tr>
      <w:tr w:rsidR="00460659" w:rsidRPr="00993ACF" w14:paraId="28EB84F5" w14:textId="77777777" w:rsidTr="000D659E">
        <w:tc>
          <w:tcPr>
            <w:cnfStyle w:val="001000000000" w:firstRow="0" w:lastRow="0" w:firstColumn="1" w:lastColumn="0" w:oddVBand="0" w:evenVBand="0" w:oddHBand="0" w:evenHBand="0" w:firstRowFirstColumn="0" w:firstRowLastColumn="0" w:lastRowFirstColumn="0" w:lastRowLastColumn="0"/>
            <w:tcW w:w="0" w:type="auto"/>
            <w:hideMark/>
          </w:tcPr>
          <w:p w14:paraId="087E4B2C" w14:textId="2E1F75BB" w:rsidR="00460659" w:rsidRPr="00993ACF" w:rsidRDefault="00460659" w:rsidP="00460659">
            <w:pPr>
              <w:spacing w:after="120" w:line="264" w:lineRule="auto"/>
            </w:pPr>
            <w:r w:rsidRPr="00F7379E">
              <w:t>Brazil</w:t>
            </w:r>
          </w:p>
        </w:tc>
        <w:tc>
          <w:tcPr>
            <w:tcW w:w="0" w:type="auto"/>
            <w:hideMark/>
          </w:tcPr>
          <w:p w14:paraId="7016983F" w14:textId="444B67F3"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Acquisition &amp; Organic Growth</w:t>
            </w:r>
          </w:p>
        </w:tc>
        <w:tc>
          <w:tcPr>
            <w:tcW w:w="0" w:type="auto"/>
            <w:hideMark/>
          </w:tcPr>
          <w:p w14:paraId="2DDB8ABF" w14:textId="6CE6BF3E"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Gain immediate scale and direct control in a mature biofuels and deep-water exploration market</w:t>
            </w:r>
          </w:p>
        </w:tc>
        <w:tc>
          <w:tcPr>
            <w:tcW w:w="0" w:type="auto"/>
            <w:hideMark/>
          </w:tcPr>
          <w:p w14:paraId="5A667D8E" w14:textId="1E4A0BDF" w:rsidR="00460659" w:rsidRPr="00993ACF" w:rsidRDefault="00460659" w:rsidP="00460659">
            <w:pPr>
              <w:spacing w:after="120" w:line="264" w:lineRule="auto"/>
              <w:cnfStyle w:val="000000000000" w:firstRow="0" w:lastRow="0" w:firstColumn="0" w:lastColumn="0" w:oddVBand="0" w:evenVBand="0" w:oddHBand="0" w:evenHBand="0" w:firstRowFirstColumn="0" w:firstRowLastColumn="0" w:lastRowFirstColumn="0" w:lastRowLastColumn="0"/>
            </w:pPr>
            <w:r w:rsidRPr="00F7379E">
              <w:t>Significant biofuels production; LNG terminals (OECD, 2024)</w:t>
            </w:r>
          </w:p>
        </w:tc>
      </w:tr>
      <w:tr w:rsidR="00460659" w:rsidRPr="00993ACF" w14:paraId="570013BE" w14:textId="77777777" w:rsidTr="00D121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il"/>
            </w:tcBorders>
            <w:hideMark/>
          </w:tcPr>
          <w:p w14:paraId="6E5872B5" w14:textId="7D3C778F" w:rsidR="00460659" w:rsidRPr="00993ACF" w:rsidRDefault="00460659" w:rsidP="00460659">
            <w:pPr>
              <w:spacing w:after="120" w:line="264" w:lineRule="auto"/>
            </w:pPr>
            <w:r w:rsidRPr="00F7379E">
              <w:t>Vietnam</w:t>
            </w:r>
          </w:p>
        </w:tc>
        <w:tc>
          <w:tcPr>
            <w:tcW w:w="0" w:type="auto"/>
            <w:tcBorders>
              <w:bottom w:val="nil"/>
            </w:tcBorders>
            <w:hideMark/>
          </w:tcPr>
          <w:p w14:paraId="52358370" w14:textId="522666F8"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Trading Operations &amp; Selective Partnerships</w:t>
            </w:r>
          </w:p>
        </w:tc>
        <w:tc>
          <w:tcPr>
            <w:tcW w:w="0" w:type="auto"/>
            <w:tcBorders>
              <w:bottom w:val="nil"/>
            </w:tcBorders>
            <w:hideMark/>
          </w:tcPr>
          <w:p w14:paraId="6A0038ED" w14:textId="5D1F2589"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Minimize risk and capital commitment while exploring a developing market with high potential (IEA, 2023)</w:t>
            </w:r>
          </w:p>
        </w:tc>
        <w:tc>
          <w:tcPr>
            <w:tcW w:w="0" w:type="auto"/>
            <w:tcBorders>
              <w:bottom w:val="nil"/>
            </w:tcBorders>
            <w:hideMark/>
          </w:tcPr>
          <w:p w14:paraId="2594C2C0" w14:textId="258E6CE2" w:rsidR="00460659" w:rsidRPr="00993ACF" w:rsidRDefault="00460659" w:rsidP="00460659">
            <w:pPr>
              <w:spacing w:after="120" w:line="264" w:lineRule="auto"/>
              <w:cnfStyle w:val="000000100000" w:firstRow="0" w:lastRow="0" w:firstColumn="0" w:lastColumn="0" w:oddVBand="0" w:evenVBand="0" w:oddHBand="1" w:evenHBand="0" w:firstRowFirstColumn="0" w:firstRowLastColumn="0" w:lastRowFirstColumn="0" w:lastRowLastColumn="0"/>
            </w:pPr>
            <w:r w:rsidRPr="00F7379E">
              <w:t>Limited physical presence; focus on energy trading and supply</w:t>
            </w:r>
          </w:p>
        </w:tc>
      </w:tr>
      <w:tr w:rsidR="00D12136" w:rsidRPr="00993ACF" w14:paraId="27B82719" w14:textId="77777777" w:rsidTr="00D12136">
        <w:tc>
          <w:tcPr>
            <w:cnfStyle w:val="001000000000" w:firstRow="0" w:lastRow="0" w:firstColumn="1" w:lastColumn="0" w:oddVBand="0" w:evenVBand="0" w:oddHBand="0" w:evenHBand="0" w:firstRowFirstColumn="0" w:firstRowLastColumn="0" w:lastRowFirstColumn="0" w:lastRowLastColumn="0"/>
            <w:tcW w:w="0" w:type="auto"/>
            <w:gridSpan w:val="4"/>
            <w:tcBorders>
              <w:top w:val="nil"/>
            </w:tcBorders>
          </w:tcPr>
          <w:p w14:paraId="53135531" w14:textId="057E756F" w:rsidR="00D12136" w:rsidRPr="00993ACF" w:rsidRDefault="00D12136" w:rsidP="00460659">
            <w:pPr>
              <w:spacing w:after="120" w:line="264" w:lineRule="auto"/>
            </w:pPr>
          </w:p>
        </w:tc>
      </w:tr>
    </w:tbl>
    <w:p w14:paraId="44A6E0F6" w14:textId="20EAE6D3" w:rsidR="00E5598B" w:rsidRDefault="00195906" w:rsidP="00E5598B">
      <w:pPr>
        <w:rPr>
          <w:sz w:val="18"/>
          <w:szCs w:val="18"/>
        </w:rPr>
      </w:pPr>
      <w:r w:rsidRPr="004A4E2A">
        <w:rPr>
          <w:sz w:val="18"/>
          <w:szCs w:val="18"/>
        </w:rPr>
        <w:t xml:space="preserve">Source: Developed by author based on BP, </w:t>
      </w:r>
      <w:r w:rsidR="00260242" w:rsidRPr="004A4E2A">
        <w:rPr>
          <w:sz w:val="18"/>
          <w:szCs w:val="18"/>
        </w:rPr>
        <w:t>(</w:t>
      </w:r>
      <w:r w:rsidRPr="004A4E2A">
        <w:rPr>
          <w:sz w:val="18"/>
          <w:szCs w:val="18"/>
        </w:rPr>
        <w:t>202</w:t>
      </w:r>
      <w:r w:rsidR="00112C75">
        <w:rPr>
          <w:sz w:val="18"/>
          <w:szCs w:val="18"/>
        </w:rPr>
        <w:t>3</w:t>
      </w:r>
      <w:r w:rsidRPr="004A4E2A">
        <w:rPr>
          <w:sz w:val="18"/>
          <w:szCs w:val="18"/>
        </w:rPr>
        <w:t>)</w:t>
      </w:r>
    </w:p>
    <w:p w14:paraId="19C898CB" w14:textId="77777777" w:rsidR="007D617B" w:rsidRPr="004A4E2A" w:rsidRDefault="007D617B" w:rsidP="00E5598B">
      <w:pPr>
        <w:rPr>
          <w:sz w:val="18"/>
          <w:szCs w:val="18"/>
        </w:rPr>
      </w:pPr>
    </w:p>
    <w:p w14:paraId="02F7E708" w14:textId="77777777" w:rsidR="0037497D" w:rsidRPr="0037497D" w:rsidRDefault="0037497D" w:rsidP="00593482">
      <w:r w:rsidRPr="0037497D">
        <w:t>BP employs a diversified portfolio of market entry modes, strategically adapted to local institutional environments. The corporation's dominant entry mode in high-growth emerging markets has evolved toward joint ventures and strategic partnerships, as exemplified by the Jio-bp partnership in India. This $1 billion joint venture leverages Reliance's local market knowledge while providing BP's technical expertise and global branding (BP, 2023).</w:t>
      </w:r>
    </w:p>
    <w:p w14:paraId="7B66D5E0" w14:textId="77777777" w:rsidR="0037497D" w:rsidRPr="0037497D" w:rsidRDefault="0037497D" w:rsidP="00593482"/>
    <w:p w14:paraId="609D868E" w14:textId="77777777" w:rsidR="0037497D" w:rsidRDefault="0037497D" w:rsidP="00593482">
      <w:r w:rsidRPr="0037497D">
        <w:t xml:space="preserve">This strategic adaptation reflects BP's understanding that "the choice of entry mode depends on the balance between control and resource commitment in unfamiliar institutional environments" (Johnson et al., 2020, p. 315). In more established markets like Brazil, BP favors acquisitions to gain immediate scale, while in developing markets like Vietnam, the company maintains minimal physical presence through trading operations. </w:t>
      </w:r>
    </w:p>
    <w:p w14:paraId="7F117ED1" w14:textId="77777777" w:rsidR="00593482" w:rsidRPr="00593482" w:rsidRDefault="00593482" w:rsidP="00593482"/>
    <w:p w14:paraId="191CEA21" w14:textId="77777777" w:rsidR="00477D62" w:rsidRDefault="00477D62" w:rsidP="00477D62"/>
    <w:p w14:paraId="1C228BD8" w14:textId="77777777" w:rsidR="00544F7D" w:rsidRDefault="00544F7D" w:rsidP="00477D62"/>
    <w:p w14:paraId="7A6987D6" w14:textId="77777777" w:rsidR="00544F7D" w:rsidRDefault="00544F7D" w:rsidP="00477D62"/>
    <w:p w14:paraId="6E99EF13" w14:textId="77777777" w:rsidR="00544F7D" w:rsidRDefault="00544F7D" w:rsidP="00477D62"/>
    <w:p w14:paraId="46B60524" w14:textId="77777777" w:rsidR="00544F7D" w:rsidRDefault="00544F7D" w:rsidP="00477D62"/>
    <w:p w14:paraId="0F98933B" w14:textId="77777777" w:rsidR="00544F7D" w:rsidRPr="00477D62" w:rsidRDefault="00544F7D" w:rsidP="00477D62"/>
    <w:p w14:paraId="5C80AEB7" w14:textId="27CC97F6" w:rsidR="00E5598B" w:rsidRDefault="00E5598B" w:rsidP="0037497D">
      <w:pPr>
        <w:pStyle w:val="Heading2"/>
      </w:pPr>
      <w:bookmarkStart w:id="6" w:name="_Toc214641458"/>
      <w:r w:rsidRPr="00E5598B">
        <w:lastRenderedPageBreak/>
        <w:t>2.4 Benefits of Internationalisation</w:t>
      </w:r>
      <w:bookmarkEnd w:id="6"/>
    </w:p>
    <w:p w14:paraId="75EFDDD2" w14:textId="77777777" w:rsidR="00E5598B" w:rsidRDefault="00E5598B" w:rsidP="00E5598B"/>
    <w:p w14:paraId="39E461C1" w14:textId="77777777" w:rsidR="00E9304D" w:rsidRPr="00E9304D" w:rsidRDefault="00E9304D" w:rsidP="00E9304D">
      <w:r w:rsidRPr="00E9304D">
        <w:t>BP’s international operations generate multiple strategic benefits:</w:t>
      </w:r>
    </w:p>
    <w:p w14:paraId="09870295" w14:textId="77777777" w:rsidR="00E9304D" w:rsidRPr="00E9304D" w:rsidRDefault="00E9304D" w:rsidP="00E9304D">
      <w:pPr>
        <w:numPr>
          <w:ilvl w:val="0"/>
          <w:numId w:val="7"/>
        </w:numPr>
      </w:pPr>
      <w:r w:rsidRPr="00E9304D">
        <w:t>Access to Emerging Markets: Expansion into countries like India and China allows BP to capitalise on rising energy demand (World Bank, 2024).</w:t>
      </w:r>
    </w:p>
    <w:p w14:paraId="1B7ABCF6" w14:textId="77777777" w:rsidR="00E9304D" w:rsidRPr="00E9304D" w:rsidRDefault="00E9304D" w:rsidP="00E9304D">
      <w:pPr>
        <w:numPr>
          <w:ilvl w:val="0"/>
          <w:numId w:val="7"/>
        </w:numPr>
      </w:pPr>
      <w:r w:rsidRPr="00E9304D">
        <w:t>Risk Diversification: Geographic spread reduces exposure to market volatility and geopolitical shocks.</w:t>
      </w:r>
    </w:p>
    <w:p w14:paraId="4EAFF100" w14:textId="77777777" w:rsidR="00E9304D" w:rsidRPr="00E9304D" w:rsidRDefault="00E9304D" w:rsidP="00E9304D">
      <w:pPr>
        <w:numPr>
          <w:ilvl w:val="0"/>
          <w:numId w:val="7"/>
        </w:numPr>
      </w:pPr>
      <w:r w:rsidRPr="00E9304D">
        <w:t>Economies of Scale: Centralised procurement and logistics create cost efficiencies (Rugman and Collinson, 2020).</w:t>
      </w:r>
    </w:p>
    <w:p w14:paraId="4EBD595A" w14:textId="77777777" w:rsidR="00E9304D" w:rsidRPr="00E9304D" w:rsidRDefault="00E9304D" w:rsidP="00E9304D">
      <w:pPr>
        <w:numPr>
          <w:ilvl w:val="0"/>
          <w:numId w:val="7"/>
        </w:numPr>
      </w:pPr>
      <w:r w:rsidRPr="00E9304D">
        <w:t>Technology Transfer and Learning: Cross-market operations encourage innovation and capability sharing (Johnson and Turner, 2021).</w:t>
      </w:r>
    </w:p>
    <w:p w14:paraId="5119AF0E" w14:textId="77777777" w:rsidR="00E9304D" w:rsidRDefault="00E9304D" w:rsidP="00E9304D">
      <w:pPr>
        <w:numPr>
          <w:ilvl w:val="0"/>
          <w:numId w:val="7"/>
        </w:numPr>
      </w:pPr>
      <w:r w:rsidRPr="00E9304D">
        <w:t>Sustainability Partnerships: Collaboration with local firms enhances BP’s social legitimacy and access to government initiatives (BP, 2023).</w:t>
      </w:r>
    </w:p>
    <w:p w14:paraId="5D839B23" w14:textId="77777777" w:rsidR="0082615F" w:rsidRPr="00E9304D" w:rsidRDefault="0082615F" w:rsidP="000A29D9">
      <w:pPr>
        <w:ind w:left="720"/>
      </w:pPr>
    </w:p>
    <w:p w14:paraId="615D925D" w14:textId="7C6D6EE7" w:rsidR="00E9304D" w:rsidRDefault="002D233E" w:rsidP="00E9304D">
      <w:pPr>
        <w:rPr>
          <w:lang w:val="bg-BG"/>
        </w:rPr>
      </w:pPr>
      <w:r>
        <w:t xml:space="preserve">Table </w:t>
      </w:r>
      <w:r w:rsidR="00CC4D72">
        <w:t>3</w:t>
      </w:r>
      <w:r w:rsidR="00E9304D" w:rsidRPr="00E9304D">
        <w:t xml:space="preserve">: </w:t>
      </w:r>
      <w:r w:rsidR="00107C2D" w:rsidRPr="00107C2D">
        <w:t>Strategic Benefits of BP's International Operations</w:t>
      </w:r>
    </w:p>
    <w:tbl>
      <w:tblPr>
        <w:tblStyle w:val="GridTable6Colorful-Accent2"/>
        <w:tblW w:w="0" w:type="auto"/>
        <w:tblLook w:val="04A0" w:firstRow="1" w:lastRow="0" w:firstColumn="1" w:lastColumn="0" w:noHBand="0" w:noVBand="1"/>
      </w:tblPr>
      <w:tblGrid>
        <w:gridCol w:w="2393"/>
        <w:gridCol w:w="3224"/>
        <w:gridCol w:w="3399"/>
      </w:tblGrid>
      <w:tr w:rsidR="00AD6BB9" w:rsidRPr="002D233E" w14:paraId="5F9285E1" w14:textId="77777777" w:rsidTr="002D23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5ACD2E" w14:textId="5C891368" w:rsidR="00AD6BB9" w:rsidRPr="002D233E" w:rsidRDefault="00AD6BB9" w:rsidP="00AD6BB9">
            <w:pPr>
              <w:spacing w:after="120" w:line="264" w:lineRule="auto"/>
            </w:pPr>
            <w:r w:rsidRPr="005E03A2">
              <w:t>Benefit Category</w:t>
            </w:r>
          </w:p>
        </w:tc>
        <w:tc>
          <w:tcPr>
            <w:tcW w:w="0" w:type="auto"/>
            <w:hideMark/>
          </w:tcPr>
          <w:p w14:paraId="457E3F91" w14:textId="33D94C19" w:rsidR="00AD6BB9" w:rsidRPr="002D233E" w:rsidRDefault="00AD6BB9" w:rsidP="00AD6BB9">
            <w:pPr>
              <w:spacing w:after="120" w:line="264" w:lineRule="auto"/>
              <w:cnfStyle w:val="100000000000" w:firstRow="1" w:lastRow="0" w:firstColumn="0" w:lastColumn="0" w:oddVBand="0" w:evenVBand="0" w:oddHBand="0" w:evenHBand="0" w:firstRowFirstColumn="0" w:firstRowLastColumn="0" w:lastRowFirstColumn="0" w:lastRowLastColumn="0"/>
            </w:pPr>
            <w:r w:rsidRPr="005E03A2">
              <w:t>Operational Manifestation</w:t>
            </w:r>
          </w:p>
        </w:tc>
        <w:tc>
          <w:tcPr>
            <w:tcW w:w="0" w:type="auto"/>
            <w:hideMark/>
          </w:tcPr>
          <w:p w14:paraId="1759800F" w14:textId="3E91271F" w:rsidR="00AD6BB9" w:rsidRPr="002D233E" w:rsidRDefault="00AD6BB9" w:rsidP="00AD6BB9">
            <w:pPr>
              <w:spacing w:after="120" w:line="264" w:lineRule="auto"/>
              <w:cnfStyle w:val="100000000000" w:firstRow="1" w:lastRow="0" w:firstColumn="0" w:lastColumn="0" w:oddVBand="0" w:evenVBand="0" w:oddHBand="0" w:evenHBand="0" w:firstRowFirstColumn="0" w:firstRowLastColumn="0" w:lastRowFirstColumn="0" w:lastRowLastColumn="0"/>
            </w:pPr>
            <w:r w:rsidRPr="005E03A2">
              <w:t>Comparative Market Impact</w:t>
            </w:r>
          </w:p>
        </w:tc>
      </w:tr>
      <w:tr w:rsidR="00AD6BB9" w:rsidRPr="002D233E" w14:paraId="2C36558B"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6FF0E" w14:textId="6AC96778" w:rsidR="00AD6BB9" w:rsidRPr="002D233E" w:rsidRDefault="00AD6BB9" w:rsidP="00AD6BB9">
            <w:pPr>
              <w:spacing w:after="120" w:line="264" w:lineRule="auto"/>
            </w:pPr>
            <w:r w:rsidRPr="005E03A2">
              <w:t>Market Access &amp; Growth</w:t>
            </w:r>
          </w:p>
        </w:tc>
        <w:tc>
          <w:tcPr>
            <w:tcW w:w="0" w:type="auto"/>
            <w:hideMark/>
          </w:tcPr>
          <w:p w14:paraId="5A13684B" w14:textId="705A17C0"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Entry to high-growth energy markets (India: 3rd largest energy consumer)</w:t>
            </w:r>
          </w:p>
        </w:tc>
        <w:tc>
          <w:tcPr>
            <w:tcW w:w="0" w:type="auto"/>
            <w:hideMark/>
          </w:tcPr>
          <w:p w14:paraId="3594E588" w14:textId="0AA45865"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India: Massive scale; Brazil: Biofuels dominance; Vietnam: Emerging solar potential</w:t>
            </w:r>
          </w:p>
        </w:tc>
      </w:tr>
      <w:tr w:rsidR="00AD6BB9" w:rsidRPr="002D233E" w14:paraId="55511E53" w14:textId="77777777" w:rsidTr="002D233E">
        <w:tc>
          <w:tcPr>
            <w:cnfStyle w:val="001000000000" w:firstRow="0" w:lastRow="0" w:firstColumn="1" w:lastColumn="0" w:oddVBand="0" w:evenVBand="0" w:oddHBand="0" w:evenHBand="0" w:firstRowFirstColumn="0" w:firstRowLastColumn="0" w:lastRowFirstColumn="0" w:lastRowLastColumn="0"/>
            <w:tcW w:w="0" w:type="auto"/>
            <w:hideMark/>
          </w:tcPr>
          <w:p w14:paraId="3B7C85BF" w14:textId="6ECCAF97" w:rsidR="00AD6BB9" w:rsidRPr="002D233E" w:rsidRDefault="00AD6BB9" w:rsidP="00AD6BB9">
            <w:pPr>
              <w:spacing w:after="120" w:line="264" w:lineRule="auto"/>
            </w:pPr>
            <w:r w:rsidRPr="005E03A2">
              <w:t>Risk Diversification</w:t>
            </w:r>
          </w:p>
        </w:tc>
        <w:tc>
          <w:tcPr>
            <w:tcW w:w="0" w:type="auto"/>
            <w:hideMark/>
          </w:tcPr>
          <w:p w14:paraId="3323B878" w14:textId="6D6A59A5"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Geographic spread across 60+ countries mitigates regional volatility</w:t>
            </w:r>
          </w:p>
        </w:tc>
        <w:tc>
          <w:tcPr>
            <w:tcW w:w="0" w:type="auto"/>
            <w:hideMark/>
          </w:tcPr>
          <w:p w14:paraId="7C68A364" w14:textId="632500F2"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Balanced portfolio reduces dependence on any single market's economic cycles</w:t>
            </w:r>
          </w:p>
        </w:tc>
      </w:tr>
      <w:tr w:rsidR="00AD6BB9" w:rsidRPr="002D233E" w14:paraId="148D0362"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053EAE" w14:textId="708FD8F2" w:rsidR="00AD6BB9" w:rsidRPr="002D233E" w:rsidRDefault="00AD6BB9" w:rsidP="00AD6BB9">
            <w:pPr>
              <w:spacing w:after="120" w:line="264" w:lineRule="auto"/>
            </w:pPr>
            <w:r w:rsidRPr="005E03A2">
              <w:t>Economies of Scale</w:t>
            </w:r>
          </w:p>
        </w:tc>
        <w:tc>
          <w:tcPr>
            <w:tcW w:w="0" w:type="auto"/>
            <w:hideMark/>
          </w:tcPr>
          <w:p w14:paraId="78425B98" w14:textId="048F1E12"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Centralised R&amp;D ($1.5bn annually) with global deployment</w:t>
            </w:r>
          </w:p>
        </w:tc>
        <w:tc>
          <w:tcPr>
            <w:tcW w:w="0" w:type="auto"/>
            <w:hideMark/>
          </w:tcPr>
          <w:p w14:paraId="24C0D3E0" w14:textId="573733AB"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Technology costs shared across multiple markets, enhancing ROI</w:t>
            </w:r>
          </w:p>
        </w:tc>
      </w:tr>
      <w:tr w:rsidR="00AD6BB9" w:rsidRPr="002D233E" w14:paraId="13CDC715" w14:textId="77777777" w:rsidTr="002D233E">
        <w:tc>
          <w:tcPr>
            <w:cnfStyle w:val="001000000000" w:firstRow="0" w:lastRow="0" w:firstColumn="1" w:lastColumn="0" w:oddVBand="0" w:evenVBand="0" w:oddHBand="0" w:evenHBand="0" w:firstRowFirstColumn="0" w:firstRowLastColumn="0" w:lastRowFirstColumn="0" w:lastRowLastColumn="0"/>
            <w:tcW w:w="0" w:type="auto"/>
            <w:hideMark/>
          </w:tcPr>
          <w:p w14:paraId="00C77343" w14:textId="78787F79" w:rsidR="00AD6BB9" w:rsidRPr="002D233E" w:rsidRDefault="00AD6BB9" w:rsidP="00AD6BB9">
            <w:pPr>
              <w:spacing w:after="120" w:line="264" w:lineRule="auto"/>
            </w:pPr>
            <w:r w:rsidRPr="005E03A2">
              <w:t>Technology Transfer &amp; Innovation</w:t>
            </w:r>
          </w:p>
        </w:tc>
        <w:tc>
          <w:tcPr>
            <w:tcW w:w="0" w:type="auto"/>
            <w:hideMark/>
          </w:tcPr>
          <w:p w14:paraId="7E9D8EB4" w14:textId="5DF03421"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Cross-market learning and reverse innovation</w:t>
            </w:r>
          </w:p>
        </w:tc>
        <w:tc>
          <w:tcPr>
            <w:tcW w:w="0" w:type="auto"/>
            <w:hideMark/>
          </w:tcPr>
          <w:p w14:paraId="7D788686" w14:textId="79774189" w:rsidR="00AD6BB9" w:rsidRPr="002D233E" w:rsidRDefault="00AD6BB9" w:rsidP="00AD6BB9">
            <w:pPr>
              <w:spacing w:after="120" w:line="264" w:lineRule="auto"/>
              <w:cnfStyle w:val="000000000000" w:firstRow="0" w:lastRow="0" w:firstColumn="0" w:lastColumn="0" w:oddVBand="0" w:evenVBand="0" w:oddHBand="0" w:evenHBand="0" w:firstRowFirstColumn="0" w:firstRowLastColumn="0" w:lastRowFirstColumn="0" w:lastRowLastColumn="0"/>
            </w:pPr>
            <w:r w:rsidRPr="005E03A2">
              <w:t>EV solutions from India adaptable to other price-sensitive markets</w:t>
            </w:r>
          </w:p>
        </w:tc>
      </w:tr>
      <w:tr w:rsidR="00AD6BB9" w:rsidRPr="002D233E" w14:paraId="0874C413" w14:textId="77777777" w:rsidTr="002D23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B229B" w14:textId="5A4E0784" w:rsidR="00AD6BB9" w:rsidRPr="002D233E" w:rsidRDefault="00AD6BB9" w:rsidP="00AD6BB9">
            <w:pPr>
              <w:spacing w:after="120" w:line="264" w:lineRule="auto"/>
            </w:pPr>
            <w:r w:rsidRPr="005E03A2">
              <w:t>Strategic Partnerships</w:t>
            </w:r>
          </w:p>
        </w:tc>
        <w:tc>
          <w:tcPr>
            <w:tcW w:w="0" w:type="auto"/>
            <w:hideMark/>
          </w:tcPr>
          <w:p w14:paraId="3B4B7411" w14:textId="087FC340"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Joint ventures (Jio-bp) build local legitimacy and market access</w:t>
            </w:r>
          </w:p>
        </w:tc>
        <w:tc>
          <w:tcPr>
            <w:tcW w:w="0" w:type="auto"/>
            <w:hideMark/>
          </w:tcPr>
          <w:p w14:paraId="58B08F42" w14:textId="3E6AA3E6" w:rsidR="00AD6BB9" w:rsidRPr="002D233E" w:rsidRDefault="00AD6BB9" w:rsidP="00AD6BB9">
            <w:pPr>
              <w:spacing w:after="120" w:line="264" w:lineRule="auto"/>
              <w:cnfStyle w:val="000000100000" w:firstRow="0" w:lastRow="0" w:firstColumn="0" w:lastColumn="0" w:oddVBand="0" w:evenVBand="0" w:oddHBand="1" w:evenHBand="0" w:firstRowFirstColumn="0" w:firstRowLastColumn="0" w:lastRowFirstColumn="0" w:lastRowLastColumn="0"/>
            </w:pPr>
            <w:r w:rsidRPr="005E03A2">
              <w:t>Local partners navigate regulatory complexity and cultural barriers</w:t>
            </w:r>
          </w:p>
        </w:tc>
      </w:tr>
    </w:tbl>
    <w:p w14:paraId="6C0F36CE" w14:textId="47AC0250" w:rsidR="00775B2B" w:rsidRPr="004A4E2A" w:rsidRDefault="007B07AC" w:rsidP="00E5598B">
      <w:pPr>
        <w:rPr>
          <w:sz w:val="18"/>
          <w:szCs w:val="18"/>
        </w:rPr>
      </w:pPr>
      <w:r w:rsidRPr="004A4E2A">
        <w:rPr>
          <w:sz w:val="18"/>
          <w:szCs w:val="18"/>
        </w:rPr>
        <w:t>Source: Author’s synthesis based on BP Annual Report (2024); Johnson and Turner (2021); Rugman and Collinson (2020).</w:t>
      </w:r>
    </w:p>
    <w:p w14:paraId="7A3D2D65" w14:textId="77777777" w:rsidR="00B6192E" w:rsidRDefault="00B6192E" w:rsidP="00E5598B"/>
    <w:p w14:paraId="5FADE075" w14:textId="77777777" w:rsidR="00775B2B" w:rsidRPr="00775B2B" w:rsidRDefault="00775B2B" w:rsidP="00775B2B">
      <w:pPr>
        <w:numPr>
          <w:ilvl w:val="0"/>
          <w:numId w:val="8"/>
        </w:numPr>
      </w:pPr>
      <w:r w:rsidRPr="00775B2B">
        <w:t>Increased global market share</w:t>
      </w:r>
    </w:p>
    <w:p w14:paraId="2C88D4DA" w14:textId="77777777" w:rsidR="00775B2B" w:rsidRPr="00775B2B" w:rsidRDefault="00775B2B" w:rsidP="00775B2B">
      <w:pPr>
        <w:numPr>
          <w:ilvl w:val="0"/>
          <w:numId w:val="8"/>
        </w:numPr>
      </w:pPr>
      <w:r w:rsidRPr="00775B2B">
        <w:t>Enhanced operational efficiency</w:t>
      </w:r>
    </w:p>
    <w:p w14:paraId="185A7BB3" w14:textId="77777777" w:rsidR="00775B2B" w:rsidRPr="00775B2B" w:rsidRDefault="00775B2B" w:rsidP="00775B2B">
      <w:pPr>
        <w:numPr>
          <w:ilvl w:val="0"/>
          <w:numId w:val="8"/>
        </w:numPr>
      </w:pPr>
      <w:r w:rsidRPr="00775B2B">
        <w:t>Strategic resource access</w:t>
      </w:r>
    </w:p>
    <w:p w14:paraId="624846F6" w14:textId="77777777" w:rsidR="00775B2B" w:rsidRDefault="00775B2B" w:rsidP="00775B2B">
      <w:pPr>
        <w:numPr>
          <w:ilvl w:val="0"/>
          <w:numId w:val="8"/>
        </w:numPr>
      </w:pPr>
      <w:r w:rsidRPr="00775B2B">
        <w:t>Strengthened brand recognition</w:t>
      </w:r>
    </w:p>
    <w:p w14:paraId="18019E37" w14:textId="4B45E227" w:rsidR="00E5598B" w:rsidRDefault="00E5598B" w:rsidP="00E5598B">
      <w:pPr>
        <w:pStyle w:val="Heading2"/>
      </w:pPr>
      <w:bookmarkStart w:id="7" w:name="_Toc214641459"/>
      <w:r w:rsidRPr="00E5598B">
        <w:lastRenderedPageBreak/>
        <w:t>2.5 Key Challenges</w:t>
      </w:r>
      <w:bookmarkEnd w:id="7"/>
    </w:p>
    <w:p w14:paraId="4397132F" w14:textId="77777777" w:rsidR="00F75F9B" w:rsidRDefault="00F75F9B" w:rsidP="00F75F9B"/>
    <w:p w14:paraId="47E2B360" w14:textId="77777777" w:rsidR="00114419" w:rsidRPr="00114419" w:rsidRDefault="00114419" w:rsidP="00114419">
      <w:r w:rsidRPr="00114419">
        <w:t>Despite these advantages, BP’s global presence exposes it to a variety of operational and strategic challenges.</w:t>
      </w:r>
    </w:p>
    <w:p w14:paraId="5F0857B8" w14:textId="77777777" w:rsidR="00114419" w:rsidRPr="00114419" w:rsidRDefault="00114419" w:rsidP="00114419">
      <w:r w:rsidRPr="00114419">
        <w:t>2.5.1 Political and Regulatory Risks</w:t>
      </w:r>
    </w:p>
    <w:p w14:paraId="5E1A129F" w14:textId="77777777" w:rsidR="00114419" w:rsidRPr="00114419" w:rsidRDefault="00114419" w:rsidP="00114419">
      <w:r w:rsidRPr="00114419">
        <w:t>Energy companies face evolving environmental regulations and fluctuating government policies. In India, for example, the energy sector is heavily influenced by state regulations and price controls, affecting profitability and planning. Moreover, bureaucratic delays can hinder foreign investment approvals (Kumar and Saini, 2022).</w:t>
      </w:r>
    </w:p>
    <w:p w14:paraId="2949435E" w14:textId="77777777" w:rsidR="00114419" w:rsidRPr="00114419" w:rsidRDefault="00114419" w:rsidP="00114419">
      <w:r w:rsidRPr="00114419">
        <w:t>2.5.2 Cultural and Managerial Complexity</w:t>
      </w:r>
    </w:p>
    <w:p w14:paraId="7AAA2C4F" w14:textId="77777777" w:rsidR="00114419" w:rsidRPr="00114419" w:rsidRDefault="00114419" w:rsidP="00114419">
      <w:r w:rsidRPr="00114419">
        <w:t>Operating across diverse cultural contexts poses coordination challenges. Hofstede’s (2011) framework highlights differences in communication, hierarchy, and risk tolerance that can impede effective leadership and collaboration.</w:t>
      </w:r>
    </w:p>
    <w:p w14:paraId="6D72D79F" w14:textId="77777777" w:rsidR="00114419" w:rsidRPr="00114419" w:rsidRDefault="00114419" w:rsidP="00114419">
      <w:r w:rsidRPr="00114419">
        <w:t>2.5.3 Environmental and Sustainability Pressures</w:t>
      </w:r>
    </w:p>
    <w:p w14:paraId="69C6D197" w14:textId="77777777" w:rsidR="00114419" w:rsidRPr="00114419" w:rsidRDefault="00114419" w:rsidP="00114419">
      <w:r w:rsidRPr="00114419">
        <w:t>The shift toward renewable energy has forced BP to re-evaluate its hydrocarbon-centric model. The company’s involvement in major environmental incidents, such as the Deepwater Horizon spill, has amplified scrutiny and compliance costs (O’Sullivan and Sheffrin, 2020). In India, BP must balance economic opportunity with environmental stewardship, aligning with national sustainability goals.</w:t>
      </w:r>
    </w:p>
    <w:p w14:paraId="0B637E2D" w14:textId="77777777" w:rsidR="00114419" w:rsidRPr="00114419" w:rsidRDefault="00114419" w:rsidP="00114419">
      <w:r w:rsidRPr="00114419">
        <w:t>2.5.4 Market Volatility and Competition</w:t>
      </w:r>
    </w:p>
    <w:p w14:paraId="02EC428B" w14:textId="77777777" w:rsidR="00114419" w:rsidRPr="00114419" w:rsidRDefault="00114419" w:rsidP="00114419">
      <w:r w:rsidRPr="00114419">
        <w:t>Oil price fluctuations and competition from national oil companies (NOCs) such as ONGC and Saudi Aramco add volatility to BP’s global strategy. Managing long-term investments under such conditions demands flexible financial planning (Hill, 2019).</w:t>
      </w:r>
    </w:p>
    <w:p w14:paraId="3CC178D5" w14:textId="77777777" w:rsidR="00114419" w:rsidRPr="00114419" w:rsidRDefault="00114419" w:rsidP="00114419">
      <w:r w:rsidRPr="00114419">
        <w:t>2.5.5 Technological and Cybersecurity Challenges</w:t>
      </w:r>
    </w:p>
    <w:p w14:paraId="65454EE8" w14:textId="77777777" w:rsidR="00114419" w:rsidRDefault="00114419" w:rsidP="00114419">
      <w:r w:rsidRPr="00114419">
        <w:t>Digitalisation in exploration and supply chain management introduces risks related to data integrity and cybersecurity. BP’s global operations rely on advanced digital systems for monitoring and automation, necessitating robust protection frameworks (BP, 2023).</w:t>
      </w:r>
    </w:p>
    <w:p w14:paraId="0E28576F" w14:textId="4FDCDBDE" w:rsidR="00530A96" w:rsidRDefault="00530A96" w:rsidP="00114419">
      <w:r w:rsidRPr="00530A96">
        <w:t>2.5.6 PESTLE Analysis of India</w:t>
      </w:r>
    </w:p>
    <w:p w14:paraId="4D940FF3" w14:textId="77777777" w:rsidR="00CD1D6E" w:rsidRPr="00CD1D6E" w:rsidRDefault="00CD1D6E" w:rsidP="00CD1D6E">
      <w:r w:rsidRPr="00CD1D6E">
        <w:t>India’s business environment presents both dynamic growth and structural complexity. Politically, the central government supports FDI in energy, but regulatory fragmentation at the state level—especially in Maharashtra and Gujarat—can delay projects (EY, 2023). Economically, India maintains 7%+ GDP growth and a rising middle class; however, inflation and uneven rural income affect demand forecasts (World Bank, 2024).</w:t>
      </w:r>
    </w:p>
    <w:p w14:paraId="4434C487" w14:textId="77777777" w:rsidR="00CD1D6E" w:rsidRPr="00CD1D6E" w:rsidRDefault="00CD1D6E" w:rsidP="00CD1D6E">
      <w:r w:rsidRPr="00CD1D6E">
        <w:t>Social trends show rapid urbanisation and a young population driving energy demand, but regional diversity necessitates localised HR policies and marketing (KPMG, 2023). Technologically, India leads in digital energy, including AI and smart grids, offering BP opportunities for innovation (Deloitte, 2024).</w:t>
      </w:r>
    </w:p>
    <w:p w14:paraId="3764546C" w14:textId="77777777" w:rsidR="00CD1D6E" w:rsidRPr="00CD1D6E" w:rsidRDefault="00CD1D6E" w:rsidP="00CD1D6E">
      <w:r w:rsidRPr="00CD1D6E">
        <w:lastRenderedPageBreak/>
        <w:t>Environmental regulation is tightening under the Energy Conservation Act (2022), and the 2070 net-zero pledge drives demand for clean energy (MoEFCC, 2024). Legally, complex land and compliance laws slow implementation despite reform efforts (PwC, 2023).</w:t>
      </w:r>
    </w:p>
    <w:p w14:paraId="1F0783DC" w14:textId="77777777" w:rsidR="00CD1D6E" w:rsidRPr="00CD1D6E" w:rsidRDefault="00CD1D6E" w:rsidP="00CD1D6E">
      <w:r w:rsidRPr="00CD1D6E">
        <w:t>BP must adapt its operations with regulatory flexibility, localised engagement, and continuous innovation to succeed in this fast-evolving market.</w:t>
      </w:r>
    </w:p>
    <w:p w14:paraId="709CA872" w14:textId="77777777" w:rsidR="00DF147C" w:rsidRDefault="00DF147C" w:rsidP="00114419"/>
    <w:p w14:paraId="30A82F3A" w14:textId="77777777" w:rsidR="00DF147C" w:rsidRDefault="00DF147C" w:rsidP="00DF147C">
      <w:pPr>
        <w:pStyle w:val="Heading2"/>
      </w:pPr>
      <w:bookmarkStart w:id="8" w:name="_Toc214641460"/>
      <w:r w:rsidRPr="00DF147C">
        <w:t>2.6 Summary of Section</w:t>
      </w:r>
      <w:bookmarkEnd w:id="8"/>
    </w:p>
    <w:p w14:paraId="7C79EA6E" w14:textId="77777777" w:rsidR="00CE3AB0" w:rsidRPr="00CE3AB0" w:rsidRDefault="00CE3AB0" w:rsidP="00CE3AB0"/>
    <w:p w14:paraId="3F2889FB" w14:textId="77777777" w:rsidR="00DF147C" w:rsidRDefault="00DF147C" w:rsidP="00DF147C">
      <w:r w:rsidRPr="00DF147C">
        <w:t>BP’s internationalisation provides strategic advantages through access to markets, resource optimisation, and brand expansion. However, these benefits are counterbalanced by complex challenges, including regulatory risk, cultural diversity, and sustainability pressures. The next section applies Dunning’s OLI framework to examine BP’s specific entry and operational strategy in the Indian context, providing a structured analysis of ownership, location, and internalisation factors.</w:t>
      </w:r>
    </w:p>
    <w:p w14:paraId="746E811F" w14:textId="77777777" w:rsidR="00C24A7B" w:rsidRDefault="00C24A7B" w:rsidP="00DF147C"/>
    <w:p w14:paraId="02A78E7A" w14:textId="77777777" w:rsidR="00C24A7B" w:rsidRDefault="00C24A7B" w:rsidP="00DF147C"/>
    <w:p w14:paraId="5D50579A" w14:textId="77777777" w:rsidR="00C24A7B" w:rsidRDefault="00C24A7B" w:rsidP="00DF147C"/>
    <w:p w14:paraId="2A96C7D0" w14:textId="77777777" w:rsidR="00C24A7B" w:rsidRDefault="00C24A7B" w:rsidP="00DF147C"/>
    <w:p w14:paraId="67B14FBC" w14:textId="77777777" w:rsidR="00C24A7B" w:rsidRDefault="00C24A7B" w:rsidP="00DF147C"/>
    <w:p w14:paraId="47919A53" w14:textId="77777777" w:rsidR="00C24A7B" w:rsidRDefault="00C24A7B" w:rsidP="00DF147C"/>
    <w:p w14:paraId="24EA6037" w14:textId="77777777" w:rsidR="00C24A7B" w:rsidRDefault="00C24A7B" w:rsidP="00DF147C"/>
    <w:p w14:paraId="36E86B52" w14:textId="77777777" w:rsidR="00C24A7B" w:rsidRDefault="00C24A7B" w:rsidP="00DF147C"/>
    <w:p w14:paraId="08A3E577" w14:textId="77777777" w:rsidR="00C24A7B" w:rsidRDefault="00C24A7B" w:rsidP="00DF147C"/>
    <w:p w14:paraId="32B58CDF" w14:textId="77777777" w:rsidR="00C24A7B" w:rsidRDefault="00C24A7B" w:rsidP="00DF147C"/>
    <w:p w14:paraId="48385F22" w14:textId="77777777" w:rsidR="00C24A7B" w:rsidRDefault="00C24A7B" w:rsidP="00DF147C"/>
    <w:p w14:paraId="35CF4A93" w14:textId="77777777" w:rsidR="00C24A7B" w:rsidRDefault="00C24A7B" w:rsidP="00DF147C"/>
    <w:p w14:paraId="52627BE9" w14:textId="77777777" w:rsidR="00C24A7B" w:rsidRDefault="00C24A7B" w:rsidP="00DF147C"/>
    <w:p w14:paraId="10D70F82" w14:textId="77777777" w:rsidR="00C24A7B" w:rsidRDefault="00C24A7B" w:rsidP="00DF147C"/>
    <w:p w14:paraId="7FE4AF9D" w14:textId="77777777" w:rsidR="00C24A7B" w:rsidRDefault="00C24A7B" w:rsidP="00DF147C"/>
    <w:p w14:paraId="6A772960" w14:textId="77777777" w:rsidR="00C24A7B" w:rsidRDefault="00C24A7B" w:rsidP="00DF147C"/>
    <w:p w14:paraId="2616FF01" w14:textId="77777777" w:rsidR="00C24A7B" w:rsidRDefault="00C24A7B" w:rsidP="00DF147C"/>
    <w:p w14:paraId="699E88F5" w14:textId="77777777" w:rsidR="00C24A7B" w:rsidRDefault="00C24A7B" w:rsidP="00DF147C"/>
    <w:p w14:paraId="120504CE" w14:textId="77777777" w:rsidR="00C24A7B" w:rsidRDefault="00C24A7B" w:rsidP="00DF147C"/>
    <w:p w14:paraId="71A4346D" w14:textId="77777777" w:rsidR="00C24A7B" w:rsidRDefault="00C24A7B" w:rsidP="00DF147C"/>
    <w:p w14:paraId="311F5FA3" w14:textId="1DCE614C" w:rsidR="00F75F9B" w:rsidRPr="00F75F9B" w:rsidRDefault="00F75F9B" w:rsidP="00F75F9B">
      <w:pPr>
        <w:pStyle w:val="Heading1"/>
      </w:pPr>
      <w:bookmarkStart w:id="9" w:name="_Toc214641461"/>
      <w:r w:rsidRPr="00F75F9B">
        <w:lastRenderedPageBreak/>
        <w:t>3. OLI Analysis: BP’s Market Entry into India</w:t>
      </w:r>
      <w:bookmarkEnd w:id="9"/>
      <w:r w:rsidRPr="00F75F9B">
        <w:t xml:space="preserve"> </w:t>
      </w:r>
    </w:p>
    <w:p w14:paraId="459EFF4D" w14:textId="77777777" w:rsidR="000A29D9" w:rsidRDefault="000A29D9" w:rsidP="00F75F9B">
      <w:pPr>
        <w:pStyle w:val="Heading2"/>
      </w:pPr>
    </w:p>
    <w:p w14:paraId="1BA4BFA4" w14:textId="316688E8" w:rsidR="00F75F9B" w:rsidRDefault="00F75F9B" w:rsidP="00F75F9B">
      <w:pPr>
        <w:pStyle w:val="Heading2"/>
      </w:pPr>
      <w:bookmarkStart w:id="10" w:name="_Toc214641462"/>
      <w:r w:rsidRPr="00F75F9B">
        <w:t>3.1 Ownership Advantages (O)</w:t>
      </w:r>
      <w:bookmarkEnd w:id="10"/>
    </w:p>
    <w:p w14:paraId="048CFA8F" w14:textId="77777777" w:rsidR="001D6CB8" w:rsidRDefault="001D6CB8" w:rsidP="00965354"/>
    <w:p w14:paraId="24CF18EB" w14:textId="26A0DEB8" w:rsidR="00965354" w:rsidRPr="00965354" w:rsidRDefault="00965354" w:rsidP="00965354">
      <w:r w:rsidRPr="00965354">
        <w:t>BP holds key ownership-specific advantages supporting its international expansion, especially into complex markets like India. These include:</w:t>
      </w:r>
    </w:p>
    <w:p w14:paraId="37FBB5A8" w14:textId="77777777" w:rsidR="00965354" w:rsidRPr="00965354" w:rsidRDefault="00965354" w:rsidP="00965354">
      <w:pPr>
        <w:numPr>
          <w:ilvl w:val="0"/>
          <w:numId w:val="21"/>
        </w:numPr>
      </w:pPr>
      <w:r w:rsidRPr="00965354">
        <w:t>Advanced expertise in deep-water and offshore energy operations</w:t>
      </w:r>
    </w:p>
    <w:p w14:paraId="4E74B00B" w14:textId="77777777" w:rsidR="00965354" w:rsidRPr="00965354" w:rsidRDefault="00965354" w:rsidP="00965354">
      <w:pPr>
        <w:numPr>
          <w:ilvl w:val="0"/>
          <w:numId w:val="21"/>
        </w:numPr>
      </w:pPr>
      <w:r w:rsidRPr="00965354">
        <w:t>Strong financial capacity and global infrastructure access</w:t>
      </w:r>
    </w:p>
    <w:p w14:paraId="6D9270CF" w14:textId="77777777" w:rsidR="00965354" w:rsidRPr="00965354" w:rsidRDefault="00965354" w:rsidP="00965354">
      <w:pPr>
        <w:numPr>
          <w:ilvl w:val="0"/>
          <w:numId w:val="21"/>
        </w:numPr>
      </w:pPr>
      <w:r w:rsidRPr="00965354">
        <w:t>A trusted brand, known for innovation and sustainability</w:t>
      </w:r>
    </w:p>
    <w:p w14:paraId="25FE94BC" w14:textId="77777777" w:rsidR="00965354" w:rsidRPr="00965354" w:rsidRDefault="00965354" w:rsidP="00965354">
      <w:r w:rsidRPr="00965354">
        <w:t>BP also owns patents and proprietary technologies, alongside refined corporate systems that are hard to imitate—making internal exploitation more efficient than external licensing (Dunning, 1988).</w:t>
      </w:r>
    </w:p>
    <w:p w14:paraId="329CBA8D" w14:textId="77777777" w:rsidR="00965354" w:rsidRDefault="00965354" w:rsidP="00965354">
      <w:r w:rsidRPr="00965354">
        <w:t>Through its joint venture with Reliance, BP leverages these firm-specific assets while mitigating local regulatory and cultural risks (Panda &amp; Leepsa, 2019). Dunning (1988) defines such advantages as unique capabilities that enable firms to outperform local competitors internationally.</w:t>
      </w:r>
    </w:p>
    <w:p w14:paraId="604E9A29" w14:textId="77777777" w:rsidR="000A29D9" w:rsidRPr="00965354" w:rsidRDefault="000A29D9" w:rsidP="00965354"/>
    <w:p w14:paraId="78A9A6D4" w14:textId="3594484A" w:rsidR="00F75F9B" w:rsidRDefault="00F75F9B" w:rsidP="00F75F9B">
      <w:pPr>
        <w:pStyle w:val="Heading2"/>
      </w:pPr>
      <w:bookmarkStart w:id="11" w:name="_Toc214641463"/>
      <w:r w:rsidRPr="00F75F9B">
        <w:t>3.2 Location Advantages (L)</w:t>
      </w:r>
      <w:bookmarkEnd w:id="11"/>
    </w:p>
    <w:p w14:paraId="7BE6E91E" w14:textId="77777777" w:rsidR="00F75F9B" w:rsidRDefault="00F75F9B" w:rsidP="004F5F4D"/>
    <w:p w14:paraId="0243A928" w14:textId="77777777" w:rsidR="00B045F7" w:rsidRPr="00B045F7" w:rsidRDefault="00B045F7" w:rsidP="00B045F7">
      <w:r w:rsidRPr="00B045F7">
        <w:t>India offers compelling location-specific advantages for BP’s expansion:</w:t>
      </w:r>
    </w:p>
    <w:p w14:paraId="78BD1761" w14:textId="77777777" w:rsidR="00B045F7" w:rsidRPr="00B045F7" w:rsidRDefault="00B045F7" w:rsidP="00B045F7">
      <w:pPr>
        <w:numPr>
          <w:ilvl w:val="0"/>
          <w:numId w:val="22"/>
        </w:numPr>
      </w:pPr>
      <w:r w:rsidRPr="00B045F7">
        <w:t>It is the world’s third-largest energy consumer, with demand expected to double by 2040 (World Bank, 2024).</w:t>
      </w:r>
    </w:p>
    <w:p w14:paraId="0936D8C2" w14:textId="77777777" w:rsidR="00B045F7" w:rsidRPr="00B045F7" w:rsidRDefault="00B045F7" w:rsidP="00B045F7">
      <w:pPr>
        <w:numPr>
          <w:ilvl w:val="0"/>
          <w:numId w:val="22"/>
        </w:numPr>
      </w:pPr>
      <w:r w:rsidRPr="00B045F7">
        <w:t>The liberalisation of its energy sector opens doors for foreign investment.</w:t>
      </w:r>
    </w:p>
    <w:p w14:paraId="18263FE7" w14:textId="77777777" w:rsidR="00B045F7" w:rsidRPr="00B045F7" w:rsidRDefault="00B045F7" w:rsidP="00B045F7">
      <w:pPr>
        <w:numPr>
          <w:ilvl w:val="0"/>
          <w:numId w:val="22"/>
        </w:numPr>
      </w:pPr>
      <w:r w:rsidRPr="00B045F7">
        <w:t>Its geography positions it as a strategic hub between the Middle East and Southeast Asia.</w:t>
      </w:r>
    </w:p>
    <w:p w14:paraId="0E6E47F4" w14:textId="77777777" w:rsidR="00B045F7" w:rsidRPr="00B045F7" w:rsidRDefault="00B045F7" w:rsidP="00B045F7">
      <w:pPr>
        <w:numPr>
          <w:ilvl w:val="0"/>
          <w:numId w:val="22"/>
        </w:numPr>
      </w:pPr>
      <w:r w:rsidRPr="00B045F7">
        <w:t>A rising middle class and rapid urbanisation fuel energy demand.</w:t>
      </w:r>
    </w:p>
    <w:p w14:paraId="37CB169C" w14:textId="77777777" w:rsidR="00B045F7" w:rsidRDefault="00B045F7" w:rsidP="00B045F7">
      <w:r w:rsidRPr="00B045F7">
        <w:t>BP also benefits from Reliance Industries’ established infrastructure, market knowledge, and regulatory familiarity—aligning with Dunning’s view that firms target locations combining opportunity with risk mitigation. Due to India’s regulatory complexity and intense local competition, partnerships are more viable than wholly owned subsidiaries (Lohana, 2021).</w:t>
      </w:r>
    </w:p>
    <w:p w14:paraId="4FF2F0D7" w14:textId="77777777" w:rsidR="000A29D9" w:rsidRPr="00B045F7" w:rsidRDefault="000A29D9" w:rsidP="00B045F7"/>
    <w:p w14:paraId="0478D8BA" w14:textId="04F5B22F" w:rsidR="00F75F9B" w:rsidRDefault="00F75F9B" w:rsidP="00F75F9B">
      <w:pPr>
        <w:pStyle w:val="Heading2"/>
      </w:pPr>
      <w:bookmarkStart w:id="12" w:name="_Toc214641464"/>
      <w:r w:rsidRPr="00F75F9B">
        <w:t>3.3 Internalisation Advantages (I)</w:t>
      </w:r>
      <w:bookmarkEnd w:id="12"/>
    </w:p>
    <w:p w14:paraId="08C6CF40" w14:textId="77777777" w:rsidR="00F75F9B" w:rsidRDefault="00F75F9B" w:rsidP="006A28B5"/>
    <w:p w14:paraId="5F09DD41" w14:textId="77777777" w:rsidR="00797E33" w:rsidRPr="00797E33" w:rsidRDefault="00797E33" w:rsidP="00797E33">
      <w:r w:rsidRPr="00797E33">
        <w:t>BP’s joint venture approach in India reflects the benefits of internalisation, allowing the company to retain control over proprietary technology and operations.</w:t>
      </w:r>
    </w:p>
    <w:p w14:paraId="1879FC07" w14:textId="77777777" w:rsidR="00797E33" w:rsidRPr="00797E33" w:rsidRDefault="00797E33" w:rsidP="00797E33">
      <w:r w:rsidRPr="00797E33">
        <w:lastRenderedPageBreak/>
        <w:t>Key internalisation advantages include:</w:t>
      </w:r>
    </w:p>
    <w:p w14:paraId="1AC66439" w14:textId="77777777" w:rsidR="00797E33" w:rsidRPr="00797E33" w:rsidRDefault="00797E33" w:rsidP="00797E33">
      <w:pPr>
        <w:numPr>
          <w:ilvl w:val="0"/>
          <w:numId w:val="23"/>
        </w:numPr>
      </w:pPr>
      <w:r w:rsidRPr="00797E33">
        <w:t>Ensuring consistent quality across exploration, refining, and retail</w:t>
      </w:r>
    </w:p>
    <w:p w14:paraId="47FFA3B7" w14:textId="77777777" w:rsidR="00797E33" w:rsidRPr="00797E33" w:rsidRDefault="00797E33" w:rsidP="00797E33">
      <w:pPr>
        <w:numPr>
          <w:ilvl w:val="0"/>
          <w:numId w:val="23"/>
        </w:numPr>
      </w:pPr>
      <w:r w:rsidRPr="00797E33">
        <w:t>Protecting intellectual property and operational know-how</w:t>
      </w:r>
    </w:p>
    <w:p w14:paraId="3538887C" w14:textId="77777777" w:rsidR="00797E33" w:rsidRPr="00797E33" w:rsidRDefault="00797E33" w:rsidP="00797E33">
      <w:pPr>
        <w:numPr>
          <w:ilvl w:val="0"/>
          <w:numId w:val="23"/>
        </w:numPr>
      </w:pPr>
      <w:r w:rsidRPr="00797E33">
        <w:t>Reducing transaction costs linked to external contracts</w:t>
      </w:r>
    </w:p>
    <w:p w14:paraId="54D8D131" w14:textId="77777777" w:rsidR="00797E33" w:rsidRPr="00797E33" w:rsidRDefault="00797E33" w:rsidP="00797E33">
      <w:pPr>
        <w:numPr>
          <w:ilvl w:val="0"/>
          <w:numId w:val="23"/>
        </w:numPr>
      </w:pPr>
      <w:r w:rsidRPr="00797E33">
        <w:t>Securing confidential data on exploration and compliance</w:t>
      </w:r>
    </w:p>
    <w:p w14:paraId="1CDE1DF8" w14:textId="77777777" w:rsidR="00797E33" w:rsidRPr="00797E33" w:rsidRDefault="00797E33" w:rsidP="00797E33">
      <w:r w:rsidRPr="00797E33">
        <w:t>In capital-intensive industries like oil and gas, internalising knowledge enables strategic flexibility and resilience—especially under regulatory complexity and long project cycles (Hartmann et al., 2022). As Dunning (1988) suggests, internalisation allows firms to avoid market imperfections and safeguard key capabilities.</w:t>
      </w:r>
    </w:p>
    <w:p w14:paraId="2942441B" w14:textId="06BB2200" w:rsidR="00F22A8B" w:rsidRDefault="00F22A8B" w:rsidP="006517FE">
      <w:r w:rsidRPr="00F22A8B">
        <w:t xml:space="preserve">Figure </w:t>
      </w:r>
      <w:r w:rsidR="00876414">
        <w:t>2</w:t>
      </w:r>
      <w:r w:rsidRPr="00F22A8B">
        <w:t xml:space="preserve"> </w:t>
      </w:r>
    </w:p>
    <w:p w14:paraId="2BA3EA04" w14:textId="442EB8D3" w:rsidR="00DC2FC1" w:rsidRDefault="000A7E76" w:rsidP="006517FE">
      <w:r>
        <w:rPr>
          <w:noProof/>
        </w:rPr>
        <w:drawing>
          <wp:inline distT="0" distB="0" distL="0" distR="0" wp14:anchorId="4F75469A" wp14:editId="206A8908">
            <wp:extent cx="5731510" cy="3820795"/>
            <wp:effectExtent l="0" t="0" r="2540" b="8255"/>
            <wp:docPr id="807236030" name="Picture 1" descr="A diagram of a company's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36030" name="Picture 1" descr="A diagram of a company's process"/>
                    <pic:cNvPicPr/>
                  </pic:nvPicPr>
                  <pic:blipFill>
                    <a:blip r:embed="rId11">
                      <a:duotone>
                        <a:schemeClr val="accent2">
                          <a:shade val="45000"/>
                          <a:satMod val="135000"/>
                        </a:schemeClr>
                        <a:prstClr val="white"/>
                      </a:duotone>
                    </a:blip>
                    <a:stretch>
                      <a:fillRect/>
                    </a:stretch>
                  </pic:blipFill>
                  <pic:spPr>
                    <a:xfrm>
                      <a:off x="0" y="0"/>
                      <a:ext cx="5731510" cy="3820795"/>
                    </a:xfrm>
                    <a:prstGeom prst="rect">
                      <a:avLst/>
                    </a:prstGeom>
                  </pic:spPr>
                </pic:pic>
              </a:graphicData>
            </a:graphic>
          </wp:inline>
        </w:drawing>
      </w:r>
    </w:p>
    <w:p w14:paraId="5CA4E031" w14:textId="4B5AD599" w:rsidR="00F75F9B" w:rsidRDefault="00CC4D72" w:rsidP="00F75F9B">
      <w:r w:rsidRPr="00CC4D72">
        <w:t>Source: Developed by author based on Dunning (1988); Hartmann et al. (2022); BP (2024)</w:t>
      </w:r>
    </w:p>
    <w:p w14:paraId="451E0057" w14:textId="77777777" w:rsidR="00BF5699" w:rsidRDefault="00BF5699" w:rsidP="00F75F9B"/>
    <w:p w14:paraId="490BB526" w14:textId="12E5DFDD" w:rsidR="00F75F9B" w:rsidRDefault="00F75F9B" w:rsidP="00F75F9B">
      <w:pPr>
        <w:pStyle w:val="Heading2"/>
      </w:pPr>
      <w:bookmarkStart w:id="13" w:name="_Toc214641465"/>
      <w:r w:rsidRPr="00F75F9B">
        <w:t>3.4 Dominant Entry Mode Discussion</w:t>
      </w:r>
      <w:bookmarkEnd w:id="13"/>
    </w:p>
    <w:p w14:paraId="3350E235" w14:textId="77777777" w:rsidR="00906F89" w:rsidRDefault="00906F89" w:rsidP="00906F89"/>
    <w:p w14:paraId="4DC448C3" w14:textId="77777777" w:rsidR="006C46B5" w:rsidRPr="006C46B5" w:rsidRDefault="006C46B5" w:rsidP="006C46B5">
      <w:r w:rsidRPr="006C46B5">
        <w:t>BP entered India through a 50:50 joint venture with Reliance Industries: Reliance BP Mobility Limited (RBML). This mode provides strategic advantages:</w:t>
      </w:r>
    </w:p>
    <w:p w14:paraId="7E2847CA" w14:textId="77777777" w:rsidR="006C46B5" w:rsidRPr="006C46B5" w:rsidRDefault="006C46B5" w:rsidP="006C46B5">
      <w:pPr>
        <w:numPr>
          <w:ilvl w:val="0"/>
          <w:numId w:val="24"/>
        </w:numPr>
      </w:pPr>
      <w:r w:rsidRPr="006C46B5">
        <w:t>Shared risk in a volatile, regulated market</w:t>
      </w:r>
    </w:p>
    <w:p w14:paraId="6A570040" w14:textId="77777777" w:rsidR="006C46B5" w:rsidRPr="006C46B5" w:rsidRDefault="006C46B5" w:rsidP="006C46B5">
      <w:pPr>
        <w:numPr>
          <w:ilvl w:val="0"/>
          <w:numId w:val="24"/>
        </w:numPr>
      </w:pPr>
      <w:r w:rsidRPr="006C46B5">
        <w:t>Instant access to local infrastructure and distribution</w:t>
      </w:r>
    </w:p>
    <w:p w14:paraId="26B1786F" w14:textId="77777777" w:rsidR="006C46B5" w:rsidRPr="006C46B5" w:rsidRDefault="006C46B5" w:rsidP="006C46B5">
      <w:pPr>
        <w:numPr>
          <w:ilvl w:val="0"/>
          <w:numId w:val="24"/>
        </w:numPr>
      </w:pPr>
      <w:r w:rsidRPr="006C46B5">
        <w:t>Legitimacy in dealings with government and regulators</w:t>
      </w:r>
    </w:p>
    <w:p w14:paraId="0166045C" w14:textId="77777777" w:rsidR="006C46B5" w:rsidRDefault="006C46B5" w:rsidP="006C46B5">
      <w:pPr>
        <w:numPr>
          <w:ilvl w:val="0"/>
          <w:numId w:val="24"/>
        </w:numPr>
      </w:pPr>
      <w:r w:rsidRPr="006C46B5">
        <w:lastRenderedPageBreak/>
        <w:t>Operational synergy via BP’s tech and Reliance’s reach</w:t>
      </w:r>
    </w:p>
    <w:p w14:paraId="1B8C873E" w14:textId="46F8EAAE" w:rsidR="00E1170E" w:rsidRPr="006C46B5" w:rsidRDefault="00A5758D" w:rsidP="00A5758D">
      <w:r w:rsidRPr="00A5758D">
        <w:t>However, relying on a joint venture with a dominant local conglomerate introduces significant strategic risks related to power asymmetry. According to Resource Dependence Theory, the partner controlling critical resources—in this case, Reliance’s massive retail footprint and political capital—may exert disproportionate influence over strategic direction (Pfeffer and Salancik, 2003). There is an inherent risk that BP’s global sustainability mandates could clash with the local partner’s commercial priorities or aggressive expansion targets. Furthermore, the 'hold-up' risk in transaction cost economics suggests that BP becomes vulnerable if the partnership dissolves, as establishing an independent network from scratch would be cost-prohibitive (Williamson, 1985). Therefore, BP’s governance framework must include robust exit clauses and intellectual property protection mechanisms to safeguard its proprietary EV charging technology against potential misappropriation or alliance failure.</w:t>
      </w:r>
    </w:p>
    <w:p w14:paraId="41C1DC38" w14:textId="77777777" w:rsidR="006C46B5" w:rsidRPr="006C46B5" w:rsidRDefault="006C46B5" w:rsidP="006C46B5">
      <w:r w:rsidRPr="006C46B5">
        <w:t>In contrast, BP favours wholly owned subsidiaries in developed markets like the US, where regulation is lighter and IP laws are stronger (Johnson &amp; Turner, 2021).</w:t>
      </w:r>
    </w:p>
    <w:p w14:paraId="13CD26D7" w14:textId="77777777" w:rsidR="006C46B5" w:rsidRDefault="006C46B5" w:rsidP="00906F89"/>
    <w:p w14:paraId="2263F2F3" w14:textId="620A4E24" w:rsidR="00E95E24" w:rsidRDefault="00380AAC" w:rsidP="00906F89">
      <w:r w:rsidRPr="00380AAC">
        <w:t xml:space="preserve">Table </w:t>
      </w:r>
      <w:r>
        <w:t>4</w:t>
      </w:r>
      <w:r w:rsidRPr="00380AAC">
        <w:t xml:space="preserve"> – </w:t>
      </w:r>
      <w:r w:rsidR="00C96DAD" w:rsidRPr="00C96DAD">
        <w:t>Analysis of BP's Market Entry Modes in Key Emerging Economies</w:t>
      </w:r>
    </w:p>
    <w:p w14:paraId="0F2ED4A3" w14:textId="5462038A" w:rsidR="00E014DA" w:rsidRDefault="00E014DA" w:rsidP="00E014DA">
      <w:pPr>
        <w:rPr>
          <w:sz w:val="18"/>
          <w:szCs w:val="18"/>
        </w:rPr>
      </w:pPr>
    </w:p>
    <w:tbl>
      <w:tblPr>
        <w:tblStyle w:val="GridTable5Dark-Accent3"/>
        <w:tblW w:w="0" w:type="auto"/>
        <w:tblLook w:val="04A0" w:firstRow="1" w:lastRow="0" w:firstColumn="1" w:lastColumn="0" w:noHBand="0" w:noVBand="1"/>
      </w:tblPr>
      <w:tblGrid>
        <w:gridCol w:w="839"/>
        <w:gridCol w:w="2494"/>
        <w:gridCol w:w="2712"/>
        <w:gridCol w:w="2971"/>
      </w:tblGrid>
      <w:tr w:rsidR="0034479F" w:rsidRPr="0034479F" w14:paraId="021ACE5A" w14:textId="77777777" w:rsidTr="00903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11B0E" w14:textId="77777777" w:rsidR="0034479F" w:rsidRPr="0034479F" w:rsidRDefault="0034479F" w:rsidP="0034479F">
            <w:pPr>
              <w:spacing w:after="120" w:line="264" w:lineRule="auto"/>
              <w:rPr>
                <w:sz w:val="16"/>
                <w:szCs w:val="16"/>
              </w:rPr>
            </w:pPr>
            <w:r w:rsidRPr="0034479F">
              <w:rPr>
                <w:sz w:val="16"/>
                <w:szCs w:val="16"/>
              </w:rPr>
              <w:t>Country</w:t>
            </w:r>
          </w:p>
        </w:tc>
        <w:tc>
          <w:tcPr>
            <w:tcW w:w="0" w:type="auto"/>
            <w:hideMark/>
          </w:tcPr>
          <w:p w14:paraId="54E7EDFB"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Primary Entry Mode</w:t>
            </w:r>
          </w:p>
        </w:tc>
        <w:tc>
          <w:tcPr>
            <w:tcW w:w="0" w:type="auto"/>
            <w:hideMark/>
          </w:tcPr>
          <w:p w14:paraId="60A1A6CD"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OLI-Based Rationale</w:t>
            </w:r>
          </w:p>
        </w:tc>
        <w:tc>
          <w:tcPr>
            <w:tcW w:w="0" w:type="auto"/>
            <w:hideMark/>
          </w:tcPr>
          <w:p w14:paraId="3488E08A" w14:textId="77777777" w:rsidR="0034479F" w:rsidRPr="0034479F" w:rsidRDefault="0034479F" w:rsidP="0034479F">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34479F">
              <w:rPr>
                <w:sz w:val="16"/>
                <w:szCs w:val="16"/>
              </w:rPr>
              <w:t>Strategic Outcome</w:t>
            </w:r>
          </w:p>
        </w:tc>
      </w:tr>
      <w:tr w:rsidR="0034479F" w:rsidRPr="0034479F" w14:paraId="7CB40CD3" w14:textId="77777777" w:rsidTr="0090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AF95B" w14:textId="77777777" w:rsidR="0034479F" w:rsidRPr="0034479F" w:rsidRDefault="0034479F" w:rsidP="0034479F">
            <w:pPr>
              <w:spacing w:after="120" w:line="264" w:lineRule="auto"/>
              <w:rPr>
                <w:sz w:val="16"/>
                <w:szCs w:val="16"/>
              </w:rPr>
            </w:pPr>
            <w:r w:rsidRPr="0034479F">
              <w:rPr>
                <w:sz w:val="16"/>
                <w:szCs w:val="16"/>
              </w:rPr>
              <w:t>India</w:t>
            </w:r>
          </w:p>
        </w:tc>
        <w:tc>
          <w:tcPr>
            <w:tcW w:w="0" w:type="auto"/>
            <w:hideMark/>
          </w:tcPr>
          <w:p w14:paraId="77ED0DC5"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Joint Venture</w:t>
            </w:r>
            <w:r w:rsidRPr="0034479F">
              <w:rPr>
                <w:sz w:val="16"/>
                <w:szCs w:val="16"/>
              </w:rPr>
              <w:t> (Jio-bp with Reliance Industries)</w:t>
            </w:r>
          </w:p>
        </w:tc>
        <w:tc>
          <w:tcPr>
            <w:tcW w:w="0" w:type="auto"/>
            <w:hideMark/>
          </w:tcPr>
          <w:p w14:paraId="5C363D1E"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O:</w:t>
            </w:r>
            <w:r w:rsidRPr="0034479F">
              <w:rPr>
                <w:sz w:val="16"/>
                <w:szCs w:val="16"/>
              </w:rPr>
              <w:t> BP's technology &amp; brand</w:t>
            </w:r>
            <w:r w:rsidRPr="0034479F">
              <w:rPr>
                <w:sz w:val="16"/>
                <w:szCs w:val="16"/>
              </w:rPr>
              <w:br/>
            </w:r>
            <w:r w:rsidRPr="0034479F">
              <w:rPr>
                <w:b/>
                <w:bCs/>
                <w:sz w:val="16"/>
                <w:szCs w:val="16"/>
              </w:rPr>
              <w:t>L:</w:t>
            </w:r>
            <w:r w:rsidRPr="0034479F">
              <w:rPr>
                <w:sz w:val="16"/>
                <w:szCs w:val="16"/>
              </w:rPr>
              <w:t> Complex regulations, need for local legitimacy, high growth potential</w:t>
            </w:r>
            <w:r w:rsidRPr="0034479F">
              <w:rPr>
                <w:sz w:val="16"/>
                <w:szCs w:val="16"/>
              </w:rPr>
              <w:br/>
            </w:r>
            <w:r w:rsidRPr="0034479F">
              <w:rPr>
                <w:b/>
                <w:bCs/>
                <w:sz w:val="16"/>
                <w:szCs w:val="16"/>
              </w:rPr>
              <w:t>I:</w:t>
            </w:r>
            <w:r w:rsidRPr="0034479F">
              <w:rPr>
                <w:sz w:val="16"/>
                <w:szCs w:val="16"/>
              </w:rPr>
              <w:t> High transaction costs &amp; risk necessitate partnership (Dunning, 1988; BP, 2023)</w:t>
            </w:r>
          </w:p>
        </w:tc>
        <w:tc>
          <w:tcPr>
            <w:tcW w:w="0" w:type="auto"/>
            <w:hideMark/>
          </w:tcPr>
          <w:p w14:paraId="27D3A029"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sz w:val="16"/>
                <w:szCs w:val="16"/>
              </w:rPr>
              <w:t>Rapid scaling to 1,500+ retail stations; leading position in EV charging network development</w:t>
            </w:r>
          </w:p>
        </w:tc>
      </w:tr>
      <w:tr w:rsidR="0034479F" w:rsidRPr="0034479F" w14:paraId="224A529E" w14:textId="77777777" w:rsidTr="009031AC">
        <w:tc>
          <w:tcPr>
            <w:cnfStyle w:val="001000000000" w:firstRow="0" w:lastRow="0" w:firstColumn="1" w:lastColumn="0" w:oddVBand="0" w:evenVBand="0" w:oddHBand="0" w:evenHBand="0" w:firstRowFirstColumn="0" w:firstRowLastColumn="0" w:lastRowFirstColumn="0" w:lastRowLastColumn="0"/>
            <w:tcW w:w="0" w:type="auto"/>
            <w:hideMark/>
          </w:tcPr>
          <w:p w14:paraId="225CE2E1" w14:textId="77777777" w:rsidR="0034479F" w:rsidRPr="0034479F" w:rsidRDefault="0034479F" w:rsidP="0034479F">
            <w:pPr>
              <w:spacing w:after="120" w:line="264" w:lineRule="auto"/>
              <w:rPr>
                <w:sz w:val="16"/>
                <w:szCs w:val="16"/>
              </w:rPr>
            </w:pPr>
            <w:r w:rsidRPr="0034479F">
              <w:rPr>
                <w:sz w:val="16"/>
                <w:szCs w:val="16"/>
              </w:rPr>
              <w:t>Brazil</w:t>
            </w:r>
          </w:p>
        </w:tc>
        <w:tc>
          <w:tcPr>
            <w:tcW w:w="0" w:type="auto"/>
            <w:hideMark/>
          </w:tcPr>
          <w:p w14:paraId="60789EB0"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b/>
                <w:bCs/>
                <w:sz w:val="16"/>
                <w:szCs w:val="16"/>
              </w:rPr>
              <w:t>Acquisition</w:t>
            </w:r>
            <w:r w:rsidRPr="0034479F">
              <w:rPr>
                <w:sz w:val="16"/>
                <w:szCs w:val="16"/>
              </w:rPr>
              <w:t> &amp; </w:t>
            </w:r>
            <w:r w:rsidRPr="0034479F">
              <w:rPr>
                <w:b/>
                <w:bCs/>
                <w:sz w:val="16"/>
                <w:szCs w:val="16"/>
              </w:rPr>
              <w:t>Organic Growth</w:t>
            </w:r>
          </w:p>
        </w:tc>
        <w:tc>
          <w:tcPr>
            <w:tcW w:w="0" w:type="auto"/>
            <w:hideMark/>
          </w:tcPr>
          <w:p w14:paraId="0E6CB4AF"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b/>
                <w:bCs/>
                <w:sz w:val="16"/>
                <w:szCs w:val="16"/>
              </w:rPr>
              <w:t>O:</w:t>
            </w:r>
            <w:r w:rsidRPr="0034479F">
              <w:rPr>
                <w:sz w:val="16"/>
                <w:szCs w:val="16"/>
              </w:rPr>
              <w:t> Financial strength and biofuels expertise</w:t>
            </w:r>
            <w:r w:rsidRPr="0034479F">
              <w:rPr>
                <w:sz w:val="16"/>
                <w:szCs w:val="16"/>
              </w:rPr>
              <w:br/>
            </w:r>
            <w:r w:rsidRPr="0034479F">
              <w:rPr>
                <w:b/>
                <w:bCs/>
                <w:sz w:val="16"/>
                <w:szCs w:val="16"/>
              </w:rPr>
              <w:t>L:</w:t>
            </w:r>
            <w:r w:rsidRPr="0034479F">
              <w:rPr>
                <w:sz w:val="16"/>
                <w:szCs w:val="16"/>
              </w:rPr>
              <w:t> Mature biofuels market, complex local content rules</w:t>
            </w:r>
            <w:r w:rsidRPr="0034479F">
              <w:rPr>
                <w:sz w:val="16"/>
                <w:szCs w:val="16"/>
              </w:rPr>
              <w:br/>
            </w:r>
            <w:r w:rsidRPr="0034479F">
              <w:rPr>
                <w:b/>
                <w:bCs/>
                <w:sz w:val="16"/>
                <w:szCs w:val="16"/>
              </w:rPr>
              <w:t>I:</w:t>
            </w:r>
            <w:r w:rsidRPr="0034479F">
              <w:rPr>
                <w:sz w:val="16"/>
                <w:szCs w:val="16"/>
              </w:rPr>
              <w:t> Direct control to maximize returns on established assets (OECD, 2024)</w:t>
            </w:r>
          </w:p>
        </w:tc>
        <w:tc>
          <w:tcPr>
            <w:tcW w:w="0" w:type="auto"/>
            <w:hideMark/>
          </w:tcPr>
          <w:p w14:paraId="7B5C62E1" w14:textId="77777777" w:rsidR="0034479F" w:rsidRPr="0034479F" w:rsidRDefault="0034479F" w:rsidP="0034479F">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34479F">
              <w:rPr>
                <w:sz w:val="16"/>
                <w:szCs w:val="16"/>
              </w:rPr>
              <w:t>Established biofuels leadership; significant operational control in strategic sectors</w:t>
            </w:r>
          </w:p>
        </w:tc>
      </w:tr>
      <w:tr w:rsidR="0034479F" w:rsidRPr="0034479F" w14:paraId="1EBD2747" w14:textId="77777777" w:rsidTr="0090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503B10" w14:textId="77777777" w:rsidR="0034479F" w:rsidRPr="0034479F" w:rsidRDefault="0034479F" w:rsidP="0034479F">
            <w:pPr>
              <w:spacing w:after="120" w:line="264" w:lineRule="auto"/>
              <w:rPr>
                <w:sz w:val="16"/>
                <w:szCs w:val="16"/>
              </w:rPr>
            </w:pPr>
            <w:r w:rsidRPr="0034479F">
              <w:rPr>
                <w:sz w:val="16"/>
                <w:szCs w:val="16"/>
              </w:rPr>
              <w:t>Vietnam</w:t>
            </w:r>
          </w:p>
        </w:tc>
        <w:tc>
          <w:tcPr>
            <w:tcW w:w="0" w:type="auto"/>
            <w:hideMark/>
          </w:tcPr>
          <w:p w14:paraId="58F6891C"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Trading Operations</w:t>
            </w:r>
            <w:r w:rsidRPr="0034479F">
              <w:rPr>
                <w:sz w:val="16"/>
                <w:szCs w:val="16"/>
              </w:rPr>
              <w:t> &amp; </w:t>
            </w:r>
            <w:r w:rsidRPr="0034479F">
              <w:rPr>
                <w:b/>
                <w:bCs/>
                <w:sz w:val="16"/>
                <w:szCs w:val="16"/>
              </w:rPr>
              <w:t>Selective Partnerships</w:t>
            </w:r>
          </w:p>
        </w:tc>
        <w:tc>
          <w:tcPr>
            <w:tcW w:w="0" w:type="auto"/>
            <w:hideMark/>
          </w:tcPr>
          <w:p w14:paraId="04F6EF23"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b/>
                <w:bCs/>
                <w:sz w:val="16"/>
                <w:szCs w:val="16"/>
              </w:rPr>
              <w:t>O:</w:t>
            </w:r>
            <w:r w:rsidRPr="0034479F">
              <w:rPr>
                <w:sz w:val="16"/>
                <w:szCs w:val="16"/>
              </w:rPr>
              <w:t> Global trading capability and brand reputation</w:t>
            </w:r>
            <w:r w:rsidRPr="0034479F">
              <w:rPr>
                <w:sz w:val="16"/>
                <w:szCs w:val="16"/>
              </w:rPr>
              <w:br/>
            </w:r>
            <w:r w:rsidRPr="0034479F">
              <w:rPr>
                <w:b/>
                <w:bCs/>
                <w:sz w:val="16"/>
                <w:szCs w:val="16"/>
              </w:rPr>
              <w:t>L:</w:t>
            </w:r>
            <w:r w:rsidRPr="0034479F">
              <w:rPr>
                <w:sz w:val="16"/>
                <w:szCs w:val="16"/>
              </w:rPr>
              <w:t> Emerging market with high potential but regulatory uncertainty</w:t>
            </w:r>
            <w:r w:rsidRPr="0034479F">
              <w:rPr>
                <w:sz w:val="16"/>
                <w:szCs w:val="16"/>
              </w:rPr>
              <w:br/>
            </w:r>
            <w:r w:rsidRPr="0034479F">
              <w:rPr>
                <w:b/>
                <w:bCs/>
                <w:sz w:val="16"/>
                <w:szCs w:val="16"/>
              </w:rPr>
              <w:t>I:</w:t>
            </w:r>
            <w:r w:rsidRPr="0034479F">
              <w:rPr>
                <w:sz w:val="16"/>
                <w:szCs w:val="16"/>
              </w:rPr>
              <w:t> Low commitment to test market potential while minimizing risk (IEA, 2023)</w:t>
            </w:r>
          </w:p>
        </w:tc>
        <w:tc>
          <w:tcPr>
            <w:tcW w:w="0" w:type="auto"/>
            <w:hideMark/>
          </w:tcPr>
          <w:p w14:paraId="1040BDC7" w14:textId="77777777" w:rsidR="0034479F" w:rsidRPr="0034479F" w:rsidRDefault="0034479F" w:rsidP="0034479F">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34479F">
              <w:rPr>
                <w:sz w:val="16"/>
                <w:szCs w:val="16"/>
              </w:rPr>
              <w:t>Limited physical presence; focus on energy trading and market intelligence gathering</w:t>
            </w:r>
          </w:p>
        </w:tc>
      </w:tr>
    </w:tbl>
    <w:p w14:paraId="3C1715E9" w14:textId="4B3FD773" w:rsidR="0034479F" w:rsidRDefault="00CC6E04" w:rsidP="00E014DA">
      <w:pPr>
        <w:rPr>
          <w:sz w:val="16"/>
          <w:szCs w:val="16"/>
        </w:rPr>
      </w:pPr>
      <w:r>
        <w:rPr>
          <w:sz w:val="16"/>
          <w:szCs w:val="16"/>
        </w:rPr>
        <w:t>S</w:t>
      </w:r>
      <w:r w:rsidRPr="00CC6E04">
        <w:rPr>
          <w:sz w:val="16"/>
          <w:szCs w:val="16"/>
        </w:rPr>
        <w:t>ource: Developed by the author based on BP Annual Report (2024); Dunning (1988); IEA (2023); OECD (2024).</w:t>
      </w:r>
    </w:p>
    <w:p w14:paraId="1B3E2853" w14:textId="77777777" w:rsidR="00BD35BC" w:rsidRDefault="00BD35BC" w:rsidP="00E014DA">
      <w:pPr>
        <w:rPr>
          <w:sz w:val="16"/>
          <w:szCs w:val="16"/>
        </w:rPr>
      </w:pPr>
    </w:p>
    <w:p w14:paraId="15FC16D0" w14:textId="4A2C9123" w:rsidR="00F75F9B" w:rsidRDefault="00BD35BC" w:rsidP="00F75F9B">
      <w:r w:rsidRPr="00BD35BC">
        <w:t>This comparison demonstrates BP's strategic adaptation to different emerging market conditions. India's joint venture balances risk and growth in a complex high-potential market. Brazil's acquisition strategy prioritizes control in established sectors, while Vietnam's trading approach maintains flexibility in uncertain environments. The OLI paradigm explains these choices as rational responses to varying institutional conditions and risk profiles.</w:t>
      </w:r>
    </w:p>
    <w:p w14:paraId="47B6699F" w14:textId="4894BF1D" w:rsidR="00F75F9B" w:rsidRDefault="00F227AC" w:rsidP="007B58F5">
      <w:pPr>
        <w:pStyle w:val="Heading2"/>
      </w:pPr>
      <w:bookmarkStart w:id="14" w:name="_Toc214641466"/>
      <w:r w:rsidRPr="00F227AC">
        <w:lastRenderedPageBreak/>
        <w:t>3.5 Comparative Case: Shell’s Entry Strategy in India</w:t>
      </w:r>
      <w:bookmarkEnd w:id="14"/>
    </w:p>
    <w:p w14:paraId="3AA2DDF5" w14:textId="77777777" w:rsidR="00F75F9B" w:rsidRDefault="00F75F9B" w:rsidP="00F75F9B"/>
    <w:p w14:paraId="2F3FCEAA" w14:textId="6AE6CD82" w:rsidR="00F75F9B" w:rsidRDefault="006127F1" w:rsidP="00F75F9B">
      <w:r w:rsidRPr="006127F1">
        <w:t>Unlike BP, Shell initially entered India through wholly-owned subsidiaries in retail and LNG, later forming partnerships with local firms such as TCI and Nayara Energy. This hybrid strategy aimed to balance control with local insight (Shell, 2024). However, Shell faced delays due to regulatory bottlenecks and land acquisition issues in Gujarat, indicating that BP’s joint venture approach may offer more stability in India’s bureaucratic context (Rao &amp; Mishra, 2022).</w:t>
      </w:r>
      <w:r w:rsidR="00077AB0" w:rsidRPr="00077AB0">
        <w:t xml:space="preserve"> </w:t>
      </w:r>
      <w:r w:rsidR="00077AB0" w:rsidRPr="00077AB0">
        <w:t>From a financial perspective, the choice of entry mode reflects a distinct variation in capital expenditure (CAPEX) requirements across these markets. In Brazil, BP’s upstream focus on deep-water exploration necessitates massive upfront capital investment with long payback periods, typical of high-risk, high-reward asset accumulation. Conversely, the Vietnamese model relies on trading, which is 'asset-light' but offers lower margins. The Indian joint venture sits strategically between these extremes; by leveraging Reliance’s existing 1,400+ fuel stations, BP has significantly reduced its initial infrastructure outlay (BP, 2024). This allows the corporation to reallocate capital towards technology and brand differentiation rather than acquiring expensive real estate, thereby improving the Return on Capital Employed (ROCE) in the short term compared to a greenfield investment strategy.</w:t>
      </w:r>
      <w:r w:rsidRPr="006127F1">
        <w:t xml:space="preserve"> Comparative analysis shows that while wholly-owned strategies allow greater control, JVs like BP’s with Reliance offer deeper localisation and risk-sharing — essential in an emerging market like India.</w:t>
      </w:r>
    </w:p>
    <w:p w14:paraId="0363D4DC" w14:textId="77777777" w:rsidR="00092E98" w:rsidRDefault="00092E98" w:rsidP="00F75F9B"/>
    <w:p w14:paraId="03F28FB2" w14:textId="77777777" w:rsidR="00092E98" w:rsidRDefault="00092E98" w:rsidP="00F75F9B"/>
    <w:p w14:paraId="4DFFB8E6" w14:textId="77777777" w:rsidR="00092E98" w:rsidRDefault="00092E98" w:rsidP="00F75F9B"/>
    <w:p w14:paraId="6B394728" w14:textId="77777777" w:rsidR="00092E98" w:rsidRDefault="00092E98" w:rsidP="00F75F9B"/>
    <w:p w14:paraId="54D6D805" w14:textId="77777777" w:rsidR="00092E98" w:rsidRDefault="00092E98" w:rsidP="00F75F9B"/>
    <w:p w14:paraId="5944E346" w14:textId="77777777" w:rsidR="00092E98" w:rsidRDefault="00092E98" w:rsidP="00F75F9B"/>
    <w:p w14:paraId="058BD412" w14:textId="77777777" w:rsidR="00092E98" w:rsidRDefault="00092E98" w:rsidP="00F75F9B"/>
    <w:p w14:paraId="5C2F5455" w14:textId="77777777" w:rsidR="00092E98" w:rsidRDefault="00092E98" w:rsidP="00F75F9B"/>
    <w:p w14:paraId="5C8902CE" w14:textId="77777777" w:rsidR="00092E98" w:rsidRDefault="00092E98" w:rsidP="00F75F9B"/>
    <w:p w14:paraId="05D03F2C" w14:textId="77777777" w:rsidR="00092E98" w:rsidRDefault="00092E98" w:rsidP="00F75F9B"/>
    <w:p w14:paraId="00809366" w14:textId="77777777" w:rsidR="00092E98" w:rsidRDefault="00092E98" w:rsidP="00F75F9B"/>
    <w:p w14:paraId="3C1AEAB0" w14:textId="77777777" w:rsidR="00092E98" w:rsidRDefault="00092E98" w:rsidP="00F75F9B"/>
    <w:p w14:paraId="0ACB54ED" w14:textId="77777777" w:rsidR="00092E98" w:rsidRDefault="00092E98" w:rsidP="00F75F9B"/>
    <w:p w14:paraId="598A1F51" w14:textId="77777777" w:rsidR="00092E98" w:rsidRDefault="00092E98" w:rsidP="00F75F9B"/>
    <w:p w14:paraId="4810D522" w14:textId="786805BB" w:rsidR="00F75F9B" w:rsidRDefault="00F75F9B" w:rsidP="00F75F9B">
      <w:pPr>
        <w:pStyle w:val="Heading1"/>
      </w:pPr>
      <w:bookmarkStart w:id="15" w:name="_Toc214641467"/>
      <w:r w:rsidRPr="00F75F9B">
        <w:lastRenderedPageBreak/>
        <w:t xml:space="preserve">4. </w:t>
      </w:r>
      <w:r w:rsidR="007B35F7" w:rsidRPr="007B35F7">
        <w:t>Critical Evaluation of Cultural Differences and Market Entry Impact</w:t>
      </w:r>
      <w:bookmarkEnd w:id="15"/>
    </w:p>
    <w:p w14:paraId="48CD6480" w14:textId="0F852A87" w:rsidR="00F75F9B" w:rsidRDefault="00F75F9B" w:rsidP="00F75F9B">
      <w:pPr>
        <w:pStyle w:val="Heading2"/>
      </w:pPr>
      <w:bookmarkStart w:id="16" w:name="_Toc214641468"/>
      <w:r w:rsidRPr="00F75F9B">
        <w:t xml:space="preserve">4.1 </w:t>
      </w:r>
      <w:r w:rsidR="00C42518" w:rsidRPr="00C42518">
        <w:t>Theoretical Framework and Comparative Context</w:t>
      </w:r>
      <w:bookmarkEnd w:id="16"/>
    </w:p>
    <w:p w14:paraId="47F44EC9" w14:textId="77777777" w:rsidR="00914B0B" w:rsidRDefault="00914B0B" w:rsidP="00914B0B"/>
    <w:p w14:paraId="3D662B2A" w14:textId="0288F28D" w:rsidR="00B1486A" w:rsidRDefault="00C42518" w:rsidP="00914B0B">
      <w:r w:rsidRPr="00C42518">
        <w:t>Cultural differences between the United Kingdom (BP's home country) and its target emerging economies present significant considerations for market entry strategy. Hofstede's cultural dimensions theory provides a robust framework for analysing these differences (Hofstede, 2011). When comparing India against Brazil and Vietnam, distinct cultural profiles emerge that necessitate tailored approaches for BP's operations.</w:t>
      </w:r>
    </w:p>
    <w:p w14:paraId="69326E6C" w14:textId="491A2EF1" w:rsidR="00F75F9B" w:rsidRDefault="00F75F9B" w:rsidP="00F75F9B">
      <w:pPr>
        <w:pStyle w:val="Heading2"/>
      </w:pPr>
      <w:bookmarkStart w:id="17" w:name="_Toc214641469"/>
      <w:r w:rsidRPr="00F75F9B">
        <w:rPr>
          <w:rFonts w:asciiTheme="majorHAnsi" w:hAnsiTheme="majorHAnsi"/>
        </w:rPr>
        <w:t xml:space="preserve">4.2 </w:t>
      </w:r>
      <w:r w:rsidR="001D7F60" w:rsidRPr="001D7F60">
        <w:rPr>
          <w:rFonts w:asciiTheme="majorHAnsi" w:hAnsiTheme="majorHAnsi"/>
        </w:rPr>
        <w:t>Comparative Cultural Dimensions Analysis</w:t>
      </w:r>
      <w:bookmarkEnd w:id="17"/>
    </w:p>
    <w:p w14:paraId="5278526D" w14:textId="77777777" w:rsidR="00F75F9B" w:rsidRDefault="00F75F9B" w:rsidP="00D16CF2"/>
    <w:p w14:paraId="62E9E437" w14:textId="29DC6F7C" w:rsidR="00405736" w:rsidRDefault="00405736" w:rsidP="00D16CF2">
      <w:r w:rsidRPr="00405736">
        <w:t xml:space="preserve">Table </w:t>
      </w:r>
      <w:r w:rsidR="006F31D9">
        <w:t>5</w:t>
      </w:r>
      <w:r w:rsidRPr="00405736">
        <w:t xml:space="preserve">: </w:t>
      </w:r>
      <w:r w:rsidR="00C5277B" w:rsidRPr="00C5277B">
        <w:t>Cultural Dimensions Comparison for BP’s Key Emerging Markets</w:t>
      </w:r>
    </w:p>
    <w:tbl>
      <w:tblPr>
        <w:tblStyle w:val="GridTable5Dark-Accent2"/>
        <w:tblW w:w="0" w:type="auto"/>
        <w:tblLook w:val="04A0" w:firstRow="1" w:lastRow="0" w:firstColumn="1" w:lastColumn="0" w:noHBand="0" w:noVBand="1"/>
      </w:tblPr>
      <w:tblGrid>
        <w:gridCol w:w="1783"/>
        <w:gridCol w:w="1067"/>
        <w:gridCol w:w="786"/>
        <w:gridCol w:w="786"/>
        <w:gridCol w:w="839"/>
        <w:gridCol w:w="3755"/>
      </w:tblGrid>
      <w:tr w:rsidR="00D76295" w:rsidRPr="00D76295" w14:paraId="67B2C069" w14:textId="77777777" w:rsidTr="00D762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DBD696" w14:textId="77777777" w:rsidR="00D76295" w:rsidRPr="00D76295" w:rsidRDefault="00D76295" w:rsidP="00D76295">
            <w:pPr>
              <w:spacing w:after="120" w:line="264" w:lineRule="auto"/>
              <w:rPr>
                <w:sz w:val="16"/>
                <w:szCs w:val="16"/>
              </w:rPr>
            </w:pPr>
            <w:r w:rsidRPr="00D76295">
              <w:rPr>
                <w:sz w:val="16"/>
                <w:szCs w:val="16"/>
              </w:rPr>
              <w:t>Dimension</w:t>
            </w:r>
          </w:p>
        </w:tc>
        <w:tc>
          <w:tcPr>
            <w:tcW w:w="0" w:type="auto"/>
            <w:hideMark/>
          </w:tcPr>
          <w:p w14:paraId="5CC3F8EE" w14:textId="77777777" w:rsidR="00D76295" w:rsidRPr="00D76295" w:rsidRDefault="00D76295" w:rsidP="00D76295">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D76295">
              <w:rPr>
                <w:sz w:val="16"/>
                <w:szCs w:val="16"/>
              </w:rPr>
              <w:t>United Kingdom</w:t>
            </w:r>
          </w:p>
        </w:tc>
        <w:tc>
          <w:tcPr>
            <w:tcW w:w="0" w:type="auto"/>
            <w:hideMark/>
          </w:tcPr>
          <w:p w14:paraId="6531A464" w14:textId="77777777" w:rsidR="00D76295" w:rsidRPr="00D76295" w:rsidRDefault="00D76295" w:rsidP="00D76295">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D76295">
              <w:rPr>
                <w:sz w:val="16"/>
                <w:szCs w:val="16"/>
              </w:rPr>
              <w:t>India</w:t>
            </w:r>
          </w:p>
        </w:tc>
        <w:tc>
          <w:tcPr>
            <w:tcW w:w="0" w:type="auto"/>
            <w:hideMark/>
          </w:tcPr>
          <w:p w14:paraId="3C7C79AE" w14:textId="77777777" w:rsidR="00D76295" w:rsidRPr="00D76295" w:rsidRDefault="00D76295" w:rsidP="00D76295">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D76295">
              <w:rPr>
                <w:sz w:val="16"/>
                <w:szCs w:val="16"/>
              </w:rPr>
              <w:t>Brazil</w:t>
            </w:r>
          </w:p>
        </w:tc>
        <w:tc>
          <w:tcPr>
            <w:tcW w:w="0" w:type="auto"/>
            <w:hideMark/>
          </w:tcPr>
          <w:p w14:paraId="0E54CA87" w14:textId="77777777" w:rsidR="00D76295" w:rsidRPr="00D76295" w:rsidRDefault="00D76295" w:rsidP="00D76295">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D76295">
              <w:rPr>
                <w:sz w:val="16"/>
                <w:szCs w:val="16"/>
              </w:rPr>
              <w:t>Vietnam</w:t>
            </w:r>
          </w:p>
        </w:tc>
        <w:tc>
          <w:tcPr>
            <w:tcW w:w="0" w:type="auto"/>
            <w:hideMark/>
          </w:tcPr>
          <w:p w14:paraId="65EA4700" w14:textId="77777777" w:rsidR="00D76295" w:rsidRPr="00D76295" w:rsidRDefault="00D76295" w:rsidP="00D76295">
            <w:pPr>
              <w:spacing w:after="120" w:line="264" w:lineRule="auto"/>
              <w:cnfStyle w:val="100000000000" w:firstRow="1" w:lastRow="0" w:firstColumn="0" w:lastColumn="0" w:oddVBand="0" w:evenVBand="0" w:oddHBand="0" w:evenHBand="0" w:firstRowFirstColumn="0" w:firstRowLastColumn="0" w:lastRowFirstColumn="0" w:lastRowLastColumn="0"/>
              <w:rPr>
                <w:sz w:val="16"/>
                <w:szCs w:val="16"/>
              </w:rPr>
            </w:pPr>
            <w:r w:rsidRPr="00D76295">
              <w:rPr>
                <w:sz w:val="16"/>
                <w:szCs w:val="16"/>
              </w:rPr>
              <w:t>Key Implication</w:t>
            </w:r>
          </w:p>
        </w:tc>
      </w:tr>
      <w:tr w:rsidR="00D76295" w:rsidRPr="00D76295" w14:paraId="3D7E9FBF" w14:textId="77777777" w:rsidTr="00D76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8C6E2F" w14:textId="77777777" w:rsidR="00D76295" w:rsidRPr="00D76295" w:rsidRDefault="00D76295" w:rsidP="00D76295">
            <w:pPr>
              <w:spacing w:after="120" w:line="264" w:lineRule="auto"/>
              <w:rPr>
                <w:sz w:val="16"/>
                <w:szCs w:val="16"/>
              </w:rPr>
            </w:pPr>
            <w:r w:rsidRPr="00D76295">
              <w:rPr>
                <w:sz w:val="16"/>
                <w:szCs w:val="16"/>
              </w:rPr>
              <w:t>Power Distance</w:t>
            </w:r>
          </w:p>
        </w:tc>
        <w:tc>
          <w:tcPr>
            <w:tcW w:w="0" w:type="auto"/>
            <w:hideMark/>
          </w:tcPr>
          <w:p w14:paraId="596BEC72"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Low</w:t>
            </w:r>
          </w:p>
        </w:tc>
        <w:tc>
          <w:tcPr>
            <w:tcW w:w="0" w:type="auto"/>
            <w:hideMark/>
          </w:tcPr>
          <w:p w14:paraId="1C5AB66B"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5F14FB04"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42EEA19E"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57BB0A15"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Flat hierarchy preferred in the UK; requires respect for authority and seniority in India, Brazil, and Vietnam.</w:t>
            </w:r>
          </w:p>
        </w:tc>
      </w:tr>
      <w:tr w:rsidR="00D76295" w:rsidRPr="00D76295" w14:paraId="2EBEEB05" w14:textId="77777777" w:rsidTr="00D76295">
        <w:tc>
          <w:tcPr>
            <w:cnfStyle w:val="001000000000" w:firstRow="0" w:lastRow="0" w:firstColumn="1" w:lastColumn="0" w:oddVBand="0" w:evenVBand="0" w:oddHBand="0" w:evenHBand="0" w:firstRowFirstColumn="0" w:firstRowLastColumn="0" w:lastRowFirstColumn="0" w:lastRowLastColumn="0"/>
            <w:tcW w:w="0" w:type="auto"/>
            <w:hideMark/>
          </w:tcPr>
          <w:p w14:paraId="3DC32D3E" w14:textId="77777777" w:rsidR="00D76295" w:rsidRPr="00D76295" w:rsidRDefault="00D76295" w:rsidP="00D76295">
            <w:pPr>
              <w:spacing w:after="120" w:line="264" w:lineRule="auto"/>
              <w:rPr>
                <w:sz w:val="16"/>
                <w:szCs w:val="16"/>
              </w:rPr>
            </w:pPr>
            <w:r w:rsidRPr="00D76295">
              <w:rPr>
                <w:sz w:val="16"/>
                <w:szCs w:val="16"/>
              </w:rPr>
              <w:t>Individualism</w:t>
            </w:r>
          </w:p>
        </w:tc>
        <w:tc>
          <w:tcPr>
            <w:tcW w:w="0" w:type="auto"/>
            <w:hideMark/>
          </w:tcPr>
          <w:p w14:paraId="03AB689D"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High</w:t>
            </w:r>
          </w:p>
        </w:tc>
        <w:tc>
          <w:tcPr>
            <w:tcW w:w="0" w:type="auto"/>
            <w:hideMark/>
          </w:tcPr>
          <w:p w14:paraId="61D8EE47"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Medium</w:t>
            </w:r>
          </w:p>
        </w:tc>
        <w:tc>
          <w:tcPr>
            <w:tcW w:w="0" w:type="auto"/>
            <w:hideMark/>
          </w:tcPr>
          <w:p w14:paraId="5A3A102E"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Medium</w:t>
            </w:r>
          </w:p>
        </w:tc>
        <w:tc>
          <w:tcPr>
            <w:tcW w:w="0" w:type="auto"/>
            <w:hideMark/>
          </w:tcPr>
          <w:p w14:paraId="008B8E41"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Low</w:t>
            </w:r>
          </w:p>
        </w:tc>
        <w:tc>
          <w:tcPr>
            <w:tcW w:w="0" w:type="auto"/>
            <w:hideMark/>
          </w:tcPr>
          <w:p w14:paraId="04DD096A"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UK values autonomy and personal accountability; emerging markets emphasise collectivism and loyalty.</w:t>
            </w:r>
          </w:p>
        </w:tc>
      </w:tr>
      <w:tr w:rsidR="00D76295" w:rsidRPr="00D76295" w14:paraId="66A34054" w14:textId="77777777" w:rsidTr="00D76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AF70A" w14:textId="77777777" w:rsidR="00D76295" w:rsidRPr="00D76295" w:rsidRDefault="00D76295" w:rsidP="00D76295">
            <w:pPr>
              <w:spacing w:after="120" w:line="264" w:lineRule="auto"/>
              <w:rPr>
                <w:sz w:val="16"/>
                <w:szCs w:val="16"/>
              </w:rPr>
            </w:pPr>
            <w:r w:rsidRPr="00D76295">
              <w:rPr>
                <w:sz w:val="16"/>
                <w:szCs w:val="16"/>
              </w:rPr>
              <w:t>Uncertainty Avoidance</w:t>
            </w:r>
          </w:p>
        </w:tc>
        <w:tc>
          <w:tcPr>
            <w:tcW w:w="0" w:type="auto"/>
            <w:hideMark/>
          </w:tcPr>
          <w:p w14:paraId="6FF41B7A"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02CEFBA7"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Medium</w:t>
            </w:r>
          </w:p>
        </w:tc>
        <w:tc>
          <w:tcPr>
            <w:tcW w:w="0" w:type="auto"/>
            <w:hideMark/>
          </w:tcPr>
          <w:p w14:paraId="5998F189"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5B76F3A1"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Low</w:t>
            </w:r>
          </w:p>
        </w:tc>
        <w:tc>
          <w:tcPr>
            <w:tcW w:w="0" w:type="auto"/>
            <w:hideMark/>
          </w:tcPr>
          <w:p w14:paraId="7D6D56AE"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UK and Brazil prefer structured processes; India balances flexibility with guidance; Vietnam relies on relationships to navigate uncertainty.</w:t>
            </w:r>
          </w:p>
        </w:tc>
      </w:tr>
      <w:tr w:rsidR="00D76295" w:rsidRPr="00D76295" w14:paraId="7B944EC9" w14:textId="77777777" w:rsidTr="00D76295">
        <w:tc>
          <w:tcPr>
            <w:cnfStyle w:val="001000000000" w:firstRow="0" w:lastRow="0" w:firstColumn="1" w:lastColumn="0" w:oddVBand="0" w:evenVBand="0" w:oddHBand="0" w:evenHBand="0" w:firstRowFirstColumn="0" w:firstRowLastColumn="0" w:lastRowFirstColumn="0" w:lastRowLastColumn="0"/>
            <w:tcW w:w="0" w:type="auto"/>
            <w:hideMark/>
          </w:tcPr>
          <w:p w14:paraId="1FE7BEBE" w14:textId="77777777" w:rsidR="00D76295" w:rsidRPr="00D76295" w:rsidRDefault="00D76295" w:rsidP="00D76295">
            <w:pPr>
              <w:spacing w:after="120" w:line="264" w:lineRule="auto"/>
              <w:rPr>
                <w:sz w:val="16"/>
                <w:szCs w:val="16"/>
              </w:rPr>
            </w:pPr>
            <w:r w:rsidRPr="00D76295">
              <w:rPr>
                <w:sz w:val="16"/>
                <w:szCs w:val="16"/>
              </w:rPr>
              <w:t>Masculinity / Achievement Orientation</w:t>
            </w:r>
          </w:p>
        </w:tc>
        <w:tc>
          <w:tcPr>
            <w:tcW w:w="0" w:type="auto"/>
            <w:hideMark/>
          </w:tcPr>
          <w:p w14:paraId="188D4BE7"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Moderate</w:t>
            </w:r>
          </w:p>
        </w:tc>
        <w:tc>
          <w:tcPr>
            <w:tcW w:w="0" w:type="auto"/>
            <w:hideMark/>
          </w:tcPr>
          <w:p w14:paraId="7FA59E54"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High</w:t>
            </w:r>
          </w:p>
        </w:tc>
        <w:tc>
          <w:tcPr>
            <w:tcW w:w="0" w:type="auto"/>
            <w:hideMark/>
          </w:tcPr>
          <w:p w14:paraId="0FB7EC50"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High</w:t>
            </w:r>
          </w:p>
        </w:tc>
        <w:tc>
          <w:tcPr>
            <w:tcW w:w="0" w:type="auto"/>
            <w:hideMark/>
          </w:tcPr>
          <w:p w14:paraId="1DF16CD7"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Medium</w:t>
            </w:r>
          </w:p>
        </w:tc>
        <w:tc>
          <w:tcPr>
            <w:tcW w:w="0" w:type="auto"/>
            <w:hideMark/>
          </w:tcPr>
          <w:p w14:paraId="51E93B49"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India and Brazil emphasise competition and performance; Vietnam and UK favour collaboration and balanced achievement.</w:t>
            </w:r>
          </w:p>
        </w:tc>
      </w:tr>
      <w:tr w:rsidR="00D76295" w:rsidRPr="00D76295" w14:paraId="004F75F7" w14:textId="77777777" w:rsidTr="00D76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9F6B1C" w14:textId="77777777" w:rsidR="00D76295" w:rsidRPr="00D76295" w:rsidRDefault="00D76295" w:rsidP="00D76295">
            <w:pPr>
              <w:spacing w:after="120" w:line="264" w:lineRule="auto"/>
              <w:rPr>
                <w:sz w:val="16"/>
                <w:szCs w:val="16"/>
              </w:rPr>
            </w:pPr>
            <w:r w:rsidRPr="00D76295">
              <w:rPr>
                <w:sz w:val="16"/>
                <w:szCs w:val="16"/>
              </w:rPr>
              <w:t>Long-Term Orientation</w:t>
            </w:r>
          </w:p>
        </w:tc>
        <w:tc>
          <w:tcPr>
            <w:tcW w:w="0" w:type="auto"/>
            <w:hideMark/>
          </w:tcPr>
          <w:p w14:paraId="15DCCED7"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Medium</w:t>
            </w:r>
          </w:p>
        </w:tc>
        <w:tc>
          <w:tcPr>
            <w:tcW w:w="0" w:type="auto"/>
            <w:hideMark/>
          </w:tcPr>
          <w:p w14:paraId="52F7D463"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089BC258"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Medium</w:t>
            </w:r>
          </w:p>
        </w:tc>
        <w:tc>
          <w:tcPr>
            <w:tcW w:w="0" w:type="auto"/>
            <w:hideMark/>
          </w:tcPr>
          <w:p w14:paraId="5A7B5E6B"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High</w:t>
            </w:r>
          </w:p>
        </w:tc>
        <w:tc>
          <w:tcPr>
            <w:tcW w:w="0" w:type="auto"/>
            <w:hideMark/>
          </w:tcPr>
          <w:p w14:paraId="49E20E68" w14:textId="77777777" w:rsidR="00D76295" w:rsidRPr="00D76295" w:rsidRDefault="00D76295" w:rsidP="00D76295">
            <w:pPr>
              <w:spacing w:after="120" w:line="264" w:lineRule="auto"/>
              <w:cnfStyle w:val="000000100000" w:firstRow="0" w:lastRow="0" w:firstColumn="0" w:lastColumn="0" w:oddVBand="0" w:evenVBand="0" w:oddHBand="1" w:evenHBand="0" w:firstRowFirstColumn="0" w:firstRowLastColumn="0" w:lastRowFirstColumn="0" w:lastRowLastColumn="0"/>
              <w:rPr>
                <w:sz w:val="16"/>
                <w:szCs w:val="16"/>
              </w:rPr>
            </w:pPr>
            <w:r w:rsidRPr="00D76295">
              <w:rPr>
                <w:sz w:val="16"/>
                <w:szCs w:val="16"/>
              </w:rPr>
              <w:t>India and Vietnam prioritise long-term stability and sustainability, while the UK and Brazil focus more on short- to mid-term returns.</w:t>
            </w:r>
          </w:p>
        </w:tc>
      </w:tr>
      <w:tr w:rsidR="00D76295" w:rsidRPr="00D76295" w14:paraId="1FB7D5EC" w14:textId="77777777" w:rsidTr="00D76295">
        <w:tc>
          <w:tcPr>
            <w:cnfStyle w:val="001000000000" w:firstRow="0" w:lastRow="0" w:firstColumn="1" w:lastColumn="0" w:oddVBand="0" w:evenVBand="0" w:oddHBand="0" w:evenHBand="0" w:firstRowFirstColumn="0" w:firstRowLastColumn="0" w:lastRowFirstColumn="0" w:lastRowLastColumn="0"/>
            <w:tcW w:w="0" w:type="auto"/>
            <w:hideMark/>
          </w:tcPr>
          <w:p w14:paraId="036D3177" w14:textId="77777777" w:rsidR="00D76295" w:rsidRPr="00D76295" w:rsidRDefault="00D76295" w:rsidP="00D76295">
            <w:pPr>
              <w:spacing w:after="120" w:line="264" w:lineRule="auto"/>
              <w:rPr>
                <w:sz w:val="16"/>
                <w:szCs w:val="16"/>
              </w:rPr>
            </w:pPr>
            <w:r w:rsidRPr="00D76295">
              <w:rPr>
                <w:sz w:val="16"/>
                <w:szCs w:val="16"/>
              </w:rPr>
              <w:t>Indulgence</w:t>
            </w:r>
          </w:p>
        </w:tc>
        <w:tc>
          <w:tcPr>
            <w:tcW w:w="0" w:type="auto"/>
            <w:hideMark/>
          </w:tcPr>
          <w:p w14:paraId="0F0F6692"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High</w:t>
            </w:r>
          </w:p>
        </w:tc>
        <w:tc>
          <w:tcPr>
            <w:tcW w:w="0" w:type="auto"/>
            <w:hideMark/>
          </w:tcPr>
          <w:p w14:paraId="5CDEA3B3"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Medium</w:t>
            </w:r>
          </w:p>
        </w:tc>
        <w:tc>
          <w:tcPr>
            <w:tcW w:w="0" w:type="auto"/>
            <w:hideMark/>
          </w:tcPr>
          <w:p w14:paraId="643AE793"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High</w:t>
            </w:r>
          </w:p>
        </w:tc>
        <w:tc>
          <w:tcPr>
            <w:tcW w:w="0" w:type="auto"/>
            <w:hideMark/>
          </w:tcPr>
          <w:p w14:paraId="42D2D6F5"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Low</w:t>
            </w:r>
          </w:p>
        </w:tc>
        <w:tc>
          <w:tcPr>
            <w:tcW w:w="0" w:type="auto"/>
            <w:hideMark/>
          </w:tcPr>
          <w:p w14:paraId="2D8D45B4" w14:textId="77777777" w:rsidR="00D76295" w:rsidRPr="00D76295" w:rsidRDefault="00D76295" w:rsidP="00D76295">
            <w:pPr>
              <w:spacing w:after="120" w:line="264" w:lineRule="auto"/>
              <w:cnfStyle w:val="000000000000" w:firstRow="0" w:lastRow="0" w:firstColumn="0" w:lastColumn="0" w:oddVBand="0" w:evenVBand="0" w:oddHBand="0" w:evenHBand="0" w:firstRowFirstColumn="0" w:firstRowLastColumn="0" w:lastRowFirstColumn="0" w:lastRowLastColumn="0"/>
              <w:rPr>
                <w:sz w:val="16"/>
                <w:szCs w:val="16"/>
              </w:rPr>
            </w:pPr>
            <w:r w:rsidRPr="00D76295">
              <w:rPr>
                <w:sz w:val="16"/>
                <w:szCs w:val="16"/>
              </w:rPr>
              <w:t>UK and Brazil value lifestyle enjoyment; India shows moderate restraint; Vietnam tends towards discipline and pragmatism.</w:t>
            </w:r>
          </w:p>
        </w:tc>
      </w:tr>
    </w:tbl>
    <w:p w14:paraId="70E19612" w14:textId="0B479C98" w:rsidR="00EB4C5B" w:rsidRDefault="00EB4C5B" w:rsidP="00EB4C5B">
      <w:pPr>
        <w:rPr>
          <w:sz w:val="16"/>
          <w:szCs w:val="16"/>
        </w:rPr>
      </w:pPr>
      <w:r w:rsidRPr="00EB4C5B">
        <w:rPr>
          <w:sz w:val="16"/>
          <w:szCs w:val="16"/>
        </w:rPr>
        <w:t>Source: Hofstede (2011); Author's analysis</w:t>
      </w:r>
    </w:p>
    <w:p w14:paraId="5A263507" w14:textId="77777777" w:rsidR="004726B5" w:rsidRDefault="004726B5" w:rsidP="00EB4C5B">
      <w:pPr>
        <w:rPr>
          <w:sz w:val="16"/>
          <w:szCs w:val="16"/>
        </w:rPr>
      </w:pPr>
    </w:p>
    <w:p w14:paraId="7D8A5ABA" w14:textId="4EBE2D6D" w:rsidR="00F75F9B" w:rsidRDefault="00F75F9B" w:rsidP="005C27BC">
      <w:pPr>
        <w:pStyle w:val="Heading2"/>
      </w:pPr>
      <w:bookmarkStart w:id="18" w:name="_Toc214641470"/>
      <w:r w:rsidRPr="00F75F9B">
        <w:t>4.3 Implications for Organisational Success</w:t>
      </w:r>
      <w:bookmarkEnd w:id="18"/>
    </w:p>
    <w:p w14:paraId="084850CA" w14:textId="77777777" w:rsidR="00201217" w:rsidRDefault="00201217" w:rsidP="00201217"/>
    <w:p w14:paraId="3F5C23F1" w14:textId="77777777" w:rsidR="00C65729" w:rsidRPr="00C65729" w:rsidRDefault="00C65729" w:rsidP="00C65729">
      <w:r w:rsidRPr="00C65729">
        <w:t>Adapting to cultural differences is critical to BP’s JV success with Reliance. This includes localising leadership, HR, and communication practices.</w:t>
      </w:r>
    </w:p>
    <w:p w14:paraId="4CDBB595" w14:textId="77777777" w:rsidR="00C65729" w:rsidRPr="00C65729" w:rsidRDefault="00C65729" w:rsidP="00C65729">
      <w:r w:rsidRPr="00C65729">
        <w:t>Past failures like Tesco’s JV in India (2014–2017) illustrate the risks. Cultural disconnects—hierarchical decision-making, indirect communication, and differing time perceptions—caused disengagement and operational delays (Jain &amp; Singh, 2021).</w:t>
      </w:r>
    </w:p>
    <w:p w14:paraId="23D1F796" w14:textId="77777777" w:rsidR="00C65729" w:rsidRPr="00C65729" w:rsidRDefault="00C65729" w:rsidP="00C65729">
      <w:r w:rsidRPr="00C65729">
        <w:t xml:space="preserve">To avoid similar issues, BP should implement cultural coaching, cross-cultural teams, and bicultural liaison managers. This aligns with Trompenaars’ model of </w:t>
      </w:r>
      <w:r w:rsidRPr="00C65729">
        <w:lastRenderedPageBreak/>
        <w:t>reconciling cultural paradoxes in global operations (Trompenaars &amp; Hampden-Turner, 1998).</w:t>
      </w:r>
    </w:p>
    <w:p w14:paraId="456D8191" w14:textId="77777777" w:rsidR="001112F2" w:rsidRDefault="001112F2" w:rsidP="001112F2">
      <w:r>
        <w:t>The cultural alignment between BP's joint venture structure and India's business environment explains why this entry mode has proven more successful than the acquisition approach used in Brazil or trading operations in Vietnam.</w:t>
      </w:r>
    </w:p>
    <w:p w14:paraId="151080CE" w14:textId="77777777" w:rsidR="001112F2" w:rsidRDefault="001112F2" w:rsidP="001112F2"/>
    <w:p w14:paraId="2738C2AC" w14:textId="352A0C3E" w:rsidR="00A76A3B" w:rsidRDefault="001112F2" w:rsidP="001112F2">
      <w:r>
        <w:t>Conclusion: The cultural differences between UK and India significantly influence BP's market entry approach, with the joint venture model emerging as the optimal mechanism for navigating these complexities while maintaining operational effectiveness.</w:t>
      </w:r>
    </w:p>
    <w:p w14:paraId="1F44DDC9" w14:textId="77777777" w:rsidR="00AD49E0" w:rsidRDefault="00AD49E0" w:rsidP="001112F2"/>
    <w:p w14:paraId="7D7792B1" w14:textId="77777777" w:rsidR="00AD49E0" w:rsidRDefault="00AD49E0" w:rsidP="001112F2"/>
    <w:p w14:paraId="3D229EF8" w14:textId="77777777" w:rsidR="00AD49E0" w:rsidRDefault="00AD49E0" w:rsidP="001112F2"/>
    <w:p w14:paraId="35FB8F04" w14:textId="77777777" w:rsidR="00AD49E0" w:rsidRDefault="00AD49E0" w:rsidP="001112F2"/>
    <w:p w14:paraId="79C797CA" w14:textId="77777777" w:rsidR="00AD49E0" w:rsidRDefault="00AD49E0" w:rsidP="001112F2"/>
    <w:p w14:paraId="6F250CFD" w14:textId="77777777" w:rsidR="00AD49E0" w:rsidRDefault="00AD49E0" w:rsidP="001112F2"/>
    <w:p w14:paraId="555C60D1" w14:textId="77777777" w:rsidR="00092E98" w:rsidRDefault="00092E98" w:rsidP="001112F2"/>
    <w:p w14:paraId="63A1EFDE" w14:textId="77777777" w:rsidR="00092E98" w:rsidRDefault="00092E98" w:rsidP="001112F2"/>
    <w:p w14:paraId="77E899F8" w14:textId="77777777" w:rsidR="00092E98" w:rsidRDefault="00092E98" w:rsidP="001112F2"/>
    <w:p w14:paraId="55A7D2C3" w14:textId="77777777" w:rsidR="00092E98" w:rsidRDefault="00092E98" w:rsidP="001112F2"/>
    <w:p w14:paraId="6F16B1AD" w14:textId="77777777" w:rsidR="00092E98" w:rsidRDefault="00092E98" w:rsidP="001112F2"/>
    <w:p w14:paraId="675B2777" w14:textId="77777777" w:rsidR="00092E98" w:rsidRDefault="00092E98" w:rsidP="001112F2"/>
    <w:p w14:paraId="6AAF67FC" w14:textId="77777777" w:rsidR="00092E98" w:rsidRDefault="00092E98" w:rsidP="001112F2"/>
    <w:p w14:paraId="53EE9463" w14:textId="77777777" w:rsidR="00092E98" w:rsidRDefault="00092E98" w:rsidP="001112F2"/>
    <w:p w14:paraId="355C9411" w14:textId="77777777" w:rsidR="00092E98" w:rsidRDefault="00092E98" w:rsidP="001112F2"/>
    <w:p w14:paraId="55D52C8C" w14:textId="77777777" w:rsidR="00092E98" w:rsidRDefault="00092E98" w:rsidP="001112F2"/>
    <w:p w14:paraId="1B3C6087" w14:textId="77777777" w:rsidR="00092E98" w:rsidRDefault="00092E98" w:rsidP="001112F2"/>
    <w:p w14:paraId="5114DD06" w14:textId="77777777" w:rsidR="00092E98" w:rsidRDefault="00092E98" w:rsidP="001112F2"/>
    <w:p w14:paraId="0904E97F" w14:textId="77777777" w:rsidR="00092E98" w:rsidRDefault="00092E98" w:rsidP="001112F2"/>
    <w:p w14:paraId="5A62957B" w14:textId="77777777" w:rsidR="00092E98" w:rsidRDefault="00092E98" w:rsidP="001112F2"/>
    <w:p w14:paraId="726DF94A" w14:textId="77777777" w:rsidR="00092E98" w:rsidRDefault="00092E98" w:rsidP="001112F2"/>
    <w:p w14:paraId="711E8F51" w14:textId="77777777" w:rsidR="00092E98" w:rsidRDefault="00092E98" w:rsidP="001112F2"/>
    <w:p w14:paraId="2C5BD3D0" w14:textId="77777777" w:rsidR="00092E98" w:rsidRDefault="00092E98" w:rsidP="001112F2"/>
    <w:p w14:paraId="77BA5893" w14:textId="77777777" w:rsidR="00092E98" w:rsidRDefault="00092E98" w:rsidP="001112F2"/>
    <w:p w14:paraId="6DA02738" w14:textId="77777777" w:rsidR="00092E98" w:rsidRDefault="00092E98" w:rsidP="001112F2"/>
    <w:p w14:paraId="0E708060" w14:textId="2C6584B2" w:rsidR="00FC123B" w:rsidRPr="00FC123B" w:rsidRDefault="00FC123B" w:rsidP="00FC123B">
      <w:pPr>
        <w:pStyle w:val="Heading1"/>
      </w:pPr>
      <w:bookmarkStart w:id="19" w:name="_Toc214641471"/>
      <w:r w:rsidRPr="00FC123B">
        <w:lastRenderedPageBreak/>
        <w:t>5. Recommendations: Adjustments to Standard Operating Procedures (SOPs)</w:t>
      </w:r>
      <w:bookmarkEnd w:id="19"/>
      <w:r w:rsidRPr="00FC123B">
        <w:t xml:space="preserve"> </w:t>
      </w:r>
    </w:p>
    <w:p w14:paraId="72E077D6" w14:textId="77777777" w:rsidR="003B22A4" w:rsidRDefault="003B22A4" w:rsidP="003B22A4"/>
    <w:p w14:paraId="7549A75B" w14:textId="4D8CEFF8" w:rsidR="00A57D30" w:rsidRDefault="00A57D30" w:rsidP="003B22A4">
      <w:r w:rsidRPr="00A57D30">
        <w:t>The strategic review of BP’s operations in India indicates that although the company has established a robust market position through its Jio-bp joint venture, further localisation of its Standard Operating Procedures (SOPs) is required. This adaptation will ensure stronger alignment between BP’s global frameworks and India’s socio-economic and institutional environment. The proposed adjustments focus on three key areas: human resource management, operational integration, and digital governance. These recommendations are designed to support BP’s transition towards a more adaptive, efficient, and locally embedded organisational structure (Bartlett and Ghoshal, 1989).</w:t>
      </w:r>
    </w:p>
    <w:p w14:paraId="5DB892C7" w14:textId="558EDA08" w:rsidR="00133D48" w:rsidRDefault="00133D48" w:rsidP="003B22A4">
      <w:r w:rsidRPr="00133D48">
        <w:t>While these recommendations primarily address BP’s operations in India, insights from the comparative analysis with Brazil and Vietnam provide broader lessons for managing strategic consistency and local adaptation across emerging markets. Each recommendation therefore integrates relevant cross-market reflections where appropriate.</w:t>
      </w:r>
    </w:p>
    <w:p w14:paraId="0AD9B160" w14:textId="77777777" w:rsidR="00E65FD7" w:rsidRDefault="00E65FD7" w:rsidP="003B22A4"/>
    <w:p w14:paraId="0CF988F1" w14:textId="3FB737B2" w:rsidR="00FC123B" w:rsidRDefault="00FC123B" w:rsidP="00FC123B">
      <w:pPr>
        <w:pStyle w:val="Heading2"/>
      </w:pPr>
      <w:bookmarkStart w:id="20" w:name="_Toc214641472"/>
      <w:r w:rsidRPr="00FC123B">
        <w:t>5.1 Recommendation 1: HR and Leadership Adaptation</w:t>
      </w:r>
      <w:bookmarkEnd w:id="20"/>
    </w:p>
    <w:p w14:paraId="0A847B5C" w14:textId="77777777" w:rsidR="00FC123B" w:rsidRDefault="00FC123B" w:rsidP="00FC123B"/>
    <w:p w14:paraId="355D60CE" w14:textId="77777777" w:rsidR="0018256D" w:rsidRDefault="0018256D" w:rsidP="0018256D">
      <w:r>
        <w:t>Rationale</w:t>
      </w:r>
    </w:p>
    <w:p w14:paraId="4F0CCD39" w14:textId="77777777" w:rsidR="009508B8" w:rsidRPr="009508B8" w:rsidRDefault="009508B8" w:rsidP="009508B8">
      <w:r w:rsidRPr="009508B8">
        <w:t>BP’s global HR model is designed for low-context, individualistic cultures. However, India’s workplace environment is characterised by collectivism, hierarchical structures, and strong relational norms (Hofstede, 2011). These cultural factors require adjustments in leadership development, recruitment, and employee engagement procedures to enhance organisational fit.</w:t>
      </w:r>
    </w:p>
    <w:p w14:paraId="3929EFAE" w14:textId="77777777" w:rsidR="009508B8" w:rsidRPr="009508B8" w:rsidRDefault="009508B8" w:rsidP="009508B8">
      <w:r w:rsidRPr="009508B8">
        <w:t>India is undergoing a profound transformation in its energy landscape, driven by rapid urbanisation, digital innovation, and a national commitment to clean energy, including a target of 500 GW of renewable capacity by 2030 (IEA, 2023). As BP accelerates its global net-zero strategy, India emerges as a strategic growth frontier due to its increasing energy demand, expanding middle class, and favourable regulatory shifts towards sustainability (BP, 2024).</w:t>
      </w:r>
    </w:p>
    <w:p w14:paraId="18DCB63D" w14:textId="77777777" w:rsidR="009508B8" w:rsidRPr="009508B8" w:rsidRDefault="009508B8" w:rsidP="009508B8">
      <w:r w:rsidRPr="009508B8">
        <w:t>In this context, adapting human capital strategy becomes a core requirement for operational effectiveness. Research shows that culturally misaligned leadership is one of the leading causes of international joint venture failures (Jain &amp; Singh, 2021). BP’s joint venture with Reliance Industries can only achieve long-term success if global HR standards are reconciled with India’s unique cultural expectations.</w:t>
      </w:r>
    </w:p>
    <w:p w14:paraId="6647F556" w14:textId="77777777" w:rsidR="009508B8" w:rsidRPr="009508B8" w:rsidRDefault="009508B8" w:rsidP="009508B8">
      <w:r w:rsidRPr="009508B8">
        <w:t>Trompenaars and Hampden-Turner (1998) argue that reconciling cultural paradoxes—such as universalism vs particularism or individualism vs collectivism—is essential for multinational organisations. Hofstede’s framework (2011) further reinforces the need for hierarchical leadership, indirect communication, and team-</w:t>
      </w:r>
      <w:r w:rsidRPr="009508B8">
        <w:lastRenderedPageBreak/>
        <w:t>based recognition systems in India. Therefore, BP must realign its global HR policies to develop culturally intelligent leaders and improve employee retention, motivation, and productivity in India.</w:t>
      </w:r>
    </w:p>
    <w:p w14:paraId="2100EFD4" w14:textId="77777777" w:rsidR="00607EDE" w:rsidRPr="00607EDE" w:rsidRDefault="00607EDE" w:rsidP="00607EDE">
      <w:r w:rsidRPr="00607EDE">
        <w:t>Strategic Operating Plan (SOP): HR and Leadership Alignment</w:t>
      </w:r>
    </w:p>
    <w:p w14:paraId="3BFD5D2D" w14:textId="3D81CB08" w:rsidR="00607EDE" w:rsidRDefault="00607EDE" w:rsidP="00607EDE">
      <w:r w:rsidRPr="00607EDE">
        <w:t>This recommendation proposes the design and implementation of a culturally responsive HR strategy that complements Indian workplace expectations. The SOP includes adaptations in leadership style, talent management systems, communication practices, and training programmes. The aim is to develop a “</w:t>
      </w:r>
      <w:r w:rsidR="00CC625A" w:rsidRPr="00607EDE">
        <w:t>global</w:t>
      </w:r>
      <w:r w:rsidRPr="00607EDE">
        <w:t>” leadership model that integrates BP’s corporate values with Indian cultural dynamics.</w:t>
      </w:r>
    </w:p>
    <w:p w14:paraId="1D848E6A" w14:textId="77777777" w:rsidR="00315D46" w:rsidRPr="00315D46" w:rsidRDefault="00315D46" w:rsidP="00315D46"/>
    <w:p w14:paraId="01584012" w14:textId="77777777" w:rsidR="00315D46" w:rsidRPr="00315D46" w:rsidRDefault="00315D46" w:rsidP="00315D46">
      <w:r w:rsidRPr="00315D46">
        <w:t>Proposed SOP Adjustments</w:t>
      </w:r>
    </w:p>
    <w:tbl>
      <w:tblPr>
        <w:tblStyle w:val="GridTable5Dark-Accent3"/>
        <w:tblW w:w="0" w:type="auto"/>
        <w:tblLook w:val="04A0" w:firstRow="1" w:lastRow="0" w:firstColumn="1" w:lastColumn="0" w:noHBand="0" w:noVBand="1"/>
      </w:tblPr>
      <w:tblGrid>
        <w:gridCol w:w="1863"/>
        <w:gridCol w:w="2227"/>
        <w:gridCol w:w="2739"/>
        <w:gridCol w:w="2187"/>
      </w:tblGrid>
      <w:tr w:rsidR="00315D46" w:rsidRPr="00315D46" w14:paraId="27D8467C" w14:textId="77777777" w:rsidTr="003C49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E9190" w14:textId="77777777" w:rsidR="00315D46" w:rsidRPr="00315D46" w:rsidRDefault="00315D46" w:rsidP="00315D46">
            <w:pPr>
              <w:spacing w:after="120" w:line="264" w:lineRule="auto"/>
              <w:rPr>
                <w:color w:val="auto"/>
              </w:rPr>
            </w:pPr>
            <w:r w:rsidRPr="00315D46">
              <w:rPr>
                <w:color w:val="auto"/>
              </w:rPr>
              <w:t>HR Function</w:t>
            </w:r>
          </w:p>
        </w:tc>
        <w:tc>
          <w:tcPr>
            <w:tcW w:w="0" w:type="auto"/>
            <w:hideMark/>
          </w:tcPr>
          <w:p w14:paraId="2B42FC6F"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Current BP SOP</w:t>
            </w:r>
          </w:p>
        </w:tc>
        <w:tc>
          <w:tcPr>
            <w:tcW w:w="0" w:type="auto"/>
            <w:hideMark/>
          </w:tcPr>
          <w:p w14:paraId="43DAF95D"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Required Adaptation for India</w:t>
            </w:r>
          </w:p>
        </w:tc>
        <w:tc>
          <w:tcPr>
            <w:tcW w:w="0" w:type="auto"/>
            <w:hideMark/>
          </w:tcPr>
          <w:p w14:paraId="429D4E79" w14:textId="77777777" w:rsidR="00315D46" w:rsidRPr="00315D46" w:rsidRDefault="00315D46" w:rsidP="00315D46">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315D46">
              <w:rPr>
                <w:color w:val="auto"/>
              </w:rPr>
              <w:t>Expected Benefit</w:t>
            </w:r>
          </w:p>
        </w:tc>
      </w:tr>
      <w:tr w:rsidR="00315D46" w:rsidRPr="00315D46" w14:paraId="4D0807FE"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14C450" w14:textId="77777777" w:rsidR="00315D46" w:rsidRPr="00315D46" w:rsidRDefault="00315D46" w:rsidP="00315D46">
            <w:pPr>
              <w:spacing w:after="120" w:line="264" w:lineRule="auto"/>
              <w:rPr>
                <w:color w:val="auto"/>
              </w:rPr>
            </w:pPr>
            <w:r w:rsidRPr="00315D46">
              <w:rPr>
                <w:color w:val="auto"/>
              </w:rPr>
              <w:t>Recruitment and Selection</w:t>
            </w:r>
          </w:p>
        </w:tc>
        <w:tc>
          <w:tcPr>
            <w:tcW w:w="0" w:type="auto"/>
            <w:hideMark/>
          </w:tcPr>
          <w:p w14:paraId="4ABBEC8E"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Global competency-based interviews focusing on individual achievement.</w:t>
            </w:r>
          </w:p>
        </w:tc>
        <w:tc>
          <w:tcPr>
            <w:tcW w:w="0" w:type="auto"/>
            <w:hideMark/>
          </w:tcPr>
          <w:p w14:paraId="266EE5F8"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Introduce group-based evaluation and cultural sensitivity testing.</w:t>
            </w:r>
          </w:p>
        </w:tc>
        <w:tc>
          <w:tcPr>
            <w:tcW w:w="0" w:type="auto"/>
            <w:hideMark/>
          </w:tcPr>
          <w:p w14:paraId="07792188"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Improved retention and alignment with collective performance norms.</w:t>
            </w:r>
          </w:p>
        </w:tc>
      </w:tr>
      <w:tr w:rsidR="00315D46" w:rsidRPr="00315D46" w14:paraId="4FD7FB95"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48276DD8" w14:textId="77777777" w:rsidR="00315D46" w:rsidRPr="00315D46" w:rsidRDefault="00315D46" w:rsidP="00315D46">
            <w:pPr>
              <w:spacing w:after="120" w:line="264" w:lineRule="auto"/>
              <w:rPr>
                <w:color w:val="auto"/>
              </w:rPr>
            </w:pPr>
            <w:r w:rsidRPr="00315D46">
              <w:rPr>
                <w:color w:val="auto"/>
              </w:rPr>
              <w:t>Leadership Development</w:t>
            </w:r>
          </w:p>
        </w:tc>
        <w:tc>
          <w:tcPr>
            <w:tcW w:w="0" w:type="auto"/>
            <w:hideMark/>
          </w:tcPr>
          <w:p w14:paraId="2BADD7C1"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Global leadership competency framework.</w:t>
            </w:r>
          </w:p>
        </w:tc>
        <w:tc>
          <w:tcPr>
            <w:tcW w:w="0" w:type="auto"/>
            <w:hideMark/>
          </w:tcPr>
          <w:p w14:paraId="473ACA40" w14:textId="6F106A59"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Implement a “</w:t>
            </w:r>
            <w:r w:rsidR="00FD074B" w:rsidRPr="00315D46">
              <w:t>Global</w:t>
            </w:r>
            <w:r w:rsidRPr="00315D46">
              <w:t xml:space="preserve"> Leadership Programme” integrating BP’s leadership values with Indian cultural competencies.</w:t>
            </w:r>
          </w:p>
        </w:tc>
        <w:tc>
          <w:tcPr>
            <w:tcW w:w="0" w:type="auto"/>
            <w:hideMark/>
          </w:tcPr>
          <w:p w14:paraId="356DC980"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Enhanced employee engagement and trust.</w:t>
            </w:r>
          </w:p>
        </w:tc>
      </w:tr>
      <w:tr w:rsidR="00315D46" w:rsidRPr="00315D46" w14:paraId="13A241B9"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DB52EE" w14:textId="77777777" w:rsidR="00315D46" w:rsidRPr="00315D46" w:rsidRDefault="00315D46" w:rsidP="00315D46">
            <w:pPr>
              <w:spacing w:after="120" w:line="264" w:lineRule="auto"/>
              <w:rPr>
                <w:color w:val="auto"/>
              </w:rPr>
            </w:pPr>
            <w:r w:rsidRPr="00315D46">
              <w:rPr>
                <w:color w:val="auto"/>
              </w:rPr>
              <w:t>Performance Appraisal</w:t>
            </w:r>
          </w:p>
        </w:tc>
        <w:tc>
          <w:tcPr>
            <w:tcW w:w="0" w:type="auto"/>
            <w:hideMark/>
          </w:tcPr>
          <w:p w14:paraId="18093919"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360-degree feedback model.</w:t>
            </w:r>
          </w:p>
        </w:tc>
        <w:tc>
          <w:tcPr>
            <w:tcW w:w="0" w:type="auto"/>
            <w:hideMark/>
          </w:tcPr>
          <w:p w14:paraId="34E0363F"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Shift to dialogue-based evaluations respecting local hierarchy.</w:t>
            </w:r>
          </w:p>
        </w:tc>
        <w:tc>
          <w:tcPr>
            <w:tcW w:w="0" w:type="auto"/>
            <w:hideMark/>
          </w:tcPr>
          <w:p w14:paraId="188DD147" w14:textId="77777777" w:rsidR="00315D46" w:rsidRPr="00315D46" w:rsidRDefault="00315D46" w:rsidP="00315D46">
            <w:pPr>
              <w:spacing w:after="120" w:line="264" w:lineRule="auto"/>
              <w:cnfStyle w:val="000000100000" w:firstRow="0" w:lastRow="0" w:firstColumn="0" w:lastColumn="0" w:oddVBand="0" w:evenVBand="0" w:oddHBand="1" w:evenHBand="0" w:firstRowFirstColumn="0" w:firstRowLastColumn="0" w:lastRowFirstColumn="0" w:lastRowLastColumn="0"/>
            </w:pPr>
            <w:r w:rsidRPr="00315D46">
              <w:t>Culturally appropriate performance feedback.</w:t>
            </w:r>
          </w:p>
        </w:tc>
      </w:tr>
      <w:tr w:rsidR="00315D46" w:rsidRPr="00315D46" w14:paraId="0308F212"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52C02122" w14:textId="77777777" w:rsidR="00315D46" w:rsidRPr="00315D46" w:rsidRDefault="00315D46" w:rsidP="00315D46">
            <w:pPr>
              <w:spacing w:after="120" w:line="264" w:lineRule="auto"/>
              <w:rPr>
                <w:color w:val="auto"/>
              </w:rPr>
            </w:pPr>
            <w:r w:rsidRPr="00315D46">
              <w:rPr>
                <w:color w:val="auto"/>
              </w:rPr>
              <w:t>Employee Relations</w:t>
            </w:r>
          </w:p>
        </w:tc>
        <w:tc>
          <w:tcPr>
            <w:tcW w:w="0" w:type="auto"/>
            <w:hideMark/>
          </w:tcPr>
          <w:p w14:paraId="2FC407C5"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Standard grievance handling via HR portals.</w:t>
            </w:r>
          </w:p>
        </w:tc>
        <w:tc>
          <w:tcPr>
            <w:tcW w:w="0" w:type="auto"/>
            <w:hideMark/>
          </w:tcPr>
          <w:p w14:paraId="0E6AD20F"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 xml:space="preserve">Establish local </w:t>
            </w:r>
            <w:r w:rsidRPr="00315D46">
              <w:rPr>
                <w:i/>
                <w:iCs/>
              </w:rPr>
              <w:t>Cultural Mediation Committees</w:t>
            </w:r>
            <w:r w:rsidRPr="00315D46">
              <w:t xml:space="preserve"> to manage interpersonal and cultural disputes.</w:t>
            </w:r>
          </w:p>
        </w:tc>
        <w:tc>
          <w:tcPr>
            <w:tcW w:w="0" w:type="auto"/>
            <w:hideMark/>
          </w:tcPr>
          <w:p w14:paraId="3309337C" w14:textId="77777777" w:rsidR="00315D46" w:rsidRPr="00315D46" w:rsidRDefault="00315D46" w:rsidP="00315D46">
            <w:pPr>
              <w:spacing w:after="120" w:line="264" w:lineRule="auto"/>
              <w:cnfStyle w:val="000000000000" w:firstRow="0" w:lastRow="0" w:firstColumn="0" w:lastColumn="0" w:oddVBand="0" w:evenVBand="0" w:oddHBand="0" w:evenHBand="0" w:firstRowFirstColumn="0" w:firstRowLastColumn="0" w:lastRowFirstColumn="0" w:lastRowLastColumn="0"/>
            </w:pPr>
            <w:r w:rsidRPr="00315D46">
              <w:t>Increased inclusiveness and trust.</w:t>
            </w:r>
          </w:p>
        </w:tc>
      </w:tr>
    </w:tbl>
    <w:p w14:paraId="093B3DBC" w14:textId="77777777" w:rsidR="00315D46" w:rsidRPr="00315D46" w:rsidRDefault="00315D46" w:rsidP="00315D46">
      <w:pPr>
        <w:rPr>
          <w:i/>
          <w:iCs/>
        </w:rPr>
      </w:pPr>
      <w:r w:rsidRPr="00315D46">
        <w:rPr>
          <w:i/>
          <w:iCs/>
        </w:rPr>
        <w:t>Source: Author’s synthesis based on BP (2024); Hofstede (2011); Bartlett and Ghoshal (1989).</w:t>
      </w:r>
    </w:p>
    <w:p w14:paraId="50002127" w14:textId="77777777" w:rsidR="00315D46" w:rsidRDefault="00315D46" w:rsidP="00607EDE"/>
    <w:p w14:paraId="738B9E24" w14:textId="77777777" w:rsidR="00854502" w:rsidRDefault="00854502" w:rsidP="00607EDE"/>
    <w:p w14:paraId="7FC8DEF7" w14:textId="77777777" w:rsidR="00AD49E0" w:rsidRDefault="00AD49E0" w:rsidP="00607EDE"/>
    <w:p w14:paraId="34D58310" w14:textId="77777777" w:rsidR="00AD49E0" w:rsidRPr="00607EDE" w:rsidRDefault="00AD49E0" w:rsidP="00607EDE"/>
    <w:p w14:paraId="01EC53EE" w14:textId="77777777" w:rsidR="00607EDE" w:rsidRPr="00607EDE" w:rsidRDefault="00607EDE" w:rsidP="00607EDE">
      <w:r w:rsidRPr="00607EDE">
        <w:lastRenderedPageBreak/>
        <w:t>Key Adaptations:</w:t>
      </w:r>
    </w:p>
    <w:p w14:paraId="625C7700" w14:textId="77777777" w:rsidR="00607EDE" w:rsidRPr="00607EDE" w:rsidRDefault="00607EDE" w:rsidP="00607EDE">
      <w:pPr>
        <w:numPr>
          <w:ilvl w:val="0"/>
          <w:numId w:val="26"/>
        </w:numPr>
      </w:pPr>
      <w:r w:rsidRPr="00607EDE">
        <w:t>Leadership Style:</w:t>
      </w:r>
    </w:p>
    <w:p w14:paraId="104E14EB" w14:textId="77777777" w:rsidR="00607EDE" w:rsidRPr="00607EDE" w:rsidRDefault="00607EDE" w:rsidP="00607EDE">
      <w:pPr>
        <w:numPr>
          <w:ilvl w:val="1"/>
          <w:numId w:val="26"/>
        </w:numPr>
      </w:pPr>
      <w:r w:rsidRPr="00607EDE">
        <w:t>Introduce a structured, hierarchical leadership model with visible respect for authority and seniority.</w:t>
      </w:r>
    </w:p>
    <w:p w14:paraId="1E8544A7" w14:textId="77777777" w:rsidR="00607EDE" w:rsidRPr="00607EDE" w:rsidRDefault="00607EDE" w:rsidP="00607EDE">
      <w:pPr>
        <w:numPr>
          <w:ilvl w:val="1"/>
          <w:numId w:val="26"/>
        </w:numPr>
      </w:pPr>
      <w:r w:rsidRPr="00607EDE">
        <w:t>Encourage paternalistic leadership behaviours that reflect trust and care for subordinates.</w:t>
      </w:r>
    </w:p>
    <w:p w14:paraId="79A786DE" w14:textId="77777777" w:rsidR="00607EDE" w:rsidRPr="00607EDE" w:rsidRDefault="00607EDE" w:rsidP="00607EDE">
      <w:pPr>
        <w:numPr>
          <w:ilvl w:val="1"/>
          <w:numId w:val="26"/>
        </w:numPr>
      </w:pPr>
      <w:r w:rsidRPr="00607EDE">
        <w:t>Establish role clarity through formalised delegation protocols.</w:t>
      </w:r>
    </w:p>
    <w:p w14:paraId="2AEDE870" w14:textId="77777777" w:rsidR="00607EDE" w:rsidRPr="00607EDE" w:rsidRDefault="00607EDE" w:rsidP="00607EDE">
      <w:pPr>
        <w:numPr>
          <w:ilvl w:val="0"/>
          <w:numId w:val="26"/>
        </w:numPr>
      </w:pPr>
      <w:r w:rsidRPr="00607EDE">
        <w:t>Talent Management:</w:t>
      </w:r>
    </w:p>
    <w:p w14:paraId="03FAD8D9" w14:textId="77777777" w:rsidR="00607EDE" w:rsidRPr="00607EDE" w:rsidRDefault="00607EDE" w:rsidP="00607EDE">
      <w:pPr>
        <w:numPr>
          <w:ilvl w:val="1"/>
          <w:numId w:val="26"/>
        </w:numPr>
      </w:pPr>
      <w:r w:rsidRPr="00607EDE">
        <w:t>Shift from individual KPIs to team-based performance metrics to reflect India’s collectivist ethos.</w:t>
      </w:r>
    </w:p>
    <w:p w14:paraId="495DAD3C" w14:textId="77777777" w:rsidR="00607EDE" w:rsidRPr="00607EDE" w:rsidRDefault="00607EDE" w:rsidP="00607EDE">
      <w:pPr>
        <w:numPr>
          <w:ilvl w:val="1"/>
          <w:numId w:val="26"/>
        </w:numPr>
      </w:pPr>
      <w:r w:rsidRPr="00607EDE">
        <w:t>Integrate relational elements into recruitment—such as community standing, language fluency, and loyalty traits.</w:t>
      </w:r>
    </w:p>
    <w:p w14:paraId="29CBBDAD" w14:textId="77777777" w:rsidR="00607EDE" w:rsidRPr="00607EDE" w:rsidRDefault="00607EDE" w:rsidP="00607EDE">
      <w:pPr>
        <w:numPr>
          <w:ilvl w:val="1"/>
          <w:numId w:val="26"/>
        </w:numPr>
      </w:pPr>
      <w:r w:rsidRPr="00607EDE">
        <w:t>Adapt recognition systems to include non-verbal, symbolic rewards that reinforce status and group belonging.</w:t>
      </w:r>
    </w:p>
    <w:p w14:paraId="08385863" w14:textId="77777777" w:rsidR="00607EDE" w:rsidRPr="00607EDE" w:rsidRDefault="00607EDE" w:rsidP="00607EDE">
      <w:pPr>
        <w:numPr>
          <w:ilvl w:val="0"/>
          <w:numId w:val="26"/>
        </w:numPr>
      </w:pPr>
      <w:r w:rsidRPr="00607EDE">
        <w:t>Communication and Engagement:</w:t>
      </w:r>
    </w:p>
    <w:p w14:paraId="74A38CD4" w14:textId="77777777" w:rsidR="00607EDE" w:rsidRPr="00607EDE" w:rsidRDefault="00607EDE" w:rsidP="00607EDE">
      <w:pPr>
        <w:numPr>
          <w:ilvl w:val="1"/>
          <w:numId w:val="26"/>
        </w:numPr>
      </w:pPr>
      <w:r w:rsidRPr="00607EDE">
        <w:t>Develop protocols for high-context communication, such as use of stories, metaphors, and indirect feedback loops.</w:t>
      </w:r>
    </w:p>
    <w:p w14:paraId="415E8A11" w14:textId="77777777" w:rsidR="00607EDE" w:rsidRPr="00607EDE" w:rsidRDefault="00607EDE" w:rsidP="00607EDE">
      <w:pPr>
        <w:numPr>
          <w:ilvl w:val="1"/>
          <w:numId w:val="26"/>
        </w:numPr>
      </w:pPr>
      <w:r w:rsidRPr="00607EDE">
        <w:t>Provide intercultural coaching for expatriate managers to reduce friction and misinterpretation.</w:t>
      </w:r>
    </w:p>
    <w:p w14:paraId="62E37B20" w14:textId="77777777" w:rsidR="00607EDE" w:rsidRPr="00607EDE" w:rsidRDefault="00607EDE" w:rsidP="00607EDE">
      <w:pPr>
        <w:numPr>
          <w:ilvl w:val="1"/>
          <w:numId w:val="26"/>
        </w:numPr>
      </w:pPr>
      <w:r w:rsidRPr="00607EDE">
        <w:t>Establish local advisory boards to interpret policies in culturally appropriate ways.</w:t>
      </w:r>
    </w:p>
    <w:p w14:paraId="4BF7695E" w14:textId="77777777" w:rsidR="00607EDE" w:rsidRPr="00607EDE" w:rsidRDefault="00607EDE" w:rsidP="00607EDE">
      <w:pPr>
        <w:numPr>
          <w:ilvl w:val="0"/>
          <w:numId w:val="26"/>
        </w:numPr>
      </w:pPr>
      <w:r w:rsidRPr="00607EDE">
        <w:t>Training and Development:</w:t>
      </w:r>
    </w:p>
    <w:p w14:paraId="6D9226D1" w14:textId="7EA7CC12" w:rsidR="00607EDE" w:rsidRPr="00607EDE" w:rsidRDefault="00607EDE" w:rsidP="00607EDE">
      <w:pPr>
        <w:numPr>
          <w:ilvl w:val="1"/>
          <w:numId w:val="26"/>
        </w:numPr>
      </w:pPr>
      <w:r w:rsidRPr="00607EDE">
        <w:t>Launch a “</w:t>
      </w:r>
      <w:r w:rsidR="00854502" w:rsidRPr="00607EDE">
        <w:t>Global</w:t>
      </w:r>
      <w:r w:rsidRPr="00607EDE">
        <w:t xml:space="preserve"> Leadership Lab” that rotates Indian managers across BP’s international sites for capability development.</w:t>
      </w:r>
    </w:p>
    <w:p w14:paraId="1AE820CE" w14:textId="77777777" w:rsidR="00607EDE" w:rsidRPr="00607EDE" w:rsidRDefault="00607EDE" w:rsidP="00607EDE">
      <w:pPr>
        <w:numPr>
          <w:ilvl w:val="1"/>
          <w:numId w:val="26"/>
        </w:numPr>
      </w:pPr>
      <w:r w:rsidRPr="00607EDE">
        <w:t>Include cultural intelligence modules in onboarding and leadership development.</w:t>
      </w:r>
    </w:p>
    <w:p w14:paraId="563F427F" w14:textId="77777777" w:rsidR="00607EDE" w:rsidRPr="00607EDE" w:rsidRDefault="00607EDE" w:rsidP="00607EDE">
      <w:pPr>
        <w:numPr>
          <w:ilvl w:val="1"/>
          <w:numId w:val="26"/>
        </w:numPr>
      </w:pPr>
      <w:r w:rsidRPr="00607EDE">
        <w:t>Partner with Indian business schools for custom executive education.</w:t>
      </w:r>
    </w:p>
    <w:p w14:paraId="53E6DCCD" w14:textId="77777777" w:rsidR="00607EDE" w:rsidRPr="00607EDE" w:rsidRDefault="00607EDE" w:rsidP="00607EDE">
      <w:pPr>
        <w:numPr>
          <w:ilvl w:val="0"/>
          <w:numId w:val="26"/>
        </w:numPr>
      </w:pPr>
      <w:r w:rsidRPr="00607EDE">
        <w:t>Institutional Integration:</w:t>
      </w:r>
    </w:p>
    <w:p w14:paraId="5AB17611" w14:textId="77777777" w:rsidR="00607EDE" w:rsidRPr="00607EDE" w:rsidRDefault="00607EDE" w:rsidP="00607EDE">
      <w:pPr>
        <w:numPr>
          <w:ilvl w:val="1"/>
          <w:numId w:val="26"/>
        </w:numPr>
      </w:pPr>
      <w:r w:rsidRPr="00607EDE">
        <w:t>Embed cultural adaptation into BP India’s strategic plan and report on progress via HR scorecards.</w:t>
      </w:r>
    </w:p>
    <w:p w14:paraId="0B1BFAC9" w14:textId="0CD20E8A" w:rsidR="00FB2382" w:rsidRDefault="00607EDE" w:rsidP="003E748E">
      <w:pPr>
        <w:numPr>
          <w:ilvl w:val="1"/>
          <w:numId w:val="26"/>
        </w:numPr>
      </w:pPr>
      <w:r w:rsidRPr="00607EDE">
        <w:t>Establish cross-functional culture committees to monitor effectiveness of local adaptations.</w:t>
      </w:r>
    </w:p>
    <w:p w14:paraId="73171450" w14:textId="77777777" w:rsidR="003E748E" w:rsidRDefault="003E748E" w:rsidP="003E748E">
      <w:r>
        <w:t>Comparative Insights from Competitors:</w:t>
      </w:r>
    </w:p>
    <w:p w14:paraId="037A1B80" w14:textId="57734503" w:rsidR="003E748E" w:rsidRPr="00607EDE" w:rsidRDefault="003E748E" w:rsidP="003E748E">
      <w:r>
        <w:t xml:space="preserve">Competitor strategies further highlight the importance of local talent integration. For instance, Shell India has implemented a “Future Skills” initiative targeting the upskilling of over 10,000 employees in digital and green technologies by 2025 (Shell, 2024). Similarly, TotalEnergies has focused on building regional leadership pipelines </w:t>
      </w:r>
      <w:r>
        <w:lastRenderedPageBreak/>
        <w:t>through academic partnerships with Indian Institutes of Technology (IITs), offering tailored executive education programmes. These cases reinforce the strategic value of proactive capability building, especially in emerging markets where global expertise must be complemented by local agility. BP’s current approach may benefit from adapting such hybrid talent models—combining centralised strategy with decentralised leadership development.</w:t>
      </w:r>
    </w:p>
    <w:p w14:paraId="3778BCDC" w14:textId="064CC3A8" w:rsidR="00607EDE" w:rsidRPr="00607EDE" w:rsidRDefault="00607EDE" w:rsidP="00607EDE">
      <w:r w:rsidRPr="00607EDE">
        <w:t>Implementation Plan</w:t>
      </w:r>
    </w:p>
    <w:p w14:paraId="2DF2136C" w14:textId="77777777" w:rsidR="00607EDE" w:rsidRPr="00607EDE" w:rsidRDefault="00607EDE" w:rsidP="00607EDE">
      <w:r w:rsidRPr="00607EDE">
        <w:t>The SOP will be implemented in three progressive phases over 18 months:</w:t>
      </w:r>
    </w:p>
    <w:p w14:paraId="3ADFF0D3" w14:textId="77777777" w:rsidR="00607EDE" w:rsidRPr="00607EDE" w:rsidRDefault="00607EDE" w:rsidP="00607EDE">
      <w:r w:rsidRPr="00607EDE">
        <w:t>Phase 1: Foundation (0–6 months)</w:t>
      </w:r>
    </w:p>
    <w:p w14:paraId="3C269948" w14:textId="77777777" w:rsidR="00607EDE" w:rsidRPr="00607EDE" w:rsidRDefault="00607EDE" w:rsidP="00607EDE">
      <w:pPr>
        <w:numPr>
          <w:ilvl w:val="0"/>
          <w:numId w:val="27"/>
        </w:numPr>
      </w:pPr>
      <w:r w:rsidRPr="00607EDE">
        <w:t>Conduct a cultural audit of current HR practices in BP India.</w:t>
      </w:r>
    </w:p>
    <w:p w14:paraId="2FD335B3" w14:textId="77777777" w:rsidR="00607EDE" w:rsidRPr="00607EDE" w:rsidRDefault="00607EDE" w:rsidP="00607EDE">
      <w:pPr>
        <w:numPr>
          <w:ilvl w:val="0"/>
          <w:numId w:val="27"/>
        </w:numPr>
      </w:pPr>
      <w:r w:rsidRPr="00607EDE">
        <w:t>Launch internal communication campaign on the value of cultural intelligence.</w:t>
      </w:r>
    </w:p>
    <w:p w14:paraId="54BFE5FF" w14:textId="77777777" w:rsidR="00607EDE" w:rsidRPr="00607EDE" w:rsidRDefault="00607EDE" w:rsidP="00607EDE">
      <w:pPr>
        <w:numPr>
          <w:ilvl w:val="0"/>
          <w:numId w:val="27"/>
        </w:numPr>
      </w:pPr>
      <w:r w:rsidRPr="00607EDE">
        <w:t>Identify champions for cultural change from within leadership and HR teams.</w:t>
      </w:r>
    </w:p>
    <w:p w14:paraId="60E75CE6" w14:textId="77777777" w:rsidR="00607EDE" w:rsidRPr="00607EDE" w:rsidRDefault="00607EDE" w:rsidP="00607EDE">
      <w:r w:rsidRPr="00607EDE">
        <w:t>Phase 2: Pilot Programmes (6–12 months)</w:t>
      </w:r>
    </w:p>
    <w:p w14:paraId="26E3C7A9" w14:textId="1796D2C7" w:rsidR="00607EDE" w:rsidRPr="00607EDE" w:rsidRDefault="00607EDE" w:rsidP="00607EDE">
      <w:pPr>
        <w:numPr>
          <w:ilvl w:val="0"/>
          <w:numId w:val="28"/>
        </w:numPr>
      </w:pPr>
      <w:r w:rsidRPr="00607EDE">
        <w:t xml:space="preserve">Run pilot versions of </w:t>
      </w:r>
      <w:r w:rsidR="00CC625A" w:rsidRPr="00607EDE">
        <w:t>Global</w:t>
      </w:r>
      <w:r w:rsidRPr="00607EDE">
        <w:t xml:space="preserve"> Leadership Lab in Mumbai and Gujarat offices.</w:t>
      </w:r>
    </w:p>
    <w:p w14:paraId="0B6F6BA6" w14:textId="77777777" w:rsidR="00607EDE" w:rsidRPr="00607EDE" w:rsidRDefault="00607EDE" w:rsidP="00607EDE">
      <w:pPr>
        <w:numPr>
          <w:ilvl w:val="0"/>
          <w:numId w:val="28"/>
        </w:numPr>
      </w:pPr>
      <w:r w:rsidRPr="00607EDE">
        <w:t>Implement team-based KPIs in selected departments.</w:t>
      </w:r>
    </w:p>
    <w:p w14:paraId="4C817D32" w14:textId="77777777" w:rsidR="00607EDE" w:rsidRPr="00607EDE" w:rsidRDefault="00607EDE" w:rsidP="00607EDE">
      <w:pPr>
        <w:numPr>
          <w:ilvl w:val="0"/>
          <w:numId w:val="28"/>
        </w:numPr>
      </w:pPr>
      <w:r w:rsidRPr="00607EDE">
        <w:t>Test new feedback formats and symbolic reward systems.</w:t>
      </w:r>
    </w:p>
    <w:p w14:paraId="1EACC25B" w14:textId="77777777" w:rsidR="00607EDE" w:rsidRPr="00607EDE" w:rsidRDefault="00607EDE" w:rsidP="00607EDE">
      <w:r w:rsidRPr="00607EDE">
        <w:t>Phase 3: Institutionalisation (12–18 months)</w:t>
      </w:r>
    </w:p>
    <w:p w14:paraId="64A8D2B5" w14:textId="77777777" w:rsidR="00607EDE" w:rsidRPr="00607EDE" w:rsidRDefault="00607EDE" w:rsidP="00607EDE">
      <w:pPr>
        <w:numPr>
          <w:ilvl w:val="0"/>
          <w:numId w:val="29"/>
        </w:numPr>
      </w:pPr>
      <w:r w:rsidRPr="00607EDE">
        <w:t>Roll out successful practices from pilot nationally across BP India.</w:t>
      </w:r>
    </w:p>
    <w:p w14:paraId="3BA845B1" w14:textId="77777777" w:rsidR="00607EDE" w:rsidRPr="00607EDE" w:rsidRDefault="00607EDE" w:rsidP="00607EDE">
      <w:pPr>
        <w:numPr>
          <w:ilvl w:val="0"/>
          <w:numId w:val="29"/>
        </w:numPr>
      </w:pPr>
      <w:r w:rsidRPr="00607EDE">
        <w:t>Integrate cultural KPIs into HR analytics and quarterly reviews.</w:t>
      </w:r>
    </w:p>
    <w:p w14:paraId="41866C45" w14:textId="77777777" w:rsidR="00607EDE" w:rsidRPr="00607EDE" w:rsidRDefault="00607EDE" w:rsidP="00607EDE">
      <w:pPr>
        <w:numPr>
          <w:ilvl w:val="0"/>
          <w:numId w:val="29"/>
        </w:numPr>
      </w:pPr>
      <w:r w:rsidRPr="00607EDE">
        <w:t>Publish internal white paper on “HR for Growth Markets” to share learnings.</w:t>
      </w:r>
    </w:p>
    <w:p w14:paraId="5CF46C28" w14:textId="77777777" w:rsidR="00607EDE" w:rsidRPr="00607EDE" w:rsidRDefault="00607EDE" w:rsidP="00607EDE">
      <w:r w:rsidRPr="00607EDE">
        <w:t>Stakeholders and Responsibilities:</w:t>
      </w:r>
    </w:p>
    <w:p w14:paraId="27E61340" w14:textId="77777777" w:rsidR="00607EDE" w:rsidRPr="00607EDE" w:rsidRDefault="00607EDE" w:rsidP="00607EDE">
      <w:pPr>
        <w:numPr>
          <w:ilvl w:val="0"/>
          <w:numId w:val="30"/>
        </w:numPr>
      </w:pPr>
      <w:r w:rsidRPr="00607EDE">
        <w:t>Global HR Director: Strategic oversight and resource allocation.</w:t>
      </w:r>
    </w:p>
    <w:p w14:paraId="407D3420" w14:textId="77777777" w:rsidR="00607EDE" w:rsidRPr="00607EDE" w:rsidRDefault="00607EDE" w:rsidP="00607EDE">
      <w:pPr>
        <w:numPr>
          <w:ilvl w:val="0"/>
          <w:numId w:val="30"/>
        </w:numPr>
      </w:pPr>
      <w:r w:rsidRPr="00607EDE">
        <w:t>India HR Lead: Local implementation, alignment with labour regulations.</w:t>
      </w:r>
    </w:p>
    <w:p w14:paraId="1E457A1B" w14:textId="77777777" w:rsidR="00607EDE" w:rsidRPr="00607EDE" w:rsidRDefault="00607EDE" w:rsidP="00607EDE">
      <w:pPr>
        <w:numPr>
          <w:ilvl w:val="0"/>
          <w:numId w:val="30"/>
        </w:numPr>
      </w:pPr>
      <w:r w:rsidRPr="00607EDE">
        <w:t>Culture Champions: Cross-departmental liaisons for feedback and advocacy.</w:t>
      </w:r>
    </w:p>
    <w:p w14:paraId="6A6A2669" w14:textId="77777777" w:rsidR="00607EDE" w:rsidRPr="00607EDE" w:rsidRDefault="00607EDE" w:rsidP="00607EDE">
      <w:pPr>
        <w:numPr>
          <w:ilvl w:val="0"/>
          <w:numId w:val="30"/>
        </w:numPr>
      </w:pPr>
      <w:r w:rsidRPr="00607EDE">
        <w:t>External Consultants: Provide training and monitor KPIs for cultural integration.</w:t>
      </w:r>
    </w:p>
    <w:p w14:paraId="05508ABA" w14:textId="77777777" w:rsidR="00607EDE" w:rsidRPr="00607EDE" w:rsidRDefault="00607EDE" w:rsidP="00607EDE">
      <w:r w:rsidRPr="00607EDE">
        <w:t>Budget Considerations:</w:t>
      </w:r>
      <w:r w:rsidRPr="00607EDE">
        <w:br/>
        <w:t>Estimated cost: £1.2M across 18 months</w:t>
      </w:r>
      <w:r w:rsidRPr="00607EDE">
        <w:br/>
        <w:t>Expected ROI through retention and engagement improvements within 2 years.</w:t>
      </w:r>
    </w:p>
    <w:p w14:paraId="7DE6A95B" w14:textId="226AC4D9" w:rsidR="00607EDE" w:rsidRPr="00607EDE" w:rsidRDefault="00607EDE" w:rsidP="00607EDE"/>
    <w:p w14:paraId="14FBF336" w14:textId="77777777" w:rsidR="00607EDE" w:rsidRPr="00607EDE" w:rsidRDefault="00607EDE" w:rsidP="00607EDE">
      <w:r w:rsidRPr="00607EDE">
        <w:t>Expected Outcomes</w:t>
      </w:r>
    </w:p>
    <w:p w14:paraId="20AE0881" w14:textId="77777777" w:rsidR="00607EDE" w:rsidRPr="00607EDE" w:rsidRDefault="00607EDE" w:rsidP="00607EDE">
      <w:pPr>
        <w:numPr>
          <w:ilvl w:val="0"/>
          <w:numId w:val="31"/>
        </w:numPr>
      </w:pPr>
      <w:r w:rsidRPr="00607EDE">
        <w:t>Employee Retention and Engagement:</w:t>
      </w:r>
    </w:p>
    <w:p w14:paraId="4F8904F2" w14:textId="77777777" w:rsidR="00607EDE" w:rsidRPr="00607EDE" w:rsidRDefault="00607EDE" w:rsidP="00607EDE">
      <w:pPr>
        <w:numPr>
          <w:ilvl w:val="1"/>
          <w:numId w:val="31"/>
        </w:numPr>
      </w:pPr>
      <w:r w:rsidRPr="00607EDE">
        <w:t>Anticipated reduction in voluntary turnover by 12–15% in the first year.</w:t>
      </w:r>
    </w:p>
    <w:p w14:paraId="568F87B6" w14:textId="77777777" w:rsidR="00607EDE" w:rsidRPr="00607EDE" w:rsidRDefault="00607EDE" w:rsidP="00607EDE">
      <w:pPr>
        <w:numPr>
          <w:ilvl w:val="1"/>
          <w:numId w:val="31"/>
        </w:numPr>
      </w:pPr>
      <w:r w:rsidRPr="00607EDE">
        <w:t>Measurable improvements in employee satisfaction and internal trust surveys.</w:t>
      </w:r>
    </w:p>
    <w:p w14:paraId="5B563C1D" w14:textId="77777777" w:rsidR="00607EDE" w:rsidRPr="00607EDE" w:rsidRDefault="00607EDE" w:rsidP="00607EDE">
      <w:pPr>
        <w:numPr>
          <w:ilvl w:val="0"/>
          <w:numId w:val="31"/>
        </w:numPr>
      </w:pPr>
      <w:r w:rsidRPr="00607EDE">
        <w:lastRenderedPageBreak/>
        <w:t>Leadership Pipeline:</w:t>
      </w:r>
    </w:p>
    <w:p w14:paraId="164D0D10" w14:textId="77777777" w:rsidR="00607EDE" w:rsidRPr="00607EDE" w:rsidRDefault="00607EDE" w:rsidP="00607EDE">
      <w:pPr>
        <w:numPr>
          <w:ilvl w:val="1"/>
          <w:numId w:val="31"/>
        </w:numPr>
      </w:pPr>
      <w:r w:rsidRPr="00607EDE">
        <w:t>Increased participation of Indian nationals in leadership development programmes.</w:t>
      </w:r>
    </w:p>
    <w:p w14:paraId="24FAE133" w14:textId="77777777" w:rsidR="00607EDE" w:rsidRPr="00607EDE" w:rsidRDefault="00607EDE" w:rsidP="00607EDE">
      <w:pPr>
        <w:numPr>
          <w:ilvl w:val="1"/>
          <w:numId w:val="31"/>
        </w:numPr>
      </w:pPr>
      <w:r w:rsidRPr="00607EDE">
        <w:t>Broader internal mobility across joint venture and BP global operations.</w:t>
      </w:r>
    </w:p>
    <w:p w14:paraId="479E38D2" w14:textId="77777777" w:rsidR="00607EDE" w:rsidRPr="00607EDE" w:rsidRDefault="00607EDE" w:rsidP="00607EDE">
      <w:pPr>
        <w:numPr>
          <w:ilvl w:val="0"/>
          <w:numId w:val="31"/>
        </w:numPr>
      </w:pPr>
      <w:r w:rsidRPr="00607EDE">
        <w:t>Cultural Synergy:</w:t>
      </w:r>
    </w:p>
    <w:p w14:paraId="1BF69B38" w14:textId="77777777" w:rsidR="00607EDE" w:rsidRPr="00607EDE" w:rsidRDefault="00607EDE" w:rsidP="00607EDE">
      <w:pPr>
        <w:numPr>
          <w:ilvl w:val="1"/>
          <w:numId w:val="31"/>
        </w:numPr>
      </w:pPr>
      <w:r w:rsidRPr="00607EDE">
        <w:t>Decreased friction between expatriate and local teams.</w:t>
      </w:r>
    </w:p>
    <w:p w14:paraId="5EAD7F65" w14:textId="77777777" w:rsidR="00607EDE" w:rsidRPr="00607EDE" w:rsidRDefault="00607EDE" w:rsidP="00607EDE">
      <w:pPr>
        <w:numPr>
          <w:ilvl w:val="1"/>
          <w:numId w:val="31"/>
        </w:numPr>
      </w:pPr>
      <w:r w:rsidRPr="00607EDE">
        <w:t>Enhanced collaboration and problem-solving speed.</w:t>
      </w:r>
    </w:p>
    <w:p w14:paraId="40FD2D8B" w14:textId="77777777" w:rsidR="00607EDE" w:rsidRPr="00607EDE" w:rsidRDefault="00607EDE" w:rsidP="00607EDE">
      <w:pPr>
        <w:numPr>
          <w:ilvl w:val="0"/>
          <w:numId w:val="31"/>
        </w:numPr>
      </w:pPr>
      <w:r w:rsidRPr="00607EDE">
        <w:t>Strategic Alignment:</w:t>
      </w:r>
    </w:p>
    <w:p w14:paraId="4BC8FDE5" w14:textId="77777777" w:rsidR="00607EDE" w:rsidRPr="00607EDE" w:rsidRDefault="00607EDE" w:rsidP="00607EDE">
      <w:pPr>
        <w:numPr>
          <w:ilvl w:val="1"/>
          <w:numId w:val="31"/>
        </w:numPr>
      </w:pPr>
      <w:r w:rsidRPr="00607EDE">
        <w:t>Positioning BP as an employer of choice in India’s energy sector.</w:t>
      </w:r>
    </w:p>
    <w:p w14:paraId="78C11035" w14:textId="77777777" w:rsidR="00607EDE" w:rsidRPr="00607EDE" w:rsidRDefault="00607EDE" w:rsidP="00607EDE">
      <w:pPr>
        <w:numPr>
          <w:ilvl w:val="1"/>
          <w:numId w:val="31"/>
        </w:numPr>
      </w:pPr>
      <w:r w:rsidRPr="00607EDE">
        <w:t>Reinforcement of BP’s net-zero and inclusion values in local market narratives.</w:t>
      </w:r>
    </w:p>
    <w:p w14:paraId="2197AF2D" w14:textId="12D2DB9B" w:rsidR="00607EDE" w:rsidRPr="00607EDE" w:rsidRDefault="00607EDE" w:rsidP="00607EDE"/>
    <w:p w14:paraId="532816CE" w14:textId="77777777" w:rsidR="00607EDE" w:rsidRDefault="00607EDE" w:rsidP="00607EDE">
      <w:r w:rsidRPr="00607EDE">
        <w:t>This recommendation positions BP to lead not only in energy innovation but in cross-cultural HR leadership, which is increasingly critical in emerging markets. Aligning people strategy with India’s cultural DNA strengthens resilience, improves operational performance, and supports BP’s long-term growth vision in the subcontinent.</w:t>
      </w:r>
    </w:p>
    <w:p w14:paraId="4FF920FB" w14:textId="6223A1A7" w:rsidR="00BC5A39" w:rsidRPr="00607EDE" w:rsidRDefault="00BC5A39" w:rsidP="00607EDE">
      <w:r w:rsidRPr="00BC5A39">
        <w:t xml:space="preserve">Comparative insight: In Brazil, where workplace hierarchy resembles </w:t>
      </w:r>
      <w:r w:rsidR="00092E98" w:rsidRPr="00BC5A39">
        <w:t>India’s,</w:t>
      </w:r>
      <w:r w:rsidRPr="00BC5A39">
        <w:t xml:space="preserve"> but communication is more informal, similar leadership localisation efforts would benefit from emphasising flexibility and interpersonal trust. In Vietnam, however, BP would need to strengthen team-based recognition and relationship-building due to stronger collectivist norms.</w:t>
      </w:r>
    </w:p>
    <w:p w14:paraId="5736DA12" w14:textId="77777777" w:rsidR="00CC625A" w:rsidRDefault="00CC625A" w:rsidP="007A031C">
      <w:pPr>
        <w:rPr>
          <w:i/>
          <w:iCs/>
          <w:sz w:val="18"/>
          <w:szCs w:val="18"/>
        </w:rPr>
      </w:pPr>
    </w:p>
    <w:p w14:paraId="3F56799B" w14:textId="77777777" w:rsidR="00FC123B" w:rsidRDefault="00FC123B" w:rsidP="00FC123B">
      <w:pPr>
        <w:pStyle w:val="Heading2"/>
      </w:pPr>
      <w:bookmarkStart w:id="21" w:name="_Toc214641473"/>
      <w:r w:rsidRPr="00FC123B">
        <w:t>5.2 Recommendation 2: Sustainability and Regulatory Compliance</w:t>
      </w:r>
      <w:bookmarkEnd w:id="21"/>
    </w:p>
    <w:p w14:paraId="2768F85D" w14:textId="77777777" w:rsidR="00FC123B" w:rsidRDefault="00FC123B" w:rsidP="00FC123B"/>
    <w:p w14:paraId="15FA7E9E" w14:textId="77777777" w:rsidR="009000AC" w:rsidRDefault="009000AC" w:rsidP="009000AC">
      <w:r>
        <w:t>Rationale</w:t>
      </w:r>
    </w:p>
    <w:p w14:paraId="4E5983CD" w14:textId="77777777" w:rsidR="00DA260B" w:rsidRDefault="00DA260B" w:rsidP="009000AC"/>
    <w:p w14:paraId="0FF0B5B5" w14:textId="77777777" w:rsidR="009000AC" w:rsidRDefault="009000AC" w:rsidP="009000AC">
      <w:r>
        <w:t>BP’s global SOPs are designed for high control and standardisation, but India’s market demands agility, localisation, and cross-functional learning. According to Teece, Pisano and Shuen (1997), firms must develop dynamic capabilities to continuously reconfigure their operational routines in fast-changing environments.</w:t>
      </w:r>
    </w:p>
    <w:p w14:paraId="19E06BA0" w14:textId="05110C13" w:rsidR="006E4F91" w:rsidRDefault="006E4F91" w:rsidP="009000AC">
      <w:r w:rsidRPr="006E4F91">
        <w:t xml:space="preserve">A critical adjustment to the SOPs involves addressing India’s unique legal landscape regarding Corporate Social Responsibility (CSR). Unlike in the UK or Brazil, where CSR is largely voluntary, Section 135 of the Indian Companies Act (2013) mandates that qualifying companies spend at least 2% of their average net profits on social development activities (Ministry of Corporate Affairs, 2013). To turn this regulatory compliance into a competitive advantage, BP must move beyond traditional philanthropy. The recommendation is to strategically channel these mandatory funds into vocational training programmes for EV maintenance and solar grid </w:t>
      </w:r>
      <w:r w:rsidRPr="006E4F91">
        <w:lastRenderedPageBreak/>
        <w:t>management. By upskilling the local workforce, BP not only complies with the law but also creates a pipeline of technical talent essential for its own operations, thereby strengthening its 'social licence to operate' in a complex developing economy.</w:t>
      </w:r>
    </w:p>
    <w:p w14:paraId="52B20404" w14:textId="77777777" w:rsidR="00DA260B" w:rsidRDefault="00DA260B" w:rsidP="009000AC"/>
    <w:p w14:paraId="65A30F85" w14:textId="25A9B6AD" w:rsidR="00FC123B" w:rsidRDefault="009000AC" w:rsidP="009000AC">
      <w:pPr>
        <w:rPr>
          <w:lang w:val="bg-BG"/>
        </w:rPr>
      </w:pPr>
      <w:r>
        <w:t>Proposed SOP Adjustments</w:t>
      </w:r>
    </w:p>
    <w:tbl>
      <w:tblPr>
        <w:tblStyle w:val="GridTable5Dark-Accent3"/>
        <w:tblW w:w="0" w:type="auto"/>
        <w:tblLook w:val="04A0" w:firstRow="1" w:lastRow="0" w:firstColumn="1" w:lastColumn="0" w:noHBand="0" w:noVBand="1"/>
      </w:tblPr>
      <w:tblGrid>
        <w:gridCol w:w="1657"/>
        <w:gridCol w:w="1754"/>
        <w:gridCol w:w="3083"/>
        <w:gridCol w:w="2522"/>
      </w:tblGrid>
      <w:tr w:rsidR="00B271ED" w:rsidRPr="00B271ED" w14:paraId="440E11B1" w14:textId="77777777" w:rsidTr="00B271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9778DC" w14:textId="77777777" w:rsidR="00B271ED" w:rsidRPr="00B271ED" w:rsidRDefault="00B271ED" w:rsidP="00B271ED">
            <w:pPr>
              <w:spacing w:after="120" w:line="264" w:lineRule="auto"/>
              <w:rPr>
                <w:sz w:val="18"/>
                <w:szCs w:val="18"/>
              </w:rPr>
            </w:pPr>
            <w:r w:rsidRPr="00B271ED">
              <w:rPr>
                <w:sz w:val="18"/>
                <w:szCs w:val="18"/>
              </w:rPr>
              <w:t>Operational Area</w:t>
            </w:r>
          </w:p>
        </w:tc>
        <w:tc>
          <w:tcPr>
            <w:tcW w:w="0" w:type="auto"/>
            <w:hideMark/>
          </w:tcPr>
          <w:p w14:paraId="14049A51"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Current BP SOP</w:t>
            </w:r>
          </w:p>
        </w:tc>
        <w:tc>
          <w:tcPr>
            <w:tcW w:w="0" w:type="auto"/>
            <w:hideMark/>
          </w:tcPr>
          <w:p w14:paraId="0FA0DBC9"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Required Adaptation for India</w:t>
            </w:r>
          </w:p>
        </w:tc>
        <w:tc>
          <w:tcPr>
            <w:tcW w:w="0" w:type="auto"/>
            <w:hideMark/>
          </w:tcPr>
          <w:p w14:paraId="291C7700" w14:textId="77777777" w:rsidR="00B271ED" w:rsidRPr="00B271ED" w:rsidRDefault="00B271ED" w:rsidP="00B271ED">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B271ED">
              <w:rPr>
                <w:sz w:val="18"/>
                <w:szCs w:val="18"/>
              </w:rPr>
              <w:t>Expected Benefit</w:t>
            </w:r>
          </w:p>
        </w:tc>
      </w:tr>
      <w:tr w:rsidR="00B271ED" w:rsidRPr="00B271ED" w14:paraId="045493DF" w14:textId="77777777" w:rsidTr="00B2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C99335" w14:textId="77777777" w:rsidR="00B271ED" w:rsidRPr="00B271ED" w:rsidRDefault="00B271ED" w:rsidP="00B271ED">
            <w:pPr>
              <w:spacing w:after="120" w:line="264" w:lineRule="auto"/>
              <w:rPr>
                <w:sz w:val="18"/>
                <w:szCs w:val="18"/>
              </w:rPr>
            </w:pPr>
            <w:r w:rsidRPr="00B271ED">
              <w:rPr>
                <w:sz w:val="18"/>
                <w:szCs w:val="18"/>
              </w:rPr>
              <w:t>Project Management</w:t>
            </w:r>
          </w:p>
        </w:tc>
        <w:tc>
          <w:tcPr>
            <w:tcW w:w="0" w:type="auto"/>
            <w:hideMark/>
          </w:tcPr>
          <w:p w14:paraId="52214546"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Centralised governance model.</w:t>
            </w:r>
          </w:p>
        </w:tc>
        <w:tc>
          <w:tcPr>
            <w:tcW w:w="0" w:type="auto"/>
            <w:hideMark/>
          </w:tcPr>
          <w:p w14:paraId="616B735B"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Implement hybrid agile management combining global discipline with local flexibility.</w:t>
            </w:r>
          </w:p>
        </w:tc>
        <w:tc>
          <w:tcPr>
            <w:tcW w:w="0" w:type="auto"/>
            <w:hideMark/>
          </w:tcPr>
          <w:p w14:paraId="72355D98"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Enhanced adaptability to regulatory and logistical challenges.</w:t>
            </w:r>
          </w:p>
        </w:tc>
      </w:tr>
      <w:tr w:rsidR="00B271ED" w:rsidRPr="00B271ED" w14:paraId="181DD60F" w14:textId="77777777" w:rsidTr="00B271ED">
        <w:tc>
          <w:tcPr>
            <w:cnfStyle w:val="001000000000" w:firstRow="0" w:lastRow="0" w:firstColumn="1" w:lastColumn="0" w:oddVBand="0" w:evenVBand="0" w:oddHBand="0" w:evenHBand="0" w:firstRowFirstColumn="0" w:firstRowLastColumn="0" w:lastRowFirstColumn="0" w:lastRowLastColumn="0"/>
            <w:tcW w:w="0" w:type="auto"/>
            <w:hideMark/>
          </w:tcPr>
          <w:p w14:paraId="3BB98B08" w14:textId="77777777" w:rsidR="00B271ED" w:rsidRPr="00B271ED" w:rsidRDefault="00B271ED" w:rsidP="00B271ED">
            <w:pPr>
              <w:spacing w:after="120" w:line="264" w:lineRule="auto"/>
              <w:rPr>
                <w:sz w:val="18"/>
                <w:szCs w:val="18"/>
              </w:rPr>
            </w:pPr>
            <w:r w:rsidRPr="00B271ED">
              <w:rPr>
                <w:sz w:val="18"/>
                <w:szCs w:val="18"/>
              </w:rPr>
              <w:t>Knowledge Transfer</w:t>
            </w:r>
          </w:p>
        </w:tc>
        <w:tc>
          <w:tcPr>
            <w:tcW w:w="0" w:type="auto"/>
            <w:hideMark/>
          </w:tcPr>
          <w:p w14:paraId="58179483"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HQ-led learning repositories.</w:t>
            </w:r>
          </w:p>
        </w:tc>
        <w:tc>
          <w:tcPr>
            <w:tcW w:w="0" w:type="auto"/>
            <w:hideMark/>
          </w:tcPr>
          <w:p w14:paraId="1BA940EE"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 xml:space="preserve">Establish a regional </w:t>
            </w:r>
            <w:r w:rsidRPr="00B271ED">
              <w:rPr>
                <w:i/>
                <w:iCs/>
                <w:sz w:val="18"/>
                <w:szCs w:val="18"/>
              </w:rPr>
              <w:t>BP India Knowledge Hub</w:t>
            </w:r>
            <w:r w:rsidRPr="00B271ED">
              <w:rPr>
                <w:sz w:val="18"/>
                <w:szCs w:val="18"/>
              </w:rPr>
              <w:t xml:space="preserve"> for two-way innovation sharing.</w:t>
            </w:r>
          </w:p>
        </w:tc>
        <w:tc>
          <w:tcPr>
            <w:tcW w:w="0" w:type="auto"/>
            <w:hideMark/>
          </w:tcPr>
          <w:p w14:paraId="472CAE0C"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Strengthened local expertise and reverse innovation.</w:t>
            </w:r>
          </w:p>
        </w:tc>
      </w:tr>
      <w:tr w:rsidR="00B271ED" w:rsidRPr="00B271ED" w14:paraId="0B9ED5F8" w14:textId="77777777" w:rsidTr="00B2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9ACCE" w14:textId="77777777" w:rsidR="00B271ED" w:rsidRPr="00B271ED" w:rsidRDefault="00B271ED" w:rsidP="00B271ED">
            <w:pPr>
              <w:spacing w:after="120" w:line="264" w:lineRule="auto"/>
              <w:rPr>
                <w:sz w:val="18"/>
                <w:szCs w:val="18"/>
              </w:rPr>
            </w:pPr>
            <w:r w:rsidRPr="00B271ED">
              <w:rPr>
                <w:sz w:val="18"/>
                <w:szCs w:val="18"/>
              </w:rPr>
              <w:t>Supply Chain Operations</w:t>
            </w:r>
          </w:p>
        </w:tc>
        <w:tc>
          <w:tcPr>
            <w:tcW w:w="0" w:type="auto"/>
            <w:hideMark/>
          </w:tcPr>
          <w:p w14:paraId="47572CE2"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Dependence on global suppliers.</w:t>
            </w:r>
          </w:p>
        </w:tc>
        <w:tc>
          <w:tcPr>
            <w:tcW w:w="0" w:type="auto"/>
            <w:hideMark/>
          </w:tcPr>
          <w:p w14:paraId="7661AFF7"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Develop a verified local supplier network aligned with “Make in India” policy.</w:t>
            </w:r>
          </w:p>
        </w:tc>
        <w:tc>
          <w:tcPr>
            <w:tcW w:w="0" w:type="auto"/>
            <w:hideMark/>
          </w:tcPr>
          <w:p w14:paraId="1CA89D14" w14:textId="77777777" w:rsidR="00B271ED" w:rsidRPr="00B271ED" w:rsidRDefault="00B271ED" w:rsidP="00B271ED">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B271ED">
              <w:rPr>
                <w:sz w:val="18"/>
                <w:szCs w:val="18"/>
              </w:rPr>
              <w:t>Cost savings and improved local compliance.</w:t>
            </w:r>
          </w:p>
        </w:tc>
      </w:tr>
      <w:tr w:rsidR="00B271ED" w:rsidRPr="00B271ED" w14:paraId="0622C529" w14:textId="77777777" w:rsidTr="00B271ED">
        <w:tc>
          <w:tcPr>
            <w:cnfStyle w:val="001000000000" w:firstRow="0" w:lastRow="0" w:firstColumn="1" w:lastColumn="0" w:oddVBand="0" w:evenVBand="0" w:oddHBand="0" w:evenHBand="0" w:firstRowFirstColumn="0" w:firstRowLastColumn="0" w:lastRowFirstColumn="0" w:lastRowLastColumn="0"/>
            <w:tcW w:w="0" w:type="auto"/>
            <w:hideMark/>
          </w:tcPr>
          <w:p w14:paraId="67834C6E" w14:textId="77777777" w:rsidR="00B271ED" w:rsidRPr="00B271ED" w:rsidRDefault="00B271ED" w:rsidP="00B271ED">
            <w:pPr>
              <w:spacing w:after="120" w:line="264" w:lineRule="auto"/>
              <w:rPr>
                <w:sz w:val="18"/>
                <w:szCs w:val="18"/>
              </w:rPr>
            </w:pPr>
            <w:r w:rsidRPr="00B271ED">
              <w:rPr>
                <w:sz w:val="18"/>
                <w:szCs w:val="18"/>
              </w:rPr>
              <w:t>Quality Assurance</w:t>
            </w:r>
          </w:p>
        </w:tc>
        <w:tc>
          <w:tcPr>
            <w:tcW w:w="0" w:type="auto"/>
            <w:hideMark/>
          </w:tcPr>
          <w:p w14:paraId="331800C9"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Uniform global audit protocols.</w:t>
            </w:r>
          </w:p>
        </w:tc>
        <w:tc>
          <w:tcPr>
            <w:tcW w:w="0" w:type="auto"/>
            <w:hideMark/>
          </w:tcPr>
          <w:p w14:paraId="3AE2FD48"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Integrate Indian Bureau of Standards criteria into quality procedures.</w:t>
            </w:r>
          </w:p>
        </w:tc>
        <w:tc>
          <w:tcPr>
            <w:tcW w:w="0" w:type="auto"/>
            <w:hideMark/>
          </w:tcPr>
          <w:p w14:paraId="311B79F7" w14:textId="77777777" w:rsidR="00B271ED" w:rsidRPr="00B271ED" w:rsidRDefault="00B271ED" w:rsidP="00B271ED">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B271ED">
              <w:rPr>
                <w:sz w:val="18"/>
                <w:szCs w:val="18"/>
              </w:rPr>
              <w:t>Enhanced regulatory alignment and credibility.</w:t>
            </w:r>
          </w:p>
        </w:tc>
      </w:tr>
    </w:tbl>
    <w:p w14:paraId="738E77D1" w14:textId="7FBB502C" w:rsidR="00B271ED" w:rsidRDefault="0046354B" w:rsidP="009000AC">
      <w:pPr>
        <w:rPr>
          <w:sz w:val="18"/>
          <w:szCs w:val="18"/>
        </w:rPr>
      </w:pPr>
      <w:r w:rsidRPr="004A4E2A">
        <w:rPr>
          <w:sz w:val="18"/>
          <w:szCs w:val="18"/>
        </w:rPr>
        <w:t>Source: Author’s synthesis based on BP (2024); Dunning (1988); Teece et al. (1997); Ministry of Commerce, India (2024).</w:t>
      </w:r>
    </w:p>
    <w:p w14:paraId="4E41B454" w14:textId="77777777" w:rsidR="002D5CBC" w:rsidRPr="002D5CBC" w:rsidRDefault="002D5CBC" w:rsidP="009E59DA">
      <w:pPr>
        <w:numPr>
          <w:ilvl w:val="0"/>
          <w:numId w:val="11"/>
        </w:numPr>
      </w:pPr>
      <w:r w:rsidRPr="002D5CBC">
        <w:t>Implementation Strategy</w:t>
      </w:r>
    </w:p>
    <w:p w14:paraId="49AFC85E" w14:textId="77777777" w:rsidR="002D5CBC" w:rsidRPr="002D5CBC" w:rsidRDefault="002D5CBC" w:rsidP="002D5CBC">
      <w:pPr>
        <w:numPr>
          <w:ilvl w:val="0"/>
          <w:numId w:val="11"/>
        </w:numPr>
      </w:pPr>
      <w:r w:rsidRPr="002D5CBC">
        <w:t>Conduct operational gap analysis between global and Indian SOPs.</w:t>
      </w:r>
    </w:p>
    <w:p w14:paraId="77A68D6B" w14:textId="77777777" w:rsidR="002D5CBC" w:rsidRPr="002D5CBC" w:rsidRDefault="002D5CBC" w:rsidP="002D5CBC">
      <w:pPr>
        <w:numPr>
          <w:ilvl w:val="0"/>
          <w:numId w:val="11"/>
        </w:numPr>
      </w:pPr>
      <w:r w:rsidRPr="002D5CBC">
        <w:t>Launch the BP India Knowledge Hub (within 12 months).</w:t>
      </w:r>
    </w:p>
    <w:p w14:paraId="4B8C48D1" w14:textId="77777777" w:rsidR="002D5CBC" w:rsidRPr="002D5CBC" w:rsidRDefault="002D5CBC" w:rsidP="002D5CBC">
      <w:pPr>
        <w:numPr>
          <w:ilvl w:val="0"/>
          <w:numId w:val="11"/>
        </w:numPr>
      </w:pPr>
      <w:r w:rsidRPr="002D5CBC">
        <w:t>Embed local supplier management systems and digital tracking.</w:t>
      </w:r>
    </w:p>
    <w:p w14:paraId="5FD25902" w14:textId="77777777" w:rsidR="002D5CBC" w:rsidRPr="002D5CBC" w:rsidRDefault="002D5CBC" w:rsidP="002D5CBC">
      <w:r w:rsidRPr="002D5CBC">
        <w:t xml:space="preserve">This initiative aligns with </w:t>
      </w:r>
      <w:r w:rsidRPr="002D5CBC">
        <w:rPr>
          <w:i/>
          <w:iCs/>
        </w:rPr>
        <w:t>Nonaka and Takeuchi’s (1995)</w:t>
      </w:r>
      <w:r w:rsidRPr="002D5CBC">
        <w:t xml:space="preserve"> knowledge-creation model, where local insights are institutionalised globally to enhance innovation.</w:t>
      </w:r>
    </w:p>
    <w:p w14:paraId="23AD8ED3" w14:textId="77777777" w:rsidR="002D5CBC" w:rsidRPr="002D5CBC" w:rsidRDefault="002D5CBC" w:rsidP="009E59DA">
      <w:pPr>
        <w:ind w:left="720"/>
        <w:rPr>
          <w:b/>
          <w:bCs/>
        </w:rPr>
      </w:pPr>
      <w:r w:rsidRPr="002D5CBC">
        <w:t>Expected Outcomes</w:t>
      </w:r>
    </w:p>
    <w:p w14:paraId="544CFA1C" w14:textId="77777777" w:rsidR="002D5CBC" w:rsidRPr="002D5CBC" w:rsidRDefault="002D5CBC" w:rsidP="002D5CBC">
      <w:pPr>
        <w:numPr>
          <w:ilvl w:val="0"/>
          <w:numId w:val="12"/>
        </w:numPr>
      </w:pPr>
      <w:r w:rsidRPr="002D5CBC">
        <w:t>10–15% improvement in project delivery timelines.</w:t>
      </w:r>
    </w:p>
    <w:p w14:paraId="2823ECA0" w14:textId="77777777" w:rsidR="002D5CBC" w:rsidRPr="002D5CBC" w:rsidRDefault="002D5CBC" w:rsidP="002D5CBC">
      <w:pPr>
        <w:numPr>
          <w:ilvl w:val="0"/>
          <w:numId w:val="12"/>
        </w:numPr>
      </w:pPr>
      <w:r w:rsidRPr="002D5CBC">
        <w:t>Strengthened local supply chains supporting ESG commitments.</w:t>
      </w:r>
    </w:p>
    <w:p w14:paraId="36400179" w14:textId="6C41522E" w:rsidR="005C6217" w:rsidRDefault="002D5CBC" w:rsidP="005C6217">
      <w:pPr>
        <w:numPr>
          <w:ilvl w:val="0"/>
          <w:numId w:val="12"/>
        </w:numPr>
      </w:pPr>
      <w:r w:rsidRPr="002D5CBC">
        <w:t>Improved compliance and reduced process duplication.</w:t>
      </w:r>
    </w:p>
    <w:p w14:paraId="49747704" w14:textId="285EC24A" w:rsidR="005C6217" w:rsidRDefault="005C6217" w:rsidP="005C6217">
      <w:r w:rsidRPr="005C6217">
        <w:t>Comparative insight: Brazil’s advanced biofuels regulation suggests BP could transfer best practices in lifecycle carbon reporting from its Brazilian operations to India. Conversely, Vietnam’s fragmented legal environment reinforces the need for BP’s agile compliance model and adaptive supply-chain governance.</w:t>
      </w:r>
    </w:p>
    <w:p w14:paraId="63B2AB8D" w14:textId="77777777" w:rsidR="007545DB" w:rsidRDefault="007545DB" w:rsidP="005C6217"/>
    <w:p w14:paraId="251C1292" w14:textId="77777777" w:rsidR="00092E98" w:rsidRDefault="00092E98" w:rsidP="005C6217"/>
    <w:p w14:paraId="4C530253" w14:textId="77777777" w:rsidR="00092E98" w:rsidRDefault="00092E98" w:rsidP="005C6217"/>
    <w:p w14:paraId="786CD4E9" w14:textId="77777777" w:rsidR="00092E98" w:rsidRDefault="00092E98" w:rsidP="005C6217"/>
    <w:p w14:paraId="48D30BCC" w14:textId="77777777" w:rsidR="00FC123B" w:rsidRDefault="00FC123B" w:rsidP="00FC123B">
      <w:pPr>
        <w:pStyle w:val="Heading2"/>
      </w:pPr>
      <w:bookmarkStart w:id="22" w:name="_Toc214641474"/>
      <w:r w:rsidRPr="00FC123B">
        <w:lastRenderedPageBreak/>
        <w:t>5.3 Recommendation 3: Strategic Partnership Enhancement</w:t>
      </w:r>
      <w:bookmarkEnd w:id="22"/>
    </w:p>
    <w:p w14:paraId="3C9C3C80" w14:textId="77777777" w:rsidR="00FC123B" w:rsidRDefault="00FC123B" w:rsidP="00FC123B"/>
    <w:p w14:paraId="66B663D5" w14:textId="77777777" w:rsidR="00ED46AF" w:rsidRDefault="00ED46AF" w:rsidP="00ED46AF">
      <w:r>
        <w:t>Rationale</w:t>
      </w:r>
    </w:p>
    <w:p w14:paraId="4BC440C7" w14:textId="77777777" w:rsidR="00ED46AF" w:rsidRDefault="00ED46AF" w:rsidP="00ED46AF">
      <w:r>
        <w:t>As BP accelerates its digital transformation, the integration of digital governance and sustainability monitoring in India is critical. India’s energy market is rapidly digitising, driven by AI-enabled smart grids, blockchain-based traceability, and ESG data reporting (Deloitte, 2024). BP’s existing SOPs must be enhanced to incorporate digital ethics, transparency, and sustainability compliance aligned with both UK and Indian regulations.</w:t>
      </w:r>
    </w:p>
    <w:p w14:paraId="7166AFD7" w14:textId="77777777" w:rsidR="00092E98" w:rsidRDefault="00092E98" w:rsidP="00ED46AF"/>
    <w:p w14:paraId="670F7FDE" w14:textId="71A40CAC" w:rsidR="00FC123B" w:rsidRDefault="00ED46AF" w:rsidP="00ED46AF">
      <w:r>
        <w:t>Proposed SOP Adjustments</w:t>
      </w:r>
    </w:p>
    <w:tbl>
      <w:tblPr>
        <w:tblStyle w:val="GridTable5Dark-Accent3"/>
        <w:tblW w:w="0" w:type="auto"/>
        <w:tblLook w:val="04A0" w:firstRow="1" w:lastRow="0" w:firstColumn="1" w:lastColumn="0" w:noHBand="0" w:noVBand="1"/>
      </w:tblPr>
      <w:tblGrid>
        <w:gridCol w:w="1658"/>
        <w:gridCol w:w="2091"/>
        <w:gridCol w:w="3078"/>
        <w:gridCol w:w="2189"/>
      </w:tblGrid>
      <w:tr w:rsidR="00ED46AF" w:rsidRPr="00ED46AF" w14:paraId="20B4FACA" w14:textId="77777777" w:rsidTr="00ED46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D9FF98" w14:textId="77777777" w:rsidR="00ED46AF" w:rsidRPr="00ED46AF" w:rsidRDefault="00ED46AF" w:rsidP="00ED46AF">
            <w:pPr>
              <w:spacing w:after="120" w:line="264" w:lineRule="auto"/>
              <w:rPr>
                <w:sz w:val="18"/>
                <w:szCs w:val="18"/>
              </w:rPr>
            </w:pPr>
            <w:r w:rsidRPr="00ED46AF">
              <w:rPr>
                <w:sz w:val="18"/>
                <w:szCs w:val="18"/>
              </w:rPr>
              <w:t>Digital / ESG Process</w:t>
            </w:r>
          </w:p>
        </w:tc>
        <w:tc>
          <w:tcPr>
            <w:tcW w:w="0" w:type="auto"/>
            <w:hideMark/>
          </w:tcPr>
          <w:p w14:paraId="672F15D3"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Current BP SOP</w:t>
            </w:r>
          </w:p>
        </w:tc>
        <w:tc>
          <w:tcPr>
            <w:tcW w:w="0" w:type="auto"/>
            <w:hideMark/>
          </w:tcPr>
          <w:p w14:paraId="146534EB"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Required Adaptation for India</w:t>
            </w:r>
          </w:p>
        </w:tc>
        <w:tc>
          <w:tcPr>
            <w:tcW w:w="0" w:type="auto"/>
            <w:hideMark/>
          </w:tcPr>
          <w:p w14:paraId="09ABD91E" w14:textId="77777777" w:rsidR="00ED46AF" w:rsidRPr="00ED46AF" w:rsidRDefault="00ED46AF" w:rsidP="00ED46AF">
            <w:pPr>
              <w:spacing w:after="120" w:line="264" w:lineRule="auto"/>
              <w:cnfStyle w:val="100000000000" w:firstRow="1" w:lastRow="0" w:firstColumn="0" w:lastColumn="0" w:oddVBand="0" w:evenVBand="0" w:oddHBand="0" w:evenHBand="0" w:firstRowFirstColumn="0" w:firstRowLastColumn="0" w:lastRowFirstColumn="0" w:lastRowLastColumn="0"/>
              <w:rPr>
                <w:sz w:val="18"/>
                <w:szCs w:val="18"/>
              </w:rPr>
            </w:pPr>
            <w:r w:rsidRPr="00ED46AF">
              <w:rPr>
                <w:sz w:val="18"/>
                <w:szCs w:val="18"/>
              </w:rPr>
              <w:t>Expected Benefit</w:t>
            </w:r>
          </w:p>
        </w:tc>
      </w:tr>
      <w:tr w:rsidR="00ED46AF" w:rsidRPr="00ED46AF" w14:paraId="76826098" w14:textId="77777777" w:rsidTr="00ED46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5D546" w14:textId="77777777" w:rsidR="00ED46AF" w:rsidRPr="00ED46AF" w:rsidRDefault="00ED46AF" w:rsidP="00ED46AF">
            <w:pPr>
              <w:spacing w:after="120" w:line="264" w:lineRule="auto"/>
              <w:rPr>
                <w:sz w:val="18"/>
                <w:szCs w:val="18"/>
              </w:rPr>
            </w:pPr>
            <w:r w:rsidRPr="00ED46AF">
              <w:rPr>
                <w:sz w:val="18"/>
                <w:szCs w:val="18"/>
              </w:rPr>
              <w:t>Data Governance</w:t>
            </w:r>
          </w:p>
        </w:tc>
        <w:tc>
          <w:tcPr>
            <w:tcW w:w="0" w:type="auto"/>
            <w:hideMark/>
          </w:tcPr>
          <w:p w14:paraId="2CD3B99E"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Centralised IT compliance under UK GDPR.</w:t>
            </w:r>
          </w:p>
        </w:tc>
        <w:tc>
          <w:tcPr>
            <w:tcW w:w="0" w:type="auto"/>
            <w:hideMark/>
          </w:tcPr>
          <w:p w14:paraId="5184BE69"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Introduce dual compliance with India’s Digital Personal Data Protection Act (2023).</w:t>
            </w:r>
          </w:p>
        </w:tc>
        <w:tc>
          <w:tcPr>
            <w:tcW w:w="0" w:type="auto"/>
            <w:hideMark/>
          </w:tcPr>
          <w:p w14:paraId="6C899E14"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Enhanced data integrity and regulatory compliance.</w:t>
            </w:r>
          </w:p>
        </w:tc>
      </w:tr>
      <w:tr w:rsidR="00ED46AF" w:rsidRPr="00ED46AF" w14:paraId="78317F6A" w14:textId="77777777" w:rsidTr="00ED46AF">
        <w:tc>
          <w:tcPr>
            <w:cnfStyle w:val="001000000000" w:firstRow="0" w:lastRow="0" w:firstColumn="1" w:lastColumn="0" w:oddVBand="0" w:evenVBand="0" w:oddHBand="0" w:evenHBand="0" w:firstRowFirstColumn="0" w:firstRowLastColumn="0" w:lastRowFirstColumn="0" w:lastRowLastColumn="0"/>
            <w:tcW w:w="0" w:type="auto"/>
            <w:hideMark/>
          </w:tcPr>
          <w:p w14:paraId="02C0A6D3" w14:textId="77777777" w:rsidR="00ED46AF" w:rsidRPr="00ED46AF" w:rsidRDefault="00ED46AF" w:rsidP="00ED46AF">
            <w:pPr>
              <w:spacing w:after="120" w:line="264" w:lineRule="auto"/>
              <w:rPr>
                <w:sz w:val="18"/>
                <w:szCs w:val="18"/>
              </w:rPr>
            </w:pPr>
            <w:r w:rsidRPr="00ED46AF">
              <w:rPr>
                <w:sz w:val="18"/>
                <w:szCs w:val="18"/>
              </w:rPr>
              <w:t>Sustainability Reporting</w:t>
            </w:r>
          </w:p>
        </w:tc>
        <w:tc>
          <w:tcPr>
            <w:tcW w:w="0" w:type="auto"/>
            <w:hideMark/>
          </w:tcPr>
          <w:p w14:paraId="33CCAD04"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Annual sustainability report consolidated at HQ.</w:t>
            </w:r>
          </w:p>
        </w:tc>
        <w:tc>
          <w:tcPr>
            <w:tcW w:w="0" w:type="auto"/>
            <w:hideMark/>
          </w:tcPr>
          <w:p w14:paraId="4E164D6B"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Implement real-time ESG dashboards for Indian operations using IoT-based monitoring.</w:t>
            </w:r>
          </w:p>
        </w:tc>
        <w:tc>
          <w:tcPr>
            <w:tcW w:w="0" w:type="auto"/>
            <w:hideMark/>
          </w:tcPr>
          <w:p w14:paraId="48A4DFFB"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Improved transparency and stakeholder confidence.</w:t>
            </w:r>
          </w:p>
        </w:tc>
      </w:tr>
      <w:tr w:rsidR="00ED46AF" w:rsidRPr="00ED46AF" w14:paraId="5235C63A" w14:textId="77777777" w:rsidTr="00ED46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F2008B" w14:textId="77777777" w:rsidR="00ED46AF" w:rsidRPr="00ED46AF" w:rsidRDefault="00ED46AF" w:rsidP="00ED46AF">
            <w:pPr>
              <w:spacing w:after="120" w:line="264" w:lineRule="auto"/>
              <w:rPr>
                <w:sz w:val="18"/>
                <w:szCs w:val="18"/>
              </w:rPr>
            </w:pPr>
            <w:r w:rsidRPr="00ED46AF">
              <w:rPr>
                <w:sz w:val="18"/>
                <w:szCs w:val="18"/>
              </w:rPr>
              <w:t>Digital Procurement</w:t>
            </w:r>
          </w:p>
        </w:tc>
        <w:tc>
          <w:tcPr>
            <w:tcW w:w="0" w:type="auto"/>
            <w:hideMark/>
          </w:tcPr>
          <w:p w14:paraId="680B91DC"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Traditional vendor management systems.</w:t>
            </w:r>
          </w:p>
        </w:tc>
        <w:tc>
          <w:tcPr>
            <w:tcW w:w="0" w:type="auto"/>
            <w:hideMark/>
          </w:tcPr>
          <w:p w14:paraId="1EE79C0F"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Integrate blockchain-based supplier verification for transparency.</w:t>
            </w:r>
          </w:p>
        </w:tc>
        <w:tc>
          <w:tcPr>
            <w:tcW w:w="0" w:type="auto"/>
            <w:hideMark/>
          </w:tcPr>
          <w:p w14:paraId="365ABDF2" w14:textId="77777777" w:rsidR="00ED46AF" w:rsidRPr="00ED46AF" w:rsidRDefault="00ED46AF" w:rsidP="00ED46AF">
            <w:pPr>
              <w:spacing w:after="120" w:line="264" w:lineRule="auto"/>
              <w:cnfStyle w:val="000000100000" w:firstRow="0" w:lastRow="0" w:firstColumn="0" w:lastColumn="0" w:oddVBand="0" w:evenVBand="0" w:oddHBand="1" w:evenHBand="0" w:firstRowFirstColumn="0" w:firstRowLastColumn="0" w:lastRowFirstColumn="0" w:lastRowLastColumn="0"/>
              <w:rPr>
                <w:sz w:val="18"/>
                <w:szCs w:val="18"/>
              </w:rPr>
            </w:pPr>
            <w:r w:rsidRPr="00ED46AF">
              <w:rPr>
                <w:sz w:val="18"/>
                <w:szCs w:val="18"/>
              </w:rPr>
              <w:t>Reduced fraud and improved traceability.</w:t>
            </w:r>
          </w:p>
        </w:tc>
      </w:tr>
      <w:tr w:rsidR="00ED46AF" w:rsidRPr="00ED46AF" w14:paraId="7109B11D" w14:textId="77777777" w:rsidTr="00ED46AF">
        <w:tc>
          <w:tcPr>
            <w:cnfStyle w:val="001000000000" w:firstRow="0" w:lastRow="0" w:firstColumn="1" w:lastColumn="0" w:oddVBand="0" w:evenVBand="0" w:oddHBand="0" w:evenHBand="0" w:firstRowFirstColumn="0" w:firstRowLastColumn="0" w:lastRowFirstColumn="0" w:lastRowLastColumn="0"/>
            <w:tcW w:w="0" w:type="auto"/>
            <w:hideMark/>
          </w:tcPr>
          <w:p w14:paraId="74028CB0" w14:textId="77777777" w:rsidR="00ED46AF" w:rsidRPr="00ED46AF" w:rsidRDefault="00ED46AF" w:rsidP="00ED46AF">
            <w:pPr>
              <w:spacing w:after="120" w:line="264" w:lineRule="auto"/>
              <w:rPr>
                <w:sz w:val="18"/>
                <w:szCs w:val="18"/>
              </w:rPr>
            </w:pPr>
            <w:r w:rsidRPr="00ED46AF">
              <w:rPr>
                <w:sz w:val="18"/>
                <w:szCs w:val="18"/>
              </w:rPr>
              <w:t>Safety Monitoring</w:t>
            </w:r>
          </w:p>
        </w:tc>
        <w:tc>
          <w:tcPr>
            <w:tcW w:w="0" w:type="auto"/>
            <w:hideMark/>
          </w:tcPr>
          <w:p w14:paraId="20DC322D"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Manual incident reporting.</w:t>
            </w:r>
          </w:p>
        </w:tc>
        <w:tc>
          <w:tcPr>
            <w:tcW w:w="0" w:type="auto"/>
            <w:hideMark/>
          </w:tcPr>
          <w:p w14:paraId="3A7DB41A"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Adopt AI-based predictive analytics for safety risk prevention.</w:t>
            </w:r>
          </w:p>
        </w:tc>
        <w:tc>
          <w:tcPr>
            <w:tcW w:w="0" w:type="auto"/>
            <w:hideMark/>
          </w:tcPr>
          <w:p w14:paraId="0373156D" w14:textId="77777777" w:rsidR="00ED46AF" w:rsidRPr="00ED46AF" w:rsidRDefault="00ED46AF" w:rsidP="00ED46AF">
            <w:pPr>
              <w:spacing w:after="120" w:line="264" w:lineRule="auto"/>
              <w:cnfStyle w:val="000000000000" w:firstRow="0" w:lastRow="0" w:firstColumn="0" w:lastColumn="0" w:oddVBand="0" w:evenVBand="0" w:oddHBand="0" w:evenHBand="0" w:firstRowFirstColumn="0" w:firstRowLastColumn="0" w:lastRowFirstColumn="0" w:lastRowLastColumn="0"/>
              <w:rPr>
                <w:sz w:val="18"/>
                <w:szCs w:val="18"/>
              </w:rPr>
            </w:pPr>
            <w:r w:rsidRPr="00ED46AF">
              <w:rPr>
                <w:sz w:val="18"/>
                <w:szCs w:val="18"/>
              </w:rPr>
              <w:t>Reduced downtime and safety incidents.</w:t>
            </w:r>
          </w:p>
        </w:tc>
      </w:tr>
    </w:tbl>
    <w:p w14:paraId="0408037E" w14:textId="11283C1A" w:rsidR="00ED46AF" w:rsidRDefault="005A67F5" w:rsidP="00ED46AF">
      <w:pPr>
        <w:rPr>
          <w:sz w:val="18"/>
          <w:szCs w:val="18"/>
        </w:rPr>
      </w:pPr>
      <w:r w:rsidRPr="004A4E2A">
        <w:rPr>
          <w:sz w:val="18"/>
          <w:szCs w:val="18"/>
        </w:rPr>
        <w:t>Source: Author’s synthesis based on BP (2024); Deloitte (2024); KPMG (2023).</w:t>
      </w:r>
    </w:p>
    <w:p w14:paraId="4B832C2F" w14:textId="77777777" w:rsidR="007545DB" w:rsidRPr="004A4E2A" w:rsidRDefault="007545DB" w:rsidP="00ED46AF">
      <w:pPr>
        <w:rPr>
          <w:sz w:val="18"/>
          <w:szCs w:val="18"/>
        </w:rPr>
      </w:pPr>
    </w:p>
    <w:p w14:paraId="2E65D7E6" w14:textId="77777777" w:rsidR="003657B1" w:rsidRPr="003657B1" w:rsidRDefault="003657B1" w:rsidP="003657B1">
      <w:r w:rsidRPr="003657B1">
        <w:t>Implementation Strategy</w:t>
      </w:r>
    </w:p>
    <w:p w14:paraId="141850C0" w14:textId="77777777" w:rsidR="003657B1" w:rsidRPr="003657B1" w:rsidRDefault="003657B1" w:rsidP="003657B1">
      <w:pPr>
        <w:numPr>
          <w:ilvl w:val="0"/>
          <w:numId w:val="13"/>
        </w:numPr>
      </w:pPr>
      <w:r w:rsidRPr="003657B1">
        <w:rPr>
          <w:i/>
          <w:iCs/>
        </w:rPr>
        <w:t>Establish a Digital Governance Board</w:t>
      </w:r>
      <w:r w:rsidRPr="003657B1">
        <w:t xml:space="preserve"> for BP India (first 6 months).</w:t>
      </w:r>
    </w:p>
    <w:p w14:paraId="03DE8017" w14:textId="77777777" w:rsidR="003657B1" w:rsidRPr="003657B1" w:rsidRDefault="003657B1" w:rsidP="003657B1">
      <w:pPr>
        <w:numPr>
          <w:ilvl w:val="0"/>
          <w:numId w:val="13"/>
        </w:numPr>
      </w:pPr>
      <w:r w:rsidRPr="003657B1">
        <w:t>Adopt hybrid cloud infrastructure for secure data management (6–18 months).</w:t>
      </w:r>
    </w:p>
    <w:p w14:paraId="09E49786" w14:textId="77777777" w:rsidR="003657B1" w:rsidRPr="003657B1" w:rsidRDefault="003657B1" w:rsidP="003657B1">
      <w:pPr>
        <w:numPr>
          <w:ilvl w:val="0"/>
          <w:numId w:val="13"/>
        </w:numPr>
      </w:pPr>
      <w:r w:rsidRPr="003657B1">
        <w:t>Deploy IoT-enabled ESG systems in major production and distribution facilities (18–24 months).</w:t>
      </w:r>
    </w:p>
    <w:p w14:paraId="2195A6C1" w14:textId="77777777" w:rsidR="003657B1" w:rsidRDefault="003657B1" w:rsidP="003657B1">
      <w:r w:rsidRPr="003657B1">
        <w:t xml:space="preserve">This initiative supports BP’s global </w:t>
      </w:r>
      <w:r w:rsidRPr="003657B1">
        <w:rPr>
          <w:i/>
          <w:iCs/>
        </w:rPr>
        <w:t>“Reimagine Energy”</w:t>
      </w:r>
      <w:r w:rsidRPr="003657B1">
        <w:t xml:space="preserve"> strategy and aligns with </w:t>
      </w:r>
      <w:r w:rsidRPr="003657B1">
        <w:rPr>
          <w:i/>
          <w:iCs/>
        </w:rPr>
        <w:t>Kaplan and Norton’s (1996)</w:t>
      </w:r>
      <w:r w:rsidRPr="003657B1">
        <w:t xml:space="preserve"> Balanced Scorecard by integrating financial, operational, and sustainability metrics.</w:t>
      </w:r>
    </w:p>
    <w:p w14:paraId="052B0100" w14:textId="77777777" w:rsidR="003657B1" w:rsidRPr="003657B1" w:rsidRDefault="003657B1" w:rsidP="003657B1">
      <w:r w:rsidRPr="003657B1">
        <w:t>Expected Outcomes</w:t>
      </w:r>
    </w:p>
    <w:p w14:paraId="5DD20A08" w14:textId="77777777" w:rsidR="003657B1" w:rsidRPr="003657B1" w:rsidRDefault="003657B1" w:rsidP="003657B1">
      <w:pPr>
        <w:numPr>
          <w:ilvl w:val="0"/>
          <w:numId w:val="14"/>
        </w:numPr>
      </w:pPr>
      <w:r w:rsidRPr="003657B1">
        <w:t>Enhanced transparency and investor confidence through real-time ESG reporting.</w:t>
      </w:r>
    </w:p>
    <w:p w14:paraId="5DD7B51D" w14:textId="77777777" w:rsidR="003657B1" w:rsidRPr="003657B1" w:rsidRDefault="003657B1" w:rsidP="003657B1">
      <w:pPr>
        <w:numPr>
          <w:ilvl w:val="0"/>
          <w:numId w:val="14"/>
        </w:numPr>
      </w:pPr>
      <w:r w:rsidRPr="003657B1">
        <w:t>20% reduction in operational incidents via AI-driven monitoring.</w:t>
      </w:r>
    </w:p>
    <w:p w14:paraId="685DA2CF" w14:textId="5762F5B4" w:rsidR="00FC123B" w:rsidRDefault="003657B1" w:rsidP="00FC123B">
      <w:pPr>
        <w:numPr>
          <w:ilvl w:val="0"/>
          <w:numId w:val="14"/>
        </w:numPr>
      </w:pPr>
      <w:r w:rsidRPr="003657B1">
        <w:t>Strengthened compliance with global and national data governance standards.</w:t>
      </w:r>
    </w:p>
    <w:p w14:paraId="7B5F2A5B" w14:textId="06755A9C" w:rsidR="00FC123B" w:rsidRDefault="000F0541" w:rsidP="00FC123B">
      <w:r w:rsidRPr="000F0541">
        <w:t xml:space="preserve">The proposed SOP adaptations collectively aim to build a more agile, culturally responsive, and technologically advanced BP India. By harmonising human resource </w:t>
      </w:r>
      <w:r w:rsidRPr="000F0541">
        <w:lastRenderedPageBreak/>
        <w:t>practices, operational systems, and digital governance, BP will strengthen both its global integration and local legitimacy. This transformation supports BP’s long-term vision of sustainable and inclusive energy leadership.</w:t>
      </w:r>
    </w:p>
    <w:p w14:paraId="70114DBD" w14:textId="77CDF02F" w:rsidR="00474168" w:rsidRDefault="00474168" w:rsidP="00FC123B">
      <w:r w:rsidRPr="00474168">
        <w:t>BP can further enhance its sustainability-driven SOP by embedding circular economy principles. For example, reusing waste heat in refining or repurposing EV battery components through local partnerships would reduce environmental impact and support India’s resource efficiency agenda (Ellen MacArthur Foundation, 2022). Aligning operations with the “reduce-reuse-recycle” loop not only strengthens regulatory compliance but also enhances BP’s ESG profile in stakeholder assessments.</w:t>
      </w:r>
    </w:p>
    <w:p w14:paraId="4719139A" w14:textId="27521C7C" w:rsidR="005C6217" w:rsidRDefault="00BF6B32" w:rsidP="00FC123B">
      <w:r w:rsidRPr="00BF6B32">
        <w:t>Comparative insight: BP’s collaboration model in India (Reliance JV) could inform partnership structures in Vietnam’s nascent energy sector, where shared infrastructure investment would reduce entry barriers. In Brazil, where BP already holds strong equity positions, digital ESG dashboards piloted in India could support greater transparency and alignment with national sustainability goals.</w:t>
      </w:r>
    </w:p>
    <w:p w14:paraId="0B734754" w14:textId="77777777" w:rsidR="00092E98" w:rsidRDefault="00092E98" w:rsidP="00FC123B"/>
    <w:p w14:paraId="2DBC0B34" w14:textId="4C4C973A" w:rsidR="00FC123B" w:rsidRDefault="00364EB7" w:rsidP="00FC123B">
      <w:pPr>
        <w:rPr>
          <w:rFonts w:eastAsiaTheme="majorEastAsia" w:cstheme="majorBidi"/>
          <w:color w:val="3E762A" w:themeColor="accent1" w:themeShade="BF"/>
          <w:sz w:val="28"/>
          <w:szCs w:val="28"/>
        </w:rPr>
      </w:pPr>
      <w:r w:rsidRPr="00364EB7">
        <w:rPr>
          <w:rFonts w:eastAsiaTheme="majorEastAsia" w:cstheme="majorBidi"/>
          <w:color w:val="3E762A" w:themeColor="accent1" w:themeShade="BF"/>
          <w:sz w:val="28"/>
          <w:szCs w:val="28"/>
        </w:rPr>
        <w:t>5.4 Recommendation 4: Risk Management and Adaptive Capacity</w:t>
      </w:r>
    </w:p>
    <w:p w14:paraId="59086597" w14:textId="77777777" w:rsidR="00460B5A" w:rsidRDefault="00460B5A" w:rsidP="00FC123B">
      <w:pPr>
        <w:rPr>
          <w:rFonts w:eastAsiaTheme="majorEastAsia" w:cstheme="majorBidi"/>
          <w:color w:val="3E762A" w:themeColor="accent1" w:themeShade="BF"/>
          <w:sz w:val="28"/>
          <w:szCs w:val="28"/>
        </w:rPr>
      </w:pPr>
    </w:p>
    <w:p w14:paraId="0A6A68F6" w14:textId="77777777" w:rsidR="00D86117" w:rsidRPr="00D86117" w:rsidRDefault="00D86117" w:rsidP="00D86117">
      <w:pPr>
        <w:rPr>
          <w:rFonts w:eastAsiaTheme="majorEastAsia"/>
        </w:rPr>
      </w:pPr>
      <w:r w:rsidRPr="00D86117">
        <w:rPr>
          <w:rFonts w:eastAsiaTheme="majorEastAsia"/>
        </w:rPr>
        <w:t>Implementation risks include regulatory uncertainty, supply-chain volatility, and cultural resistance to change. A Risk Probability-Impact Matrix will be maintained to prioritise mitigation efforts. Continuous feedback will be gathered through:</w:t>
      </w:r>
    </w:p>
    <w:p w14:paraId="2F494E0E" w14:textId="77777777" w:rsidR="00D86117" w:rsidRPr="00D86117" w:rsidRDefault="00D86117" w:rsidP="00D86117">
      <w:pPr>
        <w:numPr>
          <w:ilvl w:val="0"/>
          <w:numId w:val="17"/>
        </w:numPr>
        <w:rPr>
          <w:rFonts w:eastAsiaTheme="majorEastAsia"/>
        </w:rPr>
      </w:pPr>
      <w:r w:rsidRPr="00D86117">
        <w:rPr>
          <w:rFonts w:eastAsiaTheme="majorEastAsia"/>
        </w:rPr>
        <w:t>Employee engagement surveys and leadership dialogues.</w:t>
      </w:r>
    </w:p>
    <w:p w14:paraId="2A443AC4" w14:textId="77777777" w:rsidR="00D86117" w:rsidRPr="00D86117" w:rsidRDefault="00D86117" w:rsidP="00D86117">
      <w:pPr>
        <w:numPr>
          <w:ilvl w:val="0"/>
          <w:numId w:val="17"/>
        </w:numPr>
        <w:rPr>
          <w:rFonts w:eastAsiaTheme="majorEastAsia"/>
        </w:rPr>
      </w:pPr>
      <w:r w:rsidRPr="00D86117">
        <w:rPr>
          <w:rFonts w:eastAsiaTheme="majorEastAsia"/>
        </w:rPr>
        <w:t>Real-time ESG performance dashboards.</w:t>
      </w:r>
    </w:p>
    <w:p w14:paraId="168F3637" w14:textId="77777777" w:rsidR="00D86117" w:rsidRPr="00D86117" w:rsidRDefault="00D86117" w:rsidP="00D86117">
      <w:pPr>
        <w:numPr>
          <w:ilvl w:val="0"/>
          <w:numId w:val="17"/>
        </w:numPr>
        <w:rPr>
          <w:rFonts w:eastAsiaTheme="majorEastAsia"/>
        </w:rPr>
      </w:pPr>
      <w:r w:rsidRPr="00D86117">
        <w:rPr>
          <w:rFonts w:eastAsiaTheme="majorEastAsia"/>
        </w:rPr>
        <w:t>External audits and independent compliance checks (KPMG, 2023).</w:t>
      </w:r>
    </w:p>
    <w:p w14:paraId="0F1F9AA0" w14:textId="77777777" w:rsidR="00D86117" w:rsidRPr="00D86117" w:rsidRDefault="00D86117" w:rsidP="00D86117">
      <w:pPr>
        <w:rPr>
          <w:rFonts w:eastAsiaTheme="majorEastAsia"/>
        </w:rPr>
      </w:pPr>
      <w:r w:rsidRPr="00D86117">
        <w:rPr>
          <w:rFonts w:eastAsiaTheme="majorEastAsia"/>
        </w:rPr>
        <w:t>Embedding feedback within BP’s operational routines will create a self-learning system consistent with Teece’s (2014) dynamic capability framework, ensuring agility in a rapidly transforming energy landscape.</w:t>
      </w:r>
    </w:p>
    <w:p w14:paraId="7031959B" w14:textId="77777777" w:rsidR="00D86117" w:rsidRDefault="00D86117" w:rsidP="00D86117">
      <w:pPr>
        <w:rPr>
          <w:rFonts w:eastAsiaTheme="majorEastAsia"/>
        </w:rPr>
      </w:pPr>
    </w:p>
    <w:p w14:paraId="61D3477A" w14:textId="77777777" w:rsidR="00FC123B" w:rsidRDefault="00FC123B" w:rsidP="00FC123B"/>
    <w:p w14:paraId="522D1FAC" w14:textId="77777777" w:rsidR="00474168" w:rsidRDefault="00474168" w:rsidP="00FC123B"/>
    <w:p w14:paraId="452729EB" w14:textId="77777777" w:rsidR="009D0254" w:rsidRDefault="009D0254" w:rsidP="00FC123B"/>
    <w:p w14:paraId="6996CCFA" w14:textId="77777777" w:rsidR="009D0254" w:rsidRDefault="009D0254" w:rsidP="00FC123B"/>
    <w:p w14:paraId="6872D845" w14:textId="77777777" w:rsidR="009D0254" w:rsidRDefault="009D0254" w:rsidP="00FC123B"/>
    <w:p w14:paraId="53F13548" w14:textId="77777777" w:rsidR="009D0254" w:rsidRDefault="009D0254" w:rsidP="00FC123B"/>
    <w:p w14:paraId="305A9CD2" w14:textId="77777777" w:rsidR="00460B5A" w:rsidRDefault="00460B5A" w:rsidP="00FC123B"/>
    <w:p w14:paraId="4C1E66E3" w14:textId="77777777" w:rsidR="00460B5A" w:rsidRDefault="00460B5A" w:rsidP="00FC123B"/>
    <w:p w14:paraId="40C62C6B" w14:textId="77777777" w:rsidR="00460B5A" w:rsidRDefault="00460B5A" w:rsidP="00FC123B"/>
    <w:p w14:paraId="652365AD" w14:textId="77777777" w:rsidR="001E7053" w:rsidRDefault="001E7053" w:rsidP="001E7053">
      <w:pPr>
        <w:pStyle w:val="Heading1"/>
      </w:pPr>
      <w:bookmarkStart w:id="23" w:name="_Toc214641475"/>
      <w:r>
        <w:lastRenderedPageBreak/>
        <w:t>6. Implementation and Performance Evaluation</w:t>
      </w:r>
      <w:bookmarkEnd w:id="23"/>
    </w:p>
    <w:p w14:paraId="1A008208" w14:textId="77777777" w:rsidR="001E7053" w:rsidRDefault="001E7053" w:rsidP="001E7053"/>
    <w:p w14:paraId="2217AD38" w14:textId="20891AC4" w:rsidR="001E7053" w:rsidRDefault="001E7053" w:rsidP="001E7053">
      <w:r>
        <w:t>Effective strategy implementation requires a structured approach that aligns operational actions with strategic intent. For BP in India, implementation should be guided by a clear governance framework, resource allocation plan, and measurable performance indicators. The Balanced Scorecard (Kaplan and Norton, 1996) provides a robust foundation to evaluate outcomes across financial, customer, internal process, and learning perspectives.</w:t>
      </w:r>
    </w:p>
    <w:p w14:paraId="65B14D53" w14:textId="77777777" w:rsidR="00A61B27" w:rsidRPr="00A61B27" w:rsidRDefault="00A61B27" w:rsidP="00A61B27"/>
    <w:tbl>
      <w:tblPr>
        <w:tblStyle w:val="GridTable4-Accent3"/>
        <w:tblW w:w="0" w:type="auto"/>
        <w:tblLook w:val="04A0" w:firstRow="1" w:lastRow="0" w:firstColumn="1" w:lastColumn="0" w:noHBand="0" w:noVBand="1"/>
      </w:tblPr>
      <w:tblGrid>
        <w:gridCol w:w="4471"/>
        <w:gridCol w:w="4459"/>
      </w:tblGrid>
      <w:tr w:rsidR="00A61B27" w:rsidRPr="00A61B27" w14:paraId="38D377E4" w14:textId="77777777" w:rsidTr="003C49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0525A" w14:textId="77777777" w:rsidR="00A61B27" w:rsidRPr="00A61B27" w:rsidRDefault="00A61B27" w:rsidP="00A61B27">
            <w:pPr>
              <w:spacing w:after="120" w:line="264" w:lineRule="auto"/>
              <w:rPr>
                <w:color w:val="auto"/>
              </w:rPr>
            </w:pPr>
            <w:r w:rsidRPr="00A61B27">
              <w:rPr>
                <w:color w:val="auto"/>
              </w:rPr>
              <w:t>Strengths</w:t>
            </w:r>
          </w:p>
        </w:tc>
        <w:tc>
          <w:tcPr>
            <w:tcW w:w="0" w:type="auto"/>
            <w:hideMark/>
          </w:tcPr>
          <w:p w14:paraId="6794216E" w14:textId="77777777" w:rsidR="00A61B27" w:rsidRPr="00A61B27" w:rsidRDefault="00A61B27" w:rsidP="00A61B27">
            <w:pPr>
              <w:spacing w:after="120" w:line="264" w:lineRule="auto"/>
              <w:cnfStyle w:val="100000000000" w:firstRow="1" w:lastRow="0" w:firstColumn="0" w:lastColumn="0" w:oddVBand="0" w:evenVBand="0" w:oddHBand="0" w:evenHBand="0" w:firstRowFirstColumn="0" w:firstRowLastColumn="0" w:lastRowFirstColumn="0" w:lastRowLastColumn="0"/>
              <w:rPr>
                <w:color w:val="auto"/>
              </w:rPr>
            </w:pPr>
            <w:r w:rsidRPr="00A61B27">
              <w:rPr>
                <w:color w:val="auto"/>
              </w:rPr>
              <w:t>Weaknesses</w:t>
            </w:r>
          </w:p>
        </w:tc>
      </w:tr>
      <w:tr w:rsidR="00A61B27" w:rsidRPr="00A61B27" w14:paraId="468415F9"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AB3421" w14:textId="77777777" w:rsidR="00A61B27" w:rsidRPr="00A61B27" w:rsidRDefault="00A61B27" w:rsidP="00A61B27">
            <w:pPr>
              <w:spacing w:after="120" w:line="264" w:lineRule="auto"/>
              <w:rPr>
                <w:b w:val="0"/>
                <w:bCs w:val="0"/>
              </w:rPr>
            </w:pPr>
            <w:r w:rsidRPr="00A61B27">
              <w:rPr>
                <w:b w:val="0"/>
                <w:bCs w:val="0"/>
              </w:rPr>
              <w:t>Access to local retail network (Reliance)</w:t>
            </w:r>
          </w:p>
        </w:tc>
        <w:tc>
          <w:tcPr>
            <w:tcW w:w="0" w:type="auto"/>
            <w:hideMark/>
          </w:tcPr>
          <w:p w14:paraId="79FBA8B5"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Dependence on one local partner</w:t>
            </w:r>
          </w:p>
        </w:tc>
      </w:tr>
      <w:tr w:rsidR="00A61B27" w:rsidRPr="00A61B27" w14:paraId="37A3A49D"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544BD2CA" w14:textId="77777777" w:rsidR="00A61B27" w:rsidRPr="00A61B27" w:rsidRDefault="00A61B27" w:rsidP="00A61B27">
            <w:pPr>
              <w:spacing w:after="120" w:line="264" w:lineRule="auto"/>
              <w:rPr>
                <w:b w:val="0"/>
                <w:bCs w:val="0"/>
              </w:rPr>
            </w:pPr>
            <w:r w:rsidRPr="00A61B27">
              <w:rPr>
                <w:b w:val="0"/>
                <w:bCs w:val="0"/>
              </w:rPr>
              <w:t>Shared investment reduces risk</w:t>
            </w:r>
          </w:p>
        </w:tc>
        <w:tc>
          <w:tcPr>
            <w:tcW w:w="0" w:type="auto"/>
            <w:hideMark/>
          </w:tcPr>
          <w:p w14:paraId="7BE26758"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Cultural and management misalignment</w:t>
            </w:r>
          </w:p>
        </w:tc>
      </w:tr>
      <w:tr w:rsidR="00A61B27" w:rsidRPr="00A61B27" w14:paraId="40B386E6"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EEE870" w14:textId="77777777" w:rsidR="00A61B27" w:rsidRPr="00A61B27" w:rsidRDefault="00A61B27" w:rsidP="00A61B27">
            <w:pPr>
              <w:spacing w:after="120" w:line="264" w:lineRule="auto"/>
              <w:rPr>
                <w:b w:val="0"/>
                <w:bCs w:val="0"/>
              </w:rPr>
            </w:pPr>
            <w:r w:rsidRPr="00A61B27">
              <w:rPr>
                <w:b w:val="0"/>
                <w:bCs w:val="0"/>
              </w:rPr>
              <w:t>Combined R&amp;D potential in renewables</w:t>
            </w:r>
          </w:p>
        </w:tc>
        <w:tc>
          <w:tcPr>
            <w:tcW w:w="0" w:type="auto"/>
            <w:hideMark/>
          </w:tcPr>
          <w:p w14:paraId="3757DC84"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Bureaucratic delays on approvals</w:t>
            </w:r>
          </w:p>
        </w:tc>
      </w:tr>
      <w:tr w:rsidR="00A61B27" w:rsidRPr="00A61B27" w14:paraId="1359C5EA" w14:textId="77777777" w:rsidTr="003C492D">
        <w:tc>
          <w:tcPr>
            <w:cnfStyle w:val="001000000000" w:firstRow="0" w:lastRow="0" w:firstColumn="1" w:lastColumn="0" w:oddVBand="0" w:evenVBand="0" w:oddHBand="0" w:evenHBand="0" w:firstRowFirstColumn="0" w:firstRowLastColumn="0" w:lastRowFirstColumn="0" w:lastRowLastColumn="0"/>
            <w:tcW w:w="0" w:type="auto"/>
            <w:shd w:val="clear" w:color="auto" w:fill="C0CF3A" w:themeFill="accent3"/>
            <w:hideMark/>
          </w:tcPr>
          <w:p w14:paraId="424B0251" w14:textId="77777777" w:rsidR="00A61B27" w:rsidRPr="00A61B27" w:rsidRDefault="00A61B27" w:rsidP="00A61B27">
            <w:pPr>
              <w:spacing w:after="120" w:line="264" w:lineRule="auto"/>
              <w:rPr>
                <w:b w:val="0"/>
                <w:bCs w:val="0"/>
              </w:rPr>
            </w:pPr>
            <w:r w:rsidRPr="00A61B27">
              <w:rPr>
                <w:b w:val="0"/>
                <w:bCs w:val="0"/>
              </w:rPr>
              <w:t>Opportunities</w:t>
            </w:r>
          </w:p>
        </w:tc>
        <w:tc>
          <w:tcPr>
            <w:tcW w:w="0" w:type="auto"/>
            <w:shd w:val="clear" w:color="auto" w:fill="C0CF3A" w:themeFill="accent3"/>
            <w:hideMark/>
          </w:tcPr>
          <w:p w14:paraId="52A4B252"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Threats</w:t>
            </w:r>
          </w:p>
        </w:tc>
      </w:tr>
      <w:tr w:rsidR="00A61B27" w:rsidRPr="00A61B27" w14:paraId="1392C303" w14:textId="77777777" w:rsidTr="003C49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A587A" w14:textId="77777777" w:rsidR="00A61B27" w:rsidRPr="00A61B27" w:rsidRDefault="00A61B27" w:rsidP="00A61B27">
            <w:pPr>
              <w:spacing w:after="120" w:line="264" w:lineRule="auto"/>
              <w:rPr>
                <w:b w:val="0"/>
                <w:bCs w:val="0"/>
              </w:rPr>
            </w:pPr>
            <w:r w:rsidRPr="00A61B27">
              <w:rPr>
                <w:b w:val="0"/>
                <w:bCs w:val="0"/>
              </w:rPr>
              <w:t>EV infrastructure expansion</w:t>
            </w:r>
          </w:p>
        </w:tc>
        <w:tc>
          <w:tcPr>
            <w:tcW w:w="0" w:type="auto"/>
            <w:hideMark/>
          </w:tcPr>
          <w:p w14:paraId="05F1428D" w14:textId="77777777" w:rsidR="00A61B27" w:rsidRPr="00A61B27" w:rsidRDefault="00A61B27" w:rsidP="00A61B27">
            <w:pPr>
              <w:spacing w:after="120" w:line="264" w:lineRule="auto"/>
              <w:cnfStyle w:val="000000100000" w:firstRow="0" w:lastRow="0" w:firstColumn="0" w:lastColumn="0" w:oddVBand="0" w:evenVBand="0" w:oddHBand="1" w:evenHBand="0" w:firstRowFirstColumn="0" w:firstRowLastColumn="0" w:lastRowFirstColumn="0" w:lastRowLastColumn="0"/>
            </w:pPr>
            <w:r w:rsidRPr="00A61B27">
              <w:t>Competitor activity (e.g., Adani, Shell)</w:t>
            </w:r>
          </w:p>
        </w:tc>
      </w:tr>
      <w:tr w:rsidR="00A61B27" w:rsidRPr="00A61B27" w14:paraId="288F3D78" w14:textId="77777777" w:rsidTr="003C492D">
        <w:tc>
          <w:tcPr>
            <w:cnfStyle w:val="001000000000" w:firstRow="0" w:lastRow="0" w:firstColumn="1" w:lastColumn="0" w:oddVBand="0" w:evenVBand="0" w:oddHBand="0" w:evenHBand="0" w:firstRowFirstColumn="0" w:firstRowLastColumn="0" w:lastRowFirstColumn="0" w:lastRowLastColumn="0"/>
            <w:tcW w:w="0" w:type="auto"/>
            <w:hideMark/>
          </w:tcPr>
          <w:p w14:paraId="00500EE1" w14:textId="77777777" w:rsidR="00A61B27" w:rsidRPr="00A61B27" w:rsidRDefault="00A61B27" w:rsidP="00A61B27">
            <w:pPr>
              <w:spacing w:after="120" w:line="264" w:lineRule="auto"/>
              <w:rPr>
                <w:b w:val="0"/>
                <w:bCs w:val="0"/>
              </w:rPr>
            </w:pPr>
            <w:r w:rsidRPr="00A61B27">
              <w:rPr>
                <w:b w:val="0"/>
                <w:bCs w:val="0"/>
              </w:rPr>
              <w:t>Hydrogen technology rollout</w:t>
            </w:r>
          </w:p>
        </w:tc>
        <w:tc>
          <w:tcPr>
            <w:tcW w:w="0" w:type="auto"/>
            <w:hideMark/>
          </w:tcPr>
          <w:p w14:paraId="1A57777A" w14:textId="77777777" w:rsidR="00A61B27" w:rsidRPr="00A61B27" w:rsidRDefault="00A61B27" w:rsidP="00A61B27">
            <w:pPr>
              <w:spacing w:after="120" w:line="264" w:lineRule="auto"/>
              <w:cnfStyle w:val="000000000000" w:firstRow="0" w:lastRow="0" w:firstColumn="0" w:lastColumn="0" w:oddVBand="0" w:evenVBand="0" w:oddHBand="0" w:evenHBand="0" w:firstRowFirstColumn="0" w:firstRowLastColumn="0" w:lastRowFirstColumn="0" w:lastRowLastColumn="0"/>
            </w:pPr>
            <w:r w:rsidRPr="00A61B27">
              <w:t>Regulatory change and taxation</w:t>
            </w:r>
          </w:p>
        </w:tc>
      </w:tr>
    </w:tbl>
    <w:p w14:paraId="1A35E4A4" w14:textId="77777777" w:rsidR="00A61B27" w:rsidRPr="00A61B27" w:rsidRDefault="00A61B27" w:rsidP="00A61B27">
      <w:r w:rsidRPr="00A61B27">
        <w:rPr>
          <w:i/>
          <w:iCs/>
        </w:rPr>
        <w:t>Source: Developed by author based on BP (2024), Panda and Leepsa (2019), EY (2023), MoEFCC (2024), Rao and Mishra (2022), and Hofstede (2011).</w:t>
      </w:r>
    </w:p>
    <w:p w14:paraId="20912E8A" w14:textId="77777777" w:rsidR="00A61B27" w:rsidRPr="00A61B27" w:rsidRDefault="00A61B27" w:rsidP="00A61B27"/>
    <w:p w14:paraId="7CB31821" w14:textId="77777777" w:rsidR="00A61B27" w:rsidRPr="00A61B27" w:rsidRDefault="00A61B27" w:rsidP="00A61B27">
      <w:r w:rsidRPr="00A61B27">
        <w:t>The SWOT matrix illustrates the strategic complexity of BP’s joint venture with Reliance. While strengths and opportunities reflect operational synergy, the weaknesses—particularly cultural mismatch and single-partner reliance—require mitigation through diversified alliances and adaptive governance (Kaplan &amp; Norton, 1996).</w:t>
      </w:r>
    </w:p>
    <w:p w14:paraId="1E65501C" w14:textId="77777777" w:rsidR="00A61B27" w:rsidRDefault="00A61B27" w:rsidP="001E7053"/>
    <w:p w14:paraId="5095D9B1" w14:textId="77777777" w:rsidR="00BB6B11" w:rsidRDefault="00BB6B11" w:rsidP="00BB6B11">
      <w:pPr>
        <w:pStyle w:val="Heading2"/>
      </w:pPr>
      <w:bookmarkStart w:id="24" w:name="_Toc214641476"/>
      <w:r w:rsidRPr="00BB6B11">
        <w:t>6.1 Implementation Framework</w:t>
      </w:r>
      <w:bookmarkEnd w:id="24"/>
    </w:p>
    <w:p w14:paraId="65511F8E" w14:textId="77777777" w:rsidR="00801F3D" w:rsidRPr="00801F3D" w:rsidRDefault="00801F3D" w:rsidP="00801F3D"/>
    <w:p w14:paraId="1B957D66" w14:textId="77777777" w:rsidR="00801F3D" w:rsidRDefault="00BB6B11" w:rsidP="00BB6B11">
      <w:r w:rsidRPr="00BB6B11">
        <w:t>The implementation process will unfold through four interdependent stages, coordinated by BP India’s Strategic Transformation Office and overseen by BP’s Asia-Pacific headquarters</w:t>
      </w:r>
    </w:p>
    <w:p w14:paraId="4C104A40" w14:textId="77777777" w:rsidR="004E3985" w:rsidRPr="00BB6B11" w:rsidRDefault="004E3985" w:rsidP="00BB6B11"/>
    <w:p w14:paraId="221CEDFB" w14:textId="77777777" w:rsidR="00BB6B11" w:rsidRPr="00BB6B11" w:rsidRDefault="00BB6B11" w:rsidP="00BB6B11">
      <w:pPr>
        <w:numPr>
          <w:ilvl w:val="0"/>
          <w:numId w:val="15"/>
        </w:numPr>
      </w:pPr>
      <w:r w:rsidRPr="00BB6B11">
        <w:t>Stage 1: Strategic Alignment (0–6 months)</w:t>
      </w:r>
      <w:r w:rsidRPr="00BB6B11">
        <w:br/>
        <w:t>Establish a cross-functional steering committee to synchronise HR, operations, and digital transformation initiatives. Conduct a readiness audit to benchmark current practices against the new SOPs (BP, 2024).</w:t>
      </w:r>
    </w:p>
    <w:p w14:paraId="4AE274D3" w14:textId="77777777" w:rsidR="00BB6B11" w:rsidRPr="00BB6B11" w:rsidRDefault="00BB6B11" w:rsidP="00BB6B11">
      <w:pPr>
        <w:numPr>
          <w:ilvl w:val="0"/>
          <w:numId w:val="15"/>
        </w:numPr>
      </w:pPr>
      <w:r w:rsidRPr="00BB6B11">
        <w:t>Stage 2: Resource Allocation (6–12 months)</w:t>
      </w:r>
      <w:r w:rsidRPr="00BB6B11">
        <w:br/>
        <w:t xml:space="preserve">Allocate financial and human resources to each strategic stream. Introduce </w:t>
      </w:r>
      <w:r w:rsidRPr="00BB6B11">
        <w:lastRenderedPageBreak/>
        <w:t>performance-linked budgets, ensuring accountability across departments (Johnson, Scholes and Whittington, 2020).</w:t>
      </w:r>
    </w:p>
    <w:p w14:paraId="6CA896CB" w14:textId="77777777" w:rsidR="00BB6B11" w:rsidRPr="00BB6B11" w:rsidRDefault="00BB6B11" w:rsidP="00BB6B11">
      <w:pPr>
        <w:numPr>
          <w:ilvl w:val="0"/>
          <w:numId w:val="15"/>
        </w:numPr>
      </w:pPr>
      <w:r w:rsidRPr="00BB6B11">
        <w:t>Stage 3: Execution and Monitoring (12–24 months)</w:t>
      </w:r>
      <w:r w:rsidRPr="00BB6B11">
        <w:br/>
        <w:t>Deploy the adapted SOPs across HR, operations, and sustainability systems. Real-time dashboards and quarterly progress reviews will ensure continuous feedback and corrective action (Deloitte, 2024).</w:t>
      </w:r>
    </w:p>
    <w:p w14:paraId="1AADE947" w14:textId="77777777" w:rsidR="00BB6B11" w:rsidRDefault="00BB6B11" w:rsidP="00BB6B11">
      <w:pPr>
        <w:numPr>
          <w:ilvl w:val="0"/>
          <w:numId w:val="15"/>
        </w:numPr>
      </w:pPr>
      <w:r w:rsidRPr="00BB6B11">
        <w:t>Stage 4: Evaluation and Continuous Improvement (24–36 months)</w:t>
      </w:r>
      <w:r w:rsidRPr="00BB6B11">
        <w:br/>
        <w:t>Integrate performance data into corporate reports, revising KPIs annually to reflect emerging policy or market shifts (Kaplan and Norton, 1996).</w:t>
      </w:r>
    </w:p>
    <w:p w14:paraId="34DAE383" w14:textId="77777777" w:rsidR="00887333" w:rsidRDefault="00887333" w:rsidP="00887333">
      <w:pPr>
        <w:ind w:left="720"/>
      </w:pPr>
    </w:p>
    <w:p w14:paraId="2D51D4BB" w14:textId="266D88D8" w:rsidR="009908D7" w:rsidRDefault="009908D7" w:rsidP="00643EA3">
      <w:pPr>
        <w:pStyle w:val="Heading2"/>
      </w:pPr>
      <w:bookmarkStart w:id="25" w:name="_Toc214641477"/>
      <w:r w:rsidRPr="009908D7">
        <w:t>6.2 Key Performance Indicators (KPIs)</w:t>
      </w:r>
      <w:bookmarkEnd w:id="25"/>
    </w:p>
    <w:p w14:paraId="2DA7711E" w14:textId="77777777" w:rsidR="00474168" w:rsidRPr="00474168" w:rsidRDefault="00474168" w:rsidP="00474168"/>
    <w:tbl>
      <w:tblPr>
        <w:tblStyle w:val="GridTable5Dark-Accent3"/>
        <w:tblW w:w="0" w:type="auto"/>
        <w:tblLook w:val="04A0" w:firstRow="1" w:lastRow="0" w:firstColumn="1" w:lastColumn="0" w:noHBand="0" w:noVBand="1"/>
      </w:tblPr>
      <w:tblGrid>
        <w:gridCol w:w="1646"/>
        <w:gridCol w:w="1975"/>
        <w:gridCol w:w="1499"/>
        <w:gridCol w:w="1700"/>
        <w:gridCol w:w="2196"/>
      </w:tblGrid>
      <w:tr w:rsidR="009908D7" w:rsidRPr="009908D7" w14:paraId="0B5473E4" w14:textId="77777777" w:rsidTr="009908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F36F16"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Perspective</w:t>
            </w:r>
          </w:p>
        </w:tc>
        <w:tc>
          <w:tcPr>
            <w:tcW w:w="0" w:type="auto"/>
            <w:hideMark/>
          </w:tcPr>
          <w:p w14:paraId="77F9851E"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Key KPI</w:t>
            </w:r>
          </w:p>
        </w:tc>
        <w:tc>
          <w:tcPr>
            <w:tcW w:w="0" w:type="auto"/>
            <w:hideMark/>
          </w:tcPr>
          <w:p w14:paraId="3A74BFD8"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Target (Year 2)</w:t>
            </w:r>
          </w:p>
        </w:tc>
        <w:tc>
          <w:tcPr>
            <w:tcW w:w="0" w:type="auto"/>
            <w:hideMark/>
          </w:tcPr>
          <w:p w14:paraId="2BF08355"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Measurement Method</w:t>
            </w:r>
          </w:p>
        </w:tc>
        <w:tc>
          <w:tcPr>
            <w:tcW w:w="0" w:type="auto"/>
            <w:hideMark/>
          </w:tcPr>
          <w:p w14:paraId="44EB20C1" w14:textId="77777777" w:rsidR="009908D7" w:rsidRPr="009908D7" w:rsidRDefault="009908D7" w:rsidP="009908D7">
            <w:pPr>
              <w:spacing w:after="120" w:line="264" w:lineRule="auto"/>
              <w:cnfStyle w:val="100000000000" w:firstRow="1"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Strategic Objective</w:t>
            </w:r>
          </w:p>
        </w:tc>
      </w:tr>
      <w:tr w:rsidR="009908D7" w:rsidRPr="009908D7" w14:paraId="0B4BAD96"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EBB42"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Financial</w:t>
            </w:r>
          </w:p>
        </w:tc>
        <w:tc>
          <w:tcPr>
            <w:tcW w:w="0" w:type="auto"/>
            <w:hideMark/>
          </w:tcPr>
          <w:p w14:paraId="7E92AD1D"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ROI on renewable projects</w:t>
            </w:r>
          </w:p>
        </w:tc>
        <w:tc>
          <w:tcPr>
            <w:tcW w:w="0" w:type="auto"/>
            <w:hideMark/>
          </w:tcPr>
          <w:p w14:paraId="5C081F1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12 %</w:t>
            </w:r>
          </w:p>
        </w:tc>
        <w:tc>
          <w:tcPr>
            <w:tcW w:w="0" w:type="auto"/>
            <w:hideMark/>
          </w:tcPr>
          <w:p w14:paraId="3E9D31AF"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Annual financial report</w:t>
            </w:r>
          </w:p>
        </w:tc>
        <w:tc>
          <w:tcPr>
            <w:tcW w:w="0" w:type="auto"/>
            <w:hideMark/>
          </w:tcPr>
          <w:p w14:paraId="2F87E43C"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Improve capital efficiency</w:t>
            </w:r>
          </w:p>
        </w:tc>
      </w:tr>
      <w:tr w:rsidR="009908D7" w:rsidRPr="009908D7" w14:paraId="583487AE" w14:textId="77777777" w:rsidTr="009908D7">
        <w:tc>
          <w:tcPr>
            <w:cnfStyle w:val="001000000000" w:firstRow="0" w:lastRow="0" w:firstColumn="1" w:lastColumn="0" w:oddVBand="0" w:evenVBand="0" w:oddHBand="0" w:evenHBand="0" w:firstRowFirstColumn="0" w:firstRowLastColumn="0" w:lastRowFirstColumn="0" w:lastRowLastColumn="0"/>
            <w:tcW w:w="0" w:type="auto"/>
            <w:hideMark/>
          </w:tcPr>
          <w:p w14:paraId="714F1A86"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Customer</w:t>
            </w:r>
          </w:p>
        </w:tc>
        <w:tc>
          <w:tcPr>
            <w:tcW w:w="0" w:type="auto"/>
            <w:hideMark/>
          </w:tcPr>
          <w:p w14:paraId="02B96804"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EV-charging customer satisfaction</w:t>
            </w:r>
          </w:p>
        </w:tc>
        <w:tc>
          <w:tcPr>
            <w:tcW w:w="0" w:type="auto"/>
            <w:hideMark/>
          </w:tcPr>
          <w:p w14:paraId="1DD81322"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 90 %</w:t>
            </w:r>
          </w:p>
        </w:tc>
        <w:tc>
          <w:tcPr>
            <w:tcW w:w="0" w:type="auto"/>
            <w:hideMark/>
          </w:tcPr>
          <w:p w14:paraId="0562C33E"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Survey &amp; app analytics</w:t>
            </w:r>
          </w:p>
        </w:tc>
        <w:tc>
          <w:tcPr>
            <w:tcW w:w="0" w:type="auto"/>
            <w:hideMark/>
          </w:tcPr>
          <w:p w14:paraId="38E8DB5E"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Enhance brand loyalty</w:t>
            </w:r>
          </w:p>
        </w:tc>
      </w:tr>
      <w:tr w:rsidR="009908D7" w:rsidRPr="009908D7" w14:paraId="4FFE9D42"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5F294"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Internal Process</w:t>
            </w:r>
          </w:p>
        </w:tc>
        <w:tc>
          <w:tcPr>
            <w:tcW w:w="0" w:type="auto"/>
            <w:hideMark/>
          </w:tcPr>
          <w:p w14:paraId="007805D7"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Project delivery cycle time</w:t>
            </w:r>
          </w:p>
        </w:tc>
        <w:tc>
          <w:tcPr>
            <w:tcW w:w="0" w:type="auto"/>
            <w:hideMark/>
          </w:tcPr>
          <w:p w14:paraId="1784B62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− 15 % vs baseline</w:t>
            </w:r>
          </w:p>
        </w:tc>
        <w:tc>
          <w:tcPr>
            <w:tcW w:w="0" w:type="auto"/>
            <w:hideMark/>
          </w:tcPr>
          <w:p w14:paraId="594C3CEC"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Project audit data</w:t>
            </w:r>
          </w:p>
        </w:tc>
        <w:tc>
          <w:tcPr>
            <w:tcW w:w="0" w:type="auto"/>
            <w:hideMark/>
          </w:tcPr>
          <w:p w14:paraId="5CCA17C4"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Increase operational agility</w:t>
            </w:r>
          </w:p>
        </w:tc>
      </w:tr>
      <w:tr w:rsidR="009908D7" w:rsidRPr="009908D7" w14:paraId="24A7C052" w14:textId="77777777" w:rsidTr="009908D7">
        <w:tc>
          <w:tcPr>
            <w:cnfStyle w:val="001000000000" w:firstRow="0" w:lastRow="0" w:firstColumn="1" w:lastColumn="0" w:oddVBand="0" w:evenVBand="0" w:oddHBand="0" w:evenHBand="0" w:firstRowFirstColumn="0" w:firstRowLastColumn="0" w:lastRowFirstColumn="0" w:lastRowLastColumn="0"/>
            <w:tcW w:w="0" w:type="auto"/>
            <w:hideMark/>
          </w:tcPr>
          <w:p w14:paraId="75E3CBC2"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Learning &amp; Growth</w:t>
            </w:r>
          </w:p>
        </w:tc>
        <w:tc>
          <w:tcPr>
            <w:tcW w:w="0" w:type="auto"/>
            <w:hideMark/>
          </w:tcPr>
          <w:p w14:paraId="3F0CC910"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Leadership localisation ratio</w:t>
            </w:r>
          </w:p>
        </w:tc>
        <w:tc>
          <w:tcPr>
            <w:tcW w:w="0" w:type="auto"/>
            <w:hideMark/>
          </w:tcPr>
          <w:p w14:paraId="688A40C1"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 60 % local managers</w:t>
            </w:r>
          </w:p>
        </w:tc>
        <w:tc>
          <w:tcPr>
            <w:tcW w:w="0" w:type="auto"/>
            <w:hideMark/>
          </w:tcPr>
          <w:p w14:paraId="1AE31311"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HR records</w:t>
            </w:r>
          </w:p>
        </w:tc>
        <w:tc>
          <w:tcPr>
            <w:tcW w:w="0" w:type="auto"/>
            <w:hideMark/>
          </w:tcPr>
          <w:p w14:paraId="145F3CAF" w14:textId="77777777" w:rsidR="009908D7" w:rsidRPr="009908D7" w:rsidRDefault="009908D7" w:rsidP="009908D7">
            <w:pPr>
              <w:spacing w:after="120" w:line="264" w:lineRule="auto"/>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908D7">
              <w:rPr>
                <w:rFonts w:cstheme="minorHAnsi"/>
                <w:sz w:val="18"/>
                <w:szCs w:val="18"/>
              </w:rPr>
              <w:t>Strengthen cultural alignment</w:t>
            </w:r>
          </w:p>
        </w:tc>
      </w:tr>
      <w:tr w:rsidR="009908D7" w:rsidRPr="009908D7" w14:paraId="292C7993" w14:textId="77777777" w:rsidTr="009908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89CCD9" w14:textId="77777777" w:rsidR="009908D7" w:rsidRPr="009908D7" w:rsidRDefault="009908D7" w:rsidP="009908D7">
            <w:pPr>
              <w:spacing w:after="120" w:line="264" w:lineRule="auto"/>
              <w:rPr>
                <w:rFonts w:cstheme="minorHAnsi"/>
                <w:sz w:val="18"/>
                <w:szCs w:val="18"/>
              </w:rPr>
            </w:pPr>
            <w:r w:rsidRPr="009908D7">
              <w:rPr>
                <w:rFonts w:cstheme="minorHAnsi"/>
                <w:sz w:val="18"/>
                <w:szCs w:val="18"/>
              </w:rPr>
              <w:t>Sustainability (ESG)</w:t>
            </w:r>
          </w:p>
        </w:tc>
        <w:tc>
          <w:tcPr>
            <w:tcW w:w="0" w:type="auto"/>
            <w:hideMark/>
          </w:tcPr>
          <w:p w14:paraId="0B84907B"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CO</w:t>
            </w:r>
            <w:r w:rsidRPr="009908D7">
              <w:rPr>
                <w:rFonts w:ascii="Cambria Math" w:hAnsi="Cambria Math" w:cs="Cambria Math"/>
                <w:sz w:val="18"/>
                <w:szCs w:val="18"/>
              </w:rPr>
              <w:t>₂</w:t>
            </w:r>
            <w:r w:rsidRPr="009908D7">
              <w:rPr>
                <w:rFonts w:cstheme="minorHAnsi"/>
                <w:sz w:val="18"/>
                <w:szCs w:val="18"/>
              </w:rPr>
              <w:t xml:space="preserve"> reduction per MWh</w:t>
            </w:r>
          </w:p>
        </w:tc>
        <w:tc>
          <w:tcPr>
            <w:tcW w:w="0" w:type="auto"/>
            <w:hideMark/>
          </w:tcPr>
          <w:p w14:paraId="77A76485"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− 20 %</w:t>
            </w:r>
          </w:p>
        </w:tc>
        <w:tc>
          <w:tcPr>
            <w:tcW w:w="0" w:type="auto"/>
            <w:hideMark/>
          </w:tcPr>
          <w:p w14:paraId="6BC8381A"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IoT ESG dashboard</w:t>
            </w:r>
          </w:p>
        </w:tc>
        <w:tc>
          <w:tcPr>
            <w:tcW w:w="0" w:type="auto"/>
            <w:hideMark/>
          </w:tcPr>
          <w:p w14:paraId="7B1D2BF6" w14:textId="77777777" w:rsidR="009908D7" w:rsidRPr="009908D7" w:rsidRDefault="009908D7" w:rsidP="009908D7">
            <w:pPr>
              <w:spacing w:after="120" w:line="264" w:lineRule="auto"/>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908D7">
              <w:rPr>
                <w:rFonts w:cstheme="minorHAnsi"/>
                <w:sz w:val="18"/>
                <w:szCs w:val="18"/>
              </w:rPr>
              <w:t>Advance environmental performance</w:t>
            </w:r>
          </w:p>
        </w:tc>
      </w:tr>
    </w:tbl>
    <w:p w14:paraId="774DEF6D" w14:textId="59993234" w:rsidR="009908D7" w:rsidRDefault="004A4E2A" w:rsidP="00FC123B">
      <w:pPr>
        <w:rPr>
          <w:sz w:val="18"/>
          <w:szCs w:val="18"/>
        </w:rPr>
      </w:pPr>
      <w:r w:rsidRPr="004A4E2A">
        <w:rPr>
          <w:sz w:val="18"/>
          <w:szCs w:val="18"/>
        </w:rPr>
        <w:t>Source: Author’s synthesis based on BP (2024); Kaplan &amp; Norton (1996); Deloitte (2024).</w:t>
      </w:r>
    </w:p>
    <w:p w14:paraId="28640650" w14:textId="77777777" w:rsidR="00CE3AB0" w:rsidRDefault="00CE3AB0" w:rsidP="00FC123B">
      <w:pPr>
        <w:rPr>
          <w:sz w:val="18"/>
          <w:szCs w:val="18"/>
        </w:rPr>
      </w:pPr>
    </w:p>
    <w:p w14:paraId="35778D0B" w14:textId="77777777" w:rsidR="00AE019D" w:rsidRDefault="00AE019D" w:rsidP="00AE019D">
      <w:pPr>
        <w:rPr>
          <w:szCs w:val="24"/>
        </w:rPr>
      </w:pPr>
      <w:r w:rsidRPr="00AE019D">
        <w:rPr>
          <w:szCs w:val="24"/>
        </w:rPr>
        <w:t>These KPIs will be monitored quarterly through BP’s integrated data management system, allowing management to identify variances and implement corrective measures promptly. The framework ensures a balance between short-term profitability and long-term sustainability.</w:t>
      </w:r>
    </w:p>
    <w:p w14:paraId="1EC999A2" w14:textId="77777777" w:rsidR="00024C20" w:rsidRPr="00024C20" w:rsidRDefault="00024C20" w:rsidP="00024C20">
      <w:pPr>
        <w:rPr>
          <w:szCs w:val="24"/>
        </w:rPr>
      </w:pPr>
      <w:r w:rsidRPr="00024C20">
        <w:rPr>
          <w:szCs w:val="24"/>
        </w:rPr>
        <w:t>Stakeholder-Centric KPI Governance:</w:t>
      </w:r>
    </w:p>
    <w:p w14:paraId="77DE33ED" w14:textId="3717A73B" w:rsidR="006B2B98" w:rsidRDefault="00024C20" w:rsidP="00024C20">
      <w:pPr>
        <w:rPr>
          <w:szCs w:val="24"/>
        </w:rPr>
      </w:pPr>
      <w:r w:rsidRPr="00024C20">
        <w:rPr>
          <w:szCs w:val="24"/>
        </w:rPr>
        <w:t>To enhance accountability and alignment, each KPI should be assigned an internal “owner” responsible for tracking and driving performance improvements. This ownership model fosters accountability and facilitates timely corrective actions. Furthermore, stakeholder-informed KPIs—such as community impact scores or local supplier engagement rates—can enrich the traditional financial and operational metrics. These indicators, co-developed with key internal and external stakeholders, align with BP’s ESG objectives and promote shared value creation. Integrating these KPIs within existing digital dashboards (e.g., SAP, ESG IoT platforms) ensures transparency and enables multi-level performance monitoring across units, thereby reinforcing strategic agility and sustainability.</w:t>
      </w:r>
    </w:p>
    <w:p w14:paraId="60D6785B" w14:textId="51C8A52D" w:rsidR="005F7F6B" w:rsidRDefault="00BB7F39" w:rsidP="00AE019D">
      <w:pPr>
        <w:rPr>
          <w:szCs w:val="24"/>
        </w:rPr>
      </w:pPr>
      <w:r w:rsidRPr="00BB7F39">
        <w:rPr>
          <w:szCs w:val="24"/>
        </w:rPr>
        <w:lastRenderedPageBreak/>
        <w:t>The selected KPIs reflect a dual commitment to operational performance and strategic transformation. By balancing financial returns with sustainability and localisation indicators, BP ensures that its India strategy aligns with both global corporate standards and local market expectations. KPI ownership will be assigned across business units to drive accountability and enable dynamic performance management.</w:t>
      </w:r>
    </w:p>
    <w:p w14:paraId="5BBE61D6" w14:textId="77777777" w:rsidR="00092E98" w:rsidRPr="00AE019D" w:rsidRDefault="00092E98" w:rsidP="00AE019D">
      <w:pPr>
        <w:rPr>
          <w:szCs w:val="24"/>
        </w:rPr>
      </w:pPr>
    </w:p>
    <w:p w14:paraId="0789982F" w14:textId="77777777" w:rsidR="00AE019D" w:rsidRDefault="00AE019D" w:rsidP="00AE019D">
      <w:pPr>
        <w:pStyle w:val="Heading2"/>
      </w:pPr>
      <w:bookmarkStart w:id="26" w:name="_Toc214641478"/>
      <w:r w:rsidRPr="00AE019D">
        <w:t>6.3 Governance and Accountability</w:t>
      </w:r>
      <w:bookmarkEnd w:id="26"/>
    </w:p>
    <w:p w14:paraId="7B30A8F2" w14:textId="77777777" w:rsidR="004E3985" w:rsidRPr="004E3985" w:rsidRDefault="004E3985" w:rsidP="004E3985"/>
    <w:p w14:paraId="497FDCD9" w14:textId="77777777" w:rsidR="00AE019D" w:rsidRDefault="00AE019D" w:rsidP="00AE019D">
      <w:pPr>
        <w:rPr>
          <w:szCs w:val="24"/>
        </w:rPr>
      </w:pPr>
      <w:r w:rsidRPr="00AE019D">
        <w:rPr>
          <w:szCs w:val="24"/>
        </w:rPr>
        <w:t>A Strategic Performance Board (SPB) should be established to provide oversight, comprising senior managers from HR, Operations, Finance, and Sustainability. The SPB will:</w:t>
      </w:r>
    </w:p>
    <w:p w14:paraId="63A4E2BD" w14:textId="77777777" w:rsidR="00245ED8" w:rsidRPr="00AE019D" w:rsidRDefault="00245ED8" w:rsidP="00AE019D">
      <w:pPr>
        <w:rPr>
          <w:szCs w:val="24"/>
        </w:rPr>
      </w:pPr>
    </w:p>
    <w:p w14:paraId="7756C3C8" w14:textId="77777777" w:rsidR="00AE019D" w:rsidRPr="007026E0" w:rsidRDefault="00AE019D" w:rsidP="007026E0">
      <w:pPr>
        <w:pStyle w:val="ListParagraph"/>
        <w:numPr>
          <w:ilvl w:val="0"/>
          <w:numId w:val="16"/>
        </w:numPr>
        <w:rPr>
          <w:szCs w:val="24"/>
        </w:rPr>
      </w:pPr>
      <w:r w:rsidRPr="007026E0">
        <w:rPr>
          <w:szCs w:val="24"/>
        </w:rPr>
        <w:t>Approve budget allocations and performance milestones.</w:t>
      </w:r>
    </w:p>
    <w:p w14:paraId="15434431" w14:textId="77777777" w:rsidR="00AE019D" w:rsidRPr="007026E0" w:rsidRDefault="00AE019D" w:rsidP="007026E0">
      <w:pPr>
        <w:pStyle w:val="ListParagraph"/>
        <w:numPr>
          <w:ilvl w:val="0"/>
          <w:numId w:val="16"/>
        </w:numPr>
        <w:rPr>
          <w:szCs w:val="24"/>
        </w:rPr>
      </w:pPr>
      <w:r w:rsidRPr="007026E0">
        <w:rPr>
          <w:szCs w:val="24"/>
        </w:rPr>
        <w:t>Review KPI reports and authorise strategic adjustments.</w:t>
      </w:r>
    </w:p>
    <w:p w14:paraId="02AF70D7" w14:textId="77777777" w:rsidR="00AE019D" w:rsidRPr="007026E0" w:rsidRDefault="00AE019D" w:rsidP="007026E0">
      <w:pPr>
        <w:pStyle w:val="ListParagraph"/>
        <w:numPr>
          <w:ilvl w:val="0"/>
          <w:numId w:val="16"/>
        </w:numPr>
        <w:rPr>
          <w:szCs w:val="24"/>
        </w:rPr>
      </w:pPr>
      <w:r w:rsidRPr="007026E0">
        <w:rPr>
          <w:szCs w:val="24"/>
        </w:rPr>
        <w:t>Report quarterly outcomes to BP’s global board.</w:t>
      </w:r>
    </w:p>
    <w:p w14:paraId="54C2EBF4" w14:textId="77777777" w:rsidR="00AE019D" w:rsidRDefault="00AE019D" w:rsidP="00AE019D">
      <w:pPr>
        <w:rPr>
          <w:szCs w:val="24"/>
        </w:rPr>
      </w:pPr>
      <w:r w:rsidRPr="00AE019D">
        <w:rPr>
          <w:szCs w:val="24"/>
        </w:rPr>
        <w:t>To promote transparency, BP India will publish an annual Sustainability and Performance Report aligned with the Global Reporting Initiative (GRI, 2024) standards. This reinforces accountability to both corporate stakeholders and the Indian government.</w:t>
      </w:r>
    </w:p>
    <w:p w14:paraId="2BA18607" w14:textId="32437381" w:rsidR="00245ED8" w:rsidRDefault="00FC6043" w:rsidP="00AE019D">
      <w:pPr>
        <w:rPr>
          <w:szCs w:val="24"/>
        </w:rPr>
      </w:pPr>
      <w:r w:rsidRPr="00FC6043">
        <w:rPr>
          <w:szCs w:val="24"/>
        </w:rPr>
        <w:t>This governance structure reflects principles from stakeholder theory (Freeman, 1984), ensuring that both financial and non-financial interests are represented. Embedding cross-functional accountability at board level also supports ethical governance, risk mitigation, and regulatory alignment in the Indian market.</w:t>
      </w:r>
    </w:p>
    <w:p w14:paraId="4E6FAB4F" w14:textId="77777777" w:rsidR="00B2274C" w:rsidRPr="00B2274C" w:rsidRDefault="00B2274C" w:rsidP="00B2274C">
      <w:pPr>
        <w:rPr>
          <w:szCs w:val="24"/>
        </w:rPr>
      </w:pPr>
      <w:r w:rsidRPr="00B2274C">
        <w:rPr>
          <w:szCs w:val="24"/>
        </w:rPr>
        <w:t>Ethical Foundations and Global Standards:</w:t>
      </w:r>
    </w:p>
    <w:p w14:paraId="19426663" w14:textId="2D0BDCBA" w:rsidR="00B2274C" w:rsidRDefault="00B2274C" w:rsidP="00B2274C">
      <w:pPr>
        <w:rPr>
          <w:szCs w:val="24"/>
        </w:rPr>
      </w:pPr>
      <w:r w:rsidRPr="00B2274C">
        <w:rPr>
          <w:szCs w:val="24"/>
        </w:rPr>
        <w:t>Beyond structural oversight, BP India’s governance approach should embed ethical accountability frameworks aligned with international standards. Freeman’s (1984) stakeholder theory suggests that corporations have responsibilities to all parties affected by their actions—not just shareholders. Aligning governance mechanisms with the OECD’s Principles of Corporate Governance (2023) ensures transparency, board independence, and stakeholder inclusivity. These frameworks can reinforce ethical decision-making, especially when navigating complex regulatory and environmental challenges in emerging markets like India.</w:t>
      </w:r>
    </w:p>
    <w:p w14:paraId="135399DF" w14:textId="77777777" w:rsidR="009E7E6E" w:rsidRPr="00AE019D" w:rsidRDefault="009E7E6E" w:rsidP="00B2274C">
      <w:pPr>
        <w:rPr>
          <w:szCs w:val="24"/>
        </w:rPr>
      </w:pPr>
    </w:p>
    <w:p w14:paraId="24A36F49" w14:textId="3984E010" w:rsidR="00AE019D" w:rsidRDefault="00AE019D" w:rsidP="00AE019D">
      <w:pPr>
        <w:pStyle w:val="Heading2"/>
      </w:pPr>
      <w:bookmarkStart w:id="27" w:name="_Toc214641479"/>
      <w:r w:rsidRPr="00AE019D">
        <w:t>6.</w:t>
      </w:r>
      <w:r w:rsidR="00E0488D">
        <w:t>4</w:t>
      </w:r>
      <w:r w:rsidRPr="00AE019D">
        <w:t xml:space="preserve"> Expected Outcomes</w:t>
      </w:r>
      <w:bookmarkEnd w:id="27"/>
    </w:p>
    <w:p w14:paraId="70AD569D" w14:textId="77777777" w:rsidR="00FC6043" w:rsidRPr="00FC6043" w:rsidRDefault="00FC6043" w:rsidP="00FC6043"/>
    <w:p w14:paraId="37177A14" w14:textId="77777777" w:rsidR="00AE019D" w:rsidRPr="00AE019D" w:rsidRDefault="00AE019D" w:rsidP="00AE019D">
      <w:pPr>
        <w:rPr>
          <w:szCs w:val="24"/>
        </w:rPr>
      </w:pPr>
      <w:r w:rsidRPr="00AE019D">
        <w:rPr>
          <w:szCs w:val="24"/>
        </w:rPr>
        <w:t>By the end of Year 3, BP India should achieve:</w:t>
      </w:r>
    </w:p>
    <w:p w14:paraId="67F96BED" w14:textId="77777777" w:rsidR="00AE019D" w:rsidRPr="007026E0" w:rsidRDefault="00AE019D" w:rsidP="007026E0">
      <w:pPr>
        <w:pStyle w:val="ListParagraph"/>
        <w:numPr>
          <w:ilvl w:val="0"/>
          <w:numId w:val="18"/>
        </w:numPr>
        <w:rPr>
          <w:szCs w:val="24"/>
        </w:rPr>
      </w:pPr>
      <w:r w:rsidRPr="007026E0">
        <w:rPr>
          <w:szCs w:val="24"/>
        </w:rPr>
        <w:t>15 % improvement in project efficiency and cost control.</w:t>
      </w:r>
    </w:p>
    <w:p w14:paraId="46C34515" w14:textId="77777777" w:rsidR="00AE019D" w:rsidRPr="007026E0" w:rsidRDefault="00AE019D" w:rsidP="007026E0">
      <w:pPr>
        <w:pStyle w:val="ListParagraph"/>
        <w:numPr>
          <w:ilvl w:val="0"/>
          <w:numId w:val="18"/>
        </w:numPr>
        <w:rPr>
          <w:szCs w:val="24"/>
        </w:rPr>
      </w:pPr>
      <w:r w:rsidRPr="007026E0">
        <w:rPr>
          <w:szCs w:val="24"/>
        </w:rPr>
        <w:t>20 % reduction in operational emissions.</w:t>
      </w:r>
    </w:p>
    <w:p w14:paraId="035E2507" w14:textId="77777777" w:rsidR="00AE019D" w:rsidRPr="007026E0" w:rsidRDefault="00AE019D" w:rsidP="007026E0">
      <w:pPr>
        <w:pStyle w:val="ListParagraph"/>
        <w:numPr>
          <w:ilvl w:val="0"/>
          <w:numId w:val="18"/>
        </w:numPr>
        <w:rPr>
          <w:szCs w:val="24"/>
        </w:rPr>
      </w:pPr>
      <w:r w:rsidRPr="007026E0">
        <w:rPr>
          <w:szCs w:val="24"/>
        </w:rPr>
        <w:t>60 % localisation of leadership roles.</w:t>
      </w:r>
    </w:p>
    <w:p w14:paraId="3D4681C7" w14:textId="77777777" w:rsidR="00AE019D" w:rsidRPr="00AE019D" w:rsidRDefault="00AE019D" w:rsidP="00AE019D">
      <w:pPr>
        <w:rPr>
          <w:szCs w:val="24"/>
        </w:rPr>
      </w:pPr>
      <w:r w:rsidRPr="00AE019D">
        <w:rPr>
          <w:szCs w:val="24"/>
        </w:rPr>
        <w:lastRenderedPageBreak/>
        <w:t>Enhanced investor confidence through transparent ESG reporting.</w:t>
      </w:r>
    </w:p>
    <w:p w14:paraId="3449F19F" w14:textId="3881A5B6" w:rsidR="00190D5E" w:rsidRDefault="00AE019D" w:rsidP="00AE019D">
      <w:pPr>
        <w:rPr>
          <w:szCs w:val="24"/>
        </w:rPr>
      </w:pPr>
      <w:r w:rsidRPr="00AE019D">
        <w:rPr>
          <w:szCs w:val="24"/>
        </w:rPr>
        <w:t>These outcomes will demonstrate BP’s capacity to balance global discipline with local responsiveness, positioning it as a leading model for sustainable multinational operations in emerging markets.</w:t>
      </w:r>
    </w:p>
    <w:p w14:paraId="58F92140" w14:textId="7D4AE8B0" w:rsidR="0092096D" w:rsidRDefault="0092096D" w:rsidP="00AE019D">
      <w:pPr>
        <w:rPr>
          <w:szCs w:val="24"/>
        </w:rPr>
      </w:pPr>
      <w:r w:rsidRPr="0092096D">
        <w:rPr>
          <w:szCs w:val="24"/>
        </w:rPr>
        <w:t>While the expected KPIs suggest operational and sustainability success, BP must prepare for potential black swan events such as shifts in FDI policy, public protests against fossil energy expansion, or global oil market volatility. Scenario planning models such as Shell’s energy scenarios could aid in preparing for regulatory shocks and market saturation risks in EV charging infrastructure (Shell, 2024).</w:t>
      </w:r>
    </w:p>
    <w:p w14:paraId="16E501CA" w14:textId="77777777" w:rsidR="00361839" w:rsidRPr="00361839" w:rsidRDefault="00361839" w:rsidP="00361839">
      <w:pPr>
        <w:rPr>
          <w:szCs w:val="24"/>
        </w:rPr>
      </w:pPr>
      <w:r w:rsidRPr="00361839">
        <w:rPr>
          <w:szCs w:val="24"/>
        </w:rPr>
        <w:t>Long-Term Transformation and SDG Alignment:</w:t>
      </w:r>
    </w:p>
    <w:p w14:paraId="2BCF8DFA" w14:textId="6A825ABA" w:rsidR="00801F3D" w:rsidRDefault="00361839" w:rsidP="00361839">
      <w:pPr>
        <w:rPr>
          <w:szCs w:val="24"/>
        </w:rPr>
      </w:pPr>
      <w:r w:rsidRPr="00361839">
        <w:rPr>
          <w:szCs w:val="24"/>
        </w:rPr>
        <w:t>The successful implementation of these SOP adjustments is expected to deliver not only operational improvements but also broader societal and environmental value. By aligning initiatives with UN Sustainable Development Goals—such as SDG 7 (Affordable and Clean Energy), SDG 9 (Industry, Innovation and Infrastructure), and SDG 13 (Climate Action)—BP India can reinforce its legitimacy and social license to operate. Moreover, enhanced cultural integration, ethical leadership, and ESG metrics will position the company as a resilient, adaptive energy partner in India’s evolving economy. These outcomes contribute to BP’s long-term strategic renewal, helping bridge global sustainability mandates with local execution excellence.</w:t>
      </w:r>
    </w:p>
    <w:p w14:paraId="4E96AAF6" w14:textId="77777777" w:rsidR="00801F3D" w:rsidRDefault="00801F3D" w:rsidP="00AE019D">
      <w:pPr>
        <w:rPr>
          <w:szCs w:val="24"/>
        </w:rPr>
      </w:pPr>
    </w:p>
    <w:p w14:paraId="64B6D44F" w14:textId="2AD49D39" w:rsidR="00801F3D" w:rsidRDefault="00EE5131" w:rsidP="00C83B30">
      <w:pPr>
        <w:pStyle w:val="Heading2"/>
      </w:pPr>
      <w:bookmarkStart w:id="28" w:name="_Toc214641480"/>
      <w:r>
        <w:t>6</w:t>
      </w:r>
      <w:r w:rsidR="00C83B30" w:rsidRPr="00C83B30">
        <w:t>.5 Cross-Market Integration Outlook</w:t>
      </w:r>
      <w:bookmarkEnd w:id="28"/>
    </w:p>
    <w:p w14:paraId="5D74495E" w14:textId="77777777" w:rsidR="00801F3D" w:rsidRDefault="00801F3D" w:rsidP="00C83B30"/>
    <w:p w14:paraId="106A3F53" w14:textId="2DC90F3B" w:rsidR="00801F3D" w:rsidRDefault="00EE5131" w:rsidP="00EE5131">
      <w:r w:rsidRPr="00EE5131">
        <w:t>The comparative review of India, Brazil and Vietnam reveals that while BP’s Standard Operating Procedures must be locally adapted, the underlying governance principles—transparency, localisation, and ESG alignment—remain globally consistent. Cross-market learning can be institutionalised through a “Global Emerging Market Playbook,” capturing replicable practices such as JV frameworks in India, compliance agility from Vietnam, and renewable integration from Brazil.</w:t>
      </w:r>
    </w:p>
    <w:p w14:paraId="09B35F69" w14:textId="77777777" w:rsidR="00801F3D" w:rsidRDefault="00801F3D" w:rsidP="00AE019D">
      <w:pPr>
        <w:rPr>
          <w:szCs w:val="24"/>
        </w:rPr>
      </w:pPr>
    </w:p>
    <w:p w14:paraId="0DA94581" w14:textId="77777777" w:rsidR="00801F3D" w:rsidRDefault="00801F3D" w:rsidP="00AE019D">
      <w:pPr>
        <w:rPr>
          <w:szCs w:val="24"/>
        </w:rPr>
      </w:pPr>
    </w:p>
    <w:p w14:paraId="79BB512D" w14:textId="77777777" w:rsidR="00801F3D" w:rsidRDefault="00801F3D" w:rsidP="00AE019D">
      <w:pPr>
        <w:rPr>
          <w:szCs w:val="24"/>
        </w:rPr>
      </w:pPr>
    </w:p>
    <w:p w14:paraId="5F108BFA" w14:textId="77777777" w:rsidR="00296D71" w:rsidRDefault="00296D71" w:rsidP="00AE019D">
      <w:pPr>
        <w:rPr>
          <w:szCs w:val="24"/>
        </w:rPr>
      </w:pPr>
    </w:p>
    <w:p w14:paraId="058FE50F" w14:textId="77777777" w:rsidR="00296D71" w:rsidRDefault="00296D71" w:rsidP="00AE019D">
      <w:pPr>
        <w:rPr>
          <w:szCs w:val="24"/>
        </w:rPr>
      </w:pPr>
    </w:p>
    <w:p w14:paraId="1DB85FB6" w14:textId="77777777" w:rsidR="00296D71" w:rsidRDefault="00296D71" w:rsidP="00AE019D">
      <w:pPr>
        <w:rPr>
          <w:szCs w:val="24"/>
        </w:rPr>
      </w:pPr>
    </w:p>
    <w:p w14:paraId="3D539B94" w14:textId="77777777" w:rsidR="00296D71" w:rsidRDefault="00296D71" w:rsidP="00AE019D">
      <w:pPr>
        <w:rPr>
          <w:szCs w:val="24"/>
        </w:rPr>
      </w:pPr>
    </w:p>
    <w:p w14:paraId="3070F92B" w14:textId="77777777" w:rsidR="00296D71" w:rsidRDefault="00296D71" w:rsidP="00AE019D">
      <w:pPr>
        <w:rPr>
          <w:szCs w:val="24"/>
        </w:rPr>
      </w:pPr>
    </w:p>
    <w:p w14:paraId="6BD1F448" w14:textId="77777777" w:rsidR="009E7E6E" w:rsidRDefault="009E7E6E" w:rsidP="00AE019D">
      <w:pPr>
        <w:rPr>
          <w:szCs w:val="24"/>
        </w:rPr>
      </w:pPr>
    </w:p>
    <w:p w14:paraId="05EDBEFE" w14:textId="77777777" w:rsidR="00296D71" w:rsidRDefault="00296D71" w:rsidP="00AE019D">
      <w:pPr>
        <w:rPr>
          <w:szCs w:val="24"/>
        </w:rPr>
      </w:pPr>
    </w:p>
    <w:p w14:paraId="527F03EB" w14:textId="77777777" w:rsidR="0053497E" w:rsidRDefault="0053497E" w:rsidP="0053497E">
      <w:pPr>
        <w:pStyle w:val="Heading1"/>
      </w:pPr>
      <w:bookmarkStart w:id="29" w:name="_Toc214641481"/>
      <w:r>
        <w:lastRenderedPageBreak/>
        <w:t>7. Conclusion and Strategic Outlook</w:t>
      </w:r>
      <w:bookmarkEnd w:id="29"/>
    </w:p>
    <w:p w14:paraId="6DC626B6" w14:textId="77777777" w:rsidR="0053497E" w:rsidRDefault="0053497E" w:rsidP="0053497E"/>
    <w:p w14:paraId="5322AF68" w14:textId="77777777" w:rsidR="00126E38" w:rsidRPr="00126E38" w:rsidRDefault="00126E38" w:rsidP="00126E38">
      <w:r w:rsidRPr="00126E38">
        <w:t>BP’s strategic presence in India represents both a critical market opportunity and a complex operational challenge. Using internationalisation theories—particularly Dunning’s OLI model and Hofstede’s cultural dimensions—the report has shown how BP’s joint venture with Reliance supports localisation while reducing entry risk (Dunning, 1993; Hofstede, 2011). This approach aligns with Rugman’s (2005) view that firms must adapt regionally, not globally, to ensure performance in emerging markets.</w:t>
      </w:r>
    </w:p>
    <w:p w14:paraId="74B01559" w14:textId="77777777" w:rsidR="00126E38" w:rsidRPr="00126E38" w:rsidRDefault="00126E38" w:rsidP="00126E38">
      <w:r w:rsidRPr="00126E38">
        <w:t>The proposed recommendations—enhancing talent integration, implementing adaptive digital governance, and aligning with sustainability frameworks—are supported by resource-based and dynamic capability perspectives (Teece, 2007). These enable BP to build organisational flexibility in the face of volatile regulation and socio-cultural complexity.</w:t>
      </w:r>
    </w:p>
    <w:p w14:paraId="222FFF1B" w14:textId="77777777" w:rsidR="00126E38" w:rsidRPr="00126E38" w:rsidRDefault="00126E38" w:rsidP="00126E38">
      <w:r w:rsidRPr="00126E38">
        <w:t>Long-term, BP can capitalise on India’s push towards green hydrogen, smart mobility, and net-zero commitments (MoEFCC, 2024). However, regulatory shifts and geopolitical uncertainty remain significant risks, necessitating continued strategic agility and scenario planning (Shell, 2024).</w:t>
      </w:r>
    </w:p>
    <w:p w14:paraId="265A6762" w14:textId="77777777" w:rsidR="00126E38" w:rsidRPr="00126E38" w:rsidRDefault="00126E38" w:rsidP="00126E38">
      <w:r w:rsidRPr="00126E38">
        <w:t>This report offers a roadmap for how BP can optimise its operations in India, guided by theory, evidence, and context. The company’s success will depend not just on investment and innovation, but on its ability to foster local partnerships, build cultural intelligence, and align corporate purpose with India’s national priorities.</w:t>
      </w:r>
    </w:p>
    <w:p w14:paraId="2C6118E8" w14:textId="04F6278A" w:rsidR="00FC123B" w:rsidRDefault="009E7AB9" w:rsidP="00FC123B">
      <w:r w:rsidRPr="009E7AB9">
        <w:t>Looking ahead, BP’s success in India will depend on its ability to continuously adapt global strategies to evolving local contexts. The recommendations in this report align with key theoretical models—OLI framework for entry mode logic, Hofstede’s cultural dimensions for HR adaptation, and stakeholder theory for ethical governance. Future strategic reviews should incorporate scenario planning tools and AI-based performance tracking to sustain long-term resilience. Further research may explore the effectiveness of ESG integration in joint ventures and cross-cultural leadership performance. With these adjustments, BP is positioned not just to compete, but to lead as a sustainable energy innovator in complex emerging markets.</w:t>
      </w:r>
    </w:p>
    <w:p w14:paraId="7A30672A" w14:textId="77777777" w:rsidR="00FC123B" w:rsidRDefault="00FC123B" w:rsidP="00FC123B"/>
    <w:p w14:paraId="1C99786C" w14:textId="77777777" w:rsidR="00FC123B" w:rsidRDefault="00FC123B" w:rsidP="00FC123B"/>
    <w:p w14:paraId="090FC0DF" w14:textId="77777777" w:rsidR="00FC123B" w:rsidRDefault="00FC123B" w:rsidP="00FC123B"/>
    <w:p w14:paraId="4F026F25" w14:textId="77777777" w:rsidR="00FC123B" w:rsidRDefault="00FC123B" w:rsidP="00FC123B"/>
    <w:p w14:paraId="5358400A" w14:textId="77777777" w:rsidR="00FC123B" w:rsidRDefault="00FC123B" w:rsidP="00FC123B"/>
    <w:p w14:paraId="6B430407" w14:textId="77777777" w:rsidR="00FC123B" w:rsidRDefault="00FC123B" w:rsidP="00FC123B"/>
    <w:p w14:paraId="30424C4B" w14:textId="77777777" w:rsidR="00FC123B" w:rsidRDefault="00FC123B" w:rsidP="00FC123B"/>
    <w:p w14:paraId="0ED496A5" w14:textId="77777777" w:rsidR="00FC123B" w:rsidRDefault="00FC123B" w:rsidP="00FC123B"/>
    <w:p w14:paraId="294A99E6" w14:textId="45A27937" w:rsidR="00FC123B" w:rsidRDefault="007F7FA4" w:rsidP="00FC123B">
      <w:pPr>
        <w:pStyle w:val="Heading1"/>
      </w:pPr>
      <w:bookmarkStart w:id="30" w:name="_Toc214641482"/>
      <w:r>
        <w:lastRenderedPageBreak/>
        <w:t>8</w:t>
      </w:r>
      <w:r w:rsidR="00FC123B" w:rsidRPr="00FC123B">
        <w:t>. References</w:t>
      </w:r>
      <w:bookmarkEnd w:id="30"/>
    </w:p>
    <w:p w14:paraId="13A153FA" w14:textId="77777777" w:rsidR="002D3460" w:rsidRDefault="002D3460" w:rsidP="002D3460"/>
    <w:p w14:paraId="23754212" w14:textId="77777777" w:rsidR="00490F77" w:rsidRPr="002D3460" w:rsidRDefault="00490F77" w:rsidP="002D3460"/>
    <w:p w14:paraId="3F8F0378" w14:textId="5485DD77" w:rsidR="00887570" w:rsidRPr="002C3CD8" w:rsidRDefault="00887570" w:rsidP="002C3CD8">
      <w:pPr>
        <w:pStyle w:val="ListParagraph"/>
        <w:numPr>
          <w:ilvl w:val="0"/>
          <w:numId w:val="20"/>
        </w:numPr>
        <w:rPr>
          <w:szCs w:val="24"/>
        </w:rPr>
      </w:pPr>
      <w:r w:rsidRPr="002C3CD8">
        <w:rPr>
          <w:szCs w:val="24"/>
        </w:rPr>
        <w:t xml:space="preserve">BP (2024) </w:t>
      </w:r>
      <w:r w:rsidRPr="002C3CD8">
        <w:rPr>
          <w:i/>
          <w:iCs/>
          <w:szCs w:val="24"/>
        </w:rPr>
        <w:t>Annual Report and Sustainability Review 2024</w:t>
      </w:r>
      <w:r w:rsidRPr="002C3CD8">
        <w:rPr>
          <w:szCs w:val="24"/>
        </w:rPr>
        <w:t xml:space="preserve">. [online] Available at: </w:t>
      </w:r>
      <w:hyperlink r:id="rId12" w:history="1">
        <w:r w:rsidR="00D1396F" w:rsidRPr="002C3CD8">
          <w:rPr>
            <w:szCs w:val="24"/>
          </w:rPr>
          <w:t>www.bp.com</w:t>
        </w:r>
      </w:hyperlink>
    </w:p>
    <w:p w14:paraId="4BC1AEB8" w14:textId="11E36893" w:rsidR="00D1396F" w:rsidRPr="002C3CD8" w:rsidRDefault="00D1396F" w:rsidP="002C3CD8">
      <w:pPr>
        <w:pStyle w:val="ListParagraph"/>
        <w:numPr>
          <w:ilvl w:val="0"/>
          <w:numId w:val="20"/>
        </w:numPr>
        <w:rPr>
          <w:szCs w:val="24"/>
        </w:rPr>
      </w:pPr>
      <w:r w:rsidRPr="002C3CD8">
        <w:rPr>
          <w:szCs w:val="24"/>
        </w:rPr>
        <w:t>Deloitte (2024) Digital Energy in Emerging Markets.</w:t>
      </w:r>
    </w:p>
    <w:p w14:paraId="6C84F2B9" w14:textId="4D1BC80F" w:rsidR="00887570" w:rsidRPr="002C3CD8" w:rsidRDefault="00887570" w:rsidP="002C3CD8">
      <w:pPr>
        <w:pStyle w:val="ListParagraph"/>
        <w:numPr>
          <w:ilvl w:val="0"/>
          <w:numId w:val="20"/>
        </w:numPr>
        <w:rPr>
          <w:szCs w:val="24"/>
        </w:rPr>
      </w:pPr>
      <w:r w:rsidRPr="002C3CD8">
        <w:rPr>
          <w:szCs w:val="24"/>
        </w:rPr>
        <w:t xml:space="preserve">Dunning, J.H. (1988) ‘The Eclectic Paradigm of International Production’, </w:t>
      </w:r>
      <w:r w:rsidRPr="002C3CD8">
        <w:rPr>
          <w:i/>
          <w:iCs/>
          <w:szCs w:val="24"/>
        </w:rPr>
        <w:t>Journal of International Business Studies</w:t>
      </w:r>
      <w:r w:rsidRPr="002C3CD8">
        <w:rPr>
          <w:szCs w:val="24"/>
        </w:rPr>
        <w:t>, 19(1), pp. 1–31.</w:t>
      </w:r>
    </w:p>
    <w:p w14:paraId="4798BF8B" w14:textId="4FDEFA38" w:rsidR="00ED2CDB" w:rsidRPr="002C3CD8" w:rsidRDefault="002D3460" w:rsidP="002C3CD8">
      <w:pPr>
        <w:pStyle w:val="ListParagraph"/>
        <w:numPr>
          <w:ilvl w:val="0"/>
          <w:numId w:val="20"/>
        </w:numPr>
        <w:rPr>
          <w:szCs w:val="24"/>
        </w:rPr>
      </w:pPr>
      <w:r w:rsidRPr="002D3460">
        <w:rPr>
          <w:szCs w:val="24"/>
        </w:rPr>
        <w:t>Ellen MacArthur Foundation (2022) Circular Economy in Energy. [online] Available at: https://ellenmacarthurfoundation.org/</w:t>
      </w:r>
      <w:r w:rsidR="00ED2CDB" w:rsidRPr="002C3CD8">
        <w:rPr>
          <w:szCs w:val="24"/>
        </w:rPr>
        <w:t>EY (2023) Doing Business in India – Legal Landscape.</w:t>
      </w:r>
    </w:p>
    <w:p w14:paraId="6DDC642B" w14:textId="2322B7C8" w:rsidR="00FD2DBB" w:rsidRDefault="00FD2DBB" w:rsidP="002C3CD8">
      <w:pPr>
        <w:pStyle w:val="ListParagraph"/>
        <w:numPr>
          <w:ilvl w:val="0"/>
          <w:numId w:val="20"/>
        </w:numPr>
        <w:rPr>
          <w:szCs w:val="24"/>
        </w:rPr>
      </w:pPr>
      <w:r w:rsidRPr="002C3CD8">
        <w:rPr>
          <w:szCs w:val="24"/>
        </w:rPr>
        <w:t xml:space="preserve">Hartmann, J., Inkpen, A. and Ramaswamy, K. (2022) ‘The oil and gas industry: finding the right stance in the energy transition sweepstakes’, </w:t>
      </w:r>
      <w:r w:rsidRPr="002C3CD8">
        <w:rPr>
          <w:i/>
          <w:iCs/>
          <w:szCs w:val="24"/>
        </w:rPr>
        <w:t>Journal of Business Strategy</w:t>
      </w:r>
      <w:r w:rsidRPr="002C3CD8">
        <w:rPr>
          <w:szCs w:val="24"/>
        </w:rPr>
        <w:t>, 43(4), pp. 215–225.</w:t>
      </w:r>
    </w:p>
    <w:p w14:paraId="1E43456F" w14:textId="5C55CE14" w:rsidR="00D04E0C" w:rsidRPr="002C3CD8" w:rsidRDefault="00D04E0C" w:rsidP="002C3CD8">
      <w:pPr>
        <w:pStyle w:val="ListParagraph"/>
        <w:numPr>
          <w:ilvl w:val="0"/>
          <w:numId w:val="20"/>
        </w:numPr>
        <w:rPr>
          <w:szCs w:val="24"/>
        </w:rPr>
      </w:pPr>
      <w:r w:rsidRPr="00D04E0C">
        <w:rPr>
          <w:szCs w:val="24"/>
        </w:rPr>
        <w:t xml:space="preserve">IEA (2023) </w:t>
      </w:r>
      <w:r w:rsidRPr="00D04E0C">
        <w:rPr>
          <w:i/>
          <w:iCs/>
          <w:szCs w:val="24"/>
        </w:rPr>
        <w:t>India Energy Outlook 2023</w:t>
      </w:r>
      <w:r w:rsidRPr="00D04E0C">
        <w:rPr>
          <w:szCs w:val="24"/>
        </w:rPr>
        <w:t>. International Energy Agency. Available at: https://www.iea.org/reports/india-energy-outlook-2023</w:t>
      </w:r>
    </w:p>
    <w:p w14:paraId="4854E1A8" w14:textId="51ED6749" w:rsidR="0093443C" w:rsidRPr="002C3CD8" w:rsidRDefault="00B64504" w:rsidP="002C3CD8">
      <w:pPr>
        <w:pStyle w:val="ListParagraph"/>
        <w:numPr>
          <w:ilvl w:val="0"/>
          <w:numId w:val="20"/>
        </w:numPr>
        <w:rPr>
          <w:szCs w:val="24"/>
        </w:rPr>
      </w:pPr>
      <w:r w:rsidRPr="002C3CD8">
        <w:rPr>
          <w:szCs w:val="24"/>
        </w:rPr>
        <w:t>IMF (2023) India Outlook: Macroeconomic Risks.</w:t>
      </w:r>
    </w:p>
    <w:p w14:paraId="4360A522" w14:textId="0B5859DD" w:rsidR="00887570" w:rsidRPr="002C3CD8" w:rsidRDefault="00887570" w:rsidP="002C3CD8">
      <w:pPr>
        <w:pStyle w:val="ListParagraph"/>
        <w:numPr>
          <w:ilvl w:val="0"/>
          <w:numId w:val="20"/>
        </w:numPr>
        <w:rPr>
          <w:szCs w:val="24"/>
        </w:rPr>
      </w:pPr>
      <w:r w:rsidRPr="002C3CD8">
        <w:rPr>
          <w:szCs w:val="24"/>
        </w:rPr>
        <w:t xml:space="preserve">Hofstede, G. (2011) </w:t>
      </w:r>
      <w:r w:rsidRPr="002C3CD8">
        <w:rPr>
          <w:i/>
          <w:iCs/>
          <w:szCs w:val="24"/>
        </w:rPr>
        <w:t>Dimensionalizing Cultures: The Hofstede Model in Context</w:t>
      </w:r>
      <w:r w:rsidRPr="002C3CD8">
        <w:rPr>
          <w:szCs w:val="24"/>
        </w:rPr>
        <w:t xml:space="preserve">. </w:t>
      </w:r>
      <w:r w:rsidRPr="002C3CD8">
        <w:rPr>
          <w:i/>
          <w:iCs/>
          <w:szCs w:val="24"/>
        </w:rPr>
        <w:t>Online Readings in Psychology and Culture</w:t>
      </w:r>
      <w:r w:rsidRPr="002C3CD8">
        <w:rPr>
          <w:szCs w:val="24"/>
        </w:rPr>
        <w:t>, 2(1).</w:t>
      </w:r>
    </w:p>
    <w:p w14:paraId="510C3794" w14:textId="7D5D2A9E" w:rsidR="00801611" w:rsidRPr="002C3CD8" w:rsidRDefault="00801611" w:rsidP="002C3CD8">
      <w:pPr>
        <w:pStyle w:val="ListParagraph"/>
        <w:numPr>
          <w:ilvl w:val="0"/>
          <w:numId w:val="20"/>
        </w:numPr>
        <w:rPr>
          <w:szCs w:val="24"/>
        </w:rPr>
      </w:pPr>
      <w:r w:rsidRPr="002C3CD8">
        <w:rPr>
          <w:szCs w:val="24"/>
        </w:rPr>
        <w:t>Jain, R. &amp; Singh, A. (2021) ‘Cross-cultural Friction in MNCs: A Case from India’, International Journal of Human Resource Management, 32(5), pp. 900–915.</w:t>
      </w:r>
    </w:p>
    <w:p w14:paraId="6DABE1FD" w14:textId="5705EDF1" w:rsidR="00887570" w:rsidRPr="002C3CD8" w:rsidRDefault="00887570" w:rsidP="002C3CD8">
      <w:pPr>
        <w:pStyle w:val="ListParagraph"/>
        <w:numPr>
          <w:ilvl w:val="0"/>
          <w:numId w:val="20"/>
        </w:numPr>
        <w:rPr>
          <w:szCs w:val="24"/>
        </w:rPr>
      </w:pPr>
      <w:r w:rsidRPr="002C3CD8">
        <w:rPr>
          <w:szCs w:val="24"/>
        </w:rPr>
        <w:t xml:space="preserve">Johnson, D. and Turner, C. (2021) </w:t>
      </w:r>
      <w:r w:rsidRPr="002C3CD8">
        <w:rPr>
          <w:i/>
          <w:iCs/>
          <w:szCs w:val="24"/>
        </w:rPr>
        <w:t>International Business: Themes and Issues in the Modern Global Economy</w:t>
      </w:r>
      <w:r w:rsidRPr="002C3CD8">
        <w:rPr>
          <w:szCs w:val="24"/>
        </w:rPr>
        <w:t>. 5th ed. Routledge.</w:t>
      </w:r>
    </w:p>
    <w:p w14:paraId="6A9673C8" w14:textId="6C53EE94" w:rsidR="00F24E11" w:rsidRPr="002C3CD8" w:rsidRDefault="00F24E11" w:rsidP="002C3CD8">
      <w:pPr>
        <w:pStyle w:val="ListParagraph"/>
        <w:numPr>
          <w:ilvl w:val="0"/>
          <w:numId w:val="20"/>
        </w:numPr>
        <w:rPr>
          <w:szCs w:val="24"/>
        </w:rPr>
      </w:pPr>
      <w:r w:rsidRPr="002C3CD8">
        <w:rPr>
          <w:szCs w:val="24"/>
        </w:rPr>
        <w:t>Kaplan, R. &amp; Norton, D. (1996) The Balanced Scorecard: Translating Strategy into Action. Boston: Harvard Business Press.</w:t>
      </w:r>
    </w:p>
    <w:p w14:paraId="6C0C3D84" w14:textId="67EBE725" w:rsidR="00B64504" w:rsidRPr="002C3CD8" w:rsidRDefault="00ED2CDB" w:rsidP="002C3CD8">
      <w:pPr>
        <w:pStyle w:val="ListParagraph"/>
        <w:numPr>
          <w:ilvl w:val="0"/>
          <w:numId w:val="20"/>
        </w:numPr>
        <w:rPr>
          <w:szCs w:val="24"/>
        </w:rPr>
      </w:pPr>
      <w:r w:rsidRPr="002C3CD8">
        <w:rPr>
          <w:szCs w:val="24"/>
        </w:rPr>
        <w:t>KPMG (2023) India’s Consumption Trends.</w:t>
      </w:r>
    </w:p>
    <w:p w14:paraId="5116BFD3" w14:textId="715C6120" w:rsidR="00EA0752" w:rsidRDefault="00EA0752" w:rsidP="002C3CD8">
      <w:pPr>
        <w:pStyle w:val="ListParagraph"/>
        <w:numPr>
          <w:ilvl w:val="0"/>
          <w:numId w:val="20"/>
        </w:numPr>
        <w:rPr>
          <w:szCs w:val="24"/>
        </w:rPr>
      </w:pPr>
      <w:r w:rsidRPr="002C3CD8">
        <w:rPr>
          <w:szCs w:val="24"/>
        </w:rPr>
        <w:t xml:space="preserve">Lohana, S.R. (2021) ‘Reliance: a success story in international refinery sector’, </w:t>
      </w:r>
      <w:r w:rsidRPr="002C3CD8">
        <w:rPr>
          <w:i/>
          <w:iCs/>
          <w:szCs w:val="24"/>
        </w:rPr>
        <w:t>International Journal of Business and Globalisation</w:t>
      </w:r>
      <w:r w:rsidRPr="002C3CD8">
        <w:rPr>
          <w:szCs w:val="24"/>
        </w:rPr>
        <w:t>, 29(2), pp. 129–142.</w:t>
      </w:r>
    </w:p>
    <w:p w14:paraId="08BC765D" w14:textId="02A307AE" w:rsidR="007C091D" w:rsidRPr="002C3CD8" w:rsidRDefault="000B6E56" w:rsidP="002C3CD8">
      <w:pPr>
        <w:pStyle w:val="ListParagraph"/>
        <w:numPr>
          <w:ilvl w:val="0"/>
          <w:numId w:val="20"/>
        </w:numPr>
        <w:rPr>
          <w:szCs w:val="24"/>
        </w:rPr>
      </w:pPr>
      <w:r w:rsidRPr="000B6E56">
        <w:rPr>
          <w:szCs w:val="24"/>
        </w:rPr>
        <w:t>Ministry of Corporate Affairs (2013) The Companies Act, 2013. Government of India.</w:t>
      </w:r>
    </w:p>
    <w:p w14:paraId="1BA0797A" w14:textId="6F8AA017" w:rsidR="001C0DEC" w:rsidRPr="002C3CD8" w:rsidRDefault="001C0DEC" w:rsidP="002C3CD8">
      <w:pPr>
        <w:pStyle w:val="ListParagraph"/>
        <w:numPr>
          <w:ilvl w:val="0"/>
          <w:numId w:val="20"/>
        </w:numPr>
        <w:rPr>
          <w:szCs w:val="24"/>
        </w:rPr>
      </w:pPr>
      <w:r w:rsidRPr="002C3CD8">
        <w:rPr>
          <w:szCs w:val="24"/>
        </w:rPr>
        <w:t>MoEFCC (2024) India’s Green Hydrogen Mission: 2030 Roadmap. Ministry of Environment, Forest and Climate Change.</w:t>
      </w:r>
    </w:p>
    <w:p w14:paraId="6BD16D90" w14:textId="134216AD" w:rsidR="004957BB" w:rsidRDefault="004957BB" w:rsidP="002C3CD8">
      <w:pPr>
        <w:pStyle w:val="ListParagraph"/>
        <w:numPr>
          <w:ilvl w:val="0"/>
          <w:numId w:val="20"/>
        </w:numPr>
        <w:rPr>
          <w:szCs w:val="24"/>
        </w:rPr>
      </w:pPr>
      <w:r w:rsidRPr="002C3CD8">
        <w:rPr>
          <w:szCs w:val="24"/>
        </w:rPr>
        <w:t xml:space="preserve">Panda, B. and Leepsa, N.M. (2019) ‘RIL’s Strategic Alliance with BP’, </w:t>
      </w:r>
      <w:r w:rsidRPr="002C3CD8">
        <w:rPr>
          <w:i/>
          <w:iCs/>
          <w:szCs w:val="24"/>
        </w:rPr>
        <w:t>Asian Journal of Management Cases</w:t>
      </w:r>
      <w:r w:rsidRPr="002C3CD8">
        <w:rPr>
          <w:szCs w:val="24"/>
        </w:rPr>
        <w:t>, 16(2), pp. 187–197.</w:t>
      </w:r>
    </w:p>
    <w:p w14:paraId="3827C838" w14:textId="0CE92038" w:rsidR="00092E98" w:rsidRPr="002C3CD8" w:rsidRDefault="00092E98" w:rsidP="002C3CD8">
      <w:pPr>
        <w:pStyle w:val="ListParagraph"/>
        <w:numPr>
          <w:ilvl w:val="0"/>
          <w:numId w:val="20"/>
        </w:numPr>
        <w:rPr>
          <w:szCs w:val="24"/>
        </w:rPr>
      </w:pPr>
      <w:r w:rsidRPr="00092E98">
        <w:rPr>
          <w:szCs w:val="24"/>
        </w:rPr>
        <w:t>Pfeffer and Salancik (2003), Williamson (1985) и Ministry of Corporate Affairs (2013)</w:t>
      </w:r>
    </w:p>
    <w:p w14:paraId="78C399E3" w14:textId="1F37B0D9" w:rsidR="009814D6" w:rsidRPr="002C3CD8" w:rsidRDefault="009814D6" w:rsidP="002C3CD8">
      <w:pPr>
        <w:pStyle w:val="ListParagraph"/>
        <w:numPr>
          <w:ilvl w:val="0"/>
          <w:numId w:val="20"/>
        </w:numPr>
        <w:rPr>
          <w:szCs w:val="24"/>
        </w:rPr>
      </w:pPr>
      <w:r w:rsidRPr="002C3CD8">
        <w:rPr>
          <w:szCs w:val="24"/>
        </w:rPr>
        <w:t>Rao, S. &amp; Mishra, D. (2022) ‘FDI Challenges in Indian Energy Infrastructure’, Asia-Pacific Business Review, 28(3), pp. 219–235.</w:t>
      </w:r>
    </w:p>
    <w:p w14:paraId="7609A28A" w14:textId="78AE1211" w:rsidR="00887570" w:rsidRPr="002C3CD8" w:rsidRDefault="00887570" w:rsidP="002C3CD8">
      <w:pPr>
        <w:pStyle w:val="ListParagraph"/>
        <w:numPr>
          <w:ilvl w:val="0"/>
          <w:numId w:val="20"/>
        </w:numPr>
        <w:rPr>
          <w:szCs w:val="24"/>
        </w:rPr>
      </w:pPr>
      <w:r w:rsidRPr="002C3CD8">
        <w:rPr>
          <w:szCs w:val="24"/>
        </w:rPr>
        <w:t xml:space="preserve">Rugman, A. and Collinson, S. (2020) </w:t>
      </w:r>
      <w:r w:rsidRPr="002C3CD8">
        <w:rPr>
          <w:i/>
          <w:iCs/>
          <w:szCs w:val="24"/>
        </w:rPr>
        <w:t>International Business</w:t>
      </w:r>
      <w:r w:rsidRPr="002C3CD8">
        <w:rPr>
          <w:szCs w:val="24"/>
        </w:rPr>
        <w:t>. 8th ed. Pearson Education.</w:t>
      </w:r>
    </w:p>
    <w:p w14:paraId="2F4B5245" w14:textId="1C8394B4" w:rsidR="00CB3133" w:rsidRPr="002C3CD8" w:rsidRDefault="00CB3133" w:rsidP="002C3CD8">
      <w:pPr>
        <w:pStyle w:val="ListParagraph"/>
        <w:numPr>
          <w:ilvl w:val="0"/>
          <w:numId w:val="20"/>
        </w:numPr>
        <w:rPr>
          <w:szCs w:val="24"/>
        </w:rPr>
      </w:pPr>
      <w:r w:rsidRPr="002C3CD8">
        <w:rPr>
          <w:szCs w:val="24"/>
        </w:rPr>
        <w:t>Shell (2024) Annual Sustainability Report.</w:t>
      </w:r>
    </w:p>
    <w:p w14:paraId="20C6E317" w14:textId="5C7537E4" w:rsidR="00E93EE1" w:rsidRPr="002C3CD8" w:rsidRDefault="00E93EE1" w:rsidP="002C3CD8">
      <w:pPr>
        <w:pStyle w:val="ListParagraph"/>
        <w:numPr>
          <w:ilvl w:val="0"/>
          <w:numId w:val="20"/>
        </w:numPr>
        <w:rPr>
          <w:szCs w:val="24"/>
        </w:rPr>
      </w:pPr>
      <w:r w:rsidRPr="002C3CD8">
        <w:rPr>
          <w:szCs w:val="24"/>
        </w:rPr>
        <w:t>Shell (2024) Energy Scenarios 2050.</w:t>
      </w:r>
    </w:p>
    <w:p w14:paraId="1FC99C8E" w14:textId="63062EF8" w:rsidR="00E93EE1" w:rsidRPr="002C3CD8" w:rsidRDefault="00E93EE1" w:rsidP="002C3CD8">
      <w:pPr>
        <w:pStyle w:val="ListParagraph"/>
        <w:numPr>
          <w:ilvl w:val="0"/>
          <w:numId w:val="20"/>
        </w:numPr>
        <w:rPr>
          <w:szCs w:val="24"/>
        </w:rPr>
      </w:pPr>
      <w:r w:rsidRPr="002C3CD8">
        <w:rPr>
          <w:szCs w:val="24"/>
        </w:rPr>
        <w:lastRenderedPageBreak/>
        <w:t>Taleb, N. (2007) The Black Swan: The Impact of the Highly Improbable. Random House.</w:t>
      </w:r>
    </w:p>
    <w:p w14:paraId="0EDC385E" w14:textId="5F547D3C" w:rsidR="00A81DE8" w:rsidRPr="002C3CD8" w:rsidRDefault="00A81DE8" w:rsidP="002C3CD8">
      <w:pPr>
        <w:pStyle w:val="ListParagraph"/>
        <w:numPr>
          <w:ilvl w:val="0"/>
          <w:numId w:val="20"/>
        </w:numPr>
        <w:rPr>
          <w:szCs w:val="24"/>
        </w:rPr>
      </w:pPr>
      <w:r w:rsidRPr="002C3CD8">
        <w:rPr>
          <w:szCs w:val="24"/>
        </w:rPr>
        <w:t xml:space="preserve">Teece, D.J. (2007) ‘Explicating dynamic capabilities: the nature and microfoundations of (sustainable) enterprise performance’, </w:t>
      </w:r>
      <w:r w:rsidRPr="002C3CD8">
        <w:rPr>
          <w:i/>
          <w:iCs/>
          <w:szCs w:val="24"/>
        </w:rPr>
        <w:t>Strategic Management Journal</w:t>
      </w:r>
      <w:r w:rsidRPr="002C3CD8">
        <w:rPr>
          <w:szCs w:val="24"/>
        </w:rPr>
        <w:t>, 28(13), pp. 1319–1350.</w:t>
      </w:r>
    </w:p>
    <w:p w14:paraId="73B48B0E" w14:textId="49A9D0EB" w:rsidR="00801611" w:rsidRDefault="00801611" w:rsidP="002C3CD8">
      <w:pPr>
        <w:pStyle w:val="ListParagraph"/>
        <w:numPr>
          <w:ilvl w:val="0"/>
          <w:numId w:val="20"/>
        </w:numPr>
        <w:rPr>
          <w:szCs w:val="24"/>
        </w:rPr>
      </w:pPr>
      <w:r w:rsidRPr="002C3CD8">
        <w:rPr>
          <w:szCs w:val="24"/>
        </w:rPr>
        <w:t>Trompenaars, F. &amp; Hampden-Turner, C. (1998) Riding the Waves of Culture. London: Nicholas Brealey.</w:t>
      </w:r>
    </w:p>
    <w:p w14:paraId="5FDE0958" w14:textId="7C9EA32A" w:rsidR="000B6E56" w:rsidRPr="002C3CD8" w:rsidRDefault="000B6E56" w:rsidP="002C3CD8">
      <w:pPr>
        <w:pStyle w:val="ListParagraph"/>
        <w:numPr>
          <w:ilvl w:val="0"/>
          <w:numId w:val="20"/>
        </w:numPr>
        <w:rPr>
          <w:szCs w:val="24"/>
        </w:rPr>
      </w:pPr>
      <w:r w:rsidRPr="000B6E56">
        <w:rPr>
          <w:szCs w:val="24"/>
        </w:rPr>
        <w:t>Williamson, O.E. (1985) The Economic Institutions of Capitalism. Free Press.</w:t>
      </w:r>
    </w:p>
    <w:p w14:paraId="6AAD7D3E" w14:textId="07174132" w:rsidR="00887570" w:rsidRPr="002C3CD8" w:rsidRDefault="00887570" w:rsidP="002C3CD8">
      <w:pPr>
        <w:pStyle w:val="ListParagraph"/>
        <w:numPr>
          <w:ilvl w:val="0"/>
          <w:numId w:val="20"/>
        </w:numPr>
        <w:rPr>
          <w:szCs w:val="24"/>
        </w:rPr>
      </w:pPr>
      <w:r w:rsidRPr="002C3CD8">
        <w:rPr>
          <w:szCs w:val="24"/>
        </w:rPr>
        <w:t xml:space="preserve">World Bank (2024) </w:t>
      </w:r>
      <w:r w:rsidRPr="002C3CD8">
        <w:rPr>
          <w:i/>
          <w:iCs/>
          <w:szCs w:val="24"/>
        </w:rPr>
        <w:t>India Investment Climate Report</w:t>
      </w:r>
      <w:r w:rsidRPr="002C3CD8">
        <w:rPr>
          <w:szCs w:val="24"/>
        </w:rPr>
        <w:t>.</w:t>
      </w:r>
    </w:p>
    <w:p w14:paraId="4BFF9178" w14:textId="48E911F8" w:rsidR="00D26846" w:rsidRPr="002C3CD8" w:rsidRDefault="00D26846" w:rsidP="002C3CD8">
      <w:pPr>
        <w:pStyle w:val="ListParagraph"/>
        <w:numPr>
          <w:ilvl w:val="0"/>
          <w:numId w:val="20"/>
        </w:numPr>
        <w:rPr>
          <w:szCs w:val="24"/>
        </w:rPr>
      </w:pPr>
      <w:r w:rsidRPr="002C3CD8">
        <w:rPr>
          <w:szCs w:val="24"/>
        </w:rPr>
        <w:t xml:space="preserve">World Bank (2024) </w:t>
      </w:r>
      <w:r w:rsidRPr="002C3CD8">
        <w:rPr>
          <w:i/>
          <w:iCs/>
          <w:szCs w:val="24"/>
        </w:rPr>
        <w:t>India Energy Outlook 2024</w:t>
      </w:r>
      <w:r w:rsidRPr="002C3CD8">
        <w:rPr>
          <w:szCs w:val="24"/>
        </w:rPr>
        <w:t xml:space="preserve">. Available at: </w:t>
      </w:r>
      <w:hyperlink r:id="rId13" w:tgtFrame="_new" w:history="1">
        <w:r w:rsidRPr="002C3CD8">
          <w:rPr>
            <w:szCs w:val="24"/>
          </w:rPr>
          <w:t>https://www.worldbank.org</w:t>
        </w:r>
      </w:hyperlink>
      <w:r w:rsidRPr="002C3CD8">
        <w:rPr>
          <w:szCs w:val="24"/>
        </w:rPr>
        <w:t xml:space="preserve"> (Accessed: 22 October 2025).</w:t>
      </w:r>
    </w:p>
    <w:p w14:paraId="07C3BD73" w14:textId="77777777" w:rsidR="00887570" w:rsidRPr="002C3CD8" w:rsidRDefault="00887570" w:rsidP="00887570">
      <w:pPr>
        <w:rPr>
          <w:szCs w:val="24"/>
        </w:rPr>
      </w:pPr>
    </w:p>
    <w:sectPr w:rsidR="00887570" w:rsidRPr="002C3CD8" w:rsidSect="00E5413A">
      <w:footerReference w:type="default" r:id="rId1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16B51" w14:textId="77777777" w:rsidR="006C3762" w:rsidRDefault="006C3762" w:rsidP="00E5598B">
      <w:pPr>
        <w:spacing w:after="0" w:line="240" w:lineRule="auto"/>
      </w:pPr>
      <w:r>
        <w:separator/>
      </w:r>
    </w:p>
  </w:endnote>
  <w:endnote w:type="continuationSeparator" w:id="0">
    <w:p w14:paraId="02EFC1B9" w14:textId="77777777" w:rsidR="006C3762" w:rsidRDefault="006C3762" w:rsidP="00E55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216603"/>
      <w:docPartObj>
        <w:docPartGallery w:val="Page Numbers (Bottom of Page)"/>
        <w:docPartUnique/>
      </w:docPartObj>
    </w:sdtPr>
    <w:sdtEndPr>
      <w:rPr>
        <w:color w:val="7F7F7F" w:themeColor="background1" w:themeShade="7F"/>
        <w:spacing w:val="60"/>
      </w:rPr>
    </w:sdtEndPr>
    <w:sdtContent>
      <w:p w14:paraId="63F5A20D" w14:textId="547D1144" w:rsidR="00E5598B" w:rsidRDefault="00E559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0DAD1B" w14:textId="77777777" w:rsidR="00E5598B" w:rsidRDefault="00E55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0F7BD" w14:textId="77777777" w:rsidR="006C3762" w:rsidRDefault="006C3762" w:rsidP="00E5598B">
      <w:pPr>
        <w:spacing w:after="0" w:line="240" w:lineRule="auto"/>
      </w:pPr>
      <w:r>
        <w:separator/>
      </w:r>
    </w:p>
  </w:footnote>
  <w:footnote w:type="continuationSeparator" w:id="0">
    <w:p w14:paraId="7109A4B4" w14:textId="77777777" w:rsidR="006C3762" w:rsidRDefault="006C3762" w:rsidP="00E55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427D8"/>
    <w:multiLevelType w:val="multilevel"/>
    <w:tmpl w:val="90742C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7FE5D1C"/>
    <w:multiLevelType w:val="hybridMultilevel"/>
    <w:tmpl w:val="BBCC0A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804423E"/>
    <w:multiLevelType w:val="multilevel"/>
    <w:tmpl w:val="1326FF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04FF2"/>
    <w:multiLevelType w:val="multilevel"/>
    <w:tmpl w:val="81668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475A5"/>
    <w:multiLevelType w:val="multilevel"/>
    <w:tmpl w:val="3A7C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1575E"/>
    <w:multiLevelType w:val="hybridMultilevel"/>
    <w:tmpl w:val="5830A5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5063B9F"/>
    <w:multiLevelType w:val="multilevel"/>
    <w:tmpl w:val="27044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55714C"/>
    <w:multiLevelType w:val="multilevel"/>
    <w:tmpl w:val="8610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BB7A62"/>
    <w:multiLevelType w:val="multilevel"/>
    <w:tmpl w:val="BEC06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C231F3"/>
    <w:multiLevelType w:val="multilevel"/>
    <w:tmpl w:val="056E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260DC"/>
    <w:multiLevelType w:val="hybridMultilevel"/>
    <w:tmpl w:val="BBCC0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D66073"/>
    <w:multiLevelType w:val="multilevel"/>
    <w:tmpl w:val="CA6080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41530C"/>
    <w:multiLevelType w:val="multilevel"/>
    <w:tmpl w:val="9460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F01734"/>
    <w:multiLevelType w:val="multilevel"/>
    <w:tmpl w:val="C00AF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120124"/>
    <w:multiLevelType w:val="multilevel"/>
    <w:tmpl w:val="C1161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3535E8"/>
    <w:multiLevelType w:val="hybridMultilevel"/>
    <w:tmpl w:val="5100C176"/>
    <w:lvl w:ilvl="0" w:tplc="F2121EF8">
      <w:start w:val="1"/>
      <w:numFmt w:val="decimal"/>
      <w:lvlText w:val="%1."/>
      <w:lvlJc w:val="left"/>
      <w:pPr>
        <w:ind w:left="696" w:hanging="360"/>
      </w:pPr>
      <w:rPr>
        <w:rFonts w:hint="default"/>
      </w:rPr>
    </w:lvl>
    <w:lvl w:ilvl="1" w:tplc="08090019" w:tentative="1">
      <w:start w:val="1"/>
      <w:numFmt w:val="lowerLetter"/>
      <w:lvlText w:val="%2."/>
      <w:lvlJc w:val="left"/>
      <w:pPr>
        <w:ind w:left="1416" w:hanging="360"/>
      </w:pPr>
    </w:lvl>
    <w:lvl w:ilvl="2" w:tplc="0809001B" w:tentative="1">
      <w:start w:val="1"/>
      <w:numFmt w:val="lowerRoman"/>
      <w:lvlText w:val="%3."/>
      <w:lvlJc w:val="right"/>
      <w:pPr>
        <w:ind w:left="2136" w:hanging="180"/>
      </w:pPr>
    </w:lvl>
    <w:lvl w:ilvl="3" w:tplc="0809000F" w:tentative="1">
      <w:start w:val="1"/>
      <w:numFmt w:val="decimal"/>
      <w:lvlText w:val="%4."/>
      <w:lvlJc w:val="left"/>
      <w:pPr>
        <w:ind w:left="2856" w:hanging="360"/>
      </w:pPr>
    </w:lvl>
    <w:lvl w:ilvl="4" w:tplc="08090019" w:tentative="1">
      <w:start w:val="1"/>
      <w:numFmt w:val="lowerLetter"/>
      <w:lvlText w:val="%5."/>
      <w:lvlJc w:val="left"/>
      <w:pPr>
        <w:ind w:left="3576" w:hanging="360"/>
      </w:pPr>
    </w:lvl>
    <w:lvl w:ilvl="5" w:tplc="0809001B" w:tentative="1">
      <w:start w:val="1"/>
      <w:numFmt w:val="lowerRoman"/>
      <w:lvlText w:val="%6."/>
      <w:lvlJc w:val="right"/>
      <w:pPr>
        <w:ind w:left="4296" w:hanging="180"/>
      </w:pPr>
    </w:lvl>
    <w:lvl w:ilvl="6" w:tplc="0809000F" w:tentative="1">
      <w:start w:val="1"/>
      <w:numFmt w:val="decimal"/>
      <w:lvlText w:val="%7."/>
      <w:lvlJc w:val="left"/>
      <w:pPr>
        <w:ind w:left="5016" w:hanging="360"/>
      </w:pPr>
    </w:lvl>
    <w:lvl w:ilvl="7" w:tplc="08090019" w:tentative="1">
      <w:start w:val="1"/>
      <w:numFmt w:val="lowerLetter"/>
      <w:lvlText w:val="%8."/>
      <w:lvlJc w:val="left"/>
      <w:pPr>
        <w:ind w:left="5736" w:hanging="360"/>
      </w:pPr>
    </w:lvl>
    <w:lvl w:ilvl="8" w:tplc="0809001B" w:tentative="1">
      <w:start w:val="1"/>
      <w:numFmt w:val="lowerRoman"/>
      <w:lvlText w:val="%9."/>
      <w:lvlJc w:val="right"/>
      <w:pPr>
        <w:ind w:left="6456" w:hanging="180"/>
      </w:pPr>
    </w:lvl>
  </w:abstractNum>
  <w:abstractNum w:abstractNumId="16" w15:restartNumberingAfterBreak="0">
    <w:nsid w:val="4D824162"/>
    <w:multiLevelType w:val="hybridMultilevel"/>
    <w:tmpl w:val="C3588148"/>
    <w:lvl w:ilvl="0" w:tplc="747414A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607BE8"/>
    <w:multiLevelType w:val="multilevel"/>
    <w:tmpl w:val="9962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6A0116"/>
    <w:multiLevelType w:val="multilevel"/>
    <w:tmpl w:val="D056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166C6B"/>
    <w:multiLevelType w:val="multilevel"/>
    <w:tmpl w:val="20BA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7C6915"/>
    <w:multiLevelType w:val="multilevel"/>
    <w:tmpl w:val="2BBA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1F0804"/>
    <w:multiLevelType w:val="hybridMultilevel"/>
    <w:tmpl w:val="4C42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23B1D"/>
    <w:multiLevelType w:val="multilevel"/>
    <w:tmpl w:val="00FE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926113"/>
    <w:multiLevelType w:val="multilevel"/>
    <w:tmpl w:val="BCFC8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5D24B8"/>
    <w:multiLevelType w:val="multilevel"/>
    <w:tmpl w:val="AC5C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DF04F9"/>
    <w:multiLevelType w:val="multilevel"/>
    <w:tmpl w:val="0AA48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9379FB"/>
    <w:multiLevelType w:val="multilevel"/>
    <w:tmpl w:val="B1520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735CF2"/>
    <w:multiLevelType w:val="multilevel"/>
    <w:tmpl w:val="CEF0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CF1AD2"/>
    <w:multiLevelType w:val="multilevel"/>
    <w:tmpl w:val="5F52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184CDC"/>
    <w:multiLevelType w:val="hybridMultilevel"/>
    <w:tmpl w:val="B6CC20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525D40"/>
    <w:multiLevelType w:val="multilevel"/>
    <w:tmpl w:val="66D6B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928689">
    <w:abstractNumId w:val="10"/>
  </w:num>
  <w:num w:numId="2" w16cid:durableId="554585244">
    <w:abstractNumId w:val="27"/>
  </w:num>
  <w:num w:numId="3" w16cid:durableId="1370108488">
    <w:abstractNumId w:val="18"/>
  </w:num>
  <w:num w:numId="4" w16cid:durableId="801115962">
    <w:abstractNumId w:val="19"/>
  </w:num>
  <w:num w:numId="5" w16cid:durableId="457380971">
    <w:abstractNumId w:val="25"/>
  </w:num>
  <w:num w:numId="6" w16cid:durableId="1296137455">
    <w:abstractNumId w:val="16"/>
  </w:num>
  <w:num w:numId="7" w16cid:durableId="724717944">
    <w:abstractNumId w:val="8"/>
  </w:num>
  <w:num w:numId="8" w16cid:durableId="277685954">
    <w:abstractNumId w:val="4"/>
  </w:num>
  <w:num w:numId="9" w16cid:durableId="1339388240">
    <w:abstractNumId w:val="0"/>
  </w:num>
  <w:num w:numId="10" w16cid:durableId="404455284">
    <w:abstractNumId w:val="17"/>
  </w:num>
  <w:num w:numId="11" w16cid:durableId="404840242">
    <w:abstractNumId w:val="6"/>
  </w:num>
  <w:num w:numId="12" w16cid:durableId="271789892">
    <w:abstractNumId w:val="22"/>
  </w:num>
  <w:num w:numId="13" w16cid:durableId="1803579005">
    <w:abstractNumId w:val="3"/>
  </w:num>
  <w:num w:numId="14" w16cid:durableId="2132824258">
    <w:abstractNumId w:val="28"/>
  </w:num>
  <w:num w:numId="15" w16cid:durableId="1276868663">
    <w:abstractNumId w:val="26"/>
  </w:num>
  <w:num w:numId="16" w16cid:durableId="1782722256">
    <w:abstractNumId w:val="5"/>
  </w:num>
  <w:num w:numId="17" w16cid:durableId="890649082">
    <w:abstractNumId w:val="29"/>
  </w:num>
  <w:num w:numId="18" w16cid:durableId="14427056">
    <w:abstractNumId w:val="21"/>
  </w:num>
  <w:num w:numId="19" w16cid:durableId="942960373">
    <w:abstractNumId w:val="15"/>
  </w:num>
  <w:num w:numId="20" w16cid:durableId="1279222380">
    <w:abstractNumId w:val="1"/>
  </w:num>
  <w:num w:numId="21" w16cid:durableId="818960685">
    <w:abstractNumId w:val="20"/>
  </w:num>
  <w:num w:numId="22" w16cid:durableId="1788890950">
    <w:abstractNumId w:val="9"/>
  </w:num>
  <w:num w:numId="23" w16cid:durableId="925041388">
    <w:abstractNumId w:val="14"/>
  </w:num>
  <w:num w:numId="24" w16cid:durableId="1295871534">
    <w:abstractNumId w:val="12"/>
  </w:num>
  <w:num w:numId="25" w16cid:durableId="1147697897">
    <w:abstractNumId w:val="13"/>
  </w:num>
  <w:num w:numId="26" w16cid:durableId="2015303653">
    <w:abstractNumId w:val="11"/>
  </w:num>
  <w:num w:numId="27" w16cid:durableId="2068259051">
    <w:abstractNumId w:val="23"/>
  </w:num>
  <w:num w:numId="28" w16cid:durableId="2147039105">
    <w:abstractNumId w:val="30"/>
  </w:num>
  <w:num w:numId="29" w16cid:durableId="1463814280">
    <w:abstractNumId w:val="7"/>
  </w:num>
  <w:num w:numId="30" w16cid:durableId="925769352">
    <w:abstractNumId w:val="24"/>
  </w:num>
  <w:num w:numId="31" w16cid:durableId="710111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13A"/>
    <w:rsid w:val="00003D3D"/>
    <w:rsid w:val="00024C20"/>
    <w:rsid w:val="000255FE"/>
    <w:rsid w:val="00044084"/>
    <w:rsid w:val="00060166"/>
    <w:rsid w:val="00061DC1"/>
    <w:rsid w:val="0007018A"/>
    <w:rsid w:val="00077AB0"/>
    <w:rsid w:val="00084A51"/>
    <w:rsid w:val="00085F7F"/>
    <w:rsid w:val="00092E98"/>
    <w:rsid w:val="000A29D9"/>
    <w:rsid w:val="000A57DF"/>
    <w:rsid w:val="000A7E76"/>
    <w:rsid w:val="000B44C7"/>
    <w:rsid w:val="000B6E56"/>
    <w:rsid w:val="000C47CD"/>
    <w:rsid w:val="000D659E"/>
    <w:rsid w:val="000F0541"/>
    <w:rsid w:val="000F2D36"/>
    <w:rsid w:val="00107C2D"/>
    <w:rsid w:val="001112F2"/>
    <w:rsid w:val="00112C75"/>
    <w:rsid w:val="00114419"/>
    <w:rsid w:val="00124E5F"/>
    <w:rsid w:val="00126E38"/>
    <w:rsid w:val="00133D48"/>
    <w:rsid w:val="001373BA"/>
    <w:rsid w:val="00141FFC"/>
    <w:rsid w:val="0016751F"/>
    <w:rsid w:val="0018256D"/>
    <w:rsid w:val="00187608"/>
    <w:rsid w:val="00190D5E"/>
    <w:rsid w:val="00195906"/>
    <w:rsid w:val="001B42D5"/>
    <w:rsid w:val="001B7727"/>
    <w:rsid w:val="001C0DEC"/>
    <w:rsid w:val="001C52C2"/>
    <w:rsid w:val="001D22DB"/>
    <w:rsid w:val="001D6CB8"/>
    <w:rsid w:val="001D7F60"/>
    <w:rsid w:val="001E7053"/>
    <w:rsid w:val="00201217"/>
    <w:rsid w:val="00202852"/>
    <w:rsid w:val="002128C9"/>
    <w:rsid w:val="00233D27"/>
    <w:rsid w:val="00245ED8"/>
    <w:rsid w:val="00260242"/>
    <w:rsid w:val="00266349"/>
    <w:rsid w:val="00296D71"/>
    <w:rsid w:val="00297281"/>
    <w:rsid w:val="002A24C2"/>
    <w:rsid w:val="002A2669"/>
    <w:rsid w:val="002C3CD8"/>
    <w:rsid w:val="002D233E"/>
    <w:rsid w:val="002D3460"/>
    <w:rsid w:val="002D5CBC"/>
    <w:rsid w:val="002E27C0"/>
    <w:rsid w:val="002E7747"/>
    <w:rsid w:val="00315D46"/>
    <w:rsid w:val="0034479F"/>
    <w:rsid w:val="00361839"/>
    <w:rsid w:val="00364EB7"/>
    <w:rsid w:val="003657B1"/>
    <w:rsid w:val="0037497D"/>
    <w:rsid w:val="00380AAC"/>
    <w:rsid w:val="003904C8"/>
    <w:rsid w:val="003904F0"/>
    <w:rsid w:val="003B22A4"/>
    <w:rsid w:val="003B49A3"/>
    <w:rsid w:val="003E748E"/>
    <w:rsid w:val="00405736"/>
    <w:rsid w:val="00433700"/>
    <w:rsid w:val="00436887"/>
    <w:rsid w:val="00450870"/>
    <w:rsid w:val="00460659"/>
    <w:rsid w:val="00460B5A"/>
    <w:rsid w:val="0046354B"/>
    <w:rsid w:val="004726B5"/>
    <w:rsid w:val="00474168"/>
    <w:rsid w:val="00477D62"/>
    <w:rsid w:val="004839D1"/>
    <w:rsid w:val="00484459"/>
    <w:rsid w:val="00490F77"/>
    <w:rsid w:val="00492C47"/>
    <w:rsid w:val="004957BB"/>
    <w:rsid w:val="004A4E2A"/>
    <w:rsid w:val="004A6939"/>
    <w:rsid w:val="004C7F89"/>
    <w:rsid w:val="004E3985"/>
    <w:rsid w:val="004E6278"/>
    <w:rsid w:val="004E7DAB"/>
    <w:rsid w:val="004F5F4D"/>
    <w:rsid w:val="0050205E"/>
    <w:rsid w:val="00510660"/>
    <w:rsid w:val="00530A96"/>
    <w:rsid w:val="0053497E"/>
    <w:rsid w:val="00544F7D"/>
    <w:rsid w:val="0056306B"/>
    <w:rsid w:val="00582839"/>
    <w:rsid w:val="00593482"/>
    <w:rsid w:val="005A67F5"/>
    <w:rsid w:val="005C27BC"/>
    <w:rsid w:val="005C3768"/>
    <w:rsid w:val="005C6217"/>
    <w:rsid w:val="005D48AC"/>
    <w:rsid w:val="005D4C8C"/>
    <w:rsid w:val="005E5AB9"/>
    <w:rsid w:val="005F7F6B"/>
    <w:rsid w:val="00607EDE"/>
    <w:rsid w:val="006127F1"/>
    <w:rsid w:val="00614921"/>
    <w:rsid w:val="00621C76"/>
    <w:rsid w:val="006308D4"/>
    <w:rsid w:val="006366CF"/>
    <w:rsid w:val="00643EA3"/>
    <w:rsid w:val="006517FE"/>
    <w:rsid w:val="00660D56"/>
    <w:rsid w:val="00671376"/>
    <w:rsid w:val="006726DD"/>
    <w:rsid w:val="00695119"/>
    <w:rsid w:val="006A28B5"/>
    <w:rsid w:val="006B2B98"/>
    <w:rsid w:val="006B5868"/>
    <w:rsid w:val="006B764B"/>
    <w:rsid w:val="006C3762"/>
    <w:rsid w:val="006C46B5"/>
    <w:rsid w:val="006D2FA4"/>
    <w:rsid w:val="006E4F91"/>
    <w:rsid w:val="006F31D9"/>
    <w:rsid w:val="007026E0"/>
    <w:rsid w:val="007136AE"/>
    <w:rsid w:val="00746F64"/>
    <w:rsid w:val="00746FAA"/>
    <w:rsid w:val="007521E7"/>
    <w:rsid w:val="007545DB"/>
    <w:rsid w:val="007576A9"/>
    <w:rsid w:val="00757D3D"/>
    <w:rsid w:val="00766684"/>
    <w:rsid w:val="00774D80"/>
    <w:rsid w:val="00775B2B"/>
    <w:rsid w:val="00786DA5"/>
    <w:rsid w:val="00795EF8"/>
    <w:rsid w:val="00797E33"/>
    <w:rsid w:val="007A031C"/>
    <w:rsid w:val="007A2AC4"/>
    <w:rsid w:val="007A2B9A"/>
    <w:rsid w:val="007B07AC"/>
    <w:rsid w:val="007B35F7"/>
    <w:rsid w:val="007B58F5"/>
    <w:rsid w:val="007C091D"/>
    <w:rsid w:val="007D4F19"/>
    <w:rsid w:val="007D617B"/>
    <w:rsid w:val="007F20A6"/>
    <w:rsid w:val="007F2243"/>
    <w:rsid w:val="007F60BB"/>
    <w:rsid w:val="007F7FA4"/>
    <w:rsid w:val="00801611"/>
    <w:rsid w:val="00801F3D"/>
    <w:rsid w:val="008055E2"/>
    <w:rsid w:val="00820A15"/>
    <w:rsid w:val="0082615F"/>
    <w:rsid w:val="00842EA3"/>
    <w:rsid w:val="00854502"/>
    <w:rsid w:val="00856B9E"/>
    <w:rsid w:val="008617B9"/>
    <w:rsid w:val="00876414"/>
    <w:rsid w:val="00887333"/>
    <w:rsid w:val="00887570"/>
    <w:rsid w:val="008A1441"/>
    <w:rsid w:val="008A619B"/>
    <w:rsid w:val="008C1B41"/>
    <w:rsid w:val="008C6BC1"/>
    <w:rsid w:val="008D6D35"/>
    <w:rsid w:val="008E7B1E"/>
    <w:rsid w:val="008F65DF"/>
    <w:rsid w:val="009000AC"/>
    <w:rsid w:val="009031AC"/>
    <w:rsid w:val="009069A6"/>
    <w:rsid w:val="00906F89"/>
    <w:rsid w:val="00914B0B"/>
    <w:rsid w:val="0092096D"/>
    <w:rsid w:val="009233B0"/>
    <w:rsid w:val="009238D0"/>
    <w:rsid w:val="00931C83"/>
    <w:rsid w:val="00933D34"/>
    <w:rsid w:val="0093443C"/>
    <w:rsid w:val="009452CD"/>
    <w:rsid w:val="009508B8"/>
    <w:rsid w:val="009603F9"/>
    <w:rsid w:val="0096490B"/>
    <w:rsid w:val="00965354"/>
    <w:rsid w:val="0096567B"/>
    <w:rsid w:val="00976585"/>
    <w:rsid w:val="009814D6"/>
    <w:rsid w:val="009908D7"/>
    <w:rsid w:val="00993ACF"/>
    <w:rsid w:val="009D0254"/>
    <w:rsid w:val="009D2996"/>
    <w:rsid w:val="009E59DA"/>
    <w:rsid w:val="009E7AB9"/>
    <w:rsid w:val="009E7E6E"/>
    <w:rsid w:val="009F3E41"/>
    <w:rsid w:val="00A20142"/>
    <w:rsid w:val="00A254E6"/>
    <w:rsid w:val="00A35CE6"/>
    <w:rsid w:val="00A407A3"/>
    <w:rsid w:val="00A5758D"/>
    <w:rsid w:val="00A57D30"/>
    <w:rsid w:val="00A61B27"/>
    <w:rsid w:val="00A62E97"/>
    <w:rsid w:val="00A76A3B"/>
    <w:rsid w:val="00A81DE8"/>
    <w:rsid w:val="00AA6699"/>
    <w:rsid w:val="00AA6CFE"/>
    <w:rsid w:val="00AD49E0"/>
    <w:rsid w:val="00AD6BB9"/>
    <w:rsid w:val="00AE019D"/>
    <w:rsid w:val="00AE4BA7"/>
    <w:rsid w:val="00B045F7"/>
    <w:rsid w:val="00B1486A"/>
    <w:rsid w:val="00B2274C"/>
    <w:rsid w:val="00B271ED"/>
    <w:rsid w:val="00B3278F"/>
    <w:rsid w:val="00B41EE8"/>
    <w:rsid w:val="00B42F28"/>
    <w:rsid w:val="00B433ED"/>
    <w:rsid w:val="00B6192E"/>
    <w:rsid w:val="00B64504"/>
    <w:rsid w:val="00B930B8"/>
    <w:rsid w:val="00BA08CA"/>
    <w:rsid w:val="00BA0958"/>
    <w:rsid w:val="00BB2B14"/>
    <w:rsid w:val="00BB6B11"/>
    <w:rsid w:val="00BB7F39"/>
    <w:rsid w:val="00BC5A39"/>
    <w:rsid w:val="00BC5A89"/>
    <w:rsid w:val="00BD35BC"/>
    <w:rsid w:val="00BE238E"/>
    <w:rsid w:val="00BE5030"/>
    <w:rsid w:val="00BF5699"/>
    <w:rsid w:val="00BF6B32"/>
    <w:rsid w:val="00C24A7B"/>
    <w:rsid w:val="00C3275C"/>
    <w:rsid w:val="00C333CF"/>
    <w:rsid w:val="00C42518"/>
    <w:rsid w:val="00C5277B"/>
    <w:rsid w:val="00C65729"/>
    <w:rsid w:val="00C6695E"/>
    <w:rsid w:val="00C71B1D"/>
    <w:rsid w:val="00C7435B"/>
    <w:rsid w:val="00C75D89"/>
    <w:rsid w:val="00C83B30"/>
    <w:rsid w:val="00C96DAD"/>
    <w:rsid w:val="00CA11A9"/>
    <w:rsid w:val="00CA160F"/>
    <w:rsid w:val="00CB3125"/>
    <w:rsid w:val="00CB3133"/>
    <w:rsid w:val="00CC4D72"/>
    <w:rsid w:val="00CC625A"/>
    <w:rsid w:val="00CC6E04"/>
    <w:rsid w:val="00CD1D6E"/>
    <w:rsid w:val="00CD4BD0"/>
    <w:rsid w:val="00CE3AB0"/>
    <w:rsid w:val="00CF6F81"/>
    <w:rsid w:val="00D04E0C"/>
    <w:rsid w:val="00D12136"/>
    <w:rsid w:val="00D1228D"/>
    <w:rsid w:val="00D1396F"/>
    <w:rsid w:val="00D1442C"/>
    <w:rsid w:val="00D16CF2"/>
    <w:rsid w:val="00D16EDA"/>
    <w:rsid w:val="00D25AE2"/>
    <w:rsid w:val="00D26846"/>
    <w:rsid w:val="00D3221B"/>
    <w:rsid w:val="00D37661"/>
    <w:rsid w:val="00D76295"/>
    <w:rsid w:val="00D82929"/>
    <w:rsid w:val="00D86117"/>
    <w:rsid w:val="00D932AC"/>
    <w:rsid w:val="00DA260B"/>
    <w:rsid w:val="00DC2FC1"/>
    <w:rsid w:val="00DC4747"/>
    <w:rsid w:val="00DF147C"/>
    <w:rsid w:val="00E014DA"/>
    <w:rsid w:val="00E0488D"/>
    <w:rsid w:val="00E0560B"/>
    <w:rsid w:val="00E1170E"/>
    <w:rsid w:val="00E518CD"/>
    <w:rsid w:val="00E5413A"/>
    <w:rsid w:val="00E5598B"/>
    <w:rsid w:val="00E65FD7"/>
    <w:rsid w:val="00E75C43"/>
    <w:rsid w:val="00E815D1"/>
    <w:rsid w:val="00E86619"/>
    <w:rsid w:val="00E917F4"/>
    <w:rsid w:val="00E9304D"/>
    <w:rsid w:val="00E93EE1"/>
    <w:rsid w:val="00E95E24"/>
    <w:rsid w:val="00EA0752"/>
    <w:rsid w:val="00EA38BE"/>
    <w:rsid w:val="00EB4C5B"/>
    <w:rsid w:val="00ED0FA8"/>
    <w:rsid w:val="00ED2CDB"/>
    <w:rsid w:val="00ED46AF"/>
    <w:rsid w:val="00ED4858"/>
    <w:rsid w:val="00EE5131"/>
    <w:rsid w:val="00F15773"/>
    <w:rsid w:val="00F227AC"/>
    <w:rsid w:val="00F22A8B"/>
    <w:rsid w:val="00F24E11"/>
    <w:rsid w:val="00F75F9B"/>
    <w:rsid w:val="00F81DE7"/>
    <w:rsid w:val="00F838E9"/>
    <w:rsid w:val="00F862B8"/>
    <w:rsid w:val="00F971C3"/>
    <w:rsid w:val="00F979B4"/>
    <w:rsid w:val="00FA6BC3"/>
    <w:rsid w:val="00FB2382"/>
    <w:rsid w:val="00FB3FA8"/>
    <w:rsid w:val="00FC123B"/>
    <w:rsid w:val="00FC6043"/>
    <w:rsid w:val="00FD074B"/>
    <w:rsid w:val="00FD2DBB"/>
    <w:rsid w:val="00FD47D5"/>
    <w:rsid w:val="00FD55EE"/>
    <w:rsid w:val="00FF5BF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381EB"/>
  <w15:chartTrackingRefBased/>
  <w15:docId w15:val="{180A8A2C-500E-423D-A291-06288DA2A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7F4"/>
    <w:rPr>
      <w:sz w:val="24"/>
    </w:rPr>
  </w:style>
  <w:style w:type="paragraph" w:styleId="Heading1">
    <w:name w:val="heading 1"/>
    <w:basedOn w:val="Normal"/>
    <w:next w:val="Normal"/>
    <w:link w:val="Heading1Char"/>
    <w:uiPriority w:val="9"/>
    <w:qFormat/>
    <w:rsid w:val="00FC123B"/>
    <w:pPr>
      <w:keepNext/>
      <w:keepLines/>
      <w:pBdr>
        <w:bottom w:val="single" w:sz="4" w:space="1" w:color="549E39" w:themeColor="accent1"/>
      </w:pBdr>
      <w:spacing w:before="400" w:after="40" w:line="240" w:lineRule="auto"/>
      <w:outlineLvl w:val="0"/>
    </w:pPr>
    <w:rPr>
      <w:rFonts w:eastAsiaTheme="majorEastAsia"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FC123B"/>
    <w:pPr>
      <w:keepNext/>
      <w:keepLines/>
      <w:spacing w:before="160" w:after="0" w:line="240" w:lineRule="auto"/>
      <w:outlineLvl w:val="1"/>
    </w:pPr>
    <w:rPr>
      <w:rFonts w:eastAsiaTheme="majorEastAsia" w:cstheme="majorBidi"/>
      <w:color w:val="3E762A" w:themeColor="accent1" w:themeShade="BF"/>
      <w:sz w:val="28"/>
      <w:szCs w:val="28"/>
    </w:rPr>
  </w:style>
  <w:style w:type="paragraph" w:styleId="Heading3">
    <w:name w:val="heading 3"/>
    <w:basedOn w:val="Normal"/>
    <w:next w:val="Normal"/>
    <w:link w:val="Heading3Char"/>
    <w:uiPriority w:val="9"/>
    <w:semiHidden/>
    <w:unhideWhenUsed/>
    <w:qFormat/>
    <w:rsid w:val="00E5413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5413A"/>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E5413A"/>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5413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5413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5413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5413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23B"/>
    <w:rPr>
      <w:rFonts w:eastAsiaTheme="majorEastAsia" w:cstheme="majorBidi"/>
      <w:color w:val="3E762A" w:themeColor="accent1" w:themeShade="BF"/>
      <w:sz w:val="36"/>
      <w:szCs w:val="36"/>
    </w:rPr>
  </w:style>
  <w:style w:type="character" w:customStyle="1" w:styleId="Heading2Char">
    <w:name w:val="Heading 2 Char"/>
    <w:basedOn w:val="DefaultParagraphFont"/>
    <w:link w:val="Heading2"/>
    <w:uiPriority w:val="9"/>
    <w:rsid w:val="00FC123B"/>
    <w:rPr>
      <w:rFonts w:eastAsiaTheme="majorEastAsia" w:cstheme="majorBidi"/>
      <w:color w:val="3E762A" w:themeColor="accent1" w:themeShade="BF"/>
      <w:sz w:val="28"/>
      <w:szCs w:val="28"/>
    </w:rPr>
  </w:style>
  <w:style w:type="character" w:customStyle="1" w:styleId="Heading3Char">
    <w:name w:val="Heading 3 Char"/>
    <w:basedOn w:val="DefaultParagraphFont"/>
    <w:link w:val="Heading3"/>
    <w:uiPriority w:val="9"/>
    <w:semiHidden/>
    <w:rsid w:val="00E5413A"/>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5413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5413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5413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5413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5413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5413A"/>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E5413A"/>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E5413A"/>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E5413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5413A"/>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E5413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5413A"/>
    <w:rPr>
      <w:i/>
      <w:iCs/>
    </w:rPr>
  </w:style>
  <w:style w:type="paragraph" w:styleId="ListParagraph">
    <w:name w:val="List Paragraph"/>
    <w:basedOn w:val="Normal"/>
    <w:uiPriority w:val="34"/>
    <w:qFormat/>
    <w:rsid w:val="00E5413A"/>
    <w:pPr>
      <w:ind w:left="720"/>
      <w:contextualSpacing/>
    </w:pPr>
  </w:style>
  <w:style w:type="character" w:styleId="IntenseEmphasis">
    <w:name w:val="Intense Emphasis"/>
    <w:basedOn w:val="DefaultParagraphFont"/>
    <w:uiPriority w:val="21"/>
    <w:qFormat/>
    <w:rsid w:val="00E5413A"/>
    <w:rPr>
      <w:b/>
      <w:bCs/>
      <w:i/>
      <w:iCs/>
    </w:rPr>
  </w:style>
  <w:style w:type="paragraph" w:styleId="IntenseQuote">
    <w:name w:val="Intense Quote"/>
    <w:basedOn w:val="Normal"/>
    <w:next w:val="Normal"/>
    <w:link w:val="IntenseQuoteChar"/>
    <w:uiPriority w:val="30"/>
    <w:qFormat/>
    <w:rsid w:val="00E5413A"/>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E5413A"/>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E5413A"/>
    <w:rPr>
      <w:b/>
      <w:bCs/>
      <w:smallCaps/>
      <w:u w:val="single"/>
    </w:rPr>
  </w:style>
  <w:style w:type="paragraph" w:styleId="Caption">
    <w:name w:val="caption"/>
    <w:basedOn w:val="Normal"/>
    <w:next w:val="Normal"/>
    <w:uiPriority w:val="35"/>
    <w:semiHidden/>
    <w:unhideWhenUsed/>
    <w:qFormat/>
    <w:rsid w:val="00E5413A"/>
    <w:pPr>
      <w:spacing w:line="240" w:lineRule="auto"/>
    </w:pPr>
    <w:rPr>
      <w:b/>
      <w:bCs/>
      <w:color w:val="404040" w:themeColor="text1" w:themeTint="BF"/>
      <w:sz w:val="20"/>
      <w:szCs w:val="20"/>
    </w:rPr>
  </w:style>
  <w:style w:type="character" w:styleId="Strong">
    <w:name w:val="Strong"/>
    <w:basedOn w:val="DefaultParagraphFont"/>
    <w:uiPriority w:val="22"/>
    <w:qFormat/>
    <w:rsid w:val="00E5413A"/>
    <w:rPr>
      <w:b/>
      <w:bCs/>
    </w:rPr>
  </w:style>
  <w:style w:type="character" w:styleId="Emphasis">
    <w:name w:val="Emphasis"/>
    <w:basedOn w:val="DefaultParagraphFont"/>
    <w:uiPriority w:val="20"/>
    <w:qFormat/>
    <w:rsid w:val="00E5413A"/>
    <w:rPr>
      <w:i/>
      <w:iCs/>
    </w:rPr>
  </w:style>
  <w:style w:type="paragraph" w:styleId="NoSpacing">
    <w:name w:val="No Spacing"/>
    <w:uiPriority w:val="1"/>
    <w:qFormat/>
    <w:rsid w:val="00E5413A"/>
    <w:pPr>
      <w:spacing w:after="0" w:line="240" w:lineRule="auto"/>
    </w:pPr>
  </w:style>
  <w:style w:type="character" w:styleId="SubtleEmphasis">
    <w:name w:val="Subtle Emphasis"/>
    <w:basedOn w:val="DefaultParagraphFont"/>
    <w:uiPriority w:val="19"/>
    <w:qFormat/>
    <w:rsid w:val="00E5413A"/>
    <w:rPr>
      <w:i/>
      <w:iCs/>
      <w:color w:val="595959" w:themeColor="text1" w:themeTint="A6"/>
    </w:rPr>
  </w:style>
  <w:style w:type="character" w:styleId="SubtleReference">
    <w:name w:val="Subtle Reference"/>
    <w:basedOn w:val="DefaultParagraphFont"/>
    <w:uiPriority w:val="31"/>
    <w:qFormat/>
    <w:rsid w:val="00E5413A"/>
    <w:rPr>
      <w:smallCaps/>
      <w:color w:val="404040" w:themeColor="text1" w:themeTint="BF"/>
    </w:rPr>
  </w:style>
  <w:style w:type="character" w:styleId="BookTitle">
    <w:name w:val="Book Title"/>
    <w:basedOn w:val="DefaultParagraphFont"/>
    <w:uiPriority w:val="33"/>
    <w:qFormat/>
    <w:rsid w:val="00E5413A"/>
    <w:rPr>
      <w:b/>
      <w:bCs/>
      <w:smallCaps/>
    </w:rPr>
  </w:style>
  <w:style w:type="paragraph" w:styleId="TOCHeading">
    <w:name w:val="TOC Heading"/>
    <w:basedOn w:val="Heading1"/>
    <w:next w:val="Normal"/>
    <w:uiPriority w:val="39"/>
    <w:unhideWhenUsed/>
    <w:qFormat/>
    <w:rsid w:val="00E5413A"/>
    <w:pPr>
      <w:outlineLvl w:val="9"/>
    </w:pPr>
  </w:style>
  <w:style w:type="paragraph" w:styleId="Header">
    <w:name w:val="header"/>
    <w:basedOn w:val="Normal"/>
    <w:link w:val="HeaderChar"/>
    <w:uiPriority w:val="99"/>
    <w:unhideWhenUsed/>
    <w:rsid w:val="00E55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98B"/>
  </w:style>
  <w:style w:type="paragraph" w:styleId="Footer">
    <w:name w:val="footer"/>
    <w:basedOn w:val="Normal"/>
    <w:link w:val="FooterChar"/>
    <w:uiPriority w:val="99"/>
    <w:unhideWhenUsed/>
    <w:rsid w:val="00E55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98B"/>
  </w:style>
  <w:style w:type="paragraph" w:styleId="TOC1">
    <w:name w:val="toc 1"/>
    <w:basedOn w:val="Normal"/>
    <w:next w:val="Normal"/>
    <w:autoRedefine/>
    <w:uiPriority w:val="39"/>
    <w:unhideWhenUsed/>
    <w:rsid w:val="00E5598B"/>
    <w:pPr>
      <w:spacing w:after="100"/>
    </w:pPr>
  </w:style>
  <w:style w:type="character" w:styleId="Hyperlink">
    <w:name w:val="Hyperlink"/>
    <w:basedOn w:val="DefaultParagraphFont"/>
    <w:uiPriority w:val="99"/>
    <w:unhideWhenUsed/>
    <w:rsid w:val="00E5598B"/>
    <w:rPr>
      <w:color w:val="6B9F25" w:themeColor="hyperlink"/>
      <w:u w:val="single"/>
    </w:rPr>
  </w:style>
  <w:style w:type="paragraph" w:styleId="TOC2">
    <w:name w:val="toc 2"/>
    <w:basedOn w:val="Normal"/>
    <w:next w:val="Normal"/>
    <w:autoRedefine/>
    <w:uiPriority w:val="39"/>
    <w:unhideWhenUsed/>
    <w:rsid w:val="00F75F9B"/>
    <w:pPr>
      <w:spacing w:after="100"/>
      <w:ind w:left="210"/>
    </w:pPr>
  </w:style>
  <w:style w:type="table" w:styleId="TableGrid">
    <w:name w:val="Table Grid"/>
    <w:basedOn w:val="TableNormal"/>
    <w:uiPriority w:val="39"/>
    <w:rsid w:val="003B4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2">
    <w:name w:val="Grid Table 6 Colorful Accent 2"/>
    <w:basedOn w:val="TableNormal"/>
    <w:uiPriority w:val="51"/>
    <w:rsid w:val="003B49A3"/>
    <w:pPr>
      <w:spacing w:after="0" w:line="240" w:lineRule="auto"/>
    </w:pPr>
    <w:rPr>
      <w:color w:val="668926" w:themeColor="accent2" w:themeShade="BF"/>
    </w:rPr>
    <w:tblPr>
      <w:tblStyleRowBandSize w:val="1"/>
      <w:tblStyleColBandSize w:val="1"/>
      <w:tblBorders>
        <w:top w:val="single" w:sz="4" w:space="0" w:color="BADB7D" w:themeColor="accent2" w:themeTint="99"/>
        <w:left w:val="single" w:sz="4" w:space="0" w:color="BADB7D" w:themeColor="accent2" w:themeTint="99"/>
        <w:bottom w:val="single" w:sz="4" w:space="0" w:color="BADB7D" w:themeColor="accent2" w:themeTint="99"/>
        <w:right w:val="single" w:sz="4" w:space="0" w:color="BADB7D" w:themeColor="accent2" w:themeTint="99"/>
        <w:insideH w:val="single" w:sz="4" w:space="0" w:color="BADB7D" w:themeColor="accent2" w:themeTint="99"/>
        <w:insideV w:val="single" w:sz="4" w:space="0" w:color="BADB7D" w:themeColor="accent2" w:themeTint="99"/>
      </w:tblBorders>
    </w:tblPr>
    <w:tblStylePr w:type="firstRow">
      <w:rPr>
        <w:b/>
        <w:bCs/>
      </w:rPr>
      <w:tblPr/>
      <w:tcPr>
        <w:tcBorders>
          <w:bottom w:val="single" w:sz="12" w:space="0" w:color="BADB7D" w:themeColor="accent2" w:themeTint="99"/>
        </w:tcBorders>
      </w:tcPr>
    </w:tblStylePr>
    <w:tblStylePr w:type="lastRow">
      <w:rPr>
        <w:b/>
        <w:bCs/>
      </w:rPr>
      <w:tblPr/>
      <w:tcPr>
        <w:tcBorders>
          <w:top w:val="double" w:sz="4" w:space="0" w:color="BADB7D" w:themeColor="accent2" w:themeTint="99"/>
        </w:tcBorders>
      </w:tc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table" w:styleId="GridTable5Dark-Accent3">
    <w:name w:val="Grid Table 5 Dark Accent 3"/>
    <w:basedOn w:val="TableNormal"/>
    <w:uiPriority w:val="50"/>
    <w:rsid w:val="00E95E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F5D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CF3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CF3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CF3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CF3A" w:themeFill="accent3"/>
      </w:tcPr>
    </w:tblStylePr>
    <w:tblStylePr w:type="band1Vert">
      <w:tblPr/>
      <w:tcPr>
        <w:shd w:val="clear" w:color="auto" w:fill="E5EBB0" w:themeFill="accent3" w:themeFillTint="66"/>
      </w:tcPr>
    </w:tblStylePr>
    <w:tblStylePr w:type="band1Horz">
      <w:tblPr/>
      <w:tcPr>
        <w:shd w:val="clear" w:color="auto" w:fill="E5EBB0" w:themeFill="accent3" w:themeFillTint="66"/>
      </w:tcPr>
    </w:tblStylePr>
  </w:style>
  <w:style w:type="character" w:styleId="UnresolvedMention">
    <w:name w:val="Unresolved Mention"/>
    <w:basedOn w:val="DefaultParagraphFont"/>
    <w:uiPriority w:val="99"/>
    <w:semiHidden/>
    <w:unhideWhenUsed/>
    <w:rsid w:val="00D26846"/>
    <w:rPr>
      <w:color w:val="605E5C"/>
      <w:shd w:val="clear" w:color="auto" w:fill="E1DFDD"/>
    </w:rPr>
  </w:style>
  <w:style w:type="table" w:styleId="GridTable4-Accent3">
    <w:name w:val="Grid Table 4 Accent 3"/>
    <w:basedOn w:val="TableNormal"/>
    <w:uiPriority w:val="49"/>
    <w:rsid w:val="00084A51"/>
    <w:pPr>
      <w:spacing w:after="0" w:line="240" w:lineRule="auto"/>
    </w:pPr>
    <w:tblPr>
      <w:tblStyleRowBandSize w:val="1"/>
      <w:tblStyleColBandSize w:val="1"/>
      <w:tblBorders>
        <w:top w:val="single" w:sz="4" w:space="0" w:color="D9E288" w:themeColor="accent3" w:themeTint="99"/>
        <w:left w:val="single" w:sz="4" w:space="0" w:color="D9E288" w:themeColor="accent3" w:themeTint="99"/>
        <w:bottom w:val="single" w:sz="4" w:space="0" w:color="D9E288" w:themeColor="accent3" w:themeTint="99"/>
        <w:right w:val="single" w:sz="4" w:space="0" w:color="D9E288" w:themeColor="accent3" w:themeTint="99"/>
        <w:insideH w:val="single" w:sz="4" w:space="0" w:color="D9E288" w:themeColor="accent3" w:themeTint="99"/>
        <w:insideV w:val="single" w:sz="4" w:space="0" w:color="D9E288" w:themeColor="accent3" w:themeTint="99"/>
      </w:tblBorders>
    </w:tblPr>
    <w:tblStylePr w:type="firstRow">
      <w:rPr>
        <w:b/>
        <w:bCs/>
        <w:color w:val="FFFFFF" w:themeColor="background1"/>
      </w:rPr>
      <w:tblPr/>
      <w:tcPr>
        <w:tcBorders>
          <w:top w:val="single" w:sz="4" w:space="0" w:color="C0CF3A" w:themeColor="accent3"/>
          <w:left w:val="single" w:sz="4" w:space="0" w:color="C0CF3A" w:themeColor="accent3"/>
          <w:bottom w:val="single" w:sz="4" w:space="0" w:color="C0CF3A" w:themeColor="accent3"/>
          <w:right w:val="single" w:sz="4" w:space="0" w:color="C0CF3A" w:themeColor="accent3"/>
          <w:insideH w:val="nil"/>
          <w:insideV w:val="nil"/>
        </w:tcBorders>
        <w:shd w:val="clear" w:color="auto" w:fill="C0CF3A" w:themeFill="accent3"/>
      </w:tcPr>
    </w:tblStylePr>
    <w:tblStylePr w:type="lastRow">
      <w:rPr>
        <w:b/>
        <w:bCs/>
      </w:rPr>
      <w:tblPr/>
      <w:tcPr>
        <w:tcBorders>
          <w:top w:val="double" w:sz="4" w:space="0" w:color="C0CF3A" w:themeColor="accent3"/>
        </w:tcBorders>
      </w:tcPr>
    </w:tblStylePr>
    <w:tblStylePr w:type="firstCol">
      <w:rPr>
        <w:b/>
        <w:bCs/>
      </w:rPr>
    </w:tblStylePr>
    <w:tblStylePr w:type="lastCol">
      <w:rPr>
        <w:b/>
        <w:bCs/>
      </w:rPr>
    </w:tblStylePr>
    <w:tblStylePr w:type="band1Vert">
      <w:tblPr/>
      <w:tcPr>
        <w:shd w:val="clear" w:color="auto" w:fill="F2F5D7" w:themeFill="accent3" w:themeFillTint="33"/>
      </w:tcPr>
    </w:tblStylePr>
    <w:tblStylePr w:type="band1Horz">
      <w:tblPr/>
      <w:tcPr>
        <w:shd w:val="clear" w:color="auto" w:fill="F2F5D7" w:themeFill="accent3" w:themeFillTint="33"/>
      </w:tcPr>
    </w:tblStylePr>
  </w:style>
  <w:style w:type="table" w:styleId="GridTable5Dark-Accent2">
    <w:name w:val="Grid Table 5 Dark Accent 2"/>
    <w:basedOn w:val="TableNormal"/>
    <w:uiPriority w:val="50"/>
    <w:rsid w:val="000D65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F3D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B83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B83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B83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B833" w:themeFill="accent2"/>
      </w:tcPr>
    </w:tblStylePr>
    <w:tblStylePr w:type="band1Vert">
      <w:tblPr/>
      <w:tcPr>
        <w:shd w:val="clear" w:color="auto" w:fill="D1E7A8" w:themeFill="accent2" w:themeFillTint="66"/>
      </w:tcPr>
    </w:tblStylePr>
    <w:tblStylePr w:type="band1Horz">
      <w:tblPr/>
      <w:tcPr>
        <w:shd w:val="clear" w:color="auto" w:fill="D1E7A8"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bank.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p.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E490F-89D3-41B2-AB90-6A1DCC7D3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7421</Words>
  <Characters>48763</Characters>
  <Application>Microsoft Office Word</Application>
  <DocSecurity>0</DocSecurity>
  <Lines>1477</Lines>
  <Paragraphs>676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288</cp:revision>
  <dcterms:created xsi:type="dcterms:W3CDTF">2025-10-19T14:29:00Z</dcterms:created>
  <dcterms:modified xsi:type="dcterms:W3CDTF">2025-11-21T18:17:00Z</dcterms:modified>
</cp:coreProperties>
</file>