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D48F8" w14:textId="7D4762E9" w:rsidR="00112473" w:rsidRDefault="00112473" w:rsidP="543597F1">
      <w:pPr>
        <w:spacing w:line="360" w:lineRule="auto"/>
        <w:jc w:val="center"/>
        <w:rPr>
          <w:rFonts w:ascii="Arial" w:eastAsia="Arial" w:hAnsi="Arial" w:cs="Arial"/>
          <w:b/>
          <w:bCs/>
          <w:sz w:val="22"/>
          <w:szCs w:val="22"/>
          <w:u w:val="single"/>
        </w:rPr>
      </w:pPr>
    </w:p>
    <w:p w14:paraId="43FB371E" w14:textId="0158183D" w:rsidR="00112473" w:rsidRDefault="00112473" w:rsidP="3ACCE6D1">
      <w:pPr>
        <w:spacing w:line="360" w:lineRule="auto"/>
      </w:pPr>
    </w:p>
    <w:p w14:paraId="3D0163F1" w14:textId="77777777" w:rsidR="00B30DA9" w:rsidRDefault="00B30DA9" w:rsidP="3ACCE6D1">
      <w:pPr>
        <w:spacing w:line="360" w:lineRule="auto"/>
      </w:pPr>
    </w:p>
    <w:p w14:paraId="090B0C06" w14:textId="77777777" w:rsidR="00B30DA9" w:rsidRDefault="00B30DA9" w:rsidP="3ACCE6D1">
      <w:pPr>
        <w:spacing w:line="360" w:lineRule="auto"/>
      </w:pPr>
    </w:p>
    <w:p w14:paraId="274F96FC" w14:textId="77777777" w:rsidR="00B30DA9" w:rsidRDefault="00B30DA9" w:rsidP="3ACCE6D1">
      <w:pPr>
        <w:spacing w:line="360" w:lineRule="auto"/>
      </w:pPr>
    </w:p>
    <w:p w14:paraId="1B90813B" w14:textId="1950B904" w:rsidR="00112473" w:rsidRDefault="00112473" w:rsidP="543597F1">
      <w:pPr>
        <w:spacing w:line="360" w:lineRule="auto"/>
        <w:jc w:val="center"/>
        <w:rPr>
          <w:rFonts w:ascii="Arial" w:eastAsia="Arial" w:hAnsi="Arial" w:cs="Arial"/>
          <w:b/>
          <w:bCs/>
          <w:sz w:val="22"/>
          <w:szCs w:val="22"/>
          <w:u w:val="single"/>
        </w:rPr>
      </w:pPr>
    </w:p>
    <w:p w14:paraId="1C216CA3" w14:textId="17FBC027"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Name:</w:t>
      </w:r>
      <w:r w:rsidRPr="543597F1">
        <w:rPr>
          <w:rFonts w:ascii="Arial" w:eastAsia="Arial" w:hAnsi="Arial" w:cs="Arial"/>
          <w:sz w:val="22"/>
          <w:szCs w:val="22"/>
        </w:rPr>
        <w:t xml:space="preserve"> Ansa Nusrat Ashfaq</w:t>
      </w:r>
    </w:p>
    <w:p w14:paraId="4073C3F8" w14:textId="16AD9532"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Student Number:</w:t>
      </w:r>
      <w:r w:rsidRPr="543597F1">
        <w:rPr>
          <w:rFonts w:ascii="Arial" w:eastAsia="Arial" w:hAnsi="Arial" w:cs="Arial"/>
          <w:sz w:val="22"/>
          <w:szCs w:val="22"/>
        </w:rPr>
        <w:t xml:space="preserve"> 2129074</w:t>
      </w:r>
    </w:p>
    <w:p w14:paraId="254FC113" w14:textId="2673C394"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Module</w:t>
      </w:r>
      <w:proofErr w:type="gramStart"/>
      <w:r w:rsidRPr="543597F1">
        <w:rPr>
          <w:rFonts w:ascii="Arial" w:eastAsia="Arial" w:hAnsi="Arial" w:cs="Arial"/>
          <w:b/>
          <w:bCs/>
          <w:sz w:val="22"/>
          <w:szCs w:val="22"/>
          <w:u w:val="single"/>
        </w:rPr>
        <w:t xml:space="preserve">: </w:t>
      </w:r>
      <w:r w:rsidR="3279E492" w:rsidRPr="543597F1">
        <w:rPr>
          <w:rFonts w:ascii="Arial" w:eastAsia="Arial" w:hAnsi="Arial" w:cs="Arial"/>
          <w:sz w:val="22"/>
          <w:szCs w:val="22"/>
        </w:rPr>
        <w:t xml:space="preserve"> Introduction</w:t>
      </w:r>
      <w:proofErr w:type="gramEnd"/>
      <w:r w:rsidR="3279E492" w:rsidRPr="543597F1">
        <w:rPr>
          <w:rFonts w:ascii="Arial" w:eastAsia="Arial" w:hAnsi="Arial" w:cs="Arial"/>
          <w:sz w:val="22"/>
          <w:szCs w:val="22"/>
        </w:rPr>
        <w:t xml:space="preserve"> to Physiology</w:t>
      </w:r>
    </w:p>
    <w:p w14:paraId="4BFB6284" w14:textId="046CC630"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Assignment title:</w:t>
      </w:r>
      <w:r w:rsidR="049A1416" w:rsidRPr="543597F1">
        <w:rPr>
          <w:rFonts w:ascii="Arial" w:eastAsia="Arial" w:hAnsi="Arial" w:cs="Arial"/>
          <w:sz w:val="22"/>
          <w:szCs w:val="22"/>
        </w:rPr>
        <w:t xml:space="preserve"> Component 1: Written Assignment (Case Study Report)</w:t>
      </w:r>
    </w:p>
    <w:p w14:paraId="538C3524" w14:textId="5AD158A7"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Module Code:</w:t>
      </w:r>
      <w:r w:rsidR="444612A9" w:rsidRPr="543597F1">
        <w:rPr>
          <w:rFonts w:ascii="Arial" w:eastAsia="Arial" w:hAnsi="Arial" w:cs="Arial"/>
          <w:sz w:val="22"/>
          <w:szCs w:val="22"/>
        </w:rPr>
        <w:t xml:space="preserve"> BMHP5023</w:t>
      </w:r>
    </w:p>
    <w:p w14:paraId="0A86D2D4" w14:textId="249043D4" w:rsidR="00112473" w:rsidRPr="0047343F" w:rsidRDefault="007A1295" w:rsidP="543597F1">
      <w:pPr>
        <w:spacing w:line="360" w:lineRule="auto"/>
        <w:jc w:val="center"/>
        <w:rPr>
          <w:rFonts w:ascii="Arial" w:eastAsia="Arial" w:hAnsi="Arial" w:cs="Arial"/>
          <w:sz w:val="22"/>
          <w:szCs w:val="22"/>
        </w:rPr>
      </w:pPr>
      <w:r w:rsidRPr="0047343F">
        <w:rPr>
          <w:rFonts w:ascii="Arial" w:eastAsia="Arial" w:hAnsi="Arial" w:cs="Arial"/>
          <w:b/>
          <w:bCs/>
          <w:sz w:val="22"/>
          <w:szCs w:val="22"/>
          <w:u w:val="single"/>
        </w:rPr>
        <w:t>Tutor:</w:t>
      </w:r>
      <w:r w:rsidRPr="0047343F">
        <w:rPr>
          <w:rFonts w:ascii="Arial" w:eastAsia="Arial" w:hAnsi="Arial" w:cs="Arial"/>
          <w:b/>
          <w:bCs/>
          <w:sz w:val="22"/>
          <w:szCs w:val="22"/>
        </w:rPr>
        <w:t xml:space="preserve"> </w:t>
      </w:r>
      <w:r w:rsidRPr="0047343F">
        <w:rPr>
          <w:rFonts w:ascii="Arial" w:eastAsia="Arial" w:hAnsi="Arial" w:cs="Arial"/>
          <w:sz w:val="22"/>
          <w:szCs w:val="22"/>
        </w:rPr>
        <w:t xml:space="preserve">Robert </w:t>
      </w:r>
      <w:proofErr w:type="spellStart"/>
      <w:r w:rsidRPr="0047343F">
        <w:rPr>
          <w:rFonts w:ascii="Arial" w:eastAsia="Arial" w:hAnsi="Arial" w:cs="Arial"/>
          <w:color w:val="000000"/>
          <w:sz w:val="22"/>
          <w:szCs w:val="22"/>
          <w:lang w:val="en-GB" w:eastAsia="en-GB"/>
        </w:rPr>
        <w:t>Nartowski</w:t>
      </w:r>
      <w:proofErr w:type="spellEnd"/>
    </w:p>
    <w:p w14:paraId="6CD4E12B" w14:textId="4B4DD598" w:rsidR="00112473" w:rsidRDefault="00112473" w:rsidP="543597F1">
      <w:pPr>
        <w:spacing w:line="360" w:lineRule="auto"/>
        <w:jc w:val="center"/>
        <w:rPr>
          <w:rFonts w:ascii="Arial" w:eastAsia="Arial" w:hAnsi="Arial" w:cs="Arial"/>
          <w:b/>
          <w:bCs/>
          <w:sz w:val="22"/>
          <w:szCs w:val="22"/>
          <w:u w:val="single"/>
        </w:rPr>
      </w:pPr>
    </w:p>
    <w:p w14:paraId="03E69530" w14:textId="4A7A4AB2" w:rsidR="00112473" w:rsidRDefault="00112473" w:rsidP="543597F1">
      <w:pPr>
        <w:spacing w:line="360" w:lineRule="auto"/>
        <w:jc w:val="center"/>
        <w:rPr>
          <w:rFonts w:ascii="Arial" w:eastAsia="Arial" w:hAnsi="Arial" w:cs="Arial"/>
          <w:b/>
          <w:bCs/>
          <w:sz w:val="22"/>
          <w:szCs w:val="22"/>
          <w:u w:val="single"/>
        </w:rPr>
      </w:pPr>
    </w:p>
    <w:p w14:paraId="29B3965C" w14:textId="04A39845" w:rsidR="00112473" w:rsidRDefault="00112473" w:rsidP="543597F1">
      <w:pPr>
        <w:spacing w:line="360" w:lineRule="auto"/>
        <w:jc w:val="center"/>
        <w:rPr>
          <w:rFonts w:ascii="Arial" w:eastAsia="Arial" w:hAnsi="Arial" w:cs="Arial"/>
          <w:b/>
          <w:bCs/>
          <w:sz w:val="22"/>
          <w:szCs w:val="22"/>
          <w:u w:val="single"/>
        </w:rPr>
      </w:pPr>
    </w:p>
    <w:p w14:paraId="3EAEDB9D" w14:textId="0E72B49F" w:rsidR="00112473" w:rsidRDefault="00112473" w:rsidP="543597F1">
      <w:pPr>
        <w:spacing w:line="360" w:lineRule="auto"/>
        <w:jc w:val="center"/>
        <w:rPr>
          <w:rFonts w:ascii="Arial" w:eastAsia="Arial" w:hAnsi="Arial" w:cs="Arial"/>
          <w:b/>
          <w:bCs/>
          <w:sz w:val="22"/>
          <w:szCs w:val="22"/>
          <w:u w:val="single"/>
        </w:rPr>
      </w:pPr>
    </w:p>
    <w:p w14:paraId="6291CB90" w14:textId="1B45F9FA" w:rsidR="00112473" w:rsidRDefault="00112473" w:rsidP="543597F1">
      <w:pPr>
        <w:spacing w:line="360" w:lineRule="auto"/>
        <w:jc w:val="center"/>
        <w:rPr>
          <w:rFonts w:ascii="Arial" w:eastAsia="Arial" w:hAnsi="Arial" w:cs="Arial"/>
          <w:b/>
          <w:bCs/>
          <w:sz w:val="22"/>
          <w:szCs w:val="22"/>
          <w:u w:val="single"/>
        </w:rPr>
      </w:pPr>
    </w:p>
    <w:p w14:paraId="2599F81C" w14:textId="4A318684" w:rsidR="3ACCE6D1" w:rsidRDefault="3ACCE6D1" w:rsidP="3ACCE6D1">
      <w:pPr>
        <w:spacing w:line="360" w:lineRule="auto"/>
        <w:jc w:val="center"/>
        <w:rPr>
          <w:rFonts w:ascii="Arial" w:eastAsia="Arial" w:hAnsi="Arial" w:cs="Arial"/>
          <w:b/>
          <w:bCs/>
          <w:sz w:val="22"/>
          <w:szCs w:val="22"/>
          <w:u w:val="single"/>
        </w:rPr>
      </w:pPr>
    </w:p>
    <w:p w14:paraId="22B50BD0" w14:textId="05F53F09" w:rsidR="3ACCE6D1" w:rsidRDefault="3ACCE6D1" w:rsidP="3ACCE6D1">
      <w:pPr>
        <w:spacing w:line="360" w:lineRule="auto"/>
        <w:jc w:val="center"/>
        <w:rPr>
          <w:rFonts w:ascii="Arial" w:eastAsia="Arial" w:hAnsi="Arial" w:cs="Arial"/>
          <w:b/>
          <w:bCs/>
          <w:sz w:val="22"/>
          <w:szCs w:val="22"/>
          <w:u w:val="single"/>
        </w:rPr>
      </w:pPr>
    </w:p>
    <w:p w14:paraId="4C859A93" w14:textId="076E74CD" w:rsidR="3ACCE6D1" w:rsidRDefault="3ACCE6D1" w:rsidP="3ACCE6D1">
      <w:pPr>
        <w:spacing w:line="360" w:lineRule="auto"/>
        <w:jc w:val="center"/>
        <w:rPr>
          <w:rFonts w:ascii="Arial" w:eastAsia="Arial" w:hAnsi="Arial" w:cs="Arial"/>
          <w:b/>
          <w:bCs/>
          <w:sz w:val="22"/>
          <w:szCs w:val="22"/>
          <w:u w:val="single"/>
        </w:rPr>
      </w:pPr>
    </w:p>
    <w:p w14:paraId="1A9BFE0F" w14:textId="09883D48" w:rsidR="3ACCE6D1" w:rsidRDefault="3ACCE6D1" w:rsidP="3ACCE6D1">
      <w:pPr>
        <w:spacing w:line="360" w:lineRule="auto"/>
        <w:jc w:val="center"/>
        <w:rPr>
          <w:rFonts w:ascii="Arial" w:eastAsia="Arial" w:hAnsi="Arial" w:cs="Arial"/>
          <w:b/>
          <w:bCs/>
          <w:sz w:val="22"/>
          <w:szCs w:val="22"/>
          <w:u w:val="single"/>
        </w:rPr>
      </w:pPr>
    </w:p>
    <w:p w14:paraId="210CD965" w14:textId="7763B5FB" w:rsidR="3ACCE6D1" w:rsidRDefault="3ACCE6D1" w:rsidP="3ACCE6D1">
      <w:pPr>
        <w:spacing w:line="360" w:lineRule="auto"/>
        <w:jc w:val="center"/>
        <w:rPr>
          <w:rFonts w:ascii="Arial" w:eastAsia="Arial" w:hAnsi="Arial" w:cs="Arial"/>
          <w:b/>
          <w:bCs/>
          <w:sz w:val="22"/>
          <w:szCs w:val="22"/>
          <w:u w:val="single"/>
        </w:rPr>
      </w:pPr>
    </w:p>
    <w:p w14:paraId="458335BA" w14:textId="67605FB7" w:rsidR="00112473" w:rsidRDefault="00112473" w:rsidP="00B30DA9">
      <w:pPr>
        <w:spacing w:line="360" w:lineRule="auto"/>
        <w:rPr>
          <w:rFonts w:ascii="Arial" w:eastAsia="Arial" w:hAnsi="Arial" w:cs="Arial"/>
          <w:b/>
          <w:bCs/>
          <w:sz w:val="22"/>
          <w:szCs w:val="22"/>
          <w:u w:val="single"/>
        </w:rPr>
      </w:pPr>
    </w:p>
    <w:p w14:paraId="3089A556" w14:textId="77777777" w:rsidR="00B30DA9" w:rsidRDefault="00B30DA9" w:rsidP="00B30DA9">
      <w:pPr>
        <w:spacing w:line="360" w:lineRule="auto"/>
        <w:rPr>
          <w:rFonts w:ascii="Arial" w:eastAsia="Arial" w:hAnsi="Arial" w:cs="Arial"/>
          <w:b/>
          <w:bCs/>
          <w:sz w:val="22"/>
          <w:szCs w:val="22"/>
          <w:u w:val="single"/>
        </w:rPr>
      </w:pPr>
    </w:p>
    <w:p w14:paraId="3754A7AA" w14:textId="4CFEF2D6" w:rsidR="0004424F" w:rsidRDefault="001405F1" w:rsidP="543597F1">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lastRenderedPageBreak/>
        <w:t>Contents Page.</w:t>
      </w:r>
    </w:p>
    <w:p w14:paraId="2F581BA8" w14:textId="77777777" w:rsidR="00EA254D" w:rsidRDefault="00EA254D" w:rsidP="543597F1">
      <w:pPr>
        <w:spacing w:line="360" w:lineRule="auto"/>
        <w:jc w:val="center"/>
        <w:rPr>
          <w:rFonts w:ascii="Arial" w:eastAsia="Arial" w:hAnsi="Arial" w:cs="Arial"/>
          <w:b/>
          <w:bCs/>
          <w:sz w:val="22"/>
          <w:szCs w:val="22"/>
          <w:u w:val="single"/>
        </w:rPr>
      </w:pPr>
    </w:p>
    <w:p w14:paraId="60660436" w14:textId="77777777" w:rsidR="001405F1" w:rsidRDefault="001405F1" w:rsidP="543597F1">
      <w:pPr>
        <w:spacing w:line="360" w:lineRule="auto"/>
        <w:jc w:val="center"/>
        <w:rPr>
          <w:rFonts w:ascii="Arial" w:eastAsia="Arial" w:hAnsi="Arial" w:cs="Arial"/>
          <w:b/>
          <w:bCs/>
          <w:sz w:val="22"/>
          <w:szCs w:val="22"/>
          <w:u w:val="single"/>
        </w:rPr>
      </w:pPr>
    </w:p>
    <w:p w14:paraId="0F66D34F" w14:textId="78842C32" w:rsidR="001405F1" w:rsidRPr="00040871" w:rsidRDefault="00BB055D"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I</w:t>
      </w:r>
      <w:r w:rsidR="005400FD" w:rsidRPr="00040871">
        <w:rPr>
          <w:rFonts w:ascii="Arial" w:eastAsia="Arial" w:hAnsi="Arial" w:cs="Arial"/>
          <w:sz w:val="22"/>
          <w:szCs w:val="22"/>
          <w:u w:val="single"/>
        </w:rPr>
        <w:t>ntroduction</w:t>
      </w:r>
      <w:r w:rsidRPr="00040871">
        <w:rPr>
          <w:rFonts w:ascii="Arial" w:eastAsia="Arial" w:hAnsi="Arial" w:cs="Arial"/>
          <w:sz w:val="22"/>
          <w:szCs w:val="22"/>
          <w:u w:val="single"/>
        </w:rPr>
        <w:t xml:space="preserve"> </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C7252F">
        <w:rPr>
          <w:rFonts w:ascii="Arial" w:eastAsia="Arial" w:hAnsi="Arial" w:cs="Arial"/>
          <w:sz w:val="22"/>
          <w:szCs w:val="22"/>
          <w:u w:val="single"/>
        </w:rPr>
        <w:t>Page 3</w:t>
      </w:r>
    </w:p>
    <w:p w14:paraId="0C52F0D1" w14:textId="7B7F6DFC" w:rsidR="00BB055D" w:rsidRPr="00040871" w:rsidRDefault="00F93CE8"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How blood sugar levels are maintained</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C7252F">
        <w:rPr>
          <w:rFonts w:ascii="Arial" w:eastAsia="Arial" w:hAnsi="Arial" w:cs="Arial"/>
          <w:sz w:val="22"/>
          <w:szCs w:val="22"/>
          <w:u w:val="single"/>
        </w:rPr>
        <w:t>Page 4</w:t>
      </w:r>
    </w:p>
    <w:p w14:paraId="34415265" w14:textId="3BB5DD46" w:rsidR="00F93CE8" w:rsidRPr="00040871" w:rsidRDefault="00D163BF"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How oxygen and glucose are used</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C7252F">
        <w:rPr>
          <w:rFonts w:ascii="Arial" w:eastAsia="Arial" w:hAnsi="Arial" w:cs="Arial"/>
          <w:sz w:val="22"/>
          <w:szCs w:val="22"/>
          <w:u w:val="single"/>
        </w:rPr>
        <w:t>Page 5</w:t>
      </w:r>
    </w:p>
    <w:p w14:paraId="7348F2FB" w14:textId="2AEEB02A" w:rsidR="00D163BF" w:rsidRPr="00040871" w:rsidRDefault="00D163BF"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Recording and tracking</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1F5519">
        <w:rPr>
          <w:rFonts w:ascii="Arial" w:eastAsia="Arial" w:hAnsi="Arial" w:cs="Arial"/>
          <w:sz w:val="22"/>
          <w:szCs w:val="22"/>
          <w:u w:val="single"/>
        </w:rPr>
        <w:t>Page 7</w:t>
      </w:r>
    </w:p>
    <w:p w14:paraId="5467ED50" w14:textId="52303EE8" w:rsidR="00EF00A8" w:rsidRPr="00040871" w:rsidRDefault="00EF00A8"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Evidence based recommendations</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1F5519">
        <w:rPr>
          <w:rFonts w:ascii="Arial" w:eastAsia="Arial" w:hAnsi="Arial" w:cs="Arial"/>
          <w:sz w:val="22"/>
          <w:szCs w:val="22"/>
          <w:u w:val="single"/>
        </w:rPr>
        <w:t>Page 8</w:t>
      </w:r>
    </w:p>
    <w:p w14:paraId="7F42581C" w14:textId="62C27C31" w:rsidR="00EF00A8" w:rsidRPr="00040871" w:rsidRDefault="00EA254D"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C</w:t>
      </w:r>
      <w:r w:rsidR="00EF00A8" w:rsidRPr="00040871">
        <w:rPr>
          <w:rFonts w:ascii="Arial" w:eastAsia="Arial" w:hAnsi="Arial" w:cs="Arial"/>
          <w:sz w:val="22"/>
          <w:szCs w:val="22"/>
          <w:u w:val="single"/>
        </w:rPr>
        <w:t>onclusion</w:t>
      </w:r>
      <w:r w:rsidRPr="00040871">
        <w:rPr>
          <w:rFonts w:ascii="Arial" w:eastAsia="Arial" w:hAnsi="Arial" w:cs="Arial"/>
          <w:sz w:val="22"/>
          <w:szCs w:val="22"/>
          <w:u w:val="single"/>
        </w:rPr>
        <w:t xml:space="preserve"> </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1F5519">
        <w:rPr>
          <w:rFonts w:ascii="Arial" w:eastAsia="Arial" w:hAnsi="Arial" w:cs="Arial"/>
          <w:sz w:val="22"/>
          <w:szCs w:val="22"/>
          <w:u w:val="single"/>
        </w:rPr>
        <w:t>Page 11</w:t>
      </w:r>
    </w:p>
    <w:p w14:paraId="18B68777" w14:textId="3FB2CEC2" w:rsidR="00EA254D" w:rsidRPr="00040871" w:rsidRDefault="00EA254D"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 xml:space="preserve">References </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057351">
        <w:rPr>
          <w:rFonts w:ascii="Arial" w:eastAsia="Arial" w:hAnsi="Arial" w:cs="Arial"/>
          <w:sz w:val="22"/>
          <w:szCs w:val="22"/>
          <w:u w:val="single"/>
        </w:rPr>
        <w:t>Page 12</w:t>
      </w:r>
    </w:p>
    <w:p w14:paraId="0954F67C" w14:textId="77777777" w:rsidR="001405F1" w:rsidRPr="00040871" w:rsidRDefault="001405F1" w:rsidP="007916CA">
      <w:pPr>
        <w:spacing w:line="360" w:lineRule="auto"/>
        <w:rPr>
          <w:rFonts w:ascii="Arial" w:eastAsia="Arial" w:hAnsi="Arial" w:cs="Arial"/>
          <w:sz w:val="22"/>
          <w:szCs w:val="22"/>
          <w:u w:val="single"/>
        </w:rPr>
      </w:pPr>
    </w:p>
    <w:p w14:paraId="315EB5E8" w14:textId="77777777" w:rsidR="001405F1" w:rsidRPr="00040871" w:rsidRDefault="001405F1" w:rsidP="007916CA">
      <w:pPr>
        <w:spacing w:line="360" w:lineRule="auto"/>
        <w:rPr>
          <w:rFonts w:ascii="Arial" w:eastAsia="Arial" w:hAnsi="Arial" w:cs="Arial"/>
          <w:sz w:val="22"/>
          <w:szCs w:val="22"/>
          <w:u w:val="single"/>
        </w:rPr>
      </w:pPr>
    </w:p>
    <w:p w14:paraId="42A769C9" w14:textId="77777777" w:rsidR="001405F1" w:rsidRPr="00040871" w:rsidRDefault="001405F1" w:rsidP="007916CA">
      <w:pPr>
        <w:spacing w:line="360" w:lineRule="auto"/>
        <w:rPr>
          <w:rFonts w:ascii="Arial" w:eastAsia="Arial" w:hAnsi="Arial" w:cs="Arial"/>
          <w:sz w:val="22"/>
          <w:szCs w:val="22"/>
          <w:u w:val="single"/>
        </w:rPr>
      </w:pPr>
    </w:p>
    <w:p w14:paraId="1E09642F" w14:textId="77777777" w:rsidR="001405F1" w:rsidRDefault="001405F1" w:rsidP="543597F1">
      <w:pPr>
        <w:spacing w:line="360" w:lineRule="auto"/>
        <w:jc w:val="center"/>
        <w:rPr>
          <w:rFonts w:ascii="Arial" w:eastAsia="Arial" w:hAnsi="Arial" w:cs="Arial"/>
          <w:b/>
          <w:bCs/>
          <w:sz w:val="22"/>
          <w:szCs w:val="22"/>
          <w:u w:val="single"/>
        </w:rPr>
      </w:pPr>
    </w:p>
    <w:p w14:paraId="03251553" w14:textId="77777777" w:rsidR="001405F1" w:rsidRDefault="001405F1" w:rsidP="543597F1">
      <w:pPr>
        <w:spacing w:line="360" w:lineRule="auto"/>
        <w:jc w:val="center"/>
        <w:rPr>
          <w:rFonts w:ascii="Arial" w:eastAsia="Arial" w:hAnsi="Arial" w:cs="Arial"/>
          <w:b/>
          <w:bCs/>
          <w:sz w:val="22"/>
          <w:szCs w:val="22"/>
          <w:u w:val="single"/>
        </w:rPr>
      </w:pPr>
    </w:p>
    <w:p w14:paraId="32C39E67" w14:textId="77777777" w:rsidR="001405F1" w:rsidRDefault="001405F1" w:rsidP="543597F1">
      <w:pPr>
        <w:spacing w:line="360" w:lineRule="auto"/>
        <w:jc w:val="center"/>
        <w:rPr>
          <w:rFonts w:ascii="Arial" w:eastAsia="Arial" w:hAnsi="Arial" w:cs="Arial"/>
          <w:b/>
          <w:bCs/>
          <w:sz w:val="22"/>
          <w:szCs w:val="22"/>
          <w:u w:val="single"/>
        </w:rPr>
      </w:pPr>
    </w:p>
    <w:p w14:paraId="51421F35" w14:textId="77777777" w:rsidR="001405F1" w:rsidRDefault="001405F1" w:rsidP="543597F1">
      <w:pPr>
        <w:spacing w:line="360" w:lineRule="auto"/>
        <w:jc w:val="center"/>
        <w:rPr>
          <w:rFonts w:ascii="Arial" w:eastAsia="Arial" w:hAnsi="Arial" w:cs="Arial"/>
          <w:b/>
          <w:bCs/>
          <w:sz w:val="22"/>
          <w:szCs w:val="22"/>
          <w:u w:val="single"/>
        </w:rPr>
      </w:pPr>
    </w:p>
    <w:p w14:paraId="476516B1" w14:textId="77777777" w:rsidR="001405F1" w:rsidRDefault="001405F1" w:rsidP="543597F1">
      <w:pPr>
        <w:spacing w:line="360" w:lineRule="auto"/>
        <w:jc w:val="center"/>
        <w:rPr>
          <w:rFonts w:ascii="Arial" w:eastAsia="Arial" w:hAnsi="Arial" w:cs="Arial"/>
          <w:b/>
          <w:bCs/>
          <w:sz w:val="22"/>
          <w:szCs w:val="22"/>
          <w:u w:val="single"/>
        </w:rPr>
      </w:pPr>
    </w:p>
    <w:p w14:paraId="69DAA125" w14:textId="77777777" w:rsidR="001405F1" w:rsidRDefault="001405F1" w:rsidP="543597F1">
      <w:pPr>
        <w:spacing w:line="360" w:lineRule="auto"/>
        <w:jc w:val="center"/>
        <w:rPr>
          <w:rFonts w:ascii="Arial" w:eastAsia="Arial" w:hAnsi="Arial" w:cs="Arial"/>
          <w:b/>
          <w:bCs/>
          <w:sz w:val="22"/>
          <w:szCs w:val="22"/>
          <w:u w:val="single"/>
        </w:rPr>
      </w:pPr>
    </w:p>
    <w:p w14:paraId="53F88B69" w14:textId="77777777" w:rsidR="001405F1" w:rsidRDefault="001405F1" w:rsidP="543597F1">
      <w:pPr>
        <w:spacing w:line="360" w:lineRule="auto"/>
        <w:jc w:val="center"/>
        <w:rPr>
          <w:rFonts w:ascii="Arial" w:eastAsia="Arial" w:hAnsi="Arial" w:cs="Arial"/>
          <w:b/>
          <w:bCs/>
          <w:sz w:val="22"/>
          <w:szCs w:val="22"/>
          <w:u w:val="single"/>
        </w:rPr>
      </w:pPr>
    </w:p>
    <w:p w14:paraId="530CA983" w14:textId="77777777" w:rsidR="001405F1" w:rsidRDefault="001405F1" w:rsidP="543597F1">
      <w:pPr>
        <w:spacing w:line="360" w:lineRule="auto"/>
        <w:jc w:val="center"/>
        <w:rPr>
          <w:rFonts w:ascii="Arial" w:eastAsia="Arial" w:hAnsi="Arial" w:cs="Arial"/>
          <w:b/>
          <w:bCs/>
          <w:sz w:val="22"/>
          <w:szCs w:val="22"/>
          <w:u w:val="single"/>
        </w:rPr>
      </w:pPr>
    </w:p>
    <w:p w14:paraId="6FE4166F" w14:textId="77777777" w:rsidR="001405F1" w:rsidRDefault="001405F1" w:rsidP="543597F1">
      <w:pPr>
        <w:spacing w:line="360" w:lineRule="auto"/>
        <w:jc w:val="center"/>
        <w:rPr>
          <w:rFonts w:ascii="Arial" w:eastAsia="Arial" w:hAnsi="Arial" w:cs="Arial"/>
          <w:b/>
          <w:bCs/>
          <w:sz w:val="22"/>
          <w:szCs w:val="22"/>
          <w:u w:val="single"/>
        </w:rPr>
      </w:pPr>
    </w:p>
    <w:p w14:paraId="5F7EDC13" w14:textId="77777777" w:rsidR="001405F1" w:rsidRDefault="001405F1" w:rsidP="00E7179D">
      <w:pPr>
        <w:spacing w:line="360" w:lineRule="auto"/>
        <w:rPr>
          <w:rFonts w:ascii="Arial" w:eastAsia="Arial" w:hAnsi="Arial" w:cs="Arial"/>
          <w:b/>
          <w:bCs/>
          <w:sz w:val="22"/>
          <w:szCs w:val="22"/>
          <w:u w:val="single"/>
        </w:rPr>
      </w:pPr>
    </w:p>
    <w:p w14:paraId="1DD3913A" w14:textId="77777777" w:rsidR="00E7179D" w:rsidRDefault="00E7179D" w:rsidP="00E7179D">
      <w:pPr>
        <w:spacing w:line="360" w:lineRule="auto"/>
        <w:rPr>
          <w:rFonts w:ascii="Arial" w:eastAsia="Arial" w:hAnsi="Arial" w:cs="Arial"/>
          <w:b/>
          <w:bCs/>
          <w:sz w:val="22"/>
          <w:szCs w:val="22"/>
          <w:u w:val="single"/>
        </w:rPr>
      </w:pPr>
    </w:p>
    <w:p w14:paraId="4AA8B9C0" w14:textId="54571290" w:rsidR="00112473" w:rsidRDefault="6EA45F13" w:rsidP="543597F1">
      <w:pPr>
        <w:spacing w:line="360" w:lineRule="auto"/>
        <w:jc w:val="center"/>
        <w:rPr>
          <w:rFonts w:ascii="Arial" w:eastAsia="Arial" w:hAnsi="Arial" w:cs="Arial"/>
          <w:b/>
          <w:bCs/>
          <w:sz w:val="22"/>
          <w:szCs w:val="22"/>
          <w:u w:val="single"/>
        </w:rPr>
      </w:pPr>
      <w:r w:rsidRPr="543597F1">
        <w:rPr>
          <w:rFonts w:ascii="Arial" w:eastAsia="Arial" w:hAnsi="Arial" w:cs="Arial"/>
          <w:b/>
          <w:bCs/>
          <w:sz w:val="22"/>
          <w:szCs w:val="22"/>
          <w:u w:val="single"/>
        </w:rPr>
        <w:lastRenderedPageBreak/>
        <w:t>Diabetes: Blood Glucose Regulation, Cellular Metabolism and Lifestyle Management</w:t>
      </w:r>
    </w:p>
    <w:p w14:paraId="15BC64EE" w14:textId="5FA900DF" w:rsidR="00112473" w:rsidRDefault="00112473" w:rsidP="543597F1">
      <w:pPr>
        <w:spacing w:line="360" w:lineRule="auto"/>
        <w:rPr>
          <w:rFonts w:ascii="Arial" w:eastAsia="Arial" w:hAnsi="Arial" w:cs="Arial"/>
          <w:b/>
          <w:bCs/>
          <w:sz w:val="22"/>
          <w:szCs w:val="22"/>
          <w:u w:val="single"/>
        </w:rPr>
      </w:pPr>
    </w:p>
    <w:p w14:paraId="53854743" w14:textId="79C4412A" w:rsidR="00112473" w:rsidRDefault="6EA45F13" w:rsidP="543597F1">
      <w:pPr>
        <w:spacing w:line="360" w:lineRule="auto"/>
        <w:rPr>
          <w:rFonts w:ascii="Arial" w:eastAsia="Arial" w:hAnsi="Arial" w:cs="Arial"/>
          <w:b/>
          <w:bCs/>
          <w:sz w:val="22"/>
          <w:szCs w:val="22"/>
        </w:rPr>
      </w:pPr>
      <w:r w:rsidRPr="543597F1">
        <w:rPr>
          <w:rFonts w:ascii="Arial" w:eastAsia="Arial" w:hAnsi="Arial" w:cs="Arial"/>
          <w:b/>
          <w:bCs/>
          <w:sz w:val="22"/>
          <w:szCs w:val="22"/>
        </w:rPr>
        <w:t>Introduction</w:t>
      </w:r>
    </w:p>
    <w:p w14:paraId="6ADCC974"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Diabetes mellitus is a chronic metabolic condition characterised by elevated blood glucose levels, known as hyperglycaemia. Glucose provides energy for the body's cells, but its concentration in the blood must be carefully regulated. Insulin, produced by pancreatic beta (β) cells, plays a central role by helping glucose move from the bloodstream into cells. In type 2 diabetes mellitus (T2DM), the body either produces insufficient insulin or does not use it effectively, known as insulin resistance (NHS, 2025a).</w:t>
      </w:r>
    </w:p>
    <w:p w14:paraId="33294BC5"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Type 1 and type 2 are the most common forms of diabetes. Type 1 results from an autoimmune process that destroys pancreatic beta cells, causing little or no insulin production. In contrast, T2DM develops through insulin resistance combined with progressive impairment of insulin secretion. Genetic and environmental factors contribute, while potentially modifiable factors such as excess body weight, physical inactivity and dietary patterns influence its development and management (World Health Organization, 2024).</w:t>
      </w:r>
    </w:p>
    <w:p w14:paraId="524C9C4F"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Other risk factors include increasing age, family history and ethnicity. People from South Asian backgrounds have a substantially higher risk of T2DM and may develop it at a younger age and lower body mass index than White European populations (Department of Health and Social Care, 2021). High blood pressure and other cardiometabolic factors can also increase T2DM risk (NHS, 2025b).</w:t>
      </w:r>
    </w:p>
    <w:p w14:paraId="60155113"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Persistently high blood glucose can damage blood vessels and nerves, contributing to complications affecting the cardiovascular system, kidneys, eyes and peripheral nerves (NHS, 2025c). Understanding glucose regulation and lifestyle influences is therefore important in supporting people with T2DM to participate effectively in their care.</w:t>
      </w:r>
    </w:p>
    <w:p w14:paraId="43189C8E" w14:textId="77777777" w:rsidR="007A013D" w:rsidRDefault="007A013D" w:rsidP="543597F1">
      <w:pPr>
        <w:spacing w:line="360" w:lineRule="auto"/>
        <w:rPr>
          <w:rFonts w:ascii="Arial" w:eastAsia="Arial" w:hAnsi="Arial" w:cs="Arial"/>
          <w:b/>
          <w:bCs/>
          <w:sz w:val="22"/>
          <w:szCs w:val="22"/>
        </w:rPr>
      </w:pPr>
    </w:p>
    <w:p w14:paraId="462821E3" w14:textId="77777777" w:rsidR="007A013D" w:rsidRDefault="007A013D" w:rsidP="543597F1">
      <w:pPr>
        <w:spacing w:line="360" w:lineRule="auto"/>
        <w:rPr>
          <w:rFonts w:ascii="Arial" w:eastAsia="Arial" w:hAnsi="Arial" w:cs="Arial"/>
          <w:b/>
          <w:bCs/>
          <w:sz w:val="22"/>
          <w:szCs w:val="22"/>
        </w:rPr>
      </w:pPr>
    </w:p>
    <w:p w14:paraId="45878A48" w14:textId="77777777" w:rsidR="007A013D" w:rsidRDefault="007A013D" w:rsidP="543597F1">
      <w:pPr>
        <w:spacing w:line="360" w:lineRule="auto"/>
        <w:rPr>
          <w:rFonts w:ascii="Arial" w:eastAsia="Arial" w:hAnsi="Arial" w:cs="Arial"/>
          <w:b/>
          <w:bCs/>
          <w:sz w:val="22"/>
          <w:szCs w:val="22"/>
        </w:rPr>
      </w:pPr>
    </w:p>
    <w:p w14:paraId="72400AB1" w14:textId="70D5C9EF" w:rsidR="3ACCE6D1" w:rsidRDefault="3ACCE6D1" w:rsidP="3ACCE6D1">
      <w:pPr>
        <w:spacing w:line="360" w:lineRule="auto"/>
        <w:rPr>
          <w:rFonts w:ascii="Arial" w:eastAsia="Arial" w:hAnsi="Arial" w:cs="Arial"/>
          <w:b/>
          <w:bCs/>
          <w:sz w:val="22"/>
          <w:szCs w:val="22"/>
        </w:rPr>
      </w:pPr>
    </w:p>
    <w:p w14:paraId="02B0F62F" w14:textId="77777777" w:rsidR="00610381" w:rsidRDefault="00610381" w:rsidP="3ACCE6D1">
      <w:pPr>
        <w:spacing w:line="360" w:lineRule="auto"/>
        <w:rPr>
          <w:rFonts w:ascii="Arial" w:eastAsia="Arial" w:hAnsi="Arial" w:cs="Arial"/>
          <w:b/>
          <w:bCs/>
          <w:sz w:val="22"/>
          <w:szCs w:val="22"/>
        </w:rPr>
      </w:pPr>
    </w:p>
    <w:p w14:paraId="09F3C890" w14:textId="61D59CF9" w:rsidR="00112473" w:rsidRDefault="0D329C66" w:rsidP="543597F1">
      <w:pPr>
        <w:spacing w:line="360" w:lineRule="auto"/>
        <w:rPr>
          <w:rFonts w:ascii="Arial" w:eastAsia="Arial" w:hAnsi="Arial" w:cs="Arial"/>
          <w:sz w:val="22"/>
          <w:szCs w:val="22"/>
        </w:rPr>
      </w:pPr>
      <w:r w:rsidRPr="3ACCE6D1">
        <w:rPr>
          <w:rFonts w:ascii="Arial" w:eastAsia="Arial" w:hAnsi="Arial" w:cs="Arial"/>
          <w:b/>
          <w:bCs/>
          <w:sz w:val="22"/>
          <w:szCs w:val="22"/>
        </w:rPr>
        <w:lastRenderedPageBreak/>
        <w:t>Maintenance of Blood Glucose Levels</w:t>
      </w:r>
    </w:p>
    <w:p w14:paraId="4695DD1A" w14:textId="33777BBE"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Blood glucose regulation is an example of homeostasis, whereby the body maintains an internal environment within a relatively stable range despite changes occurring externally. The pancreas, liver and body tissues have important roles in maintaining blood glucose homeostasis.</w:t>
      </w:r>
    </w:p>
    <w:p w14:paraId="00B56197" w14:textId="1FF2547E" w:rsidR="00112473" w:rsidRDefault="2123477B" w:rsidP="543597F1">
      <w:pPr>
        <w:spacing w:line="360" w:lineRule="auto"/>
        <w:rPr>
          <w:rFonts w:ascii="Arial" w:eastAsia="Arial" w:hAnsi="Arial" w:cs="Arial"/>
          <w:sz w:val="22"/>
          <w:szCs w:val="22"/>
        </w:rPr>
      </w:pPr>
      <w:r w:rsidRPr="659EF4DE">
        <w:rPr>
          <w:rFonts w:ascii="Arial" w:eastAsia="Arial" w:hAnsi="Arial" w:cs="Arial"/>
          <w:sz w:val="22"/>
          <w:szCs w:val="22"/>
        </w:rPr>
        <w:t xml:space="preserve">Following the consumption of carbohydrate-containing food, carbohydrates are digested into smaller molecules, including glucose. Glucose is absorbed through the small intestine into the bloodstream, causing blood glucose concentration to rise. In response, pancreatic </w:t>
      </w:r>
      <w:r w:rsidR="275D268D" w:rsidRPr="659EF4DE">
        <w:rPr>
          <w:rFonts w:ascii="Arial" w:eastAsia="Arial" w:hAnsi="Arial" w:cs="Arial"/>
          <w:sz w:val="22"/>
          <w:szCs w:val="22"/>
        </w:rPr>
        <w:t>beta</w:t>
      </w:r>
      <w:r w:rsidRPr="659EF4DE">
        <w:rPr>
          <w:rFonts w:ascii="Arial" w:eastAsia="Arial" w:hAnsi="Arial" w:cs="Arial"/>
          <w:sz w:val="22"/>
          <w:szCs w:val="22"/>
        </w:rPr>
        <w:t xml:space="preserve"> cells detect the increase and release insulin into the circulation. Insulin binds to receptors on target cells and promotes glucose uptake, particularly in skeletal muscle and adipose tissue. It also encourages the liver and muscles to store glucose as glycogen, thereby reducing the concentration of glucose circulating in the blood (NHS, 2025a).</w:t>
      </w:r>
    </w:p>
    <w:p w14:paraId="62BEBFF6" w14:textId="2F135AF3"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The liver acts as an important storage and regulatory organ. When glucose is plentiful, insulin promotes glycogenesis, whereby glucose is converted into glycogen for storage. When blood glucose begins to fall, pancreatic alpha (α) cells release the hormone glucagon. Glucagon has an opposing effect </w:t>
      </w:r>
      <w:proofErr w:type="gramStart"/>
      <w:r w:rsidRPr="543597F1">
        <w:rPr>
          <w:rFonts w:ascii="Arial" w:eastAsia="Arial" w:hAnsi="Arial" w:cs="Arial"/>
          <w:sz w:val="22"/>
          <w:szCs w:val="22"/>
        </w:rPr>
        <w:t>to</w:t>
      </w:r>
      <w:proofErr w:type="gramEnd"/>
      <w:r w:rsidRPr="543597F1">
        <w:rPr>
          <w:rFonts w:ascii="Arial" w:eastAsia="Arial" w:hAnsi="Arial" w:cs="Arial"/>
          <w:sz w:val="22"/>
          <w:szCs w:val="22"/>
        </w:rPr>
        <w:t xml:space="preserve"> insulin. It stimulates glycogenolysis, the breakdown of glycogen into glucose, and promotes gluconeogenesis, in which glucose is produced from non-carbohydrate substrates. The liver can subsequently release glucose into the bloodstream to help restore </w:t>
      </w:r>
      <w:proofErr w:type="gramStart"/>
      <w:r w:rsidRPr="543597F1">
        <w:rPr>
          <w:rFonts w:ascii="Arial" w:eastAsia="Arial" w:hAnsi="Arial" w:cs="Arial"/>
          <w:sz w:val="22"/>
          <w:szCs w:val="22"/>
        </w:rPr>
        <w:t>an appropriate</w:t>
      </w:r>
      <w:proofErr w:type="gramEnd"/>
      <w:r w:rsidRPr="543597F1">
        <w:rPr>
          <w:rFonts w:ascii="Arial" w:eastAsia="Arial" w:hAnsi="Arial" w:cs="Arial"/>
          <w:sz w:val="22"/>
          <w:szCs w:val="22"/>
        </w:rPr>
        <w:t xml:space="preserve"> blood glucose concentration.</w:t>
      </w:r>
    </w:p>
    <w:p w14:paraId="4E5E1814" w14:textId="4EC51CD2"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This relationship between insulin and glucagon represents a negative feedback mechanism. When blood glucose rises, insulin secretion increases and blood glucose is lowered. When blood glucose falls, glucagon secretion increases and helps raise blood glucose. In a healthy individual, these mechanisms work together to maintain glucose availability for tissues while preventing excessive fluctuations.</w:t>
      </w:r>
    </w:p>
    <w:p w14:paraId="61A5CE89" w14:textId="2C9E17F4" w:rsidR="00112473" w:rsidRDefault="2123477B" w:rsidP="543597F1">
      <w:pPr>
        <w:spacing w:line="360" w:lineRule="auto"/>
        <w:rPr>
          <w:rFonts w:ascii="Arial" w:eastAsia="Arial" w:hAnsi="Arial" w:cs="Arial"/>
          <w:sz w:val="22"/>
          <w:szCs w:val="22"/>
        </w:rPr>
      </w:pPr>
      <w:r w:rsidRPr="659EF4DE">
        <w:rPr>
          <w:rFonts w:ascii="Arial" w:eastAsia="Arial" w:hAnsi="Arial" w:cs="Arial"/>
          <w:sz w:val="22"/>
          <w:szCs w:val="22"/>
        </w:rPr>
        <w:t xml:space="preserve">In T2DM, this regulatory system becomes impaired. Insulin resistance means that target cells respond less effectively to insulin. The pancreas may initially compensate by producing additional insulin; however, over time pancreatic </w:t>
      </w:r>
      <w:r w:rsidR="275D268D" w:rsidRPr="659EF4DE">
        <w:rPr>
          <w:rFonts w:ascii="Arial" w:eastAsia="Arial" w:hAnsi="Arial" w:cs="Arial"/>
          <w:sz w:val="22"/>
          <w:szCs w:val="22"/>
        </w:rPr>
        <w:t>beta</w:t>
      </w:r>
      <w:r w:rsidRPr="659EF4DE">
        <w:rPr>
          <w:rFonts w:ascii="Arial" w:eastAsia="Arial" w:hAnsi="Arial" w:cs="Arial"/>
          <w:sz w:val="22"/>
          <w:szCs w:val="22"/>
        </w:rPr>
        <w:t xml:space="preserve">-cell function can decline. Consequently, glucose is less effectively taken up by </w:t>
      </w:r>
      <w:proofErr w:type="gramStart"/>
      <w:r w:rsidRPr="659EF4DE">
        <w:rPr>
          <w:rFonts w:ascii="Arial" w:eastAsia="Arial" w:hAnsi="Arial" w:cs="Arial"/>
          <w:sz w:val="22"/>
          <w:szCs w:val="22"/>
        </w:rPr>
        <w:t>cells</w:t>
      </w:r>
      <w:proofErr w:type="gramEnd"/>
      <w:r w:rsidRPr="659EF4DE">
        <w:rPr>
          <w:rFonts w:ascii="Arial" w:eastAsia="Arial" w:hAnsi="Arial" w:cs="Arial"/>
          <w:sz w:val="22"/>
          <w:szCs w:val="22"/>
        </w:rPr>
        <w:t xml:space="preserve"> and the liver may continue releasing glucose when it is not required, contributing to persistent hyperglycaemia (NHS, 2025a).</w:t>
      </w:r>
    </w:p>
    <w:p w14:paraId="7911755E" w14:textId="13A9E321"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NICE (2026) emphasises individualised blood glucose management and HbA1c targets for adults with T2DM. HbA1c provides an indication of average blood glucose over approximately </w:t>
      </w:r>
      <w:r w:rsidRPr="543597F1">
        <w:rPr>
          <w:rFonts w:ascii="Arial" w:eastAsia="Arial" w:hAnsi="Arial" w:cs="Arial"/>
          <w:sz w:val="22"/>
          <w:szCs w:val="22"/>
        </w:rPr>
        <w:lastRenderedPageBreak/>
        <w:t>the previous two to three months and is therefore useful for assessing longer-term glycaemic control. The target must be individualised because excessively intensive glucose lowering can increase the risk of hypoglycaemia in some patients (NICE, 2026).</w:t>
      </w:r>
    </w:p>
    <w:p w14:paraId="56BDF987" w14:textId="4A40B633" w:rsidR="00112473" w:rsidRDefault="00112473" w:rsidP="543597F1">
      <w:pPr>
        <w:spacing w:line="360" w:lineRule="auto"/>
        <w:rPr>
          <w:rFonts w:ascii="Arial" w:eastAsia="Arial" w:hAnsi="Arial" w:cs="Arial"/>
          <w:b/>
          <w:bCs/>
          <w:sz w:val="22"/>
          <w:szCs w:val="22"/>
        </w:rPr>
      </w:pPr>
    </w:p>
    <w:p w14:paraId="40428D82" w14:textId="4337B76F" w:rsidR="00112473" w:rsidRDefault="0D329C66" w:rsidP="543597F1">
      <w:pPr>
        <w:spacing w:line="360" w:lineRule="auto"/>
      </w:pPr>
      <w:r w:rsidRPr="3ACCE6D1">
        <w:rPr>
          <w:rFonts w:ascii="Arial" w:eastAsia="Arial" w:hAnsi="Arial" w:cs="Arial"/>
          <w:b/>
          <w:bCs/>
          <w:sz w:val="22"/>
          <w:szCs w:val="22"/>
        </w:rPr>
        <w:t>The Use of Glucose and Oxygen in Cellular Energy Production</w:t>
      </w:r>
    </w:p>
    <w:p w14:paraId="3863A058" w14:textId="2817A873" w:rsidR="00112473" w:rsidRDefault="11532988" w:rsidP="3ACCE6D1">
      <w:pPr>
        <w:spacing w:before="240" w:after="240" w:line="360" w:lineRule="auto"/>
      </w:pPr>
      <w:r w:rsidRPr="3ACCE6D1">
        <w:rPr>
          <w:rFonts w:ascii="Arial" w:eastAsia="Arial" w:hAnsi="Arial" w:cs="Arial"/>
          <w:sz w:val="22"/>
          <w:szCs w:val="22"/>
        </w:rPr>
        <w:t>Glucose is an important source of energy for human cells. However, cells cannot use glucose directly as their immediate energy source. Instead, the energy stored in glucose is converted into adenosine triphosphate (ATP). ATP provides energy for important cellular processes, including muscle contraction, active transport, cellular repair and the production of molecules (Betts et al., 2022).</w:t>
      </w:r>
    </w:p>
    <w:p w14:paraId="446053D4" w14:textId="51E82085" w:rsidR="00112473" w:rsidRDefault="11532988" w:rsidP="3ACCE6D1">
      <w:pPr>
        <w:spacing w:before="240" w:after="240" w:line="360" w:lineRule="auto"/>
      </w:pPr>
      <w:r w:rsidRPr="3ACCE6D1">
        <w:rPr>
          <w:rFonts w:ascii="Arial" w:eastAsia="Arial" w:hAnsi="Arial" w:cs="Arial"/>
          <w:sz w:val="22"/>
          <w:szCs w:val="22"/>
        </w:rPr>
        <w:t>Aerobic cellular respiration is the process through which glucose is broken down using oxygen. The overall process can be summarised as:</w:t>
      </w:r>
    </w:p>
    <w:p w14:paraId="0E79EB71" w14:textId="055A6DC9" w:rsidR="00112473" w:rsidRDefault="11532988" w:rsidP="3ACCE6D1">
      <w:pPr>
        <w:spacing w:before="240" w:after="240" w:line="360" w:lineRule="auto"/>
      </w:pPr>
      <w:r w:rsidRPr="3ACCE6D1">
        <w:rPr>
          <w:rFonts w:ascii="Arial" w:eastAsia="Arial" w:hAnsi="Arial" w:cs="Arial"/>
          <w:b/>
          <w:bCs/>
          <w:sz w:val="22"/>
          <w:szCs w:val="22"/>
        </w:rPr>
        <w:t>Glucose + oxygen → carbon dioxide + water + ATP</w:t>
      </w:r>
    </w:p>
    <w:p w14:paraId="78E03609" w14:textId="3964EE21" w:rsidR="00112473" w:rsidRDefault="11532988" w:rsidP="3ACCE6D1">
      <w:pPr>
        <w:spacing w:before="240" w:after="240" w:line="360" w:lineRule="auto"/>
      </w:pPr>
      <w:r w:rsidRPr="3ACCE6D1">
        <w:rPr>
          <w:rFonts w:ascii="Arial" w:eastAsia="Arial" w:hAnsi="Arial" w:cs="Arial"/>
          <w:sz w:val="22"/>
          <w:szCs w:val="22"/>
        </w:rPr>
        <w:t xml:space="preserve">Cellular respiration occurs in </w:t>
      </w:r>
      <w:r w:rsidRPr="3ACCE6D1">
        <w:rPr>
          <w:rFonts w:ascii="Arial" w:eastAsia="Arial" w:hAnsi="Arial" w:cs="Arial"/>
          <w:b/>
          <w:bCs/>
          <w:sz w:val="22"/>
          <w:szCs w:val="22"/>
        </w:rPr>
        <w:t>four main stages: glycolysis, the link reaction, the citric acid cycle (Krebs cycle), and oxidative phosphorylation</w:t>
      </w:r>
      <w:r w:rsidRPr="3ACCE6D1">
        <w:rPr>
          <w:rFonts w:ascii="Arial" w:eastAsia="Arial" w:hAnsi="Arial" w:cs="Arial"/>
          <w:sz w:val="22"/>
          <w:szCs w:val="22"/>
        </w:rPr>
        <w:t xml:space="preserve"> (Betts et al., 2022).</w:t>
      </w:r>
    </w:p>
    <w:p w14:paraId="4798722E" w14:textId="791B12A9" w:rsidR="00112473" w:rsidRDefault="11532988" w:rsidP="3ACCE6D1">
      <w:pPr>
        <w:pStyle w:val="Heading3"/>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lastRenderedPageBreak/>
        <w:t>Figure 1: Stages of Cellular Respiration</w:t>
      </w:r>
    </w:p>
    <w:p w14:paraId="78E3B0E9" w14:textId="5305038B" w:rsidR="00112473" w:rsidRDefault="7EC8529B" w:rsidP="3ACCE6D1">
      <w:pPr>
        <w:spacing w:before="240" w:after="240" w:line="360" w:lineRule="auto"/>
      </w:pPr>
      <w:r>
        <w:rPr>
          <w:noProof/>
        </w:rPr>
        <w:drawing>
          <wp:inline distT="0" distB="0" distL="0" distR="0" wp14:anchorId="2C793724" wp14:editId="459BCFB1">
            <wp:extent cx="4924425" cy="3952875"/>
            <wp:effectExtent l="0" t="0" r="0" b="0"/>
            <wp:docPr id="13983659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65976" name="Picture 1398365976"/>
                    <pic:cNvPicPr/>
                  </pic:nvPicPr>
                  <pic:blipFill>
                    <a:blip r:embed="rId4">
                      <a:extLst>
                        <a:ext uri="{28A0092B-C50C-407E-A947-70E740481C1C}">
                          <a14:useLocalDpi xmlns:a14="http://schemas.microsoft.com/office/drawing/2010/main"/>
                        </a:ext>
                      </a:extLst>
                    </a:blip>
                    <a:stretch>
                      <a:fillRect/>
                    </a:stretch>
                  </pic:blipFill>
                  <pic:spPr>
                    <a:xfrm>
                      <a:off x="0" y="0"/>
                      <a:ext cx="4924425" cy="3952875"/>
                    </a:xfrm>
                    <a:prstGeom prst="rect">
                      <a:avLst/>
                    </a:prstGeom>
                  </pic:spPr>
                </pic:pic>
              </a:graphicData>
            </a:graphic>
          </wp:inline>
        </w:drawing>
      </w:r>
    </w:p>
    <w:p w14:paraId="11640739" w14:textId="1273AB2D" w:rsidR="00112473" w:rsidRDefault="11532988" w:rsidP="3ACCE6D1">
      <w:pPr>
        <w:spacing w:before="240" w:after="240" w:line="360" w:lineRule="auto"/>
      </w:pPr>
      <w:r w:rsidRPr="3ACCE6D1">
        <w:rPr>
          <w:rFonts w:ascii="Arial" w:eastAsia="Arial" w:hAnsi="Arial" w:cs="Arial"/>
          <w:i/>
          <w:iCs/>
          <w:sz w:val="22"/>
          <w:szCs w:val="22"/>
        </w:rPr>
        <w:t>Figure 1: Cellular respiration showing the main stages involved in the breakdown of glucose and production of ATP. Source: Betts et al. (2022), Figure 24.4.</w:t>
      </w:r>
    </w:p>
    <w:p w14:paraId="21396087" w14:textId="45AF9C2F"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t>1. Glycolysis</w:t>
      </w:r>
    </w:p>
    <w:p w14:paraId="73E2A6B6" w14:textId="118CE0D2"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Glycolysis takes place in the cytoplasm and does not directly require oxygen. During this stage, one glucose molecule is split into two pyruvate molecules. A small amount of ATP is produced. The pyruvate can then continue into aerobic respiration when oxygen is available (Betts et al., 2022).</w:t>
      </w:r>
    </w:p>
    <w:p w14:paraId="40E0A022" w14:textId="48B31663"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t>2. Link Reaction</w:t>
      </w:r>
    </w:p>
    <w:p w14:paraId="441D1AC2" w14:textId="6D973A89"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When oxygen is available, pyruvate enters the mitochondria. It is converted into acetyl coenzyme A (acetyl-CoA). Carbon dioxide is released during this process, and NADH is produced. Acetyl-CoA then enters the next stage of cellular respiration (Betts et al., 2022).</w:t>
      </w:r>
    </w:p>
    <w:p w14:paraId="0362ADB6" w14:textId="31DE3ED3"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lastRenderedPageBreak/>
        <w:t>3. Citric Acid Cycle (Krebs Cycle)</w:t>
      </w:r>
    </w:p>
    <w:p w14:paraId="33BE8980" w14:textId="34122D96"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Acetyl-CoA enters the citric acid cycle within the mitochondrial matrix. During this stage, carbon dioxide is released and high-energy molecules, including ATP, NADH and FADH₂, are produced. NADH and FADH₂ carry high-energy electrons to the electron transport chain (Betts et al., 2022).</w:t>
      </w:r>
    </w:p>
    <w:p w14:paraId="2D3A1EBB" w14:textId="0CC4F2F0"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t>4. Oxidative Phosphorylation</w:t>
      </w:r>
    </w:p>
    <w:p w14:paraId="02AB163A" w14:textId="6502E18C"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 xml:space="preserve">Oxidative phosphorylation takes place at the inner mitochondrial membrane. Electrons from NADH and FADH₂ pass through the electron transport chain. The energy released is used to create a proton gradient, which drives the production of ATP. Oxygen acts as the final electron acceptor and </w:t>
      </w:r>
      <w:proofErr w:type="gramStart"/>
      <w:r w:rsidRPr="3ACCE6D1">
        <w:rPr>
          <w:rFonts w:ascii="Arial" w:eastAsia="Arial" w:hAnsi="Arial" w:cs="Arial"/>
          <w:sz w:val="22"/>
          <w:szCs w:val="22"/>
        </w:rPr>
        <w:t>combines with</w:t>
      </w:r>
      <w:proofErr w:type="gramEnd"/>
      <w:r w:rsidRPr="3ACCE6D1">
        <w:rPr>
          <w:rFonts w:ascii="Arial" w:eastAsia="Arial" w:hAnsi="Arial" w:cs="Arial"/>
          <w:sz w:val="22"/>
          <w:szCs w:val="22"/>
        </w:rPr>
        <w:t xml:space="preserve"> electrons and hydrogen ions to form water. This stage produces most of the ATP made during aerobic respiration (Betts et al., 2022).</w:t>
      </w:r>
    </w:p>
    <w:p w14:paraId="173896E9" w14:textId="0B39BB6B"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Glucose and oxygen therefore have different but connected roles in energy production. Glucose provides the energy that is gradually released during cellular respiration, while oxygen allows the final stages of the process to continue. The ATP produced provides usable energy for cellular functions (Betts et al., 2022).</w:t>
      </w:r>
    </w:p>
    <w:p w14:paraId="15FB4B34" w14:textId="0577948F"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This process also demonstrates the relationship between anatomy and physiology. The pancreas helps regulate blood glucose levels, while the circulatory system transports glucose and oxygen to body tissues. At a cellular level, mitochondria use these substances to produce ATP. In diabetes, impaired glucose regulation can cause excessive glucose to remain in the bloodstream rather than being appropriately used or stored by cells.</w:t>
      </w:r>
    </w:p>
    <w:p w14:paraId="4982CA7E" w14:textId="07664D38" w:rsidR="00112473" w:rsidRDefault="00112473" w:rsidP="3ACCE6D1">
      <w:pPr>
        <w:spacing w:line="360" w:lineRule="auto"/>
        <w:rPr>
          <w:rFonts w:ascii="Arial" w:eastAsia="Arial" w:hAnsi="Arial" w:cs="Arial"/>
          <w:b/>
          <w:bCs/>
          <w:sz w:val="22"/>
          <w:szCs w:val="22"/>
        </w:rPr>
      </w:pPr>
    </w:p>
    <w:p w14:paraId="65216D37" w14:textId="467CDE31" w:rsidR="00112473" w:rsidRDefault="0D329C66" w:rsidP="3ACCE6D1">
      <w:pPr>
        <w:spacing w:line="360" w:lineRule="auto"/>
        <w:rPr>
          <w:rFonts w:ascii="Arial" w:eastAsia="Arial" w:hAnsi="Arial" w:cs="Arial"/>
          <w:sz w:val="22"/>
          <w:szCs w:val="22"/>
        </w:rPr>
      </w:pPr>
      <w:r w:rsidRPr="3ACCE6D1">
        <w:rPr>
          <w:rFonts w:ascii="Arial" w:eastAsia="Arial" w:hAnsi="Arial" w:cs="Arial"/>
          <w:b/>
          <w:bCs/>
          <w:sz w:val="22"/>
          <w:szCs w:val="22"/>
        </w:rPr>
        <w:t>Recording and Tracking Blood Glucose in Type 2 Diabetes</w:t>
      </w:r>
    </w:p>
    <w:p w14:paraId="3AE0068E" w14:textId="3EC679C0"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Monitoring blood glucose can help some individuals with T2DM understand how food, physical activity, illness and medication affect their glucose levels. However, self-monitoring is not automatically required for every person with T2DM. NICE (2026) recommends that the need for capillary blood glucose monitoring should be considered according to the individual's treatment and clinical circumstances.</w:t>
      </w:r>
    </w:p>
    <w:p w14:paraId="0CF4F310" w14:textId="2337E964"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For people who are advised to monitor their glucose, recording results over time can provide useful information about patterns rather than focusing on a single reading. For example, </w:t>
      </w:r>
      <w:r w:rsidRPr="543597F1">
        <w:rPr>
          <w:rFonts w:ascii="Arial" w:eastAsia="Arial" w:hAnsi="Arial" w:cs="Arial"/>
          <w:sz w:val="22"/>
          <w:szCs w:val="22"/>
        </w:rPr>
        <w:lastRenderedPageBreak/>
        <w:t xml:space="preserve">repeated increases following </w:t>
      </w:r>
      <w:proofErr w:type="gramStart"/>
      <w:r w:rsidRPr="543597F1">
        <w:rPr>
          <w:rFonts w:ascii="Arial" w:eastAsia="Arial" w:hAnsi="Arial" w:cs="Arial"/>
          <w:sz w:val="22"/>
          <w:szCs w:val="22"/>
        </w:rPr>
        <w:t>particular meals</w:t>
      </w:r>
      <w:proofErr w:type="gramEnd"/>
      <w:r w:rsidRPr="543597F1">
        <w:rPr>
          <w:rFonts w:ascii="Arial" w:eastAsia="Arial" w:hAnsi="Arial" w:cs="Arial"/>
          <w:sz w:val="22"/>
          <w:szCs w:val="22"/>
        </w:rPr>
        <w:t xml:space="preserve"> may encourage discussion about carbohydrate portions, meal composition or timing. Similarly, a person may observe changes following physical activity. For individuals taking medicines that can cause hypoglycaemia, monitoring may help identify low glucose levels and support appropriate action.</w:t>
      </w:r>
    </w:p>
    <w:p w14:paraId="5E77F496" w14:textId="0C0528F8"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Diabetes UK (2026) explains that blood glucose monitoring can help people understand their glucose levels and identify episodes of hyperglycaemia or hypoglycaemia. Continuous glucose monitoring (CGM) and flash glucose monitoring can provide additional information for some people, although these technologies are not appropriate or available for everyone.</w:t>
      </w:r>
    </w:p>
    <w:p w14:paraId="63164CEB" w14:textId="29F4376B"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Longer-term monitoring is also provided through HbA1c testing. Unlike a single finger-prick measurement, HbA1c provides an indication of average blood glucose over a period of approximately two to three months. This allows healthcare professionals and patients to evaluate whether management strategies are maintaining glucose within an agreed target range (Diabetes UK, 2026).</w:t>
      </w:r>
    </w:p>
    <w:p w14:paraId="7D8B7A66" w14:textId="1349D580"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NICE (2026) recommends that people with T2DM who self-monitor capillary blood glucose should receive a structured assessment at least annually. This should consider whether the person understands their readings, can use the equipment correctly, knows what action to take and continues to benefit from monitoring. Consequently, monitoring should be viewed as part of an individual's wider care plan rather than an isolated activity.</w:t>
      </w:r>
    </w:p>
    <w:p w14:paraId="49E4F23E" w14:textId="5414AF83" w:rsidR="00112473" w:rsidRDefault="00112473" w:rsidP="543597F1">
      <w:pPr>
        <w:spacing w:line="360" w:lineRule="auto"/>
        <w:rPr>
          <w:rFonts w:ascii="Arial" w:eastAsia="Arial" w:hAnsi="Arial" w:cs="Arial"/>
          <w:b/>
          <w:bCs/>
          <w:sz w:val="22"/>
          <w:szCs w:val="22"/>
        </w:rPr>
      </w:pPr>
    </w:p>
    <w:p w14:paraId="5BA3A9FB" w14:textId="38D78DF1" w:rsidR="00112473" w:rsidRDefault="6EA45F13" w:rsidP="543597F1">
      <w:pPr>
        <w:spacing w:line="360" w:lineRule="auto"/>
        <w:rPr>
          <w:rFonts w:ascii="Arial" w:eastAsia="Arial" w:hAnsi="Arial" w:cs="Arial"/>
          <w:b/>
          <w:bCs/>
          <w:sz w:val="22"/>
          <w:szCs w:val="22"/>
        </w:rPr>
      </w:pPr>
      <w:r w:rsidRPr="543597F1">
        <w:rPr>
          <w:rFonts w:ascii="Arial" w:eastAsia="Arial" w:hAnsi="Arial" w:cs="Arial"/>
          <w:b/>
          <w:bCs/>
          <w:sz w:val="22"/>
          <w:szCs w:val="22"/>
        </w:rPr>
        <w:t>Evidence-Based Lifestyle Recommendations</w:t>
      </w:r>
    </w:p>
    <w:p w14:paraId="30C07B80" w14:textId="2F46E949"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Lifestyle modification is an important component of T2DM management. Changes should be individualised and realistic, </w:t>
      </w:r>
      <w:proofErr w:type="gramStart"/>
      <w:r w:rsidRPr="543597F1">
        <w:rPr>
          <w:rFonts w:ascii="Arial" w:eastAsia="Arial" w:hAnsi="Arial" w:cs="Arial"/>
          <w:sz w:val="22"/>
          <w:szCs w:val="22"/>
        </w:rPr>
        <w:t>taking into account</w:t>
      </w:r>
      <w:proofErr w:type="gramEnd"/>
      <w:r w:rsidRPr="543597F1">
        <w:rPr>
          <w:rFonts w:ascii="Arial" w:eastAsia="Arial" w:hAnsi="Arial" w:cs="Arial"/>
          <w:sz w:val="22"/>
          <w:szCs w:val="22"/>
        </w:rPr>
        <w:t xml:space="preserve"> the person's preferences, culture, financial circumstances, physical abilities and existing treatment. NICE (2026) recommends combining healthy living with appropriate medical management rather than treating lifestyle change as an alternative to professional care.</w:t>
      </w:r>
    </w:p>
    <w:p w14:paraId="56E5A0AC" w14:textId="3129337F"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Diet</w:t>
      </w:r>
    </w:p>
    <w:p w14:paraId="01440569" w14:textId="77777777" w:rsidR="005B7980" w:rsidRPr="002A7D00" w:rsidRDefault="005B7980" w:rsidP="005B7980">
      <w:pPr>
        <w:spacing w:line="360" w:lineRule="auto"/>
        <w:rPr>
          <w:rFonts w:ascii="Arial" w:eastAsia="Arial" w:hAnsi="Arial" w:cs="Arial"/>
          <w:sz w:val="22"/>
          <w:szCs w:val="22"/>
          <w:lang w:val="en-GB"/>
        </w:rPr>
      </w:pPr>
      <w:r w:rsidRPr="002A7D00">
        <w:rPr>
          <w:rFonts w:ascii="Arial" w:eastAsia="Arial" w:hAnsi="Arial" w:cs="Arial"/>
          <w:sz w:val="22"/>
          <w:szCs w:val="22"/>
          <w:lang w:val="en-GB"/>
        </w:rPr>
        <w:t>Diet has a direct influence on blood glucose because carbohydrate-containing foods are broken down into glucose. A balanced diet containing vegetables, fruit, wholegrains, pulses and appropriate protein sources can support healthier eating patterns. NHS guidance recommends reducing highly processed foods high in saturated fat, salt and free sugars while increasing vegetables, wholegrains and pulses (NHS, 2025d).</w:t>
      </w:r>
    </w:p>
    <w:p w14:paraId="29902F63" w14:textId="77777777" w:rsidR="005B7980" w:rsidRPr="002A7D00" w:rsidRDefault="005B7980" w:rsidP="005B7980">
      <w:pPr>
        <w:spacing w:line="360" w:lineRule="auto"/>
        <w:rPr>
          <w:rFonts w:ascii="Arial" w:eastAsia="Arial" w:hAnsi="Arial" w:cs="Arial"/>
          <w:sz w:val="22"/>
          <w:szCs w:val="22"/>
          <w:lang w:val="en-GB"/>
        </w:rPr>
      </w:pPr>
      <w:r w:rsidRPr="002A7D00">
        <w:rPr>
          <w:rFonts w:ascii="Arial" w:eastAsia="Arial" w:hAnsi="Arial" w:cs="Arial"/>
          <w:sz w:val="22"/>
          <w:szCs w:val="22"/>
          <w:lang w:val="en-GB"/>
        </w:rPr>
        <w:lastRenderedPageBreak/>
        <w:t>Dietary patterns rather than individual foods are particularly important. Evidence from an umbrella review indicates that Mediterranean, plant-based, low-glycaemic-index and lower-carbohydrate diets can provide cardiometabolic benefits for people with T2DM, although evidence strength differs between outcomes (Ojo et al., 2023). Recent randomised controlled trials also indicate that Mediterranean-style diets can produce modest improvements in HbA1c, fasting glucose and body mass index (2025).</w:t>
      </w:r>
    </w:p>
    <w:p w14:paraId="0985CB03" w14:textId="71762A20" w:rsidR="005B7980" w:rsidRPr="002A7D00" w:rsidRDefault="005B7980" w:rsidP="543597F1">
      <w:pPr>
        <w:spacing w:line="360" w:lineRule="auto"/>
        <w:rPr>
          <w:rFonts w:ascii="Arial" w:eastAsia="Arial" w:hAnsi="Arial" w:cs="Arial"/>
          <w:sz w:val="22"/>
          <w:szCs w:val="22"/>
          <w:lang w:val="en-GB"/>
        </w:rPr>
      </w:pPr>
      <w:r w:rsidRPr="002A7D00">
        <w:rPr>
          <w:rFonts w:ascii="Arial" w:eastAsia="Arial" w:hAnsi="Arial" w:cs="Arial"/>
          <w:sz w:val="22"/>
          <w:szCs w:val="22"/>
          <w:lang w:val="en-GB"/>
        </w:rPr>
        <w:t xml:space="preserve">A practical approach is to encourage sustainable changes rather than unnecessary restriction. </w:t>
      </w:r>
      <w:proofErr w:type="gramStart"/>
      <w:r w:rsidRPr="002A7D00">
        <w:rPr>
          <w:rFonts w:ascii="Arial" w:eastAsia="Arial" w:hAnsi="Arial" w:cs="Arial"/>
          <w:sz w:val="22"/>
          <w:szCs w:val="22"/>
          <w:lang w:val="en-GB"/>
        </w:rPr>
        <w:t>Portion control,</w:t>
      </w:r>
      <w:proofErr w:type="gramEnd"/>
      <w:r w:rsidRPr="002A7D00">
        <w:rPr>
          <w:rFonts w:ascii="Arial" w:eastAsia="Arial" w:hAnsi="Arial" w:cs="Arial"/>
          <w:sz w:val="22"/>
          <w:szCs w:val="22"/>
          <w:lang w:val="en-GB"/>
        </w:rPr>
        <w:t xml:space="preserve"> increased dietary fibre and choosing minimally processed carbohydrates can improve dietary quality. Advice should also be culturally appropriate, as familiar foods and eating practices may influence adherence.</w:t>
      </w:r>
    </w:p>
    <w:p w14:paraId="70DDAEBB" w14:textId="7D80E573"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Physical Activity</w:t>
      </w:r>
    </w:p>
    <w:p w14:paraId="3F1CFBD0" w14:textId="01EB43D7"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Regular physical activity can improve insulin sensitivity because contracting skeletal muscle can increase glucose uptake. Exercise therefore has benefits beyond energy expenditure and weight management.</w:t>
      </w:r>
    </w:p>
    <w:p w14:paraId="0C0CA494" w14:textId="3BAC346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A systematic review and meta-analysis involving adults with T2DM found that structured exercise was associated with reductions in HbA1c, with aerobic exercise, resistance training and combined programmes all demonstrating beneficial effects (Umpierre et al., 2011). More recent evidence continues to support exercise as an important component of T2DM management (Igarashi, Akazawa and Maeda, 2021).</w:t>
      </w:r>
    </w:p>
    <w:p w14:paraId="68A63C56" w14:textId="3853C52D"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(2025d) recommends that adults aim for at least 150 minutes of moderate-intensity physical activity across the week, such as brisk walking, where this is safe and appropriate. Resistance exercises can also support muscle strength and glucose regulation. Individuals who are currently inactive should begin gradually and increase activity according to their capabilities.</w:t>
      </w:r>
    </w:p>
    <w:p w14:paraId="5401C281" w14:textId="73D0AC73"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Weight Management</w:t>
      </w:r>
    </w:p>
    <w:p w14:paraId="414046F4" w14:textId="6152683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For people living with </w:t>
      </w:r>
      <w:proofErr w:type="gramStart"/>
      <w:r w:rsidRPr="543597F1">
        <w:rPr>
          <w:rFonts w:ascii="Arial" w:eastAsia="Arial" w:hAnsi="Arial" w:cs="Arial"/>
          <w:sz w:val="22"/>
          <w:szCs w:val="22"/>
        </w:rPr>
        <w:t>overweight</w:t>
      </w:r>
      <w:proofErr w:type="gramEnd"/>
      <w:r w:rsidRPr="543597F1">
        <w:rPr>
          <w:rFonts w:ascii="Arial" w:eastAsia="Arial" w:hAnsi="Arial" w:cs="Arial"/>
          <w:sz w:val="22"/>
          <w:szCs w:val="22"/>
        </w:rPr>
        <w:t xml:space="preserve"> or obesity, gradual and sustained weight loss can improve metabolic health and blood glucose control. Excess adipose tissue, particularly visceral fat, is associated with insulin resistance. NICE (2026) therefore recommends addressing weight management as part of comprehensive T2DM care.</w:t>
      </w:r>
    </w:p>
    <w:p w14:paraId="30AF82EF" w14:textId="50E5DFE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Weight management should not be approached solely through calorie restriction. Combining a nutritionally balanced diet with physical activity and appropriate behavioural support can make changes more sustainable. NHS guidance also recognises that weight loss can sometimes </w:t>
      </w:r>
      <w:r w:rsidRPr="543597F1">
        <w:rPr>
          <w:rFonts w:ascii="Arial" w:eastAsia="Arial" w:hAnsi="Arial" w:cs="Arial"/>
          <w:sz w:val="22"/>
          <w:szCs w:val="22"/>
        </w:rPr>
        <w:lastRenderedPageBreak/>
        <w:t>result in significant improvement in blood glucose levels and, for some individuals, remission of T2DM (NHS, 2025d).</w:t>
      </w:r>
    </w:p>
    <w:p w14:paraId="04BED03F" w14:textId="4F78B77E"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Smoking Cessation</w:t>
      </w:r>
    </w:p>
    <w:p w14:paraId="09538BA7" w14:textId="1A71DC04"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Smoking is particularly important because diabetes already increases the risk of cardiovascular disease. Tobacco exposure adds further cardiovascular risk and can contribute to vascular damage. The World Health Organization (2024) identifies avoiding tobacco as an important measure for preventing or delaying T2DM and reducing associated health risks.</w:t>
      </w:r>
    </w:p>
    <w:p w14:paraId="675F0B11" w14:textId="5EDCBE39"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People with diabetes who smoke should therefore be offered appropriate smoking cessation support. This may include behavioural support and evidence-based treatments through NHS services. Smoking cessation should be approached as part of holistic diabetes management rather than simply as an instruction to stop smoking.</w:t>
      </w:r>
    </w:p>
    <w:p w14:paraId="2F34A790" w14:textId="0C99B6CF"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Alcohol and Self-Management</w:t>
      </w:r>
    </w:p>
    <w:p w14:paraId="5E3AB0F6" w14:textId="275F3F0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Alcohol intake should also be considered because alcohol can affect blood glucose and may contribute additional calories. Individuals taking certain diabetes medicines may be particularly vulnerable to hypoglycaemia following alcohol consumption. Advice should therefore be individualised according to medication and personal circumstances.</w:t>
      </w:r>
    </w:p>
    <w:p w14:paraId="79D60D9D" w14:textId="5AF0461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Overall, effective diabetes management requires patients to understand their condition and participate in shared decision-making. Diabetes education can help individuals develop practical skills, recognise changes in their health and understand how lifestyle behaviours interact with treatment.</w:t>
      </w:r>
    </w:p>
    <w:p w14:paraId="33B2BA25" w14:textId="41C09C6F" w:rsidR="00112473" w:rsidRDefault="00112473" w:rsidP="543597F1">
      <w:pPr>
        <w:spacing w:line="360" w:lineRule="auto"/>
        <w:rPr>
          <w:rFonts w:ascii="Arial" w:eastAsia="Arial" w:hAnsi="Arial" w:cs="Arial"/>
          <w:b/>
          <w:bCs/>
          <w:sz w:val="22"/>
          <w:szCs w:val="22"/>
        </w:rPr>
      </w:pPr>
    </w:p>
    <w:p w14:paraId="6A4450F3" w14:textId="77777777" w:rsidR="001049F3" w:rsidRDefault="001049F3" w:rsidP="543597F1">
      <w:pPr>
        <w:spacing w:line="360" w:lineRule="auto"/>
        <w:rPr>
          <w:rFonts w:ascii="Arial" w:eastAsia="Arial" w:hAnsi="Arial" w:cs="Arial"/>
          <w:b/>
          <w:bCs/>
          <w:sz w:val="22"/>
          <w:szCs w:val="22"/>
        </w:rPr>
      </w:pPr>
    </w:p>
    <w:p w14:paraId="5B996ADF" w14:textId="77777777" w:rsidR="001049F3" w:rsidRDefault="001049F3" w:rsidP="543597F1">
      <w:pPr>
        <w:spacing w:line="360" w:lineRule="auto"/>
        <w:rPr>
          <w:rFonts w:ascii="Arial" w:eastAsia="Arial" w:hAnsi="Arial" w:cs="Arial"/>
          <w:b/>
          <w:bCs/>
          <w:sz w:val="22"/>
          <w:szCs w:val="22"/>
        </w:rPr>
      </w:pPr>
    </w:p>
    <w:p w14:paraId="1D65CF65" w14:textId="77777777" w:rsidR="001049F3" w:rsidRDefault="001049F3" w:rsidP="543597F1">
      <w:pPr>
        <w:spacing w:line="360" w:lineRule="auto"/>
        <w:rPr>
          <w:rFonts w:ascii="Arial" w:eastAsia="Arial" w:hAnsi="Arial" w:cs="Arial"/>
          <w:b/>
          <w:bCs/>
          <w:sz w:val="22"/>
          <w:szCs w:val="22"/>
        </w:rPr>
      </w:pPr>
    </w:p>
    <w:p w14:paraId="4A0376C3" w14:textId="77777777" w:rsidR="001049F3" w:rsidRDefault="001049F3" w:rsidP="543597F1">
      <w:pPr>
        <w:spacing w:line="360" w:lineRule="auto"/>
        <w:rPr>
          <w:rFonts w:ascii="Arial" w:eastAsia="Arial" w:hAnsi="Arial" w:cs="Arial"/>
          <w:b/>
          <w:bCs/>
          <w:sz w:val="22"/>
          <w:szCs w:val="22"/>
        </w:rPr>
      </w:pPr>
    </w:p>
    <w:p w14:paraId="6C0DFF19" w14:textId="77777777" w:rsidR="001049F3" w:rsidRDefault="001049F3" w:rsidP="543597F1">
      <w:pPr>
        <w:spacing w:line="360" w:lineRule="auto"/>
        <w:rPr>
          <w:rFonts w:ascii="Arial" w:eastAsia="Arial" w:hAnsi="Arial" w:cs="Arial"/>
          <w:b/>
          <w:bCs/>
          <w:sz w:val="22"/>
          <w:szCs w:val="22"/>
        </w:rPr>
      </w:pPr>
    </w:p>
    <w:p w14:paraId="56C2360F" w14:textId="77777777" w:rsidR="001049F3" w:rsidRDefault="001049F3" w:rsidP="543597F1">
      <w:pPr>
        <w:spacing w:line="360" w:lineRule="auto"/>
        <w:rPr>
          <w:rFonts w:ascii="Arial" w:eastAsia="Arial" w:hAnsi="Arial" w:cs="Arial"/>
          <w:b/>
          <w:bCs/>
          <w:sz w:val="22"/>
          <w:szCs w:val="22"/>
        </w:rPr>
      </w:pPr>
    </w:p>
    <w:p w14:paraId="76AD2EAC" w14:textId="77777777" w:rsidR="001049F3" w:rsidRDefault="001049F3" w:rsidP="543597F1">
      <w:pPr>
        <w:spacing w:line="360" w:lineRule="auto"/>
        <w:rPr>
          <w:rFonts w:ascii="Arial" w:eastAsia="Arial" w:hAnsi="Arial" w:cs="Arial"/>
          <w:b/>
          <w:bCs/>
          <w:sz w:val="22"/>
          <w:szCs w:val="22"/>
        </w:rPr>
      </w:pPr>
    </w:p>
    <w:p w14:paraId="54E1F127" w14:textId="73A0B0D7" w:rsidR="00112473" w:rsidRDefault="6EA45F13" w:rsidP="543597F1">
      <w:pPr>
        <w:spacing w:line="360" w:lineRule="auto"/>
        <w:rPr>
          <w:rFonts w:ascii="Arial" w:eastAsia="Arial" w:hAnsi="Arial" w:cs="Arial"/>
          <w:b/>
          <w:bCs/>
          <w:sz w:val="22"/>
          <w:szCs w:val="22"/>
        </w:rPr>
      </w:pPr>
      <w:r w:rsidRPr="543597F1">
        <w:rPr>
          <w:rFonts w:ascii="Arial" w:eastAsia="Arial" w:hAnsi="Arial" w:cs="Arial"/>
          <w:b/>
          <w:bCs/>
          <w:sz w:val="22"/>
          <w:szCs w:val="22"/>
        </w:rPr>
        <w:lastRenderedPageBreak/>
        <w:t>Conclusion</w:t>
      </w:r>
    </w:p>
    <w:p w14:paraId="32F1E7E5" w14:textId="087EAF23" w:rsidR="00112473" w:rsidRDefault="2123477B" w:rsidP="543597F1">
      <w:pPr>
        <w:spacing w:line="360" w:lineRule="auto"/>
        <w:rPr>
          <w:rFonts w:ascii="Arial" w:eastAsia="Arial" w:hAnsi="Arial" w:cs="Arial"/>
          <w:sz w:val="22"/>
          <w:szCs w:val="22"/>
        </w:rPr>
      </w:pPr>
      <w:r w:rsidRPr="659EF4DE">
        <w:rPr>
          <w:rFonts w:ascii="Arial" w:eastAsia="Arial" w:hAnsi="Arial" w:cs="Arial"/>
          <w:sz w:val="22"/>
          <w:szCs w:val="22"/>
        </w:rPr>
        <w:t xml:space="preserve">Diabetes is a chronic metabolic condition in which blood glucose regulation is impaired. In T2DM, insulin resistance and progressive pancreatic </w:t>
      </w:r>
      <w:r w:rsidR="275D268D" w:rsidRPr="659EF4DE">
        <w:rPr>
          <w:rFonts w:ascii="Arial" w:eastAsia="Arial" w:hAnsi="Arial" w:cs="Arial"/>
          <w:sz w:val="22"/>
          <w:szCs w:val="22"/>
        </w:rPr>
        <w:t>beta</w:t>
      </w:r>
      <w:r w:rsidRPr="659EF4DE">
        <w:rPr>
          <w:rFonts w:ascii="Arial" w:eastAsia="Arial" w:hAnsi="Arial" w:cs="Arial"/>
          <w:sz w:val="22"/>
          <w:szCs w:val="22"/>
        </w:rPr>
        <w:t>-cell dysfunction interfere with normal glucose homeostasis, resulting in hyperglycaemia. The pancreas, liver, bloodstream and target tissues work together under normal physiological conditions to maintain blood glucose within an appropriate range. At cellular level, glucose is metabolised through cellular respiration, with oxygen supporting oxidative phosphorylation and the production of ATP required for cellular function.</w:t>
      </w:r>
    </w:p>
    <w:p w14:paraId="6715DF05" w14:textId="40222FA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For people with T2DM, monitoring and recording blood glucose can provide useful information when self-monitoring is clinically appropriate, while HbA1c provides an important measure of longer-term glycaemic control. Lifestyle measures, including a balanced diet, regular physical activity, weight management and smoking cessation, can improve glycaemic and cardiovascular outcomes. Effective management should therefore combine physiological understanding, evidence-based interventions and individualised support, enabling people with T2DM to participate actively in their care and reduce the risk of long-term complications.</w:t>
      </w:r>
    </w:p>
    <w:p w14:paraId="37B6D732" w14:textId="6CC62179" w:rsidR="00112473" w:rsidRDefault="00112473" w:rsidP="543597F1">
      <w:pPr>
        <w:spacing w:line="360" w:lineRule="auto"/>
        <w:rPr>
          <w:rFonts w:ascii="Arial" w:eastAsia="Arial" w:hAnsi="Arial" w:cs="Arial"/>
          <w:b/>
          <w:bCs/>
          <w:sz w:val="22"/>
          <w:szCs w:val="22"/>
        </w:rPr>
      </w:pPr>
    </w:p>
    <w:p w14:paraId="38832C0D" w14:textId="565A767E" w:rsidR="00112473" w:rsidRDefault="00112473" w:rsidP="543597F1">
      <w:pPr>
        <w:spacing w:line="360" w:lineRule="auto"/>
        <w:rPr>
          <w:rFonts w:ascii="Arial" w:eastAsia="Arial" w:hAnsi="Arial" w:cs="Arial"/>
          <w:b/>
          <w:bCs/>
          <w:sz w:val="22"/>
          <w:szCs w:val="22"/>
        </w:rPr>
      </w:pPr>
    </w:p>
    <w:p w14:paraId="09FDFD46" w14:textId="1AB2C48B" w:rsidR="00112473" w:rsidRDefault="00112473" w:rsidP="543597F1">
      <w:pPr>
        <w:spacing w:line="360" w:lineRule="auto"/>
        <w:rPr>
          <w:rFonts w:ascii="Arial" w:eastAsia="Arial" w:hAnsi="Arial" w:cs="Arial"/>
          <w:b/>
          <w:bCs/>
          <w:sz w:val="22"/>
          <w:szCs w:val="22"/>
        </w:rPr>
      </w:pPr>
    </w:p>
    <w:p w14:paraId="1DA4C9F7" w14:textId="28B90D8D" w:rsidR="00112473" w:rsidRDefault="00112473" w:rsidP="3ACCE6D1">
      <w:pPr>
        <w:spacing w:line="360" w:lineRule="auto"/>
        <w:rPr>
          <w:rFonts w:ascii="Arial" w:eastAsia="Arial" w:hAnsi="Arial" w:cs="Arial"/>
          <w:b/>
          <w:bCs/>
          <w:sz w:val="22"/>
          <w:szCs w:val="22"/>
        </w:rPr>
      </w:pPr>
    </w:p>
    <w:p w14:paraId="06F39EA7" w14:textId="21D1A4A3" w:rsidR="00112473" w:rsidRDefault="00112473" w:rsidP="3ACCE6D1">
      <w:pPr>
        <w:spacing w:line="360" w:lineRule="auto"/>
        <w:jc w:val="center"/>
        <w:rPr>
          <w:rFonts w:ascii="Arial" w:eastAsia="Arial" w:hAnsi="Arial" w:cs="Arial"/>
          <w:b/>
          <w:bCs/>
          <w:sz w:val="22"/>
          <w:szCs w:val="22"/>
          <w:u w:val="single"/>
        </w:rPr>
      </w:pPr>
    </w:p>
    <w:p w14:paraId="7C0C36F7" w14:textId="77777777" w:rsidR="002B2629" w:rsidRDefault="002B2629" w:rsidP="543597F1">
      <w:pPr>
        <w:spacing w:line="360" w:lineRule="auto"/>
        <w:jc w:val="center"/>
        <w:rPr>
          <w:rFonts w:ascii="Arial" w:eastAsia="Arial" w:hAnsi="Arial" w:cs="Arial"/>
          <w:b/>
          <w:bCs/>
          <w:sz w:val="22"/>
          <w:szCs w:val="22"/>
          <w:u w:val="single"/>
        </w:rPr>
      </w:pPr>
    </w:p>
    <w:p w14:paraId="1C535ECC" w14:textId="77777777" w:rsidR="002B2629" w:rsidRDefault="002B2629" w:rsidP="543597F1">
      <w:pPr>
        <w:spacing w:line="360" w:lineRule="auto"/>
        <w:jc w:val="center"/>
        <w:rPr>
          <w:rFonts w:ascii="Arial" w:eastAsia="Arial" w:hAnsi="Arial" w:cs="Arial"/>
          <w:b/>
          <w:bCs/>
          <w:sz w:val="22"/>
          <w:szCs w:val="22"/>
          <w:u w:val="single"/>
        </w:rPr>
      </w:pPr>
    </w:p>
    <w:p w14:paraId="54FC483F" w14:textId="77777777" w:rsidR="002B2629" w:rsidRDefault="002B2629" w:rsidP="543597F1">
      <w:pPr>
        <w:spacing w:line="360" w:lineRule="auto"/>
        <w:jc w:val="center"/>
        <w:rPr>
          <w:rFonts w:ascii="Arial" w:eastAsia="Arial" w:hAnsi="Arial" w:cs="Arial"/>
          <w:b/>
          <w:bCs/>
          <w:sz w:val="22"/>
          <w:szCs w:val="22"/>
          <w:u w:val="single"/>
        </w:rPr>
      </w:pPr>
    </w:p>
    <w:p w14:paraId="74631C46" w14:textId="77777777" w:rsidR="002B2629" w:rsidRDefault="002B2629" w:rsidP="543597F1">
      <w:pPr>
        <w:spacing w:line="360" w:lineRule="auto"/>
        <w:jc w:val="center"/>
        <w:rPr>
          <w:rFonts w:ascii="Arial" w:eastAsia="Arial" w:hAnsi="Arial" w:cs="Arial"/>
          <w:b/>
          <w:bCs/>
          <w:sz w:val="22"/>
          <w:szCs w:val="22"/>
          <w:u w:val="single"/>
        </w:rPr>
      </w:pPr>
    </w:p>
    <w:p w14:paraId="5FDE076D" w14:textId="77777777" w:rsidR="002B2629" w:rsidRDefault="002B2629" w:rsidP="543597F1">
      <w:pPr>
        <w:spacing w:line="360" w:lineRule="auto"/>
        <w:jc w:val="center"/>
        <w:rPr>
          <w:rFonts w:ascii="Arial" w:eastAsia="Arial" w:hAnsi="Arial" w:cs="Arial"/>
          <w:b/>
          <w:bCs/>
          <w:sz w:val="22"/>
          <w:szCs w:val="22"/>
          <w:u w:val="single"/>
        </w:rPr>
      </w:pPr>
    </w:p>
    <w:p w14:paraId="351BB63F" w14:textId="77777777" w:rsidR="002B2629" w:rsidRDefault="002B2629" w:rsidP="543597F1">
      <w:pPr>
        <w:spacing w:line="360" w:lineRule="auto"/>
        <w:jc w:val="center"/>
        <w:rPr>
          <w:rFonts w:ascii="Arial" w:eastAsia="Arial" w:hAnsi="Arial" w:cs="Arial"/>
          <w:b/>
          <w:bCs/>
          <w:sz w:val="22"/>
          <w:szCs w:val="22"/>
          <w:u w:val="single"/>
        </w:rPr>
      </w:pPr>
    </w:p>
    <w:p w14:paraId="312CF276" w14:textId="77777777" w:rsidR="002B2629" w:rsidRDefault="002B2629" w:rsidP="543597F1">
      <w:pPr>
        <w:spacing w:line="360" w:lineRule="auto"/>
        <w:jc w:val="center"/>
        <w:rPr>
          <w:rFonts w:ascii="Arial" w:eastAsia="Arial" w:hAnsi="Arial" w:cs="Arial"/>
          <w:b/>
          <w:bCs/>
          <w:sz w:val="22"/>
          <w:szCs w:val="22"/>
          <w:u w:val="single"/>
        </w:rPr>
      </w:pPr>
    </w:p>
    <w:p w14:paraId="4E53BDE9" w14:textId="77777777" w:rsidR="00DB31EA" w:rsidRDefault="00DB31EA" w:rsidP="00DB31EA">
      <w:pPr>
        <w:spacing w:line="360" w:lineRule="auto"/>
        <w:rPr>
          <w:rFonts w:ascii="Arial" w:eastAsia="Arial" w:hAnsi="Arial" w:cs="Arial"/>
          <w:b/>
          <w:bCs/>
          <w:sz w:val="22"/>
          <w:szCs w:val="22"/>
          <w:u w:val="single"/>
        </w:rPr>
      </w:pPr>
    </w:p>
    <w:p w14:paraId="19E2C6FE" w14:textId="7DA9830F" w:rsidR="00112473" w:rsidRDefault="0D329C66" w:rsidP="00DB31EA">
      <w:pPr>
        <w:spacing w:line="360" w:lineRule="auto"/>
        <w:jc w:val="center"/>
      </w:pPr>
      <w:r w:rsidRPr="3ACCE6D1">
        <w:rPr>
          <w:rFonts w:ascii="Arial" w:eastAsia="Arial" w:hAnsi="Arial" w:cs="Arial"/>
          <w:b/>
          <w:bCs/>
          <w:sz w:val="22"/>
          <w:szCs w:val="22"/>
          <w:u w:val="single"/>
        </w:rPr>
        <w:lastRenderedPageBreak/>
        <w:t>Reference</w:t>
      </w:r>
      <w:r w:rsidR="03F74128" w:rsidRPr="3ACCE6D1">
        <w:rPr>
          <w:rFonts w:ascii="Arial" w:eastAsia="Arial" w:hAnsi="Arial" w:cs="Arial"/>
          <w:b/>
          <w:bCs/>
          <w:sz w:val="22"/>
          <w:szCs w:val="22"/>
          <w:u w:val="single"/>
        </w:rPr>
        <w:t>s</w:t>
      </w:r>
    </w:p>
    <w:p w14:paraId="4ACE1981" w14:textId="71EC11DD" w:rsidR="3ACCE6D1" w:rsidRDefault="3ACCE6D1" w:rsidP="3ACCE6D1">
      <w:pPr>
        <w:spacing w:line="360" w:lineRule="auto"/>
        <w:jc w:val="center"/>
        <w:rPr>
          <w:rFonts w:ascii="Arial" w:eastAsia="Arial" w:hAnsi="Arial" w:cs="Arial"/>
          <w:b/>
          <w:bCs/>
          <w:sz w:val="22"/>
          <w:szCs w:val="22"/>
          <w:u w:val="single"/>
        </w:rPr>
      </w:pPr>
    </w:p>
    <w:p w14:paraId="735CFA21" w14:textId="00304556" w:rsidR="00112473" w:rsidRDefault="0D329C66" w:rsidP="543597F1">
      <w:pPr>
        <w:spacing w:line="360" w:lineRule="auto"/>
      </w:pPr>
      <w:r w:rsidRPr="3ACCE6D1">
        <w:rPr>
          <w:rFonts w:ascii="Arial" w:eastAsia="Arial" w:hAnsi="Arial" w:cs="Arial"/>
          <w:sz w:val="22"/>
          <w:szCs w:val="22"/>
        </w:rPr>
        <w:t>Alberts, B., Johnson, A., Lewis, J., Morgan, D., Raff, M., Roberts, K. and Walter, P. (2022) Molecular Biology of the Cell. 7th edn. New York: W.W. Norton.</w:t>
      </w:r>
    </w:p>
    <w:p w14:paraId="42E42D1B" w14:textId="79B17F5D" w:rsidR="779640C7" w:rsidRDefault="779640C7" w:rsidP="3ACCE6D1">
      <w:pPr>
        <w:spacing w:line="360" w:lineRule="auto"/>
      </w:pPr>
      <w:r w:rsidRPr="3ACCE6D1">
        <w:rPr>
          <w:rFonts w:ascii="Arial" w:eastAsia="Arial" w:hAnsi="Arial" w:cs="Arial"/>
          <w:sz w:val="22"/>
          <w:szCs w:val="22"/>
        </w:rPr>
        <w:t xml:space="preserve">Betts, J.G., Young, K.A., Wise, J.A., Johnson, E., Poe, B., Kruse, D.H., Korol, O., Johnson, J.E., Womble, M. and DeSaix, P. (2022) </w:t>
      </w:r>
      <w:r w:rsidRPr="3ACCE6D1">
        <w:rPr>
          <w:rFonts w:ascii="Arial" w:eastAsia="Arial" w:hAnsi="Arial" w:cs="Arial"/>
          <w:i/>
          <w:iCs/>
          <w:sz w:val="22"/>
          <w:szCs w:val="22"/>
        </w:rPr>
        <w:t>Anatomy and Physiology 2e</w:t>
      </w:r>
      <w:r w:rsidRPr="3ACCE6D1">
        <w:rPr>
          <w:rFonts w:ascii="Arial" w:eastAsia="Arial" w:hAnsi="Arial" w:cs="Arial"/>
          <w:sz w:val="22"/>
          <w:szCs w:val="22"/>
        </w:rPr>
        <w:t xml:space="preserve">. Houston, TX: OpenStax. Available at: </w:t>
      </w:r>
      <w:hyperlink r:id="rId5">
        <w:r w:rsidRPr="3ACCE6D1">
          <w:rPr>
            <w:rStyle w:val="Hyperlink"/>
          </w:rPr>
          <w:t>OpenStax – Anatomy and Physiology 2e</w:t>
        </w:r>
      </w:hyperlink>
      <w:r w:rsidRPr="3ACCE6D1">
        <w:rPr>
          <w:rFonts w:ascii="Arial" w:eastAsia="Arial" w:hAnsi="Arial" w:cs="Arial"/>
          <w:sz w:val="22"/>
          <w:szCs w:val="22"/>
        </w:rPr>
        <w:t xml:space="preserve"> (Accessed: 4 October 2026).</w:t>
      </w:r>
    </w:p>
    <w:p w14:paraId="354FF93B" w14:textId="076D390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Cooper, G.M. (2000) The Cell: A Molecular Approach. 2nd edn. Sunderland, MA: Sinauer Associates.</w:t>
      </w:r>
    </w:p>
    <w:p w14:paraId="1BB75494" w14:textId="01CD80A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Department of Health and Social Care (2021) Ethnic disparities in the major causes of mortality and their risk factors. Available at: GOV.UK (Accessed: 17 September 2026).</w:t>
      </w:r>
    </w:p>
    <w:p w14:paraId="32EF40B0" w14:textId="7A76244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Diabetes UK (2026) How to check your blood sugar levels. Available at: Diabetes UK (Accessed: 17 September 2026).</w:t>
      </w:r>
    </w:p>
    <w:p w14:paraId="4EA73A7B" w14:textId="209D5F8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Igarashi, Y., Akazawa, N. and Maeda, S. (2021) ‘The relationship between the level of exercise and hemoglobin A1c in patients with type 2 diabetes mellitus: a systematic review and meta-analysis’, Endocrine, 74(3), pp. 546–558.</w:t>
      </w:r>
    </w:p>
    <w:p w14:paraId="01732258" w14:textId="45B80158"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(2025a) What is type 2 diabetes? Available at: NHS (Accessed: 17 September 2026).</w:t>
      </w:r>
    </w:p>
    <w:p w14:paraId="7DC59572" w14:textId="1F836354"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(2025b) Symptoms of type 2 diabetes and how it is diagnosed. Available at: NHS (Accessed: 17 September 2026).</w:t>
      </w:r>
    </w:p>
    <w:p w14:paraId="0698150C" w14:textId="59CAB3B1"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(2025c) Diabetes. Available at: NHS (Accessed: 17 September 2026).</w:t>
      </w:r>
    </w:p>
    <w:p w14:paraId="388FD508" w14:textId="30AF443D"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(2025d) Treatment for type 2 diabetes. Available at: NHS (Accessed: 17 September 2026).</w:t>
      </w:r>
    </w:p>
    <w:p w14:paraId="3C7A0A21" w14:textId="25DE09DA" w:rsidR="00112473" w:rsidRDefault="343D7B27" w:rsidP="543597F1">
      <w:pPr>
        <w:spacing w:line="360" w:lineRule="auto"/>
        <w:rPr>
          <w:rFonts w:ascii="Arial" w:eastAsia="Arial" w:hAnsi="Arial" w:cs="Arial"/>
          <w:sz w:val="22"/>
          <w:szCs w:val="22"/>
        </w:rPr>
      </w:pPr>
      <w:r w:rsidRPr="3ACCE6D1">
        <w:rPr>
          <w:rFonts w:ascii="Arial" w:eastAsia="Arial" w:hAnsi="Arial" w:cs="Arial"/>
          <w:sz w:val="22"/>
          <w:szCs w:val="22"/>
        </w:rPr>
        <w:t>NICE (2026) Type 2</w:t>
      </w:r>
      <w:r w:rsidR="1F9D129C" w:rsidRPr="3ACCE6D1">
        <w:rPr>
          <w:rFonts w:ascii="Arial" w:eastAsia="Arial" w:hAnsi="Arial" w:cs="Arial"/>
          <w:sz w:val="22"/>
          <w:szCs w:val="22"/>
        </w:rPr>
        <w:t xml:space="preserve"> </w:t>
      </w:r>
      <w:r w:rsidRPr="3ACCE6D1">
        <w:rPr>
          <w:rFonts w:ascii="Arial" w:eastAsia="Arial" w:hAnsi="Arial" w:cs="Arial"/>
          <w:sz w:val="22"/>
          <w:szCs w:val="22"/>
        </w:rPr>
        <w:t>diabetes in adults: management (NG28). London: National Institute for Health and Care Excellence. Available at: NICE (Accessed: 17 September 2026).</w:t>
      </w:r>
    </w:p>
    <w:p w14:paraId="3EA7572C" w14:textId="4C12387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Ojo, O., Adebowale, F., Wang, X., Ojo, O.O. and Adegboye, A.R.A. (2023) ‘Diet in the management of type 2 diabetes: umbrella review of systematic reviews with meta-analyses of randomised controlled trials’, BMJ Open, 13.</w:t>
      </w:r>
    </w:p>
    <w:p w14:paraId="552D6115" w14:textId="7F8866AF"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Umpierre, D., Ribeiro, P.A.B., Kramer, C.K., Leitão, C.B., Zucatti, A.T.N., Azevedo, M.J., Gross, J.L., Ribeiro, J.P. and Schaan, B.D. (2011) ‘Physical activity advice only or structured exercise </w:t>
      </w:r>
      <w:r w:rsidRPr="543597F1">
        <w:rPr>
          <w:rFonts w:ascii="Arial" w:eastAsia="Arial" w:hAnsi="Arial" w:cs="Arial"/>
          <w:sz w:val="22"/>
          <w:szCs w:val="22"/>
        </w:rPr>
        <w:lastRenderedPageBreak/>
        <w:t>training and association with HbA1c levels in type 2 diabetes: a systematic review and meta-analysis’, JAMA, 305(17), pp. 1790–1799.</w:t>
      </w:r>
    </w:p>
    <w:p w14:paraId="7E55EDED" w14:textId="505267B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World Health Organization (2024) Diabetes. Available at: World Health Organization (Accessed: 17 September 2026).</w:t>
      </w:r>
    </w:p>
    <w:p w14:paraId="2C078E63" w14:textId="07EB1C13" w:rsidR="00112473" w:rsidRDefault="00112473"/>
    <w:sectPr w:rsidR="001124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CAB884"/>
    <w:rsid w:val="00040871"/>
    <w:rsid w:val="0004424F"/>
    <w:rsid w:val="00057351"/>
    <w:rsid w:val="000B30C4"/>
    <w:rsid w:val="001049F3"/>
    <w:rsid w:val="00112473"/>
    <w:rsid w:val="001405F1"/>
    <w:rsid w:val="0014579A"/>
    <w:rsid w:val="00156851"/>
    <w:rsid w:val="001F5519"/>
    <w:rsid w:val="002A7D00"/>
    <w:rsid w:val="002B2629"/>
    <w:rsid w:val="003015AD"/>
    <w:rsid w:val="0047343F"/>
    <w:rsid w:val="005400FD"/>
    <w:rsid w:val="005B7980"/>
    <w:rsid w:val="00610381"/>
    <w:rsid w:val="007916CA"/>
    <w:rsid w:val="007A013D"/>
    <w:rsid w:val="007A1295"/>
    <w:rsid w:val="00AF4A7C"/>
    <w:rsid w:val="00B30DA9"/>
    <w:rsid w:val="00BB055D"/>
    <w:rsid w:val="00C7252F"/>
    <w:rsid w:val="00CC61F4"/>
    <w:rsid w:val="00D163BF"/>
    <w:rsid w:val="00DB31EA"/>
    <w:rsid w:val="00E7179D"/>
    <w:rsid w:val="00EA254D"/>
    <w:rsid w:val="00EF00A8"/>
    <w:rsid w:val="00F93CE8"/>
    <w:rsid w:val="03F74128"/>
    <w:rsid w:val="049A1416"/>
    <w:rsid w:val="096BF219"/>
    <w:rsid w:val="0AE3A1D2"/>
    <w:rsid w:val="0C0F5436"/>
    <w:rsid w:val="0D329C66"/>
    <w:rsid w:val="0F1B66BD"/>
    <w:rsid w:val="0FD13A52"/>
    <w:rsid w:val="11397ACD"/>
    <w:rsid w:val="11532988"/>
    <w:rsid w:val="1339ED11"/>
    <w:rsid w:val="173FFEC7"/>
    <w:rsid w:val="1D5E21B8"/>
    <w:rsid w:val="1E9628F1"/>
    <w:rsid w:val="1F9D129C"/>
    <w:rsid w:val="20E4AF8A"/>
    <w:rsid w:val="2123477B"/>
    <w:rsid w:val="24F8E3A9"/>
    <w:rsid w:val="275D268D"/>
    <w:rsid w:val="2AD9A69B"/>
    <w:rsid w:val="2F4CC366"/>
    <w:rsid w:val="30496B0E"/>
    <w:rsid w:val="324E6DFA"/>
    <w:rsid w:val="3279E492"/>
    <w:rsid w:val="343D7B27"/>
    <w:rsid w:val="36B9C8BA"/>
    <w:rsid w:val="36D42E00"/>
    <w:rsid w:val="3ACCE6D1"/>
    <w:rsid w:val="41DFEAF2"/>
    <w:rsid w:val="42C8055E"/>
    <w:rsid w:val="444612A9"/>
    <w:rsid w:val="53D6999C"/>
    <w:rsid w:val="543597F1"/>
    <w:rsid w:val="54456D28"/>
    <w:rsid w:val="578D85EA"/>
    <w:rsid w:val="5ABA985D"/>
    <w:rsid w:val="5C2359CF"/>
    <w:rsid w:val="5C239DB5"/>
    <w:rsid w:val="5C3BC517"/>
    <w:rsid w:val="5EE1BEFA"/>
    <w:rsid w:val="5EEA4C4D"/>
    <w:rsid w:val="64BFC200"/>
    <w:rsid w:val="659EF4DE"/>
    <w:rsid w:val="691D1193"/>
    <w:rsid w:val="6B91B496"/>
    <w:rsid w:val="6CB8A310"/>
    <w:rsid w:val="6CCAB884"/>
    <w:rsid w:val="6EA45F13"/>
    <w:rsid w:val="6FBE3B73"/>
    <w:rsid w:val="70D723C2"/>
    <w:rsid w:val="72460F3C"/>
    <w:rsid w:val="779640C7"/>
    <w:rsid w:val="78F475A6"/>
    <w:rsid w:val="7A31FD1C"/>
    <w:rsid w:val="7C2EE9FD"/>
    <w:rsid w:val="7EC8529B"/>
    <w:rsid w:val="7F4671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FEDF"/>
  <w15:chartTrackingRefBased/>
  <w15:docId w15:val="{D7E0FC25-3635-4D25-861C-44A0624CE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3ACCE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ACCE6D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ACCE6D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openstax.org/books/anatomy-and-physiology-2e/pages/24-2-carbohydrate-metabolism?utm_source=chatgpt.co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 Nusrat (2129074)</dc:creator>
  <cp:keywords/>
  <dc:description/>
  <cp:lastModifiedBy>Ansa Ashfaq</cp:lastModifiedBy>
  <cp:revision>4</cp:revision>
  <dcterms:created xsi:type="dcterms:W3CDTF">2026-10-07T10:12:00Z</dcterms:created>
  <dcterms:modified xsi:type="dcterms:W3CDTF">2026-10-09T17:36:00Z</dcterms:modified>
</cp:coreProperties>
</file>