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860CB" w14:textId="77777777" w:rsidR="00CB4931" w:rsidRPr="00C906CA" w:rsidRDefault="00CB4931" w:rsidP="00CB4931">
      <w:pPr>
        <w:spacing w:after="0" w:line="240" w:lineRule="auto"/>
        <w:ind w:left="426"/>
        <w:jc w:val="both"/>
        <w:rPr>
          <w:rFonts w:eastAsia="Times New Roman" w:cstheme="minorHAnsi"/>
          <w:i/>
          <w:iCs/>
          <w:color w:val="FF0000"/>
          <w:lang w:eastAsia="en-GB"/>
        </w:rPr>
      </w:pPr>
      <w:r w:rsidRPr="00C906CA">
        <w:rPr>
          <w:rFonts w:eastAsia="Times New Roman" w:cstheme="minorHAnsi"/>
          <w:i/>
          <w:iCs/>
          <w:color w:val="FF0000"/>
          <w:lang w:eastAsia="en-GB"/>
        </w:rPr>
        <w:t>Policing responsibilities in the 21</w:t>
      </w:r>
      <w:r w:rsidRPr="00C906CA">
        <w:rPr>
          <w:rFonts w:eastAsia="Times New Roman" w:cstheme="minorHAnsi"/>
          <w:i/>
          <w:iCs/>
          <w:color w:val="FF0000"/>
          <w:vertAlign w:val="superscript"/>
          <w:lang w:eastAsia="en-GB"/>
        </w:rPr>
        <w:t>st</w:t>
      </w:r>
      <w:r w:rsidRPr="00C906CA">
        <w:rPr>
          <w:rFonts w:eastAsia="Times New Roman" w:cstheme="minorHAnsi"/>
          <w:i/>
          <w:iCs/>
          <w:color w:val="FF0000"/>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259611F5" w14:textId="77777777" w:rsidR="00CB4931" w:rsidRPr="00C906CA" w:rsidRDefault="00CB4931" w:rsidP="00CB4931">
      <w:pPr>
        <w:spacing w:after="0" w:line="240" w:lineRule="auto"/>
        <w:ind w:left="426"/>
        <w:rPr>
          <w:rFonts w:eastAsia="Times New Roman" w:cstheme="minorHAnsi"/>
          <w:color w:val="FF0000"/>
          <w:lang w:eastAsia="en-GB"/>
        </w:rPr>
      </w:pPr>
    </w:p>
    <w:p w14:paraId="093B9F0D" w14:textId="77777777" w:rsidR="00CB4931" w:rsidRPr="00C906CA" w:rsidRDefault="00CB4931" w:rsidP="00CB4931">
      <w:pPr>
        <w:spacing w:after="0" w:line="240" w:lineRule="auto"/>
        <w:ind w:left="426"/>
        <w:rPr>
          <w:rFonts w:eastAsia="Times New Roman" w:cstheme="minorHAnsi"/>
          <w:color w:val="FF0000"/>
          <w:lang w:eastAsia="en-GB"/>
        </w:rPr>
      </w:pPr>
    </w:p>
    <w:p w14:paraId="4F516E4B" w14:textId="77777777" w:rsidR="00CB4931" w:rsidRPr="00C906CA" w:rsidRDefault="00CB4931" w:rsidP="00CB4931">
      <w:pPr>
        <w:overflowPunct w:val="0"/>
        <w:autoSpaceDE w:val="0"/>
        <w:autoSpaceDN w:val="0"/>
        <w:adjustRightInd w:val="0"/>
        <w:spacing w:before="240" w:after="0" w:line="240" w:lineRule="auto"/>
        <w:ind w:left="426"/>
        <w:jc w:val="both"/>
        <w:textAlignment w:val="baseline"/>
        <w:rPr>
          <w:rFonts w:eastAsia="Times New Roman" w:cstheme="minorHAnsi"/>
          <w:color w:val="FF0000"/>
          <w:lang w:eastAsia="en-GB"/>
        </w:rPr>
      </w:pPr>
      <w:r w:rsidRPr="00C906CA">
        <w:rPr>
          <w:rFonts w:eastAsia="Times New Roman" w:cstheme="minorHAnsi"/>
          <w:color w:val="FF0000"/>
          <w:lang w:eastAsia="en-GB"/>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14:paraId="02011269" w14:textId="3A941943" w:rsidR="00CB4931" w:rsidRPr="00C906CA" w:rsidRDefault="007F5C23"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This essay will focus on the links between serious and organised crime and the public protection issues that may arise. How Multi agency Public Protection Arrangements (MAPPA) help with the management of these issues and offenders will also be analysed. </w:t>
      </w:r>
      <w:r w:rsidR="00AB50C6" w:rsidRPr="00C906CA">
        <w:rPr>
          <w:rFonts w:eastAsia="Times New Roman" w:cstheme="minorHAnsi"/>
          <w:lang w:eastAsia="en-GB"/>
        </w:rPr>
        <w:t>Academic resources will be reviewed to analyse the issues surrounding organised crime groups and their management within the community</w:t>
      </w:r>
      <w:r w:rsidR="00EC0765" w:rsidRPr="00C906CA">
        <w:rPr>
          <w:rFonts w:eastAsia="Times New Roman" w:cstheme="minorHAnsi"/>
          <w:lang w:eastAsia="en-GB"/>
        </w:rPr>
        <w:t xml:space="preserve"> and how public protection strategies are viewed by the media. </w:t>
      </w:r>
    </w:p>
    <w:p w14:paraId="481B87E7" w14:textId="366196DF" w:rsidR="007F5C23" w:rsidRPr="00C906CA" w:rsidRDefault="0026306E"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There has been a debate for many years as to the definition of dangerous offenders and how to manage these offenders. In the United States of America, in some states anyhow, the death penalty is still a form of sentencing for the most serious offenders. This has always been a debate here in the UK since the 1970’s to early 1980’s, in relation to proposals for reforming </w:t>
      </w:r>
      <w:r w:rsidR="006E0F05" w:rsidRPr="00C906CA">
        <w:rPr>
          <w:rFonts w:eastAsia="Times New Roman" w:cstheme="minorHAnsi"/>
          <w:lang w:eastAsia="en-GB"/>
        </w:rPr>
        <w:t>offenders (</w:t>
      </w:r>
      <w:proofErr w:type="spellStart"/>
      <w:r w:rsidR="006E0F05" w:rsidRPr="00C906CA">
        <w:rPr>
          <w:rFonts w:eastAsia="Times New Roman" w:cstheme="minorHAnsi"/>
          <w:lang w:eastAsia="en-GB"/>
        </w:rPr>
        <w:t>Kemshall</w:t>
      </w:r>
      <w:proofErr w:type="spellEnd"/>
      <w:r w:rsidR="006E0F05" w:rsidRPr="00C906CA">
        <w:rPr>
          <w:rFonts w:eastAsia="Times New Roman" w:cstheme="minorHAnsi"/>
          <w:lang w:eastAsia="en-GB"/>
        </w:rPr>
        <w:t xml:space="preserve"> and Maguire, 2001) and how to manage them. Levels of sentencing and how offenders are managed upon release from prison is a key issue that has been identified to minimise the future risk to the public. </w:t>
      </w:r>
    </w:p>
    <w:p w14:paraId="58E5B24A" w14:textId="69FED55E" w:rsidR="00F128F7" w:rsidRPr="00C906CA" w:rsidRDefault="00F128F7"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The police, probation and prison services are the three main agencies involved with MAPPA and they have a statutory responsibility to monitor sexual and violent offenders and </w:t>
      </w:r>
      <w:r w:rsidR="00452895" w:rsidRPr="00C906CA">
        <w:rPr>
          <w:rFonts w:eastAsia="Times New Roman" w:cstheme="minorHAnsi"/>
          <w:lang w:eastAsia="en-GB"/>
        </w:rPr>
        <w:t xml:space="preserve">manage these offenders upon their release from prison </w:t>
      </w:r>
      <w:r w:rsidRPr="00C906CA">
        <w:rPr>
          <w:rFonts w:eastAsia="Times New Roman" w:cstheme="minorHAnsi"/>
          <w:lang w:eastAsia="en-GB"/>
        </w:rPr>
        <w:t>(Home Office, 2007).  Other agencies also have a duty to cooperate with each other to manage these offenders.</w:t>
      </w:r>
    </w:p>
    <w:p w14:paraId="58EE6C2C" w14:textId="2A053567" w:rsidR="00A561F9" w:rsidRPr="00C906CA" w:rsidRDefault="00371F8C"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Weaver and Barry (2014) conducted research surrounding offenders who are managed by the services and their views on the service that they received. It was found that many people managed thought that the services were there only to safeguard the public and that they were being monitored and not helped. Others however, thought that the services were there to help them change and that the role of probation was not only to stop them re-</w:t>
      </w:r>
      <w:r w:rsidR="00125BAA" w:rsidRPr="00C906CA">
        <w:rPr>
          <w:rFonts w:eastAsia="Times New Roman" w:cstheme="minorHAnsi"/>
          <w:lang w:eastAsia="en-GB"/>
        </w:rPr>
        <w:t>offending,</w:t>
      </w:r>
      <w:r w:rsidRPr="00C906CA">
        <w:rPr>
          <w:rFonts w:eastAsia="Times New Roman" w:cstheme="minorHAnsi"/>
          <w:lang w:eastAsia="en-GB"/>
        </w:rPr>
        <w:t xml:space="preserve"> but it was a familiar face that they could voice their feelings to and speak about their problems.</w:t>
      </w:r>
      <w:r w:rsidR="00125BAA" w:rsidRPr="00C906CA">
        <w:rPr>
          <w:rFonts w:eastAsia="Times New Roman" w:cstheme="minorHAnsi"/>
          <w:lang w:eastAsia="en-GB"/>
        </w:rPr>
        <w:t xml:space="preserve"> The </w:t>
      </w:r>
      <w:r w:rsidR="00A561F9" w:rsidRPr="00C906CA">
        <w:rPr>
          <w:rFonts w:eastAsia="Times New Roman" w:cstheme="minorHAnsi"/>
          <w:lang w:eastAsia="en-GB"/>
        </w:rPr>
        <w:t>police and probation services are the main two organisations that would manage and deal with offenders and their licence conditions. The police will deal with the breaches or other offences and will then be looking to manage the risk of that offender by returning them back to prison. Probation officers are seemingly putting the onus on the offender to rehabilitate themselves and their actions are solely to manage the risk and penalise the offender (</w:t>
      </w:r>
      <w:proofErr w:type="spellStart"/>
      <w:r w:rsidR="00A561F9" w:rsidRPr="00C906CA">
        <w:rPr>
          <w:rFonts w:eastAsia="Times New Roman" w:cstheme="minorHAnsi"/>
          <w:lang w:eastAsia="en-GB"/>
        </w:rPr>
        <w:t>Kemshall</w:t>
      </w:r>
      <w:proofErr w:type="spellEnd"/>
      <w:r w:rsidR="00A561F9" w:rsidRPr="00C906CA">
        <w:rPr>
          <w:rFonts w:eastAsia="Times New Roman" w:cstheme="minorHAnsi"/>
          <w:lang w:eastAsia="en-GB"/>
        </w:rPr>
        <w:t xml:space="preserve"> and Maguire, 2001). The management of risk is a forefront to probation services as opposed to helping the offender rehabilitate to minimise their risk to society (Weaver and Barry, 2014). </w:t>
      </w:r>
    </w:p>
    <w:p w14:paraId="31BADE01" w14:textId="30691DAF" w:rsidR="00A561F9" w:rsidRPr="00C906CA" w:rsidRDefault="00A561F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 </w:t>
      </w:r>
      <w:r w:rsidR="00AB4255" w:rsidRPr="00C906CA">
        <w:rPr>
          <w:rFonts w:eastAsia="Times New Roman" w:cstheme="minorHAnsi"/>
          <w:lang w:eastAsia="en-GB"/>
        </w:rPr>
        <w:t xml:space="preserve">Serious and organised crime does not just involve violence. With many of these groups having their main crime involvement as being drug supply or any form of drug involvement. There has been a hierarchy structure identified with many organised crime groups and a sense of family within the group. The crimes vary depending on your position withing the group. </w:t>
      </w:r>
      <w:r w:rsidR="00AB4255" w:rsidRPr="00C906CA">
        <w:rPr>
          <w:rFonts w:eastAsia="Times New Roman" w:cstheme="minorHAnsi"/>
          <w:i/>
          <w:iCs/>
          <w:lang w:eastAsia="en-GB"/>
        </w:rPr>
        <w:t>“</w:t>
      </w:r>
      <w:r w:rsidR="00AB4255" w:rsidRPr="00C906CA">
        <w:rPr>
          <w:rFonts w:cstheme="minorHAnsi"/>
          <w:i/>
          <w:iCs/>
          <w:color w:val="333333"/>
          <w:shd w:val="clear" w:color="auto" w:fill="FCFCFC"/>
        </w:rPr>
        <w:t xml:space="preserve">Commercial burglaries were committed by more established members of the group, violent robberies and domestic burglaries by younger less experienced members, and drug production and supply by people who were in debt to, or in fear of the leaders of the organised crime group.” </w:t>
      </w:r>
      <w:r w:rsidR="00AB4255" w:rsidRPr="00C906CA">
        <w:rPr>
          <w:rFonts w:cstheme="minorHAnsi"/>
          <w:color w:val="333333"/>
          <w:shd w:val="clear" w:color="auto" w:fill="FCFCFC"/>
        </w:rPr>
        <w:t xml:space="preserve">(Crocker et.al, 2018). </w:t>
      </w:r>
      <w:r w:rsidR="00AB4255" w:rsidRPr="00C906CA">
        <w:rPr>
          <w:rFonts w:eastAsia="Times New Roman" w:cstheme="minorHAnsi"/>
          <w:lang w:eastAsia="en-GB"/>
        </w:rPr>
        <w:t xml:space="preserve"> </w:t>
      </w:r>
      <w:r w:rsidR="00E03D3F" w:rsidRPr="00C906CA">
        <w:rPr>
          <w:rFonts w:eastAsia="Times New Roman" w:cstheme="minorHAnsi"/>
          <w:lang w:eastAsia="en-GB"/>
        </w:rPr>
        <w:t xml:space="preserve">The latter part of the previous statement is a key to the issues faced when </w:t>
      </w:r>
      <w:r w:rsidR="00E03D3F" w:rsidRPr="00C906CA">
        <w:rPr>
          <w:rFonts w:eastAsia="Times New Roman" w:cstheme="minorHAnsi"/>
          <w:lang w:eastAsia="en-GB"/>
        </w:rPr>
        <w:lastRenderedPageBreak/>
        <w:t xml:space="preserve">managing offenders. Many criminals have family involved and they stay in the crime groups. Others also owe a debt to and fear higher members of the organised crime group. </w:t>
      </w:r>
      <w:r w:rsidR="00E57C40" w:rsidRPr="00C906CA">
        <w:rPr>
          <w:rFonts w:eastAsia="Times New Roman" w:cstheme="minorHAnsi"/>
          <w:lang w:eastAsia="en-GB"/>
        </w:rPr>
        <w:t xml:space="preserve">If police officers are involved with these criminals and are seizing the money and drugs from them, the debt then becomes bigger and the cycle never ends. </w:t>
      </w:r>
      <w:r w:rsidR="00E03D3F" w:rsidRPr="00C906CA">
        <w:rPr>
          <w:rFonts w:eastAsia="Times New Roman" w:cstheme="minorHAnsi"/>
          <w:lang w:eastAsia="en-GB"/>
        </w:rPr>
        <w:t xml:space="preserve">These offenders are not willing to engage with services </w:t>
      </w:r>
      <w:r w:rsidR="000F127A" w:rsidRPr="00C906CA">
        <w:rPr>
          <w:rFonts w:eastAsia="Times New Roman" w:cstheme="minorHAnsi"/>
          <w:lang w:eastAsia="en-GB"/>
        </w:rPr>
        <w:t>due to them being at fear of repercussions from leaving the criminal groups.</w:t>
      </w:r>
      <w:r w:rsidR="00E03D3F" w:rsidRPr="00C906CA">
        <w:rPr>
          <w:rFonts w:eastAsia="Times New Roman" w:cstheme="minorHAnsi"/>
          <w:lang w:eastAsia="en-GB"/>
        </w:rPr>
        <w:t xml:space="preserve"> </w:t>
      </w:r>
      <w:r w:rsidR="00BC0A21" w:rsidRPr="00C906CA">
        <w:rPr>
          <w:rFonts w:eastAsia="Times New Roman" w:cstheme="minorHAnsi"/>
          <w:lang w:eastAsia="en-GB"/>
        </w:rPr>
        <w:t>Fear is not only for themselves, but also for their family members and close friends</w:t>
      </w:r>
      <w:r w:rsidR="001F7F52" w:rsidRPr="00C906CA">
        <w:rPr>
          <w:rFonts w:eastAsia="Times New Roman" w:cstheme="minorHAnsi"/>
          <w:lang w:eastAsia="en-GB"/>
        </w:rPr>
        <w:t xml:space="preserve"> (Carson and Michael </w:t>
      </w:r>
      <w:proofErr w:type="spellStart"/>
      <w:r w:rsidR="001F7F52" w:rsidRPr="00C906CA">
        <w:rPr>
          <w:rFonts w:eastAsia="Times New Roman" w:cstheme="minorHAnsi"/>
          <w:lang w:eastAsia="en-GB"/>
        </w:rPr>
        <w:t>Veccio</w:t>
      </w:r>
      <w:proofErr w:type="spellEnd"/>
      <w:r w:rsidR="001F7F52" w:rsidRPr="00C906CA">
        <w:rPr>
          <w:rFonts w:eastAsia="Times New Roman" w:cstheme="minorHAnsi"/>
          <w:lang w:eastAsia="en-GB"/>
        </w:rPr>
        <w:t>, 2015). Having been through these experiences themselves as part of the gang, they may fear from this and will not engage with probation</w:t>
      </w:r>
      <w:r w:rsidR="00C16B1B" w:rsidRPr="00C906CA">
        <w:rPr>
          <w:rFonts w:eastAsia="Times New Roman" w:cstheme="minorHAnsi"/>
          <w:lang w:eastAsia="en-GB"/>
        </w:rPr>
        <w:t xml:space="preserve"> </w:t>
      </w:r>
      <w:r w:rsidR="001F7F52" w:rsidRPr="00C906CA">
        <w:rPr>
          <w:rFonts w:eastAsia="Times New Roman" w:cstheme="minorHAnsi"/>
          <w:lang w:eastAsia="en-GB"/>
        </w:rPr>
        <w:t xml:space="preserve">services. This then affects the public protection from these offenders as they will be at risk of returning to </w:t>
      </w:r>
      <w:r w:rsidR="00AB50C6" w:rsidRPr="00C906CA">
        <w:rPr>
          <w:rFonts w:eastAsia="Times New Roman" w:cstheme="minorHAnsi"/>
          <w:lang w:eastAsia="en-GB"/>
        </w:rPr>
        <w:t>t</w:t>
      </w:r>
      <w:r w:rsidR="001F7F52" w:rsidRPr="00C906CA">
        <w:rPr>
          <w:rFonts w:eastAsia="Times New Roman" w:cstheme="minorHAnsi"/>
          <w:lang w:eastAsia="en-GB"/>
        </w:rPr>
        <w:t>heir offending behaviour</w:t>
      </w:r>
      <w:r w:rsidR="00AB50C6" w:rsidRPr="00C906CA">
        <w:rPr>
          <w:rFonts w:eastAsia="Times New Roman" w:cstheme="minorHAnsi"/>
          <w:lang w:eastAsia="en-GB"/>
        </w:rPr>
        <w:t xml:space="preserve"> and organised crim</w:t>
      </w:r>
      <w:r w:rsidR="000F127A" w:rsidRPr="00C906CA">
        <w:rPr>
          <w:rFonts w:eastAsia="Times New Roman" w:cstheme="minorHAnsi"/>
          <w:lang w:eastAsia="en-GB"/>
        </w:rPr>
        <w:t>e</w:t>
      </w:r>
      <w:r w:rsidR="00AB50C6" w:rsidRPr="00C906CA">
        <w:rPr>
          <w:rFonts w:eastAsia="Times New Roman" w:cstheme="minorHAnsi"/>
          <w:lang w:eastAsia="en-GB"/>
        </w:rPr>
        <w:t xml:space="preserve"> group involvement. </w:t>
      </w:r>
    </w:p>
    <w:p w14:paraId="6C3A5352" w14:textId="6B036134" w:rsidR="007B0965" w:rsidRPr="00C906CA" w:rsidRDefault="00AB50C6"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There is a middle ground between the rehabilitation of the offenders (prevention) and the </w:t>
      </w:r>
      <w:r w:rsidR="005861E1" w:rsidRPr="00C906CA">
        <w:rPr>
          <w:rFonts w:eastAsia="Times New Roman" w:cstheme="minorHAnsi"/>
          <w:lang w:eastAsia="en-GB"/>
        </w:rPr>
        <w:t>conviction of them. This is where agencies such as the police, look to disrupt the organised crime groups and break down their criminal associations. (Kirby et.al, 2015).</w:t>
      </w:r>
      <w:r w:rsidR="00397EA9" w:rsidRPr="00C906CA">
        <w:rPr>
          <w:rFonts w:eastAsia="Times New Roman" w:cstheme="minorHAnsi"/>
          <w:lang w:eastAsia="en-GB"/>
        </w:rPr>
        <w:t xml:space="preserve"> </w:t>
      </w:r>
      <w:r w:rsidR="00701A22" w:rsidRPr="00C906CA">
        <w:rPr>
          <w:rFonts w:eastAsia="Times New Roman" w:cstheme="minorHAnsi"/>
          <w:lang w:eastAsia="en-GB"/>
        </w:rPr>
        <w:t>Police powers of stop and search are highly criticised by the media</w:t>
      </w:r>
      <w:r w:rsidR="000F127A" w:rsidRPr="00C906CA">
        <w:rPr>
          <w:rFonts w:eastAsia="Times New Roman" w:cstheme="minorHAnsi"/>
          <w:lang w:eastAsia="en-GB"/>
        </w:rPr>
        <w:t>;</w:t>
      </w:r>
      <w:r w:rsidR="00701A22" w:rsidRPr="00C906CA">
        <w:rPr>
          <w:rFonts w:eastAsia="Times New Roman" w:cstheme="minorHAnsi"/>
          <w:lang w:eastAsia="en-GB"/>
        </w:rPr>
        <w:t xml:space="preserve"> however</w:t>
      </w:r>
      <w:r w:rsidR="00E568D0" w:rsidRPr="00C906CA">
        <w:rPr>
          <w:rFonts w:eastAsia="Times New Roman" w:cstheme="minorHAnsi"/>
          <w:lang w:eastAsia="en-GB"/>
        </w:rPr>
        <w:t>,</w:t>
      </w:r>
      <w:r w:rsidR="00701A22" w:rsidRPr="00C906CA">
        <w:rPr>
          <w:rFonts w:eastAsia="Times New Roman" w:cstheme="minorHAnsi"/>
          <w:lang w:eastAsia="en-GB"/>
        </w:rPr>
        <w:t xml:space="preserve"> it is an intervention to disturb the organised crime groups and protect the community. Stop and search is used by police officers to help</w:t>
      </w:r>
      <w:r w:rsidR="00CA2FA9" w:rsidRPr="00C906CA">
        <w:rPr>
          <w:rFonts w:eastAsia="Times New Roman" w:cstheme="minorHAnsi"/>
          <w:lang w:eastAsia="en-GB"/>
        </w:rPr>
        <w:t xml:space="preserve"> prevent and detect crime. It is often used in practice to develop intelligence on known criminals and to help them gain a sense of control over the community (Bowling and Phillips, 2007)</w:t>
      </w:r>
      <w:r w:rsidR="000B1E22" w:rsidRPr="00C906CA">
        <w:rPr>
          <w:rFonts w:eastAsia="Times New Roman" w:cstheme="minorHAnsi"/>
          <w:lang w:eastAsia="en-GB"/>
        </w:rPr>
        <w:t xml:space="preserve">, even if this is not under the legislation to allow them. Due to officers using the power of stop and search incorrectly, it is widely criticised by the media; this is mainly due to </w:t>
      </w:r>
      <w:r w:rsidR="000F127A" w:rsidRPr="00C906CA">
        <w:rPr>
          <w:rFonts w:eastAsia="Times New Roman" w:cstheme="minorHAnsi"/>
          <w:lang w:eastAsia="en-GB"/>
        </w:rPr>
        <w:t xml:space="preserve">the </w:t>
      </w:r>
      <w:r w:rsidR="000B1E22" w:rsidRPr="00C906CA">
        <w:rPr>
          <w:rFonts w:eastAsia="Times New Roman" w:cstheme="minorHAnsi"/>
          <w:lang w:eastAsia="en-GB"/>
        </w:rPr>
        <w:t xml:space="preserve">targeting of young black men, following from the Stephen Lawrence inquiry in 1999. </w:t>
      </w:r>
      <w:r w:rsidR="00100893" w:rsidRPr="00C906CA">
        <w:rPr>
          <w:rFonts w:eastAsia="Times New Roman" w:cstheme="minorHAnsi"/>
          <w:lang w:eastAsia="en-GB"/>
        </w:rPr>
        <w:t>The police were widely criticised and found to be racist following this enquiry</w:t>
      </w:r>
      <w:r w:rsidR="000B1E22" w:rsidRPr="00C906CA">
        <w:rPr>
          <w:rFonts w:eastAsia="Times New Roman" w:cstheme="minorHAnsi"/>
          <w:lang w:eastAsia="en-GB"/>
        </w:rPr>
        <w:t xml:space="preserve"> (Miller, 2010)</w:t>
      </w:r>
      <w:r w:rsidR="00100893" w:rsidRPr="00C906CA">
        <w:rPr>
          <w:rFonts w:eastAsia="Times New Roman" w:cstheme="minorHAnsi"/>
          <w:lang w:eastAsia="en-GB"/>
        </w:rPr>
        <w:t>. How police officers use the powers of stop and search are still criticised to this day.</w:t>
      </w:r>
    </w:p>
    <w:p w14:paraId="3FAE3353" w14:textId="21C8B02D" w:rsidR="00452895" w:rsidRPr="00C906CA" w:rsidRDefault="00452895"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In conclusion, the management of serious and violent offenders is </w:t>
      </w:r>
      <w:r w:rsidR="00E57C40" w:rsidRPr="00C906CA">
        <w:rPr>
          <w:rFonts w:eastAsia="Times New Roman" w:cstheme="minorHAnsi"/>
          <w:lang w:eastAsia="en-GB"/>
        </w:rPr>
        <w:t>poor</w:t>
      </w:r>
      <w:r w:rsidR="000F127A" w:rsidRPr="00C906CA">
        <w:rPr>
          <w:rFonts w:eastAsia="Times New Roman" w:cstheme="minorHAnsi"/>
          <w:lang w:eastAsia="en-GB"/>
        </w:rPr>
        <w:t>;</w:t>
      </w:r>
      <w:r w:rsidRPr="00C906CA">
        <w:rPr>
          <w:rFonts w:eastAsia="Times New Roman" w:cstheme="minorHAnsi"/>
          <w:lang w:eastAsia="en-GB"/>
        </w:rPr>
        <w:t xml:space="preserve"> the police are there to target these individual when they do wrong. The police are tied with these offenders due to their nature of the job and having to deal with offenders who commit crime. These offenders however are being let down by the probation services to help rehabilitate them. It appears that the probation services are </w:t>
      </w:r>
      <w:r w:rsidR="00E57C40" w:rsidRPr="00C906CA">
        <w:rPr>
          <w:rFonts w:eastAsia="Times New Roman" w:cstheme="minorHAnsi"/>
          <w:lang w:eastAsia="en-GB"/>
        </w:rPr>
        <w:t xml:space="preserve">there to manage the risk to the community  but they are only concerned with the offenders turning up to their appointments and not breaching their conditions; they do not look to help and rehabilitate these offenders which would also link with risk management. </w:t>
      </w:r>
    </w:p>
    <w:p w14:paraId="193B0D96" w14:textId="76194CFA" w:rsidR="00E57C40" w:rsidRPr="00C906CA" w:rsidRDefault="00E57C40"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Due to the issues within the rehabilitation and the public protection identified, serious and organised crime groups continue to work together, and crime grows in these areas and the public are not protected. Offenders who are not managed efficiently and who are not helped with rehabilitation, are going to continue to commit serious crime.  </w:t>
      </w:r>
    </w:p>
    <w:p w14:paraId="43AAFBA5" w14:textId="2B1B71B6" w:rsidR="00E57C40" w:rsidRPr="00C906CA" w:rsidRDefault="00E57C40"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Further research for this topic could be conducted by </w:t>
      </w:r>
      <w:r w:rsidR="000F127A" w:rsidRPr="00C906CA">
        <w:rPr>
          <w:rFonts w:eastAsia="Times New Roman" w:cstheme="minorHAnsi"/>
          <w:lang w:eastAsia="en-GB"/>
        </w:rPr>
        <w:t xml:space="preserve">visiting serious offenders who are currently in prison, and those who have been released and who are managed by public protection services. An insight as to how they feel they are managed and what they feel could help them stop committing crime could be an opportunity to develop the strategies that are currently in place to help the public protection. By speaking with these individuals, it will help to understand how their lives revolve around criminality and if their criminal connections grow whilst they are in prison. </w:t>
      </w:r>
    </w:p>
    <w:p w14:paraId="56E611E8" w14:textId="527809CA" w:rsidR="000F127A" w:rsidRPr="00C906CA" w:rsidRDefault="000F127A"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(1100 Words)</w:t>
      </w:r>
    </w:p>
    <w:p w14:paraId="621C76E1" w14:textId="7909702C" w:rsidR="00E568D0" w:rsidRPr="00C906CA" w:rsidRDefault="00E568D0"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7A215166" w14:textId="6B3CBB5A" w:rsidR="00E568D0" w:rsidRPr="00C906CA" w:rsidRDefault="00E568D0"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13EC4AEF" w14:textId="42CA278F" w:rsidR="00E568D0" w:rsidRDefault="00E568D0"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605C7B41" w14:textId="56F15271" w:rsidR="00AD6959" w:rsidRDefault="00AD695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02F48D20" w14:textId="77777777" w:rsidR="00AD6959" w:rsidRPr="00C906CA" w:rsidRDefault="00AD695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7E2BED7A" w14:textId="50144FA5" w:rsidR="00CB4931" w:rsidRPr="00C906CA" w:rsidRDefault="00CB4931" w:rsidP="00CB4931">
      <w:pPr>
        <w:overflowPunct w:val="0"/>
        <w:autoSpaceDE w:val="0"/>
        <w:autoSpaceDN w:val="0"/>
        <w:adjustRightInd w:val="0"/>
        <w:spacing w:before="240" w:after="0" w:line="240" w:lineRule="auto"/>
        <w:ind w:left="426"/>
        <w:jc w:val="both"/>
        <w:textAlignment w:val="baseline"/>
        <w:rPr>
          <w:rFonts w:eastAsia="Times New Roman" w:cstheme="minorHAnsi"/>
          <w:i/>
          <w:iCs/>
          <w:color w:val="FF0000"/>
          <w:lang w:eastAsia="en-GB"/>
        </w:rPr>
      </w:pPr>
      <w:r w:rsidRPr="00C906CA">
        <w:rPr>
          <w:rFonts w:eastAsia="Times New Roman" w:cstheme="minorHAnsi"/>
          <w:i/>
          <w:iCs/>
          <w:color w:val="FF0000"/>
          <w:lang w:eastAsia="en-GB"/>
        </w:rPr>
        <w:lastRenderedPageBreak/>
        <w:t>The actions of police officers are governed by the 10 standards of professional behaviour and the gener</w:t>
      </w:r>
      <w:r w:rsidR="00371F8C" w:rsidRPr="00C906CA">
        <w:rPr>
          <w:rFonts w:eastAsia="Times New Roman" w:cstheme="minorHAnsi"/>
          <w:i/>
          <w:iCs/>
          <w:color w:val="FF0000"/>
          <w:lang w:eastAsia="en-GB"/>
        </w:rPr>
        <w:t>a</w:t>
      </w:r>
      <w:r w:rsidRPr="00C906CA">
        <w:rPr>
          <w:rFonts w:eastAsia="Times New Roman" w:cstheme="minorHAnsi"/>
          <w:i/>
          <w:iCs/>
          <w:color w:val="FF0000"/>
          <w:lang w:eastAsia="en-GB"/>
        </w:rPr>
        <w:t xml:space="preserve">l attitudes and approaches to police work are underpinned by the policing principles of accountability, fairness, honesty, integrity, leadership, objectivity, openness, respect and selflessness. </w:t>
      </w:r>
    </w:p>
    <w:p w14:paraId="76426F62" w14:textId="77777777" w:rsidR="00CB4931" w:rsidRPr="00C906CA" w:rsidRDefault="00CB4931" w:rsidP="00CB4931">
      <w:pPr>
        <w:spacing w:after="0" w:line="240" w:lineRule="auto"/>
        <w:ind w:left="426"/>
        <w:rPr>
          <w:rFonts w:eastAsia="Times New Roman" w:cstheme="minorHAnsi"/>
          <w:b/>
          <w:color w:val="FF0000"/>
          <w:lang w:eastAsia="en-GB"/>
        </w:rPr>
      </w:pPr>
    </w:p>
    <w:p w14:paraId="25934857" w14:textId="56012B85" w:rsidR="007B0965" w:rsidRPr="00C906CA" w:rsidRDefault="00CB4931" w:rsidP="00611E3A">
      <w:pPr>
        <w:overflowPunct w:val="0"/>
        <w:autoSpaceDE w:val="0"/>
        <w:autoSpaceDN w:val="0"/>
        <w:adjustRightInd w:val="0"/>
        <w:spacing w:before="240" w:after="0" w:line="240" w:lineRule="auto"/>
        <w:ind w:left="426"/>
        <w:jc w:val="both"/>
        <w:textAlignment w:val="baseline"/>
        <w:rPr>
          <w:rFonts w:eastAsia="Times New Roman" w:cstheme="minorHAnsi"/>
          <w:color w:val="FF0000"/>
          <w:lang w:eastAsia="en-GB"/>
        </w:rPr>
      </w:pPr>
      <w:r w:rsidRPr="00C906CA">
        <w:rPr>
          <w:rFonts w:eastAsia="Times New Roman" w:cstheme="minorHAnsi"/>
          <w:color w:val="FF0000"/>
          <w:lang w:eastAsia="en-GB"/>
        </w:rPr>
        <w:t>Title 2: Analyse the role of professional standards and independent bodies such as the IOPC or HMICFRS in holding the police accountable to the public and the impact of malpractice and corruption on policing using examples to support your argument.</w:t>
      </w:r>
    </w:p>
    <w:p w14:paraId="05EF68A8" w14:textId="7C4F2146" w:rsidR="00611E3A" w:rsidRPr="00C906CA" w:rsidRDefault="00611E3A" w:rsidP="00611E3A">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Professional standards</w:t>
      </w:r>
      <w:r w:rsidR="00740F28" w:rsidRPr="00C906CA">
        <w:rPr>
          <w:rFonts w:eastAsia="Times New Roman" w:cstheme="minorHAnsi"/>
          <w:lang w:eastAsia="en-GB"/>
        </w:rPr>
        <w:t xml:space="preserve"> are the standards in which the police are expected to comply with when carrying out their duties</w:t>
      </w:r>
      <w:r w:rsidRPr="00C906CA">
        <w:rPr>
          <w:rFonts w:eastAsia="Times New Roman" w:cstheme="minorHAnsi"/>
          <w:lang w:eastAsia="en-GB"/>
        </w:rPr>
        <w:t xml:space="preserve">. The Independent Officer for Police Conduct (IOPC) and Her Majesty’s Inspectorate of Constabulary and Fire &amp; Rescue Services (HMICFRS) are independent bodies that hold the police accountable for their actions on a national basis. </w:t>
      </w:r>
      <w:r w:rsidR="00511955" w:rsidRPr="00C906CA">
        <w:rPr>
          <w:rFonts w:eastAsia="Times New Roman" w:cstheme="minorHAnsi"/>
          <w:lang w:eastAsia="en-GB"/>
        </w:rPr>
        <w:t>This essay will analyse the role of these bodies and how the police have been held accountable for their actions</w:t>
      </w:r>
      <w:r w:rsidR="00B51827" w:rsidRPr="00C906CA">
        <w:rPr>
          <w:rFonts w:eastAsia="Times New Roman" w:cstheme="minorHAnsi"/>
          <w:lang w:eastAsia="en-GB"/>
        </w:rPr>
        <w:t>.</w:t>
      </w:r>
    </w:p>
    <w:p w14:paraId="320F712D" w14:textId="77777777" w:rsidR="00D23930" w:rsidRPr="00C906CA" w:rsidRDefault="00216951" w:rsidP="00611E3A">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There are many investigations into police conduct. Some of these investigations prove that officers and the police force have acted fairly and complied with the standards of professional behaviour. On the other hand, however, there are many incidents where this is not the case. When a police force is under scrutiny, it can lead to many further issues; not only for that police force, but for all police forces in England and Wales. </w:t>
      </w:r>
    </w:p>
    <w:p w14:paraId="437BA901" w14:textId="6B91DC40" w:rsidR="00740F28" w:rsidRPr="00C906CA" w:rsidRDefault="00D23930" w:rsidP="00611E3A">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HMICFRS was introduced in 2017. It was formally known as HMIC (Her Majesty’s Inspectorate of Constabulary) prior to taking on the investigations of fire and rescue services.</w:t>
      </w:r>
      <w:r w:rsidR="006F5B16" w:rsidRPr="00C906CA">
        <w:rPr>
          <w:rFonts w:eastAsia="Times New Roman" w:cstheme="minorHAnsi"/>
          <w:lang w:eastAsia="en-GB"/>
        </w:rPr>
        <w:t xml:space="preserve"> There were many instances where the police were under scrutiny for corruption from early 1970’s until late 1990’s. Sir Paul Condon, previously Metropolitan Police Commissioner pledged to rid the corruption within the police force in the late 1990’s. HMIC stated that the police should not only remove the corruption but stated that honesty and integrity should be the forefront of policing (</w:t>
      </w:r>
      <w:proofErr w:type="spellStart"/>
      <w:r w:rsidR="006F5B16" w:rsidRPr="00C906CA">
        <w:rPr>
          <w:rFonts w:eastAsia="Times New Roman" w:cstheme="minorHAnsi"/>
          <w:lang w:eastAsia="en-GB"/>
        </w:rPr>
        <w:t>MacVean</w:t>
      </w:r>
      <w:proofErr w:type="spellEnd"/>
      <w:r w:rsidR="006F5B16" w:rsidRPr="00C906CA">
        <w:rPr>
          <w:rFonts w:eastAsia="Times New Roman" w:cstheme="minorHAnsi"/>
          <w:lang w:eastAsia="en-GB"/>
        </w:rPr>
        <w:t xml:space="preserve">, et.al, 2013). HMICFRC </w:t>
      </w:r>
      <w:r w:rsidR="00BF4CB0" w:rsidRPr="00C906CA">
        <w:rPr>
          <w:rFonts w:eastAsia="Times New Roman" w:cstheme="minorHAnsi"/>
          <w:lang w:eastAsia="en-GB"/>
        </w:rPr>
        <w:t xml:space="preserve">is an independent authorisation that </w:t>
      </w:r>
      <w:r w:rsidR="006F5B16" w:rsidRPr="00C906CA">
        <w:rPr>
          <w:rFonts w:eastAsia="Times New Roman" w:cstheme="minorHAnsi"/>
          <w:lang w:eastAsia="en-GB"/>
        </w:rPr>
        <w:t xml:space="preserve">conduct </w:t>
      </w:r>
      <w:r w:rsidR="00BF4CB0" w:rsidRPr="00C906CA">
        <w:rPr>
          <w:rFonts w:eastAsia="Times New Roman" w:cstheme="minorHAnsi"/>
          <w:lang w:eastAsia="en-GB"/>
        </w:rPr>
        <w:t>annual inspection on police forces throughout England and Wales. The Home Secretary may require HMICFRS to carry out further inspections on police forces following the annual inspections. HMICFRS may also conduct inspections if they feel that the performance or circumstances of a specific force needs the inspection. Inspections can also be requested by the police and crime commissioners (About us – HMICFRS, 2021).</w:t>
      </w:r>
    </w:p>
    <w:p w14:paraId="55BB694D" w14:textId="1892426C" w:rsidR="00106838" w:rsidRPr="00C906CA" w:rsidRDefault="003226C6" w:rsidP="00611E3A">
      <w:pPr>
        <w:overflowPunct w:val="0"/>
        <w:autoSpaceDE w:val="0"/>
        <w:autoSpaceDN w:val="0"/>
        <w:adjustRightInd w:val="0"/>
        <w:spacing w:before="240" w:after="0" w:line="240" w:lineRule="auto"/>
        <w:jc w:val="both"/>
        <w:textAlignment w:val="baseline"/>
        <w:rPr>
          <w:rFonts w:cstheme="minorHAnsi"/>
          <w:color w:val="000000"/>
          <w:shd w:val="clear" w:color="auto" w:fill="FFFFFF"/>
        </w:rPr>
      </w:pPr>
      <w:r w:rsidRPr="00C906CA">
        <w:rPr>
          <w:rFonts w:eastAsia="Times New Roman" w:cstheme="minorHAnsi"/>
          <w:lang w:eastAsia="en-GB"/>
        </w:rPr>
        <w:t>Most</w:t>
      </w:r>
      <w:r w:rsidR="00106838" w:rsidRPr="00C906CA">
        <w:rPr>
          <w:rFonts w:eastAsia="Times New Roman" w:cstheme="minorHAnsi"/>
          <w:lang w:eastAsia="en-GB"/>
        </w:rPr>
        <w:t xml:space="preserve"> complaints that police forces receive are dealt with directly by their own force. The IOPC deal with more serious complaints and more sensitive cases. </w:t>
      </w:r>
      <w:r w:rsidRPr="00C906CA">
        <w:rPr>
          <w:rFonts w:eastAsia="Times New Roman" w:cstheme="minorHAnsi"/>
          <w:lang w:eastAsia="en-GB"/>
        </w:rPr>
        <w:t>They also collect information about the types of complaints that police forces receive and how long it takes the force to look at and deal with the complaints (</w:t>
      </w:r>
      <w:r w:rsidRPr="00C906CA">
        <w:rPr>
          <w:rFonts w:cstheme="minorHAnsi"/>
          <w:color w:val="000000"/>
          <w:shd w:val="clear" w:color="auto" w:fill="FFFFFF"/>
        </w:rPr>
        <w:t xml:space="preserve">Police complaints statistics | Independent Office for Police Conduct, 2021). </w:t>
      </w:r>
    </w:p>
    <w:p w14:paraId="5E61DA92" w14:textId="5102105C" w:rsidR="00BF4CB0" w:rsidRPr="00C906CA" w:rsidRDefault="00E96872" w:rsidP="00611E3A">
      <w:pPr>
        <w:overflowPunct w:val="0"/>
        <w:autoSpaceDE w:val="0"/>
        <w:autoSpaceDN w:val="0"/>
        <w:adjustRightInd w:val="0"/>
        <w:spacing w:before="240" w:after="0" w:line="240" w:lineRule="auto"/>
        <w:jc w:val="both"/>
        <w:textAlignment w:val="baseline"/>
        <w:rPr>
          <w:rFonts w:cstheme="minorHAnsi"/>
          <w:color w:val="000000"/>
          <w:shd w:val="clear" w:color="auto" w:fill="FFFFFF"/>
        </w:rPr>
      </w:pPr>
      <w:r w:rsidRPr="00C906CA">
        <w:rPr>
          <w:rFonts w:cstheme="minorHAnsi"/>
          <w:color w:val="000000"/>
          <w:shd w:val="clear" w:color="auto" w:fill="FFFFFF"/>
        </w:rPr>
        <w:t>Complaints against the police happen regularly. The use of body worn cam</w:t>
      </w:r>
      <w:r w:rsidR="00F370A6" w:rsidRPr="00C906CA">
        <w:rPr>
          <w:rFonts w:cstheme="minorHAnsi"/>
          <w:color w:val="000000"/>
          <w:shd w:val="clear" w:color="auto" w:fill="FFFFFF"/>
        </w:rPr>
        <w:t>era’s</w:t>
      </w:r>
      <w:r w:rsidRPr="00C906CA">
        <w:rPr>
          <w:rFonts w:cstheme="minorHAnsi"/>
          <w:color w:val="000000"/>
          <w:shd w:val="clear" w:color="auto" w:fill="FFFFFF"/>
        </w:rPr>
        <w:t xml:space="preserve"> (BWC) </w:t>
      </w:r>
      <w:r w:rsidR="00F370A6" w:rsidRPr="00C906CA">
        <w:rPr>
          <w:rFonts w:cstheme="minorHAnsi"/>
          <w:color w:val="000000"/>
          <w:shd w:val="clear" w:color="auto" w:fill="FFFFFF"/>
        </w:rPr>
        <w:t xml:space="preserve">is not only for the use of evidential footage. Body worn cameras are there to aid officers if a complaint is made against them however it does hold the police accountable for their actions. It will show if excessive use of force was used </w:t>
      </w:r>
      <w:r w:rsidR="003C1C7B" w:rsidRPr="00C906CA">
        <w:rPr>
          <w:rFonts w:cstheme="minorHAnsi"/>
          <w:color w:val="000000"/>
          <w:shd w:val="clear" w:color="auto" w:fill="FFFFFF"/>
        </w:rPr>
        <w:t>and</w:t>
      </w:r>
      <w:r w:rsidR="00F370A6" w:rsidRPr="00C906CA">
        <w:rPr>
          <w:rFonts w:cstheme="minorHAnsi"/>
          <w:color w:val="000000"/>
          <w:shd w:val="clear" w:color="auto" w:fill="FFFFFF"/>
        </w:rPr>
        <w:t xml:space="preserve"> it could justify the officer’s actions. BWC aids to minimise the officers use of force and complaints are shown to drop when an officer has used BWC (Ariel, et.al, 2016).</w:t>
      </w:r>
    </w:p>
    <w:p w14:paraId="3BE9B54A" w14:textId="7305DA3F" w:rsidR="007B0965" w:rsidRPr="00C906CA" w:rsidRDefault="009B1B16"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One of, if not the, biggest investigations into police misconduct is the Stephen Lawrence enquiry. This relates to the murder of Stephen Lawrence in Eltham, London on 22</w:t>
      </w:r>
      <w:r w:rsidRPr="00C906CA">
        <w:rPr>
          <w:rFonts w:eastAsia="Times New Roman" w:cstheme="minorHAnsi"/>
          <w:vertAlign w:val="superscript"/>
          <w:lang w:eastAsia="en-GB"/>
        </w:rPr>
        <w:t>nd</w:t>
      </w:r>
      <w:r w:rsidRPr="00C906CA">
        <w:rPr>
          <w:rFonts w:eastAsia="Times New Roman" w:cstheme="minorHAnsi"/>
          <w:lang w:eastAsia="en-GB"/>
        </w:rPr>
        <w:t xml:space="preserve"> April 1993. The investigation by The Metropolitan Police Service </w:t>
      </w:r>
      <w:r w:rsidR="00E27249" w:rsidRPr="00C906CA">
        <w:rPr>
          <w:rFonts w:eastAsia="Times New Roman" w:cstheme="minorHAnsi"/>
          <w:lang w:eastAsia="en-GB"/>
        </w:rPr>
        <w:t xml:space="preserve">was widely criticised and many were accusing the police service of institutional racism. There were many errors in the murder enquiry by the Metropolitan Police Service. There were questions surrounding whether </w:t>
      </w:r>
      <w:r w:rsidR="00E27249" w:rsidRPr="00C906CA">
        <w:rPr>
          <w:rFonts w:eastAsia="Times New Roman" w:cstheme="minorHAnsi"/>
          <w:i/>
          <w:iCs/>
          <w:lang w:eastAsia="en-GB"/>
        </w:rPr>
        <w:t xml:space="preserve">“police errors were due to incompetence, institutional racism or corruption” </w:t>
      </w:r>
      <w:r w:rsidR="00AF0537" w:rsidRPr="00C906CA">
        <w:rPr>
          <w:rFonts w:eastAsia="Times New Roman" w:cstheme="minorHAnsi"/>
          <w:lang w:eastAsia="en-GB"/>
        </w:rPr>
        <w:t xml:space="preserve">(Mclaughlin and </w:t>
      </w:r>
      <w:proofErr w:type="spellStart"/>
      <w:r w:rsidR="00AF0537" w:rsidRPr="00C906CA">
        <w:rPr>
          <w:rFonts w:eastAsia="Times New Roman" w:cstheme="minorHAnsi"/>
          <w:lang w:eastAsia="en-GB"/>
        </w:rPr>
        <w:t>Murji</w:t>
      </w:r>
      <w:proofErr w:type="spellEnd"/>
      <w:r w:rsidR="00AF0537" w:rsidRPr="00C906CA">
        <w:rPr>
          <w:rFonts w:eastAsia="Times New Roman" w:cstheme="minorHAnsi"/>
          <w:lang w:eastAsia="en-GB"/>
        </w:rPr>
        <w:t xml:space="preserve">, </w:t>
      </w:r>
      <w:r w:rsidR="00AF0537" w:rsidRPr="00C906CA">
        <w:rPr>
          <w:rFonts w:eastAsia="Times New Roman" w:cstheme="minorHAnsi"/>
          <w:lang w:eastAsia="en-GB"/>
        </w:rPr>
        <w:lastRenderedPageBreak/>
        <w:t>1999</w:t>
      </w:r>
      <w:r w:rsidR="00E27249" w:rsidRPr="00C906CA">
        <w:rPr>
          <w:rFonts w:eastAsia="Times New Roman" w:cstheme="minorHAnsi"/>
          <w:lang w:eastAsia="en-GB"/>
        </w:rPr>
        <w:t xml:space="preserve">). </w:t>
      </w:r>
      <w:r w:rsidR="00AF0537" w:rsidRPr="00C906CA">
        <w:rPr>
          <w:rFonts w:eastAsia="Times New Roman" w:cstheme="minorHAnsi"/>
          <w:lang w:eastAsia="en-GB"/>
        </w:rPr>
        <w:t xml:space="preserve">The investigation into the conduct of officers surrounding the Stephen Lawrence murder are still ongoing today. Policing has however changed following the murder in 1993. In 1999 HMIC found that there was racism at the forefront of policing not only within the Metropolitan Police Service but also within other police forces in England and Wales (Foster, et.al, 2005). The impact that the Stephen Lawrence enquiry had not only on the public’s perception of the police, but the way in which investigations were carried out in the future was huge. The Metropolitan Police Service introduced </w:t>
      </w:r>
      <w:r w:rsidR="004F3A4C" w:rsidRPr="00C906CA">
        <w:rPr>
          <w:rFonts w:eastAsia="Times New Roman" w:cstheme="minorHAnsi"/>
          <w:lang w:eastAsia="en-GB"/>
        </w:rPr>
        <w:t xml:space="preserve">new policies and procedures for murder enquiries and introduced family liaison officers for the victim’s family (Foster, et.al, 2005). In 1999, The </w:t>
      </w:r>
      <w:proofErr w:type="spellStart"/>
      <w:r w:rsidR="004F3A4C" w:rsidRPr="00C906CA">
        <w:rPr>
          <w:rFonts w:eastAsia="Times New Roman" w:cstheme="minorHAnsi"/>
          <w:lang w:eastAsia="en-GB"/>
        </w:rPr>
        <w:t>Mcpherson</w:t>
      </w:r>
      <w:proofErr w:type="spellEnd"/>
      <w:r w:rsidR="004F3A4C" w:rsidRPr="00C906CA">
        <w:rPr>
          <w:rFonts w:eastAsia="Times New Roman" w:cstheme="minorHAnsi"/>
          <w:lang w:eastAsia="en-GB"/>
        </w:rPr>
        <w:t xml:space="preserve"> report was published, following the enquiry to the murder of Stephen Lawrence, and it suggested that police officers should be investigated by an independent body. Following this, in 2004, the IPCC (Independent Police Complaints Commission) was created to undertake investigations into serious incidents involving the police</w:t>
      </w:r>
      <w:r w:rsidR="00060183" w:rsidRPr="00C906CA">
        <w:rPr>
          <w:rFonts w:eastAsia="Times New Roman" w:cstheme="minorHAnsi"/>
          <w:lang w:eastAsia="en-GB"/>
        </w:rPr>
        <w:t xml:space="preserve"> </w:t>
      </w:r>
      <w:r w:rsidR="00060183" w:rsidRPr="00C906CA">
        <w:rPr>
          <w:rFonts w:cstheme="minorHAnsi"/>
          <w:color w:val="000000"/>
          <w:shd w:val="clear" w:color="auto" w:fill="FFFFFF"/>
        </w:rPr>
        <w:t>(Why Stephen Lawrence is part of our organisational DNA | Independent Office for Police Conduct, 2021)</w:t>
      </w:r>
      <w:r w:rsidR="004F3A4C" w:rsidRPr="00C906CA">
        <w:rPr>
          <w:rFonts w:eastAsia="Times New Roman" w:cstheme="minorHAnsi"/>
          <w:lang w:eastAsia="en-GB"/>
        </w:rPr>
        <w:t xml:space="preserve">. The IPCC is now known as the IPOC and their aims and objectives stay the same. </w:t>
      </w:r>
    </w:p>
    <w:p w14:paraId="2D375306" w14:textId="5155FCF8" w:rsidR="004F3A4C" w:rsidRPr="00C906CA" w:rsidRDefault="004F3A4C"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In conclusion, the police are to be held accountable for their actions and having independent bodies to investigate the more serious issues is the way forward. The police come under scrutiny from the public for many of their actions. For the most serious issues, especially deaths or serious injuries following police contact, </w:t>
      </w:r>
      <w:r w:rsidR="00060183" w:rsidRPr="00C906CA">
        <w:rPr>
          <w:rFonts w:eastAsia="Times New Roman" w:cstheme="minorHAnsi"/>
          <w:lang w:eastAsia="en-GB"/>
        </w:rPr>
        <w:t xml:space="preserve">being investigated by an independent body will not only hold the police accountable for their actions or prove they acted correctly, it can also give the public a sense of security knowing that separate </w:t>
      </w:r>
      <w:proofErr w:type="spellStart"/>
      <w:r w:rsidR="00060183" w:rsidRPr="00C906CA">
        <w:rPr>
          <w:rFonts w:eastAsia="Times New Roman" w:cstheme="minorHAnsi"/>
          <w:lang w:eastAsia="en-GB"/>
        </w:rPr>
        <w:t>body’s</w:t>
      </w:r>
      <w:proofErr w:type="spellEnd"/>
      <w:r w:rsidR="00060183" w:rsidRPr="00C906CA">
        <w:rPr>
          <w:rFonts w:eastAsia="Times New Roman" w:cstheme="minorHAnsi"/>
          <w:lang w:eastAsia="en-GB"/>
        </w:rPr>
        <w:t xml:space="preserve"> are investigating these claims and there will be no bias. </w:t>
      </w:r>
    </w:p>
    <w:p w14:paraId="03460F27" w14:textId="7AF001DB" w:rsidR="00E568D0" w:rsidRPr="00C906CA" w:rsidRDefault="00060183"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The Stephen Lawrence case had a massive impact on policing and has changed the way in which England and Wales is policed today. The introduction of independent bodies such as the IOPC and HMICFRS was a big step into changing the way police officers account for their actions. The introduction of BWC is key to providing footage of incidents where the police are criticised for their actions. Footage of use of force used and the escalation to the use of force is key to assisting the independent bodies in accounting for the actions of police officers. </w:t>
      </w:r>
    </w:p>
    <w:p w14:paraId="64841C8D" w14:textId="02C2ED48" w:rsidR="00060183" w:rsidRPr="00C906CA" w:rsidRDefault="00060183"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Further research for this topic could be conducted by visiting bodies such as the IOPC and HMICFRS and gain their insight as to how the conduct of police forces is managed and how changes are made. Further examples of incidents, such as the Stephen Lawrence case, could be explored to identify how policing has changed following investigations into their actions.</w:t>
      </w:r>
    </w:p>
    <w:p w14:paraId="304212F7" w14:textId="77E5EB55" w:rsidR="00E568D0" w:rsidRPr="00C906CA" w:rsidRDefault="00060183"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r w:rsidRPr="00C906CA">
        <w:rPr>
          <w:rFonts w:eastAsia="Times New Roman" w:cstheme="minorHAnsi"/>
          <w:i/>
          <w:iCs/>
          <w:lang w:eastAsia="en-GB"/>
        </w:rPr>
        <w:t>(977 Words)</w:t>
      </w:r>
    </w:p>
    <w:p w14:paraId="7CF5D52C" w14:textId="7DFFF549" w:rsidR="00E568D0" w:rsidRPr="00C906CA" w:rsidRDefault="00E568D0"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5F71FEE8" w14:textId="655E0C90" w:rsidR="00E568D0" w:rsidRPr="00C906CA" w:rsidRDefault="00E568D0"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6414D9F6" w14:textId="0EFA908E"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3D88576D" w14:textId="328EC126"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29948C66" w14:textId="42DAE45F"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6277D6A5" w14:textId="2A725262"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7ECF364A" w14:textId="6E62BA07"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5C879634" w14:textId="77777777"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2C3398C2" w14:textId="77777777" w:rsidR="00E568D0" w:rsidRPr="00C906CA" w:rsidRDefault="00E568D0" w:rsidP="00CB4931">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39FC0F00" w14:textId="77777777" w:rsidR="00CB4931" w:rsidRPr="00C906CA" w:rsidRDefault="00CB4931" w:rsidP="00CB4931">
      <w:pPr>
        <w:overflowPunct w:val="0"/>
        <w:autoSpaceDE w:val="0"/>
        <w:autoSpaceDN w:val="0"/>
        <w:adjustRightInd w:val="0"/>
        <w:spacing w:before="240" w:after="0" w:line="240" w:lineRule="auto"/>
        <w:ind w:left="426"/>
        <w:jc w:val="both"/>
        <w:textAlignment w:val="baseline"/>
        <w:rPr>
          <w:rFonts w:eastAsia="Times New Roman" w:cstheme="minorHAnsi"/>
          <w:i/>
          <w:iCs/>
          <w:color w:val="FF0000"/>
          <w:lang w:eastAsia="en-GB"/>
        </w:rPr>
      </w:pPr>
      <w:r w:rsidRPr="00C906CA">
        <w:rPr>
          <w:rFonts w:eastAsia="Times New Roman" w:cstheme="minorHAnsi"/>
          <w:i/>
          <w:iCs/>
          <w:color w:val="FF0000"/>
          <w:lang w:eastAsia="en-GB"/>
        </w:rPr>
        <w:t xml:space="preserve">In recent years there has been a developing trend of criminality through organised crime groups including youth gangs.  </w:t>
      </w:r>
    </w:p>
    <w:p w14:paraId="15D84294" w14:textId="77777777" w:rsidR="00CB4931" w:rsidRPr="00C906CA" w:rsidRDefault="00CB4931" w:rsidP="00CB4931">
      <w:pPr>
        <w:overflowPunct w:val="0"/>
        <w:autoSpaceDE w:val="0"/>
        <w:autoSpaceDN w:val="0"/>
        <w:adjustRightInd w:val="0"/>
        <w:spacing w:before="240" w:after="0" w:line="240" w:lineRule="auto"/>
        <w:ind w:left="426"/>
        <w:jc w:val="both"/>
        <w:textAlignment w:val="baseline"/>
        <w:rPr>
          <w:rFonts w:eastAsia="Times New Roman" w:cstheme="minorHAnsi"/>
          <w:i/>
          <w:iCs/>
          <w:color w:val="FF0000"/>
          <w:lang w:eastAsia="en-GB"/>
        </w:rPr>
      </w:pPr>
    </w:p>
    <w:p w14:paraId="247ED77F" w14:textId="77777777" w:rsidR="00CB4931" w:rsidRPr="00C906CA" w:rsidRDefault="00CB4931" w:rsidP="00CB4931">
      <w:pPr>
        <w:overflowPunct w:val="0"/>
        <w:autoSpaceDE w:val="0"/>
        <w:autoSpaceDN w:val="0"/>
        <w:adjustRightInd w:val="0"/>
        <w:spacing w:before="240" w:after="0" w:line="240" w:lineRule="auto"/>
        <w:ind w:left="426"/>
        <w:jc w:val="both"/>
        <w:textAlignment w:val="baseline"/>
        <w:rPr>
          <w:rFonts w:eastAsia="Times New Roman" w:cstheme="minorHAnsi"/>
          <w:color w:val="FF0000"/>
          <w:lang w:eastAsia="en-GB"/>
        </w:rPr>
      </w:pPr>
      <w:r w:rsidRPr="00C906CA">
        <w:rPr>
          <w:rFonts w:eastAsia="Times New Roman" w:cstheme="minorHAnsi"/>
          <w:color w:val="FF0000"/>
          <w:lang w:eastAsia="en-GB"/>
        </w:rPr>
        <w:t xml:space="preserve">Title 3: Analyse the developing issues of youth gangs, and why people are drawn into becoming part of a gang culture. </w:t>
      </w:r>
    </w:p>
    <w:p w14:paraId="311DF1AA" w14:textId="77777777" w:rsidR="00CB4931" w:rsidRPr="00C906CA" w:rsidRDefault="00CB4931" w:rsidP="00CB4931">
      <w:pPr>
        <w:overflowPunct w:val="0"/>
        <w:autoSpaceDE w:val="0"/>
        <w:autoSpaceDN w:val="0"/>
        <w:adjustRightInd w:val="0"/>
        <w:spacing w:before="240" w:after="0" w:line="240" w:lineRule="auto"/>
        <w:ind w:left="426"/>
        <w:jc w:val="both"/>
        <w:textAlignment w:val="baseline"/>
        <w:rPr>
          <w:rFonts w:eastAsia="Times New Roman" w:cstheme="minorHAnsi"/>
          <w:color w:val="FF0000"/>
          <w:lang w:eastAsia="en-GB"/>
        </w:rPr>
      </w:pPr>
      <w:r w:rsidRPr="00C906CA">
        <w:rPr>
          <w:rFonts w:eastAsia="Times New Roman" w:cstheme="minorHAnsi"/>
          <w:color w:val="FF0000"/>
          <w:lang w:eastAsia="en-GB"/>
        </w:rPr>
        <w:t>Consider how gangs target vulnerable people, people at risk of harm and the theories of victimology.</w:t>
      </w:r>
    </w:p>
    <w:p w14:paraId="335CCCA0" w14:textId="373D7202" w:rsidR="006C1F14" w:rsidRPr="00C906CA" w:rsidRDefault="006C1F14"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lastRenderedPageBreak/>
        <w:t xml:space="preserve">Why are youths becoming drawn into the gang culture? </w:t>
      </w:r>
      <w:r w:rsidR="00865D04" w:rsidRPr="00C906CA">
        <w:rPr>
          <w:rFonts w:eastAsia="Times New Roman" w:cstheme="minorHAnsi"/>
          <w:lang w:eastAsia="en-GB"/>
        </w:rPr>
        <w:t xml:space="preserve">Is gang culture becoming a growing concern? </w:t>
      </w:r>
      <w:r w:rsidRPr="00C906CA">
        <w:rPr>
          <w:rFonts w:eastAsia="Times New Roman" w:cstheme="minorHAnsi"/>
          <w:lang w:eastAsia="en-GB"/>
        </w:rPr>
        <w:t>Throughout this essay</w:t>
      </w:r>
      <w:r w:rsidR="00D70809" w:rsidRPr="00C906CA">
        <w:rPr>
          <w:rFonts w:eastAsia="Times New Roman" w:cstheme="minorHAnsi"/>
          <w:lang w:eastAsia="en-GB"/>
        </w:rPr>
        <w:t>, I will explore youth gang culture; drawing upon the contributing factors of membership, youth engagement in criminal activity, the developing issues of youth gangs and the vulnerability of youth members</w:t>
      </w:r>
      <w:r w:rsidR="008C6892" w:rsidRPr="00C906CA">
        <w:rPr>
          <w:rFonts w:eastAsia="Times New Roman" w:cstheme="minorHAnsi"/>
          <w:lang w:eastAsia="en-GB"/>
        </w:rPr>
        <w:t xml:space="preserve">. I will be reviewing academic sources and articles to best understand the recruitment process and the vulnerability associated. </w:t>
      </w:r>
      <w:r w:rsidR="00740F28" w:rsidRPr="00C906CA">
        <w:rPr>
          <w:rFonts w:eastAsia="Times New Roman" w:cstheme="minorHAnsi"/>
          <w:lang w:eastAsia="en-GB"/>
        </w:rPr>
        <w:t xml:space="preserve">An analysis of the gang culture and why youths join gangs indicates that </w:t>
      </w:r>
      <w:r w:rsidR="00BC0831" w:rsidRPr="00C906CA">
        <w:rPr>
          <w:rFonts w:eastAsia="Times New Roman" w:cstheme="minorHAnsi"/>
          <w:lang w:eastAsia="en-GB"/>
        </w:rPr>
        <w:t xml:space="preserve">youths become part of the gang to feel a part of a family; which they never had from their previous </w:t>
      </w:r>
      <w:r w:rsidR="00740F28" w:rsidRPr="00C906CA">
        <w:rPr>
          <w:rFonts w:eastAsia="Times New Roman" w:cstheme="minorHAnsi"/>
          <w:lang w:eastAsia="en-GB"/>
        </w:rPr>
        <w:t>socialisation and adverse childhood experiences</w:t>
      </w:r>
      <w:r w:rsidR="00BC0831" w:rsidRPr="00C906CA">
        <w:rPr>
          <w:rFonts w:eastAsia="Times New Roman" w:cstheme="minorHAnsi"/>
          <w:lang w:eastAsia="en-GB"/>
        </w:rPr>
        <w:t>.</w:t>
      </w:r>
    </w:p>
    <w:p w14:paraId="2D284619" w14:textId="2E527876" w:rsidR="008C6892" w:rsidRPr="00C906CA" w:rsidRDefault="008C6892"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O</w:t>
      </w:r>
      <w:r w:rsidR="006C1F14" w:rsidRPr="00C906CA">
        <w:rPr>
          <w:rFonts w:eastAsia="Times New Roman" w:cstheme="minorHAnsi"/>
          <w:lang w:eastAsia="en-GB"/>
        </w:rPr>
        <w:t>ne of the main reasons for youths joining gangs</w:t>
      </w:r>
      <w:r w:rsidR="00D02F8D" w:rsidRPr="00C906CA">
        <w:rPr>
          <w:rFonts w:eastAsia="Times New Roman" w:cstheme="minorHAnsi"/>
          <w:lang w:eastAsia="en-GB"/>
        </w:rPr>
        <w:t xml:space="preserve"> in modern society, is due to their socialisation; not only from their parents / guardians but also the geographical area in which they were brought up in</w:t>
      </w:r>
      <w:r w:rsidR="00F37C80" w:rsidRPr="00C906CA">
        <w:rPr>
          <w:rFonts w:eastAsia="Times New Roman" w:cstheme="minorHAnsi"/>
          <w:lang w:eastAsia="en-GB"/>
        </w:rPr>
        <w:t xml:space="preserve"> (Miller, 2019)</w:t>
      </w:r>
      <w:r w:rsidR="00D02F8D" w:rsidRPr="00C906CA">
        <w:rPr>
          <w:rFonts w:eastAsia="Times New Roman" w:cstheme="minorHAnsi"/>
          <w:lang w:eastAsia="en-GB"/>
        </w:rPr>
        <w:t>.</w:t>
      </w:r>
      <w:r w:rsidRPr="00C906CA">
        <w:rPr>
          <w:rFonts w:eastAsia="Times New Roman" w:cstheme="minorHAnsi"/>
          <w:lang w:eastAsia="en-GB"/>
        </w:rPr>
        <w:t xml:space="preserve"> </w:t>
      </w:r>
      <w:r w:rsidR="00B42960" w:rsidRPr="00C906CA">
        <w:rPr>
          <w:rFonts w:eastAsia="Times New Roman" w:cstheme="minorHAnsi"/>
          <w:lang w:eastAsia="en-GB"/>
        </w:rPr>
        <w:t xml:space="preserve">Gangs reside predominantly within </w:t>
      </w:r>
      <w:r w:rsidR="00F84B54" w:rsidRPr="00C906CA">
        <w:rPr>
          <w:rFonts w:eastAsia="Times New Roman" w:cstheme="minorHAnsi"/>
          <w:lang w:eastAsia="en-GB"/>
        </w:rPr>
        <w:t>rural</w:t>
      </w:r>
      <w:r w:rsidR="00B42960" w:rsidRPr="00C906CA">
        <w:rPr>
          <w:rFonts w:eastAsia="Times New Roman" w:cstheme="minorHAnsi"/>
          <w:lang w:eastAsia="en-GB"/>
        </w:rPr>
        <w:t xml:space="preserve"> areas</w:t>
      </w:r>
      <w:r w:rsidR="00F37C80" w:rsidRPr="00C906CA">
        <w:rPr>
          <w:rFonts w:eastAsia="Times New Roman" w:cstheme="minorHAnsi"/>
          <w:lang w:eastAsia="en-GB"/>
        </w:rPr>
        <w:t>,</w:t>
      </w:r>
      <w:r w:rsidR="00B42960" w:rsidRPr="00C906CA">
        <w:rPr>
          <w:rFonts w:eastAsia="Times New Roman" w:cstheme="minorHAnsi"/>
          <w:lang w:eastAsia="en-GB"/>
        </w:rPr>
        <w:t xml:space="preserve"> council estates and alike.</w:t>
      </w:r>
      <w:r w:rsidR="00F37C80" w:rsidRPr="00C906CA">
        <w:rPr>
          <w:rFonts w:eastAsia="Times New Roman" w:cstheme="minorHAnsi"/>
          <w:lang w:eastAsia="en-GB"/>
        </w:rPr>
        <w:t xml:space="preserve"> </w:t>
      </w:r>
    </w:p>
    <w:p w14:paraId="1A432D23" w14:textId="645CA108" w:rsidR="0018161E" w:rsidRPr="00C906CA" w:rsidRDefault="00B42960"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Youth affiliation in gangs has risen predominantly over the years</w:t>
      </w:r>
      <w:r w:rsidR="00F37C80" w:rsidRPr="00C906CA">
        <w:rPr>
          <w:rFonts w:eastAsia="Times New Roman" w:cstheme="minorHAnsi"/>
          <w:lang w:eastAsia="en-GB"/>
        </w:rPr>
        <w:t xml:space="preserve">; youth gangs and adverse childhood experiences (ACE’s) has a reciprocal relationship. The negative </w:t>
      </w:r>
      <w:r w:rsidR="00773386" w:rsidRPr="00C906CA">
        <w:rPr>
          <w:rFonts w:eastAsia="Times New Roman" w:cstheme="minorHAnsi"/>
          <w:lang w:eastAsia="en-GB"/>
        </w:rPr>
        <w:t>effects</w:t>
      </w:r>
      <w:r w:rsidR="000D4D27" w:rsidRPr="00C906CA">
        <w:rPr>
          <w:rFonts w:eastAsia="Times New Roman" w:cstheme="minorHAnsi"/>
          <w:lang w:eastAsia="en-GB"/>
        </w:rPr>
        <w:t xml:space="preserve"> that</w:t>
      </w:r>
      <w:r w:rsidR="00773386" w:rsidRPr="00C906CA">
        <w:rPr>
          <w:rFonts w:eastAsia="Times New Roman" w:cstheme="minorHAnsi"/>
          <w:lang w:eastAsia="en-GB"/>
        </w:rPr>
        <w:t xml:space="preserve"> a child</w:t>
      </w:r>
      <w:r w:rsidR="000D4D27" w:rsidRPr="00C906CA">
        <w:rPr>
          <w:rFonts w:eastAsia="Times New Roman" w:cstheme="minorHAnsi"/>
          <w:lang w:eastAsia="en-GB"/>
        </w:rPr>
        <w:t xml:space="preserve"> experiences </w:t>
      </w:r>
      <w:r w:rsidR="00773386" w:rsidRPr="00C906CA">
        <w:rPr>
          <w:rFonts w:eastAsia="Times New Roman" w:cstheme="minorHAnsi"/>
          <w:lang w:eastAsia="en-GB"/>
        </w:rPr>
        <w:t>and how</w:t>
      </w:r>
      <w:r w:rsidR="000D4D27" w:rsidRPr="00C906CA">
        <w:rPr>
          <w:rFonts w:eastAsia="Times New Roman" w:cstheme="minorHAnsi"/>
          <w:lang w:eastAsia="en-GB"/>
        </w:rPr>
        <w:t xml:space="preserve"> </w:t>
      </w:r>
      <w:r w:rsidR="00773386" w:rsidRPr="00C906CA">
        <w:rPr>
          <w:rFonts w:eastAsia="Times New Roman" w:cstheme="minorHAnsi"/>
          <w:lang w:eastAsia="en-GB"/>
        </w:rPr>
        <w:t xml:space="preserve">those experiences </w:t>
      </w:r>
      <w:r w:rsidR="000D4D27" w:rsidRPr="00C906CA">
        <w:rPr>
          <w:rFonts w:eastAsia="Times New Roman" w:cstheme="minorHAnsi"/>
          <w:lang w:eastAsia="en-GB"/>
        </w:rPr>
        <w:t>affect their lives</w:t>
      </w:r>
      <w:r w:rsidR="0018161E" w:rsidRPr="00C906CA">
        <w:rPr>
          <w:rFonts w:eastAsia="Times New Roman" w:cstheme="minorHAnsi"/>
          <w:lang w:eastAsia="en-GB"/>
        </w:rPr>
        <w:t>, influence youth involvement within gangs and criminality (</w:t>
      </w:r>
      <w:proofErr w:type="spellStart"/>
      <w:r w:rsidR="0018161E" w:rsidRPr="00C906CA">
        <w:rPr>
          <w:rFonts w:eastAsia="Times New Roman" w:cstheme="minorHAnsi"/>
          <w:lang w:eastAsia="en-GB"/>
        </w:rPr>
        <w:t>DeLisi</w:t>
      </w:r>
      <w:proofErr w:type="spellEnd"/>
      <w:r w:rsidR="0018161E" w:rsidRPr="00C906CA">
        <w:rPr>
          <w:rFonts w:eastAsia="Times New Roman" w:cstheme="minorHAnsi"/>
          <w:lang w:eastAsia="en-GB"/>
        </w:rPr>
        <w:t xml:space="preserve"> et al. 2017). Children vulnerable to physical, sexual abuse, neglect and subject to poor educational disadvantages, enhances the probability of loitering and anti-social behaviour. Children brought up within this environment and reside in rural areas, are exploited to gang involvement and recruited subsequently. Gang membership provides a sense of belonging and unity, creating an internal community (Stroud, 2009) </w:t>
      </w:r>
      <w:r w:rsidR="0030333A" w:rsidRPr="00C906CA">
        <w:rPr>
          <w:rFonts w:eastAsia="Times New Roman" w:cstheme="minorHAnsi"/>
          <w:lang w:eastAsia="en-GB"/>
        </w:rPr>
        <w:t xml:space="preserve">that is not possible within the home environment. </w:t>
      </w:r>
    </w:p>
    <w:p w14:paraId="619DF043" w14:textId="7F54E93E" w:rsidR="00CA0B47" w:rsidRPr="00C906CA" w:rsidRDefault="00CA0B47" w:rsidP="00CB4931">
      <w:pPr>
        <w:overflowPunct w:val="0"/>
        <w:autoSpaceDE w:val="0"/>
        <w:autoSpaceDN w:val="0"/>
        <w:adjustRightInd w:val="0"/>
        <w:spacing w:before="240" w:after="0" w:line="240" w:lineRule="auto"/>
        <w:jc w:val="both"/>
        <w:textAlignment w:val="baseline"/>
        <w:rPr>
          <w:rFonts w:cstheme="minorHAnsi"/>
          <w:color w:val="000000"/>
          <w:shd w:val="clear" w:color="auto" w:fill="FFFFFF"/>
        </w:rPr>
      </w:pPr>
      <w:r w:rsidRPr="00C906CA">
        <w:rPr>
          <w:rFonts w:cstheme="minorHAnsi"/>
          <w:color w:val="000000"/>
          <w:shd w:val="clear" w:color="auto" w:fill="FFFFFF"/>
        </w:rPr>
        <w:t>Findings from previous studies were that ACE’s were not directly linked to a gang membership, however that the behaviour that they presented, such as criminality and serious violence is often linked to gang membership</w:t>
      </w:r>
      <w:r w:rsidR="00E14B49" w:rsidRPr="00C906CA">
        <w:rPr>
          <w:rFonts w:cstheme="minorHAnsi"/>
          <w:color w:val="000000"/>
          <w:shd w:val="clear" w:color="auto" w:fill="FFFFFF"/>
        </w:rPr>
        <w:t xml:space="preserve"> (Wolff, K et al., 2019). This suggests that although a direct link between ACE’s and gang membership has not been found, the behaviours that arise from ACE’s are commonly linked to</w:t>
      </w:r>
      <w:r w:rsidR="0030333A" w:rsidRPr="00C906CA">
        <w:rPr>
          <w:rFonts w:cstheme="minorHAnsi"/>
          <w:color w:val="000000"/>
          <w:shd w:val="clear" w:color="auto" w:fill="FFFFFF"/>
        </w:rPr>
        <w:t xml:space="preserve"> antisocial activities.</w:t>
      </w:r>
      <w:r w:rsidR="00E14B49" w:rsidRPr="00C906CA">
        <w:rPr>
          <w:rFonts w:cstheme="minorHAnsi"/>
          <w:color w:val="000000"/>
          <w:shd w:val="clear" w:color="auto" w:fill="FFFFFF"/>
        </w:rPr>
        <w:t xml:space="preserve"> Gang members are generally involved in criminal behaviour such as violence and drugs. When children are raised in environments of a similar nature, it is only natural that they are to live similar lives and become involved in the criminal behaviour.</w:t>
      </w:r>
    </w:p>
    <w:p w14:paraId="7844C805" w14:textId="5C3C81A6" w:rsidR="0030333A" w:rsidRPr="00C906CA" w:rsidRDefault="0030333A" w:rsidP="00CB4931">
      <w:pPr>
        <w:overflowPunct w:val="0"/>
        <w:autoSpaceDE w:val="0"/>
        <w:autoSpaceDN w:val="0"/>
        <w:adjustRightInd w:val="0"/>
        <w:spacing w:before="240" w:after="0" w:line="240" w:lineRule="auto"/>
        <w:jc w:val="both"/>
        <w:textAlignment w:val="baseline"/>
        <w:rPr>
          <w:rFonts w:cstheme="minorHAnsi"/>
          <w:color w:val="000000"/>
          <w:shd w:val="clear" w:color="auto" w:fill="FFFFFF"/>
        </w:rPr>
      </w:pPr>
      <w:r w:rsidRPr="00C906CA">
        <w:rPr>
          <w:rFonts w:cstheme="minorHAnsi"/>
          <w:color w:val="000000"/>
          <w:shd w:val="clear" w:color="auto" w:fill="FFFFFF"/>
        </w:rPr>
        <w:t>As gangs predominantly reside in council estates and rural areas, children subject to ACE</w:t>
      </w:r>
      <w:r w:rsidR="007B2768" w:rsidRPr="00C906CA">
        <w:rPr>
          <w:rFonts w:cstheme="minorHAnsi"/>
          <w:color w:val="000000"/>
          <w:shd w:val="clear" w:color="auto" w:fill="FFFFFF"/>
        </w:rPr>
        <w:t>’s</w:t>
      </w:r>
      <w:r w:rsidRPr="00C906CA">
        <w:rPr>
          <w:rFonts w:cstheme="minorHAnsi"/>
          <w:color w:val="000000"/>
          <w:shd w:val="clear" w:color="auto" w:fill="FFFFFF"/>
        </w:rPr>
        <w:t xml:space="preserve"> are commonly within this environment. Their vulnerability and the little care from their parental guardians, aid in the affiliation of street gangs and antisocial behaviour and criminal activity. The environment in which these children are brought up in, lead fatalistic futures of criminal behaviour and gang association.</w:t>
      </w:r>
    </w:p>
    <w:p w14:paraId="04EBE0B2" w14:textId="6F26FA89" w:rsidR="007B0965" w:rsidRPr="00C906CA" w:rsidRDefault="0030285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Research that has been conducted on gang members found that although the gang members state that they have family members involved in gangs, they are not forced into becoming involved in the gang. It is said that the main issue with juveniles becoming part of a gang is down to their standard of education. Whether this be the large class groups, poor quality of education or the high level of absences from education; this all holds a greater percentage of juveniles who join gangs (Gilman, A. B et al., </w:t>
      </w:r>
      <w:r w:rsidR="00470D94" w:rsidRPr="00C906CA">
        <w:rPr>
          <w:rFonts w:eastAsia="Times New Roman" w:cstheme="minorHAnsi"/>
          <w:lang w:eastAsia="en-GB"/>
        </w:rPr>
        <w:t>2014).</w:t>
      </w:r>
    </w:p>
    <w:p w14:paraId="45665B2C" w14:textId="02CAAF8C" w:rsidR="00470D94" w:rsidRPr="00C906CA" w:rsidRDefault="00470D94"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According to Miller J, (2019), </w:t>
      </w:r>
      <w:r w:rsidR="008A6435" w:rsidRPr="00C906CA">
        <w:rPr>
          <w:rFonts w:eastAsia="Times New Roman" w:cstheme="minorHAnsi"/>
          <w:lang w:eastAsia="en-GB"/>
        </w:rPr>
        <w:t xml:space="preserve">street socialisation was a main factor for gang members to grow. </w:t>
      </w:r>
      <w:r w:rsidR="007B2768" w:rsidRPr="00C906CA">
        <w:rPr>
          <w:rFonts w:eastAsia="Times New Roman" w:cstheme="minorHAnsi"/>
          <w:lang w:eastAsia="en-GB"/>
        </w:rPr>
        <w:t>Youths</w:t>
      </w:r>
      <w:r w:rsidR="008A6435" w:rsidRPr="00C906CA">
        <w:rPr>
          <w:rFonts w:eastAsia="Times New Roman" w:cstheme="minorHAnsi"/>
          <w:lang w:eastAsia="en-GB"/>
        </w:rPr>
        <w:t xml:space="preserve"> who grow up on a council estate are in an environment where they can learn from their peers who are already part of a gang. They are in this setting from a very young age and look up to those children who are not much older than them. The older children act as role models and the younger follow their actions and become a part of the gang. As children, they were always playing in streets close to their homes from a young age (4-5) and gained their life lessons from those already affiliated with gangs. The socialisation within the street culture can be followed in many ways. Younger chi</w:t>
      </w:r>
      <w:r w:rsidR="003F3703" w:rsidRPr="00C906CA">
        <w:rPr>
          <w:rFonts w:eastAsia="Times New Roman" w:cstheme="minorHAnsi"/>
          <w:lang w:eastAsia="en-GB"/>
        </w:rPr>
        <w:t>l</w:t>
      </w:r>
      <w:r w:rsidR="008A6435" w:rsidRPr="00C906CA">
        <w:rPr>
          <w:rFonts w:eastAsia="Times New Roman" w:cstheme="minorHAnsi"/>
          <w:lang w:eastAsia="en-GB"/>
        </w:rPr>
        <w:t xml:space="preserve">dren are always alert to their elders and would </w:t>
      </w:r>
      <w:r w:rsidR="003F3703" w:rsidRPr="00C906CA">
        <w:rPr>
          <w:rFonts w:eastAsia="Times New Roman" w:cstheme="minorHAnsi"/>
          <w:lang w:eastAsia="en-GB"/>
        </w:rPr>
        <w:t xml:space="preserve">imitate their actions. The actions from their peers and relatives would also impact on their behaviours </w:t>
      </w:r>
      <w:r w:rsidR="003F3703" w:rsidRPr="00C906CA">
        <w:rPr>
          <w:rFonts w:eastAsia="Times New Roman" w:cstheme="minorHAnsi"/>
          <w:lang w:eastAsia="en-GB"/>
        </w:rPr>
        <w:lastRenderedPageBreak/>
        <w:t xml:space="preserve">and who they would socialise with. If there was gang involvement in their lives from a young age, then they would find it hard to not be a part of the gang culture. </w:t>
      </w:r>
    </w:p>
    <w:p w14:paraId="7CCA8A1B" w14:textId="3FADA472" w:rsidR="003F3703" w:rsidRPr="00C906CA" w:rsidRDefault="00F06C6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Peers </w:t>
      </w:r>
      <w:r w:rsidR="00270E6B" w:rsidRPr="00C906CA">
        <w:rPr>
          <w:rFonts w:eastAsia="Times New Roman" w:cstheme="minorHAnsi"/>
          <w:lang w:eastAsia="en-GB"/>
        </w:rPr>
        <w:t xml:space="preserve">have an influential impact on a person, particularly within gangs. Boxer, P (2014) states that there are different ways in which gang culture can </w:t>
      </w:r>
      <w:r w:rsidR="007B2768" w:rsidRPr="00C906CA">
        <w:rPr>
          <w:rFonts w:eastAsia="Times New Roman" w:cstheme="minorHAnsi"/>
          <w:lang w:eastAsia="en-GB"/>
        </w:rPr>
        <w:t>influence</w:t>
      </w:r>
      <w:r w:rsidR="00270E6B" w:rsidRPr="00C906CA">
        <w:rPr>
          <w:rFonts w:eastAsia="Times New Roman" w:cstheme="minorHAnsi"/>
          <w:lang w:eastAsia="en-GB"/>
        </w:rPr>
        <w:t xml:space="preserve"> a person. They can provide support to a person and be the protector for them and make them feel safe. On the contrary to this, the gang involvement leads juveniles into a life where violence and crime is the only way of life in which they know. This will lead to them becoming more violent and they will eventually influence juveniles younger than them further in life and it is a recurring c</w:t>
      </w:r>
      <w:r w:rsidR="007B2768" w:rsidRPr="00C906CA">
        <w:rPr>
          <w:rFonts w:eastAsia="Times New Roman" w:cstheme="minorHAnsi"/>
          <w:lang w:eastAsia="en-GB"/>
        </w:rPr>
        <w:t>ycle</w:t>
      </w:r>
      <w:r w:rsidR="00270E6B" w:rsidRPr="00C906CA">
        <w:rPr>
          <w:rFonts w:eastAsia="Times New Roman" w:cstheme="minorHAnsi"/>
          <w:lang w:eastAsia="en-GB"/>
        </w:rPr>
        <w:t xml:space="preserve">. </w:t>
      </w:r>
    </w:p>
    <w:p w14:paraId="038A80DC" w14:textId="26E36CE3" w:rsidR="00FF43A1" w:rsidRPr="00C906CA" w:rsidRDefault="00FF43A1"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In conclusion, it is suggested that socialisation is a main factor for the growing gang culture and why youths become part of a gang today. </w:t>
      </w:r>
      <w:r w:rsidR="006D557E" w:rsidRPr="00C906CA">
        <w:rPr>
          <w:rFonts w:eastAsia="Times New Roman" w:cstheme="minorHAnsi"/>
          <w:lang w:eastAsia="en-GB"/>
        </w:rPr>
        <w:t xml:space="preserve">Growing up in council estates and deprived areas with elder peers already involved in the gang culture leads youths along that path of life and they are not aware of life without gang involvement. </w:t>
      </w:r>
    </w:p>
    <w:p w14:paraId="3E2763F2" w14:textId="35D426DB" w:rsidR="006D557E" w:rsidRPr="00C906CA" w:rsidRDefault="006D557E"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The socialisation links with ACE’s as mentioned above. Due to younger children experiencing many adverse experiences within these environments, there are two ways which this may be interpreted. If children are exposed to violence and criminality, then they may lead their lives as they have experienced and believe that this is the only way in which they know how. Contrary to this, if a child has been left to feel isolated from family due to their experiences then they may turn to elder peers in the area who support them and therefore </w:t>
      </w:r>
      <w:r w:rsidR="00192F22" w:rsidRPr="00C906CA">
        <w:rPr>
          <w:rFonts w:eastAsia="Times New Roman" w:cstheme="minorHAnsi"/>
          <w:lang w:eastAsia="en-GB"/>
        </w:rPr>
        <w:t xml:space="preserve">by having someone who supports them and listens to them, they will feel loved and secure in this environment and therefore stay within the gang culture from a young age. </w:t>
      </w:r>
      <w:r w:rsidRPr="00C906CA">
        <w:rPr>
          <w:rFonts w:eastAsia="Times New Roman" w:cstheme="minorHAnsi"/>
          <w:lang w:eastAsia="en-GB"/>
        </w:rPr>
        <w:t xml:space="preserve"> </w:t>
      </w:r>
    </w:p>
    <w:p w14:paraId="5B4C178C" w14:textId="259FE942" w:rsidR="00773386" w:rsidRPr="00C906CA" w:rsidRDefault="00192F22"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 xml:space="preserve">Further research conducted on this topic could be conducted by visiting </w:t>
      </w:r>
      <w:r w:rsidR="002849DC" w:rsidRPr="00C906CA">
        <w:rPr>
          <w:rFonts w:eastAsia="Times New Roman" w:cstheme="minorHAnsi"/>
          <w:lang w:eastAsia="en-GB"/>
        </w:rPr>
        <w:t xml:space="preserve">schools in deprived areas and schools in appraised areas and compare the contrasts of gang culture within the differing areas. Conducting research within these areas would help to answer the question: Why are youths being drawn into the gang culture? </w:t>
      </w:r>
      <w:r w:rsidR="00BB7664" w:rsidRPr="00C906CA">
        <w:rPr>
          <w:rFonts w:eastAsia="Times New Roman" w:cstheme="minorHAnsi"/>
          <w:lang w:eastAsia="en-GB"/>
        </w:rPr>
        <w:t>This could help establish if the youths joining gangs are more likely to do so if they are from the deprived areas and from their childhood experiences.</w:t>
      </w:r>
    </w:p>
    <w:p w14:paraId="7D0976FE" w14:textId="589A25E0" w:rsidR="00470D94" w:rsidRPr="00C906CA" w:rsidRDefault="00AF7EF8"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r w:rsidRPr="00C906CA">
        <w:rPr>
          <w:rFonts w:eastAsia="Times New Roman" w:cstheme="minorHAnsi"/>
          <w:lang w:eastAsia="en-GB"/>
        </w:rPr>
        <w:t>(10</w:t>
      </w:r>
      <w:r w:rsidR="00BC0831" w:rsidRPr="00C906CA">
        <w:rPr>
          <w:rFonts w:eastAsia="Times New Roman" w:cstheme="minorHAnsi"/>
          <w:lang w:eastAsia="en-GB"/>
        </w:rPr>
        <w:t>63</w:t>
      </w:r>
      <w:r w:rsidRPr="00C906CA">
        <w:rPr>
          <w:rFonts w:eastAsia="Times New Roman" w:cstheme="minorHAnsi"/>
          <w:lang w:eastAsia="en-GB"/>
        </w:rPr>
        <w:t xml:space="preserve"> Words)</w:t>
      </w:r>
    </w:p>
    <w:p w14:paraId="2CABEC2D" w14:textId="5A90401B"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6AF829C4" w14:textId="4D673BDD"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0C706A46" w14:textId="7AD6B074" w:rsid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193C5C50" w14:textId="3BAE3185" w:rsidR="00AD6959" w:rsidRDefault="00AD695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24AE8798" w14:textId="77777777" w:rsidR="00AD6959" w:rsidRPr="00C906CA" w:rsidRDefault="00AD6959"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0BF9B553" w14:textId="77777777" w:rsidR="00C906CA" w:rsidRPr="00C906CA" w:rsidRDefault="00C906CA" w:rsidP="00CB4931">
      <w:pPr>
        <w:overflowPunct w:val="0"/>
        <w:autoSpaceDE w:val="0"/>
        <w:autoSpaceDN w:val="0"/>
        <w:adjustRightInd w:val="0"/>
        <w:spacing w:before="240" w:after="0" w:line="240" w:lineRule="auto"/>
        <w:jc w:val="both"/>
        <w:textAlignment w:val="baseline"/>
        <w:rPr>
          <w:rFonts w:eastAsia="Times New Roman" w:cstheme="minorHAnsi"/>
          <w:lang w:eastAsia="en-GB"/>
        </w:rPr>
      </w:pPr>
    </w:p>
    <w:p w14:paraId="1F2249AD" w14:textId="77777777" w:rsidR="00CB4931" w:rsidRPr="00C906CA" w:rsidRDefault="00CB4931" w:rsidP="00CB4931">
      <w:pPr>
        <w:overflowPunct w:val="0"/>
        <w:autoSpaceDE w:val="0"/>
        <w:autoSpaceDN w:val="0"/>
        <w:adjustRightInd w:val="0"/>
        <w:spacing w:before="240" w:after="0" w:line="240" w:lineRule="auto"/>
        <w:ind w:left="360" w:firstLine="66"/>
        <w:jc w:val="both"/>
        <w:textAlignment w:val="baseline"/>
        <w:rPr>
          <w:rFonts w:eastAsia="Times New Roman" w:cstheme="minorHAnsi"/>
          <w:i/>
          <w:iCs/>
          <w:color w:val="FF0000"/>
          <w:lang w:eastAsia="en-GB"/>
        </w:rPr>
      </w:pPr>
      <w:r w:rsidRPr="00C906CA">
        <w:rPr>
          <w:rFonts w:eastAsia="Times New Roman" w:cstheme="minorHAnsi"/>
          <w:i/>
          <w:iCs/>
          <w:color w:val="FF0000"/>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01712DDF" w14:textId="77777777" w:rsidR="00CB4931" w:rsidRPr="00C906CA" w:rsidRDefault="00CB4931" w:rsidP="00CB4931">
      <w:pPr>
        <w:overflowPunct w:val="0"/>
        <w:autoSpaceDE w:val="0"/>
        <w:autoSpaceDN w:val="0"/>
        <w:adjustRightInd w:val="0"/>
        <w:spacing w:before="240" w:after="0" w:line="240" w:lineRule="auto"/>
        <w:ind w:firstLine="426"/>
        <w:jc w:val="both"/>
        <w:textAlignment w:val="baseline"/>
        <w:rPr>
          <w:rFonts w:eastAsia="Times New Roman" w:cstheme="minorHAnsi"/>
          <w:color w:val="FF0000"/>
          <w:lang w:eastAsia="en-GB"/>
        </w:rPr>
      </w:pPr>
    </w:p>
    <w:p w14:paraId="6DF96414" w14:textId="77777777" w:rsidR="00CB4931" w:rsidRPr="00C906CA" w:rsidRDefault="00CB4931" w:rsidP="00CB4931">
      <w:pPr>
        <w:overflowPunct w:val="0"/>
        <w:autoSpaceDE w:val="0"/>
        <w:autoSpaceDN w:val="0"/>
        <w:adjustRightInd w:val="0"/>
        <w:spacing w:before="240" w:after="0" w:line="240" w:lineRule="auto"/>
        <w:ind w:left="360"/>
        <w:jc w:val="both"/>
        <w:textAlignment w:val="baseline"/>
        <w:rPr>
          <w:rFonts w:eastAsia="Times New Roman" w:cstheme="minorHAnsi"/>
          <w:color w:val="FF0000"/>
          <w:lang w:eastAsia="en-GB"/>
        </w:rPr>
      </w:pPr>
      <w:r w:rsidRPr="00C906CA">
        <w:rPr>
          <w:rFonts w:eastAsia="Times New Roman" w:cstheme="minorHAnsi"/>
          <w:color w:val="FF0000"/>
          <w:lang w:eastAsia="en-GB"/>
        </w:rPr>
        <w:t>Title 4: Critically evaluate the impact upon policing of differing values, ethics and norms within diverse communities and the importance of effective communication when working within these communities.</w:t>
      </w:r>
    </w:p>
    <w:p w14:paraId="210F546C" w14:textId="054FE48D" w:rsidR="00E8396B" w:rsidRPr="00C906CA" w:rsidRDefault="00E8396B">
      <w:pPr>
        <w:rPr>
          <w:rFonts w:cstheme="minorHAnsi"/>
        </w:rPr>
      </w:pPr>
    </w:p>
    <w:p w14:paraId="134F9E88" w14:textId="32B946EF" w:rsidR="00270101" w:rsidRPr="00C906CA" w:rsidRDefault="000B5202">
      <w:pPr>
        <w:rPr>
          <w:rFonts w:cstheme="minorHAnsi"/>
        </w:rPr>
      </w:pPr>
      <w:r w:rsidRPr="00C906CA">
        <w:rPr>
          <w:rFonts w:cstheme="minorHAnsi"/>
        </w:rPr>
        <w:t xml:space="preserve">Diverse </w:t>
      </w:r>
      <w:r w:rsidR="00C25117" w:rsidRPr="00C906CA">
        <w:rPr>
          <w:rFonts w:cstheme="minorHAnsi"/>
        </w:rPr>
        <w:t>communities</w:t>
      </w:r>
      <w:r w:rsidRPr="00C906CA">
        <w:rPr>
          <w:rFonts w:cstheme="minorHAnsi"/>
        </w:rPr>
        <w:t xml:space="preserve"> and many different cultures are becoming more prominent within UK society. Policing has had to change dramatically </w:t>
      </w:r>
      <w:r w:rsidR="00270101" w:rsidRPr="00C906CA">
        <w:rPr>
          <w:rFonts w:cstheme="minorHAnsi"/>
        </w:rPr>
        <w:t xml:space="preserve">over the last 30 to 40 years </w:t>
      </w:r>
      <w:r w:rsidR="00AC10EB" w:rsidRPr="00C906CA">
        <w:rPr>
          <w:rFonts w:cstheme="minorHAnsi"/>
        </w:rPr>
        <w:t xml:space="preserve">to account for the diverse cultures that we experience in society today. </w:t>
      </w:r>
      <w:r w:rsidR="006C4A26" w:rsidRPr="00C906CA">
        <w:rPr>
          <w:rFonts w:cstheme="minorHAnsi"/>
        </w:rPr>
        <w:t xml:space="preserve">Policing in diverse communities can be improved and we have seen an increase in diversity within police forces with more police officers from diverse backgrounds to help with this. </w:t>
      </w:r>
    </w:p>
    <w:p w14:paraId="2EE64F0C" w14:textId="059AFB2B" w:rsidR="00036A95" w:rsidRPr="00C906CA" w:rsidRDefault="00036A95">
      <w:pPr>
        <w:rPr>
          <w:rFonts w:cstheme="minorHAnsi"/>
        </w:rPr>
      </w:pPr>
      <w:r w:rsidRPr="00C906CA">
        <w:rPr>
          <w:rFonts w:cstheme="minorHAnsi"/>
        </w:rPr>
        <w:t>There are policing principle and standards of professional behaviour that are expected from all police officers and staff within police forces in England and Wales. Police officers acting with honesty, integrity and treating every person fairly is key, particularly when communicating with ethnic minority communities</w:t>
      </w:r>
      <w:r w:rsidR="00E9565C" w:rsidRPr="00C906CA">
        <w:rPr>
          <w:rFonts w:cstheme="minorHAnsi"/>
        </w:rPr>
        <w:t>.</w:t>
      </w:r>
      <w:r w:rsidR="002A1153" w:rsidRPr="00C906CA">
        <w:rPr>
          <w:rFonts w:cstheme="minorHAnsi"/>
        </w:rPr>
        <w:t xml:space="preserve"> </w:t>
      </w:r>
    </w:p>
    <w:p w14:paraId="2CF16ACE" w14:textId="51830A4A" w:rsidR="00FF54FF" w:rsidRPr="00C906CA" w:rsidRDefault="00FF54FF">
      <w:pPr>
        <w:rPr>
          <w:rFonts w:cstheme="minorHAnsi"/>
        </w:rPr>
      </w:pPr>
      <w:r w:rsidRPr="00C906CA">
        <w:rPr>
          <w:rStyle w:val="Strong"/>
          <w:rFonts w:cstheme="minorHAnsi"/>
          <w:b w:val="0"/>
          <w:bCs w:val="0"/>
          <w:shd w:val="clear" w:color="auto" w:fill="FFFFFF"/>
        </w:rPr>
        <w:t>Certain of</w:t>
      </w:r>
      <w:r w:rsidRPr="00C906CA">
        <w:rPr>
          <w:rStyle w:val="Strong"/>
          <w:rFonts w:cstheme="minorHAnsi"/>
          <w:b w:val="0"/>
          <w:bCs w:val="0"/>
          <w:shd w:val="clear" w:color="auto" w:fill="FFFFFF"/>
        </w:rPr>
        <w:t xml:space="preserve">fences that people commit can be perceived as a hate crime if </w:t>
      </w:r>
      <w:r w:rsidRPr="00C906CA">
        <w:rPr>
          <w:rStyle w:val="Strong"/>
          <w:rFonts w:cstheme="minorHAnsi"/>
          <w:b w:val="0"/>
          <w:bCs w:val="0"/>
          <w:shd w:val="clear" w:color="auto" w:fill="FFFFFF"/>
        </w:rPr>
        <w:t>a person is targeted as</w:t>
      </w:r>
      <w:r w:rsidRPr="00C906CA">
        <w:rPr>
          <w:rStyle w:val="Strong"/>
          <w:rFonts w:cstheme="minorHAnsi"/>
          <w:b w:val="0"/>
          <w:bCs w:val="0"/>
          <w:shd w:val="clear" w:color="auto" w:fill="FFFFFF"/>
        </w:rPr>
        <w:t xml:space="preserve"> result of their background or identity. Hate crime is defined as </w:t>
      </w:r>
      <w:r w:rsidRPr="00C906CA">
        <w:rPr>
          <w:rStyle w:val="Strong"/>
          <w:rFonts w:cstheme="minorHAnsi"/>
          <w:b w:val="0"/>
          <w:bCs w:val="0"/>
          <w:i/>
          <w:iCs/>
          <w:shd w:val="clear" w:color="auto" w:fill="FFFFFF"/>
        </w:rPr>
        <w:t xml:space="preserve">“When someone is hostile to another person because of their disability, nationality, race, religion, sexual orientation or transgender identity and they show their hostility by intimidation, harassment, damaging property or violence it is hate crime” </w:t>
      </w:r>
      <w:r w:rsidRPr="00C906CA">
        <w:rPr>
          <w:rStyle w:val="selectable"/>
          <w:rFonts w:cstheme="minorHAnsi"/>
          <w:color w:val="000000"/>
          <w:lang w:val="en"/>
        </w:rPr>
        <w:t>(Hate crime | The Crown Prosecution Service, 2021)</w:t>
      </w:r>
      <w:r w:rsidRPr="00C906CA">
        <w:rPr>
          <w:rStyle w:val="selectable"/>
          <w:rFonts w:cstheme="minorHAnsi"/>
          <w:color w:val="000000"/>
          <w:lang w:val="en"/>
        </w:rPr>
        <w:t>. Policing these crimes and diverse communities is a challenge due to the scrutiny that the police have previously received from hate crime. Engaging within these communities needs to improve to encourage victims of these offences to come forward to the police to deal with and minimize the risk. The public’s perception is that they either do not contact the police over the fear that the police would not take them seriously or based that they are exposed to this abuse on a daily basis they do not feel the need to report it or they would be at the police station every day (</w:t>
      </w:r>
      <w:proofErr w:type="spellStart"/>
      <w:r w:rsidRPr="00C906CA">
        <w:rPr>
          <w:rStyle w:val="selectable"/>
          <w:rFonts w:cstheme="minorHAnsi"/>
          <w:color w:val="000000"/>
          <w:lang w:val="en"/>
        </w:rPr>
        <w:t>Chakraborti</w:t>
      </w:r>
      <w:proofErr w:type="spellEnd"/>
      <w:r w:rsidRPr="00C906CA">
        <w:rPr>
          <w:rStyle w:val="selectable"/>
          <w:rFonts w:cstheme="minorHAnsi"/>
          <w:color w:val="000000"/>
          <w:lang w:val="en"/>
        </w:rPr>
        <w:t xml:space="preserve">, 2017). </w:t>
      </w:r>
    </w:p>
    <w:p w14:paraId="1A7A04B8" w14:textId="00DFBD6B" w:rsidR="00270101" w:rsidRPr="00C906CA" w:rsidRDefault="00270101">
      <w:pPr>
        <w:rPr>
          <w:rFonts w:cstheme="minorHAnsi"/>
        </w:rPr>
      </w:pPr>
      <w:r w:rsidRPr="00C906CA">
        <w:rPr>
          <w:rFonts w:cstheme="minorHAnsi"/>
        </w:rPr>
        <w:t>Ethnic minority communities were very rare within the UK in the 1960’s. It was from this time that we started to see an increase of ethnic minorities within communities and policing needed to change. The BAME (</w:t>
      </w:r>
      <w:r w:rsidR="00D45061" w:rsidRPr="00C906CA">
        <w:rPr>
          <w:rFonts w:cstheme="minorHAnsi"/>
        </w:rPr>
        <w:t xml:space="preserve">Black, Asian and Minority Ethnic) community has grown dramatically over the last </w:t>
      </w:r>
      <w:r w:rsidR="00AF5902" w:rsidRPr="00C906CA">
        <w:rPr>
          <w:rFonts w:cstheme="minorHAnsi"/>
        </w:rPr>
        <w:t>50 years</w:t>
      </w:r>
      <w:r w:rsidR="00D45061" w:rsidRPr="00C906CA">
        <w:rPr>
          <w:rFonts w:cstheme="minorHAnsi"/>
        </w:rPr>
        <w:t xml:space="preserve">. According to Klemm (2002), the BAME community accounted for 6% of the UK population. I believe that this has increased by a huge amount in today’s current society and they play a big part </w:t>
      </w:r>
      <w:r w:rsidR="00AF5902" w:rsidRPr="00C906CA">
        <w:rPr>
          <w:rFonts w:cstheme="minorHAnsi"/>
        </w:rPr>
        <w:t>today</w:t>
      </w:r>
      <w:r w:rsidR="00D45061" w:rsidRPr="00C906CA">
        <w:rPr>
          <w:rFonts w:cstheme="minorHAnsi"/>
        </w:rPr>
        <w:t xml:space="preserve"> within the UK. </w:t>
      </w:r>
      <w:r w:rsidR="00AF5902" w:rsidRPr="00C906CA">
        <w:rPr>
          <w:rFonts w:cstheme="minorHAnsi"/>
        </w:rPr>
        <w:t xml:space="preserve">In the late 1960’s there were no BAME police officers in the UK. </w:t>
      </w:r>
      <w:r w:rsidR="00AF5902" w:rsidRPr="00C906CA">
        <w:rPr>
          <w:rFonts w:cstheme="minorHAnsi"/>
        </w:rPr>
        <w:lastRenderedPageBreak/>
        <w:t>The BAME community were starting to be represented within sport and other areas, however. Now, although they are still under-represented, there are many more BAME police officers in the UK</w:t>
      </w:r>
      <w:r w:rsidR="005F6193" w:rsidRPr="00C906CA">
        <w:rPr>
          <w:rFonts w:cstheme="minorHAnsi"/>
        </w:rPr>
        <w:t xml:space="preserve"> (Howling and Phillips, 2021).</w:t>
      </w:r>
      <w:r w:rsidR="00FD6FE2" w:rsidRPr="00C906CA">
        <w:rPr>
          <w:rFonts w:cstheme="minorHAnsi"/>
        </w:rPr>
        <w:t xml:space="preserve"> </w:t>
      </w:r>
    </w:p>
    <w:p w14:paraId="227251A5" w14:textId="09F4C107" w:rsidR="00FD6FE2" w:rsidRPr="00C906CA" w:rsidRDefault="00FD6FE2">
      <w:pPr>
        <w:rPr>
          <w:rFonts w:cstheme="minorHAnsi"/>
        </w:rPr>
      </w:pPr>
      <w:r w:rsidRPr="00C906CA">
        <w:rPr>
          <w:rFonts w:cstheme="minorHAnsi"/>
        </w:rPr>
        <w:t xml:space="preserve">BAME police officers are welcomed into policing today and are key to helping the wider policing community to understand the ethics and culture of the BAME communities. According to Howling and Phillips, (2001) the perception of Asian and Muslim cultures </w:t>
      </w:r>
      <w:proofErr w:type="gramStart"/>
      <w:r w:rsidRPr="00C906CA">
        <w:rPr>
          <w:rFonts w:cstheme="minorHAnsi"/>
        </w:rPr>
        <w:t>in particular has</w:t>
      </w:r>
      <w:proofErr w:type="gramEnd"/>
      <w:r w:rsidRPr="00C906CA">
        <w:rPr>
          <w:rFonts w:cstheme="minorHAnsi"/>
        </w:rPr>
        <w:t xml:space="preserve"> changed dramatically; not only within policing communities but within the UK as a whole. </w:t>
      </w:r>
    </w:p>
    <w:p w14:paraId="48FC5013" w14:textId="376C9711" w:rsidR="00FD6FE2" w:rsidRPr="00C906CA" w:rsidRDefault="00FD6FE2">
      <w:pPr>
        <w:rPr>
          <w:rFonts w:cstheme="minorHAnsi"/>
        </w:rPr>
      </w:pPr>
      <w:r w:rsidRPr="00C906CA">
        <w:rPr>
          <w:rFonts w:cstheme="minorHAnsi"/>
        </w:rPr>
        <w:t xml:space="preserve">I believe that policing within diverse communities can be challenging for many police officers. </w:t>
      </w:r>
      <w:r w:rsidR="003430B6" w:rsidRPr="00C906CA">
        <w:rPr>
          <w:rFonts w:cstheme="minorHAnsi"/>
        </w:rPr>
        <w:t xml:space="preserve">Many rural communities in England and Wales are strongly represented by White British people. The BAME community is more common and largely represented within urban areas. Police officers who are not familiar with the culture of the ethnic minorities may not engage in correct ways with these communities. </w:t>
      </w:r>
      <w:r w:rsidR="003B1A98" w:rsidRPr="00C906CA">
        <w:rPr>
          <w:rFonts w:cstheme="minorHAnsi"/>
        </w:rPr>
        <w:t>M</w:t>
      </w:r>
      <w:r w:rsidR="003430B6" w:rsidRPr="00C906CA">
        <w:rPr>
          <w:rFonts w:cstheme="minorHAnsi"/>
        </w:rPr>
        <w:t>any BAME, especially Muslim</w:t>
      </w:r>
      <w:r w:rsidR="003B1A98" w:rsidRPr="00C906CA">
        <w:rPr>
          <w:rFonts w:cstheme="minorHAnsi"/>
        </w:rPr>
        <w:t xml:space="preserve"> people are dissatisfied with the police service that they receive (Murray et.al 2015). This may be due to police officers not having the knowledge and background to support the needs of these ethnic groups. </w:t>
      </w:r>
      <w:r w:rsidR="00E53B0A" w:rsidRPr="00C906CA">
        <w:rPr>
          <w:rFonts w:cstheme="minorHAnsi"/>
        </w:rPr>
        <w:t xml:space="preserve">With more BAME officers in police forces across England and Wales, this will aid in supporting all officers to further develop their skills and support BAME communities. </w:t>
      </w:r>
    </w:p>
    <w:p w14:paraId="5BEC3ADF" w14:textId="3579A60C" w:rsidR="00E53B0A" w:rsidRPr="00C906CA" w:rsidRDefault="00E53B0A">
      <w:pPr>
        <w:rPr>
          <w:rFonts w:cstheme="minorHAnsi"/>
        </w:rPr>
      </w:pPr>
      <w:r w:rsidRPr="00C906CA">
        <w:rPr>
          <w:rFonts w:cstheme="minorHAnsi"/>
        </w:rPr>
        <w:t>Neighbourhood policing teams play a key role in supporting the community and providing a good quality service to those people within their community. The introduction of PCSO’s (Police Community Support Officer’s), I believe, has heled engage with the community and provide a better service to BAME people</w:t>
      </w:r>
      <w:r w:rsidR="009E76F9" w:rsidRPr="00C906CA">
        <w:rPr>
          <w:rFonts w:cstheme="minorHAnsi"/>
        </w:rPr>
        <w:t xml:space="preserve"> however it is not proven that they have had this impact. The growing numbers of ‘bodies on the street’, with the introduction of PCSO’s and other enforcement agents, having an impact on crime reduction and public reassurance is yet to be ascertained (Hughes and Rowe, 2007).</w:t>
      </w:r>
    </w:p>
    <w:p w14:paraId="2A0AA3E6" w14:textId="17AC0A96" w:rsidR="00FC23D8" w:rsidRPr="00C906CA" w:rsidRDefault="00E07696">
      <w:pPr>
        <w:rPr>
          <w:rFonts w:cstheme="minorHAnsi"/>
          <w:b/>
          <w:bCs/>
          <w:i/>
          <w:iCs/>
        </w:rPr>
      </w:pPr>
      <w:r w:rsidRPr="00C906CA">
        <w:rPr>
          <w:rFonts w:cstheme="minorHAnsi"/>
        </w:rPr>
        <w:t>Diverse communities do not only include BAME persons, but also LGBTQ (</w:t>
      </w:r>
      <w:r w:rsidRPr="00C906CA">
        <w:rPr>
          <w:rStyle w:val="Strong"/>
          <w:rFonts w:cstheme="minorHAnsi"/>
          <w:b w:val="0"/>
          <w:bCs w:val="0"/>
          <w:shd w:val="clear" w:color="auto" w:fill="FFFFFF"/>
        </w:rPr>
        <w:t>lesbian, gay, bisexual, transgender and queer or questionin</w:t>
      </w:r>
      <w:r w:rsidRPr="00C906CA">
        <w:rPr>
          <w:rStyle w:val="Strong"/>
          <w:rFonts w:cstheme="minorHAnsi"/>
          <w:b w:val="0"/>
          <w:bCs w:val="0"/>
          <w:shd w:val="clear" w:color="auto" w:fill="FFFFFF"/>
        </w:rPr>
        <w:t xml:space="preserve">g). </w:t>
      </w:r>
      <w:r w:rsidR="00247278" w:rsidRPr="00C906CA">
        <w:rPr>
          <w:rStyle w:val="Strong"/>
          <w:rFonts w:cstheme="minorHAnsi"/>
          <w:b w:val="0"/>
          <w:bCs w:val="0"/>
          <w:shd w:val="clear" w:color="auto" w:fill="FFFFFF"/>
        </w:rPr>
        <w:t xml:space="preserve">As policing has seen an increase in BAME officers, there has also been an increase in LGBTQ police officers. More officers are more open with how they identify and can encourage other officers to support them and their wider community. </w:t>
      </w:r>
      <w:r w:rsidR="00E9565C" w:rsidRPr="00C906CA">
        <w:rPr>
          <w:rStyle w:val="Strong"/>
          <w:rFonts w:cstheme="minorHAnsi"/>
          <w:b w:val="0"/>
          <w:bCs w:val="0"/>
          <w:shd w:val="clear" w:color="auto" w:fill="FFFFFF"/>
        </w:rPr>
        <w:t xml:space="preserve">The police have previously abused their powers and have discriminated against these communities. They have mistreated these minority </w:t>
      </w:r>
      <w:r w:rsidR="006C4A26" w:rsidRPr="00C906CA">
        <w:rPr>
          <w:rStyle w:val="Strong"/>
          <w:rFonts w:cstheme="minorHAnsi"/>
          <w:b w:val="0"/>
          <w:bCs w:val="0"/>
          <w:shd w:val="clear" w:color="auto" w:fill="FFFFFF"/>
        </w:rPr>
        <w:t>groups,</w:t>
      </w:r>
      <w:r w:rsidR="00E9565C" w:rsidRPr="00C906CA">
        <w:rPr>
          <w:rStyle w:val="Strong"/>
          <w:rFonts w:cstheme="minorHAnsi"/>
          <w:b w:val="0"/>
          <w:bCs w:val="0"/>
          <w:shd w:val="clear" w:color="auto" w:fill="FFFFFF"/>
        </w:rPr>
        <w:t xml:space="preserve"> and this has led to negative perceptions from these communities towards the police (Owen et.al, 2017).</w:t>
      </w:r>
      <w:r w:rsidR="006C4A26" w:rsidRPr="00C906CA">
        <w:rPr>
          <w:rStyle w:val="Strong"/>
          <w:rFonts w:cstheme="minorHAnsi"/>
          <w:b w:val="0"/>
          <w:bCs w:val="0"/>
          <w:shd w:val="clear" w:color="auto" w:fill="FFFFFF"/>
        </w:rPr>
        <w:t xml:space="preserve"> This unfortunately is still a case in policing today. Some police officers may not treat these groups with the fairness and equality that they deserve. By including more officers of these backgrounds and teaching the impacts that the police have on people will only help how policing can improve when dealing with diverse communities. </w:t>
      </w:r>
    </w:p>
    <w:p w14:paraId="3E1ED6C9" w14:textId="0066C2D8" w:rsidR="006C4A26" w:rsidRPr="00C906CA" w:rsidRDefault="006C4A26">
      <w:pPr>
        <w:rPr>
          <w:rFonts w:cstheme="minorHAnsi"/>
        </w:rPr>
      </w:pPr>
      <w:r w:rsidRPr="00C906CA">
        <w:rPr>
          <w:rFonts w:cstheme="minorHAnsi"/>
        </w:rPr>
        <w:t xml:space="preserve">In conclusion, </w:t>
      </w:r>
      <w:r w:rsidR="007729D5" w:rsidRPr="00C906CA">
        <w:rPr>
          <w:rFonts w:cstheme="minorHAnsi"/>
        </w:rPr>
        <w:t xml:space="preserve">I found that there are failings within policing however there have been many improvements. There are more police officers from diverse backgrounds who can help to improve how the diverse communities are policed. Neighbourhood policing teams are there to engage with and improve the relationships within diverse communities. This </w:t>
      </w:r>
      <w:proofErr w:type="gramStart"/>
      <w:r w:rsidR="007729D5" w:rsidRPr="00C906CA">
        <w:rPr>
          <w:rFonts w:cstheme="minorHAnsi"/>
        </w:rPr>
        <w:t>has to</w:t>
      </w:r>
      <w:proofErr w:type="gramEnd"/>
      <w:r w:rsidR="007729D5" w:rsidRPr="00C906CA">
        <w:rPr>
          <w:rFonts w:cstheme="minorHAnsi"/>
        </w:rPr>
        <w:t xml:space="preserve"> be backed up by the other departments within policing to allow an equal and fair treatment of all persons within communities by police. I found that there needs to be further teaching to police officers and staff surrounding these diverse communities to fully allow them to understand the different cultures and learn with different ways to deal with them. </w:t>
      </w:r>
    </w:p>
    <w:p w14:paraId="014D82E2" w14:textId="56941205" w:rsidR="007729D5" w:rsidRPr="00C906CA" w:rsidRDefault="007729D5">
      <w:pPr>
        <w:rPr>
          <w:rFonts w:cstheme="minorHAnsi"/>
        </w:rPr>
      </w:pPr>
      <w:r w:rsidRPr="00C906CA">
        <w:rPr>
          <w:rFonts w:cstheme="minorHAnsi"/>
        </w:rPr>
        <w:t xml:space="preserve">Further research surrounding this topic could be conducted by visiting different police forces and finding out what support they have in place for diverse communities and what actions they have in place to improve the relationships. By analysing a variety of different police force’s ideas, this could help build a picture to identify the bigger issues within these communities and to create a national response to provide a better service for these minority communities within England and Wales. </w:t>
      </w:r>
    </w:p>
    <w:p w14:paraId="5988E65E" w14:textId="3C856AC6" w:rsidR="00582498" w:rsidRPr="00C906CA" w:rsidRDefault="00C906CA">
      <w:pPr>
        <w:rPr>
          <w:rFonts w:cstheme="minorHAnsi"/>
        </w:rPr>
      </w:pPr>
      <w:r w:rsidRPr="00C906CA">
        <w:rPr>
          <w:rFonts w:cstheme="minorHAnsi"/>
        </w:rPr>
        <w:t>(1039 Words).</w:t>
      </w:r>
    </w:p>
    <w:p w14:paraId="320E82AB" w14:textId="71B7AB57" w:rsidR="00582498" w:rsidRPr="00C906CA" w:rsidRDefault="00582498">
      <w:pPr>
        <w:rPr>
          <w:rFonts w:cstheme="minorHAnsi"/>
        </w:rPr>
      </w:pPr>
    </w:p>
    <w:p w14:paraId="2E3524EA" w14:textId="47D5E5AC" w:rsidR="00582498" w:rsidRPr="00C906CA" w:rsidRDefault="00582498">
      <w:pPr>
        <w:rPr>
          <w:rFonts w:cstheme="minorHAnsi"/>
        </w:rPr>
      </w:pPr>
    </w:p>
    <w:p w14:paraId="77B0ED69" w14:textId="5990C9BB" w:rsidR="00582498" w:rsidRPr="00C906CA" w:rsidRDefault="00582498">
      <w:pPr>
        <w:rPr>
          <w:rFonts w:cstheme="minorHAnsi"/>
        </w:rPr>
      </w:pPr>
    </w:p>
    <w:p w14:paraId="2297FD0D" w14:textId="3BD3A7B3" w:rsidR="00582498" w:rsidRPr="00C906CA" w:rsidRDefault="00582498">
      <w:pPr>
        <w:rPr>
          <w:rFonts w:cstheme="minorHAnsi"/>
        </w:rPr>
      </w:pPr>
    </w:p>
    <w:p w14:paraId="41D55EE9" w14:textId="05ADE7C7" w:rsidR="00582498" w:rsidRPr="00C906CA" w:rsidRDefault="00582498" w:rsidP="00C906CA">
      <w:pPr>
        <w:jc w:val="center"/>
        <w:rPr>
          <w:rFonts w:cstheme="minorHAnsi"/>
          <w:b/>
          <w:bCs/>
          <w:u w:val="single"/>
        </w:rPr>
      </w:pPr>
      <w:r w:rsidRPr="00C906CA">
        <w:rPr>
          <w:rFonts w:cstheme="minorHAnsi"/>
          <w:b/>
          <w:bCs/>
          <w:u w:val="single"/>
        </w:rPr>
        <w:t>Bibliography</w:t>
      </w:r>
    </w:p>
    <w:p w14:paraId="27CD6A47"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Ariel, B., Sutherland, A., </w:t>
      </w:r>
      <w:proofErr w:type="spellStart"/>
      <w:r w:rsidRPr="00C906CA">
        <w:rPr>
          <w:rFonts w:cstheme="minorHAnsi"/>
          <w:color w:val="000000"/>
          <w:shd w:val="clear" w:color="auto" w:fill="FFFFFF"/>
        </w:rPr>
        <w:t>Henstock</w:t>
      </w:r>
      <w:proofErr w:type="spellEnd"/>
      <w:r w:rsidRPr="00C906CA">
        <w:rPr>
          <w:rFonts w:cstheme="minorHAnsi"/>
          <w:color w:val="000000"/>
          <w:shd w:val="clear" w:color="auto" w:fill="FFFFFF"/>
        </w:rPr>
        <w:t xml:space="preserve">, D., Young, J., Drover, P., Sykes, J., </w:t>
      </w:r>
      <w:proofErr w:type="spellStart"/>
      <w:r w:rsidRPr="00C906CA">
        <w:rPr>
          <w:rFonts w:cstheme="minorHAnsi"/>
          <w:color w:val="000000"/>
          <w:shd w:val="clear" w:color="auto" w:fill="FFFFFF"/>
        </w:rPr>
        <w:t>Megicks</w:t>
      </w:r>
      <w:proofErr w:type="spellEnd"/>
      <w:r w:rsidRPr="00C906CA">
        <w:rPr>
          <w:rFonts w:cstheme="minorHAnsi"/>
          <w:color w:val="000000"/>
          <w:shd w:val="clear" w:color="auto" w:fill="FFFFFF"/>
        </w:rPr>
        <w:t>, S. and Henderson, R., 2016. “Contagious Accountability”. </w:t>
      </w:r>
      <w:r w:rsidRPr="00C906CA">
        <w:rPr>
          <w:rFonts w:cstheme="minorHAnsi"/>
          <w:i/>
          <w:iCs/>
          <w:color w:val="000000"/>
          <w:shd w:val="clear" w:color="auto" w:fill="FFFFFF"/>
        </w:rPr>
        <w:t xml:space="preserve">Criminal Justice and </w:t>
      </w:r>
      <w:proofErr w:type="spellStart"/>
      <w:r w:rsidRPr="00C906CA">
        <w:rPr>
          <w:rFonts w:cstheme="minorHAnsi"/>
          <w:i/>
          <w:iCs/>
          <w:color w:val="000000"/>
          <w:shd w:val="clear" w:color="auto" w:fill="FFFFFF"/>
        </w:rPr>
        <w:t>Behavior</w:t>
      </w:r>
      <w:proofErr w:type="spellEnd"/>
      <w:r w:rsidRPr="00C906CA">
        <w:rPr>
          <w:rFonts w:cstheme="minorHAnsi"/>
          <w:color w:val="000000"/>
          <w:shd w:val="clear" w:color="auto" w:fill="FFFFFF"/>
        </w:rPr>
        <w:t>, 44(2), pp.293-316.</w:t>
      </w:r>
    </w:p>
    <w:p w14:paraId="0E72E1D1"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Bowling, B. and Phillips, C., 2007. Disproportionate and Discriminatory: Reviewing the Evidence on Police Stop and Search. </w:t>
      </w:r>
      <w:r w:rsidRPr="00C906CA">
        <w:rPr>
          <w:rFonts w:cstheme="minorHAnsi"/>
          <w:i/>
          <w:iCs/>
          <w:color w:val="000000"/>
          <w:shd w:val="clear" w:color="auto" w:fill="FFFFFF"/>
        </w:rPr>
        <w:t>Modern Law Review</w:t>
      </w:r>
      <w:r w:rsidRPr="00C906CA">
        <w:rPr>
          <w:rFonts w:cstheme="minorHAnsi"/>
          <w:color w:val="000000"/>
          <w:shd w:val="clear" w:color="auto" w:fill="FFFFFF"/>
        </w:rPr>
        <w:t>, 70(6), pp.936-961.</w:t>
      </w:r>
    </w:p>
    <w:p w14:paraId="684DBA7F" w14:textId="77777777" w:rsidR="00AD6959" w:rsidRPr="00C906CA" w:rsidRDefault="00AD6959">
      <w:pPr>
        <w:rPr>
          <w:rFonts w:cstheme="minorHAnsi"/>
          <w:color w:val="000000"/>
          <w:shd w:val="clear" w:color="auto" w:fill="FFFFFF"/>
        </w:rPr>
      </w:pPr>
      <w:r w:rsidRPr="00C906CA">
        <w:rPr>
          <w:rStyle w:val="selectable"/>
          <w:rFonts w:cstheme="minorHAnsi"/>
          <w:color w:val="000000"/>
          <w:lang w:val="en"/>
        </w:rPr>
        <w:t xml:space="preserve">Bowling, B. and Phillips, C., 2021. </w:t>
      </w:r>
      <w:r w:rsidRPr="00C906CA">
        <w:rPr>
          <w:rStyle w:val="selectable"/>
          <w:rFonts w:cstheme="minorHAnsi"/>
          <w:i/>
          <w:iCs/>
          <w:color w:val="000000"/>
          <w:lang w:val="en"/>
        </w:rPr>
        <w:t>Policing ethnic minority communities - LSE Research Online</w:t>
      </w:r>
      <w:r w:rsidRPr="00C906CA">
        <w:rPr>
          <w:rStyle w:val="selectable"/>
          <w:rFonts w:cstheme="minorHAnsi"/>
          <w:color w:val="000000"/>
          <w:lang w:val="en"/>
        </w:rPr>
        <w:t>. [online] Eprints.lse.ac.uk. Available at: &lt;http://eprints.lse.ac.uk/9576/&gt; [Accessed 13 February 2021].</w:t>
      </w:r>
    </w:p>
    <w:p w14:paraId="08F878BD"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Boxer, P., 2014. Youth Gangs and Adolescent Development: New Findings, New Challenges, and New Directions: Introduction to the Special Section. </w:t>
      </w:r>
      <w:r w:rsidRPr="00C906CA">
        <w:rPr>
          <w:rFonts w:cstheme="minorHAnsi"/>
          <w:i/>
          <w:iCs/>
          <w:color w:val="000000"/>
          <w:shd w:val="clear" w:color="auto" w:fill="FFFFFF"/>
        </w:rPr>
        <w:t>Journal of research on adolescents</w:t>
      </w:r>
      <w:r w:rsidRPr="00C906CA">
        <w:rPr>
          <w:rFonts w:cstheme="minorHAnsi"/>
          <w:color w:val="000000"/>
          <w:shd w:val="clear" w:color="auto" w:fill="FFFFFF"/>
        </w:rPr>
        <w:t>, 24(2), pp.201-203.</w:t>
      </w:r>
    </w:p>
    <w:p w14:paraId="3F3C9751" w14:textId="77777777" w:rsidR="00AD6959" w:rsidRPr="00C906CA" w:rsidRDefault="00AD6959">
      <w:pPr>
        <w:rPr>
          <w:rFonts w:cstheme="minorHAnsi"/>
        </w:rPr>
      </w:pPr>
      <w:r w:rsidRPr="00C906CA">
        <w:rPr>
          <w:rFonts w:cstheme="minorHAnsi"/>
        </w:rPr>
        <w:t xml:space="preserve">Carson, Dena C., and J. Michael Vecchio. 2015. Leaving the gang: A review and thoughts on future research. In </w:t>
      </w:r>
      <w:proofErr w:type="gramStart"/>
      <w:r w:rsidRPr="00C906CA">
        <w:rPr>
          <w:rFonts w:cstheme="minorHAnsi"/>
        </w:rPr>
        <w:t>The</w:t>
      </w:r>
      <w:proofErr w:type="gramEnd"/>
      <w:r w:rsidRPr="00C906CA">
        <w:rPr>
          <w:rFonts w:cstheme="minorHAnsi"/>
        </w:rPr>
        <w:t xml:space="preserve"> Wiley Handbook of Gangs, eds. Scott H. Decker and David C. </w:t>
      </w:r>
      <w:proofErr w:type="spellStart"/>
      <w:r w:rsidRPr="00C906CA">
        <w:rPr>
          <w:rFonts w:cstheme="minorHAnsi"/>
        </w:rPr>
        <w:t>Pyrooz</w:t>
      </w:r>
      <w:proofErr w:type="spellEnd"/>
      <w:r w:rsidRPr="00C906CA">
        <w:rPr>
          <w:rFonts w:cstheme="minorHAnsi"/>
        </w:rPr>
        <w:t>, New Jersey: Wiley-Blackwell.</w:t>
      </w:r>
    </w:p>
    <w:p w14:paraId="1285E229" w14:textId="77777777" w:rsidR="00AD6959" w:rsidRPr="00C906CA" w:rsidRDefault="00AD6959">
      <w:pPr>
        <w:rPr>
          <w:rStyle w:val="selectable"/>
          <w:rFonts w:cstheme="minorHAnsi"/>
          <w:color w:val="000000"/>
          <w:lang w:val="en"/>
        </w:rPr>
      </w:pPr>
      <w:proofErr w:type="spellStart"/>
      <w:r w:rsidRPr="00C906CA">
        <w:rPr>
          <w:rStyle w:val="selectable"/>
          <w:rFonts w:cstheme="minorHAnsi"/>
          <w:color w:val="000000"/>
          <w:lang w:val="en"/>
        </w:rPr>
        <w:t>Chakraborti</w:t>
      </w:r>
      <w:proofErr w:type="spellEnd"/>
      <w:r w:rsidRPr="00C906CA">
        <w:rPr>
          <w:rStyle w:val="selectable"/>
          <w:rFonts w:cstheme="minorHAnsi"/>
          <w:color w:val="000000"/>
          <w:lang w:val="en"/>
        </w:rPr>
        <w:t xml:space="preserve">, N., 2017. Responding to hate crime: Escalating problems, continued failings. </w:t>
      </w:r>
      <w:r w:rsidRPr="00C906CA">
        <w:rPr>
          <w:rStyle w:val="selectable"/>
          <w:rFonts w:cstheme="minorHAnsi"/>
          <w:i/>
          <w:iCs/>
          <w:color w:val="000000"/>
          <w:lang w:val="en"/>
        </w:rPr>
        <w:t>Criminology &amp; Criminal Justice</w:t>
      </w:r>
      <w:r w:rsidRPr="00C906CA">
        <w:rPr>
          <w:rStyle w:val="selectable"/>
          <w:rFonts w:cstheme="minorHAnsi"/>
          <w:color w:val="000000"/>
          <w:lang w:val="en"/>
        </w:rPr>
        <w:t>, 18(4), pp.387-404.</w:t>
      </w:r>
    </w:p>
    <w:p w14:paraId="3541E94E" w14:textId="77777777" w:rsidR="00AD6959" w:rsidRPr="00C906CA" w:rsidRDefault="00AD6959">
      <w:pPr>
        <w:rPr>
          <w:rFonts w:cstheme="minorHAnsi"/>
          <w:b/>
          <w:bCs/>
          <w:u w:val="single"/>
        </w:rPr>
      </w:pPr>
      <w:r w:rsidRPr="00C906CA">
        <w:rPr>
          <w:rStyle w:val="selectable"/>
          <w:rFonts w:cstheme="minorHAnsi"/>
          <w:color w:val="000000"/>
          <w:lang w:val="en"/>
        </w:rPr>
        <w:t xml:space="preserve">Cps.gov.uk. 2021. </w:t>
      </w:r>
      <w:r w:rsidRPr="00C906CA">
        <w:rPr>
          <w:rStyle w:val="selectable"/>
          <w:rFonts w:cstheme="minorHAnsi"/>
          <w:i/>
          <w:iCs/>
          <w:color w:val="000000"/>
          <w:lang w:val="en"/>
        </w:rPr>
        <w:t>Hate crime | The Crown Prosecution Service</w:t>
      </w:r>
      <w:r w:rsidRPr="00C906CA">
        <w:rPr>
          <w:rStyle w:val="selectable"/>
          <w:rFonts w:cstheme="minorHAnsi"/>
          <w:color w:val="000000"/>
          <w:lang w:val="en"/>
        </w:rPr>
        <w:t>. [online] Available at: &lt;https://www.cps.gov.uk/crime-info/hate-crime&gt; [Accessed 13 February 2021].</w:t>
      </w:r>
    </w:p>
    <w:p w14:paraId="3CA027D5"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Crocker, R., Webb, S., Skidmore, M., Garner, S., Gill, M. and Graham, J., 2018. Tackling local organised crime groups: lessons from research </w:t>
      </w:r>
      <w:proofErr w:type="spellStart"/>
      <w:r w:rsidRPr="00C906CA">
        <w:rPr>
          <w:rFonts w:cstheme="minorHAnsi"/>
          <w:color w:val="000000"/>
          <w:shd w:val="clear" w:color="auto" w:fill="FFFFFF"/>
        </w:rPr>
        <w:t>intwo</w:t>
      </w:r>
      <w:proofErr w:type="spellEnd"/>
      <w:r w:rsidRPr="00C906CA">
        <w:rPr>
          <w:rFonts w:cstheme="minorHAnsi"/>
          <w:color w:val="000000"/>
          <w:shd w:val="clear" w:color="auto" w:fill="FFFFFF"/>
        </w:rPr>
        <w:t xml:space="preserve"> UK cities. </w:t>
      </w:r>
      <w:r w:rsidRPr="00C906CA">
        <w:rPr>
          <w:rFonts w:cstheme="minorHAnsi"/>
          <w:i/>
          <w:iCs/>
          <w:color w:val="000000"/>
          <w:shd w:val="clear" w:color="auto" w:fill="FFFFFF"/>
        </w:rPr>
        <w:t>Trends in Organized Crime</w:t>
      </w:r>
      <w:r w:rsidRPr="00C906CA">
        <w:rPr>
          <w:rFonts w:cstheme="minorHAnsi"/>
          <w:color w:val="000000"/>
          <w:shd w:val="clear" w:color="auto" w:fill="FFFFFF"/>
        </w:rPr>
        <w:t>, 22(4), pp.433-449.</w:t>
      </w:r>
    </w:p>
    <w:p w14:paraId="6724EFB1" w14:textId="77777777" w:rsidR="00AD6959" w:rsidRPr="00C906CA" w:rsidRDefault="00AD6959">
      <w:pPr>
        <w:rPr>
          <w:rFonts w:cstheme="minorHAnsi"/>
          <w:color w:val="000000"/>
          <w:shd w:val="clear" w:color="auto" w:fill="FFFFFF"/>
        </w:rPr>
      </w:pPr>
      <w:proofErr w:type="spellStart"/>
      <w:r w:rsidRPr="00C906CA">
        <w:rPr>
          <w:rFonts w:cstheme="minorHAnsi"/>
          <w:color w:val="000000"/>
          <w:shd w:val="clear" w:color="auto" w:fill="FFFFFF"/>
        </w:rPr>
        <w:t>DeLisi</w:t>
      </w:r>
      <w:proofErr w:type="spellEnd"/>
      <w:r w:rsidRPr="00C906CA">
        <w:rPr>
          <w:rFonts w:cstheme="minorHAnsi"/>
          <w:color w:val="000000"/>
          <w:shd w:val="clear" w:color="auto" w:fill="FFFFFF"/>
        </w:rPr>
        <w:t xml:space="preserve">, M., Alcala, J., </w:t>
      </w:r>
      <w:proofErr w:type="spellStart"/>
      <w:r w:rsidRPr="00C906CA">
        <w:rPr>
          <w:rFonts w:cstheme="minorHAnsi"/>
          <w:color w:val="000000"/>
          <w:shd w:val="clear" w:color="auto" w:fill="FFFFFF"/>
        </w:rPr>
        <w:t>Kusow</w:t>
      </w:r>
      <w:proofErr w:type="spellEnd"/>
      <w:r w:rsidRPr="00C906CA">
        <w:rPr>
          <w:rFonts w:cstheme="minorHAnsi"/>
          <w:color w:val="000000"/>
          <w:shd w:val="clear" w:color="auto" w:fill="FFFFFF"/>
        </w:rPr>
        <w:t xml:space="preserve">, A., Hochstetler, A., </w:t>
      </w:r>
      <w:proofErr w:type="spellStart"/>
      <w:r w:rsidRPr="00C906CA">
        <w:rPr>
          <w:rFonts w:cstheme="minorHAnsi"/>
          <w:color w:val="000000"/>
          <w:shd w:val="clear" w:color="auto" w:fill="FFFFFF"/>
        </w:rPr>
        <w:t>Heirigs</w:t>
      </w:r>
      <w:proofErr w:type="spellEnd"/>
      <w:r w:rsidRPr="00C906CA">
        <w:rPr>
          <w:rFonts w:cstheme="minorHAnsi"/>
          <w:color w:val="000000"/>
          <w:shd w:val="clear" w:color="auto" w:fill="FFFFFF"/>
        </w:rPr>
        <w:t xml:space="preserve">, M., Caudill, J., </w:t>
      </w:r>
      <w:proofErr w:type="spellStart"/>
      <w:r w:rsidRPr="00C906CA">
        <w:rPr>
          <w:rFonts w:cstheme="minorHAnsi"/>
          <w:color w:val="000000"/>
          <w:shd w:val="clear" w:color="auto" w:fill="FFFFFF"/>
        </w:rPr>
        <w:t>Trulson</w:t>
      </w:r>
      <w:proofErr w:type="spellEnd"/>
      <w:r w:rsidRPr="00C906CA">
        <w:rPr>
          <w:rFonts w:cstheme="minorHAnsi"/>
          <w:color w:val="000000"/>
          <w:shd w:val="clear" w:color="auto" w:fill="FFFFFF"/>
        </w:rPr>
        <w:t xml:space="preserve">, C. and </w:t>
      </w:r>
      <w:proofErr w:type="spellStart"/>
      <w:r w:rsidRPr="00C906CA">
        <w:rPr>
          <w:rFonts w:cstheme="minorHAnsi"/>
          <w:color w:val="000000"/>
          <w:shd w:val="clear" w:color="auto" w:fill="FFFFFF"/>
        </w:rPr>
        <w:t>Baglivio</w:t>
      </w:r>
      <w:proofErr w:type="spellEnd"/>
      <w:r w:rsidRPr="00C906CA">
        <w:rPr>
          <w:rFonts w:cstheme="minorHAnsi"/>
          <w:color w:val="000000"/>
          <w:shd w:val="clear" w:color="auto" w:fill="FFFFFF"/>
        </w:rPr>
        <w:t>, M., 2017. Adverse Childhood Experiences, Commitment Offense, and Race/Ethnicity: Are the Effects Crime-, Race-, and Ethnicity-</w:t>
      </w:r>
      <w:proofErr w:type="gramStart"/>
      <w:r w:rsidRPr="00C906CA">
        <w:rPr>
          <w:rFonts w:cstheme="minorHAnsi"/>
          <w:color w:val="000000"/>
          <w:shd w:val="clear" w:color="auto" w:fill="FFFFFF"/>
        </w:rPr>
        <w:t>Specific?.</w:t>
      </w:r>
      <w:proofErr w:type="gramEnd"/>
      <w:r w:rsidRPr="00C906CA">
        <w:rPr>
          <w:rFonts w:cstheme="minorHAnsi"/>
          <w:color w:val="000000"/>
          <w:shd w:val="clear" w:color="auto" w:fill="FFFFFF"/>
        </w:rPr>
        <w:t> </w:t>
      </w:r>
      <w:r w:rsidRPr="00C906CA">
        <w:rPr>
          <w:rFonts w:cstheme="minorHAnsi"/>
          <w:i/>
          <w:iCs/>
          <w:color w:val="000000"/>
          <w:shd w:val="clear" w:color="auto" w:fill="FFFFFF"/>
        </w:rPr>
        <w:t>International Journal of Environmental Research and Public Health</w:t>
      </w:r>
      <w:r w:rsidRPr="00C906CA">
        <w:rPr>
          <w:rFonts w:cstheme="minorHAnsi"/>
          <w:color w:val="000000"/>
          <w:shd w:val="clear" w:color="auto" w:fill="FFFFFF"/>
        </w:rPr>
        <w:t>, 14(3), p.331</w:t>
      </w:r>
    </w:p>
    <w:p w14:paraId="0F0C46ED"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Foster, J., Newburn, T. and </w:t>
      </w:r>
      <w:proofErr w:type="spellStart"/>
      <w:r w:rsidRPr="00C906CA">
        <w:rPr>
          <w:rFonts w:cstheme="minorHAnsi"/>
          <w:color w:val="000000"/>
          <w:shd w:val="clear" w:color="auto" w:fill="FFFFFF"/>
        </w:rPr>
        <w:t>Souhami</w:t>
      </w:r>
      <w:proofErr w:type="spellEnd"/>
      <w:r w:rsidRPr="00C906CA">
        <w:rPr>
          <w:rFonts w:cstheme="minorHAnsi"/>
          <w:color w:val="000000"/>
          <w:shd w:val="clear" w:color="auto" w:fill="FFFFFF"/>
        </w:rPr>
        <w:t>, A., 2005. </w:t>
      </w:r>
      <w:r w:rsidRPr="00C906CA">
        <w:rPr>
          <w:rFonts w:cstheme="minorHAnsi"/>
          <w:i/>
          <w:iCs/>
          <w:color w:val="000000"/>
          <w:shd w:val="clear" w:color="auto" w:fill="FFFFFF"/>
        </w:rPr>
        <w:t>Assessing the impact of the Stephen Lawrence Inquiry</w:t>
      </w:r>
      <w:r w:rsidRPr="00C906CA">
        <w:rPr>
          <w:rFonts w:cstheme="minorHAnsi"/>
          <w:color w:val="000000"/>
          <w:shd w:val="clear" w:color="auto" w:fill="FFFFFF"/>
        </w:rPr>
        <w:t>. Home Office Research Study 294. Home Office.</w:t>
      </w:r>
    </w:p>
    <w:p w14:paraId="65099B9B"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Gilman, A., Hill, K., Hawkins, J., Howell, J. and </w:t>
      </w:r>
      <w:proofErr w:type="spellStart"/>
      <w:r w:rsidRPr="00C906CA">
        <w:rPr>
          <w:rFonts w:cstheme="minorHAnsi"/>
          <w:color w:val="000000"/>
          <w:shd w:val="clear" w:color="auto" w:fill="FFFFFF"/>
        </w:rPr>
        <w:t>Kosterman</w:t>
      </w:r>
      <w:proofErr w:type="spellEnd"/>
      <w:r w:rsidRPr="00C906CA">
        <w:rPr>
          <w:rFonts w:cstheme="minorHAnsi"/>
          <w:color w:val="000000"/>
          <w:shd w:val="clear" w:color="auto" w:fill="FFFFFF"/>
        </w:rPr>
        <w:t>, R., 2014. The Developmental Dynamics of Joining a Gang in Adolescence: Patterns and Predictors of Gang Membership. </w:t>
      </w:r>
      <w:r w:rsidRPr="00C906CA">
        <w:rPr>
          <w:rFonts w:cstheme="minorHAnsi"/>
          <w:i/>
          <w:iCs/>
          <w:color w:val="000000"/>
          <w:shd w:val="clear" w:color="auto" w:fill="FFFFFF"/>
        </w:rPr>
        <w:t>Journal of Research on Adolescence</w:t>
      </w:r>
      <w:r w:rsidRPr="00C906CA">
        <w:rPr>
          <w:rFonts w:cstheme="minorHAnsi"/>
          <w:color w:val="000000"/>
          <w:shd w:val="clear" w:color="auto" w:fill="FFFFFF"/>
        </w:rPr>
        <w:t>, 24(2), pp.204-219.</w:t>
      </w:r>
    </w:p>
    <w:p w14:paraId="3CA37B46"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HMICFRS. 2021. </w:t>
      </w:r>
      <w:r w:rsidRPr="00C906CA">
        <w:rPr>
          <w:rFonts w:cstheme="minorHAnsi"/>
          <w:i/>
          <w:iCs/>
          <w:color w:val="000000"/>
          <w:shd w:val="clear" w:color="auto" w:fill="FFFFFF"/>
        </w:rPr>
        <w:t>About us - HMICFRS</w:t>
      </w:r>
      <w:r w:rsidRPr="00C906CA">
        <w:rPr>
          <w:rFonts w:cstheme="minorHAnsi"/>
          <w:color w:val="000000"/>
          <w:shd w:val="clear" w:color="auto" w:fill="FFFFFF"/>
        </w:rPr>
        <w:t>. [online] Available at: &lt;https://www.justiceinspectorates.gov.uk/hmicfrs/about-us/&gt; [Accessed 10 February 2021].</w:t>
      </w:r>
    </w:p>
    <w:p w14:paraId="66BD10D5"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Home Office, 2007. </w:t>
      </w:r>
      <w:r w:rsidRPr="00C906CA">
        <w:rPr>
          <w:rFonts w:cstheme="minorHAnsi"/>
          <w:i/>
          <w:iCs/>
          <w:color w:val="000000"/>
          <w:shd w:val="clear" w:color="auto" w:fill="FFFFFF"/>
        </w:rPr>
        <w:t>The operation and experience of Multi-Agency Public Protection Arrangements (MAPPA)</w:t>
      </w:r>
      <w:r w:rsidRPr="00C906CA">
        <w:rPr>
          <w:rFonts w:cstheme="minorHAnsi"/>
          <w:color w:val="000000"/>
          <w:shd w:val="clear" w:color="auto" w:fill="FFFFFF"/>
        </w:rPr>
        <w:t>. Home Office.</w:t>
      </w:r>
    </w:p>
    <w:p w14:paraId="7E3BA480" w14:textId="77777777" w:rsidR="00AD6959" w:rsidRPr="00C906CA" w:rsidRDefault="00AD6959">
      <w:pPr>
        <w:rPr>
          <w:rFonts w:cstheme="minorHAnsi"/>
          <w:b/>
          <w:bCs/>
          <w:u w:val="single"/>
        </w:rPr>
      </w:pPr>
      <w:r w:rsidRPr="00C906CA">
        <w:rPr>
          <w:rStyle w:val="selectable"/>
          <w:rFonts w:cstheme="minorHAnsi"/>
          <w:color w:val="000000"/>
          <w:lang w:val="en"/>
        </w:rPr>
        <w:t xml:space="preserve">Hughes, G. and Rowe, M., 2007. </w:t>
      </w:r>
      <w:proofErr w:type="spellStart"/>
      <w:r w:rsidRPr="00C906CA">
        <w:rPr>
          <w:rStyle w:val="selectable"/>
          <w:rFonts w:cstheme="minorHAnsi"/>
          <w:color w:val="000000"/>
          <w:lang w:val="en"/>
        </w:rPr>
        <w:t>Neighbourhood</w:t>
      </w:r>
      <w:proofErr w:type="spellEnd"/>
      <w:r w:rsidRPr="00C906CA">
        <w:rPr>
          <w:rStyle w:val="selectable"/>
          <w:rFonts w:cstheme="minorHAnsi"/>
          <w:color w:val="000000"/>
          <w:lang w:val="en"/>
        </w:rPr>
        <w:t xml:space="preserve"> policing and community safety. </w:t>
      </w:r>
      <w:r w:rsidRPr="00C906CA">
        <w:rPr>
          <w:rStyle w:val="selectable"/>
          <w:rFonts w:cstheme="minorHAnsi"/>
          <w:i/>
          <w:iCs/>
          <w:color w:val="000000"/>
          <w:lang w:val="en"/>
        </w:rPr>
        <w:t>Criminology &amp; Criminal Justice</w:t>
      </w:r>
      <w:r w:rsidRPr="00C906CA">
        <w:rPr>
          <w:rStyle w:val="selectable"/>
          <w:rFonts w:cstheme="minorHAnsi"/>
          <w:color w:val="000000"/>
          <w:lang w:val="en"/>
        </w:rPr>
        <w:t>, 7(4), pp.317-346.</w:t>
      </w:r>
    </w:p>
    <w:p w14:paraId="5122BCA2"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KEMSHALL, H. and MAGUIRE, M., 2001. Public Protection, Partnership and Risk </w:t>
      </w:r>
      <w:proofErr w:type="spellStart"/>
      <w:r w:rsidRPr="00C906CA">
        <w:rPr>
          <w:rFonts w:cstheme="minorHAnsi"/>
          <w:color w:val="000000"/>
          <w:shd w:val="clear" w:color="auto" w:fill="FFFFFF"/>
        </w:rPr>
        <w:t>Penality</w:t>
      </w:r>
      <w:proofErr w:type="spellEnd"/>
      <w:r w:rsidRPr="00C906CA">
        <w:rPr>
          <w:rFonts w:cstheme="minorHAnsi"/>
          <w:color w:val="000000"/>
          <w:shd w:val="clear" w:color="auto" w:fill="FFFFFF"/>
        </w:rPr>
        <w:t>. </w:t>
      </w:r>
      <w:r w:rsidRPr="00C906CA">
        <w:rPr>
          <w:rFonts w:cstheme="minorHAnsi"/>
          <w:i/>
          <w:iCs/>
          <w:color w:val="000000"/>
          <w:shd w:val="clear" w:color="auto" w:fill="FFFFFF"/>
        </w:rPr>
        <w:t>Punishment &amp; Society</w:t>
      </w:r>
      <w:r w:rsidRPr="00C906CA">
        <w:rPr>
          <w:rFonts w:cstheme="minorHAnsi"/>
          <w:color w:val="000000"/>
          <w:shd w:val="clear" w:color="auto" w:fill="FFFFFF"/>
        </w:rPr>
        <w:t>, 3(2), pp.237-264.</w:t>
      </w:r>
    </w:p>
    <w:p w14:paraId="3CAB6FB0"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Kirby, S., Northey, H. and Snow, N., 2015. New crimes – new tactics: the emergence and effectiveness of disruption in tackling serious organised crime. </w:t>
      </w:r>
      <w:r w:rsidRPr="00C906CA">
        <w:rPr>
          <w:rFonts w:cstheme="minorHAnsi"/>
          <w:i/>
          <w:iCs/>
          <w:color w:val="000000"/>
          <w:shd w:val="clear" w:color="auto" w:fill="FFFFFF"/>
        </w:rPr>
        <w:t>The Journal of Political Criminology</w:t>
      </w:r>
      <w:r w:rsidRPr="00C906CA">
        <w:rPr>
          <w:rFonts w:cstheme="minorHAnsi"/>
          <w:color w:val="000000"/>
          <w:shd w:val="clear" w:color="auto" w:fill="FFFFFF"/>
        </w:rPr>
        <w:t>, 1(1), pp.33-44.</w:t>
      </w:r>
    </w:p>
    <w:p w14:paraId="17E88ECD"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Klemm, M., 2002. Tourism and Ethnic Minorities in Bradford: The Invisible Segment. </w:t>
      </w:r>
      <w:r w:rsidRPr="00C906CA">
        <w:rPr>
          <w:rFonts w:cstheme="minorHAnsi"/>
          <w:i/>
          <w:iCs/>
          <w:color w:val="000000"/>
          <w:shd w:val="clear" w:color="auto" w:fill="FFFFFF"/>
        </w:rPr>
        <w:t>Journal of Travel Research</w:t>
      </w:r>
      <w:r w:rsidRPr="00C906CA">
        <w:rPr>
          <w:rFonts w:cstheme="minorHAnsi"/>
          <w:color w:val="000000"/>
          <w:shd w:val="clear" w:color="auto" w:fill="FFFFFF"/>
        </w:rPr>
        <w:t>, 41(1), pp.85-91.</w:t>
      </w:r>
    </w:p>
    <w:p w14:paraId="4FBB1C79" w14:textId="77777777" w:rsidR="00AD6959" w:rsidRPr="00C906CA" w:rsidRDefault="00AD6959">
      <w:pPr>
        <w:rPr>
          <w:rFonts w:cstheme="minorHAnsi"/>
          <w:color w:val="000000"/>
          <w:shd w:val="clear" w:color="auto" w:fill="FFFFFF"/>
        </w:rPr>
      </w:pPr>
      <w:proofErr w:type="spellStart"/>
      <w:r w:rsidRPr="00C906CA">
        <w:rPr>
          <w:rFonts w:cstheme="minorHAnsi"/>
          <w:color w:val="000000"/>
          <w:shd w:val="clear" w:color="auto" w:fill="FFFFFF"/>
        </w:rPr>
        <w:t>MacVean</w:t>
      </w:r>
      <w:proofErr w:type="spellEnd"/>
      <w:r w:rsidRPr="00C906CA">
        <w:rPr>
          <w:rFonts w:cstheme="minorHAnsi"/>
          <w:color w:val="000000"/>
          <w:shd w:val="clear" w:color="auto" w:fill="FFFFFF"/>
        </w:rPr>
        <w:t xml:space="preserve">, A., Spindler, P. and </w:t>
      </w:r>
      <w:proofErr w:type="spellStart"/>
      <w:r w:rsidRPr="00C906CA">
        <w:rPr>
          <w:rFonts w:cstheme="minorHAnsi"/>
          <w:color w:val="000000"/>
          <w:shd w:val="clear" w:color="auto" w:fill="FFFFFF"/>
        </w:rPr>
        <w:t>Solf</w:t>
      </w:r>
      <w:proofErr w:type="spellEnd"/>
      <w:r w:rsidRPr="00C906CA">
        <w:rPr>
          <w:rFonts w:cstheme="minorHAnsi"/>
          <w:color w:val="000000"/>
          <w:shd w:val="clear" w:color="auto" w:fill="FFFFFF"/>
        </w:rPr>
        <w:t>, C., 2013. </w:t>
      </w:r>
      <w:r w:rsidRPr="00C906CA">
        <w:rPr>
          <w:rFonts w:cstheme="minorHAnsi"/>
          <w:i/>
          <w:iCs/>
          <w:color w:val="000000"/>
          <w:shd w:val="clear" w:color="auto" w:fill="FFFFFF"/>
        </w:rPr>
        <w:t>Handbook of policing, ethics and professional standards</w:t>
      </w:r>
      <w:r w:rsidRPr="00C906CA">
        <w:rPr>
          <w:rFonts w:cstheme="minorHAnsi"/>
          <w:color w:val="000000"/>
          <w:shd w:val="clear" w:color="auto" w:fill="FFFFFF"/>
        </w:rPr>
        <w:t>. New York: Routledge.</w:t>
      </w:r>
    </w:p>
    <w:p w14:paraId="58402B2B"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Mclaughlin, E. and </w:t>
      </w:r>
      <w:proofErr w:type="spellStart"/>
      <w:r w:rsidRPr="00C906CA">
        <w:rPr>
          <w:rFonts w:cstheme="minorHAnsi"/>
          <w:color w:val="000000"/>
          <w:shd w:val="clear" w:color="auto" w:fill="FFFFFF"/>
        </w:rPr>
        <w:t>Murji</w:t>
      </w:r>
      <w:proofErr w:type="spellEnd"/>
      <w:r w:rsidRPr="00C906CA">
        <w:rPr>
          <w:rFonts w:cstheme="minorHAnsi"/>
          <w:color w:val="000000"/>
          <w:shd w:val="clear" w:color="auto" w:fill="FFFFFF"/>
        </w:rPr>
        <w:t>, K., 1999. After the Stephen Lawrence Report. </w:t>
      </w:r>
      <w:r w:rsidRPr="00C906CA">
        <w:rPr>
          <w:rFonts w:cstheme="minorHAnsi"/>
          <w:i/>
          <w:iCs/>
          <w:color w:val="000000"/>
          <w:shd w:val="clear" w:color="auto" w:fill="FFFFFF"/>
        </w:rPr>
        <w:t>Critical Social Policy</w:t>
      </w:r>
      <w:r w:rsidRPr="00C906CA">
        <w:rPr>
          <w:rFonts w:cstheme="minorHAnsi"/>
          <w:color w:val="000000"/>
          <w:shd w:val="clear" w:color="auto" w:fill="FFFFFF"/>
        </w:rPr>
        <w:t>, 19(3), pp.371-385.</w:t>
      </w:r>
    </w:p>
    <w:p w14:paraId="30C4E8F6"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Miller, J., 2010. Stop and Search in England: A Reformed Tactic or Business as </w:t>
      </w:r>
      <w:proofErr w:type="gramStart"/>
      <w:r w:rsidRPr="00C906CA">
        <w:rPr>
          <w:rFonts w:cstheme="minorHAnsi"/>
          <w:color w:val="000000"/>
          <w:shd w:val="clear" w:color="auto" w:fill="FFFFFF"/>
        </w:rPr>
        <w:t>Usual?.</w:t>
      </w:r>
      <w:proofErr w:type="gramEnd"/>
      <w:r w:rsidRPr="00C906CA">
        <w:rPr>
          <w:rFonts w:cstheme="minorHAnsi"/>
          <w:color w:val="000000"/>
          <w:shd w:val="clear" w:color="auto" w:fill="FFFFFF"/>
        </w:rPr>
        <w:t> </w:t>
      </w:r>
      <w:r w:rsidRPr="00C906CA">
        <w:rPr>
          <w:rFonts w:cstheme="minorHAnsi"/>
          <w:i/>
          <w:iCs/>
          <w:color w:val="000000"/>
          <w:shd w:val="clear" w:color="auto" w:fill="FFFFFF"/>
        </w:rPr>
        <w:t>British Journal of Criminology</w:t>
      </w:r>
      <w:r w:rsidRPr="00C906CA">
        <w:rPr>
          <w:rFonts w:cstheme="minorHAnsi"/>
          <w:color w:val="000000"/>
          <w:shd w:val="clear" w:color="auto" w:fill="FFFFFF"/>
        </w:rPr>
        <w:t>, 50(5), pp.954-974.</w:t>
      </w:r>
    </w:p>
    <w:p w14:paraId="0D2A0521"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Miller, J., 2019. Passing on gang culture in the theatre of the streets: ‘They’ll grow out of it, then our age will grow into it and then we’ll grow out of it’. </w:t>
      </w:r>
      <w:r w:rsidRPr="00C906CA">
        <w:rPr>
          <w:rFonts w:cstheme="minorHAnsi"/>
          <w:i/>
          <w:iCs/>
          <w:color w:val="000000"/>
          <w:shd w:val="clear" w:color="auto" w:fill="FFFFFF"/>
        </w:rPr>
        <w:t>Journal of Youth Studies</w:t>
      </w:r>
      <w:r w:rsidRPr="00C906CA">
        <w:rPr>
          <w:rFonts w:cstheme="minorHAnsi"/>
          <w:color w:val="000000"/>
          <w:shd w:val="clear" w:color="auto" w:fill="FFFFFF"/>
        </w:rPr>
        <w:t xml:space="preserve">, 23(8), pp.1086-1101. </w:t>
      </w:r>
    </w:p>
    <w:p w14:paraId="20137BB6" w14:textId="77777777" w:rsidR="00AD6959" w:rsidRPr="00C906CA" w:rsidRDefault="00AD6959">
      <w:pPr>
        <w:rPr>
          <w:rStyle w:val="selectable"/>
          <w:rFonts w:cstheme="minorHAnsi"/>
          <w:color w:val="000000"/>
          <w:lang w:val="en"/>
        </w:rPr>
      </w:pPr>
      <w:r w:rsidRPr="00C906CA">
        <w:rPr>
          <w:rStyle w:val="selectable"/>
          <w:rFonts w:cstheme="minorHAnsi"/>
          <w:color w:val="000000"/>
          <w:lang w:val="en"/>
        </w:rPr>
        <w:t xml:space="preserve">Murray, A., Mueller-Johnson, K. and Sherman, L., 2015. Evidence-Based Policing of U.K. Muslim Communities. </w:t>
      </w:r>
      <w:r w:rsidRPr="00C906CA">
        <w:rPr>
          <w:rStyle w:val="selectable"/>
          <w:rFonts w:cstheme="minorHAnsi"/>
          <w:i/>
          <w:iCs/>
          <w:color w:val="000000"/>
          <w:lang w:val="en"/>
        </w:rPr>
        <w:t>International Criminal Justice Review</w:t>
      </w:r>
      <w:r w:rsidRPr="00C906CA">
        <w:rPr>
          <w:rStyle w:val="selectable"/>
          <w:rFonts w:cstheme="minorHAnsi"/>
          <w:color w:val="000000"/>
          <w:lang w:val="en"/>
        </w:rPr>
        <w:t>, 25(1), pp.64-79.</w:t>
      </w:r>
    </w:p>
    <w:p w14:paraId="267DBBDA" w14:textId="77777777" w:rsidR="00AD6959" w:rsidRPr="00C906CA" w:rsidRDefault="00AD6959">
      <w:pPr>
        <w:rPr>
          <w:rFonts w:cstheme="minorHAnsi"/>
          <w:b/>
          <w:bCs/>
          <w:u w:val="single"/>
        </w:rPr>
      </w:pPr>
      <w:r w:rsidRPr="00C906CA">
        <w:rPr>
          <w:rStyle w:val="selectable"/>
          <w:rFonts w:cstheme="minorHAnsi"/>
          <w:color w:val="000000"/>
          <w:lang w:val="en"/>
        </w:rPr>
        <w:t xml:space="preserve">Owen, S., Burke, T., Few-Demo, A. and </w:t>
      </w:r>
      <w:proofErr w:type="spellStart"/>
      <w:r w:rsidRPr="00C906CA">
        <w:rPr>
          <w:rStyle w:val="selectable"/>
          <w:rFonts w:cstheme="minorHAnsi"/>
          <w:color w:val="000000"/>
          <w:lang w:val="en"/>
        </w:rPr>
        <w:t>Natwick</w:t>
      </w:r>
      <w:proofErr w:type="spellEnd"/>
      <w:r w:rsidRPr="00C906CA">
        <w:rPr>
          <w:rStyle w:val="selectable"/>
          <w:rFonts w:cstheme="minorHAnsi"/>
          <w:color w:val="000000"/>
          <w:lang w:val="en"/>
        </w:rPr>
        <w:t xml:space="preserve">, J., 2017. Perceptions of the Police by LGBT Communities. </w:t>
      </w:r>
      <w:r w:rsidRPr="00C906CA">
        <w:rPr>
          <w:rStyle w:val="selectable"/>
          <w:rFonts w:cstheme="minorHAnsi"/>
          <w:i/>
          <w:iCs/>
          <w:color w:val="000000"/>
          <w:lang w:val="en"/>
        </w:rPr>
        <w:t>American Journal of Criminal Justice</w:t>
      </w:r>
      <w:r w:rsidRPr="00C906CA">
        <w:rPr>
          <w:rStyle w:val="selectable"/>
          <w:rFonts w:cstheme="minorHAnsi"/>
          <w:color w:val="000000"/>
          <w:lang w:val="en"/>
        </w:rPr>
        <w:t>, 43(3), pp.668-693.</w:t>
      </w:r>
    </w:p>
    <w:p w14:paraId="409C5FA7"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Policeconduct.gov.uk. 2021. </w:t>
      </w:r>
      <w:r w:rsidRPr="00C906CA">
        <w:rPr>
          <w:rFonts w:cstheme="minorHAnsi"/>
          <w:i/>
          <w:iCs/>
          <w:color w:val="000000"/>
          <w:shd w:val="clear" w:color="auto" w:fill="FFFFFF"/>
        </w:rPr>
        <w:t>Police complaints statistics | Independent Office for Police Conduct</w:t>
      </w:r>
      <w:r w:rsidRPr="00C906CA">
        <w:rPr>
          <w:rFonts w:cstheme="minorHAnsi"/>
          <w:color w:val="000000"/>
          <w:shd w:val="clear" w:color="auto" w:fill="FFFFFF"/>
        </w:rPr>
        <w:t>. [online] Available at: &lt;https://www.policeconduct.gov.uk/research-and-learning/statistics/police-complaints-statistics&gt; [Accessed 10 February 2021].</w:t>
      </w:r>
    </w:p>
    <w:p w14:paraId="4A0E721E"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Policeconduct.gov.uk. 2021. </w:t>
      </w:r>
      <w:r w:rsidRPr="00C906CA">
        <w:rPr>
          <w:rFonts w:cstheme="minorHAnsi"/>
          <w:i/>
          <w:iCs/>
          <w:color w:val="000000"/>
          <w:shd w:val="clear" w:color="auto" w:fill="FFFFFF"/>
        </w:rPr>
        <w:t>Why Stephen Lawrence is part of our organisational DNA | Independent Office for Police Conduct</w:t>
      </w:r>
      <w:r w:rsidRPr="00C906CA">
        <w:rPr>
          <w:rFonts w:cstheme="minorHAnsi"/>
          <w:color w:val="000000"/>
          <w:shd w:val="clear" w:color="auto" w:fill="FFFFFF"/>
        </w:rPr>
        <w:t>. [online] Available at: &lt;https://www.policeconduct.gov.uk/news/our-podcasts-and-blogs/why-stephen-lawrence-part-our-organisational-dna&gt; [Accessed 10 February 2021].</w:t>
      </w:r>
    </w:p>
    <w:p w14:paraId="273CCAAF"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Ralphs, R., Medina, J. and Aldridge, J., 2009. Who needs enemies with friends like these? The importance of place for young people living in known gang areas. </w:t>
      </w:r>
      <w:r w:rsidRPr="00C906CA">
        <w:rPr>
          <w:rFonts w:cstheme="minorHAnsi"/>
          <w:i/>
          <w:iCs/>
          <w:color w:val="000000"/>
          <w:shd w:val="clear" w:color="auto" w:fill="FFFFFF"/>
        </w:rPr>
        <w:t>Journal of Youth Studies</w:t>
      </w:r>
      <w:r w:rsidRPr="00C906CA">
        <w:rPr>
          <w:rFonts w:cstheme="minorHAnsi"/>
          <w:color w:val="000000"/>
          <w:shd w:val="clear" w:color="auto" w:fill="FFFFFF"/>
        </w:rPr>
        <w:t>, 12(5), pp.483-500.</w:t>
      </w:r>
    </w:p>
    <w:p w14:paraId="6238509F"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Weaver, B. and Barry, M., 2014. Managing high risk offenders in the community: Compliance, cooperation and consent in a climate </w:t>
      </w:r>
      <w:bookmarkStart w:id="0" w:name="_GoBack"/>
      <w:bookmarkEnd w:id="0"/>
      <w:r w:rsidRPr="00C906CA">
        <w:rPr>
          <w:rFonts w:cstheme="minorHAnsi"/>
          <w:color w:val="000000"/>
          <w:shd w:val="clear" w:color="auto" w:fill="FFFFFF"/>
        </w:rPr>
        <w:t>of concern. </w:t>
      </w:r>
      <w:r w:rsidRPr="00C906CA">
        <w:rPr>
          <w:rFonts w:cstheme="minorHAnsi"/>
          <w:i/>
          <w:iCs/>
          <w:color w:val="000000"/>
          <w:shd w:val="clear" w:color="auto" w:fill="FFFFFF"/>
        </w:rPr>
        <w:t>European Journal of Probation</w:t>
      </w:r>
      <w:r w:rsidRPr="00C906CA">
        <w:rPr>
          <w:rFonts w:cstheme="minorHAnsi"/>
          <w:color w:val="000000"/>
          <w:shd w:val="clear" w:color="auto" w:fill="FFFFFF"/>
        </w:rPr>
        <w:t>, 6(3), pp.278-295.</w:t>
      </w:r>
    </w:p>
    <w:p w14:paraId="2579D4AE" w14:textId="77777777" w:rsidR="00AD6959" w:rsidRPr="00C906CA" w:rsidRDefault="00AD6959">
      <w:pPr>
        <w:rPr>
          <w:rFonts w:cstheme="minorHAnsi"/>
          <w:color w:val="000000"/>
          <w:shd w:val="clear" w:color="auto" w:fill="FFFFFF"/>
        </w:rPr>
      </w:pPr>
      <w:r w:rsidRPr="00C906CA">
        <w:rPr>
          <w:rFonts w:cstheme="minorHAnsi"/>
          <w:color w:val="000000"/>
          <w:shd w:val="clear" w:color="auto" w:fill="FFFFFF"/>
        </w:rPr>
        <w:t xml:space="preserve">Wolff, K. et al. (2019). </w:t>
      </w:r>
      <w:r w:rsidRPr="00C906CA">
        <w:rPr>
          <w:rFonts w:cstheme="minorHAnsi"/>
          <w:i/>
          <w:iCs/>
          <w:color w:val="000000"/>
          <w:shd w:val="clear" w:color="auto" w:fill="FFFFFF"/>
        </w:rPr>
        <w:t>Adverse Childhood Experiences (ACEs) and Gang Involvement Among Juvenile Offenders: Assessing the Mediation Effects of Substance Use and Temperament Deficits.</w:t>
      </w:r>
      <w:r w:rsidRPr="00C906CA">
        <w:rPr>
          <w:rFonts w:cstheme="minorHAnsi"/>
        </w:rPr>
        <w:t xml:space="preserve"> Youth Violence and Juvenile Justice </w:t>
      </w:r>
      <w:r w:rsidRPr="00C906CA">
        <w:rPr>
          <w:rFonts w:cstheme="minorHAnsi"/>
          <w:color w:val="000000"/>
          <w:shd w:val="clear" w:color="auto" w:fill="FFFFFF"/>
        </w:rPr>
        <w:t>18(1):24-53</w:t>
      </w:r>
    </w:p>
    <w:sectPr w:rsidR="00AD6959" w:rsidRPr="00C906C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DE33C" w14:textId="77777777" w:rsidR="00D869F8" w:rsidRDefault="00D869F8" w:rsidP="00CB4931">
      <w:pPr>
        <w:spacing w:after="0" w:line="240" w:lineRule="auto"/>
      </w:pPr>
      <w:r>
        <w:separator/>
      </w:r>
    </w:p>
  </w:endnote>
  <w:endnote w:type="continuationSeparator" w:id="0">
    <w:p w14:paraId="7C028B9E" w14:textId="77777777" w:rsidR="00D869F8" w:rsidRDefault="00D869F8" w:rsidP="00CB4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43E64" w14:textId="77777777" w:rsidR="00D869F8" w:rsidRDefault="00D869F8" w:rsidP="00CB4931">
      <w:pPr>
        <w:spacing w:after="0" w:line="240" w:lineRule="auto"/>
      </w:pPr>
      <w:r>
        <w:separator/>
      </w:r>
    </w:p>
  </w:footnote>
  <w:footnote w:type="continuationSeparator" w:id="0">
    <w:p w14:paraId="401CB8A9" w14:textId="77777777" w:rsidR="00D869F8" w:rsidRDefault="00D869F8" w:rsidP="00CB4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E6D2B" w14:textId="6F409D3A" w:rsidR="0025255A" w:rsidRDefault="0025255A">
    <w:pPr>
      <w:pStyle w:val="Header"/>
    </w:pPr>
    <w:r>
      <w:t>Jack Thomas David Roberts</w:t>
    </w:r>
    <w:r>
      <w:tab/>
    </w:r>
    <w:r w:rsidR="000E7AD2">
      <w:rPr>
        <w:rFonts w:ascii="Arial" w:eastAsia="Times New Roman" w:hAnsi="Arial" w:cs="Arial"/>
        <w:b/>
        <w:lang w:eastAsia="en-GB"/>
      </w:rPr>
      <w:t>BMPP5002D</w:t>
    </w:r>
    <w:r w:rsidR="000E7AD2">
      <w:t xml:space="preserve"> </w:t>
    </w:r>
    <w:r>
      <w:ptab w:relativeTo="margin" w:alignment="right" w:leader="none"/>
    </w:r>
    <w:r w:rsidR="000E7AD2">
      <w:t>1910635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931"/>
    <w:rsid w:val="00036A95"/>
    <w:rsid w:val="00060183"/>
    <w:rsid w:val="000B1E22"/>
    <w:rsid w:val="000B5202"/>
    <w:rsid w:val="000D4D27"/>
    <w:rsid w:val="000E7AD2"/>
    <w:rsid w:val="000F127A"/>
    <w:rsid w:val="00100893"/>
    <w:rsid w:val="00106838"/>
    <w:rsid w:val="00125BAA"/>
    <w:rsid w:val="0018161E"/>
    <w:rsid w:val="00192F22"/>
    <w:rsid w:val="001F7F52"/>
    <w:rsid w:val="00216951"/>
    <w:rsid w:val="0022413F"/>
    <w:rsid w:val="00247278"/>
    <w:rsid w:val="0025255A"/>
    <w:rsid w:val="0026306E"/>
    <w:rsid w:val="00270101"/>
    <w:rsid w:val="00270E6B"/>
    <w:rsid w:val="002849DC"/>
    <w:rsid w:val="002A1153"/>
    <w:rsid w:val="00302859"/>
    <w:rsid w:val="0030333A"/>
    <w:rsid w:val="003226C6"/>
    <w:rsid w:val="00325259"/>
    <w:rsid w:val="003430B6"/>
    <w:rsid w:val="00371F8C"/>
    <w:rsid w:val="00397EA9"/>
    <w:rsid w:val="003B1A98"/>
    <w:rsid w:val="003C1C7B"/>
    <w:rsid w:val="003F3703"/>
    <w:rsid w:val="00452895"/>
    <w:rsid w:val="00470D94"/>
    <w:rsid w:val="004F3A4C"/>
    <w:rsid w:val="00511955"/>
    <w:rsid w:val="00582498"/>
    <w:rsid w:val="005861E1"/>
    <w:rsid w:val="005F6193"/>
    <w:rsid w:val="00611E3A"/>
    <w:rsid w:val="006C1F14"/>
    <w:rsid w:val="006C4A26"/>
    <w:rsid w:val="006D557E"/>
    <w:rsid w:val="006E0F05"/>
    <w:rsid w:val="006F5B16"/>
    <w:rsid w:val="00701A22"/>
    <w:rsid w:val="00740F28"/>
    <w:rsid w:val="007729D5"/>
    <w:rsid w:val="00773386"/>
    <w:rsid w:val="007B0965"/>
    <w:rsid w:val="007B1F73"/>
    <w:rsid w:val="007B2768"/>
    <w:rsid w:val="007F5C23"/>
    <w:rsid w:val="00865D04"/>
    <w:rsid w:val="008A6435"/>
    <w:rsid w:val="008C6892"/>
    <w:rsid w:val="009B1B16"/>
    <w:rsid w:val="009E76F9"/>
    <w:rsid w:val="00A561F9"/>
    <w:rsid w:val="00AB4255"/>
    <w:rsid w:val="00AB50C6"/>
    <w:rsid w:val="00AC10EB"/>
    <w:rsid w:val="00AD6959"/>
    <w:rsid w:val="00AF0537"/>
    <w:rsid w:val="00AF5902"/>
    <w:rsid w:val="00AF7EF8"/>
    <w:rsid w:val="00B42960"/>
    <w:rsid w:val="00B51827"/>
    <w:rsid w:val="00BB7664"/>
    <w:rsid w:val="00BC0831"/>
    <w:rsid w:val="00BC0A21"/>
    <w:rsid w:val="00BF4CB0"/>
    <w:rsid w:val="00C16B1B"/>
    <w:rsid w:val="00C25117"/>
    <w:rsid w:val="00C906CA"/>
    <w:rsid w:val="00CA0B47"/>
    <w:rsid w:val="00CA2FA9"/>
    <w:rsid w:val="00CB4931"/>
    <w:rsid w:val="00D02F8D"/>
    <w:rsid w:val="00D17C17"/>
    <w:rsid w:val="00D23930"/>
    <w:rsid w:val="00D45061"/>
    <w:rsid w:val="00D561D5"/>
    <w:rsid w:val="00D70809"/>
    <w:rsid w:val="00D869F8"/>
    <w:rsid w:val="00E03D3F"/>
    <w:rsid w:val="00E07696"/>
    <w:rsid w:val="00E14B49"/>
    <w:rsid w:val="00E27249"/>
    <w:rsid w:val="00E53B0A"/>
    <w:rsid w:val="00E568D0"/>
    <w:rsid w:val="00E57C40"/>
    <w:rsid w:val="00E73726"/>
    <w:rsid w:val="00E8396B"/>
    <w:rsid w:val="00E9565C"/>
    <w:rsid w:val="00E96872"/>
    <w:rsid w:val="00EC0765"/>
    <w:rsid w:val="00EE2DE5"/>
    <w:rsid w:val="00F06C69"/>
    <w:rsid w:val="00F128F7"/>
    <w:rsid w:val="00F370A6"/>
    <w:rsid w:val="00F37C80"/>
    <w:rsid w:val="00F84B54"/>
    <w:rsid w:val="00FC23D8"/>
    <w:rsid w:val="00FD6FE2"/>
    <w:rsid w:val="00FF43A1"/>
    <w:rsid w:val="00FF5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A28E5"/>
  <w15:chartTrackingRefBased/>
  <w15:docId w15:val="{6B9B0D6F-0531-41CB-83EE-82E2D56E3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931"/>
  </w:style>
  <w:style w:type="paragraph" w:styleId="Heading1">
    <w:name w:val="heading 1"/>
    <w:basedOn w:val="Normal"/>
    <w:link w:val="Heading1Char"/>
    <w:uiPriority w:val="9"/>
    <w:qFormat/>
    <w:rsid w:val="00FF54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7249"/>
    <w:rPr>
      <w:color w:val="0000FF"/>
      <w:u w:val="single"/>
    </w:rPr>
  </w:style>
  <w:style w:type="character" w:customStyle="1" w:styleId="selectable">
    <w:name w:val="selectable"/>
    <w:basedOn w:val="DefaultParagraphFont"/>
    <w:rsid w:val="00AF5902"/>
  </w:style>
  <w:style w:type="paragraph" w:styleId="Header">
    <w:name w:val="header"/>
    <w:basedOn w:val="Normal"/>
    <w:link w:val="HeaderChar"/>
    <w:uiPriority w:val="99"/>
    <w:unhideWhenUsed/>
    <w:rsid w:val="00252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55A"/>
  </w:style>
  <w:style w:type="paragraph" w:styleId="Footer">
    <w:name w:val="footer"/>
    <w:basedOn w:val="Normal"/>
    <w:link w:val="FooterChar"/>
    <w:uiPriority w:val="99"/>
    <w:unhideWhenUsed/>
    <w:rsid w:val="00252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55A"/>
  </w:style>
  <w:style w:type="character" w:styleId="Strong">
    <w:name w:val="Strong"/>
    <w:basedOn w:val="DefaultParagraphFont"/>
    <w:uiPriority w:val="22"/>
    <w:qFormat/>
    <w:rsid w:val="00E07696"/>
    <w:rPr>
      <w:b/>
      <w:bCs/>
    </w:rPr>
  </w:style>
  <w:style w:type="character" w:customStyle="1" w:styleId="Heading1Char">
    <w:name w:val="Heading 1 Char"/>
    <w:basedOn w:val="DefaultParagraphFont"/>
    <w:link w:val="Heading1"/>
    <w:uiPriority w:val="9"/>
    <w:rsid w:val="00FF54F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933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8FE2A-E495-4F7B-80E0-6EC201331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4018</TotalTime>
  <Pages>10</Pages>
  <Words>4959</Words>
  <Characters>28271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Jack</dc:creator>
  <cp:keywords/>
  <dc:description/>
  <cp:lastModifiedBy>Roberts, Jack</cp:lastModifiedBy>
  <cp:revision>34</cp:revision>
  <dcterms:created xsi:type="dcterms:W3CDTF">2021-01-20T10:45:00Z</dcterms:created>
  <dcterms:modified xsi:type="dcterms:W3CDTF">2021-02-13T17:59:00Z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Jack.Roberts@gwent.police.uk</vt:lpwstr>
  </property>
  <property fmtid="{D5CDD505-2E9C-101B-9397-08002B2CF9AE}" pid="5" name="MSIP_Label_f2acd28b-79a3-4a0f-b0ff-4b75658b1549_SetDate">
    <vt:lpwstr>2021-01-20T10:48:10.8967042Z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6aa4ea89-5a9a-4b42-af58-a2c1cd9ff105</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