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91C" w:rsidRDefault="00AE391C" w:rsidP="00583651">
      <w:pPr>
        <w:spacing w:before="100" w:beforeAutospacing="1" w:after="100" w:afterAutospacing="1" w:line="240" w:lineRule="auto"/>
        <w:rPr>
          <w:rFonts w:eastAsia="Times New Roman" w:cstheme="minorHAnsi"/>
          <w:sz w:val="24"/>
          <w:szCs w:val="24"/>
          <w:lang w:eastAsia="en-GB"/>
        </w:rPr>
      </w:pPr>
      <w:bookmarkStart w:id="0" w:name="_GoBack"/>
      <w:bookmarkEnd w:id="0"/>
      <w:r>
        <w:rPr>
          <w:rFonts w:eastAsia="Times New Roman" w:cstheme="minorHAnsi"/>
          <w:sz w:val="24"/>
          <w:szCs w:val="24"/>
          <w:lang w:eastAsia="en-GB"/>
        </w:rPr>
        <w:t>I have chosen to crit</w:t>
      </w:r>
      <w:r w:rsidR="00187823">
        <w:rPr>
          <w:rFonts w:eastAsia="Times New Roman" w:cstheme="minorHAnsi"/>
          <w:sz w:val="24"/>
          <w:szCs w:val="24"/>
          <w:lang w:eastAsia="en-GB"/>
        </w:rPr>
        <w:t>ically discuss Finland’s Youth Work p</w:t>
      </w:r>
      <w:r>
        <w:rPr>
          <w:rFonts w:eastAsia="Times New Roman" w:cstheme="minorHAnsi"/>
          <w:sz w:val="24"/>
          <w:szCs w:val="24"/>
          <w:lang w:eastAsia="en-GB"/>
        </w:rPr>
        <w:t>olicy in comparison to that of Wales’. In terms of contents</w:t>
      </w:r>
      <w:r w:rsidR="0073626F">
        <w:rPr>
          <w:rFonts w:eastAsia="Times New Roman" w:cstheme="minorHAnsi"/>
          <w:sz w:val="24"/>
          <w:szCs w:val="24"/>
          <w:lang w:eastAsia="en-GB"/>
        </w:rPr>
        <w:t>,</w:t>
      </w:r>
      <w:r>
        <w:rPr>
          <w:rFonts w:eastAsia="Times New Roman" w:cstheme="minorHAnsi"/>
          <w:sz w:val="24"/>
          <w:szCs w:val="24"/>
          <w:lang w:eastAsia="en-GB"/>
        </w:rPr>
        <w:t xml:space="preserve"> </w:t>
      </w:r>
      <w:r w:rsidR="0073626F">
        <w:rPr>
          <w:rFonts w:eastAsia="Times New Roman" w:cstheme="minorHAnsi"/>
          <w:sz w:val="24"/>
          <w:szCs w:val="24"/>
          <w:lang w:eastAsia="en-GB"/>
        </w:rPr>
        <w:t xml:space="preserve">The Youth Work </w:t>
      </w:r>
      <w:r w:rsidR="0073626F">
        <w:rPr>
          <w:rFonts w:eastAsia="Times New Roman" w:cstheme="minorHAnsi"/>
          <w:sz w:val="24"/>
          <w:szCs w:val="24"/>
          <w:lang w:eastAsia="en-GB"/>
        </w:rPr>
        <w:t xml:space="preserve">Strategy for Wales (2019) </w:t>
      </w:r>
      <w:r>
        <w:rPr>
          <w:rFonts w:eastAsia="Times New Roman" w:cstheme="minorHAnsi"/>
          <w:sz w:val="24"/>
          <w:szCs w:val="24"/>
          <w:lang w:eastAsia="en-GB"/>
        </w:rPr>
        <w:t>has separated the different elements of youth work and has given strategy in how to tackle them</w:t>
      </w:r>
      <w:r w:rsidR="0073626F">
        <w:rPr>
          <w:rFonts w:eastAsia="Times New Roman" w:cstheme="minorHAnsi"/>
          <w:sz w:val="24"/>
          <w:szCs w:val="24"/>
          <w:lang w:eastAsia="en-GB"/>
        </w:rPr>
        <w:t xml:space="preserve">. </w:t>
      </w:r>
      <w:r>
        <w:rPr>
          <w:rFonts w:eastAsia="Times New Roman" w:cstheme="minorHAnsi"/>
          <w:sz w:val="24"/>
          <w:szCs w:val="24"/>
          <w:lang w:eastAsia="en-GB"/>
        </w:rPr>
        <w:t xml:space="preserve">I believe it is important to break things down as it helps to see things in a more approachable manner, thus reducing the propensity to procrastinate by not knowing where to begin. </w:t>
      </w:r>
      <w:r w:rsidR="005B7D33">
        <w:rPr>
          <w:rFonts w:eastAsia="Times New Roman" w:cstheme="minorHAnsi"/>
          <w:sz w:val="24"/>
          <w:szCs w:val="24"/>
          <w:lang w:eastAsia="en-GB"/>
        </w:rPr>
        <w:t>This therefore makes it mentally manageable</w:t>
      </w:r>
      <w:r w:rsidR="0073626F">
        <w:rPr>
          <w:rFonts w:eastAsia="Times New Roman" w:cstheme="minorHAnsi"/>
          <w:sz w:val="24"/>
          <w:szCs w:val="24"/>
          <w:lang w:eastAsia="en-GB"/>
        </w:rPr>
        <w:t xml:space="preserve"> (Grossman, 2015)</w:t>
      </w:r>
      <w:r w:rsidR="005B7D33">
        <w:rPr>
          <w:rFonts w:eastAsia="Times New Roman" w:cstheme="minorHAnsi"/>
          <w:sz w:val="24"/>
          <w:szCs w:val="24"/>
          <w:lang w:eastAsia="en-GB"/>
        </w:rPr>
        <w:t xml:space="preserve">. </w:t>
      </w:r>
    </w:p>
    <w:p w:rsidR="00C33689" w:rsidRPr="0073626F" w:rsidRDefault="00FA252D"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Finland</w:t>
      </w:r>
      <w:r w:rsidR="00AE391C">
        <w:rPr>
          <w:rFonts w:eastAsia="Times New Roman" w:cstheme="minorHAnsi"/>
          <w:sz w:val="24"/>
          <w:szCs w:val="24"/>
          <w:lang w:eastAsia="en-GB"/>
        </w:rPr>
        <w:t xml:space="preserve"> use a different method of presenting information by giving focus on one element of youth work</w:t>
      </w:r>
      <w:r>
        <w:rPr>
          <w:rFonts w:eastAsia="Times New Roman" w:cstheme="minorHAnsi"/>
          <w:sz w:val="24"/>
          <w:szCs w:val="24"/>
          <w:lang w:eastAsia="en-GB"/>
        </w:rPr>
        <w:t xml:space="preserve"> only,</w:t>
      </w:r>
      <w:r w:rsidR="005B7D33">
        <w:rPr>
          <w:rFonts w:eastAsia="Times New Roman" w:cstheme="minorHAnsi"/>
          <w:sz w:val="24"/>
          <w:szCs w:val="24"/>
          <w:lang w:eastAsia="en-GB"/>
        </w:rPr>
        <w:t xml:space="preserve"> this being an employment scheme</w:t>
      </w:r>
      <w:r w:rsidR="0073626F">
        <w:rPr>
          <w:rFonts w:eastAsia="Times New Roman" w:cstheme="minorHAnsi"/>
          <w:sz w:val="24"/>
          <w:szCs w:val="24"/>
          <w:lang w:eastAsia="en-GB"/>
        </w:rPr>
        <w:t xml:space="preserve"> (</w:t>
      </w:r>
      <w:r w:rsidR="00187823">
        <w:rPr>
          <w:rFonts w:eastAsia="Times New Roman" w:cstheme="minorHAnsi"/>
          <w:sz w:val="24"/>
          <w:szCs w:val="24"/>
          <w:lang w:eastAsia="en-GB"/>
        </w:rPr>
        <w:t xml:space="preserve">Ministry of Education and Culture, </w:t>
      </w:r>
      <w:r w:rsidR="0073626F">
        <w:rPr>
          <w:rFonts w:eastAsia="Times New Roman" w:cstheme="minorHAnsi"/>
          <w:sz w:val="24"/>
          <w:szCs w:val="24"/>
          <w:lang w:eastAsia="en-GB"/>
        </w:rPr>
        <w:t>2012)</w:t>
      </w:r>
      <w:r w:rsidR="005B7D33">
        <w:rPr>
          <w:rFonts w:eastAsia="Times New Roman" w:cstheme="minorHAnsi"/>
          <w:sz w:val="24"/>
          <w:szCs w:val="24"/>
          <w:lang w:eastAsia="en-GB"/>
        </w:rPr>
        <w:t xml:space="preserve">. This allows full concentration on </w:t>
      </w:r>
      <w:r>
        <w:rPr>
          <w:rFonts w:eastAsia="Times New Roman" w:cstheme="minorHAnsi"/>
          <w:sz w:val="24"/>
          <w:szCs w:val="24"/>
          <w:lang w:eastAsia="en-GB"/>
        </w:rPr>
        <w:t xml:space="preserve">the </w:t>
      </w:r>
      <w:r w:rsidR="005B7D33">
        <w:rPr>
          <w:rFonts w:eastAsia="Times New Roman" w:cstheme="minorHAnsi"/>
          <w:sz w:val="24"/>
          <w:szCs w:val="24"/>
          <w:lang w:eastAsia="en-GB"/>
        </w:rPr>
        <w:t>employment</w:t>
      </w:r>
      <w:r>
        <w:rPr>
          <w:rFonts w:eastAsia="Times New Roman" w:cstheme="minorHAnsi"/>
          <w:sz w:val="24"/>
          <w:szCs w:val="24"/>
          <w:lang w:eastAsia="en-GB"/>
        </w:rPr>
        <w:t xml:space="preserve"> of young people,</w:t>
      </w:r>
      <w:r w:rsidR="005B7D33">
        <w:rPr>
          <w:rFonts w:eastAsia="Times New Roman" w:cstheme="minorHAnsi"/>
          <w:sz w:val="24"/>
          <w:szCs w:val="24"/>
          <w:lang w:eastAsia="en-GB"/>
        </w:rPr>
        <w:t xml:space="preserve"> however I believe that the overall view </w:t>
      </w:r>
      <w:r>
        <w:rPr>
          <w:rFonts w:eastAsia="Times New Roman" w:cstheme="minorHAnsi"/>
          <w:sz w:val="24"/>
          <w:szCs w:val="24"/>
          <w:lang w:eastAsia="en-GB"/>
        </w:rPr>
        <w:t xml:space="preserve">of this policy </w:t>
      </w:r>
      <w:r w:rsidR="0073626F">
        <w:rPr>
          <w:rFonts w:eastAsia="Times New Roman" w:cstheme="minorHAnsi"/>
          <w:sz w:val="24"/>
          <w:szCs w:val="24"/>
          <w:lang w:eastAsia="en-GB"/>
        </w:rPr>
        <w:t>can be daunting. B</w:t>
      </w:r>
      <w:r w:rsidR="005B7D33">
        <w:rPr>
          <w:rFonts w:eastAsia="Times New Roman" w:cstheme="minorHAnsi"/>
          <w:sz w:val="24"/>
          <w:szCs w:val="24"/>
          <w:lang w:eastAsia="en-GB"/>
        </w:rPr>
        <w:t>reaking activities down in youth work practice helps to perceive each goal as being more achievable. With smaller steps it also allows us to observe young people easier and allows us to respond accordingly</w:t>
      </w:r>
      <w:r w:rsidR="00011B23">
        <w:rPr>
          <w:rFonts w:eastAsia="Times New Roman" w:cstheme="minorHAnsi"/>
          <w:sz w:val="24"/>
          <w:szCs w:val="24"/>
          <w:lang w:eastAsia="en-GB"/>
        </w:rPr>
        <w:t xml:space="preserve"> (Grossman, 2015)</w:t>
      </w:r>
      <w:r w:rsidR="005B7D33">
        <w:rPr>
          <w:rFonts w:eastAsia="Times New Roman" w:cstheme="minorHAnsi"/>
          <w:sz w:val="24"/>
          <w:szCs w:val="24"/>
          <w:lang w:eastAsia="en-GB"/>
        </w:rPr>
        <w:t xml:space="preserve">.  </w:t>
      </w:r>
    </w:p>
    <w:p w:rsidR="00187823" w:rsidRDefault="0073626F" w:rsidP="00187823">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The </w:t>
      </w:r>
      <w:r>
        <w:rPr>
          <w:rFonts w:eastAsia="Times New Roman" w:cstheme="minorHAnsi"/>
          <w:sz w:val="24"/>
          <w:szCs w:val="24"/>
          <w:lang w:eastAsia="en-GB"/>
        </w:rPr>
        <w:t xml:space="preserve">Youth Work </w:t>
      </w:r>
      <w:r>
        <w:rPr>
          <w:rFonts w:eastAsia="Times New Roman" w:cstheme="minorHAnsi"/>
          <w:sz w:val="24"/>
          <w:szCs w:val="24"/>
          <w:lang w:eastAsia="en-GB"/>
        </w:rPr>
        <w:t xml:space="preserve">Strategy for Wales (2019) </w:t>
      </w:r>
      <w:r w:rsidR="00D31D57">
        <w:rPr>
          <w:rFonts w:eastAsia="Times New Roman" w:cstheme="minorHAnsi"/>
          <w:sz w:val="24"/>
          <w:szCs w:val="24"/>
          <w:lang w:eastAsia="en-GB"/>
        </w:rPr>
        <w:t>notes the importance of allowing young people to thrive through providing safe spaces that are inclusive and that allow trust and belonging to be built. I believe this is important for the wellbeing of young people and that a sense of belonging is vital to ensure a comfortable and happy environment</w:t>
      </w:r>
      <w:r w:rsidR="00FA252D">
        <w:rPr>
          <w:rFonts w:eastAsia="Times New Roman" w:cstheme="minorHAnsi"/>
          <w:sz w:val="24"/>
          <w:szCs w:val="24"/>
          <w:lang w:eastAsia="en-GB"/>
        </w:rPr>
        <w:t xml:space="preserve"> to flourish and grow</w:t>
      </w:r>
      <w:r w:rsidR="00D31D57">
        <w:rPr>
          <w:rFonts w:eastAsia="Times New Roman" w:cstheme="minorHAnsi"/>
          <w:sz w:val="24"/>
          <w:szCs w:val="24"/>
          <w:lang w:eastAsia="en-GB"/>
        </w:rPr>
        <w:t>. I have learnt from experience that gaining the trust of young people help</w:t>
      </w:r>
      <w:r w:rsidR="00FA252D">
        <w:rPr>
          <w:rFonts w:eastAsia="Times New Roman" w:cstheme="minorHAnsi"/>
          <w:sz w:val="24"/>
          <w:szCs w:val="24"/>
          <w:lang w:eastAsia="en-GB"/>
        </w:rPr>
        <w:t>s</w:t>
      </w:r>
      <w:r w:rsidR="00D31D57">
        <w:rPr>
          <w:rFonts w:eastAsia="Times New Roman" w:cstheme="minorHAnsi"/>
          <w:sz w:val="24"/>
          <w:szCs w:val="24"/>
          <w:lang w:eastAsia="en-GB"/>
        </w:rPr>
        <w:t xml:space="preserve"> to form an all-round sense of respect, showing th</w:t>
      </w:r>
      <w:r w:rsidR="00FA252D">
        <w:rPr>
          <w:rFonts w:eastAsia="Times New Roman" w:cstheme="minorHAnsi"/>
          <w:sz w:val="24"/>
          <w:szCs w:val="24"/>
          <w:lang w:eastAsia="en-GB"/>
        </w:rPr>
        <w:t>at regardless of circumstance or</w:t>
      </w:r>
      <w:r w:rsidR="00D31D57">
        <w:rPr>
          <w:rFonts w:eastAsia="Times New Roman" w:cstheme="minorHAnsi"/>
          <w:sz w:val="24"/>
          <w:szCs w:val="24"/>
          <w:lang w:eastAsia="en-GB"/>
        </w:rPr>
        <w:t xml:space="preserve"> the background of individuals we as youth workers want to ensure overall achievement and find that point of connection. </w:t>
      </w:r>
    </w:p>
    <w:p w:rsidR="00187823" w:rsidRDefault="00D31D57" w:rsidP="00187823">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I believe youth work should be </w:t>
      </w:r>
      <w:r w:rsidR="00FA252D">
        <w:rPr>
          <w:rFonts w:eastAsia="Times New Roman" w:cstheme="minorHAnsi"/>
          <w:sz w:val="24"/>
          <w:szCs w:val="24"/>
          <w:lang w:eastAsia="en-GB"/>
        </w:rPr>
        <w:t>accessible</w:t>
      </w:r>
      <w:r>
        <w:rPr>
          <w:rFonts w:eastAsia="Times New Roman" w:cstheme="minorHAnsi"/>
          <w:sz w:val="24"/>
          <w:szCs w:val="24"/>
          <w:lang w:eastAsia="en-GB"/>
        </w:rPr>
        <w:t xml:space="preserve"> and inclus</w:t>
      </w:r>
      <w:r w:rsidR="0073626F">
        <w:rPr>
          <w:rFonts w:eastAsia="Times New Roman" w:cstheme="minorHAnsi"/>
          <w:sz w:val="24"/>
          <w:szCs w:val="24"/>
          <w:lang w:eastAsia="en-GB"/>
        </w:rPr>
        <w:t xml:space="preserve">ive to all as is noted by </w:t>
      </w:r>
      <w:r w:rsidR="0073626F">
        <w:rPr>
          <w:rFonts w:eastAsia="Times New Roman" w:cstheme="minorHAnsi"/>
          <w:sz w:val="24"/>
          <w:szCs w:val="24"/>
          <w:lang w:eastAsia="en-GB"/>
        </w:rPr>
        <w:t xml:space="preserve">The Youth Work </w:t>
      </w:r>
      <w:r w:rsidR="0073626F">
        <w:rPr>
          <w:rFonts w:eastAsia="Times New Roman" w:cstheme="minorHAnsi"/>
          <w:sz w:val="24"/>
          <w:szCs w:val="24"/>
          <w:lang w:eastAsia="en-GB"/>
        </w:rPr>
        <w:t>Strategy for Wales (2018)</w:t>
      </w:r>
      <w:r>
        <w:rPr>
          <w:rFonts w:eastAsia="Times New Roman" w:cstheme="minorHAnsi"/>
          <w:sz w:val="24"/>
          <w:szCs w:val="24"/>
          <w:lang w:eastAsia="en-GB"/>
        </w:rPr>
        <w:t xml:space="preserve">. </w:t>
      </w:r>
      <w:r w:rsidR="0073626F">
        <w:rPr>
          <w:rFonts w:eastAsia="Times New Roman" w:cstheme="minorHAnsi"/>
          <w:sz w:val="24"/>
          <w:szCs w:val="24"/>
          <w:lang w:eastAsia="en-GB"/>
        </w:rPr>
        <w:t xml:space="preserve">Similarly Finland’s Youth Work Policy (2012) </w:t>
      </w:r>
      <w:r w:rsidR="00CD1EBF">
        <w:rPr>
          <w:rFonts w:eastAsia="Times New Roman" w:cstheme="minorHAnsi"/>
          <w:sz w:val="24"/>
          <w:szCs w:val="24"/>
          <w:lang w:eastAsia="en-GB"/>
        </w:rPr>
        <w:t>states different approaches to guarantee the</w:t>
      </w:r>
      <w:r w:rsidR="00011B23">
        <w:rPr>
          <w:rFonts w:eastAsia="Times New Roman" w:cstheme="minorHAnsi"/>
          <w:sz w:val="24"/>
          <w:szCs w:val="24"/>
          <w:lang w:eastAsia="en-GB"/>
        </w:rPr>
        <w:t xml:space="preserve"> inclusion of young</w:t>
      </w:r>
      <w:r w:rsidR="00CD1EBF">
        <w:rPr>
          <w:rFonts w:eastAsia="Times New Roman" w:cstheme="minorHAnsi"/>
          <w:sz w:val="24"/>
          <w:szCs w:val="24"/>
          <w:lang w:eastAsia="en-GB"/>
        </w:rPr>
        <w:t xml:space="preserve"> people, and uses the feed-back from young people as lead. It is important to consider the opinion of young people </w:t>
      </w:r>
      <w:r w:rsidR="00FA252D">
        <w:rPr>
          <w:rFonts w:eastAsia="Times New Roman" w:cstheme="minorHAnsi"/>
          <w:sz w:val="24"/>
          <w:szCs w:val="24"/>
          <w:lang w:eastAsia="en-GB"/>
        </w:rPr>
        <w:t>as it gives us more knowledge and understanding</w:t>
      </w:r>
      <w:r w:rsidR="00CD1EBF">
        <w:rPr>
          <w:rFonts w:eastAsia="Times New Roman" w:cstheme="minorHAnsi"/>
          <w:sz w:val="24"/>
          <w:szCs w:val="24"/>
          <w:lang w:eastAsia="en-GB"/>
        </w:rPr>
        <w:t xml:space="preserve"> to plan for the future and perform better. Through ensuring youth work practice is accessible to all it ensures that vulnerable young people get the help they need to reach their full potential</w:t>
      </w:r>
      <w:r w:rsidR="00011B23">
        <w:rPr>
          <w:rFonts w:eastAsia="Times New Roman" w:cstheme="minorHAnsi"/>
          <w:sz w:val="24"/>
          <w:szCs w:val="24"/>
          <w:lang w:eastAsia="en-GB"/>
        </w:rPr>
        <w:t xml:space="preserve"> (Welsh, Government, 2019)</w:t>
      </w:r>
      <w:r w:rsidR="00CD1EBF">
        <w:rPr>
          <w:rFonts w:eastAsia="Times New Roman" w:cstheme="minorHAnsi"/>
          <w:sz w:val="24"/>
          <w:szCs w:val="24"/>
          <w:lang w:eastAsia="en-GB"/>
        </w:rPr>
        <w:t xml:space="preserve">. It is also within their rights to have access to such opportunities and helps societies to achieve sustainable </w:t>
      </w:r>
    </w:p>
    <w:p w:rsidR="00AE391C" w:rsidRPr="00565C11" w:rsidRDefault="00565C11"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Finland’s Youth Work policy is aimed to all those under 25 years of age, of which I fi</w:t>
      </w:r>
      <w:r w:rsidR="0073626F">
        <w:rPr>
          <w:rFonts w:eastAsia="Times New Roman" w:cstheme="minorHAnsi"/>
          <w:sz w:val="24"/>
          <w:szCs w:val="24"/>
          <w:lang w:eastAsia="en-GB"/>
        </w:rPr>
        <w:t>nd an important factor for it</w:t>
      </w:r>
      <w:r>
        <w:rPr>
          <w:rFonts w:eastAsia="Times New Roman" w:cstheme="minorHAnsi"/>
          <w:sz w:val="24"/>
          <w:szCs w:val="24"/>
          <w:lang w:eastAsia="en-GB"/>
        </w:rPr>
        <w:t xml:space="preserve"> </w:t>
      </w:r>
      <w:r w:rsidR="00FA252D">
        <w:rPr>
          <w:rFonts w:eastAsia="Times New Roman" w:cstheme="minorHAnsi"/>
          <w:sz w:val="24"/>
          <w:szCs w:val="24"/>
          <w:lang w:eastAsia="en-GB"/>
        </w:rPr>
        <w:t xml:space="preserve">shows </w:t>
      </w:r>
      <w:r>
        <w:rPr>
          <w:rFonts w:eastAsia="Times New Roman" w:cstheme="minorHAnsi"/>
          <w:sz w:val="24"/>
          <w:szCs w:val="24"/>
          <w:lang w:eastAsia="en-GB"/>
        </w:rPr>
        <w:t>open</w:t>
      </w:r>
      <w:r w:rsidR="00FA252D">
        <w:rPr>
          <w:rFonts w:eastAsia="Times New Roman" w:cstheme="minorHAnsi"/>
          <w:sz w:val="24"/>
          <w:szCs w:val="24"/>
          <w:lang w:eastAsia="en-GB"/>
        </w:rPr>
        <w:t>ness</w:t>
      </w:r>
      <w:r>
        <w:rPr>
          <w:rFonts w:eastAsia="Times New Roman" w:cstheme="minorHAnsi"/>
          <w:sz w:val="24"/>
          <w:szCs w:val="24"/>
          <w:lang w:eastAsia="en-GB"/>
        </w:rPr>
        <w:t xml:space="preserve"> to a wide variety of young people</w:t>
      </w:r>
      <w:r w:rsidR="00187823">
        <w:rPr>
          <w:rFonts w:eastAsia="Times New Roman" w:cstheme="minorHAnsi"/>
          <w:sz w:val="24"/>
          <w:szCs w:val="24"/>
          <w:lang w:eastAsia="en-GB"/>
        </w:rPr>
        <w:t xml:space="preserve"> (Ministry of Education and Culture, 2012)</w:t>
      </w:r>
      <w:r>
        <w:rPr>
          <w:rFonts w:eastAsia="Times New Roman" w:cstheme="minorHAnsi"/>
          <w:sz w:val="24"/>
          <w:szCs w:val="24"/>
          <w:lang w:eastAsia="en-GB"/>
        </w:rPr>
        <w:t>. However in order to gain a deeper understanding</w:t>
      </w:r>
      <w:r w:rsidR="00FA252D">
        <w:rPr>
          <w:rFonts w:eastAsia="Times New Roman" w:cstheme="minorHAnsi"/>
          <w:sz w:val="24"/>
          <w:szCs w:val="24"/>
          <w:lang w:eastAsia="en-GB"/>
        </w:rPr>
        <w:t xml:space="preserve"> </w:t>
      </w:r>
      <w:r w:rsidR="0073626F">
        <w:rPr>
          <w:rFonts w:eastAsia="Times New Roman" w:cstheme="minorHAnsi"/>
          <w:sz w:val="24"/>
          <w:szCs w:val="24"/>
          <w:lang w:eastAsia="en-GB"/>
        </w:rPr>
        <w:t xml:space="preserve">of effective </w:t>
      </w:r>
      <w:r w:rsidR="00FA252D">
        <w:rPr>
          <w:rFonts w:eastAsia="Times New Roman" w:cstheme="minorHAnsi"/>
          <w:sz w:val="24"/>
          <w:szCs w:val="24"/>
          <w:lang w:eastAsia="en-GB"/>
        </w:rPr>
        <w:t>youth work strategy</w:t>
      </w:r>
      <w:r>
        <w:rPr>
          <w:rFonts w:eastAsia="Times New Roman" w:cstheme="minorHAnsi"/>
          <w:sz w:val="24"/>
          <w:szCs w:val="24"/>
          <w:lang w:eastAsia="en-GB"/>
        </w:rPr>
        <w:t xml:space="preserve">, I believe having more specific detail in terms of diversity is needed. The reason being that an age range is a small part of it and somewhat restricts definition. Having more in depth information will help to give an insight into the real and perceived </w:t>
      </w:r>
      <w:r w:rsidR="00FA252D">
        <w:rPr>
          <w:rFonts w:eastAsia="Times New Roman" w:cstheme="minorHAnsi"/>
          <w:sz w:val="24"/>
          <w:szCs w:val="24"/>
          <w:lang w:eastAsia="en-GB"/>
        </w:rPr>
        <w:t xml:space="preserve">lives of </w:t>
      </w:r>
      <w:r>
        <w:rPr>
          <w:rFonts w:eastAsia="Times New Roman" w:cstheme="minorHAnsi"/>
          <w:sz w:val="24"/>
          <w:szCs w:val="24"/>
          <w:lang w:eastAsia="en-GB"/>
        </w:rPr>
        <w:t>young people in society.</w:t>
      </w:r>
    </w:p>
    <w:p w:rsidR="00FD49FF" w:rsidRDefault="00FD49FF" w:rsidP="00C33689">
      <w:pPr>
        <w:spacing w:before="100" w:beforeAutospacing="1" w:after="100" w:afterAutospacing="1" w:line="240" w:lineRule="auto"/>
        <w:rPr>
          <w:rFonts w:eastAsia="Times New Roman" w:cstheme="minorHAnsi"/>
          <w:sz w:val="24"/>
          <w:szCs w:val="24"/>
          <w:lang w:eastAsia="en-GB"/>
        </w:rPr>
      </w:pPr>
    </w:p>
    <w:p w:rsidR="00187823" w:rsidRDefault="00187823" w:rsidP="00C33689">
      <w:pPr>
        <w:spacing w:before="100" w:beforeAutospacing="1" w:after="100" w:afterAutospacing="1" w:line="240" w:lineRule="auto"/>
        <w:rPr>
          <w:rFonts w:eastAsia="Times New Roman" w:cstheme="minorHAnsi"/>
          <w:b/>
          <w:sz w:val="24"/>
          <w:szCs w:val="24"/>
          <w:lang w:eastAsia="en-GB"/>
        </w:rPr>
      </w:pPr>
    </w:p>
    <w:p w:rsidR="00187823" w:rsidRDefault="00187823" w:rsidP="00C33689">
      <w:pPr>
        <w:spacing w:before="100" w:beforeAutospacing="1" w:after="100" w:afterAutospacing="1" w:line="240" w:lineRule="auto"/>
        <w:rPr>
          <w:rFonts w:eastAsia="Times New Roman" w:cstheme="minorHAnsi"/>
          <w:b/>
          <w:sz w:val="24"/>
          <w:szCs w:val="24"/>
          <w:lang w:eastAsia="en-GB"/>
        </w:rPr>
      </w:pPr>
    </w:p>
    <w:p w:rsidR="005D05E9" w:rsidRDefault="00FD49FF" w:rsidP="00C33689">
      <w:pPr>
        <w:spacing w:before="100" w:beforeAutospacing="1" w:after="100" w:afterAutospacing="1" w:line="240" w:lineRule="auto"/>
        <w:rPr>
          <w:rFonts w:eastAsia="Times New Roman" w:cstheme="minorHAnsi"/>
          <w:b/>
          <w:sz w:val="24"/>
          <w:szCs w:val="24"/>
          <w:lang w:eastAsia="en-GB"/>
        </w:rPr>
      </w:pPr>
      <w:r w:rsidRPr="00FD49FF">
        <w:rPr>
          <w:rFonts w:eastAsia="Times New Roman" w:cstheme="minorHAnsi"/>
          <w:b/>
          <w:sz w:val="24"/>
          <w:szCs w:val="24"/>
          <w:lang w:eastAsia="en-GB"/>
        </w:rPr>
        <w:lastRenderedPageBreak/>
        <w:t>References</w:t>
      </w:r>
    </w:p>
    <w:p w:rsidR="00187823" w:rsidRPr="00583651" w:rsidRDefault="00187823"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Equality and Human Rights Commission. (1948) ‘What is The Universal Declaration of Human Rights?</w:t>
      </w:r>
      <w:proofErr w:type="gramStart"/>
      <w:r>
        <w:rPr>
          <w:rFonts w:eastAsia="Times New Roman" w:cstheme="minorHAnsi"/>
          <w:sz w:val="24"/>
          <w:szCs w:val="24"/>
          <w:lang w:eastAsia="en-GB"/>
        </w:rPr>
        <w:t>’.</w:t>
      </w:r>
      <w:proofErr w:type="gramEnd"/>
      <w:r>
        <w:rPr>
          <w:rFonts w:eastAsia="Times New Roman" w:cstheme="minorHAnsi"/>
          <w:sz w:val="24"/>
          <w:szCs w:val="24"/>
          <w:lang w:eastAsia="en-GB"/>
        </w:rPr>
        <w:t xml:space="preserve"> </w:t>
      </w:r>
      <w:hyperlink r:id="rId7" w:history="1">
        <w:r w:rsidRPr="00006DC2">
          <w:rPr>
            <w:rStyle w:val="Hyperlink"/>
            <w:rFonts w:eastAsia="Times New Roman" w:cstheme="minorHAnsi"/>
            <w:sz w:val="24"/>
            <w:szCs w:val="24"/>
            <w:lang w:eastAsia="en-GB"/>
          </w:rPr>
          <w:t>https://www.equalityhumanrights.com/en/what-are-human-rights/what-universal-declaration-human-rights</w:t>
        </w:r>
      </w:hyperlink>
      <w:r>
        <w:rPr>
          <w:rFonts w:eastAsia="Times New Roman" w:cstheme="minorHAnsi"/>
          <w:sz w:val="24"/>
          <w:szCs w:val="24"/>
          <w:lang w:eastAsia="en-GB"/>
        </w:rPr>
        <w:t xml:space="preserve"> [Accessed; January 17</w:t>
      </w:r>
      <w:r w:rsidRPr="00011B23">
        <w:rPr>
          <w:rFonts w:eastAsia="Times New Roman" w:cstheme="minorHAnsi"/>
          <w:sz w:val="24"/>
          <w:szCs w:val="24"/>
          <w:vertAlign w:val="superscript"/>
          <w:lang w:eastAsia="en-GB"/>
        </w:rPr>
        <w:t>th</w:t>
      </w:r>
      <w:r>
        <w:rPr>
          <w:rFonts w:eastAsia="Times New Roman" w:cstheme="minorHAnsi"/>
          <w:sz w:val="24"/>
          <w:szCs w:val="24"/>
          <w:lang w:eastAsia="en-GB"/>
        </w:rPr>
        <w:t xml:space="preserve"> 2021].</w:t>
      </w:r>
    </w:p>
    <w:p w:rsidR="00187823" w:rsidRDefault="00187823"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Grossman, E. (2015) ‘How to present complex ideas clearly’. </w:t>
      </w:r>
      <w:hyperlink r:id="rId8" w:history="1">
        <w:r w:rsidRPr="00006DC2">
          <w:rPr>
            <w:rStyle w:val="Hyperlink"/>
            <w:rFonts w:eastAsia="Times New Roman" w:cstheme="minorHAnsi"/>
            <w:sz w:val="24"/>
            <w:szCs w:val="24"/>
            <w:lang w:eastAsia="en-GB"/>
          </w:rPr>
          <w:t>https://www.britishcouncil.org/voices-magazine/how-explain-complex-ideas-clearly</w:t>
        </w:r>
      </w:hyperlink>
      <w:r>
        <w:rPr>
          <w:rFonts w:eastAsia="Times New Roman" w:cstheme="minorHAnsi"/>
          <w:sz w:val="24"/>
          <w:szCs w:val="24"/>
          <w:lang w:eastAsia="en-GB"/>
        </w:rPr>
        <w:t xml:space="preserve"> [Accessed; January 17</w:t>
      </w:r>
      <w:r w:rsidRPr="0073626F">
        <w:rPr>
          <w:rFonts w:eastAsia="Times New Roman" w:cstheme="minorHAnsi"/>
          <w:sz w:val="24"/>
          <w:szCs w:val="24"/>
          <w:vertAlign w:val="superscript"/>
          <w:lang w:eastAsia="en-GB"/>
        </w:rPr>
        <w:t>th</w:t>
      </w:r>
      <w:r>
        <w:rPr>
          <w:rFonts w:eastAsia="Times New Roman" w:cstheme="minorHAnsi"/>
          <w:sz w:val="24"/>
          <w:szCs w:val="24"/>
          <w:lang w:eastAsia="en-GB"/>
        </w:rPr>
        <w:t xml:space="preserve"> 2021]. </w:t>
      </w:r>
    </w:p>
    <w:p w:rsidR="00187823" w:rsidRDefault="00187823"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Ministry of Education and Culture. (2012) ‘The Youth Guarantee in Finland provides employment, training and a customised service’. </w:t>
      </w:r>
      <w:hyperlink r:id="rId9" w:history="1">
        <w:r w:rsidRPr="00941C9F">
          <w:rPr>
            <w:rStyle w:val="Hyperlink"/>
            <w:rFonts w:eastAsia="Times New Roman" w:cstheme="minorHAnsi"/>
            <w:sz w:val="24"/>
            <w:szCs w:val="24"/>
            <w:lang w:eastAsia="en-GB"/>
          </w:rPr>
          <w:t>https://moodle.uwtsd.ac.uk/pluginfile.php/252127/mod_resource/content/1/The_Youth_Guarantee_in_Finland.pdf</w:t>
        </w:r>
      </w:hyperlink>
      <w:r>
        <w:rPr>
          <w:rFonts w:eastAsia="Times New Roman" w:cstheme="minorHAnsi"/>
          <w:sz w:val="24"/>
          <w:szCs w:val="24"/>
          <w:lang w:eastAsia="en-GB"/>
        </w:rPr>
        <w:t xml:space="preserve"> [Accessed; January 8</w:t>
      </w:r>
      <w:r w:rsidRPr="00FD49FF">
        <w:rPr>
          <w:rFonts w:eastAsia="Times New Roman" w:cstheme="minorHAnsi"/>
          <w:sz w:val="24"/>
          <w:szCs w:val="24"/>
          <w:vertAlign w:val="superscript"/>
          <w:lang w:eastAsia="en-GB"/>
        </w:rPr>
        <w:t>th</w:t>
      </w:r>
      <w:r>
        <w:rPr>
          <w:rFonts w:eastAsia="Times New Roman" w:cstheme="minorHAnsi"/>
          <w:sz w:val="24"/>
          <w:szCs w:val="24"/>
          <w:lang w:eastAsia="en-GB"/>
        </w:rPr>
        <w:t xml:space="preserve"> 2021].</w:t>
      </w:r>
    </w:p>
    <w:p w:rsidR="00187823" w:rsidRDefault="00187823" w:rsidP="00C3368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Welsh Government. (2019) ‘Youth Work Strategy for Wales’. </w:t>
      </w:r>
      <w:hyperlink r:id="rId10" w:history="1">
        <w:r w:rsidRPr="00941C9F">
          <w:rPr>
            <w:rStyle w:val="Hyperlink"/>
            <w:rFonts w:eastAsia="Times New Roman" w:cstheme="minorHAnsi"/>
            <w:sz w:val="24"/>
            <w:szCs w:val="24"/>
            <w:lang w:eastAsia="en-GB"/>
          </w:rPr>
          <w:t>https://gov.wales/sites/default/files/publications/2019-06/youth-work-strategy-for-wales.pdf</w:t>
        </w:r>
      </w:hyperlink>
      <w:r>
        <w:rPr>
          <w:rFonts w:eastAsia="Times New Roman" w:cstheme="minorHAnsi"/>
          <w:sz w:val="24"/>
          <w:szCs w:val="24"/>
          <w:lang w:eastAsia="en-GB"/>
        </w:rPr>
        <w:t xml:space="preserve"> [Accessed; January 8</w:t>
      </w:r>
      <w:r w:rsidRPr="00FD49FF">
        <w:rPr>
          <w:rFonts w:eastAsia="Times New Roman" w:cstheme="minorHAnsi"/>
          <w:sz w:val="24"/>
          <w:szCs w:val="24"/>
          <w:vertAlign w:val="superscript"/>
          <w:lang w:eastAsia="en-GB"/>
        </w:rPr>
        <w:t>th</w:t>
      </w:r>
      <w:r>
        <w:rPr>
          <w:rFonts w:eastAsia="Times New Roman" w:cstheme="minorHAnsi"/>
          <w:sz w:val="24"/>
          <w:szCs w:val="24"/>
          <w:lang w:eastAsia="en-GB"/>
        </w:rPr>
        <w:t xml:space="preserve"> 2021].</w:t>
      </w:r>
    </w:p>
    <w:p w:rsidR="00583651" w:rsidRPr="00C33689" w:rsidRDefault="00583651">
      <w:pPr>
        <w:rPr>
          <w:rFonts w:cstheme="minorHAnsi"/>
          <w:sz w:val="24"/>
          <w:szCs w:val="24"/>
        </w:rPr>
      </w:pPr>
    </w:p>
    <w:p w:rsidR="00583651" w:rsidRPr="00583651" w:rsidRDefault="00583651" w:rsidP="00C33689">
      <w:pPr>
        <w:pStyle w:val="ListParagraph"/>
        <w:rPr>
          <w:sz w:val="18"/>
        </w:rPr>
      </w:pPr>
    </w:p>
    <w:sectPr w:rsidR="00583651" w:rsidRPr="0058365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C3F" w:rsidRDefault="007F3C3F" w:rsidP="00565C11">
      <w:pPr>
        <w:spacing w:after="0" w:line="240" w:lineRule="auto"/>
      </w:pPr>
      <w:r>
        <w:separator/>
      </w:r>
    </w:p>
  </w:endnote>
  <w:endnote w:type="continuationSeparator" w:id="0">
    <w:p w:rsidR="007F3C3F" w:rsidRDefault="007F3C3F" w:rsidP="0056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C3F" w:rsidRDefault="007F3C3F" w:rsidP="00565C11">
      <w:pPr>
        <w:spacing w:after="0" w:line="240" w:lineRule="auto"/>
      </w:pPr>
      <w:r>
        <w:separator/>
      </w:r>
    </w:p>
  </w:footnote>
  <w:footnote w:type="continuationSeparator" w:id="0">
    <w:p w:rsidR="007F3C3F" w:rsidRDefault="007F3C3F" w:rsidP="00565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C11" w:rsidRDefault="00565C11">
    <w:pPr>
      <w:pStyle w:val="Header"/>
    </w:pPr>
    <w:r>
      <w:t>1600750</w:t>
    </w:r>
    <w:r>
      <w:ptab w:relativeTo="margin" w:alignment="center" w:leader="none"/>
    </w:r>
    <w:r>
      <w:ptab w:relativeTo="margin" w:alignment="right" w:leader="none"/>
    </w:r>
    <w:r>
      <w:t>SJYW7012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22B29"/>
    <w:multiLevelType w:val="multilevel"/>
    <w:tmpl w:val="DFBC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9538F9"/>
    <w:multiLevelType w:val="hybridMultilevel"/>
    <w:tmpl w:val="C284E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AF46D1"/>
    <w:multiLevelType w:val="hybridMultilevel"/>
    <w:tmpl w:val="FB9C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651"/>
    <w:rsid w:val="00011B23"/>
    <w:rsid w:val="00187823"/>
    <w:rsid w:val="0039407B"/>
    <w:rsid w:val="00565C11"/>
    <w:rsid w:val="00583651"/>
    <w:rsid w:val="005B7D33"/>
    <w:rsid w:val="005D05E9"/>
    <w:rsid w:val="0073626F"/>
    <w:rsid w:val="007F3C3F"/>
    <w:rsid w:val="00AB11BC"/>
    <w:rsid w:val="00AE391C"/>
    <w:rsid w:val="00C33689"/>
    <w:rsid w:val="00CD1EBF"/>
    <w:rsid w:val="00D31D57"/>
    <w:rsid w:val="00E24142"/>
    <w:rsid w:val="00FA252D"/>
    <w:rsid w:val="00FD4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D48D66-B458-4FEE-A8C2-19718CCD0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36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3651"/>
    <w:rPr>
      <w:color w:val="0000FF"/>
      <w:u w:val="single"/>
    </w:rPr>
  </w:style>
  <w:style w:type="paragraph" w:styleId="ListParagraph">
    <w:name w:val="List Paragraph"/>
    <w:basedOn w:val="Normal"/>
    <w:uiPriority w:val="34"/>
    <w:qFormat/>
    <w:rsid w:val="00583651"/>
    <w:pPr>
      <w:ind w:left="720"/>
      <w:contextualSpacing/>
    </w:pPr>
  </w:style>
  <w:style w:type="character" w:customStyle="1" w:styleId="hgkelc">
    <w:name w:val="hgkelc"/>
    <w:basedOn w:val="DefaultParagraphFont"/>
    <w:rsid w:val="00AE391C"/>
  </w:style>
  <w:style w:type="paragraph" w:styleId="Header">
    <w:name w:val="header"/>
    <w:basedOn w:val="Normal"/>
    <w:link w:val="HeaderChar"/>
    <w:uiPriority w:val="99"/>
    <w:unhideWhenUsed/>
    <w:rsid w:val="00565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C11"/>
  </w:style>
  <w:style w:type="paragraph" w:styleId="Footer">
    <w:name w:val="footer"/>
    <w:basedOn w:val="Normal"/>
    <w:link w:val="FooterChar"/>
    <w:uiPriority w:val="99"/>
    <w:unhideWhenUsed/>
    <w:rsid w:val="00565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36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voices-magazine/how-explain-complex-ideas-clearl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qualityhumanrights.com/en/what-are-human-rights/what-universal-declaration-human-righ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ov.wales/sites/default/files/publications/2019-06/youth-work-strategy-for-wales.pdf" TargetMode="External"/><Relationship Id="rId4" Type="http://schemas.openxmlformats.org/officeDocument/2006/relationships/webSettings" Target="webSettings.xml"/><Relationship Id="rId9" Type="http://schemas.openxmlformats.org/officeDocument/2006/relationships/hyperlink" Target="https://moodle.uwtsd.ac.uk/pluginfile.php/252127/mod_resource/content/1/The_Youth_Guarantee_in_Fin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2</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3</cp:revision>
  <dcterms:created xsi:type="dcterms:W3CDTF">2021-01-08T10:10:00Z</dcterms:created>
  <dcterms:modified xsi:type="dcterms:W3CDTF">2021-01-17T19:14:00Z</dcterms:modified>
</cp:coreProperties>
</file>