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5EABA" w14:textId="106D3FB0" w:rsidR="00F64CAA" w:rsidRPr="00F64CAA" w:rsidRDefault="00F64CAA" w:rsidP="00F64CAA">
      <w:pPr>
        <w:rPr>
          <w:b/>
          <w:bCs/>
          <w:sz w:val="28"/>
          <w:szCs w:val="28"/>
          <w:u w:val="single"/>
        </w:rPr>
      </w:pPr>
      <w:r w:rsidRPr="00F64CAA">
        <w:rPr>
          <w:b/>
          <w:bCs/>
          <w:sz w:val="28"/>
          <w:szCs w:val="28"/>
          <w:u w:val="single"/>
        </w:rPr>
        <w:t xml:space="preserve">Career </w:t>
      </w:r>
      <w:r w:rsidR="00843160">
        <w:rPr>
          <w:b/>
          <w:bCs/>
          <w:sz w:val="28"/>
          <w:szCs w:val="28"/>
          <w:u w:val="single"/>
        </w:rPr>
        <w:t>G</w:t>
      </w:r>
      <w:r w:rsidRPr="00F64CAA">
        <w:rPr>
          <w:b/>
          <w:bCs/>
          <w:sz w:val="28"/>
          <w:szCs w:val="28"/>
          <w:u w:val="single"/>
        </w:rPr>
        <w:t xml:space="preserve">uidance and </w:t>
      </w:r>
      <w:r w:rsidR="00843160">
        <w:rPr>
          <w:b/>
          <w:bCs/>
          <w:sz w:val="28"/>
          <w:szCs w:val="28"/>
          <w:u w:val="single"/>
        </w:rPr>
        <w:t>P</w:t>
      </w:r>
      <w:r w:rsidRPr="00F64CAA">
        <w:rPr>
          <w:b/>
          <w:bCs/>
          <w:sz w:val="28"/>
          <w:szCs w:val="28"/>
          <w:u w:val="single"/>
        </w:rPr>
        <w:t xml:space="preserve">ublic </w:t>
      </w:r>
      <w:r w:rsidR="00843160">
        <w:rPr>
          <w:b/>
          <w:bCs/>
          <w:sz w:val="28"/>
          <w:szCs w:val="28"/>
          <w:u w:val="single"/>
        </w:rPr>
        <w:t>M</w:t>
      </w:r>
      <w:r w:rsidRPr="00F64CAA">
        <w:rPr>
          <w:b/>
          <w:bCs/>
          <w:sz w:val="28"/>
          <w:szCs w:val="28"/>
          <w:u w:val="single"/>
        </w:rPr>
        <w:t xml:space="preserve">ental </w:t>
      </w:r>
      <w:r w:rsidR="00843160">
        <w:rPr>
          <w:b/>
          <w:bCs/>
          <w:sz w:val="28"/>
          <w:szCs w:val="28"/>
          <w:u w:val="single"/>
        </w:rPr>
        <w:t>H</w:t>
      </w:r>
      <w:r w:rsidRPr="00F64CAA">
        <w:rPr>
          <w:b/>
          <w:bCs/>
          <w:sz w:val="28"/>
          <w:szCs w:val="28"/>
          <w:u w:val="single"/>
        </w:rPr>
        <w:t>ealth</w:t>
      </w:r>
    </w:p>
    <w:p w14:paraId="7B0FCDA1" w14:textId="77777777" w:rsidR="003503B5" w:rsidRPr="003503B5" w:rsidRDefault="00F64CAA" w:rsidP="0087781C">
      <w:pPr>
        <w:pStyle w:val="NoSpacing"/>
        <w:jc w:val="both"/>
        <w:rPr>
          <w:b/>
          <w:bCs/>
          <w:sz w:val="28"/>
          <w:szCs w:val="28"/>
        </w:rPr>
      </w:pPr>
      <w:r w:rsidRPr="003503B5">
        <w:rPr>
          <w:b/>
          <w:bCs/>
          <w:sz w:val="28"/>
          <w:szCs w:val="28"/>
        </w:rPr>
        <w:t xml:space="preserve">Introduction: the neglect of health issues </w:t>
      </w:r>
    </w:p>
    <w:p w14:paraId="59520B00" w14:textId="2CF2FBAB" w:rsidR="00F64CAA" w:rsidRDefault="00F64CAA" w:rsidP="0087781C">
      <w:pPr>
        <w:pStyle w:val="NoSpacing"/>
        <w:jc w:val="both"/>
        <w:rPr>
          <w:rFonts w:ascii="Arial" w:hAnsi="Arial" w:cs="Arial"/>
          <w:sz w:val="24"/>
          <w:szCs w:val="24"/>
        </w:rPr>
      </w:pPr>
      <w:r w:rsidRPr="00843160">
        <w:rPr>
          <w:rFonts w:ascii="Arial" w:hAnsi="Arial" w:cs="Arial"/>
          <w:sz w:val="24"/>
          <w:szCs w:val="24"/>
        </w:rPr>
        <w:t>Issues of mental well-being have attracted little attention in career guidance policy making.  Summarising international reviews by the Organisation of Economic Co-operation and Development (OECD), the European Commission and the World Bank, Watts and Sultana (2004) found that policies across 37 nations had converged on policy goals related to lifelong learning, the labour market and social equity.  More recent studies (e.g. CEDEFOP, 2011; European Lifelong Guidance Policy Network, 2010) and international handbooks for policy makers (Hanson, 2006; OECD, 2004) also feature these central objectives.   Health outcomes are largely absent from this policy discourse.  This is remarkable in the light of three observations.  Firstly, the burden of disease associated with mental health conditions is very great indeed. The  World Health Organisation (WHO) suggest that one person in four will develop a mental health related condition in their lifetime, and that these disorders account for 13% of the global burden of disease assessed by Disability Adjusted Life Years (DALYs) lost due to diseases across the planet (WHO, 2004a).  Their projections suggest that depression may be the leading cause of disability by 2030 (WHO, 2011).  Secondly, there is overwhelming evidence that unemployment is associated with psychological distress and increased incidence of mental health conditions (</w:t>
      </w:r>
      <w:r w:rsidR="00843160" w:rsidRPr="00843160">
        <w:rPr>
          <w:rFonts w:ascii="Arial" w:hAnsi="Arial" w:cs="Arial"/>
          <w:sz w:val="24"/>
          <w:szCs w:val="24"/>
        </w:rPr>
        <w:t>McKee Ryan</w:t>
      </w:r>
      <w:r w:rsidRPr="00843160">
        <w:rPr>
          <w:rFonts w:ascii="Arial" w:hAnsi="Arial" w:cs="Arial"/>
          <w:sz w:val="24"/>
          <w:szCs w:val="24"/>
        </w:rPr>
        <w:t xml:space="preserve"> et al), and that more generally work and worklessness are deeply connected to health (Bambra, 2011).  </w:t>
      </w:r>
    </w:p>
    <w:p w14:paraId="00AD8AB1" w14:textId="77777777" w:rsidR="0087781C" w:rsidRPr="003503B5" w:rsidRDefault="0087781C" w:rsidP="0087781C">
      <w:pPr>
        <w:pStyle w:val="NoSpacing"/>
        <w:jc w:val="both"/>
      </w:pPr>
    </w:p>
    <w:p w14:paraId="5C709CBC" w14:textId="4846DC29" w:rsidR="00F64CAA" w:rsidRPr="00843160" w:rsidRDefault="00F64CAA" w:rsidP="00F64CAA">
      <w:pPr>
        <w:jc w:val="both"/>
        <w:rPr>
          <w:rFonts w:ascii="Arial" w:hAnsi="Arial" w:cs="Arial"/>
          <w:sz w:val="24"/>
          <w:szCs w:val="24"/>
        </w:rPr>
      </w:pPr>
      <w:r w:rsidRPr="00843160">
        <w:rPr>
          <w:rFonts w:ascii="Arial" w:hAnsi="Arial" w:cs="Arial"/>
          <w:sz w:val="24"/>
          <w:szCs w:val="24"/>
        </w:rPr>
        <w:t xml:space="preserve">Thirdly, the global downturn in economic activity since 2008 continues to present a significant challenge to labour markets.  The International Labour Organisation (ILO, 2012) produce headline figures suggesting that the global unemployment remains around 6%, with a stock of 200 million people out of work.  An additional 400 million will join them in the next decade unless enough new jobs are created, which seems unlikely with current economic growth rates. This is a cause for concern given the consensus in the literature that the health and well-being of the unemployed is worse than that of the employed (Waddell &amp; Burton, 2006) and the evidence that some causes of mortality, notably suicide, increase during a recession . If the career guidance community is to be concerned with issues of work and worklessness, it must concern itself with health also.  </w:t>
      </w:r>
      <w:proofErr w:type="gramStart"/>
      <w:r w:rsidRPr="00843160">
        <w:rPr>
          <w:rFonts w:ascii="Arial" w:hAnsi="Arial" w:cs="Arial"/>
          <w:sz w:val="24"/>
          <w:szCs w:val="24"/>
        </w:rPr>
        <w:t xml:space="preserve">At this </w:t>
      </w:r>
      <w:r w:rsidR="00843160" w:rsidRPr="00843160">
        <w:rPr>
          <w:rFonts w:ascii="Arial" w:hAnsi="Arial" w:cs="Arial"/>
          <w:sz w:val="24"/>
          <w:szCs w:val="24"/>
        </w:rPr>
        <w:t>time</w:t>
      </w:r>
      <w:proofErr w:type="gramEnd"/>
      <w:r w:rsidR="00843160" w:rsidRPr="00843160">
        <w:rPr>
          <w:rFonts w:ascii="Arial" w:hAnsi="Arial" w:cs="Arial"/>
          <w:sz w:val="24"/>
          <w:szCs w:val="24"/>
        </w:rPr>
        <w:t>,</w:t>
      </w:r>
      <w:r w:rsidRPr="00843160">
        <w:rPr>
          <w:rFonts w:ascii="Arial" w:hAnsi="Arial" w:cs="Arial"/>
          <w:sz w:val="24"/>
          <w:szCs w:val="24"/>
        </w:rPr>
        <w:t xml:space="preserve"> it seems particularly unwise to ignore the powerful connections that link employment and education to health and well-being.   </w:t>
      </w:r>
    </w:p>
    <w:p w14:paraId="434A8C84" w14:textId="77777777" w:rsidR="00F64CAA" w:rsidRPr="00843160" w:rsidRDefault="00F64CAA" w:rsidP="00F64CAA">
      <w:pPr>
        <w:rPr>
          <w:rFonts w:ascii="Arial" w:hAnsi="Arial" w:cs="Arial"/>
          <w:b/>
          <w:bCs/>
          <w:sz w:val="24"/>
          <w:szCs w:val="24"/>
        </w:rPr>
      </w:pPr>
      <w:r w:rsidRPr="00843160">
        <w:rPr>
          <w:rFonts w:ascii="Arial" w:hAnsi="Arial" w:cs="Arial"/>
          <w:b/>
          <w:bCs/>
          <w:sz w:val="24"/>
          <w:szCs w:val="24"/>
        </w:rPr>
        <w:t xml:space="preserve">Career guidance as a public mental health intervention </w:t>
      </w:r>
    </w:p>
    <w:p w14:paraId="1BE1C52E" w14:textId="14C65E19" w:rsidR="00F64CAA" w:rsidRDefault="00F64CAA" w:rsidP="00F64CAA">
      <w:pPr>
        <w:jc w:val="both"/>
        <w:rPr>
          <w:rFonts w:ascii="Arial" w:hAnsi="Arial" w:cs="Arial"/>
          <w:sz w:val="24"/>
          <w:szCs w:val="24"/>
        </w:rPr>
      </w:pPr>
      <w:r w:rsidRPr="00843160">
        <w:rPr>
          <w:rFonts w:ascii="Arial" w:hAnsi="Arial" w:cs="Arial"/>
          <w:sz w:val="24"/>
          <w:szCs w:val="24"/>
        </w:rPr>
        <w:t xml:space="preserve">The notion that career guidance can contribute to mental health is not new. Herr (1989) and </w:t>
      </w:r>
      <w:proofErr w:type="spellStart"/>
      <w:r w:rsidRPr="00843160">
        <w:rPr>
          <w:rFonts w:ascii="Arial" w:hAnsi="Arial" w:cs="Arial"/>
          <w:sz w:val="24"/>
          <w:szCs w:val="24"/>
        </w:rPr>
        <w:t>Loughhead</w:t>
      </w:r>
      <w:proofErr w:type="spellEnd"/>
      <w:r w:rsidRPr="00843160">
        <w:rPr>
          <w:rFonts w:ascii="Arial" w:hAnsi="Arial" w:cs="Arial"/>
          <w:sz w:val="24"/>
          <w:szCs w:val="24"/>
        </w:rPr>
        <w:t xml:space="preserve"> (1989) suggest both a preventive and a treatment role for career counselling, and the adoption of behavioural health approaches. </w:t>
      </w:r>
      <w:proofErr w:type="spellStart"/>
      <w:r w:rsidRPr="00843160">
        <w:rPr>
          <w:rFonts w:ascii="Arial" w:hAnsi="Arial" w:cs="Arial"/>
          <w:sz w:val="24"/>
          <w:szCs w:val="24"/>
        </w:rPr>
        <w:t>Blustein</w:t>
      </w:r>
      <w:proofErr w:type="spellEnd"/>
      <w:r w:rsidRPr="00843160">
        <w:rPr>
          <w:rFonts w:ascii="Arial" w:hAnsi="Arial" w:cs="Arial"/>
          <w:sz w:val="24"/>
          <w:szCs w:val="24"/>
        </w:rPr>
        <w:t xml:space="preserve"> (2008) explicitly suggests there are public policy implications of accepting the centrality of work and career in psychological health.  He points to developments in occupational health psychology, vocational rehabilitation and positive psychology as having potential to inform the practice of career advisers and public policy.  His contribution is perhaps the most developed in the literature to date.  These ideas have not been taken up and developed by others, but there are early signs that this may be beginning to change. Whilst the funding of careers guidance is commonly justified in terms of its contribution to creating and maintaining an efficiently functioning economy, it could equally be argued that it is justifiable in terms of contributing to the health and well-being of the nation</w:t>
      </w:r>
      <w:r w:rsidR="00843160">
        <w:rPr>
          <w:rFonts w:ascii="Arial" w:hAnsi="Arial" w:cs="Arial"/>
          <w:sz w:val="24"/>
          <w:szCs w:val="24"/>
        </w:rPr>
        <w:t xml:space="preserve"> </w:t>
      </w:r>
      <w:r w:rsidRPr="00843160">
        <w:rPr>
          <w:rFonts w:ascii="Arial" w:hAnsi="Arial" w:cs="Arial"/>
          <w:sz w:val="24"/>
          <w:szCs w:val="24"/>
        </w:rPr>
        <w:t>(</w:t>
      </w:r>
      <w:proofErr w:type="spellStart"/>
      <w:r w:rsidRPr="00843160">
        <w:rPr>
          <w:rFonts w:ascii="Arial" w:hAnsi="Arial" w:cs="Arial"/>
          <w:sz w:val="24"/>
          <w:szCs w:val="24"/>
        </w:rPr>
        <w:t>Bimrose</w:t>
      </w:r>
      <w:proofErr w:type="spellEnd"/>
      <w:r w:rsidRPr="00843160">
        <w:rPr>
          <w:rFonts w:ascii="Arial" w:hAnsi="Arial" w:cs="Arial"/>
          <w:sz w:val="24"/>
          <w:szCs w:val="24"/>
        </w:rPr>
        <w:t>, 2009).</w:t>
      </w:r>
      <w:r w:rsidR="00843160">
        <w:rPr>
          <w:rFonts w:ascii="Arial" w:hAnsi="Arial" w:cs="Arial"/>
          <w:sz w:val="24"/>
          <w:szCs w:val="24"/>
        </w:rPr>
        <w:t xml:space="preserve"> </w:t>
      </w:r>
      <w:r w:rsidRPr="00843160">
        <w:rPr>
          <w:rFonts w:ascii="Arial" w:hAnsi="Arial" w:cs="Arial"/>
          <w:sz w:val="24"/>
          <w:szCs w:val="24"/>
        </w:rPr>
        <w:t xml:space="preserve">Policy goals need not be mutually exclusive.  Conceivably if there are health gains from guidance interventions these may result in indirect economic gains, such as reduced demand for health care services, a possibility hinted at by Gillie and Gillie </w:t>
      </w:r>
      <w:proofErr w:type="spellStart"/>
      <w:r w:rsidRPr="00843160">
        <w:rPr>
          <w:rFonts w:ascii="Arial" w:hAnsi="Arial" w:cs="Arial"/>
          <w:sz w:val="24"/>
          <w:szCs w:val="24"/>
        </w:rPr>
        <w:t>Isenhour</w:t>
      </w:r>
      <w:proofErr w:type="spellEnd"/>
      <w:r w:rsidRPr="00843160">
        <w:rPr>
          <w:rFonts w:ascii="Arial" w:hAnsi="Arial" w:cs="Arial"/>
          <w:sz w:val="24"/>
          <w:szCs w:val="24"/>
        </w:rPr>
        <w:t xml:space="preserve"> (2005) and </w:t>
      </w:r>
      <w:proofErr w:type="spellStart"/>
      <w:r w:rsidRPr="00843160">
        <w:rPr>
          <w:rFonts w:ascii="Arial" w:hAnsi="Arial" w:cs="Arial"/>
          <w:sz w:val="24"/>
          <w:szCs w:val="24"/>
        </w:rPr>
        <w:t>Mayston</w:t>
      </w:r>
      <w:proofErr w:type="spellEnd"/>
      <w:r w:rsidRPr="00843160">
        <w:rPr>
          <w:rFonts w:ascii="Arial" w:hAnsi="Arial" w:cs="Arial"/>
          <w:sz w:val="24"/>
          <w:szCs w:val="24"/>
        </w:rPr>
        <w:t xml:space="preserve"> (2002).  </w:t>
      </w:r>
      <w:proofErr w:type="gramStart"/>
      <w:r w:rsidRPr="00843160">
        <w:rPr>
          <w:rFonts w:ascii="Arial" w:hAnsi="Arial" w:cs="Arial"/>
          <w:sz w:val="24"/>
          <w:szCs w:val="24"/>
        </w:rPr>
        <w:t>Also</w:t>
      </w:r>
      <w:proofErr w:type="gramEnd"/>
      <w:r w:rsidRPr="00843160">
        <w:rPr>
          <w:rFonts w:ascii="Arial" w:hAnsi="Arial" w:cs="Arial"/>
          <w:sz w:val="24"/>
          <w:szCs w:val="24"/>
        </w:rPr>
        <w:t xml:space="preserve"> guidance has social equity goals, so ameliorating the detrimental health effects of inequality and exclusion may be an aspect of this role</w:t>
      </w:r>
      <w:r w:rsidR="00843160" w:rsidRPr="00843160">
        <w:rPr>
          <w:rFonts w:ascii="Arial" w:hAnsi="Arial" w:cs="Arial"/>
          <w:sz w:val="24"/>
          <w:szCs w:val="24"/>
        </w:rPr>
        <w:t>.</w:t>
      </w:r>
    </w:p>
    <w:p w14:paraId="1914A9F2" w14:textId="59C99D6F" w:rsidR="003503B5" w:rsidRPr="00E442BB" w:rsidRDefault="003503B5" w:rsidP="00F64CAA">
      <w:pPr>
        <w:jc w:val="both"/>
        <w:rPr>
          <w:rFonts w:ascii="Arial" w:hAnsi="Arial" w:cs="Arial"/>
          <w:i/>
          <w:iCs/>
          <w:sz w:val="24"/>
          <w:szCs w:val="24"/>
        </w:rPr>
      </w:pPr>
      <w:r w:rsidRPr="00E442BB">
        <w:rPr>
          <w:rFonts w:ascii="Arial" w:hAnsi="Arial" w:cs="Arial"/>
          <w:i/>
          <w:iCs/>
          <w:sz w:val="24"/>
          <w:szCs w:val="24"/>
        </w:rPr>
        <w:t>Robertson P.J. (2013). Career guidance and public mental health.  International Journal for Educational and Vocational Guidance, 13, 2, pp. 151-164. DOI: 10.1007/s10775-013-9246-y</w:t>
      </w:r>
    </w:p>
    <w:sectPr w:rsidR="003503B5" w:rsidRPr="00E442BB" w:rsidSect="0084316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CAA"/>
    <w:rsid w:val="00283753"/>
    <w:rsid w:val="003503B5"/>
    <w:rsid w:val="00843160"/>
    <w:rsid w:val="0087781C"/>
    <w:rsid w:val="00E442BB"/>
    <w:rsid w:val="00F64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C4046"/>
  <w15:chartTrackingRefBased/>
  <w15:docId w15:val="{D725D96D-52BD-41D7-BB7A-82C432E2B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64CA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221B3E108B0824F8685AF8123D900C4" ma:contentTypeVersion="10" ma:contentTypeDescription="Create a new document." ma:contentTypeScope="" ma:versionID="9617aeb4a0a6df22de2a83d7dc3bf25a">
  <xsd:schema xmlns:xsd="http://www.w3.org/2001/XMLSchema" xmlns:xs="http://www.w3.org/2001/XMLSchema" xmlns:p="http://schemas.microsoft.com/office/2006/metadata/properties" xmlns:ns3="ab76a8d6-25d9-40f3-8ad0-59ec791b683e" xmlns:ns4="24a6a856-ae96-4af8-bbdb-aa4e530abc89" targetNamespace="http://schemas.microsoft.com/office/2006/metadata/properties" ma:root="true" ma:fieldsID="a53b23756112b102ecd52f1c7ec7aa6e" ns3:_="" ns4:_="">
    <xsd:import namespace="ab76a8d6-25d9-40f3-8ad0-59ec791b683e"/>
    <xsd:import namespace="24a6a856-ae96-4af8-bbdb-aa4e530abc8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76a8d6-25d9-40f3-8ad0-59ec791b68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4a6a856-ae96-4af8-bbdb-aa4e530abc8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0CBE7E-A3B7-4F8E-8AAD-E23E41B65FF0}">
  <ds:schemaRefs>
    <ds:schemaRef ds:uri="http://schemas.microsoft.com/sharepoint/v3/contenttype/forms"/>
  </ds:schemaRefs>
</ds:datastoreItem>
</file>

<file path=customXml/itemProps2.xml><?xml version="1.0" encoding="utf-8"?>
<ds:datastoreItem xmlns:ds="http://schemas.openxmlformats.org/officeDocument/2006/customXml" ds:itemID="{050D1096-5472-4B28-AB3E-965C28E58D85}">
  <ds:schemaRefs>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 ds:uri="http://purl.org/dc/elements/1.1/"/>
    <ds:schemaRef ds:uri="http://schemas.microsoft.com/office/infopath/2007/PartnerControls"/>
    <ds:schemaRef ds:uri="24a6a856-ae96-4af8-bbdb-aa4e530abc89"/>
    <ds:schemaRef ds:uri="ab76a8d6-25d9-40f3-8ad0-59ec791b683e"/>
    <ds:schemaRef ds:uri="http://schemas.microsoft.com/office/2006/metadata/properties"/>
  </ds:schemaRefs>
</ds:datastoreItem>
</file>

<file path=customXml/itemProps3.xml><?xml version="1.0" encoding="utf-8"?>
<ds:datastoreItem xmlns:ds="http://schemas.openxmlformats.org/officeDocument/2006/customXml" ds:itemID="{51917F29-01C8-4428-B56A-B6394A1444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76a8d6-25d9-40f3-8ad0-59ec791b683e"/>
    <ds:schemaRef ds:uri="24a6a856-ae96-4af8-bbdb-aa4e530abc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645</Words>
  <Characters>3679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Crisford Chogugudza</dc:creator>
  <cp:keywords/>
  <dc:description/>
  <cp:lastModifiedBy>Mark Gallagher-Read</cp:lastModifiedBy>
  <cp:revision>2</cp:revision>
  <dcterms:created xsi:type="dcterms:W3CDTF">2021-05-11T09:34:00Z</dcterms:created>
  <dcterms:modified xsi:type="dcterms:W3CDTF">2021-05-11T09:34:00Z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0x0101007221B3E108B0824F8685AF8123D900C4</vt:lpwstr>
  </property>
</Properties>
</file>