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3961"/>
        <w:tblW w:w="9405" w:type="dxa"/>
        <w:tblLook w:val="04A0" w:firstRow="1" w:lastRow="0" w:firstColumn="1" w:lastColumn="0" w:noHBand="0" w:noVBand="1"/>
      </w:tblPr>
      <w:tblGrid>
        <w:gridCol w:w="2657"/>
        <w:gridCol w:w="6748"/>
      </w:tblGrid>
      <w:tr w:rsidR="00697B79" w:rsidRPr="00697B79" w14:paraId="2E9425E6" w14:textId="77777777" w:rsidTr="00697B79">
        <w:trPr>
          <w:trHeight w:val="1172"/>
        </w:trPr>
        <w:tc>
          <w:tcPr>
            <w:tcW w:w="2657" w:type="dxa"/>
          </w:tcPr>
          <w:p w14:paraId="461300BF" w14:textId="36B25470" w:rsidR="00697B79" w:rsidRPr="00697B79" w:rsidRDefault="00697B79" w:rsidP="00697B79">
            <w:pPr>
              <w:rPr>
                <w:bCs/>
                <w:sz w:val="32"/>
                <w:szCs w:val="32"/>
                <w:lang w:val="en-GB"/>
              </w:rPr>
            </w:pPr>
            <w:r>
              <w:rPr>
                <w:bCs/>
                <w:sz w:val="32"/>
                <w:szCs w:val="32"/>
                <w:lang w:val="en-GB"/>
              </w:rPr>
              <w:t>Student name:</w:t>
            </w:r>
          </w:p>
        </w:tc>
        <w:tc>
          <w:tcPr>
            <w:tcW w:w="6748" w:type="dxa"/>
          </w:tcPr>
          <w:p w14:paraId="62108390" w14:textId="4E83DC1A" w:rsidR="00697B79" w:rsidRPr="00697B79" w:rsidRDefault="00697B79" w:rsidP="00697B79">
            <w:pPr>
              <w:rPr>
                <w:bCs/>
                <w:sz w:val="32"/>
                <w:szCs w:val="32"/>
                <w:lang w:val="en-GB"/>
              </w:rPr>
            </w:pPr>
            <w:r>
              <w:rPr>
                <w:bCs/>
                <w:sz w:val="32"/>
                <w:szCs w:val="32"/>
                <w:lang w:val="en-GB"/>
              </w:rPr>
              <w:t>Khairuzzaman Rob</w:t>
            </w:r>
          </w:p>
        </w:tc>
      </w:tr>
      <w:tr w:rsidR="00697B79" w:rsidRPr="00697B79" w14:paraId="1781B5F9" w14:textId="77777777" w:rsidTr="00697B79">
        <w:trPr>
          <w:trHeight w:val="1172"/>
        </w:trPr>
        <w:tc>
          <w:tcPr>
            <w:tcW w:w="2657" w:type="dxa"/>
          </w:tcPr>
          <w:p w14:paraId="047EA254" w14:textId="77CAB5EE" w:rsidR="00697B79" w:rsidRPr="00697B79" w:rsidRDefault="00697B79" w:rsidP="00697B79">
            <w:pPr>
              <w:rPr>
                <w:bCs/>
                <w:sz w:val="32"/>
                <w:szCs w:val="32"/>
                <w:lang w:val="en-GB"/>
              </w:rPr>
            </w:pPr>
            <w:r>
              <w:rPr>
                <w:bCs/>
                <w:sz w:val="32"/>
                <w:szCs w:val="32"/>
                <w:lang w:val="en-GB"/>
              </w:rPr>
              <w:t>Programme:</w:t>
            </w:r>
          </w:p>
        </w:tc>
        <w:tc>
          <w:tcPr>
            <w:tcW w:w="6748" w:type="dxa"/>
          </w:tcPr>
          <w:p w14:paraId="092625B8" w14:textId="08D206DF" w:rsidR="00697B79" w:rsidRPr="00697B79" w:rsidRDefault="00B24EB3" w:rsidP="00697B79">
            <w:pPr>
              <w:rPr>
                <w:bCs/>
                <w:sz w:val="32"/>
                <w:szCs w:val="32"/>
                <w:lang w:val="en-GB"/>
              </w:rPr>
            </w:pPr>
            <w:r>
              <w:rPr>
                <w:bCs/>
                <w:sz w:val="32"/>
                <w:szCs w:val="32"/>
                <w:lang w:val="en-GB"/>
              </w:rPr>
              <w:t>Public services, policing, criminology, and law portfolio</w:t>
            </w:r>
          </w:p>
        </w:tc>
      </w:tr>
      <w:tr w:rsidR="00697B79" w:rsidRPr="00697B79" w14:paraId="58263C8D" w14:textId="77777777" w:rsidTr="00697B79">
        <w:trPr>
          <w:trHeight w:val="1149"/>
        </w:trPr>
        <w:tc>
          <w:tcPr>
            <w:tcW w:w="2657" w:type="dxa"/>
          </w:tcPr>
          <w:p w14:paraId="662ED8C9" w14:textId="71B36D3C" w:rsidR="00697B79" w:rsidRPr="00697B79" w:rsidRDefault="00697B79" w:rsidP="00697B79">
            <w:pPr>
              <w:rPr>
                <w:bCs/>
                <w:sz w:val="32"/>
                <w:szCs w:val="32"/>
                <w:lang w:val="en-GB"/>
              </w:rPr>
            </w:pPr>
            <w:r>
              <w:rPr>
                <w:bCs/>
                <w:sz w:val="32"/>
                <w:szCs w:val="32"/>
                <w:lang w:val="en-GB"/>
              </w:rPr>
              <w:t>Module:</w:t>
            </w:r>
          </w:p>
        </w:tc>
        <w:tc>
          <w:tcPr>
            <w:tcW w:w="6748" w:type="dxa"/>
          </w:tcPr>
          <w:p w14:paraId="2E3F943A" w14:textId="6D196E97" w:rsidR="00697B79" w:rsidRPr="00697B79" w:rsidRDefault="00697B79" w:rsidP="00697B79">
            <w:pPr>
              <w:rPr>
                <w:bCs/>
                <w:sz w:val="32"/>
                <w:szCs w:val="32"/>
                <w:lang w:val="en-GB"/>
              </w:rPr>
            </w:pPr>
            <w:r>
              <w:rPr>
                <w:bCs/>
                <w:sz w:val="32"/>
                <w:szCs w:val="32"/>
                <w:lang w:val="en-GB"/>
              </w:rPr>
              <w:t>Criminal l</w:t>
            </w:r>
            <w:r w:rsidR="00B24EB3">
              <w:rPr>
                <w:bCs/>
                <w:sz w:val="32"/>
                <w:szCs w:val="32"/>
                <w:lang w:val="en-GB"/>
              </w:rPr>
              <w:t>aw</w:t>
            </w:r>
          </w:p>
        </w:tc>
      </w:tr>
      <w:tr w:rsidR="00697B79" w:rsidRPr="00697B79" w14:paraId="4A950C79" w14:textId="77777777" w:rsidTr="00697B79">
        <w:trPr>
          <w:trHeight w:val="1172"/>
        </w:trPr>
        <w:tc>
          <w:tcPr>
            <w:tcW w:w="2657" w:type="dxa"/>
          </w:tcPr>
          <w:p w14:paraId="4DEDD200" w14:textId="1D30FF38" w:rsidR="00697B79" w:rsidRPr="00697B79" w:rsidRDefault="00697B79" w:rsidP="00697B79">
            <w:pPr>
              <w:rPr>
                <w:bCs/>
                <w:sz w:val="32"/>
                <w:szCs w:val="32"/>
                <w:lang w:val="en-GB"/>
              </w:rPr>
            </w:pPr>
            <w:r>
              <w:rPr>
                <w:bCs/>
                <w:sz w:val="32"/>
                <w:szCs w:val="32"/>
                <w:lang w:val="en-GB"/>
              </w:rPr>
              <w:t>Module code:</w:t>
            </w:r>
          </w:p>
        </w:tc>
        <w:tc>
          <w:tcPr>
            <w:tcW w:w="6748" w:type="dxa"/>
          </w:tcPr>
          <w:p w14:paraId="379E2F9B" w14:textId="4F09582A" w:rsidR="00697B79" w:rsidRPr="00697B79" w:rsidRDefault="00697B79" w:rsidP="00697B79">
            <w:pPr>
              <w:rPr>
                <w:bCs/>
                <w:sz w:val="32"/>
                <w:szCs w:val="32"/>
                <w:lang w:val="en-GB"/>
              </w:rPr>
            </w:pPr>
            <w:r>
              <w:rPr>
                <w:bCs/>
                <w:sz w:val="32"/>
                <w:szCs w:val="32"/>
                <w:lang w:val="en-GB"/>
              </w:rPr>
              <w:t>BMWL4</w:t>
            </w:r>
            <w:r w:rsidR="00B24EB3">
              <w:rPr>
                <w:bCs/>
                <w:sz w:val="32"/>
                <w:szCs w:val="32"/>
                <w:lang w:val="en-GB"/>
              </w:rPr>
              <w:t>002/BMPL4004</w:t>
            </w:r>
          </w:p>
        </w:tc>
      </w:tr>
      <w:tr w:rsidR="00697B79" w:rsidRPr="00697B79" w14:paraId="47DF2728" w14:textId="77777777" w:rsidTr="00697B79">
        <w:trPr>
          <w:trHeight w:val="1172"/>
        </w:trPr>
        <w:tc>
          <w:tcPr>
            <w:tcW w:w="2657" w:type="dxa"/>
          </w:tcPr>
          <w:p w14:paraId="530C5C84" w14:textId="3FCA41E2" w:rsidR="00697B79" w:rsidRPr="00697B79" w:rsidRDefault="00697B79" w:rsidP="00697B79">
            <w:pPr>
              <w:rPr>
                <w:bCs/>
                <w:sz w:val="32"/>
                <w:szCs w:val="32"/>
                <w:lang w:val="en-GB"/>
              </w:rPr>
            </w:pPr>
            <w:r>
              <w:rPr>
                <w:bCs/>
                <w:sz w:val="32"/>
                <w:szCs w:val="32"/>
                <w:lang w:val="en-GB"/>
              </w:rPr>
              <w:t>Lecturer:</w:t>
            </w:r>
          </w:p>
        </w:tc>
        <w:tc>
          <w:tcPr>
            <w:tcW w:w="6748" w:type="dxa"/>
          </w:tcPr>
          <w:p w14:paraId="1C4616A3" w14:textId="40E71C00" w:rsidR="00697B79" w:rsidRPr="00697B79" w:rsidRDefault="00B24EB3" w:rsidP="00697B79">
            <w:pPr>
              <w:rPr>
                <w:bCs/>
                <w:sz w:val="32"/>
                <w:szCs w:val="32"/>
                <w:lang w:val="en-GB"/>
              </w:rPr>
            </w:pPr>
            <w:r>
              <w:rPr>
                <w:bCs/>
                <w:sz w:val="32"/>
                <w:szCs w:val="32"/>
                <w:lang w:val="en-GB"/>
              </w:rPr>
              <w:t>Laura Knight</w:t>
            </w:r>
          </w:p>
        </w:tc>
      </w:tr>
      <w:tr w:rsidR="00697B79" w:rsidRPr="00697B79" w14:paraId="1A1583F9" w14:textId="77777777" w:rsidTr="00697B79">
        <w:trPr>
          <w:trHeight w:val="1172"/>
        </w:trPr>
        <w:tc>
          <w:tcPr>
            <w:tcW w:w="2657" w:type="dxa"/>
          </w:tcPr>
          <w:p w14:paraId="56EE0F5C" w14:textId="6CC32A95" w:rsidR="00697B79" w:rsidRPr="00697B79" w:rsidRDefault="00697B79" w:rsidP="00697B79">
            <w:pPr>
              <w:rPr>
                <w:bCs/>
                <w:sz w:val="32"/>
                <w:szCs w:val="32"/>
                <w:lang w:val="en-GB"/>
              </w:rPr>
            </w:pPr>
            <w:r>
              <w:rPr>
                <w:bCs/>
                <w:sz w:val="32"/>
                <w:szCs w:val="32"/>
                <w:lang w:val="en-GB"/>
              </w:rPr>
              <w:t>Assignment title:</w:t>
            </w:r>
          </w:p>
        </w:tc>
        <w:tc>
          <w:tcPr>
            <w:tcW w:w="6748" w:type="dxa"/>
          </w:tcPr>
          <w:p w14:paraId="05D0107F" w14:textId="23F62BC7" w:rsidR="00697B79" w:rsidRPr="00697B79" w:rsidRDefault="00B24EB3" w:rsidP="00697B79">
            <w:pPr>
              <w:rPr>
                <w:bCs/>
                <w:sz w:val="32"/>
                <w:szCs w:val="32"/>
                <w:lang w:val="en-GB"/>
              </w:rPr>
            </w:pPr>
            <w:r>
              <w:rPr>
                <w:bCs/>
                <w:sz w:val="32"/>
                <w:szCs w:val="32"/>
                <w:lang w:val="en-GB"/>
              </w:rPr>
              <w:t>Reform of non-fatal offences against the person</w:t>
            </w:r>
          </w:p>
        </w:tc>
      </w:tr>
      <w:tr w:rsidR="00697B79" w:rsidRPr="00697B79" w14:paraId="4BAAA8FC" w14:textId="77777777" w:rsidTr="00697B79">
        <w:trPr>
          <w:trHeight w:val="1149"/>
        </w:trPr>
        <w:tc>
          <w:tcPr>
            <w:tcW w:w="2657" w:type="dxa"/>
          </w:tcPr>
          <w:p w14:paraId="4674A4E6" w14:textId="2C3D7039" w:rsidR="00697B79" w:rsidRPr="00697B79" w:rsidRDefault="00697B79" w:rsidP="00697B79">
            <w:pPr>
              <w:rPr>
                <w:bCs/>
                <w:sz w:val="32"/>
                <w:szCs w:val="32"/>
                <w:lang w:val="en-GB"/>
              </w:rPr>
            </w:pPr>
            <w:r>
              <w:rPr>
                <w:bCs/>
                <w:sz w:val="32"/>
                <w:szCs w:val="32"/>
                <w:lang w:val="en-GB"/>
              </w:rPr>
              <w:t>Submission deadline:</w:t>
            </w:r>
          </w:p>
        </w:tc>
        <w:tc>
          <w:tcPr>
            <w:tcW w:w="6748" w:type="dxa"/>
          </w:tcPr>
          <w:p w14:paraId="03E6E34D" w14:textId="5038C57C" w:rsidR="00697B79" w:rsidRPr="00697B79" w:rsidRDefault="00697B79" w:rsidP="00697B79">
            <w:pPr>
              <w:rPr>
                <w:bCs/>
                <w:sz w:val="32"/>
                <w:szCs w:val="32"/>
                <w:lang w:val="en-GB"/>
              </w:rPr>
            </w:pPr>
            <w:r>
              <w:rPr>
                <w:bCs/>
                <w:sz w:val="32"/>
                <w:szCs w:val="32"/>
                <w:lang w:val="en-GB"/>
              </w:rPr>
              <w:t>5 march 2021</w:t>
            </w:r>
            <w:r w:rsidR="00B24EB3">
              <w:rPr>
                <w:bCs/>
                <w:sz w:val="32"/>
                <w:szCs w:val="32"/>
                <w:lang w:val="en-GB"/>
              </w:rPr>
              <w:t xml:space="preserve"> 23:59</w:t>
            </w:r>
          </w:p>
        </w:tc>
      </w:tr>
    </w:tbl>
    <w:p w14:paraId="0B9EEF26" w14:textId="4335227E" w:rsidR="00697B79" w:rsidRDefault="00697B79" w:rsidP="00697B79">
      <w:pPr>
        <w:rPr>
          <w:b/>
          <w:sz w:val="32"/>
          <w:szCs w:val="32"/>
          <w:lang w:val="en-GB"/>
        </w:rPr>
      </w:pPr>
      <w:r>
        <w:rPr>
          <w:b/>
          <w:noProof/>
          <w:sz w:val="32"/>
          <w:szCs w:val="32"/>
          <w:lang w:val="en-GB"/>
        </w:rPr>
        <w:drawing>
          <wp:anchor distT="0" distB="0" distL="114300" distR="114300" simplePos="0" relativeHeight="251660288" behindDoc="1" locked="0" layoutInCell="1" allowOverlap="1" wp14:anchorId="27D96610" wp14:editId="6A86A058">
            <wp:simplePos x="0" y="0"/>
            <wp:positionH relativeFrom="margin">
              <wp:posOffset>1838325</wp:posOffset>
            </wp:positionH>
            <wp:positionV relativeFrom="paragraph">
              <wp:posOffset>19050</wp:posOffset>
            </wp:positionV>
            <wp:extent cx="1590675" cy="685165"/>
            <wp:effectExtent l="0" t="0" r="9525" b="635"/>
            <wp:wrapTight wrapText="bothSides">
              <wp:wrapPolygon edited="0">
                <wp:start x="0" y="0"/>
                <wp:lineTo x="0" y="21019"/>
                <wp:lineTo x="21471" y="21019"/>
                <wp:lineTo x="214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0675" cy="685165"/>
                    </a:xfrm>
                    <a:prstGeom prst="rect">
                      <a:avLst/>
                    </a:prstGeom>
                    <a:noFill/>
                  </pic:spPr>
                </pic:pic>
              </a:graphicData>
            </a:graphic>
            <wp14:sizeRelH relativeFrom="page">
              <wp14:pctWidth>0</wp14:pctWidth>
            </wp14:sizeRelH>
            <wp14:sizeRelV relativeFrom="page">
              <wp14:pctHeight>0</wp14:pctHeight>
            </wp14:sizeRelV>
          </wp:anchor>
        </w:drawing>
      </w:r>
    </w:p>
    <w:p w14:paraId="29EFBE58" w14:textId="68792066" w:rsidR="00697B79" w:rsidRDefault="00697B79" w:rsidP="00697B79">
      <w:pPr>
        <w:rPr>
          <w:b/>
          <w:sz w:val="32"/>
          <w:szCs w:val="32"/>
          <w:lang w:val="en-GB"/>
        </w:rPr>
      </w:pPr>
      <w:r>
        <w:rPr>
          <w:b/>
          <w:noProof/>
          <w:sz w:val="32"/>
          <w:szCs w:val="32"/>
          <w:lang w:val="en-GB"/>
        </w:rPr>
        <mc:AlternateContent>
          <mc:Choice Requires="wps">
            <w:drawing>
              <wp:anchor distT="0" distB="0" distL="114300" distR="114300" simplePos="0" relativeHeight="251659264" behindDoc="0" locked="0" layoutInCell="1" allowOverlap="1" wp14:anchorId="6FBAD314" wp14:editId="09DCE716">
                <wp:simplePos x="0" y="0"/>
                <wp:positionH relativeFrom="margin">
                  <wp:align>left</wp:align>
                </wp:positionH>
                <wp:positionV relativeFrom="paragraph">
                  <wp:posOffset>370205</wp:posOffset>
                </wp:positionV>
                <wp:extent cx="5981700" cy="609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981700" cy="609600"/>
                        </a:xfrm>
                        <a:prstGeom prst="rect">
                          <a:avLst/>
                        </a:prstGeom>
                        <a:solidFill>
                          <a:schemeClr val="lt1"/>
                        </a:solidFill>
                        <a:ln w="6350">
                          <a:solidFill>
                            <a:prstClr val="black"/>
                          </a:solidFill>
                        </a:ln>
                      </wps:spPr>
                      <wps:txbx>
                        <w:txbxContent>
                          <w:p w14:paraId="66AA85E5" w14:textId="1D690F81" w:rsidR="00697B79" w:rsidRPr="00697B79" w:rsidRDefault="00697B79">
                            <w:pPr>
                              <w:rPr>
                                <w:sz w:val="48"/>
                                <w:szCs w:val="44"/>
                                <w:lang w:val="en-US"/>
                              </w:rPr>
                            </w:pPr>
                            <w:r w:rsidRPr="00697B79">
                              <w:rPr>
                                <w:sz w:val="48"/>
                                <w:szCs w:val="44"/>
                                <w:lang w:val="en-US"/>
                              </w:rPr>
                              <w:t>LEVEL 4 ASSESSMENT SPECIFICATION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FBAD314" id="_x0000_t202" coordsize="21600,21600" o:spt="202" path="m,l,21600r21600,l21600,xe">
                <v:stroke joinstyle="miter"/>
                <v:path gradientshapeok="t" o:connecttype="rect"/>
              </v:shapetype>
              <v:shape id="Text Box 1" o:spid="_x0000_s1026" type="#_x0000_t202" style="position:absolute;left:0;text-align:left;margin-left:0;margin-top:29.15pt;width:471pt;height:48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" fillcolor="white [3201]" strokeweight=".5pt">
                <v:textbox>
                  <w:txbxContent>
                    <w:p w14:paraId="66AA85E5" w14:textId="1D690F81" w:rsidR="00697B79" w:rsidRPr="00697B79" w:rsidRDefault="00697B79">
                      <w:pPr>
                        <w:rPr>
                          <w:sz w:val="48"/>
                          <w:szCs w:val="44"/>
                          <w:lang w:val="en-US"/>
                        </w:rPr>
                      </w:pPr>
                      <w:r w:rsidRPr="00697B79">
                        <w:rPr>
                          <w:sz w:val="48"/>
                          <w:szCs w:val="44"/>
                          <w:lang w:val="en-US"/>
                        </w:rPr>
                        <w:t>LEVEL 4 ASSESSMENT SPECIFICATION</w:t>
                      </w:r>
                    </w:p>
                  </w:txbxContent>
                </v:textbox>
                <w10:wrap anchorx="margin"/>
              </v:shape>
            </w:pict>
          </mc:Fallback>
        </mc:AlternateContent>
      </w:r>
    </w:p>
    <w:p w14:paraId="7A7D034A" w14:textId="28F42219" w:rsidR="00697B79" w:rsidRDefault="00697B79" w:rsidP="00697B79">
      <w:pPr>
        <w:rPr>
          <w:b/>
          <w:sz w:val="32"/>
          <w:szCs w:val="32"/>
          <w:lang w:val="en-GB"/>
        </w:rPr>
      </w:pPr>
    </w:p>
    <w:p w14:paraId="38CCE86F" w14:textId="27FDAB83" w:rsidR="00697B79" w:rsidRDefault="00697B79" w:rsidP="00697B79">
      <w:pPr>
        <w:rPr>
          <w:b/>
          <w:sz w:val="32"/>
          <w:szCs w:val="32"/>
          <w:lang w:val="en-GB"/>
        </w:rPr>
      </w:pPr>
    </w:p>
    <w:p w14:paraId="49A99B7A" w14:textId="0ABE7DD3" w:rsidR="00697B79" w:rsidRDefault="00697B79" w:rsidP="00697B79">
      <w:pPr>
        <w:rPr>
          <w:b/>
          <w:sz w:val="32"/>
          <w:szCs w:val="32"/>
          <w:lang w:val="en-GB"/>
        </w:rPr>
      </w:pPr>
    </w:p>
    <w:p w14:paraId="48EDCDB6" w14:textId="65F99296" w:rsidR="00697B79" w:rsidRDefault="00697B79" w:rsidP="00697B79">
      <w:pPr>
        <w:rPr>
          <w:b/>
          <w:sz w:val="32"/>
          <w:szCs w:val="32"/>
          <w:lang w:val="en-GB"/>
        </w:rPr>
      </w:pPr>
    </w:p>
    <w:p w14:paraId="32796BAB" w14:textId="77245D87" w:rsidR="00697B79" w:rsidRDefault="00697B79" w:rsidP="00697B79">
      <w:pPr>
        <w:rPr>
          <w:b/>
          <w:sz w:val="32"/>
          <w:szCs w:val="32"/>
          <w:lang w:val="en-GB"/>
        </w:rPr>
      </w:pPr>
    </w:p>
    <w:p w14:paraId="4924FF26" w14:textId="2B5D3F6E" w:rsidR="00697B79" w:rsidRDefault="00697B79" w:rsidP="00697B79">
      <w:pPr>
        <w:rPr>
          <w:b/>
          <w:sz w:val="32"/>
          <w:szCs w:val="32"/>
          <w:lang w:val="en-GB"/>
        </w:rPr>
      </w:pPr>
    </w:p>
    <w:p w14:paraId="335724A5" w14:textId="3125A4EF" w:rsidR="00697B79" w:rsidRDefault="00697B79" w:rsidP="00697B79">
      <w:pPr>
        <w:rPr>
          <w:b/>
          <w:sz w:val="32"/>
          <w:szCs w:val="32"/>
          <w:lang w:val="en-GB"/>
        </w:rPr>
      </w:pPr>
    </w:p>
    <w:p w14:paraId="0C353A3F" w14:textId="7108390F" w:rsidR="00697B79" w:rsidRDefault="00697B79" w:rsidP="00697B79">
      <w:pPr>
        <w:rPr>
          <w:b/>
          <w:sz w:val="32"/>
          <w:szCs w:val="32"/>
          <w:lang w:val="en-GB"/>
        </w:rPr>
      </w:pPr>
    </w:p>
    <w:p w14:paraId="6381DACD" w14:textId="07B3C91C" w:rsidR="00697B79" w:rsidRDefault="00697B79" w:rsidP="00697B79">
      <w:pPr>
        <w:rPr>
          <w:b/>
          <w:sz w:val="32"/>
          <w:szCs w:val="32"/>
          <w:lang w:val="en-GB"/>
        </w:rPr>
      </w:pPr>
    </w:p>
    <w:p w14:paraId="1736FA76" w14:textId="333338B1" w:rsidR="00697B79" w:rsidRDefault="00697B79" w:rsidP="00697B79">
      <w:pPr>
        <w:rPr>
          <w:b/>
          <w:sz w:val="32"/>
          <w:szCs w:val="32"/>
          <w:lang w:val="en-GB"/>
        </w:rPr>
      </w:pPr>
    </w:p>
    <w:p w14:paraId="4F129E24" w14:textId="18499BA1" w:rsidR="00697B79" w:rsidRDefault="00697B79" w:rsidP="00697B79">
      <w:pPr>
        <w:rPr>
          <w:b/>
          <w:sz w:val="32"/>
          <w:szCs w:val="32"/>
          <w:lang w:val="en-GB"/>
        </w:rPr>
      </w:pPr>
    </w:p>
    <w:p w14:paraId="5AE42D14" w14:textId="7EA23DF1" w:rsidR="00697B79" w:rsidRDefault="00697B79" w:rsidP="00697B79">
      <w:pPr>
        <w:rPr>
          <w:b/>
          <w:sz w:val="32"/>
          <w:szCs w:val="32"/>
          <w:lang w:val="en-GB"/>
        </w:rPr>
      </w:pPr>
    </w:p>
    <w:p w14:paraId="312F330C" w14:textId="7AC62DCB" w:rsidR="00697B79" w:rsidRDefault="00697B79" w:rsidP="00697B79">
      <w:pPr>
        <w:rPr>
          <w:b/>
          <w:sz w:val="32"/>
          <w:szCs w:val="32"/>
          <w:lang w:val="en-GB"/>
        </w:rPr>
      </w:pPr>
    </w:p>
    <w:p w14:paraId="1AD755D5" w14:textId="77777777" w:rsidR="00697B79" w:rsidRDefault="00697B79" w:rsidP="00697B79">
      <w:pPr>
        <w:spacing w:line="276" w:lineRule="auto"/>
        <w:rPr>
          <w:b/>
          <w:sz w:val="32"/>
          <w:szCs w:val="32"/>
          <w:lang w:val="en-GB"/>
        </w:rPr>
      </w:pPr>
    </w:p>
    <w:p w14:paraId="1C5C7DEF" w14:textId="76BF100A" w:rsidR="00697B79" w:rsidRPr="00963679" w:rsidRDefault="00697B79" w:rsidP="00697B79">
      <w:pPr>
        <w:spacing w:line="276" w:lineRule="auto"/>
        <w:rPr>
          <w:b/>
          <w:sz w:val="32"/>
          <w:szCs w:val="32"/>
          <w:lang w:val="en-GB"/>
        </w:rPr>
      </w:pPr>
      <w:r w:rsidRPr="00963679">
        <w:rPr>
          <w:b/>
          <w:sz w:val="32"/>
          <w:szCs w:val="32"/>
          <w:lang w:val="en-GB"/>
        </w:rPr>
        <w:t>ASSIGNMENT TITLE: REFORM OF NON-FATAL OFFENCES AGAINST THE PERSON</w:t>
      </w:r>
      <w:r w:rsidRPr="00963679">
        <w:rPr>
          <w:b/>
          <w:sz w:val="32"/>
          <w:szCs w:val="32"/>
          <w:lang w:val="en-GB"/>
        </w:rPr>
        <w:br w:type="page"/>
      </w:r>
    </w:p>
    <w:p w14:paraId="2357F8FE" w14:textId="77777777" w:rsidR="00697B79" w:rsidRPr="00963679" w:rsidRDefault="00697B79" w:rsidP="00697B79">
      <w:pPr>
        <w:spacing w:line="276" w:lineRule="auto"/>
        <w:jc w:val="left"/>
        <w:rPr>
          <w:b/>
          <w:sz w:val="32"/>
          <w:szCs w:val="32"/>
          <w:lang w:val="en-GB"/>
        </w:rPr>
      </w:pPr>
    </w:p>
    <w:sdt>
      <w:sdtPr>
        <w:rPr>
          <w:rFonts w:ascii="Times New Roman" w:eastAsiaTheme="minorHAnsi" w:hAnsi="Times New Roman" w:cstheme="minorBidi"/>
          <w:b w:val="0"/>
          <w:bCs w:val="0"/>
          <w:color w:val="auto"/>
          <w:sz w:val="24"/>
          <w:szCs w:val="22"/>
          <w:lang w:val="en-GB"/>
        </w:rPr>
        <w:id w:val="12981687"/>
        <w:docPartObj>
          <w:docPartGallery w:val="Table of Contents"/>
          <w:docPartUnique/>
        </w:docPartObj>
      </w:sdtPr>
      <w:sdtEndPr/>
      <w:sdtContent>
        <w:p w14:paraId="00F7E079" w14:textId="77777777" w:rsidR="00697B79" w:rsidRPr="00963679" w:rsidRDefault="00697B79" w:rsidP="00697B79">
          <w:pPr>
            <w:pStyle w:val="TOCHeading"/>
            <w:jc w:val="center"/>
            <w:rPr>
              <w:rFonts w:ascii="Times New Roman" w:hAnsi="Times New Roman" w:cs="Times New Roman"/>
              <w:color w:val="auto"/>
              <w:sz w:val="24"/>
              <w:szCs w:val="24"/>
              <w:lang w:val="en-GB"/>
            </w:rPr>
          </w:pPr>
          <w:r w:rsidRPr="00963679">
            <w:rPr>
              <w:rFonts w:ascii="Times New Roman" w:hAnsi="Times New Roman" w:cs="Times New Roman"/>
              <w:color w:val="auto"/>
              <w:sz w:val="24"/>
              <w:szCs w:val="24"/>
              <w:lang w:val="en-GB"/>
            </w:rPr>
            <w:t>Table of Contents</w:t>
          </w:r>
        </w:p>
        <w:p w14:paraId="406B3E46" w14:textId="77777777" w:rsidR="00697B79" w:rsidRDefault="00697B79" w:rsidP="00697B79">
          <w:pPr>
            <w:pStyle w:val="TOC1"/>
            <w:tabs>
              <w:tab w:val="right" w:leader="dot" w:pos="9016"/>
            </w:tabs>
            <w:rPr>
              <w:rFonts w:asciiTheme="minorHAnsi" w:eastAsiaTheme="minorEastAsia" w:hAnsiTheme="minorHAnsi"/>
              <w:noProof/>
              <w:szCs w:val="24"/>
              <w:lang w:val="en-GB" w:eastAsia="en-GB"/>
            </w:rPr>
          </w:pPr>
          <w:r w:rsidRPr="00963679">
            <w:rPr>
              <w:lang w:val="en-GB"/>
            </w:rPr>
            <w:fldChar w:fldCharType="begin"/>
          </w:r>
          <w:r w:rsidRPr="00963679">
            <w:rPr>
              <w:lang w:val="en-GB"/>
            </w:rPr>
            <w:instrText xml:space="preserve"> TOC \o "1-3" \h \z \u </w:instrText>
          </w:r>
          <w:r w:rsidRPr="00963679">
            <w:rPr>
              <w:lang w:val="en-GB"/>
            </w:rPr>
            <w:fldChar w:fldCharType="separate"/>
          </w:r>
          <w:hyperlink w:anchor="_Toc65703525" w:history="1">
            <w:r w:rsidRPr="007F6811">
              <w:rPr>
                <w:rStyle w:val="Hyperlink"/>
                <w:noProof/>
                <w:lang w:val="en-GB"/>
              </w:rPr>
              <w:t>Introduction</w:t>
            </w:r>
            <w:r>
              <w:rPr>
                <w:noProof/>
                <w:webHidden/>
              </w:rPr>
              <w:tab/>
            </w:r>
            <w:r>
              <w:rPr>
                <w:noProof/>
                <w:webHidden/>
              </w:rPr>
              <w:fldChar w:fldCharType="begin"/>
            </w:r>
            <w:r>
              <w:rPr>
                <w:noProof/>
                <w:webHidden/>
              </w:rPr>
              <w:instrText xml:space="preserve"> PAGEREF _Toc65703525 \h </w:instrText>
            </w:r>
            <w:r>
              <w:rPr>
                <w:noProof/>
                <w:webHidden/>
              </w:rPr>
            </w:r>
            <w:r>
              <w:rPr>
                <w:noProof/>
                <w:webHidden/>
              </w:rPr>
              <w:fldChar w:fldCharType="separate"/>
            </w:r>
            <w:r>
              <w:rPr>
                <w:noProof/>
                <w:webHidden/>
              </w:rPr>
              <w:t>3</w:t>
            </w:r>
            <w:r>
              <w:rPr>
                <w:noProof/>
                <w:webHidden/>
              </w:rPr>
              <w:fldChar w:fldCharType="end"/>
            </w:r>
          </w:hyperlink>
        </w:p>
        <w:p w14:paraId="6D40E5BC" w14:textId="77777777" w:rsidR="00697B79" w:rsidRDefault="0058656B" w:rsidP="00697B79">
          <w:pPr>
            <w:pStyle w:val="TOC1"/>
            <w:tabs>
              <w:tab w:val="right" w:leader="dot" w:pos="9016"/>
            </w:tabs>
            <w:rPr>
              <w:rFonts w:asciiTheme="minorHAnsi" w:eastAsiaTheme="minorEastAsia" w:hAnsiTheme="minorHAnsi"/>
              <w:noProof/>
              <w:szCs w:val="24"/>
              <w:lang w:val="en-GB" w:eastAsia="en-GB"/>
            </w:rPr>
          </w:pPr>
          <w:hyperlink w:anchor="_Toc65703526" w:history="1">
            <w:r w:rsidR="00697B79" w:rsidRPr="007F6811">
              <w:rPr>
                <w:rStyle w:val="Hyperlink"/>
                <w:noProof/>
                <w:lang w:val="en-GB"/>
              </w:rPr>
              <w:t>Discussion</w:t>
            </w:r>
            <w:r w:rsidR="00697B79">
              <w:rPr>
                <w:noProof/>
                <w:webHidden/>
              </w:rPr>
              <w:tab/>
            </w:r>
            <w:r w:rsidR="00697B79">
              <w:rPr>
                <w:noProof/>
                <w:webHidden/>
              </w:rPr>
              <w:fldChar w:fldCharType="begin"/>
            </w:r>
            <w:r w:rsidR="00697B79">
              <w:rPr>
                <w:noProof/>
                <w:webHidden/>
              </w:rPr>
              <w:instrText xml:space="preserve"> PAGEREF _Toc65703526 \h </w:instrText>
            </w:r>
            <w:r w:rsidR="00697B79">
              <w:rPr>
                <w:noProof/>
                <w:webHidden/>
              </w:rPr>
            </w:r>
            <w:r w:rsidR="00697B79">
              <w:rPr>
                <w:noProof/>
                <w:webHidden/>
              </w:rPr>
              <w:fldChar w:fldCharType="separate"/>
            </w:r>
            <w:r w:rsidR="00697B79">
              <w:rPr>
                <w:noProof/>
                <w:webHidden/>
              </w:rPr>
              <w:t>4</w:t>
            </w:r>
            <w:r w:rsidR="00697B79">
              <w:rPr>
                <w:noProof/>
                <w:webHidden/>
              </w:rPr>
              <w:fldChar w:fldCharType="end"/>
            </w:r>
          </w:hyperlink>
        </w:p>
        <w:p w14:paraId="6DBA4E96" w14:textId="77777777" w:rsidR="00697B79" w:rsidRDefault="0058656B" w:rsidP="00697B79">
          <w:pPr>
            <w:pStyle w:val="TOC1"/>
            <w:tabs>
              <w:tab w:val="right" w:leader="dot" w:pos="9016"/>
            </w:tabs>
            <w:rPr>
              <w:rFonts w:asciiTheme="minorHAnsi" w:eastAsiaTheme="minorEastAsia" w:hAnsiTheme="minorHAnsi"/>
              <w:noProof/>
              <w:szCs w:val="24"/>
              <w:lang w:val="en-GB" w:eastAsia="en-GB"/>
            </w:rPr>
          </w:pPr>
          <w:hyperlink w:anchor="_Toc65703527" w:history="1">
            <w:r w:rsidR="00697B79" w:rsidRPr="007F6811">
              <w:rPr>
                <w:rStyle w:val="Hyperlink"/>
                <w:noProof/>
                <w:lang w:val="en-GB"/>
              </w:rPr>
              <w:t>Conclusion</w:t>
            </w:r>
            <w:r w:rsidR="00697B79">
              <w:rPr>
                <w:noProof/>
                <w:webHidden/>
              </w:rPr>
              <w:tab/>
            </w:r>
            <w:r w:rsidR="00697B79">
              <w:rPr>
                <w:noProof/>
                <w:webHidden/>
              </w:rPr>
              <w:fldChar w:fldCharType="begin"/>
            </w:r>
            <w:r w:rsidR="00697B79">
              <w:rPr>
                <w:noProof/>
                <w:webHidden/>
              </w:rPr>
              <w:instrText xml:space="preserve"> PAGEREF _Toc65703527 \h </w:instrText>
            </w:r>
            <w:r w:rsidR="00697B79">
              <w:rPr>
                <w:noProof/>
                <w:webHidden/>
              </w:rPr>
            </w:r>
            <w:r w:rsidR="00697B79">
              <w:rPr>
                <w:noProof/>
                <w:webHidden/>
              </w:rPr>
              <w:fldChar w:fldCharType="separate"/>
            </w:r>
            <w:r w:rsidR="00697B79">
              <w:rPr>
                <w:noProof/>
                <w:webHidden/>
              </w:rPr>
              <w:t>7</w:t>
            </w:r>
            <w:r w:rsidR="00697B79">
              <w:rPr>
                <w:noProof/>
                <w:webHidden/>
              </w:rPr>
              <w:fldChar w:fldCharType="end"/>
            </w:r>
          </w:hyperlink>
        </w:p>
        <w:p w14:paraId="1F65C2E9" w14:textId="77777777" w:rsidR="00697B79" w:rsidRDefault="0058656B" w:rsidP="00697B79">
          <w:pPr>
            <w:pStyle w:val="TOC1"/>
            <w:tabs>
              <w:tab w:val="right" w:leader="dot" w:pos="9016"/>
            </w:tabs>
            <w:rPr>
              <w:rFonts w:asciiTheme="minorHAnsi" w:eastAsiaTheme="minorEastAsia" w:hAnsiTheme="minorHAnsi"/>
              <w:noProof/>
              <w:szCs w:val="24"/>
              <w:lang w:val="en-GB" w:eastAsia="en-GB"/>
            </w:rPr>
          </w:pPr>
          <w:hyperlink w:anchor="_Toc65703528" w:history="1">
            <w:r w:rsidR="00697B79" w:rsidRPr="007F6811">
              <w:rPr>
                <w:rStyle w:val="Hyperlink"/>
                <w:noProof/>
                <w:lang w:val="en-GB"/>
              </w:rPr>
              <w:t>Reference list</w:t>
            </w:r>
            <w:r w:rsidR="00697B79">
              <w:rPr>
                <w:noProof/>
                <w:webHidden/>
              </w:rPr>
              <w:tab/>
            </w:r>
            <w:r w:rsidR="00697B79">
              <w:rPr>
                <w:noProof/>
                <w:webHidden/>
              </w:rPr>
              <w:fldChar w:fldCharType="begin"/>
            </w:r>
            <w:r w:rsidR="00697B79">
              <w:rPr>
                <w:noProof/>
                <w:webHidden/>
              </w:rPr>
              <w:instrText xml:space="preserve"> PAGEREF _Toc65703528 \h </w:instrText>
            </w:r>
            <w:r w:rsidR="00697B79">
              <w:rPr>
                <w:noProof/>
                <w:webHidden/>
              </w:rPr>
            </w:r>
            <w:r w:rsidR="00697B79">
              <w:rPr>
                <w:noProof/>
                <w:webHidden/>
              </w:rPr>
              <w:fldChar w:fldCharType="separate"/>
            </w:r>
            <w:r w:rsidR="00697B79">
              <w:rPr>
                <w:noProof/>
                <w:webHidden/>
              </w:rPr>
              <w:t>8</w:t>
            </w:r>
            <w:r w:rsidR="00697B79">
              <w:rPr>
                <w:noProof/>
                <w:webHidden/>
              </w:rPr>
              <w:fldChar w:fldCharType="end"/>
            </w:r>
          </w:hyperlink>
        </w:p>
        <w:p w14:paraId="1DF32636" w14:textId="77777777" w:rsidR="00697B79" w:rsidRPr="00963679" w:rsidRDefault="00697B79" w:rsidP="00697B79">
          <w:pPr>
            <w:rPr>
              <w:lang w:val="en-GB"/>
            </w:rPr>
          </w:pPr>
          <w:r w:rsidRPr="00963679">
            <w:rPr>
              <w:lang w:val="en-GB"/>
            </w:rPr>
            <w:fldChar w:fldCharType="end"/>
          </w:r>
        </w:p>
      </w:sdtContent>
    </w:sdt>
    <w:p w14:paraId="140D96A0" w14:textId="77777777" w:rsidR="00697B79" w:rsidRPr="00963679" w:rsidRDefault="00697B79" w:rsidP="00697B79">
      <w:pPr>
        <w:spacing w:line="276" w:lineRule="auto"/>
        <w:jc w:val="left"/>
        <w:rPr>
          <w:b/>
          <w:sz w:val="32"/>
          <w:szCs w:val="32"/>
          <w:lang w:val="en-GB"/>
        </w:rPr>
      </w:pPr>
    </w:p>
    <w:p w14:paraId="685823A8" w14:textId="77777777" w:rsidR="00697B79" w:rsidRPr="00963679" w:rsidRDefault="00697B79" w:rsidP="00697B79">
      <w:pPr>
        <w:pStyle w:val="Heading1"/>
        <w:rPr>
          <w:lang w:val="en-GB"/>
        </w:rPr>
      </w:pPr>
    </w:p>
    <w:p w14:paraId="185CD254" w14:textId="77777777" w:rsidR="00697B79" w:rsidRPr="00963679" w:rsidRDefault="00697B79" w:rsidP="00697B79">
      <w:pPr>
        <w:spacing w:line="276" w:lineRule="auto"/>
        <w:jc w:val="left"/>
        <w:rPr>
          <w:rFonts w:cs="Times New Roman"/>
          <w:b/>
          <w:sz w:val="32"/>
          <w:szCs w:val="24"/>
          <w:lang w:val="en-GB"/>
        </w:rPr>
      </w:pPr>
      <w:r w:rsidRPr="00963679">
        <w:rPr>
          <w:lang w:val="en-GB"/>
        </w:rPr>
        <w:br w:type="page"/>
      </w:r>
    </w:p>
    <w:p w14:paraId="3BFDA261" w14:textId="77777777" w:rsidR="00697B79" w:rsidRPr="00361F97" w:rsidRDefault="00697B79" w:rsidP="00697B79">
      <w:pPr>
        <w:pStyle w:val="Heading1"/>
        <w:rPr>
          <w:sz w:val="24"/>
          <w:lang w:val="en-GB"/>
        </w:rPr>
      </w:pPr>
      <w:bookmarkStart w:id="0" w:name="_Toc65703525"/>
      <w:r w:rsidRPr="00361F97">
        <w:rPr>
          <w:sz w:val="24"/>
          <w:lang w:val="en-GB"/>
        </w:rPr>
        <w:lastRenderedPageBreak/>
        <w:t>Introduction</w:t>
      </w:r>
      <w:bookmarkEnd w:id="0"/>
    </w:p>
    <w:p w14:paraId="0C4B301E" w14:textId="77777777" w:rsidR="00697B79" w:rsidRPr="00361F97" w:rsidRDefault="00697B79" w:rsidP="00697B79">
      <w:pPr>
        <w:rPr>
          <w:rFonts w:cs="Times New Roman"/>
          <w:b/>
          <w:bCs/>
          <w:szCs w:val="24"/>
          <w:lang w:val="en-GB"/>
        </w:rPr>
      </w:pPr>
      <w:r w:rsidRPr="00361F97">
        <w:rPr>
          <w:rFonts w:cs="Times New Roman"/>
          <w:szCs w:val="24"/>
          <w:lang w:val="en-GB"/>
        </w:rPr>
        <w:t xml:space="preserve">The paper has shaded light on the non-fatal offences and its reformation. With the help of the given cases studies the evaluation is shown. The thorough study comprises of the act’s background, legislation, law amendment and reformation. The case studies are all individual cases that shows the importance to reform the non-fatal offences law, as it failed to provide justice to the victim many times. </w:t>
      </w:r>
    </w:p>
    <w:p w14:paraId="3B81B050" w14:textId="77777777" w:rsidR="00697B79" w:rsidRPr="00361F97" w:rsidRDefault="00697B79" w:rsidP="00697B79">
      <w:pPr>
        <w:rPr>
          <w:rFonts w:cs="Times New Roman"/>
          <w:szCs w:val="24"/>
          <w:lang w:val="en-GB"/>
        </w:rPr>
      </w:pPr>
      <w:r w:rsidRPr="00361F97">
        <w:rPr>
          <w:rFonts w:cs="Times New Roman"/>
          <w:szCs w:val="24"/>
          <w:lang w:val="en-GB"/>
        </w:rPr>
        <w:t>The study deals with the non-fatal act and person’s act 1861. There is a term in criminal law, ABH (Actual bodily harm) under section number 47. This law is related to bodily harm or physical assault. Non-fatal offence includes assault. Assault on the body, or bodily harm, administering issue and offence that are related with the body is regarded as the non-fatal act 1861. If anyone is assaulted or harmed for an unknown reason, then there is a chance of imprisonment (</w:t>
      </w:r>
      <w:proofErr w:type="spellStart"/>
      <w:r w:rsidRPr="00361F97">
        <w:rPr>
          <w:rFonts w:cs="Times New Roman"/>
          <w:szCs w:val="24"/>
          <w:shd w:val="clear" w:color="auto" w:fill="FFFFFF"/>
          <w:lang w:val="en-GB"/>
        </w:rPr>
        <w:t>Qomaruddin</w:t>
      </w:r>
      <w:proofErr w:type="spellEnd"/>
      <w:r w:rsidRPr="00361F97">
        <w:rPr>
          <w:rFonts w:cs="Times New Roman"/>
          <w:szCs w:val="24"/>
          <w:shd w:val="clear" w:color="auto" w:fill="FFFFFF"/>
          <w:lang w:val="en-GB"/>
        </w:rPr>
        <w:t xml:space="preserve"> </w:t>
      </w:r>
      <w:r w:rsidRPr="00361F97">
        <w:rPr>
          <w:rFonts w:cs="Times New Roman"/>
          <w:i/>
          <w:szCs w:val="24"/>
          <w:shd w:val="clear" w:color="auto" w:fill="FFFFFF"/>
          <w:lang w:val="en-GB"/>
        </w:rPr>
        <w:t>et al.</w:t>
      </w:r>
      <w:r w:rsidRPr="00361F97">
        <w:rPr>
          <w:rFonts w:cs="Times New Roman"/>
          <w:szCs w:val="24"/>
          <w:shd w:val="clear" w:color="auto" w:fill="FFFFFF"/>
          <w:lang w:val="en-GB"/>
        </w:rPr>
        <w:t xml:space="preserve"> 2020)</w:t>
      </w:r>
      <w:r w:rsidRPr="00361F97">
        <w:rPr>
          <w:rFonts w:cs="Times New Roman"/>
          <w:szCs w:val="24"/>
          <w:lang w:val="en-GB"/>
        </w:rPr>
        <w:t xml:space="preserve">. </w:t>
      </w:r>
    </w:p>
    <w:p w14:paraId="7955B67D" w14:textId="77777777" w:rsidR="00697B79" w:rsidRPr="00361F97" w:rsidRDefault="00697B79" w:rsidP="00697B79">
      <w:pPr>
        <w:rPr>
          <w:rFonts w:cs="Times New Roman"/>
          <w:szCs w:val="24"/>
          <w:lang w:val="en-GB"/>
        </w:rPr>
      </w:pPr>
      <w:r w:rsidRPr="00361F97">
        <w:rPr>
          <w:rFonts w:cs="Times New Roman"/>
          <w:szCs w:val="24"/>
          <w:lang w:val="en-GB"/>
        </w:rPr>
        <w:t xml:space="preserve">Serious crime that happens against the person is sometimes regarded as a name that cannot be described by incidents. The factual description about what has been done from the perspective of the defendant, is there for the purpose of capturing the moral essence of the criminal involved especially in case of rape, murder, </w:t>
      </w:r>
      <w:proofErr w:type="gramStart"/>
      <w:r w:rsidRPr="00361F97">
        <w:rPr>
          <w:rFonts w:cs="Times New Roman"/>
          <w:szCs w:val="24"/>
          <w:lang w:val="en-GB"/>
        </w:rPr>
        <w:t>torment</w:t>
      </w:r>
      <w:proofErr w:type="gramEnd"/>
      <w:r w:rsidRPr="00361F97">
        <w:rPr>
          <w:rFonts w:cs="Times New Roman"/>
          <w:szCs w:val="24"/>
          <w:lang w:val="en-GB"/>
        </w:rPr>
        <w:t xml:space="preserve"> and manslaughter. However, in most of these cases no justice was found for the victim. It has been seen that in many cases the defendant approaches as the criminal. Therefore, it needs to be changed. This paper has discussed the personal law act of 1861 and the offences that happened with the law (</w:t>
      </w:r>
      <w:proofErr w:type="spellStart"/>
      <w:r w:rsidRPr="00361F97">
        <w:rPr>
          <w:rFonts w:cs="Times New Roman"/>
          <w:szCs w:val="24"/>
          <w:shd w:val="clear" w:color="auto" w:fill="FFFFFF"/>
          <w:lang w:val="en-GB"/>
        </w:rPr>
        <w:t>Tatnell</w:t>
      </w:r>
      <w:proofErr w:type="spellEnd"/>
      <w:r w:rsidRPr="00361F97">
        <w:rPr>
          <w:rFonts w:cs="Times New Roman"/>
          <w:szCs w:val="24"/>
          <w:shd w:val="clear" w:color="auto" w:fill="FFFFFF"/>
          <w:lang w:val="en-GB"/>
        </w:rPr>
        <w:t xml:space="preserve"> </w:t>
      </w:r>
      <w:r w:rsidRPr="00361F97">
        <w:rPr>
          <w:rFonts w:cs="Times New Roman"/>
          <w:i/>
          <w:szCs w:val="24"/>
          <w:shd w:val="clear" w:color="auto" w:fill="FFFFFF"/>
          <w:lang w:val="en-GB"/>
        </w:rPr>
        <w:t>et al.</w:t>
      </w:r>
      <w:r w:rsidRPr="00361F97">
        <w:rPr>
          <w:rFonts w:cs="Times New Roman"/>
          <w:szCs w:val="24"/>
          <w:shd w:val="clear" w:color="auto" w:fill="FFFFFF"/>
          <w:lang w:val="en-GB"/>
        </w:rPr>
        <w:t xml:space="preserve"> 2017)</w:t>
      </w:r>
      <w:r w:rsidRPr="00361F97">
        <w:rPr>
          <w:rFonts w:cs="Times New Roman"/>
          <w:szCs w:val="24"/>
          <w:lang w:val="en-GB"/>
        </w:rPr>
        <w:t xml:space="preserve">. There are some cases studies that are related with the reformation of the law or the acts. </w:t>
      </w:r>
    </w:p>
    <w:p w14:paraId="6846D9E9" w14:textId="77777777" w:rsidR="00697B79" w:rsidRPr="00361F97" w:rsidRDefault="00697B79" w:rsidP="00697B79">
      <w:pPr>
        <w:jc w:val="left"/>
        <w:rPr>
          <w:rFonts w:cs="Times New Roman"/>
          <w:b/>
          <w:szCs w:val="24"/>
          <w:lang w:val="en-GB"/>
        </w:rPr>
      </w:pPr>
      <w:r w:rsidRPr="00361F97">
        <w:rPr>
          <w:rFonts w:cs="Times New Roman"/>
          <w:szCs w:val="24"/>
          <w:lang w:val="en-GB"/>
        </w:rPr>
        <w:br w:type="page"/>
      </w:r>
    </w:p>
    <w:p w14:paraId="0122AD45" w14:textId="77777777" w:rsidR="00697B79" w:rsidRPr="00361F97" w:rsidRDefault="00697B79" w:rsidP="00697B79">
      <w:pPr>
        <w:pStyle w:val="Heading1"/>
        <w:rPr>
          <w:sz w:val="24"/>
          <w:lang w:val="en-GB"/>
        </w:rPr>
      </w:pPr>
      <w:bookmarkStart w:id="1" w:name="_Toc65703526"/>
      <w:r w:rsidRPr="00361F97">
        <w:rPr>
          <w:sz w:val="24"/>
          <w:lang w:val="en-GB"/>
        </w:rPr>
        <w:lastRenderedPageBreak/>
        <w:t>Discussion</w:t>
      </w:r>
      <w:bookmarkEnd w:id="1"/>
    </w:p>
    <w:p w14:paraId="2A5DD994" w14:textId="77777777" w:rsidR="00697B79" w:rsidRPr="00361F97" w:rsidRDefault="00697B79" w:rsidP="00697B79">
      <w:pPr>
        <w:rPr>
          <w:rFonts w:cs="Times New Roman"/>
          <w:szCs w:val="24"/>
          <w:lang w:val="en-GB"/>
        </w:rPr>
      </w:pPr>
      <w:r w:rsidRPr="00361F97">
        <w:rPr>
          <w:rFonts w:cs="Times New Roman"/>
          <w:szCs w:val="24"/>
          <w:lang w:val="en-GB"/>
        </w:rPr>
        <w:t xml:space="preserve">Non-fatal offences against the person </w:t>
      </w:r>
      <w:proofErr w:type="gramStart"/>
      <w:r w:rsidRPr="00361F97">
        <w:rPr>
          <w:rFonts w:cs="Times New Roman"/>
          <w:szCs w:val="24"/>
          <w:lang w:val="en-GB"/>
        </w:rPr>
        <w:t>is</w:t>
      </w:r>
      <w:proofErr w:type="gramEnd"/>
      <w:r w:rsidRPr="00361F97">
        <w:rPr>
          <w:rFonts w:cs="Times New Roman"/>
          <w:szCs w:val="24"/>
          <w:lang w:val="en-GB"/>
        </w:rPr>
        <w:t xml:space="preserve"> the name of the act made in the year 1861. The bodily harm and the case of physical assault have been directed as being that if any person has been assaulted or harmed bodily, then it is a case of ABH, Act 1861, and section number 47. The structure of the law approaches as grievous bodily harm as entailed in the section number 18 and 20. The offence must conclude whether heavily body </w:t>
      </w:r>
      <w:proofErr w:type="gramStart"/>
      <w:r w:rsidRPr="00361F97">
        <w:rPr>
          <w:rFonts w:cs="Times New Roman"/>
          <w:szCs w:val="24"/>
          <w:lang w:val="en-GB"/>
        </w:rPr>
        <w:t>injure</w:t>
      </w:r>
      <w:proofErr w:type="gramEnd"/>
      <w:r w:rsidRPr="00361F97">
        <w:rPr>
          <w:rFonts w:cs="Times New Roman"/>
          <w:szCs w:val="24"/>
          <w:lang w:val="en-GB"/>
        </w:rPr>
        <w:t xml:space="preserve"> or harm has been committed. In UK section 18 and 20 the most serious form of harm which can be committed is considered (</w:t>
      </w:r>
      <w:r w:rsidRPr="00361F97">
        <w:rPr>
          <w:rFonts w:cs="Times New Roman"/>
          <w:szCs w:val="24"/>
          <w:shd w:val="clear" w:color="auto" w:fill="FFFFFF"/>
          <w:lang w:val="en-GB"/>
        </w:rPr>
        <w:t>Legislation.gov.uk. 2021)</w:t>
      </w:r>
      <w:r w:rsidRPr="00361F97">
        <w:rPr>
          <w:rFonts w:cs="Times New Roman"/>
          <w:szCs w:val="24"/>
          <w:lang w:val="en-GB"/>
        </w:rPr>
        <w:t xml:space="preserve">. </w:t>
      </w:r>
    </w:p>
    <w:p w14:paraId="6D70CE5E" w14:textId="77777777" w:rsidR="00697B79" w:rsidRPr="00361F97" w:rsidRDefault="00697B79" w:rsidP="00697B79">
      <w:pPr>
        <w:rPr>
          <w:rFonts w:cs="Times New Roman"/>
          <w:szCs w:val="24"/>
          <w:lang w:val="en-GB"/>
        </w:rPr>
      </w:pPr>
      <w:r w:rsidRPr="00361F97">
        <w:rPr>
          <w:rFonts w:cs="Times New Roman"/>
          <w:szCs w:val="24"/>
          <w:lang w:val="en-GB"/>
        </w:rPr>
        <w:t>There is one thing to consider and that is regarding the grievers hurt, and the non-grievers hurt (</w:t>
      </w:r>
      <w:r w:rsidRPr="00361F97">
        <w:rPr>
          <w:rFonts w:cs="Times New Roman"/>
          <w:szCs w:val="24"/>
          <w:shd w:val="clear" w:color="auto" w:fill="FFFFFF"/>
          <w:lang w:val="en-GB"/>
        </w:rPr>
        <w:t>Partridge and Affleck, 2017)</w:t>
      </w:r>
      <w:r w:rsidRPr="00361F97">
        <w:rPr>
          <w:rFonts w:cs="Times New Roman"/>
          <w:szCs w:val="24"/>
          <w:lang w:val="en-GB"/>
        </w:rPr>
        <w:t xml:space="preserve">. The griever hurt is related to the person who is the victim of hurt majorly that causes death, and then </w:t>
      </w:r>
      <w:proofErr w:type="gramStart"/>
      <w:r w:rsidRPr="00361F97">
        <w:rPr>
          <w:rFonts w:cs="Times New Roman"/>
          <w:szCs w:val="24"/>
          <w:lang w:val="en-GB"/>
        </w:rPr>
        <w:t>it’s</w:t>
      </w:r>
      <w:proofErr w:type="gramEnd"/>
      <w:r w:rsidRPr="00361F97">
        <w:rPr>
          <w:rFonts w:cs="Times New Roman"/>
          <w:szCs w:val="24"/>
          <w:lang w:val="en-GB"/>
        </w:rPr>
        <w:t xml:space="preserve"> a non-defendable case. In the case of the non-defendable case, the criminal may have to into imprisonment for the rest of their life. </w:t>
      </w:r>
    </w:p>
    <w:p w14:paraId="1BA9DC0E" w14:textId="77777777" w:rsidR="00697B79" w:rsidRPr="00361F97" w:rsidRDefault="00697B79" w:rsidP="00697B79">
      <w:pPr>
        <w:rPr>
          <w:rFonts w:cs="Times New Roman"/>
          <w:szCs w:val="24"/>
          <w:lang w:val="en-GB"/>
        </w:rPr>
      </w:pPr>
      <w:r w:rsidRPr="00361F97">
        <w:rPr>
          <w:rFonts w:cs="Times New Roman"/>
          <w:szCs w:val="24"/>
          <w:lang w:val="en-GB"/>
        </w:rPr>
        <w:t>However, the law has to be re-modified and amended in a new form, as it has several drawbacks. The law of ABH provides information on physical abuse cases, and the section number under the act is 47, 1861. The law has been made on the basis of physical abuse and assault. However, there are many violations of the law. If the criminal has given any silent torture to the defendant and cause the harm by mentally or physically assaulting the victim, they are not held accountable for this and neither is any proof held for this. For instance, if the criminal is the on-duty police officer and makes any mistake with the defendant for no reason, then the defendant has the right to protect him or herself. The act of self-defence is not counted as a violation of the law or doing anything wrong according to this law (</w:t>
      </w:r>
      <w:proofErr w:type="spellStart"/>
      <w:r w:rsidRPr="00361F97">
        <w:rPr>
          <w:rFonts w:cs="Times New Roman"/>
          <w:szCs w:val="24"/>
          <w:shd w:val="clear" w:color="auto" w:fill="FFFFFF"/>
          <w:lang w:val="en-GB"/>
        </w:rPr>
        <w:t>Bande</w:t>
      </w:r>
      <w:proofErr w:type="spellEnd"/>
      <w:r w:rsidRPr="00361F97">
        <w:rPr>
          <w:rFonts w:cs="Times New Roman"/>
          <w:szCs w:val="24"/>
          <w:shd w:val="clear" w:color="auto" w:fill="FFFFFF"/>
          <w:lang w:val="en-GB"/>
        </w:rPr>
        <w:t>, 2018)</w:t>
      </w:r>
      <w:r w:rsidRPr="00361F97">
        <w:rPr>
          <w:rFonts w:cs="Times New Roman"/>
          <w:szCs w:val="24"/>
          <w:lang w:val="en-GB"/>
        </w:rPr>
        <w:t xml:space="preserve">. For this reason, the law has to change and reform in a new shape so that society and the nation may get freedom and can access the right justice. The nation and society deserve a proper balance and the right act of justice. </w:t>
      </w:r>
    </w:p>
    <w:p w14:paraId="5E6BD688" w14:textId="77777777" w:rsidR="00697B79" w:rsidRPr="00361F97" w:rsidRDefault="00697B79" w:rsidP="00697B79">
      <w:pPr>
        <w:rPr>
          <w:rFonts w:cs="Times New Roman"/>
          <w:szCs w:val="24"/>
          <w:lang w:val="en-GB"/>
        </w:rPr>
      </w:pPr>
      <w:r w:rsidRPr="00361F97">
        <w:rPr>
          <w:rFonts w:cs="Times New Roman"/>
          <w:szCs w:val="24"/>
          <w:lang w:val="en-GB"/>
        </w:rPr>
        <w:t xml:space="preserve">As per the case of R v Thomas [1985] the defendant had touched the skirt of the </w:t>
      </w:r>
      <w:proofErr w:type="gramStart"/>
      <w:r w:rsidRPr="00361F97">
        <w:rPr>
          <w:rFonts w:cs="Times New Roman"/>
          <w:szCs w:val="24"/>
          <w:lang w:val="en-GB"/>
        </w:rPr>
        <w:t>victim,(</w:t>
      </w:r>
      <w:proofErr w:type="gramEnd"/>
      <w:r w:rsidRPr="00361F97">
        <w:rPr>
          <w:rFonts w:cs="Times New Roman"/>
          <w:szCs w:val="24"/>
          <w:shd w:val="clear" w:color="auto" w:fill="FFFFFF"/>
          <w:lang w:val="en-GB"/>
        </w:rPr>
        <w:t xml:space="preserve">Chai </w:t>
      </w:r>
      <w:r w:rsidRPr="00361F97">
        <w:rPr>
          <w:rFonts w:cs="Times New Roman"/>
          <w:i/>
          <w:szCs w:val="24"/>
          <w:shd w:val="clear" w:color="auto" w:fill="FFFFFF"/>
          <w:lang w:val="en-GB"/>
        </w:rPr>
        <w:t>et al.</w:t>
      </w:r>
      <w:r w:rsidRPr="00361F97">
        <w:rPr>
          <w:rFonts w:cs="Times New Roman"/>
          <w:szCs w:val="24"/>
          <w:shd w:val="clear" w:color="auto" w:fill="FFFFFF"/>
          <w:lang w:val="en-GB"/>
        </w:rPr>
        <w:t xml:space="preserve"> 2020)</w:t>
      </w:r>
      <w:r w:rsidRPr="00361F97">
        <w:rPr>
          <w:rFonts w:cs="Times New Roman"/>
          <w:szCs w:val="24"/>
          <w:lang w:val="en-GB"/>
        </w:rPr>
        <w:t xml:space="preserve">. In this case, the lady has used self-defence techniques and hit the criminal, and then this counted as a ABH case. However, the case is not punishable as long as it is related to self-defence. The hurt that happened was not intentional. It was an act of self-defence. It is not punishable. However, in the old law system or in the act, there was a chance of the imprisonment of the lady. This is how the law is not suitable and needs reformation. As per the cases it has been suggested that the law needs reformation, as it cannot give justice to the victim. The harm has to be heavy as per the law. Intentional harm is a crime, no matter if </w:t>
      </w:r>
      <w:r w:rsidRPr="00361F97">
        <w:rPr>
          <w:rFonts w:cs="Times New Roman"/>
          <w:szCs w:val="24"/>
          <w:lang w:val="en-GB"/>
        </w:rPr>
        <w:lastRenderedPageBreak/>
        <w:t xml:space="preserve">entailed to grievers or non-grievers. However, according to the act, </w:t>
      </w:r>
      <w:proofErr w:type="gramStart"/>
      <w:r w:rsidRPr="00361F97">
        <w:rPr>
          <w:rFonts w:cs="Times New Roman"/>
          <w:szCs w:val="24"/>
          <w:lang w:val="en-GB"/>
        </w:rPr>
        <w:t>criminal’s</w:t>
      </w:r>
      <w:proofErr w:type="gramEnd"/>
      <w:r w:rsidRPr="00361F97">
        <w:rPr>
          <w:rFonts w:cs="Times New Roman"/>
          <w:szCs w:val="24"/>
          <w:lang w:val="en-GB"/>
        </w:rPr>
        <w:t xml:space="preserve"> cannot be punished if it the victim is not heavily hurt. </w:t>
      </w:r>
    </w:p>
    <w:p w14:paraId="6A120A40" w14:textId="77777777" w:rsidR="00697B79" w:rsidRPr="00361F97" w:rsidRDefault="00697B79" w:rsidP="00697B79">
      <w:pPr>
        <w:rPr>
          <w:rFonts w:cs="Times New Roman"/>
          <w:szCs w:val="24"/>
          <w:lang w:val="en-GB"/>
        </w:rPr>
      </w:pPr>
      <w:r w:rsidRPr="00361F97">
        <w:rPr>
          <w:rFonts w:cs="Times New Roman"/>
          <w:szCs w:val="24"/>
          <w:lang w:val="en-GB"/>
        </w:rPr>
        <w:t>In the second case R v Chan-</w:t>
      </w:r>
      <w:proofErr w:type="spellStart"/>
      <w:r w:rsidRPr="00361F97">
        <w:rPr>
          <w:rFonts w:cs="Times New Roman"/>
          <w:szCs w:val="24"/>
          <w:lang w:val="en-GB"/>
        </w:rPr>
        <w:t>Fook</w:t>
      </w:r>
      <w:proofErr w:type="spellEnd"/>
      <w:r w:rsidRPr="00361F97">
        <w:rPr>
          <w:rFonts w:cs="Times New Roman"/>
          <w:szCs w:val="24"/>
          <w:lang w:val="en-GB"/>
        </w:rPr>
        <w:t xml:space="preserve"> [1994], the victim is Mr. Lodger of the theft, and the person loses the engagement ring. The applicant, after chasing the criminal seriously, was locked in the second-floor bedroom. The victim was trying to get out of the bedroom and had an injury seriously. It was a case of OPPA section 47. The assault was bodily harmed. Now, in this case, the victim is the criminal, as the victim was assaulted in the ABH case. However, the defendant had to chase the criminal to get back his ring, and for the own safety measures, the defendant had locked the criminal in the bedroom. As per the old section or act, the defendant made the hurt to the criminal, so he has to be in imprisoned depending on the pattern and the gravity of the hurt made. There are many cases where the rule is not applicable. Most of the cases of the old rule is still in the process of use and as such can harm the innocent and save the criminals. Therefore, it has to be changed in order to maintain equality and justice in society (</w:t>
      </w:r>
      <w:r w:rsidRPr="00361F97">
        <w:rPr>
          <w:rFonts w:cs="Times New Roman"/>
          <w:szCs w:val="24"/>
          <w:shd w:val="clear" w:color="auto" w:fill="FFFFFF"/>
          <w:lang w:val="en-GB"/>
        </w:rPr>
        <w:t>Gaffney-Rhys, 2017)</w:t>
      </w:r>
      <w:r w:rsidRPr="00361F97">
        <w:rPr>
          <w:rFonts w:cs="Times New Roman"/>
          <w:szCs w:val="24"/>
          <w:lang w:val="en-GB"/>
        </w:rPr>
        <w:t xml:space="preserve">. In this case the criminal cannot be punished as he was kept inside the door and did not harm anyone. However, the criminal tried to freak-out the defendant. Defendant may have died out of fear. </w:t>
      </w:r>
    </w:p>
    <w:p w14:paraId="51203A33" w14:textId="77777777" w:rsidR="00697B79" w:rsidRPr="00361F97" w:rsidRDefault="00697B79" w:rsidP="00697B79">
      <w:pPr>
        <w:rPr>
          <w:rFonts w:cs="Times New Roman"/>
          <w:szCs w:val="24"/>
          <w:lang w:val="en-GB"/>
        </w:rPr>
      </w:pPr>
      <w:r w:rsidRPr="00361F97">
        <w:rPr>
          <w:rFonts w:cs="Times New Roman"/>
          <w:szCs w:val="24"/>
          <w:lang w:val="en-GB"/>
        </w:rPr>
        <w:t xml:space="preserve">In the other case called Constanza [1997] is a case of ABH section 47. The case </w:t>
      </w:r>
      <w:proofErr w:type="gramStart"/>
      <w:r w:rsidRPr="00361F97">
        <w:rPr>
          <w:rFonts w:cs="Times New Roman"/>
          <w:szCs w:val="24"/>
          <w:lang w:val="en-GB"/>
        </w:rPr>
        <w:t>lead</w:t>
      </w:r>
      <w:proofErr w:type="gramEnd"/>
      <w:r w:rsidRPr="00361F97">
        <w:rPr>
          <w:rFonts w:cs="Times New Roman"/>
          <w:szCs w:val="24"/>
          <w:lang w:val="en-GB"/>
        </w:rPr>
        <w:t xml:space="preserve"> to the woman, who was working in a firm, and the victim had followed the lady on a regular basis while she was returning from the office. The criminal called randomly and wrote 800 offensive letters. Then one day, the defendant found that she is going through deep fear and anxiety. Then the defendant was diagnosed by the doctor. Though there is no case of self-harm or ABH, however, it is the case of getting deeply fearful. In this case, the defendant can get abused or can harm the criminal. The criminal gets the full privileges as she did not do any bodily harm to the lady. </w:t>
      </w:r>
    </w:p>
    <w:p w14:paraId="5C65A785" w14:textId="77777777" w:rsidR="00697B79" w:rsidRPr="00361F97" w:rsidRDefault="00697B79" w:rsidP="00697B79">
      <w:pPr>
        <w:rPr>
          <w:rFonts w:cs="Times New Roman"/>
          <w:szCs w:val="24"/>
          <w:lang w:val="en-GB"/>
        </w:rPr>
      </w:pPr>
      <w:r w:rsidRPr="00361F97">
        <w:rPr>
          <w:rFonts w:cs="Times New Roman"/>
          <w:szCs w:val="24"/>
          <w:lang w:val="en-GB"/>
        </w:rPr>
        <w:t>These are cases where the defendant gets imprisonment for the maximum time, as the defendant is the real victim. The defendant here in all three cases is truly victimized and got imprisonment for a long time (</w:t>
      </w:r>
      <w:proofErr w:type="spellStart"/>
      <w:r w:rsidRPr="00361F97">
        <w:rPr>
          <w:rFonts w:cs="Times New Roman"/>
          <w:szCs w:val="24"/>
          <w:shd w:val="clear" w:color="auto" w:fill="FFFFFF"/>
          <w:lang w:val="en-GB"/>
        </w:rPr>
        <w:t>Bande</w:t>
      </w:r>
      <w:proofErr w:type="spellEnd"/>
      <w:r w:rsidRPr="00361F97">
        <w:rPr>
          <w:rFonts w:cs="Times New Roman"/>
          <w:szCs w:val="24"/>
          <w:shd w:val="clear" w:color="auto" w:fill="FFFFFF"/>
          <w:lang w:val="en-GB"/>
        </w:rPr>
        <w:t>, 2018)</w:t>
      </w:r>
      <w:r w:rsidRPr="00361F97">
        <w:rPr>
          <w:rFonts w:cs="Times New Roman"/>
          <w:szCs w:val="24"/>
          <w:lang w:val="en-GB"/>
        </w:rPr>
        <w:t xml:space="preserve">. However, the real criminal or who made a mistake is worth of getting the imprisonment. In this section or act, the criminal is getting the freedom, as the defendant is related to the bodily harm rather than the criminal. The criminal, in this case, gets full freedom and gets no constraints. </w:t>
      </w:r>
      <w:r w:rsidRPr="00361F97">
        <w:rPr>
          <w:rFonts w:eastAsia="Times New Roman" w:cs="Times New Roman"/>
          <w:szCs w:val="24"/>
          <w:lang w:val="en-GB"/>
        </w:rPr>
        <w:br w:type="page"/>
      </w:r>
    </w:p>
    <w:p w14:paraId="42D86FDC"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lastRenderedPageBreak/>
        <w:t xml:space="preserve">In the case of Ireland v Burstow [1997] it had been seen to have a significant impact on the nature of the case. The case surrounded a couple where the victim had initially ended the relationship (E-lawresources.co.uk, 2021). It was later seen that after a long time the defendant started harassing her, made different threats and other types of phone calls were also made by the defendant. This way the victim was mentally disturbed and depressed. She was affected by psychiatric injury which was seen to sustain for a long time (E-lawresources.co.uk, 2021). It was also overviewed that the psychiatric illness was also a part of the public policy alongside the suffering of the interpretation as per the harassment that was created between the lovers. </w:t>
      </w:r>
    </w:p>
    <w:p w14:paraId="04481CE6"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5D894C17"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Law commission commented in its </w:t>
      </w:r>
      <w:proofErr w:type="gramStart"/>
      <w:r w:rsidRPr="00361F97">
        <w:rPr>
          <w:rFonts w:ascii="Times New Roman" w:eastAsia="Times New Roman" w:hAnsi="Times New Roman" w:cs="Times New Roman"/>
          <w:sz w:val="24"/>
          <w:szCs w:val="24"/>
          <w:lang w:val="en-GB"/>
        </w:rPr>
        <w:t>2015 year</w:t>
      </w:r>
      <w:proofErr w:type="gramEnd"/>
      <w:r w:rsidRPr="00361F97">
        <w:rPr>
          <w:rFonts w:ascii="Times New Roman" w:eastAsia="Times New Roman" w:hAnsi="Times New Roman" w:cs="Times New Roman"/>
          <w:sz w:val="24"/>
          <w:szCs w:val="24"/>
          <w:lang w:val="en-GB"/>
        </w:rPr>
        <w:t xml:space="preserve"> report of the UK that it is related to the rare offences and it is mainly pointing out the issues related to the narrow specialized and mentioned in the section act of 18. The rare offences that are seen are part of different examples. From this section it is mentioned that in order to mention the description of the offence in different situations has to be taken into consideration (E-lawresources.co.uk, 2021). The language is also being taken for granted for example the word “malicious” or “tormented” can be justified. </w:t>
      </w:r>
    </w:p>
    <w:p w14:paraId="7738F275"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5EBA661E"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roofErr w:type="gramStart"/>
      <w:r w:rsidRPr="00361F97">
        <w:rPr>
          <w:rFonts w:ascii="Times New Roman" w:eastAsia="Times New Roman" w:hAnsi="Times New Roman" w:cs="Times New Roman"/>
          <w:sz w:val="24"/>
          <w:szCs w:val="24"/>
          <w:lang w:val="en-GB"/>
        </w:rPr>
        <w:t>On appealing the court with this matter, it</w:t>
      </w:r>
      <w:proofErr w:type="gramEnd"/>
      <w:r w:rsidRPr="00361F97">
        <w:rPr>
          <w:rFonts w:ascii="Times New Roman" w:eastAsia="Times New Roman" w:hAnsi="Times New Roman" w:cs="Times New Roman"/>
          <w:sz w:val="24"/>
          <w:szCs w:val="24"/>
          <w:lang w:val="en-GB"/>
        </w:rPr>
        <w:t xml:space="preserve"> was observed that the court neglected to take any strict action and announced </w:t>
      </w:r>
      <w:r w:rsidRPr="00361F97">
        <w:rPr>
          <w:rFonts w:ascii="Times New Roman" w:eastAsia="Times New Roman" w:hAnsi="Times New Roman" w:cs="Times New Roman"/>
          <w:b/>
          <w:i/>
          <w:sz w:val="24"/>
          <w:szCs w:val="24"/>
          <w:lang w:val="en-GB"/>
        </w:rPr>
        <w:t>inter alia</w:t>
      </w:r>
      <w:r w:rsidRPr="00361F97">
        <w:rPr>
          <w:rFonts w:ascii="Times New Roman" w:eastAsia="Times New Roman" w:hAnsi="Times New Roman" w:cs="Times New Roman"/>
          <w:sz w:val="24"/>
          <w:szCs w:val="24"/>
          <w:lang w:val="en-GB"/>
        </w:rPr>
        <w:t xml:space="preserve"> as according to them there was no such physical assault done to the girl.  Hearing this the victim was agitated and applied for utilizing the Offence Against the person act law (1861) that was taken into consideration. The victim wanted the court to use this so that she is able to get justice, but the court rejected because as per this law it can only be used when there is any kind of physical harm. </w:t>
      </w:r>
    </w:p>
    <w:p w14:paraId="2FEC713B"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1CC0A03B" w14:textId="77777777" w:rsidR="00697B79" w:rsidRPr="00361F97" w:rsidRDefault="00697B79" w:rsidP="00697B79">
      <w:pPr>
        <w:pStyle w:val="Normal1"/>
        <w:spacing w:line="360" w:lineRule="auto"/>
        <w:jc w:val="both"/>
        <w:rPr>
          <w:rFonts w:ascii="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It can be so said that the Offence Against the person act law (1861) needs specific kind of up gradation as mental harassment and undergoing certain amount of depression is also a certain kind of physical torture. There is a lack of clarity in the different issues that the act should be utilized for as it is understood based upon the certain knowledge related to it. </w:t>
      </w:r>
      <w:r w:rsidRPr="00361F97">
        <w:rPr>
          <w:rFonts w:ascii="Times New Roman" w:hAnsi="Times New Roman" w:cs="Times New Roman"/>
          <w:sz w:val="24"/>
          <w:szCs w:val="24"/>
          <w:lang w:val="en-GB"/>
        </w:rPr>
        <w:t xml:space="preserve">In accordance </w:t>
      </w:r>
      <w:proofErr w:type="gramStart"/>
      <w:r w:rsidRPr="00361F97">
        <w:rPr>
          <w:rFonts w:ascii="Times New Roman" w:hAnsi="Times New Roman" w:cs="Times New Roman"/>
          <w:sz w:val="24"/>
          <w:szCs w:val="24"/>
          <w:lang w:val="en-GB"/>
        </w:rPr>
        <w:t>to</w:t>
      </w:r>
      <w:proofErr w:type="gramEnd"/>
      <w:r w:rsidRPr="00361F97">
        <w:rPr>
          <w:rFonts w:ascii="Times New Roman" w:hAnsi="Times New Roman" w:cs="Times New Roman"/>
          <w:sz w:val="24"/>
          <w:szCs w:val="24"/>
          <w:lang w:val="en-GB"/>
        </w:rPr>
        <w:t xml:space="preserve"> this particular case it can be said that it needs a proper development because there was mental harassment and this is also a way of effecting the physical nature of the victim.</w:t>
      </w:r>
    </w:p>
    <w:p w14:paraId="24CFA8F7"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4D91C1AE"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In the case of </w:t>
      </w:r>
      <w:r w:rsidRPr="00361F97">
        <w:rPr>
          <w:rFonts w:ascii="Times New Roman" w:eastAsia="Times New Roman" w:hAnsi="Times New Roman" w:cs="Times New Roman"/>
          <w:bCs/>
          <w:iCs/>
          <w:sz w:val="24"/>
          <w:szCs w:val="24"/>
          <w:lang w:val="en-GB"/>
        </w:rPr>
        <w:t xml:space="preserve">R v </w:t>
      </w:r>
      <w:proofErr w:type="spellStart"/>
      <w:r w:rsidRPr="00361F97">
        <w:rPr>
          <w:rFonts w:ascii="Times New Roman" w:eastAsia="Times New Roman" w:hAnsi="Times New Roman" w:cs="Times New Roman"/>
          <w:bCs/>
          <w:iCs/>
          <w:sz w:val="24"/>
          <w:szCs w:val="24"/>
          <w:lang w:val="en-GB"/>
        </w:rPr>
        <w:t>Saunders</w:t>
      </w:r>
      <w:r w:rsidRPr="00361F97">
        <w:rPr>
          <w:rFonts w:ascii="Times New Roman" w:eastAsia="Times New Roman" w:hAnsi="Times New Roman" w:cs="Times New Roman"/>
          <w:sz w:val="24"/>
          <w:szCs w:val="24"/>
          <w:lang w:val="en-GB"/>
        </w:rPr>
        <w:t>the</w:t>
      </w:r>
      <w:proofErr w:type="spellEnd"/>
      <w:r w:rsidRPr="00361F97">
        <w:rPr>
          <w:rFonts w:ascii="Times New Roman" w:eastAsia="Times New Roman" w:hAnsi="Times New Roman" w:cs="Times New Roman"/>
          <w:sz w:val="24"/>
          <w:szCs w:val="24"/>
          <w:lang w:val="en-GB"/>
        </w:rPr>
        <w:t xml:space="preserve">, the Offence Against the person act law (1861) was also utilized in a specific way because the case was related to the malice practise of the doctrine. It was noticed that the defendant had forced his wife to eat an apple where he had added arsenic, a poisonous medicine so that he would be able to marry someone else. The defendant instead of </w:t>
      </w:r>
      <w:r w:rsidRPr="00361F97">
        <w:rPr>
          <w:rFonts w:ascii="Times New Roman" w:eastAsia="Times New Roman" w:hAnsi="Times New Roman" w:cs="Times New Roman"/>
          <w:sz w:val="24"/>
          <w:szCs w:val="24"/>
          <w:lang w:val="en-GB"/>
        </w:rPr>
        <w:lastRenderedPageBreak/>
        <w:t>consuming the apple gave it to their daughter and later she died. The defendant took up this matter to the court on the charge of her daughter’s murder (</w:t>
      </w:r>
      <w:r w:rsidRPr="00361F97">
        <w:rPr>
          <w:rFonts w:ascii="Times New Roman" w:hAnsi="Times New Roman" w:cs="Times New Roman"/>
          <w:sz w:val="24"/>
          <w:szCs w:val="24"/>
          <w:lang w:val="en-GB"/>
        </w:rPr>
        <w:t>Webstroke.co.uk, 2021</w:t>
      </w:r>
      <w:r w:rsidRPr="00361F97">
        <w:rPr>
          <w:rFonts w:ascii="Times New Roman" w:eastAsia="Times New Roman" w:hAnsi="Times New Roman" w:cs="Times New Roman"/>
          <w:sz w:val="24"/>
          <w:szCs w:val="24"/>
          <w:lang w:val="en-GB"/>
        </w:rPr>
        <w:t xml:space="preserve">). </w:t>
      </w:r>
    </w:p>
    <w:p w14:paraId="6BC001A8"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400C74E1"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On taking the case up to the court it was observed that the court denied any kind of legal action because there was seen that there was no such occasion of the bodily harm (Chisholm, 2021). </w:t>
      </w:r>
    </w:p>
    <w:p w14:paraId="38ECB67A"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It was seen that there was no such usage of the Offence Against the person act law (1861) because there was no such unlawful violence (</w:t>
      </w:r>
      <w:r w:rsidRPr="00361F97">
        <w:rPr>
          <w:rFonts w:ascii="Times New Roman" w:hAnsi="Times New Roman" w:cs="Times New Roman"/>
          <w:sz w:val="24"/>
          <w:szCs w:val="24"/>
          <w:lang w:val="en-GB"/>
        </w:rPr>
        <w:t>Webstroke.co.uk, 2021</w:t>
      </w:r>
      <w:r w:rsidRPr="00361F97">
        <w:rPr>
          <w:rFonts w:ascii="Times New Roman" w:eastAsia="Times New Roman" w:hAnsi="Times New Roman" w:cs="Times New Roman"/>
          <w:sz w:val="24"/>
          <w:szCs w:val="24"/>
          <w:lang w:val="en-GB"/>
        </w:rPr>
        <w:t xml:space="preserve">). There court stipulated the case and as part of the act since there was no such physical assault it was noted that they were not able to take any kind of actions. The victim wanted justice and appealed for the Offence Against the person act law (1861) to be utilized. It was not utilized since as per the views of the law until and unless there is any physical harm no such actions can be applied (Chisholm, 2021). </w:t>
      </w:r>
    </w:p>
    <w:p w14:paraId="6C213EE2"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527658C4"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In order to complete this element, it was necessary to upgrade the Offence Against the person act law (1861) because if a person is under mental depression or is having threat of life then they are also physically assaulted (e-lawresources.co.uk, 2021). It should also include the occasional threats and the other probabilities that are caused by the case. From the case of </w:t>
      </w:r>
      <w:r w:rsidRPr="00361F97">
        <w:rPr>
          <w:rFonts w:ascii="Times New Roman" w:eastAsia="Times New Roman" w:hAnsi="Times New Roman" w:cs="Times New Roman"/>
          <w:bCs/>
          <w:iCs/>
          <w:sz w:val="24"/>
          <w:szCs w:val="24"/>
          <w:lang w:val="en-GB"/>
        </w:rPr>
        <w:t xml:space="preserve">R v </w:t>
      </w:r>
      <w:proofErr w:type="spellStart"/>
      <w:r w:rsidRPr="00361F97">
        <w:rPr>
          <w:rFonts w:ascii="Times New Roman" w:eastAsia="Times New Roman" w:hAnsi="Times New Roman" w:cs="Times New Roman"/>
          <w:bCs/>
          <w:iCs/>
          <w:sz w:val="24"/>
          <w:szCs w:val="24"/>
          <w:lang w:val="en-GB"/>
        </w:rPr>
        <w:t>Saunders</w:t>
      </w:r>
      <w:r w:rsidRPr="00361F97">
        <w:rPr>
          <w:rFonts w:ascii="Times New Roman" w:eastAsia="Times New Roman" w:hAnsi="Times New Roman" w:cs="Times New Roman"/>
          <w:sz w:val="24"/>
          <w:szCs w:val="24"/>
          <w:lang w:val="en-GB"/>
        </w:rPr>
        <w:t>it</w:t>
      </w:r>
      <w:proofErr w:type="spellEnd"/>
      <w:r w:rsidRPr="00361F97">
        <w:rPr>
          <w:rFonts w:ascii="Times New Roman" w:eastAsia="Times New Roman" w:hAnsi="Times New Roman" w:cs="Times New Roman"/>
          <w:sz w:val="24"/>
          <w:szCs w:val="24"/>
          <w:lang w:val="en-GB"/>
        </w:rPr>
        <w:t xml:space="preserve"> is so seen that there were no such legal actions that were taken by the court which was a much-needed step that was neglected by the court. This way it can be proved that the law Offence Against the person act law (1861) needs proper reformation and different updating because poisoning someone is also physical harm as this had caused death. </w:t>
      </w:r>
    </w:p>
    <w:p w14:paraId="21382A00"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p>
    <w:p w14:paraId="02B010D4" w14:textId="77777777" w:rsidR="00697B79" w:rsidRPr="00361F97" w:rsidRDefault="00697B79" w:rsidP="00697B79">
      <w:pPr>
        <w:pStyle w:val="Heading1"/>
        <w:rPr>
          <w:sz w:val="24"/>
          <w:lang w:val="en-GB"/>
        </w:rPr>
      </w:pPr>
      <w:bookmarkStart w:id="2" w:name="_Toc65703527"/>
      <w:r w:rsidRPr="00361F97">
        <w:rPr>
          <w:sz w:val="24"/>
          <w:lang w:val="en-GB"/>
        </w:rPr>
        <w:t>Conclusion</w:t>
      </w:r>
      <w:bookmarkEnd w:id="2"/>
    </w:p>
    <w:p w14:paraId="37824BCA"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The following cases mainly surround the victim being mental depressed as a matter of which they had appealed to utilise the Offence Against the person act law (1861). The different recommendations that are utilised are beneficial for the development of the Offence Against the person act law (1861) because it will abide by the requirements such as the safety of the victims and also value the cases and the issues behind the cases. The above study mainly discusses the importance of this law and the ways that it can be upgraded in the present situation to safeguard the acts related to mental depression. Proper measures are to be developed or else there can be major issues in future.</w:t>
      </w:r>
    </w:p>
    <w:p w14:paraId="1CA255C2"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hAnsi="Times New Roman" w:cs="Times New Roman"/>
          <w:sz w:val="24"/>
          <w:szCs w:val="24"/>
          <w:lang w:val="en-GB"/>
        </w:rPr>
        <w:br w:type="page"/>
      </w:r>
    </w:p>
    <w:p w14:paraId="1AC0C800" w14:textId="77777777" w:rsidR="00697B79" w:rsidRPr="00361F97" w:rsidRDefault="00697B79" w:rsidP="00697B79">
      <w:pPr>
        <w:pStyle w:val="Heading1"/>
        <w:rPr>
          <w:sz w:val="24"/>
          <w:lang w:val="en-GB"/>
        </w:rPr>
      </w:pPr>
      <w:bookmarkStart w:id="3" w:name="_Toc65703528"/>
      <w:r w:rsidRPr="00361F97">
        <w:rPr>
          <w:sz w:val="24"/>
          <w:lang w:val="en-GB"/>
        </w:rPr>
        <w:lastRenderedPageBreak/>
        <w:t>Reference list</w:t>
      </w:r>
      <w:bookmarkEnd w:id="3"/>
    </w:p>
    <w:p w14:paraId="70C55747" w14:textId="77777777" w:rsidR="00697B79" w:rsidRPr="00361F97" w:rsidRDefault="00697B79" w:rsidP="00697B79">
      <w:pPr>
        <w:rPr>
          <w:rFonts w:cs="Times New Roman"/>
          <w:szCs w:val="24"/>
          <w:lang w:val="en-GB"/>
        </w:rPr>
      </w:pPr>
      <w:proofErr w:type="spellStart"/>
      <w:r w:rsidRPr="00361F97">
        <w:rPr>
          <w:rFonts w:cs="Times New Roman"/>
          <w:szCs w:val="24"/>
          <w:shd w:val="clear" w:color="auto" w:fill="FFFFFF"/>
          <w:lang w:val="en-GB"/>
        </w:rPr>
        <w:t>Bande</w:t>
      </w:r>
      <w:proofErr w:type="spellEnd"/>
      <w:r w:rsidRPr="00361F97">
        <w:rPr>
          <w:rFonts w:cs="Times New Roman"/>
          <w:szCs w:val="24"/>
          <w:shd w:val="clear" w:color="auto" w:fill="FFFFFF"/>
          <w:lang w:val="en-GB"/>
        </w:rPr>
        <w:t>, L.C., 2018. Legislating against Cyber Crime in Southern African Development Community: Balancing International Standards with Country-Specific Specificities. </w:t>
      </w:r>
      <w:r w:rsidRPr="00361F97">
        <w:rPr>
          <w:rFonts w:cs="Times New Roman"/>
          <w:i/>
          <w:iCs/>
          <w:szCs w:val="24"/>
          <w:shd w:val="clear" w:color="auto" w:fill="FFFFFF"/>
          <w:lang w:val="en-GB"/>
        </w:rPr>
        <w:t>International Journal of Cyber Criminology</w:t>
      </w:r>
      <w:r w:rsidRPr="00361F97">
        <w:rPr>
          <w:rFonts w:cs="Times New Roman"/>
          <w:szCs w:val="24"/>
          <w:shd w:val="clear" w:color="auto" w:fill="FFFFFF"/>
          <w:lang w:val="en-GB"/>
        </w:rPr>
        <w:t>.</w:t>
      </w:r>
    </w:p>
    <w:p w14:paraId="5DB2303C" w14:textId="77777777" w:rsidR="00697B79" w:rsidRPr="00361F97" w:rsidRDefault="00697B79" w:rsidP="00697B79">
      <w:pPr>
        <w:rPr>
          <w:rFonts w:cs="Times New Roman"/>
          <w:szCs w:val="24"/>
          <w:lang w:val="en-GB"/>
        </w:rPr>
      </w:pPr>
      <w:r w:rsidRPr="00361F97">
        <w:rPr>
          <w:rFonts w:cs="Times New Roman"/>
          <w:szCs w:val="24"/>
          <w:shd w:val="clear" w:color="auto" w:fill="FFFFFF"/>
          <w:lang w:val="en-GB"/>
        </w:rPr>
        <w:t xml:space="preserve">Chai, H.H., Kim, Y.R., Ham, J.S., Kim, T.H. and Lim, D., 2020. Identifying ligand-binding specificity of the oligopeptide receptor </w:t>
      </w:r>
      <w:proofErr w:type="spellStart"/>
      <w:r w:rsidRPr="00361F97">
        <w:rPr>
          <w:rFonts w:cs="Times New Roman"/>
          <w:szCs w:val="24"/>
          <w:shd w:val="clear" w:color="auto" w:fill="FFFFFF"/>
          <w:lang w:val="en-GB"/>
        </w:rPr>
        <w:t>OppA</w:t>
      </w:r>
      <w:proofErr w:type="spellEnd"/>
      <w:r w:rsidRPr="00361F97">
        <w:rPr>
          <w:rFonts w:cs="Times New Roman"/>
          <w:szCs w:val="24"/>
          <w:shd w:val="clear" w:color="auto" w:fill="FFFFFF"/>
          <w:lang w:val="en-GB"/>
        </w:rPr>
        <w:t xml:space="preserve"> from Bifidobacterium longum KACC91563 by Structure-based molecular </w:t>
      </w:r>
      <w:proofErr w:type="spellStart"/>
      <w:r w:rsidRPr="00361F97">
        <w:rPr>
          <w:rFonts w:cs="Times New Roman"/>
          <w:szCs w:val="24"/>
          <w:shd w:val="clear" w:color="auto" w:fill="FFFFFF"/>
          <w:lang w:val="en-GB"/>
        </w:rPr>
        <w:t>modeling</w:t>
      </w:r>
      <w:proofErr w:type="spellEnd"/>
      <w:r w:rsidRPr="00361F97">
        <w:rPr>
          <w:rFonts w:cs="Times New Roman"/>
          <w:szCs w:val="24"/>
          <w:shd w:val="clear" w:color="auto" w:fill="FFFFFF"/>
          <w:lang w:val="en-GB"/>
        </w:rPr>
        <w:t>.</w:t>
      </w:r>
    </w:p>
    <w:p w14:paraId="17F147F0"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Chisholm, N., 2021. English Law of the Offences Against the Person Act 1861: Outline and Case Summaries. </w:t>
      </w:r>
      <w:r w:rsidRPr="00361F97">
        <w:rPr>
          <w:rFonts w:ascii="Times New Roman" w:eastAsia="Times New Roman" w:hAnsi="Times New Roman" w:cs="Times New Roman"/>
          <w:i/>
          <w:sz w:val="24"/>
          <w:szCs w:val="24"/>
          <w:lang w:val="en-GB"/>
        </w:rPr>
        <w:t>Available at SSRN 3771131</w:t>
      </w:r>
      <w:r w:rsidRPr="00361F97">
        <w:rPr>
          <w:rFonts w:ascii="Times New Roman" w:eastAsia="Times New Roman" w:hAnsi="Times New Roman" w:cs="Times New Roman"/>
          <w:sz w:val="24"/>
          <w:szCs w:val="24"/>
          <w:lang w:val="en-GB"/>
        </w:rPr>
        <w:t>.</w:t>
      </w:r>
    </w:p>
    <w:p w14:paraId="1E61895F"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E-lawresources.co.uk. 2021, R vs Burstow [1997 Available at </w:t>
      </w:r>
      <w:hyperlink r:id="rId7">
        <w:r w:rsidRPr="00361F97">
          <w:rPr>
            <w:rFonts w:ascii="Times New Roman" w:eastAsia="Times New Roman" w:hAnsi="Times New Roman" w:cs="Times New Roman"/>
            <w:sz w:val="24"/>
            <w:szCs w:val="24"/>
            <w:u w:val="single"/>
            <w:lang w:val="en-GB"/>
          </w:rPr>
          <w:t>]https://www.e-lawresources.co.uk/R-v-Burstow.php</w:t>
        </w:r>
      </w:hyperlink>
      <w:r w:rsidRPr="00361F97">
        <w:rPr>
          <w:rFonts w:ascii="Times New Roman" w:eastAsia="Times New Roman" w:hAnsi="Times New Roman" w:cs="Times New Roman"/>
          <w:sz w:val="24"/>
          <w:szCs w:val="24"/>
          <w:lang w:val="en-GB"/>
        </w:rPr>
        <w:t xml:space="preserve"> [Accessed on 20th February 2021]</w:t>
      </w:r>
    </w:p>
    <w:p w14:paraId="1EDFCA6B"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eastAsia="Times New Roman" w:hAnsi="Times New Roman" w:cs="Times New Roman"/>
          <w:sz w:val="24"/>
          <w:szCs w:val="24"/>
          <w:lang w:val="en-GB"/>
        </w:rPr>
        <w:t xml:space="preserve">E-lawresources.co.uk. 2021R vs </w:t>
      </w:r>
      <w:proofErr w:type="spellStart"/>
      <w:r w:rsidRPr="00361F97">
        <w:rPr>
          <w:rFonts w:ascii="Times New Roman" w:eastAsia="Times New Roman" w:hAnsi="Times New Roman" w:cs="Times New Roman"/>
          <w:sz w:val="24"/>
          <w:szCs w:val="24"/>
          <w:lang w:val="en-GB"/>
        </w:rPr>
        <w:t>BurstowAvailable</w:t>
      </w:r>
      <w:proofErr w:type="spellEnd"/>
      <w:r w:rsidRPr="00361F97">
        <w:rPr>
          <w:rFonts w:ascii="Times New Roman" w:eastAsia="Times New Roman" w:hAnsi="Times New Roman" w:cs="Times New Roman"/>
          <w:sz w:val="24"/>
          <w:szCs w:val="24"/>
          <w:lang w:val="en-GB"/>
        </w:rPr>
        <w:t xml:space="preserve"> at </w:t>
      </w:r>
      <w:hyperlink r:id="rId8">
        <w:r w:rsidRPr="00361F97">
          <w:rPr>
            <w:rFonts w:ascii="Times New Roman" w:eastAsia="Times New Roman" w:hAnsi="Times New Roman" w:cs="Times New Roman"/>
            <w:sz w:val="24"/>
            <w:szCs w:val="24"/>
            <w:u w:val="single"/>
            <w:lang w:val="en-GB"/>
          </w:rPr>
          <w:t>https://www.e-lawresources.co.uk/R-v-Constanza.php</w:t>
        </w:r>
      </w:hyperlink>
      <w:r w:rsidRPr="00361F97">
        <w:rPr>
          <w:rFonts w:ascii="Times New Roman" w:eastAsia="Times New Roman" w:hAnsi="Times New Roman" w:cs="Times New Roman"/>
          <w:sz w:val="24"/>
          <w:szCs w:val="24"/>
          <w:lang w:val="en-GB"/>
        </w:rPr>
        <w:t xml:space="preserve"> [Accessed on 20th February 2021]</w:t>
      </w:r>
    </w:p>
    <w:p w14:paraId="0A653A99" w14:textId="77777777" w:rsidR="00697B79" w:rsidRPr="00361F97" w:rsidRDefault="00697B79" w:rsidP="00697B79">
      <w:pPr>
        <w:rPr>
          <w:rFonts w:cs="Times New Roman"/>
          <w:szCs w:val="24"/>
          <w:lang w:val="en-GB"/>
        </w:rPr>
      </w:pPr>
      <w:r w:rsidRPr="00361F97">
        <w:rPr>
          <w:rFonts w:cs="Times New Roman"/>
          <w:szCs w:val="24"/>
          <w:shd w:val="clear" w:color="auto" w:fill="FFFFFF"/>
          <w:lang w:val="en-GB"/>
        </w:rPr>
        <w:t>Gaffney-Rhys, R., 2017. From the Offences Against the Person Act 1861 to the Serious Crime Act 2015-the development of the law relating to female genital mutilation in England and Wales. </w:t>
      </w:r>
      <w:r w:rsidRPr="00361F97">
        <w:rPr>
          <w:rFonts w:cs="Times New Roman"/>
          <w:i/>
          <w:iCs/>
          <w:szCs w:val="24"/>
          <w:shd w:val="clear" w:color="auto" w:fill="FFFFFF"/>
          <w:lang w:val="en-GB"/>
        </w:rPr>
        <w:t>Journal of Social Welfare and Family Law</w:t>
      </w:r>
      <w:r w:rsidRPr="00361F97">
        <w:rPr>
          <w:rFonts w:cs="Times New Roman"/>
          <w:szCs w:val="24"/>
          <w:shd w:val="clear" w:color="auto" w:fill="FFFFFF"/>
          <w:lang w:val="en-GB"/>
        </w:rPr>
        <w:t>, </w:t>
      </w:r>
      <w:r w:rsidRPr="00361F97">
        <w:rPr>
          <w:rFonts w:cs="Times New Roman"/>
          <w:i/>
          <w:iCs/>
          <w:szCs w:val="24"/>
          <w:shd w:val="clear" w:color="auto" w:fill="FFFFFF"/>
          <w:lang w:val="en-GB"/>
        </w:rPr>
        <w:t>39</w:t>
      </w:r>
      <w:r w:rsidRPr="00361F97">
        <w:rPr>
          <w:rFonts w:cs="Times New Roman"/>
          <w:szCs w:val="24"/>
          <w:shd w:val="clear" w:color="auto" w:fill="FFFFFF"/>
          <w:lang w:val="en-GB"/>
        </w:rPr>
        <w:t>(4), pp.417-434.</w:t>
      </w:r>
    </w:p>
    <w:p w14:paraId="6885BD3F"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hAnsi="Times New Roman" w:cs="Times New Roman"/>
          <w:sz w:val="24"/>
          <w:szCs w:val="24"/>
          <w:shd w:val="clear" w:color="auto" w:fill="FFFFFF"/>
          <w:lang w:val="en-GB"/>
        </w:rPr>
        <w:t>Legislation.gov.uk. 2021. </w:t>
      </w:r>
      <w:r w:rsidRPr="00361F97">
        <w:rPr>
          <w:rFonts w:ascii="Times New Roman" w:hAnsi="Times New Roman" w:cs="Times New Roman"/>
          <w:i/>
          <w:iCs/>
          <w:sz w:val="24"/>
          <w:szCs w:val="24"/>
          <w:shd w:val="clear" w:color="auto" w:fill="FFFFFF"/>
          <w:lang w:val="en-GB"/>
        </w:rPr>
        <w:t>Offences against the Person Act 1861</w:t>
      </w:r>
      <w:r w:rsidRPr="00361F97">
        <w:rPr>
          <w:rFonts w:ascii="Times New Roman" w:hAnsi="Times New Roman" w:cs="Times New Roman"/>
          <w:sz w:val="24"/>
          <w:szCs w:val="24"/>
          <w:shd w:val="clear" w:color="auto" w:fill="FFFFFF"/>
          <w:lang w:val="en-GB"/>
        </w:rPr>
        <w:t>. [online] Available at: &lt;https://www.legislation.gov.uk/ukpga/Vict/24-25/100/contents&gt; [Accessed 24 February 2021].</w:t>
      </w:r>
    </w:p>
    <w:p w14:paraId="6DBA0688" w14:textId="77777777" w:rsidR="00697B79" w:rsidRPr="00361F97" w:rsidRDefault="00697B79" w:rsidP="00697B79">
      <w:pPr>
        <w:rPr>
          <w:rFonts w:cs="Times New Roman"/>
          <w:szCs w:val="24"/>
          <w:lang w:val="en-GB"/>
        </w:rPr>
      </w:pPr>
      <w:r w:rsidRPr="00361F97">
        <w:rPr>
          <w:rFonts w:cs="Times New Roman"/>
          <w:szCs w:val="24"/>
          <w:shd w:val="clear" w:color="auto" w:fill="FFFFFF"/>
          <w:lang w:val="en-GB"/>
        </w:rPr>
        <w:t>Partridge, B. and Affleck, J., 2017. Verbal abuse and physical assault in the emergency department: Rates of violence, perceptions of safety, and attitudes towards security. </w:t>
      </w:r>
      <w:r w:rsidRPr="00361F97">
        <w:rPr>
          <w:rFonts w:cs="Times New Roman"/>
          <w:i/>
          <w:iCs/>
          <w:szCs w:val="24"/>
          <w:shd w:val="clear" w:color="auto" w:fill="FFFFFF"/>
          <w:lang w:val="en-GB"/>
        </w:rPr>
        <w:t>Australasian Emergency Nursing Journal</w:t>
      </w:r>
      <w:r w:rsidRPr="00361F97">
        <w:rPr>
          <w:rFonts w:cs="Times New Roman"/>
          <w:szCs w:val="24"/>
          <w:shd w:val="clear" w:color="auto" w:fill="FFFFFF"/>
          <w:lang w:val="en-GB"/>
        </w:rPr>
        <w:t>, </w:t>
      </w:r>
      <w:r w:rsidRPr="00361F97">
        <w:rPr>
          <w:rFonts w:cs="Times New Roman"/>
          <w:i/>
          <w:iCs/>
          <w:szCs w:val="24"/>
          <w:shd w:val="clear" w:color="auto" w:fill="FFFFFF"/>
          <w:lang w:val="en-GB"/>
        </w:rPr>
        <w:t>20</w:t>
      </w:r>
      <w:r w:rsidRPr="00361F97">
        <w:rPr>
          <w:rFonts w:cs="Times New Roman"/>
          <w:szCs w:val="24"/>
          <w:shd w:val="clear" w:color="auto" w:fill="FFFFFF"/>
          <w:lang w:val="en-GB"/>
        </w:rPr>
        <w:t>(3), pp.139-145.</w:t>
      </w:r>
    </w:p>
    <w:p w14:paraId="149977C9" w14:textId="77777777" w:rsidR="00697B79" w:rsidRPr="00361F97" w:rsidRDefault="00697B79" w:rsidP="00697B79">
      <w:pPr>
        <w:rPr>
          <w:rFonts w:cs="Times New Roman"/>
          <w:szCs w:val="24"/>
          <w:lang w:val="en-GB"/>
        </w:rPr>
      </w:pPr>
      <w:proofErr w:type="spellStart"/>
      <w:r w:rsidRPr="00361F97">
        <w:rPr>
          <w:rFonts w:cs="Times New Roman"/>
          <w:szCs w:val="24"/>
          <w:shd w:val="clear" w:color="auto" w:fill="FFFFFF"/>
          <w:lang w:val="en-GB"/>
        </w:rPr>
        <w:t>Qomaruddin</w:t>
      </w:r>
      <w:proofErr w:type="spellEnd"/>
      <w:r w:rsidRPr="00361F97">
        <w:rPr>
          <w:rFonts w:cs="Times New Roman"/>
          <w:szCs w:val="24"/>
          <w:shd w:val="clear" w:color="auto" w:fill="FFFFFF"/>
          <w:lang w:val="en-GB"/>
        </w:rPr>
        <w:t xml:space="preserve">, M.Q., </w:t>
      </w:r>
      <w:proofErr w:type="spellStart"/>
      <w:r w:rsidRPr="00361F97">
        <w:rPr>
          <w:rFonts w:cs="Times New Roman"/>
          <w:szCs w:val="24"/>
          <w:shd w:val="clear" w:color="auto" w:fill="FFFFFF"/>
          <w:lang w:val="en-GB"/>
        </w:rPr>
        <w:t>Gunarto</w:t>
      </w:r>
      <w:proofErr w:type="spellEnd"/>
      <w:r w:rsidRPr="00361F97">
        <w:rPr>
          <w:rFonts w:cs="Times New Roman"/>
          <w:szCs w:val="24"/>
          <w:shd w:val="clear" w:color="auto" w:fill="FFFFFF"/>
          <w:lang w:val="en-GB"/>
        </w:rPr>
        <w:t xml:space="preserve">, G. and </w:t>
      </w:r>
      <w:proofErr w:type="spellStart"/>
      <w:r w:rsidRPr="00361F97">
        <w:rPr>
          <w:rFonts w:cs="Times New Roman"/>
          <w:szCs w:val="24"/>
          <w:shd w:val="clear" w:color="auto" w:fill="FFFFFF"/>
          <w:lang w:val="en-GB"/>
        </w:rPr>
        <w:t>Witasari</w:t>
      </w:r>
      <w:proofErr w:type="spellEnd"/>
      <w:r w:rsidRPr="00361F97">
        <w:rPr>
          <w:rFonts w:cs="Times New Roman"/>
          <w:szCs w:val="24"/>
          <w:shd w:val="clear" w:color="auto" w:fill="FFFFFF"/>
          <w:lang w:val="en-GB"/>
        </w:rPr>
        <w:t xml:space="preserve">, A., 2020. Legal Flexibility in Children Diversion Which Conflict </w:t>
      </w:r>
      <w:proofErr w:type="gramStart"/>
      <w:r w:rsidRPr="00361F97">
        <w:rPr>
          <w:rFonts w:cs="Times New Roman"/>
          <w:szCs w:val="24"/>
          <w:shd w:val="clear" w:color="auto" w:fill="FFFFFF"/>
          <w:lang w:val="en-GB"/>
        </w:rPr>
        <w:t>With</w:t>
      </w:r>
      <w:proofErr w:type="gramEnd"/>
      <w:r w:rsidRPr="00361F97">
        <w:rPr>
          <w:rFonts w:cs="Times New Roman"/>
          <w:szCs w:val="24"/>
          <w:shd w:val="clear" w:color="auto" w:fill="FFFFFF"/>
          <w:lang w:val="en-GB"/>
        </w:rPr>
        <w:t xml:space="preserve"> the Law (ABH) Case Study At Ex Residency of Cirebon Jurisdiction. </w:t>
      </w:r>
      <w:proofErr w:type="spellStart"/>
      <w:r w:rsidRPr="00361F97">
        <w:rPr>
          <w:rFonts w:cs="Times New Roman"/>
          <w:i/>
          <w:iCs/>
          <w:szCs w:val="24"/>
          <w:shd w:val="clear" w:color="auto" w:fill="FFFFFF"/>
          <w:lang w:val="en-GB"/>
        </w:rPr>
        <w:t>JurnalDaulatHukum</w:t>
      </w:r>
      <w:proofErr w:type="spellEnd"/>
      <w:r w:rsidRPr="00361F97">
        <w:rPr>
          <w:rFonts w:cs="Times New Roman"/>
          <w:szCs w:val="24"/>
          <w:shd w:val="clear" w:color="auto" w:fill="FFFFFF"/>
          <w:lang w:val="en-GB"/>
        </w:rPr>
        <w:t>, </w:t>
      </w:r>
      <w:r w:rsidRPr="00361F97">
        <w:rPr>
          <w:rFonts w:cs="Times New Roman"/>
          <w:i/>
          <w:iCs/>
          <w:szCs w:val="24"/>
          <w:shd w:val="clear" w:color="auto" w:fill="FFFFFF"/>
          <w:lang w:val="en-GB"/>
        </w:rPr>
        <w:t>3</w:t>
      </w:r>
      <w:r w:rsidRPr="00361F97">
        <w:rPr>
          <w:rFonts w:cs="Times New Roman"/>
          <w:szCs w:val="24"/>
          <w:shd w:val="clear" w:color="auto" w:fill="FFFFFF"/>
          <w:lang w:val="en-GB"/>
        </w:rPr>
        <w:t>(1), pp.55-62.</w:t>
      </w:r>
    </w:p>
    <w:p w14:paraId="5E950E8B" w14:textId="77777777" w:rsidR="00697B79" w:rsidRPr="00361F97" w:rsidRDefault="00697B79" w:rsidP="00697B79">
      <w:pPr>
        <w:rPr>
          <w:rFonts w:cs="Times New Roman"/>
          <w:szCs w:val="24"/>
          <w:shd w:val="clear" w:color="auto" w:fill="FFFFFF"/>
          <w:lang w:val="en-GB"/>
        </w:rPr>
      </w:pPr>
      <w:proofErr w:type="spellStart"/>
      <w:r w:rsidRPr="00361F97">
        <w:rPr>
          <w:rFonts w:cs="Times New Roman"/>
          <w:szCs w:val="24"/>
          <w:shd w:val="clear" w:color="auto" w:fill="FFFFFF"/>
          <w:lang w:val="en-GB"/>
        </w:rPr>
        <w:t>Tatnell</w:t>
      </w:r>
      <w:proofErr w:type="spellEnd"/>
      <w:r w:rsidRPr="00361F97">
        <w:rPr>
          <w:rFonts w:cs="Times New Roman"/>
          <w:szCs w:val="24"/>
          <w:shd w:val="clear" w:color="auto" w:fill="FFFFFF"/>
          <w:lang w:val="en-GB"/>
        </w:rPr>
        <w:t xml:space="preserve">, R., </w:t>
      </w:r>
      <w:proofErr w:type="spellStart"/>
      <w:r w:rsidRPr="00361F97">
        <w:rPr>
          <w:rFonts w:cs="Times New Roman"/>
          <w:szCs w:val="24"/>
          <w:shd w:val="clear" w:color="auto" w:fill="FFFFFF"/>
          <w:lang w:val="en-GB"/>
        </w:rPr>
        <w:t>Hasking</w:t>
      </w:r>
      <w:proofErr w:type="spellEnd"/>
      <w:r w:rsidRPr="00361F97">
        <w:rPr>
          <w:rFonts w:cs="Times New Roman"/>
          <w:szCs w:val="24"/>
          <w:shd w:val="clear" w:color="auto" w:fill="FFFFFF"/>
          <w:lang w:val="en-GB"/>
        </w:rPr>
        <w:t xml:space="preserve">, P., Newman, L., </w:t>
      </w:r>
      <w:proofErr w:type="spellStart"/>
      <w:r w:rsidRPr="00361F97">
        <w:rPr>
          <w:rFonts w:cs="Times New Roman"/>
          <w:szCs w:val="24"/>
          <w:shd w:val="clear" w:color="auto" w:fill="FFFFFF"/>
          <w:lang w:val="en-GB"/>
        </w:rPr>
        <w:t>Taffe</w:t>
      </w:r>
      <w:proofErr w:type="spellEnd"/>
      <w:r w:rsidRPr="00361F97">
        <w:rPr>
          <w:rFonts w:cs="Times New Roman"/>
          <w:szCs w:val="24"/>
          <w:shd w:val="clear" w:color="auto" w:fill="FFFFFF"/>
          <w:lang w:val="en-GB"/>
        </w:rPr>
        <w:t>, J. and Martin, G., 2017. Attachment, emotion regulation, childhood abuse and assault: examining predictors of NSSI among adolescents. </w:t>
      </w:r>
      <w:r w:rsidRPr="00361F97">
        <w:rPr>
          <w:rFonts w:cs="Times New Roman"/>
          <w:i/>
          <w:iCs/>
          <w:szCs w:val="24"/>
          <w:shd w:val="clear" w:color="auto" w:fill="FFFFFF"/>
          <w:lang w:val="en-GB"/>
        </w:rPr>
        <w:t>Archives of suicide research</w:t>
      </w:r>
      <w:r w:rsidRPr="00361F97">
        <w:rPr>
          <w:rFonts w:cs="Times New Roman"/>
          <w:szCs w:val="24"/>
          <w:shd w:val="clear" w:color="auto" w:fill="FFFFFF"/>
          <w:lang w:val="en-GB"/>
        </w:rPr>
        <w:t>, </w:t>
      </w:r>
      <w:r w:rsidRPr="00361F97">
        <w:rPr>
          <w:rFonts w:cs="Times New Roman"/>
          <w:i/>
          <w:iCs/>
          <w:szCs w:val="24"/>
          <w:shd w:val="clear" w:color="auto" w:fill="FFFFFF"/>
          <w:lang w:val="en-GB"/>
        </w:rPr>
        <w:t>21</w:t>
      </w:r>
      <w:r w:rsidRPr="00361F97">
        <w:rPr>
          <w:rFonts w:cs="Times New Roman"/>
          <w:szCs w:val="24"/>
          <w:shd w:val="clear" w:color="auto" w:fill="FFFFFF"/>
          <w:lang w:val="en-GB"/>
        </w:rPr>
        <w:t>(4), pp.610-620.</w:t>
      </w:r>
    </w:p>
    <w:p w14:paraId="175BD100" w14:textId="77777777" w:rsidR="00697B79" w:rsidRPr="00361F97" w:rsidRDefault="00697B79" w:rsidP="00697B79">
      <w:pPr>
        <w:pStyle w:val="Normal1"/>
        <w:spacing w:line="360" w:lineRule="auto"/>
        <w:jc w:val="both"/>
        <w:rPr>
          <w:rFonts w:ascii="Times New Roman" w:eastAsia="Times New Roman" w:hAnsi="Times New Roman" w:cs="Times New Roman"/>
          <w:sz w:val="24"/>
          <w:szCs w:val="24"/>
          <w:lang w:val="en-GB"/>
        </w:rPr>
      </w:pPr>
      <w:r w:rsidRPr="00361F97">
        <w:rPr>
          <w:rFonts w:ascii="Times New Roman" w:hAnsi="Times New Roman" w:cs="Times New Roman"/>
          <w:sz w:val="24"/>
          <w:szCs w:val="24"/>
          <w:lang w:val="en-GB"/>
        </w:rPr>
        <w:t xml:space="preserve">Webstroke.co.uk. 2021. </w:t>
      </w:r>
      <w:r w:rsidRPr="00361F97">
        <w:rPr>
          <w:rFonts w:ascii="Times New Roman" w:hAnsi="Times New Roman" w:cs="Times New Roman"/>
          <w:i/>
          <w:sz w:val="24"/>
          <w:szCs w:val="24"/>
          <w:lang w:val="en-GB"/>
        </w:rPr>
        <w:t xml:space="preserve">R v Constanza [1997] – </w:t>
      </w:r>
      <w:proofErr w:type="spellStart"/>
      <w:r w:rsidRPr="00361F97">
        <w:rPr>
          <w:rFonts w:ascii="Times New Roman" w:hAnsi="Times New Roman" w:cs="Times New Roman"/>
          <w:i/>
          <w:sz w:val="24"/>
          <w:szCs w:val="24"/>
          <w:lang w:val="en-GB"/>
        </w:rPr>
        <w:t>Webstroke</w:t>
      </w:r>
      <w:proofErr w:type="spellEnd"/>
      <w:r w:rsidRPr="00361F97">
        <w:rPr>
          <w:rFonts w:ascii="Times New Roman" w:hAnsi="Times New Roman" w:cs="Times New Roman"/>
          <w:i/>
          <w:sz w:val="24"/>
          <w:szCs w:val="24"/>
          <w:lang w:val="en-GB"/>
        </w:rPr>
        <w:t xml:space="preserve"> Law</w:t>
      </w:r>
      <w:r w:rsidRPr="00361F97">
        <w:rPr>
          <w:rFonts w:ascii="Times New Roman" w:hAnsi="Times New Roman" w:cs="Times New Roman"/>
          <w:sz w:val="24"/>
          <w:szCs w:val="24"/>
          <w:lang w:val="en-GB"/>
        </w:rPr>
        <w:t>. [online] Available at: &lt;https://webstroke.co.uk/law/r-v-constanza-1997&gt; [Accessed 20 February 2021].</w:t>
      </w:r>
    </w:p>
    <w:p w14:paraId="26BCB530" w14:textId="77777777" w:rsidR="00A710F5" w:rsidRPr="00697B79" w:rsidRDefault="00A710F5">
      <w:pPr>
        <w:rPr>
          <w:lang w:val="en-GB"/>
        </w:rPr>
      </w:pPr>
    </w:p>
    <w:sectPr w:rsidR="00A710F5" w:rsidRPr="00697B79" w:rsidSect="00907F4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301D8B" w14:textId="77777777" w:rsidR="0058656B" w:rsidRDefault="0058656B" w:rsidP="00697B79">
      <w:pPr>
        <w:spacing w:after="0" w:line="240" w:lineRule="auto"/>
      </w:pPr>
      <w:r>
        <w:separator/>
      </w:r>
    </w:p>
  </w:endnote>
  <w:endnote w:type="continuationSeparator" w:id="0">
    <w:p w14:paraId="63AB05D7" w14:textId="77777777" w:rsidR="0058656B" w:rsidRDefault="0058656B" w:rsidP="00697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81686"/>
      <w:docPartObj>
        <w:docPartGallery w:val="Page Numbers (Bottom of Page)"/>
        <w:docPartUnique/>
      </w:docPartObj>
    </w:sdtPr>
    <w:sdtEndPr/>
    <w:sdtContent>
      <w:p w14:paraId="1466FA9E" w14:textId="77777777" w:rsidR="006361E6" w:rsidRDefault="00036CB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DA94216" w14:textId="77777777" w:rsidR="006361E6" w:rsidRDefault="00586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D7D9E" w14:textId="77777777" w:rsidR="0058656B" w:rsidRDefault="0058656B" w:rsidP="00697B79">
      <w:pPr>
        <w:spacing w:after="0" w:line="240" w:lineRule="auto"/>
      </w:pPr>
      <w:r>
        <w:separator/>
      </w:r>
    </w:p>
  </w:footnote>
  <w:footnote w:type="continuationSeparator" w:id="0">
    <w:p w14:paraId="7B203DD0" w14:textId="77777777" w:rsidR="0058656B" w:rsidRDefault="0058656B" w:rsidP="00697B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B79"/>
    <w:rsid w:val="00036CBF"/>
    <w:rsid w:val="0058656B"/>
    <w:rsid w:val="00697B79"/>
    <w:rsid w:val="00A710F5"/>
    <w:rsid w:val="00B24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AD19D"/>
  <w15:chartTrackingRefBased/>
  <w15:docId w15:val="{904287DC-08AD-4457-B107-72C766428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B79"/>
    <w:pPr>
      <w:spacing w:after="200" w:line="36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697B79"/>
    <w:pPr>
      <w:outlineLvl w:val="0"/>
    </w:pPr>
    <w:rPr>
      <w:rFonts w:cs="Times New Roman"/>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B79"/>
    <w:rPr>
      <w:rFonts w:ascii="Times New Roman" w:hAnsi="Times New Roman" w:cs="Times New Roman"/>
      <w:b/>
      <w:sz w:val="32"/>
      <w:szCs w:val="24"/>
      <w:lang w:val="en-IN"/>
    </w:rPr>
  </w:style>
  <w:style w:type="paragraph" w:styleId="Header">
    <w:name w:val="header"/>
    <w:basedOn w:val="Normal"/>
    <w:link w:val="HeaderChar"/>
    <w:uiPriority w:val="99"/>
    <w:unhideWhenUsed/>
    <w:rsid w:val="00697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B79"/>
    <w:rPr>
      <w:rFonts w:ascii="Times New Roman" w:hAnsi="Times New Roman"/>
      <w:sz w:val="24"/>
      <w:lang w:val="en-IN"/>
    </w:rPr>
  </w:style>
  <w:style w:type="paragraph" w:styleId="Footer">
    <w:name w:val="footer"/>
    <w:basedOn w:val="Normal"/>
    <w:link w:val="FooterChar"/>
    <w:uiPriority w:val="99"/>
    <w:unhideWhenUsed/>
    <w:rsid w:val="00697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B79"/>
    <w:rPr>
      <w:rFonts w:ascii="Times New Roman" w:hAnsi="Times New Roman"/>
      <w:sz w:val="24"/>
      <w:lang w:val="en-IN"/>
    </w:rPr>
  </w:style>
  <w:style w:type="paragraph" w:styleId="TOCHeading">
    <w:name w:val="TOC Heading"/>
    <w:basedOn w:val="Heading1"/>
    <w:next w:val="Normal"/>
    <w:uiPriority w:val="39"/>
    <w:semiHidden/>
    <w:unhideWhenUsed/>
    <w:qFormat/>
    <w:rsid w:val="00697B79"/>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697B79"/>
    <w:pPr>
      <w:spacing w:after="100"/>
    </w:pPr>
  </w:style>
  <w:style w:type="character" w:styleId="Hyperlink">
    <w:name w:val="Hyperlink"/>
    <w:basedOn w:val="DefaultParagraphFont"/>
    <w:uiPriority w:val="99"/>
    <w:unhideWhenUsed/>
    <w:rsid w:val="00697B79"/>
    <w:rPr>
      <w:color w:val="0563C1" w:themeColor="hyperlink"/>
      <w:u w:val="single"/>
    </w:rPr>
  </w:style>
  <w:style w:type="paragraph" w:customStyle="1" w:styleId="Normal1">
    <w:name w:val="Normal1"/>
    <w:rsid w:val="00697B79"/>
    <w:pPr>
      <w:spacing w:after="0" w:line="276" w:lineRule="auto"/>
    </w:pPr>
    <w:rPr>
      <w:rFonts w:ascii="Arial" w:eastAsia="Arial" w:hAnsi="Arial" w:cs="Arial"/>
      <w:lang w:val="en-US"/>
    </w:rPr>
  </w:style>
  <w:style w:type="table" w:styleId="TableGrid">
    <w:name w:val="Table Grid"/>
    <w:basedOn w:val="TableNormal"/>
    <w:uiPriority w:val="39"/>
    <w:rsid w:val="00697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awresources.co.uk/R-v-Constanza.php" TargetMode="External"/><Relationship Id="rId3" Type="http://schemas.openxmlformats.org/officeDocument/2006/relationships/webSettings" Target="webSettings.xml"/><Relationship Id="rId7" Type="http://schemas.openxmlformats.org/officeDocument/2006/relationships/hyperlink" Target="https://www.e-lawresources.co.uk/R-v-Burstow.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2263</Words>
  <Characters>12903</Characters>
  <Application>Microsoft Office Word</Application>
  <DocSecurity>0</DocSecurity>
  <Lines>107</Lines>
  <Paragraphs>30</Paragraphs>
  <ScaleCrop>false</ScaleCrop>
  <Company/>
  <LinksUpToDate>false</LinksUpToDate>
  <CharactersWithSpaces>15136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Khairuzzaman Rob (1915327)</dc:creator>
  <cp:keywords/>
  <dc:description/>
  <cp:lastModifiedBy>Khairuzzaman Rob (1915327)</cp:lastModifiedBy>
  <cp:revision>2</cp:revision>
  <dcterms:created xsi:type="dcterms:W3CDTF">2021-03-04T17:07:00Z</dcterms:created>
  <dcterms:modified xsi:type="dcterms:W3CDTF">2021-03-04T17:07:00Z</dcterms:modified>
</cp:coreProperties>
</file>